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3A5" w:rsidRPr="00344D51" w:rsidRDefault="00A512B0" w:rsidP="00344D51">
      <w:pPr>
        <w:ind w:left="992" w:hanging="993"/>
        <w:outlineLvl w:val="0"/>
        <w:rPr>
          <w:b/>
          <w:sz w:val="36"/>
          <w:szCs w:val="36"/>
        </w:rPr>
      </w:pPr>
      <w:bookmarkStart w:id="0" w:name="_GoBack"/>
      <w:bookmarkEnd w:id="0"/>
      <w:r w:rsidRPr="00E01A8E">
        <w:rPr>
          <w:b/>
          <w:sz w:val="36"/>
          <w:szCs w:val="36"/>
        </w:rPr>
        <w:t>6.12</w:t>
      </w:r>
      <w:r w:rsidR="00C317F3" w:rsidRPr="00E01A8E">
        <w:rPr>
          <w:b/>
          <w:sz w:val="36"/>
          <w:szCs w:val="36"/>
        </w:rPr>
        <w:tab/>
      </w:r>
      <w:r w:rsidR="00F123A5" w:rsidRPr="00E01A8E">
        <w:rPr>
          <w:b/>
          <w:sz w:val="36"/>
          <w:szCs w:val="36"/>
        </w:rPr>
        <w:t>VILDAGLIPTIN</w:t>
      </w:r>
      <w:r w:rsidR="00C317F3" w:rsidRPr="00E01A8E">
        <w:rPr>
          <w:b/>
          <w:sz w:val="36"/>
          <w:szCs w:val="36"/>
        </w:rPr>
        <w:t>,</w:t>
      </w:r>
      <w:r w:rsidR="009D4C2A" w:rsidRPr="00E01A8E">
        <w:rPr>
          <w:b/>
          <w:sz w:val="36"/>
          <w:szCs w:val="36"/>
        </w:rPr>
        <w:br/>
      </w:r>
      <w:r w:rsidR="00F123A5" w:rsidRPr="00E01A8E">
        <w:rPr>
          <w:b/>
          <w:sz w:val="36"/>
          <w:szCs w:val="36"/>
        </w:rPr>
        <w:t>Tablet</w:t>
      </w:r>
      <w:r w:rsidRPr="00E01A8E">
        <w:rPr>
          <w:b/>
          <w:sz w:val="36"/>
          <w:szCs w:val="36"/>
        </w:rPr>
        <w:t xml:space="preserve"> 50mg</w:t>
      </w:r>
      <w:r w:rsidR="00C317F3" w:rsidRPr="00E01A8E">
        <w:rPr>
          <w:b/>
          <w:sz w:val="36"/>
          <w:szCs w:val="36"/>
        </w:rPr>
        <w:t xml:space="preserve">, </w:t>
      </w:r>
      <w:r w:rsidR="002E6D81" w:rsidRPr="00E01A8E">
        <w:rPr>
          <w:b/>
          <w:sz w:val="36"/>
          <w:szCs w:val="36"/>
        </w:rPr>
        <w:t>Galvus®</w:t>
      </w:r>
      <w:r w:rsidR="00344D51">
        <w:rPr>
          <w:b/>
          <w:sz w:val="36"/>
          <w:szCs w:val="36"/>
        </w:rPr>
        <w:br/>
      </w:r>
      <w:r w:rsidR="00F123A5" w:rsidRPr="00E01A8E">
        <w:rPr>
          <w:b/>
          <w:sz w:val="36"/>
          <w:szCs w:val="36"/>
        </w:rPr>
        <w:t xml:space="preserve">VILDAGLIPTIN </w:t>
      </w:r>
      <w:r w:rsidR="00735383" w:rsidRPr="00E01A8E">
        <w:rPr>
          <w:b/>
          <w:sz w:val="36"/>
          <w:szCs w:val="36"/>
        </w:rPr>
        <w:t xml:space="preserve">WITH </w:t>
      </w:r>
      <w:r w:rsidR="00344D51">
        <w:rPr>
          <w:b/>
          <w:sz w:val="36"/>
          <w:szCs w:val="36"/>
        </w:rPr>
        <w:t>METFORMIN,</w:t>
      </w:r>
      <w:r w:rsidR="00344D51">
        <w:rPr>
          <w:b/>
          <w:sz w:val="36"/>
          <w:szCs w:val="36"/>
        </w:rPr>
        <w:br/>
      </w:r>
      <w:r w:rsidRPr="00E01A8E">
        <w:rPr>
          <w:b/>
          <w:sz w:val="36"/>
          <w:szCs w:val="36"/>
        </w:rPr>
        <w:t xml:space="preserve">Tablet containing 50 mg vildagliptin with 500 mg metformin hydrochloride, </w:t>
      </w:r>
      <w:r w:rsidR="00EB7F35" w:rsidRPr="00E01A8E">
        <w:rPr>
          <w:b/>
          <w:sz w:val="36"/>
          <w:szCs w:val="36"/>
        </w:rPr>
        <w:t>Galvumet® 50/500</w:t>
      </w:r>
      <w:r w:rsidR="00344D51">
        <w:rPr>
          <w:b/>
          <w:sz w:val="36"/>
          <w:szCs w:val="36"/>
        </w:rPr>
        <w:br/>
      </w:r>
      <w:r w:rsidRPr="00E01A8E">
        <w:rPr>
          <w:b/>
          <w:sz w:val="36"/>
          <w:szCs w:val="36"/>
        </w:rPr>
        <w:t>Tablet containing 50 mg vildagliptin with 850 mg metformin hydrochloride,</w:t>
      </w:r>
      <w:r w:rsidR="00EB7F35" w:rsidRPr="00EB7F35">
        <w:rPr>
          <w:b/>
          <w:sz w:val="36"/>
          <w:szCs w:val="36"/>
        </w:rPr>
        <w:t xml:space="preserve"> </w:t>
      </w:r>
      <w:r w:rsidR="00EB7F35" w:rsidRPr="00E01A8E">
        <w:rPr>
          <w:b/>
          <w:sz w:val="36"/>
          <w:szCs w:val="36"/>
        </w:rPr>
        <w:t>Galvumet® 50/850</w:t>
      </w:r>
      <w:r w:rsidR="00344D51">
        <w:rPr>
          <w:b/>
          <w:sz w:val="36"/>
          <w:szCs w:val="36"/>
        </w:rPr>
        <w:br/>
      </w:r>
      <w:r w:rsidRPr="00E01A8E">
        <w:rPr>
          <w:b/>
          <w:sz w:val="36"/>
          <w:szCs w:val="36"/>
        </w:rPr>
        <w:t>Tablet containing 50 mg vildagliptin with 1000 mg metformin hydrochloride</w:t>
      </w:r>
      <w:r w:rsidR="00EB7F35">
        <w:rPr>
          <w:b/>
          <w:sz w:val="36"/>
          <w:szCs w:val="36"/>
        </w:rPr>
        <w:t>,</w:t>
      </w:r>
      <w:r w:rsidR="00EB7F35" w:rsidRPr="00EB7F35">
        <w:rPr>
          <w:b/>
          <w:sz w:val="36"/>
          <w:szCs w:val="36"/>
        </w:rPr>
        <w:t xml:space="preserve"> </w:t>
      </w:r>
      <w:r w:rsidR="00EB7F35" w:rsidRPr="00E01A8E">
        <w:rPr>
          <w:b/>
          <w:sz w:val="36"/>
          <w:szCs w:val="36"/>
        </w:rPr>
        <w:t>Galvumet® 50/1000</w:t>
      </w:r>
      <w:r w:rsidR="00344D51">
        <w:rPr>
          <w:b/>
          <w:sz w:val="36"/>
          <w:szCs w:val="36"/>
        </w:rPr>
        <w:br/>
      </w:r>
      <w:r w:rsidR="00F123A5" w:rsidRPr="00E01A8E">
        <w:rPr>
          <w:b/>
          <w:sz w:val="36"/>
          <w:szCs w:val="36"/>
        </w:rPr>
        <w:t>Novartis Pharmaceuticals Australia Pty Ltd</w:t>
      </w:r>
    </w:p>
    <w:p w:rsidR="00C317F3" w:rsidRPr="00E01A8E" w:rsidRDefault="00C317F3" w:rsidP="00466705">
      <w:pPr>
        <w:pStyle w:val="Heading1"/>
        <w:ind w:left="709" w:hanging="709"/>
        <w:jc w:val="both"/>
      </w:pPr>
      <w:bookmarkStart w:id="1" w:name="_Toc413139271"/>
      <w:bookmarkStart w:id="2" w:name="_Toc493069861"/>
      <w:r w:rsidRPr="00E01A8E">
        <w:t xml:space="preserve">Purpose of </w:t>
      </w:r>
      <w:r w:rsidR="00661286" w:rsidRPr="00E01A8E">
        <w:t>a</w:t>
      </w:r>
      <w:r w:rsidRPr="00E01A8E">
        <w:t>pplication</w:t>
      </w:r>
      <w:bookmarkEnd w:id="1"/>
      <w:bookmarkEnd w:id="2"/>
    </w:p>
    <w:p w:rsidR="00C317F3" w:rsidRPr="00E01A8E" w:rsidRDefault="001502C3" w:rsidP="00962D9F">
      <w:pPr>
        <w:pStyle w:val="ListParagraph"/>
        <w:numPr>
          <w:ilvl w:val="1"/>
          <w:numId w:val="3"/>
        </w:numPr>
        <w:spacing w:before="0" w:after="120"/>
        <w:jc w:val="both"/>
      </w:pPr>
      <w:r>
        <w:t xml:space="preserve">The </w:t>
      </w:r>
      <w:r w:rsidR="002E6D81">
        <w:t xml:space="preserve">major </w:t>
      </w:r>
      <w:r>
        <w:t xml:space="preserve">submission requested an </w:t>
      </w:r>
      <w:r w:rsidR="00651D11" w:rsidRPr="00E01A8E">
        <w:t>Authority Required (STREAMLINED)</w:t>
      </w:r>
      <w:r w:rsidR="00C317F3" w:rsidRPr="00E01A8E">
        <w:t xml:space="preserve"> listing for </w:t>
      </w:r>
      <w:r w:rsidR="008A2E5A" w:rsidRPr="00E01A8E">
        <w:t>vildagliptin and vildagliptin</w:t>
      </w:r>
      <w:r w:rsidR="00ED4A58" w:rsidRPr="00E01A8E">
        <w:t xml:space="preserve"> </w:t>
      </w:r>
      <w:r w:rsidR="00050C8D">
        <w:t>with</w:t>
      </w:r>
      <w:r w:rsidR="00ED4A58" w:rsidRPr="00E01A8E">
        <w:t xml:space="preserve"> </w:t>
      </w:r>
      <w:r w:rsidR="008A2E5A" w:rsidRPr="00E01A8E">
        <w:t xml:space="preserve">metformin </w:t>
      </w:r>
      <w:r w:rsidR="00735383" w:rsidRPr="00E01A8E">
        <w:t>fixed dose combination (</w:t>
      </w:r>
      <w:r w:rsidR="0080222B" w:rsidRPr="00E01A8E">
        <w:t>FDC</w:t>
      </w:r>
      <w:r w:rsidR="00735383" w:rsidRPr="00E01A8E">
        <w:t>)</w:t>
      </w:r>
      <w:r w:rsidR="00C317F3" w:rsidRPr="00E01A8E">
        <w:t xml:space="preserve"> for </w:t>
      </w:r>
      <w:r w:rsidR="008A2E5A" w:rsidRPr="00E01A8E">
        <w:t xml:space="preserve">the </w:t>
      </w:r>
      <w:r w:rsidR="00C317F3" w:rsidRPr="00E01A8E">
        <w:t xml:space="preserve">treatment of </w:t>
      </w:r>
      <w:r w:rsidR="008A2E5A" w:rsidRPr="00E01A8E">
        <w:t xml:space="preserve">type 2 diabetes mellitus </w:t>
      </w:r>
      <w:r w:rsidR="00735383" w:rsidRPr="00E01A8E">
        <w:t>(</w:t>
      </w:r>
      <w:r w:rsidR="00776B1F" w:rsidRPr="00E01A8E">
        <w:t>T2DM</w:t>
      </w:r>
      <w:r w:rsidR="00735383" w:rsidRPr="00E01A8E">
        <w:t>)</w:t>
      </w:r>
      <w:r w:rsidR="00FE60D1" w:rsidRPr="00E01A8E">
        <w:t xml:space="preserve"> </w:t>
      </w:r>
      <w:r w:rsidR="008A2E5A" w:rsidRPr="00E01A8E">
        <w:t>in combination with insulin</w:t>
      </w:r>
      <w:r w:rsidR="00C317F3" w:rsidRPr="00E01A8E">
        <w:t>.</w:t>
      </w:r>
      <w:r w:rsidR="008A2E5A" w:rsidRPr="00E01A8E">
        <w:t xml:space="preserve"> </w:t>
      </w:r>
    </w:p>
    <w:p w:rsidR="00B92024" w:rsidRPr="00771B63" w:rsidRDefault="008A2E5A" w:rsidP="00962D9F">
      <w:pPr>
        <w:pStyle w:val="ListParagraph"/>
        <w:numPr>
          <w:ilvl w:val="1"/>
          <w:numId w:val="3"/>
        </w:numPr>
        <w:spacing w:before="0" w:after="120"/>
        <w:jc w:val="both"/>
        <w:rPr>
          <w:color w:val="4472C4" w:themeColor="accent5"/>
        </w:rPr>
      </w:pPr>
      <w:r w:rsidRPr="00E01A8E">
        <w:t>Listing was requested on a cost-minimisation basis compared</w:t>
      </w:r>
      <w:r w:rsidR="000C46A9" w:rsidRPr="00E01A8E">
        <w:t xml:space="preserve"> to sitagliptin</w:t>
      </w:r>
      <w:r w:rsidR="0080222B" w:rsidRPr="00E01A8E">
        <w:t xml:space="preserve">, </w:t>
      </w:r>
      <w:r w:rsidR="00FE60D1" w:rsidRPr="00E01A8E">
        <w:t>linagliptin</w:t>
      </w:r>
      <w:r w:rsidR="000C46A9" w:rsidRPr="00E01A8E">
        <w:t xml:space="preserve">, </w:t>
      </w:r>
      <w:r w:rsidRPr="00E01A8E">
        <w:t>dapagliflozin and empagliflozin.</w:t>
      </w:r>
      <w:r w:rsidR="004C49B5" w:rsidRPr="00E01A8E">
        <w:t xml:space="preserve"> </w:t>
      </w:r>
    </w:p>
    <w:p w:rsidR="00AE513E" w:rsidRPr="00E01A8E" w:rsidRDefault="00707FC3" w:rsidP="00B8794E">
      <w:pPr>
        <w:keepNext/>
        <w:spacing w:before="0" w:after="60"/>
        <w:jc w:val="both"/>
        <w:rPr>
          <w:b/>
        </w:rPr>
      </w:pPr>
      <w:r w:rsidRPr="00E01A8E">
        <w:rPr>
          <w:rFonts w:ascii="Arial Narrow" w:hAnsi="Arial Narrow"/>
          <w:b/>
          <w:sz w:val="20"/>
        </w:rPr>
        <w:t xml:space="preserve">Table </w:t>
      </w:r>
      <w:r w:rsidR="007A221E" w:rsidRPr="00E01A8E">
        <w:rPr>
          <w:rFonts w:ascii="Arial Narrow" w:hAnsi="Arial Narrow"/>
          <w:b/>
          <w:sz w:val="20"/>
        </w:rPr>
        <w:t>1</w:t>
      </w:r>
      <w:r w:rsidR="00AE513E" w:rsidRPr="00E01A8E">
        <w:rPr>
          <w:rFonts w:ascii="Arial Narrow" w:hAnsi="Arial Narrow"/>
          <w:b/>
          <w:sz w:val="20"/>
        </w:rPr>
        <w:t>: Key components of the clinical issue addressed by the submission</w:t>
      </w:r>
      <w:r w:rsidR="00AE513E" w:rsidRPr="00E01A8E">
        <w:rPr>
          <w:b/>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
      </w:tblPr>
      <w:tblGrid>
        <w:gridCol w:w="1146"/>
        <w:gridCol w:w="8096"/>
      </w:tblGrid>
      <w:tr w:rsidR="00B92024" w:rsidRPr="00E01A8E" w:rsidTr="002756FA">
        <w:trPr>
          <w:cnfStyle w:val="100000000000" w:firstRow="1" w:lastRow="0" w:firstColumn="0" w:lastColumn="0" w:oddVBand="0" w:evenVBand="0" w:oddHBand="0" w:evenHBand="0" w:firstRowFirstColumn="0" w:firstRowLastColumn="0" w:lastRowFirstColumn="0" w:lastRowLastColumn="0"/>
          <w:cantSplit/>
          <w:tblHeader/>
        </w:trPr>
        <w:tc>
          <w:tcPr>
            <w:tcW w:w="0" w:type="auto"/>
            <w:shd w:val="clear" w:color="auto" w:fill="auto"/>
          </w:tcPr>
          <w:p w:rsidR="00B92024" w:rsidRPr="00E01A8E" w:rsidRDefault="00B92024" w:rsidP="00914940">
            <w:pPr>
              <w:pStyle w:val="TableText"/>
              <w:jc w:val="both"/>
              <w:rPr>
                <w:szCs w:val="20"/>
              </w:rPr>
            </w:pPr>
            <w:r w:rsidRPr="00E01A8E">
              <w:t>Component</w:t>
            </w:r>
          </w:p>
        </w:tc>
        <w:tc>
          <w:tcPr>
            <w:tcW w:w="0" w:type="auto"/>
            <w:shd w:val="clear" w:color="auto" w:fill="auto"/>
          </w:tcPr>
          <w:p w:rsidR="00B92024" w:rsidRPr="00E01A8E" w:rsidRDefault="00B92024" w:rsidP="00914940">
            <w:pPr>
              <w:pStyle w:val="TableText"/>
              <w:jc w:val="both"/>
            </w:pPr>
            <w:r w:rsidRPr="00E01A8E">
              <w:t>Description</w:t>
            </w:r>
          </w:p>
        </w:tc>
      </w:tr>
      <w:tr w:rsidR="00B92024" w:rsidRPr="00E01A8E" w:rsidTr="002756FA">
        <w:trPr>
          <w:cantSplit/>
        </w:trPr>
        <w:tc>
          <w:tcPr>
            <w:tcW w:w="0" w:type="auto"/>
            <w:shd w:val="clear" w:color="auto" w:fill="auto"/>
          </w:tcPr>
          <w:p w:rsidR="00B92024" w:rsidRPr="00E01A8E" w:rsidRDefault="00B92024" w:rsidP="00914940">
            <w:pPr>
              <w:pStyle w:val="TableText"/>
              <w:jc w:val="both"/>
            </w:pPr>
            <w:r w:rsidRPr="00E01A8E">
              <w:t>Population</w:t>
            </w:r>
          </w:p>
        </w:tc>
        <w:tc>
          <w:tcPr>
            <w:tcW w:w="0" w:type="auto"/>
            <w:shd w:val="clear" w:color="auto" w:fill="auto"/>
          </w:tcPr>
          <w:p w:rsidR="00B92024" w:rsidRPr="00E01A8E" w:rsidRDefault="00B92024" w:rsidP="00914940">
            <w:pPr>
              <w:pStyle w:val="TableText"/>
              <w:jc w:val="both"/>
            </w:pPr>
            <w:r w:rsidRPr="00E01A8E">
              <w:rPr>
                <w:lang w:val="en-AU"/>
              </w:rPr>
              <w:t>Patients with type 2 diabetes using insulin therapy</w:t>
            </w:r>
          </w:p>
        </w:tc>
      </w:tr>
      <w:tr w:rsidR="00B92024" w:rsidRPr="00E01A8E" w:rsidTr="002756FA">
        <w:trPr>
          <w:cantSplit/>
        </w:trPr>
        <w:tc>
          <w:tcPr>
            <w:tcW w:w="0" w:type="auto"/>
            <w:shd w:val="clear" w:color="auto" w:fill="auto"/>
          </w:tcPr>
          <w:p w:rsidR="00B92024" w:rsidRPr="00E01A8E" w:rsidRDefault="00B92024" w:rsidP="00914940">
            <w:pPr>
              <w:pStyle w:val="TableText"/>
              <w:widowControl w:val="0"/>
              <w:jc w:val="both"/>
            </w:pPr>
            <w:r w:rsidRPr="00E01A8E">
              <w:t>Intervention</w:t>
            </w:r>
          </w:p>
        </w:tc>
        <w:tc>
          <w:tcPr>
            <w:tcW w:w="0" w:type="auto"/>
            <w:shd w:val="clear" w:color="auto" w:fill="auto"/>
          </w:tcPr>
          <w:p w:rsidR="00B92024" w:rsidRPr="00E01A8E" w:rsidRDefault="005751A6" w:rsidP="00914940">
            <w:pPr>
              <w:keepNext/>
              <w:widowControl w:val="0"/>
              <w:spacing w:before="40" w:after="40"/>
              <w:jc w:val="both"/>
              <w:rPr>
                <w:rFonts w:ascii="Arial Narrow" w:hAnsi="Arial Narrow"/>
                <w:sz w:val="20"/>
              </w:rPr>
            </w:pPr>
            <w:r w:rsidRPr="00E01A8E">
              <w:rPr>
                <w:rFonts w:ascii="Arial Narrow" w:hAnsi="Arial Narrow"/>
                <w:sz w:val="20"/>
              </w:rPr>
              <w:t>Vildagliptin</w:t>
            </w:r>
            <w:r w:rsidR="00B92024" w:rsidRPr="00E01A8E">
              <w:rPr>
                <w:rFonts w:ascii="Arial Narrow" w:hAnsi="Arial Narrow"/>
                <w:sz w:val="20"/>
              </w:rPr>
              <w:t xml:space="preserve">, 50mg, tablet </w:t>
            </w:r>
            <w:r w:rsidR="00307277" w:rsidRPr="00E01A8E">
              <w:rPr>
                <w:rFonts w:ascii="Arial Narrow" w:hAnsi="Arial Narrow"/>
                <w:sz w:val="20"/>
              </w:rPr>
              <w:t>qd (</w:t>
            </w:r>
            <w:r w:rsidR="00B92024" w:rsidRPr="00E01A8E">
              <w:rPr>
                <w:rFonts w:ascii="Arial Narrow" w:hAnsi="Arial Narrow"/>
                <w:sz w:val="20"/>
              </w:rPr>
              <w:t>once daily</w:t>
            </w:r>
            <w:r w:rsidR="00307277" w:rsidRPr="00E01A8E">
              <w:rPr>
                <w:rFonts w:ascii="Arial Narrow" w:hAnsi="Arial Narrow"/>
                <w:sz w:val="20"/>
              </w:rPr>
              <w:t>)</w:t>
            </w:r>
            <w:r w:rsidR="00B92024" w:rsidRPr="00E01A8E">
              <w:rPr>
                <w:rFonts w:ascii="Arial Narrow" w:hAnsi="Arial Narrow"/>
                <w:sz w:val="20"/>
              </w:rPr>
              <w:t xml:space="preserve"> or 100 mg (50 mg </w:t>
            </w:r>
            <w:r w:rsidR="00564261" w:rsidRPr="00E01A8E">
              <w:rPr>
                <w:rFonts w:ascii="Arial Narrow" w:hAnsi="Arial Narrow"/>
                <w:sz w:val="20"/>
              </w:rPr>
              <w:t>bid (</w:t>
            </w:r>
            <w:r w:rsidR="00307277" w:rsidRPr="00E01A8E">
              <w:rPr>
                <w:rFonts w:ascii="Arial Narrow" w:hAnsi="Arial Narrow"/>
                <w:sz w:val="20"/>
              </w:rPr>
              <w:t>twice</w:t>
            </w:r>
            <w:r w:rsidR="00B92024" w:rsidRPr="00E01A8E">
              <w:rPr>
                <w:rFonts w:ascii="Arial Narrow" w:hAnsi="Arial Narrow"/>
                <w:sz w:val="20"/>
              </w:rPr>
              <w:t xml:space="preserve"> daily</w:t>
            </w:r>
            <w:r w:rsidR="00307277" w:rsidRPr="00E01A8E">
              <w:rPr>
                <w:rFonts w:ascii="Arial Narrow" w:hAnsi="Arial Narrow"/>
                <w:sz w:val="20"/>
              </w:rPr>
              <w:t>))</w:t>
            </w:r>
          </w:p>
          <w:p w:rsidR="00B92024" w:rsidRPr="00E01A8E" w:rsidRDefault="00B92024" w:rsidP="00914940">
            <w:pPr>
              <w:keepNext/>
              <w:widowControl w:val="0"/>
              <w:spacing w:before="40" w:after="40"/>
              <w:jc w:val="both"/>
              <w:rPr>
                <w:rFonts w:ascii="Arial Narrow" w:hAnsi="Arial Narrow"/>
                <w:sz w:val="20"/>
              </w:rPr>
            </w:pPr>
            <w:r w:rsidRPr="00E01A8E">
              <w:rPr>
                <w:rFonts w:ascii="Arial Narrow" w:hAnsi="Arial Narrow"/>
                <w:sz w:val="20"/>
              </w:rPr>
              <w:t>Vildagliptin 50mg + metformin hydrochloride 500mg FDC tablet</w:t>
            </w:r>
            <w:r w:rsidR="00337FD3" w:rsidRPr="00E01A8E">
              <w:rPr>
                <w:rFonts w:ascii="Arial Narrow" w:hAnsi="Arial Narrow"/>
                <w:sz w:val="20"/>
              </w:rPr>
              <w:t xml:space="preserve"> </w:t>
            </w:r>
            <w:r w:rsidR="00564261" w:rsidRPr="00E01A8E">
              <w:rPr>
                <w:rFonts w:ascii="Arial Narrow" w:hAnsi="Arial Narrow"/>
                <w:sz w:val="20"/>
              </w:rPr>
              <w:t>bid</w:t>
            </w:r>
            <w:r w:rsidR="00337FD3" w:rsidRPr="00E01A8E">
              <w:rPr>
                <w:rFonts w:ascii="Arial Narrow" w:hAnsi="Arial Narrow"/>
                <w:sz w:val="20"/>
              </w:rPr>
              <w:t xml:space="preserve"> </w:t>
            </w:r>
          </w:p>
          <w:p w:rsidR="00B92024" w:rsidRPr="00E01A8E" w:rsidRDefault="00B92024" w:rsidP="00914940">
            <w:pPr>
              <w:keepNext/>
              <w:widowControl w:val="0"/>
              <w:spacing w:before="40" w:after="40"/>
              <w:jc w:val="both"/>
              <w:rPr>
                <w:rFonts w:ascii="Arial Narrow" w:hAnsi="Arial Narrow"/>
                <w:sz w:val="20"/>
              </w:rPr>
            </w:pPr>
            <w:r w:rsidRPr="00E01A8E">
              <w:rPr>
                <w:rFonts w:ascii="Arial Narrow" w:hAnsi="Arial Narrow"/>
                <w:sz w:val="20"/>
              </w:rPr>
              <w:t>Vildagliptin 50mg + metformin hydrochloride 850mg FDC tablet</w:t>
            </w:r>
            <w:r w:rsidR="00337FD3" w:rsidRPr="00E01A8E">
              <w:rPr>
                <w:rFonts w:ascii="Arial Narrow" w:hAnsi="Arial Narrow"/>
                <w:sz w:val="20"/>
              </w:rPr>
              <w:t xml:space="preserve"> </w:t>
            </w:r>
            <w:r w:rsidR="00564261" w:rsidRPr="00E01A8E">
              <w:rPr>
                <w:rFonts w:ascii="Arial Narrow" w:hAnsi="Arial Narrow"/>
                <w:sz w:val="20"/>
              </w:rPr>
              <w:t>bid</w:t>
            </w:r>
          </w:p>
          <w:p w:rsidR="00B92024" w:rsidRPr="00E01A8E" w:rsidRDefault="00B92024" w:rsidP="00914940">
            <w:pPr>
              <w:pStyle w:val="TableText"/>
              <w:widowControl w:val="0"/>
              <w:jc w:val="both"/>
            </w:pPr>
            <w:r w:rsidRPr="00E01A8E">
              <w:t>Vildagliptin 50mg + metformin hydrochloride 1000mg FDC tablet</w:t>
            </w:r>
            <w:r w:rsidR="00337FD3" w:rsidRPr="00E01A8E">
              <w:t xml:space="preserve"> </w:t>
            </w:r>
            <w:r w:rsidR="00564261" w:rsidRPr="00E01A8E">
              <w:t>bid</w:t>
            </w:r>
          </w:p>
        </w:tc>
      </w:tr>
      <w:tr w:rsidR="00B92024" w:rsidRPr="00E01A8E" w:rsidTr="002756FA">
        <w:trPr>
          <w:cantSplit/>
        </w:trPr>
        <w:tc>
          <w:tcPr>
            <w:tcW w:w="0" w:type="auto"/>
            <w:shd w:val="clear" w:color="auto" w:fill="auto"/>
          </w:tcPr>
          <w:p w:rsidR="00B92024" w:rsidRPr="00E01A8E" w:rsidRDefault="00B92024" w:rsidP="00914940">
            <w:pPr>
              <w:pStyle w:val="TableText"/>
              <w:widowControl w:val="0"/>
              <w:jc w:val="both"/>
            </w:pPr>
            <w:r w:rsidRPr="00E01A8E">
              <w:t>Comparator</w:t>
            </w:r>
          </w:p>
        </w:tc>
        <w:tc>
          <w:tcPr>
            <w:tcW w:w="0" w:type="auto"/>
            <w:shd w:val="clear" w:color="auto" w:fill="auto"/>
          </w:tcPr>
          <w:p w:rsidR="00B92024" w:rsidRPr="00E01A8E" w:rsidRDefault="00B92024" w:rsidP="00914940">
            <w:pPr>
              <w:pStyle w:val="TableText"/>
              <w:widowControl w:val="0"/>
              <w:jc w:val="both"/>
              <w:rPr>
                <w:lang w:val="en-AU"/>
              </w:rPr>
            </w:pPr>
            <w:r w:rsidRPr="00E01A8E">
              <w:rPr>
                <w:lang w:val="en-AU"/>
              </w:rPr>
              <w:t xml:space="preserve">Main comparators: </w:t>
            </w:r>
            <w:r w:rsidR="00836A0F" w:rsidRPr="00E01A8E">
              <w:rPr>
                <w:lang w:val="en-AU"/>
              </w:rPr>
              <w:t>l</w:t>
            </w:r>
            <w:r w:rsidRPr="00E01A8E">
              <w:rPr>
                <w:lang w:val="en-AU"/>
              </w:rPr>
              <w:t>inagliptin 5mg/day and sitagliptin 100mg/day</w:t>
            </w:r>
          </w:p>
          <w:p w:rsidR="00B92024" w:rsidRPr="00E01A8E" w:rsidRDefault="00B92024" w:rsidP="00914940">
            <w:pPr>
              <w:pStyle w:val="TableText"/>
              <w:widowControl w:val="0"/>
              <w:jc w:val="both"/>
            </w:pPr>
            <w:r w:rsidRPr="00E01A8E">
              <w:rPr>
                <w:lang w:val="en-AU"/>
              </w:rPr>
              <w:t xml:space="preserve">Secondary comparators: </w:t>
            </w:r>
            <w:r w:rsidR="00836A0F" w:rsidRPr="00E01A8E">
              <w:rPr>
                <w:lang w:val="en-AU"/>
              </w:rPr>
              <w:t>d</w:t>
            </w:r>
            <w:r w:rsidRPr="00E01A8E">
              <w:rPr>
                <w:lang w:val="en-AU"/>
              </w:rPr>
              <w:t>apagliflozin 10mg/day and empagliflozin 25mg/day</w:t>
            </w:r>
          </w:p>
        </w:tc>
      </w:tr>
      <w:tr w:rsidR="00B92024" w:rsidRPr="00E01A8E" w:rsidTr="002756FA">
        <w:trPr>
          <w:cantSplit/>
        </w:trPr>
        <w:tc>
          <w:tcPr>
            <w:tcW w:w="0" w:type="auto"/>
            <w:shd w:val="clear" w:color="auto" w:fill="auto"/>
          </w:tcPr>
          <w:p w:rsidR="00B92024" w:rsidRPr="00E01A8E" w:rsidRDefault="00B92024" w:rsidP="00914940">
            <w:pPr>
              <w:pStyle w:val="TableText"/>
              <w:widowControl w:val="0"/>
              <w:jc w:val="both"/>
            </w:pPr>
            <w:r w:rsidRPr="00E01A8E">
              <w:t>Outcomes</w:t>
            </w:r>
          </w:p>
        </w:tc>
        <w:tc>
          <w:tcPr>
            <w:tcW w:w="0" w:type="auto"/>
            <w:shd w:val="clear" w:color="auto" w:fill="auto"/>
          </w:tcPr>
          <w:p w:rsidR="00B92024" w:rsidRPr="00E01A8E" w:rsidRDefault="00B92024" w:rsidP="00914940">
            <w:pPr>
              <w:pStyle w:val="TableText"/>
              <w:widowControl w:val="0"/>
              <w:jc w:val="both"/>
            </w:pPr>
            <w:r w:rsidRPr="00E01A8E">
              <w:rPr>
                <w:lang w:val="en-AU"/>
              </w:rPr>
              <w:t>Mean change in HbA1c from baseline and overall safety outcomes</w:t>
            </w:r>
          </w:p>
        </w:tc>
      </w:tr>
      <w:tr w:rsidR="00B92024" w:rsidRPr="00E01A8E" w:rsidTr="002756FA">
        <w:trPr>
          <w:cantSplit/>
        </w:trPr>
        <w:tc>
          <w:tcPr>
            <w:tcW w:w="0" w:type="auto"/>
            <w:shd w:val="clear" w:color="auto" w:fill="auto"/>
          </w:tcPr>
          <w:p w:rsidR="00B92024" w:rsidRPr="00E01A8E" w:rsidRDefault="00B92024" w:rsidP="00914940">
            <w:pPr>
              <w:pStyle w:val="TableText"/>
              <w:widowControl w:val="0"/>
              <w:jc w:val="both"/>
            </w:pPr>
            <w:r w:rsidRPr="00E01A8E">
              <w:t>Clinical claim</w:t>
            </w:r>
          </w:p>
        </w:tc>
        <w:tc>
          <w:tcPr>
            <w:tcW w:w="0" w:type="auto"/>
            <w:shd w:val="clear" w:color="auto" w:fill="auto"/>
          </w:tcPr>
          <w:p w:rsidR="00B92024" w:rsidRPr="00E01A8E" w:rsidRDefault="00B92024" w:rsidP="00914940">
            <w:pPr>
              <w:pStyle w:val="TableText"/>
              <w:widowControl w:val="0"/>
              <w:jc w:val="both"/>
            </w:pPr>
            <w:r w:rsidRPr="00E01A8E">
              <w:rPr>
                <w:lang w:val="en-AU"/>
              </w:rPr>
              <w:t>In adult patients with type 2 diabetes mellitus, vildagliptin is non-inferior in terms of comparative effectiveness and safety to linagliptin, sitagliptin, dapagliflozin and empagliflozin, in combination with insulin therapy, at improving blood glucose levels.</w:t>
            </w:r>
          </w:p>
        </w:tc>
      </w:tr>
    </w:tbl>
    <w:p w:rsidR="00D32572" w:rsidRPr="00E01A8E" w:rsidRDefault="00C37478" w:rsidP="00D32572">
      <w:pPr>
        <w:spacing w:before="0"/>
        <w:jc w:val="both"/>
        <w:rPr>
          <w:rFonts w:ascii="Arial Narrow" w:eastAsia="Times New Roman" w:hAnsi="Arial Narrow" w:cs="Arial"/>
          <w:snapToGrid w:val="0"/>
          <w:sz w:val="18"/>
          <w:szCs w:val="20"/>
        </w:rPr>
      </w:pPr>
      <w:r w:rsidRPr="00E01A8E">
        <w:rPr>
          <w:rFonts w:ascii="Arial Narrow" w:eastAsia="Times New Roman" w:hAnsi="Arial Narrow" w:cs="Arial"/>
          <w:snapToGrid w:val="0"/>
          <w:sz w:val="18"/>
          <w:szCs w:val="20"/>
        </w:rPr>
        <w:t>Abbreviation: bid- twice daily; qd- once per day</w:t>
      </w:r>
      <w:r w:rsidR="00B97B84" w:rsidRPr="00E01A8E">
        <w:rPr>
          <w:rFonts w:ascii="Arial Narrow" w:eastAsia="Times New Roman" w:hAnsi="Arial Narrow" w:cs="Arial"/>
          <w:snapToGrid w:val="0"/>
          <w:sz w:val="18"/>
          <w:szCs w:val="20"/>
        </w:rPr>
        <w:t>, HbA1c – haemoglobin A1c</w:t>
      </w:r>
      <w:r w:rsidRPr="00E01A8E">
        <w:rPr>
          <w:rFonts w:ascii="Arial Narrow" w:eastAsia="Times New Roman" w:hAnsi="Arial Narrow" w:cs="Arial"/>
          <w:snapToGrid w:val="0"/>
          <w:sz w:val="18"/>
          <w:szCs w:val="20"/>
        </w:rPr>
        <w:t xml:space="preserve">. </w:t>
      </w:r>
      <w:r w:rsidR="00CC3FC5" w:rsidRPr="00E01A8E">
        <w:rPr>
          <w:rFonts w:ascii="Arial Narrow" w:eastAsia="Times New Roman" w:hAnsi="Arial Narrow" w:cs="Arial"/>
          <w:snapToGrid w:val="0"/>
          <w:sz w:val="18"/>
          <w:szCs w:val="20"/>
        </w:rPr>
        <w:t>Source: Table 1.1, p2 of the submission, Section 1.1.3, p4 of the submission</w:t>
      </w:r>
    </w:p>
    <w:p w:rsidR="0000760E" w:rsidRPr="00674CEA" w:rsidRDefault="00C317F3" w:rsidP="00674CEA">
      <w:pPr>
        <w:pStyle w:val="Heading1"/>
        <w:ind w:left="709" w:hanging="709"/>
        <w:jc w:val="both"/>
      </w:pPr>
      <w:bookmarkStart w:id="3" w:name="_Toc413139272"/>
      <w:bookmarkStart w:id="4" w:name="_Toc493069862"/>
      <w:r w:rsidRPr="002C165E">
        <w:t>Requested listing</w:t>
      </w:r>
      <w:bookmarkEnd w:id="3"/>
      <w:bookmarkEnd w:id="4"/>
      <w:r w:rsidR="005C6285" w:rsidRPr="002C165E">
        <w:t xml:space="preserve"> </w:t>
      </w:r>
    </w:p>
    <w:p w:rsidR="00674CEA" w:rsidRPr="00674CEA" w:rsidRDefault="00674CEA" w:rsidP="00674CEA">
      <w:pPr>
        <w:pStyle w:val="ListParagraph"/>
        <w:numPr>
          <w:ilvl w:val="0"/>
          <w:numId w:val="3"/>
        </w:numPr>
        <w:spacing w:before="200" w:after="120"/>
        <w:rPr>
          <w:rFonts w:ascii="Arial" w:eastAsia="Times New Roman" w:hAnsi="Arial" w:cs="Arial"/>
          <w:b/>
          <w:snapToGrid w:val="0"/>
          <w:vanish/>
          <w:sz w:val="22"/>
        </w:rPr>
      </w:pPr>
    </w:p>
    <w:p w:rsidR="00C317F3" w:rsidRPr="00E01A8E" w:rsidRDefault="009F5D32" w:rsidP="00674CEA">
      <w:pPr>
        <w:pStyle w:val="ListParagraph"/>
        <w:numPr>
          <w:ilvl w:val="1"/>
          <w:numId w:val="3"/>
        </w:numPr>
      </w:pPr>
      <w:r w:rsidRPr="00E01A8E">
        <w:t xml:space="preserve">The submission sought Authority Required (STREAMLINED) listing </w:t>
      </w:r>
      <w:r w:rsidR="0060314A" w:rsidRPr="00E01A8E">
        <w:t>fo</w:t>
      </w:r>
      <w:r w:rsidR="00564261" w:rsidRPr="00E01A8E">
        <w:t xml:space="preserve">r vildagliptin and vildagliptin </w:t>
      </w:r>
      <w:r w:rsidR="00050C8D">
        <w:t>with</w:t>
      </w:r>
      <w:r w:rsidR="00564261" w:rsidRPr="00E01A8E">
        <w:t xml:space="preserve"> </w:t>
      </w:r>
      <w:r w:rsidR="0060314A" w:rsidRPr="00E01A8E">
        <w:t xml:space="preserve">metformin FDC </w:t>
      </w:r>
      <w:r w:rsidRPr="00E01A8E">
        <w:t>with restrictions similar to those</w:t>
      </w:r>
      <w:r w:rsidR="0060314A" w:rsidRPr="00E01A8E">
        <w:t xml:space="preserve"> of its </w:t>
      </w:r>
      <w:r w:rsidR="00B14C90" w:rsidRPr="00E01A8E">
        <w:t xml:space="preserve">main </w:t>
      </w:r>
      <w:r w:rsidR="0060314A" w:rsidRPr="00E01A8E">
        <w:t>comparators, sitagliptin and linagliptin, when used in combination with insulin.</w:t>
      </w:r>
    </w:p>
    <w:p w:rsidR="00337FD3" w:rsidRDefault="00337FD3" w:rsidP="00962D9F">
      <w:pPr>
        <w:pStyle w:val="ListParagraph"/>
        <w:numPr>
          <w:ilvl w:val="1"/>
          <w:numId w:val="3"/>
        </w:numPr>
        <w:spacing w:before="0" w:after="120"/>
        <w:jc w:val="both"/>
      </w:pPr>
      <w:r w:rsidRPr="00E01A8E">
        <w:lastRenderedPageBreak/>
        <w:t>The requested restriction is consistent with the TGA indication</w:t>
      </w:r>
      <w:r w:rsidR="0000760E" w:rsidRPr="00E01A8E">
        <w:t>s</w:t>
      </w:r>
      <w:r w:rsidRPr="00E01A8E">
        <w:t xml:space="preserve"> and PBS restriction</w:t>
      </w:r>
      <w:r w:rsidR="0000760E" w:rsidRPr="00E01A8E">
        <w:t>s</w:t>
      </w:r>
      <w:r w:rsidRPr="00E01A8E">
        <w:t xml:space="preserve"> for vildagliptin, vildagliptin </w:t>
      </w:r>
      <w:r w:rsidR="00050C8D">
        <w:t>with</w:t>
      </w:r>
      <w:r w:rsidRPr="00E01A8E">
        <w:t xml:space="preserve"> metformin FDC and its comparators.</w:t>
      </w:r>
    </w:p>
    <w:p w:rsidR="002E6D81" w:rsidRPr="00E01A8E" w:rsidRDefault="00AE3999" w:rsidP="002E6D81">
      <w:pPr>
        <w:pStyle w:val="ListParagraph"/>
        <w:numPr>
          <w:ilvl w:val="1"/>
          <w:numId w:val="3"/>
        </w:numPr>
        <w:spacing w:before="0" w:after="120"/>
        <w:jc w:val="both"/>
        <w:rPr>
          <w:color w:val="4472C4" w:themeColor="accent5"/>
        </w:rPr>
      </w:pPr>
      <w:r>
        <w:t>In the Pre-Subcommittee Response</w:t>
      </w:r>
      <w:r w:rsidR="00E2467F">
        <w:t xml:space="preserve"> </w:t>
      </w:r>
      <w:r w:rsidR="00E077FD">
        <w:t>(PSCR, p</w:t>
      </w:r>
      <w:r w:rsidR="00E2467F">
        <w:t xml:space="preserve">1) </w:t>
      </w:r>
      <w:r>
        <w:t xml:space="preserve">the sponsor </w:t>
      </w:r>
      <w:r w:rsidR="002E6D81">
        <w:t xml:space="preserve">acknowledged </w:t>
      </w:r>
      <w:r w:rsidR="007C0C66">
        <w:t xml:space="preserve">and accepted </w:t>
      </w:r>
      <w:r w:rsidR="00AB1054">
        <w:t>the listing</w:t>
      </w:r>
      <w:r w:rsidR="007C0C66">
        <w:t xml:space="preserve"> </w:t>
      </w:r>
      <w:r w:rsidR="00373A96">
        <w:t xml:space="preserve">should </w:t>
      </w:r>
      <w:r w:rsidR="00AB1054">
        <w:t>be consistent</w:t>
      </w:r>
      <w:r w:rsidR="007C0C66">
        <w:t xml:space="preserve"> with other PBS-listed dipeptidyl peptidase 4 (DPP4) inhibitors when used in combination with insulin and to clarify prescriber instructions</w:t>
      </w:r>
      <w:r>
        <w:t>.</w:t>
      </w:r>
      <w:r w:rsidR="002E6D81">
        <w:t xml:space="preserve"> </w:t>
      </w:r>
    </w:p>
    <w:p w:rsidR="00C43ECD" w:rsidRPr="00771B63" w:rsidRDefault="00C43ECD" w:rsidP="00C43ECD">
      <w:pPr>
        <w:pStyle w:val="PBACHeading1"/>
        <w:numPr>
          <w:ilvl w:val="0"/>
          <w:numId w:val="0"/>
        </w:numPr>
        <w:rPr>
          <w:rFonts w:asciiTheme="minorHAnsi" w:hAnsiTheme="minorHAnsi"/>
          <w:b w:val="0"/>
          <w:i/>
          <w:sz w:val="24"/>
          <w:szCs w:val="24"/>
        </w:rPr>
      </w:pPr>
      <w:r w:rsidRPr="00771B63">
        <w:rPr>
          <w:rFonts w:asciiTheme="minorHAnsi" w:hAnsiTheme="minorHAnsi"/>
          <w:b w:val="0"/>
          <w:i/>
          <w:sz w:val="24"/>
          <w:szCs w:val="24"/>
        </w:rPr>
        <w:t>For more detail on PBAC’s view, see section 7 PBAC outcome.</w:t>
      </w:r>
    </w:p>
    <w:p w:rsidR="00C317F3" w:rsidRPr="00E01A8E" w:rsidRDefault="00C317F3" w:rsidP="00466705">
      <w:pPr>
        <w:pStyle w:val="Heading1"/>
        <w:ind w:left="709" w:hanging="709"/>
        <w:jc w:val="both"/>
      </w:pPr>
      <w:bookmarkStart w:id="5" w:name="_Toc413139273"/>
      <w:bookmarkStart w:id="6" w:name="_Toc493069863"/>
      <w:r w:rsidRPr="00E01A8E">
        <w:t>Background</w:t>
      </w:r>
      <w:bookmarkEnd w:id="5"/>
      <w:bookmarkEnd w:id="6"/>
    </w:p>
    <w:p w:rsidR="0017638E" w:rsidRPr="00E01A8E" w:rsidRDefault="0017638E" w:rsidP="00466705">
      <w:pPr>
        <w:pStyle w:val="Heading2"/>
        <w:numPr>
          <w:ilvl w:val="0"/>
          <w:numId w:val="0"/>
        </w:numPr>
        <w:ind w:left="792" w:hanging="792"/>
        <w:jc w:val="both"/>
        <w:rPr>
          <w:i w:val="0"/>
        </w:rPr>
      </w:pPr>
      <w:bookmarkStart w:id="7" w:name="_Toc493069864"/>
      <w:r w:rsidRPr="00E01A8E">
        <w:rPr>
          <w:i w:val="0"/>
        </w:rPr>
        <w:t>Registration status</w:t>
      </w:r>
      <w:bookmarkEnd w:id="7"/>
    </w:p>
    <w:p w:rsidR="0017638E" w:rsidRPr="00E01A8E" w:rsidRDefault="0017638E" w:rsidP="00466705">
      <w:pPr>
        <w:pStyle w:val="ListParagraph"/>
        <w:numPr>
          <w:ilvl w:val="0"/>
          <w:numId w:val="3"/>
        </w:numPr>
        <w:spacing w:before="200" w:after="120"/>
        <w:jc w:val="both"/>
        <w:rPr>
          <w:rFonts w:ascii="Arial" w:eastAsia="Times New Roman" w:hAnsi="Arial" w:cs="Arial"/>
          <w:b/>
          <w:snapToGrid w:val="0"/>
          <w:vanish/>
          <w:sz w:val="22"/>
        </w:rPr>
      </w:pPr>
    </w:p>
    <w:p w:rsidR="009F0ECC" w:rsidRPr="00E01A8E" w:rsidRDefault="00C317F3" w:rsidP="00962D9F">
      <w:pPr>
        <w:pStyle w:val="ListParagraph"/>
        <w:numPr>
          <w:ilvl w:val="1"/>
          <w:numId w:val="3"/>
        </w:numPr>
        <w:spacing w:before="0" w:after="120"/>
        <w:jc w:val="both"/>
      </w:pPr>
      <w:r w:rsidRPr="00FA4FAB">
        <w:t>TGA status</w:t>
      </w:r>
      <w:r w:rsidR="00AE3999" w:rsidRPr="00FA4FAB">
        <w:t xml:space="preserve"> at time of PBAC consideration</w:t>
      </w:r>
      <w:r w:rsidRPr="00FA4FAB">
        <w:t>:</w:t>
      </w:r>
      <w:r w:rsidRPr="00E01A8E">
        <w:t xml:space="preserve"> </w:t>
      </w:r>
      <w:r w:rsidR="009059E0" w:rsidRPr="00E01A8E">
        <w:t>Vildagliptin was approved</w:t>
      </w:r>
      <w:r w:rsidR="009F0ECC" w:rsidRPr="00E01A8E">
        <w:t>, on 19 November 2013,</w:t>
      </w:r>
      <w:r w:rsidR="009059E0" w:rsidRPr="00E01A8E">
        <w:t xml:space="preserve"> for use in the treatment of </w:t>
      </w:r>
      <w:r w:rsidR="009B01E7" w:rsidRPr="00E01A8E">
        <w:t>T2DM</w:t>
      </w:r>
      <w:r w:rsidR="009059E0" w:rsidRPr="00E01A8E">
        <w:t xml:space="preserve"> in persons 18 years of age and older, as an adju</w:t>
      </w:r>
      <w:r w:rsidR="00C20D42" w:rsidRPr="00E01A8E">
        <w:t>nct to diet and exercise to impr</w:t>
      </w:r>
      <w:r w:rsidR="009059E0" w:rsidRPr="00E01A8E">
        <w:t>ove glycaemic control</w:t>
      </w:r>
      <w:r w:rsidR="009F0ECC" w:rsidRPr="00E01A8E">
        <w:t>:</w:t>
      </w:r>
      <w:r w:rsidR="001D0CC4" w:rsidRPr="00E01A8E">
        <w:t xml:space="preserve"> in combination with insulin (with or without metformin) when diet, exercise and a stable dose of insulin </w:t>
      </w:r>
      <w:r w:rsidR="00DA7DFD" w:rsidRPr="00E01A8E">
        <w:t xml:space="preserve">alone </w:t>
      </w:r>
      <w:r w:rsidR="001D0CC4" w:rsidRPr="00E01A8E">
        <w:t>do not result in adequate glycaemic control</w:t>
      </w:r>
      <w:r w:rsidR="00ED4A58" w:rsidRPr="00E01A8E">
        <w:t xml:space="preserve">. Vildagliptin </w:t>
      </w:r>
      <w:r w:rsidR="00050C8D">
        <w:t>with</w:t>
      </w:r>
      <w:r w:rsidR="00ED4A58" w:rsidRPr="00E01A8E">
        <w:t xml:space="preserve"> </w:t>
      </w:r>
      <w:r w:rsidR="001D0CC4" w:rsidRPr="00E01A8E">
        <w:t xml:space="preserve">metformin FDC was approved on 19 November 2013, for patients with </w:t>
      </w:r>
      <w:r w:rsidR="009B01E7" w:rsidRPr="00E01A8E">
        <w:t>T2DM</w:t>
      </w:r>
      <w:r w:rsidR="001D0CC4" w:rsidRPr="00E01A8E">
        <w:t>, as an add-on to insulin as an adjunct to diet and exercise to improve glycaemic control in patients when stable dose of insulin and metformin alone do not provide adequate glycaemic control.</w:t>
      </w:r>
    </w:p>
    <w:p w:rsidR="00D84325" w:rsidRPr="00E01A8E" w:rsidRDefault="00D84325" w:rsidP="00962D9F">
      <w:pPr>
        <w:pStyle w:val="ListParagraph"/>
        <w:numPr>
          <w:ilvl w:val="1"/>
          <w:numId w:val="3"/>
        </w:numPr>
        <w:spacing w:before="0" w:after="120"/>
        <w:jc w:val="both"/>
      </w:pPr>
      <w:r w:rsidRPr="00E01A8E">
        <w:t xml:space="preserve">Vildagliptin </w:t>
      </w:r>
      <w:r w:rsidR="00ED4A58" w:rsidRPr="00E01A8E">
        <w:t xml:space="preserve">and vildagliptin </w:t>
      </w:r>
      <w:r w:rsidR="00050C8D">
        <w:t>with</w:t>
      </w:r>
      <w:r w:rsidR="00ED4A58" w:rsidRPr="00E01A8E">
        <w:t xml:space="preserve"> </w:t>
      </w:r>
      <w:r w:rsidRPr="00E01A8E">
        <w:t>metformin FDC ha</w:t>
      </w:r>
      <w:r w:rsidR="00E2467F">
        <w:t>ve</w:t>
      </w:r>
      <w:r w:rsidRPr="00E01A8E">
        <w:t xml:space="preserve"> not previously been considered by the PBAC for treatment of </w:t>
      </w:r>
      <w:r w:rsidR="00981FF0" w:rsidRPr="00E01A8E">
        <w:t>T2DM</w:t>
      </w:r>
      <w:r w:rsidRPr="00E01A8E">
        <w:t xml:space="preserve"> in combination with insulin</w:t>
      </w:r>
      <w:r w:rsidR="00983C79" w:rsidRPr="00E01A8E">
        <w:t xml:space="preserve"> with or without metformin</w:t>
      </w:r>
      <w:r w:rsidRPr="00E01A8E">
        <w:t>.</w:t>
      </w:r>
      <w:r w:rsidR="0000760E" w:rsidRPr="00E01A8E">
        <w:t xml:space="preserve">  </w:t>
      </w:r>
    </w:p>
    <w:p w:rsidR="0000760E" w:rsidRDefault="0000760E" w:rsidP="00962D9F">
      <w:pPr>
        <w:pStyle w:val="ListParagraph"/>
        <w:numPr>
          <w:ilvl w:val="1"/>
          <w:numId w:val="3"/>
        </w:numPr>
        <w:spacing w:before="0" w:after="120"/>
        <w:jc w:val="both"/>
      </w:pPr>
      <w:r w:rsidRPr="00E01A8E">
        <w:t xml:space="preserve">Vildagliptin and vildagliptin </w:t>
      </w:r>
      <w:r w:rsidR="00050C8D">
        <w:t>with</w:t>
      </w:r>
      <w:r w:rsidRPr="00E01A8E">
        <w:t xml:space="preserve"> metformin FDC are currently PBS listed for use in dual oral combination therapy (vildagliptin with metformin or a sulfonylurea) and triple oral combination therapy (vildagliptin with metformin and a sulfonylurea). </w:t>
      </w:r>
    </w:p>
    <w:p w:rsidR="00C317F3" w:rsidRPr="00E01A8E" w:rsidRDefault="00C317F3" w:rsidP="00466705">
      <w:pPr>
        <w:pStyle w:val="Heading1"/>
        <w:ind w:left="709" w:hanging="709"/>
        <w:jc w:val="both"/>
      </w:pPr>
      <w:bookmarkStart w:id="8" w:name="_Toc493069865"/>
      <w:r w:rsidRPr="00E01A8E">
        <w:t>Population and disease</w:t>
      </w:r>
      <w:bookmarkEnd w:id="8"/>
    </w:p>
    <w:p w:rsidR="002001C6" w:rsidRPr="00E01A8E" w:rsidRDefault="002001C6" w:rsidP="00B8794E">
      <w:pPr>
        <w:pStyle w:val="ListParagraph"/>
        <w:numPr>
          <w:ilvl w:val="0"/>
          <w:numId w:val="3"/>
        </w:numPr>
        <w:spacing w:before="200" w:after="120"/>
        <w:jc w:val="both"/>
        <w:rPr>
          <w:rFonts w:ascii="Arial" w:eastAsia="Times New Roman" w:hAnsi="Arial" w:cs="Arial"/>
          <w:b/>
          <w:snapToGrid w:val="0"/>
          <w:vanish/>
          <w:sz w:val="22"/>
        </w:rPr>
      </w:pPr>
    </w:p>
    <w:p w:rsidR="00D84325" w:rsidRPr="00E01A8E" w:rsidRDefault="00496D7F" w:rsidP="00962D9F">
      <w:pPr>
        <w:pStyle w:val="ListParagraph"/>
        <w:numPr>
          <w:ilvl w:val="1"/>
          <w:numId w:val="3"/>
        </w:numPr>
        <w:spacing w:before="0" w:after="120"/>
        <w:jc w:val="both"/>
      </w:pPr>
      <w:r w:rsidRPr="00E01A8E">
        <w:t>Adult</w:t>
      </w:r>
      <w:r w:rsidR="008E17D9" w:rsidRPr="00E01A8E">
        <w:t xml:space="preserve"> patients </w:t>
      </w:r>
      <w:r w:rsidRPr="00E01A8E">
        <w:t xml:space="preserve">whose </w:t>
      </w:r>
      <w:r w:rsidR="00B92024" w:rsidRPr="00E01A8E">
        <w:t>T2DM</w:t>
      </w:r>
      <w:r w:rsidRPr="00E01A8E">
        <w:t xml:space="preserve"> is not adequately controlled on insulin therapy with or without metformin.</w:t>
      </w:r>
      <w:r w:rsidR="00C06FC1" w:rsidRPr="00E01A8E">
        <w:t xml:space="preserve"> </w:t>
      </w:r>
    </w:p>
    <w:p w:rsidR="00D84325" w:rsidRPr="00E01A8E" w:rsidRDefault="008E0D95" w:rsidP="00962D9F">
      <w:pPr>
        <w:pStyle w:val="ListParagraph"/>
        <w:numPr>
          <w:ilvl w:val="1"/>
          <w:numId w:val="3"/>
        </w:numPr>
        <w:spacing w:before="0" w:after="120"/>
        <w:jc w:val="both"/>
      </w:pPr>
      <w:r w:rsidRPr="00E01A8E">
        <w:t xml:space="preserve">The </w:t>
      </w:r>
      <w:r w:rsidR="00813F54" w:rsidRPr="00E01A8E">
        <w:t xml:space="preserve">clinical management </w:t>
      </w:r>
      <w:r w:rsidRPr="00E01A8E">
        <w:t xml:space="preserve">algorithm for </w:t>
      </w:r>
      <w:r w:rsidR="00FE60D1" w:rsidRPr="00E01A8E">
        <w:t>T2DM</w:t>
      </w:r>
      <w:r w:rsidRPr="00E01A8E">
        <w:t xml:space="preserve"> patients </w:t>
      </w:r>
      <w:r w:rsidR="00813F54" w:rsidRPr="00E01A8E">
        <w:t>on third line therapy</w:t>
      </w:r>
      <w:r w:rsidR="004C49B5" w:rsidRPr="00E01A8E">
        <w:t xml:space="preserve"> </w:t>
      </w:r>
      <w:r w:rsidR="00D84325" w:rsidRPr="00E01A8E">
        <w:t>in combination with insulin include</w:t>
      </w:r>
      <w:r w:rsidR="00E720E1" w:rsidRPr="00E01A8E">
        <w:t>s</w:t>
      </w:r>
      <w:r w:rsidR="00D84325" w:rsidRPr="00E01A8E">
        <w:t xml:space="preserve"> diabetes medicines, both listed and not listed on the PBS:</w:t>
      </w:r>
    </w:p>
    <w:p w:rsidR="00C241C0" w:rsidRPr="00E01A8E" w:rsidRDefault="00CA51AB" w:rsidP="00962D9F">
      <w:pPr>
        <w:pStyle w:val="ListParagraph"/>
        <w:widowControl w:val="0"/>
        <w:numPr>
          <w:ilvl w:val="0"/>
          <w:numId w:val="6"/>
        </w:numPr>
        <w:spacing w:before="0" w:after="120"/>
        <w:ind w:left="1077" w:hanging="357"/>
        <w:contextualSpacing/>
        <w:jc w:val="both"/>
      </w:pPr>
      <w:r w:rsidRPr="00E01A8E">
        <w:t>FDCs</w:t>
      </w:r>
      <w:r w:rsidR="00C241C0" w:rsidRPr="00E01A8E">
        <w:t xml:space="preserve"> of oral diabetes medicines with metformin; and</w:t>
      </w:r>
    </w:p>
    <w:p w:rsidR="00D84325" w:rsidRPr="00E01A8E" w:rsidRDefault="00D84325" w:rsidP="00962D9F">
      <w:pPr>
        <w:pStyle w:val="ListParagraph"/>
        <w:numPr>
          <w:ilvl w:val="0"/>
          <w:numId w:val="6"/>
        </w:numPr>
        <w:spacing w:before="0" w:after="120"/>
        <w:ind w:left="1077" w:hanging="357"/>
        <w:contextualSpacing/>
        <w:jc w:val="both"/>
      </w:pPr>
      <w:r w:rsidRPr="00E01A8E">
        <w:t xml:space="preserve">Other diabetes medicines including sulfonylureas, other </w:t>
      </w:r>
      <w:r w:rsidR="009B01E7" w:rsidRPr="00E01A8E">
        <w:t>dipeptidyl peptidase-4 (</w:t>
      </w:r>
      <w:r w:rsidRPr="00E01A8E">
        <w:t>DPP-4</w:t>
      </w:r>
      <w:r w:rsidR="009B01E7" w:rsidRPr="00E01A8E">
        <w:t>)</w:t>
      </w:r>
      <w:r w:rsidRPr="00E01A8E">
        <w:t xml:space="preserve"> inhibitors, </w:t>
      </w:r>
      <w:r w:rsidR="009B01E7" w:rsidRPr="00E01A8E">
        <w:t>sodium-glucose co-transporter 2 (</w:t>
      </w:r>
      <w:r w:rsidRPr="00E01A8E">
        <w:t>SGLT2</w:t>
      </w:r>
      <w:r w:rsidR="009B01E7" w:rsidRPr="00E01A8E">
        <w:t>)</w:t>
      </w:r>
      <w:r w:rsidRPr="00E01A8E">
        <w:t xml:space="preserve"> inhibitors,</w:t>
      </w:r>
      <w:r w:rsidR="00E8762C" w:rsidRPr="00E01A8E">
        <w:t xml:space="preserve"> </w:t>
      </w:r>
      <w:r w:rsidR="009B01E7" w:rsidRPr="00E01A8E">
        <w:t>glucagon-like peptide-1 (</w:t>
      </w:r>
      <w:r w:rsidR="00E8762C" w:rsidRPr="00E01A8E">
        <w:t>GLP-1</w:t>
      </w:r>
      <w:r w:rsidR="009B01E7" w:rsidRPr="00E01A8E">
        <w:t>)</w:t>
      </w:r>
      <w:r w:rsidR="00E8762C" w:rsidRPr="00E01A8E">
        <w:t xml:space="preserve"> receptor agonists, thiazoli</w:t>
      </w:r>
      <w:r w:rsidR="00C241C0" w:rsidRPr="00E01A8E">
        <w:t>dinediones and acarbose.</w:t>
      </w:r>
    </w:p>
    <w:p w:rsidR="002756FA" w:rsidRPr="00E01A8E" w:rsidRDefault="002756FA" w:rsidP="00962D9F">
      <w:pPr>
        <w:pStyle w:val="ListParagraph"/>
        <w:spacing w:before="0" w:after="120"/>
        <w:ind w:left="1077"/>
        <w:contextualSpacing/>
        <w:jc w:val="both"/>
      </w:pPr>
    </w:p>
    <w:p w:rsidR="008E0D95" w:rsidRPr="00C43ECD" w:rsidRDefault="008E0D95" w:rsidP="00962D9F">
      <w:pPr>
        <w:pStyle w:val="ListParagraph"/>
        <w:numPr>
          <w:ilvl w:val="1"/>
          <w:numId w:val="3"/>
        </w:numPr>
        <w:spacing w:before="0" w:after="120"/>
        <w:jc w:val="both"/>
        <w:rPr>
          <w:color w:val="4472C4" w:themeColor="accent5"/>
        </w:rPr>
      </w:pPr>
      <w:r w:rsidRPr="00E01A8E">
        <w:t xml:space="preserve">The </w:t>
      </w:r>
      <w:r w:rsidR="00337FD3" w:rsidRPr="00E01A8E">
        <w:t xml:space="preserve">submission </w:t>
      </w:r>
      <w:r w:rsidRPr="00E01A8E">
        <w:t xml:space="preserve">proposed </w:t>
      </w:r>
      <w:r w:rsidR="00DA0996" w:rsidRPr="00E01A8E">
        <w:t xml:space="preserve">the PBS listing of </w:t>
      </w:r>
      <w:r w:rsidRPr="00E01A8E">
        <w:t xml:space="preserve">vildagliptin </w:t>
      </w:r>
      <w:r w:rsidR="00DA0996" w:rsidRPr="00E01A8E">
        <w:t xml:space="preserve">will become </w:t>
      </w:r>
      <w:r w:rsidRPr="00E01A8E">
        <w:t>an alternative</w:t>
      </w:r>
      <w:r w:rsidR="00DA0996" w:rsidRPr="00E01A8E">
        <w:t xml:space="preserve"> treatment to other PBS listed DPP-4 inhibitors</w:t>
      </w:r>
      <w:r w:rsidRPr="00E01A8E">
        <w:t xml:space="preserve"> </w:t>
      </w:r>
      <w:r w:rsidR="00DA0996" w:rsidRPr="00E01A8E">
        <w:t xml:space="preserve">in the third line treatment </w:t>
      </w:r>
      <w:r w:rsidR="00337FD3" w:rsidRPr="00E01A8E">
        <w:t>of</w:t>
      </w:r>
      <w:r w:rsidR="00DA0996" w:rsidRPr="00E01A8E">
        <w:t xml:space="preserve"> </w:t>
      </w:r>
      <w:r w:rsidR="00FE60D1" w:rsidRPr="00E01A8E">
        <w:t>T2DM</w:t>
      </w:r>
      <w:r w:rsidR="00DA0996" w:rsidRPr="00E01A8E">
        <w:t xml:space="preserve"> </w:t>
      </w:r>
      <w:r w:rsidR="00DA0996" w:rsidRPr="00E01A8E">
        <w:lastRenderedPageBreak/>
        <w:t>patients not adequately controlled on insulin with or without metformin</w:t>
      </w:r>
      <w:r w:rsidR="00776B1F" w:rsidRPr="00E01A8E">
        <w:t xml:space="preserve"> (p10</w:t>
      </w:r>
      <w:r w:rsidR="00FE60D1" w:rsidRPr="00E01A8E">
        <w:t xml:space="preserve"> of the submission)</w:t>
      </w:r>
      <w:r w:rsidR="00DA0996" w:rsidRPr="00E01A8E">
        <w:t>.</w:t>
      </w:r>
    </w:p>
    <w:p w:rsidR="00C317F3" w:rsidRPr="00E01A8E" w:rsidRDefault="00C317F3" w:rsidP="00466705">
      <w:pPr>
        <w:pStyle w:val="Heading1"/>
        <w:ind w:left="709" w:hanging="709"/>
        <w:jc w:val="both"/>
      </w:pPr>
      <w:bookmarkStart w:id="9" w:name="_Toc413139275"/>
      <w:bookmarkStart w:id="10" w:name="_Toc493069866"/>
      <w:r w:rsidRPr="00E01A8E">
        <w:t>Comparator</w:t>
      </w:r>
      <w:bookmarkEnd w:id="9"/>
      <w:bookmarkEnd w:id="10"/>
      <w:r w:rsidR="004C49B5" w:rsidRPr="00E01A8E">
        <w:t xml:space="preserve"> </w:t>
      </w:r>
    </w:p>
    <w:p w:rsidR="002001C6" w:rsidRPr="00E01A8E" w:rsidRDefault="002001C6" w:rsidP="00B8794E">
      <w:pPr>
        <w:pStyle w:val="ListParagraph"/>
        <w:numPr>
          <w:ilvl w:val="0"/>
          <w:numId w:val="3"/>
        </w:numPr>
        <w:spacing w:before="200" w:after="120"/>
        <w:jc w:val="both"/>
        <w:rPr>
          <w:rFonts w:ascii="Arial" w:eastAsia="Times New Roman" w:hAnsi="Arial" w:cs="Arial"/>
          <w:b/>
          <w:snapToGrid w:val="0"/>
          <w:vanish/>
          <w:sz w:val="22"/>
        </w:rPr>
      </w:pPr>
    </w:p>
    <w:p w:rsidR="003B051A" w:rsidRPr="00E01A8E" w:rsidRDefault="006C613D" w:rsidP="00962D9F">
      <w:pPr>
        <w:pStyle w:val="ListParagraph"/>
        <w:numPr>
          <w:ilvl w:val="1"/>
          <w:numId w:val="3"/>
        </w:numPr>
        <w:spacing w:before="0" w:after="120"/>
        <w:jc w:val="both"/>
        <w:rPr>
          <w:lang w:val="en-GB"/>
        </w:rPr>
      </w:pPr>
      <w:r w:rsidRPr="00E01A8E">
        <w:t xml:space="preserve">The submission nominated </w:t>
      </w:r>
      <w:r w:rsidR="003B051A" w:rsidRPr="00E01A8E">
        <w:t xml:space="preserve">both </w:t>
      </w:r>
      <w:r w:rsidRPr="00E01A8E">
        <w:t>sitagliptin and linaglipti</w:t>
      </w:r>
      <w:r w:rsidR="003B051A" w:rsidRPr="00E01A8E">
        <w:t xml:space="preserve">n as </w:t>
      </w:r>
      <w:r w:rsidR="00FE60D1" w:rsidRPr="00E01A8E">
        <w:t xml:space="preserve">the </w:t>
      </w:r>
      <w:r w:rsidR="003B051A" w:rsidRPr="00E01A8E">
        <w:t>main comparators.</w:t>
      </w:r>
      <w:r w:rsidR="000D5675" w:rsidRPr="00E01A8E">
        <w:t xml:space="preserve"> </w:t>
      </w:r>
      <w:r w:rsidR="00337FD3" w:rsidRPr="00E01A8E">
        <w:t xml:space="preserve">The main arguments provided in support of this nomination were that both linagliptin and sitagliptin are DPP-4 inhibitors, pharmacological analogues of vildagliptin, and currently listed on the PBS for use in combination with insulin therapy in </w:t>
      </w:r>
      <w:r w:rsidR="009B01E7" w:rsidRPr="00E01A8E">
        <w:t>T2DM</w:t>
      </w:r>
      <w:r w:rsidR="00337FD3" w:rsidRPr="00E01A8E">
        <w:t xml:space="preserve"> (p4 of the submission). </w:t>
      </w:r>
    </w:p>
    <w:p w:rsidR="00337FD3" w:rsidRPr="00F63A91" w:rsidRDefault="00337FD3" w:rsidP="00962D9F">
      <w:pPr>
        <w:pStyle w:val="ListParagraph"/>
        <w:numPr>
          <w:ilvl w:val="1"/>
          <w:numId w:val="3"/>
        </w:numPr>
        <w:spacing w:before="0" w:after="120"/>
        <w:jc w:val="both"/>
        <w:rPr>
          <w:lang w:val="en-GB"/>
        </w:rPr>
      </w:pPr>
      <w:r w:rsidRPr="00E01A8E">
        <w:t>The submission nominated dapagliflozin and empagliflozin (both SGLT2 inhibitors) as secondary comparators (p4 of the submission). The main argument provided in support of this nomination was that dapagliflozin, along with sitagliptin, was previously accepted by PBAC as a comparator for linagliptin (Linagliptin PSD, March 2016 PBAC meeting). PBS therapeutic relativity sheets show sitagliptin, linagliptin and empagliflozin are recommended on a cost-minimisation basis with dapagliflozin in combination with insulin. Based on the PBS therapeutic relativity sheets, the submission concluded that linagliptin, sitagliptin, dapagliflozin and empagliflozin are equivalent (p25 of the submission).</w:t>
      </w:r>
    </w:p>
    <w:p w:rsidR="00F63A91" w:rsidRPr="00F63A91" w:rsidRDefault="00F63A91" w:rsidP="00F63A91">
      <w:pPr>
        <w:pStyle w:val="ListParagraph"/>
        <w:numPr>
          <w:ilvl w:val="1"/>
          <w:numId w:val="3"/>
        </w:numPr>
        <w:spacing w:before="0" w:after="120"/>
        <w:jc w:val="both"/>
        <w:rPr>
          <w:lang w:val="en-GB"/>
        </w:rPr>
      </w:pPr>
      <w:r w:rsidRPr="00E01A8E">
        <w:t xml:space="preserve">The </w:t>
      </w:r>
      <w:r w:rsidR="004F407E">
        <w:t>PBAC agreed that the comparators were appropriate.</w:t>
      </w:r>
    </w:p>
    <w:p w:rsidR="00F63A91" w:rsidRPr="00E01A8E" w:rsidRDefault="00F63A91" w:rsidP="00F63A91">
      <w:pPr>
        <w:pStyle w:val="Heading1"/>
        <w:ind w:left="709" w:hanging="709"/>
        <w:jc w:val="both"/>
      </w:pPr>
      <w:bookmarkStart w:id="11" w:name="_Toc413139276"/>
      <w:bookmarkStart w:id="12" w:name="_Toc493069867"/>
      <w:r w:rsidRPr="00E01A8E">
        <w:t>Consideration of the evidence</w:t>
      </w:r>
      <w:bookmarkEnd w:id="11"/>
      <w:bookmarkEnd w:id="12"/>
    </w:p>
    <w:p w:rsidR="00F63A91" w:rsidRPr="00824154" w:rsidRDefault="00F63A91" w:rsidP="00824154">
      <w:pPr>
        <w:pStyle w:val="Heading2"/>
        <w:numPr>
          <w:ilvl w:val="0"/>
          <w:numId w:val="0"/>
        </w:numPr>
        <w:ind w:left="792" w:hanging="792"/>
        <w:jc w:val="both"/>
        <w:rPr>
          <w:i w:val="0"/>
        </w:rPr>
      </w:pPr>
      <w:r w:rsidRPr="00824154">
        <w:rPr>
          <w:i w:val="0"/>
        </w:rPr>
        <w:t>Sponsor hearing</w:t>
      </w:r>
    </w:p>
    <w:p w:rsidR="00F63A91" w:rsidRPr="00F63A91" w:rsidRDefault="00F63A91" w:rsidP="00F63A91">
      <w:pPr>
        <w:pStyle w:val="ListParagraph"/>
        <w:numPr>
          <w:ilvl w:val="0"/>
          <w:numId w:val="3"/>
        </w:numPr>
        <w:spacing w:before="200" w:after="120"/>
        <w:rPr>
          <w:rFonts w:ascii="Arial" w:eastAsia="Times New Roman" w:hAnsi="Arial" w:cs="Arial"/>
          <w:b/>
          <w:snapToGrid w:val="0"/>
          <w:vanish/>
          <w:sz w:val="22"/>
        </w:rPr>
      </w:pPr>
    </w:p>
    <w:p w:rsidR="00F63A91" w:rsidRDefault="00F63A91" w:rsidP="00F63A91">
      <w:pPr>
        <w:pStyle w:val="ListParagraph"/>
        <w:numPr>
          <w:ilvl w:val="1"/>
          <w:numId w:val="3"/>
        </w:numPr>
      </w:pPr>
      <w:r w:rsidRPr="00B60425">
        <w:t>There was no hearing for this item.</w:t>
      </w:r>
    </w:p>
    <w:p w:rsidR="00F63A91" w:rsidRPr="00824154" w:rsidRDefault="00F63A91" w:rsidP="00824154">
      <w:pPr>
        <w:pStyle w:val="Heading2"/>
        <w:numPr>
          <w:ilvl w:val="0"/>
          <w:numId w:val="0"/>
        </w:numPr>
        <w:ind w:left="792" w:hanging="792"/>
        <w:jc w:val="both"/>
        <w:rPr>
          <w:i w:val="0"/>
        </w:rPr>
      </w:pPr>
      <w:r w:rsidRPr="00824154">
        <w:rPr>
          <w:i w:val="0"/>
        </w:rPr>
        <w:t>Consumer comments</w:t>
      </w:r>
    </w:p>
    <w:p w:rsidR="00F63A91" w:rsidRPr="00F63A91" w:rsidRDefault="00F63A91" w:rsidP="00F63A91">
      <w:pPr>
        <w:widowControl w:val="0"/>
        <w:numPr>
          <w:ilvl w:val="1"/>
          <w:numId w:val="3"/>
        </w:numPr>
        <w:spacing w:before="0" w:after="120"/>
        <w:jc w:val="both"/>
        <w:rPr>
          <w:rFonts w:cs="Arial"/>
          <w:bCs/>
          <w:snapToGrid w:val="0"/>
        </w:rPr>
      </w:pPr>
      <w:r w:rsidRPr="00F63A91">
        <w:rPr>
          <w:rFonts w:cs="Arial"/>
          <w:bCs/>
          <w:snapToGrid w:val="0"/>
        </w:rPr>
        <w:t>The PBAC noted that no consumer comments were received for this item.</w:t>
      </w:r>
    </w:p>
    <w:p w:rsidR="00F63A91" w:rsidRPr="00E01A8E" w:rsidRDefault="00F63A91" w:rsidP="00F63A91">
      <w:pPr>
        <w:pStyle w:val="Heading2"/>
        <w:numPr>
          <w:ilvl w:val="0"/>
          <w:numId w:val="0"/>
        </w:numPr>
        <w:ind w:left="792" w:hanging="792"/>
        <w:jc w:val="both"/>
        <w:rPr>
          <w:i w:val="0"/>
        </w:rPr>
      </w:pPr>
      <w:r w:rsidRPr="00E01A8E">
        <w:rPr>
          <w:i w:val="0"/>
        </w:rPr>
        <w:t>Clinical trials</w:t>
      </w:r>
    </w:p>
    <w:p w:rsidR="00625BDB" w:rsidRPr="00F63A91" w:rsidRDefault="00653255" w:rsidP="00F63A91">
      <w:pPr>
        <w:pStyle w:val="ListParagraph"/>
        <w:numPr>
          <w:ilvl w:val="1"/>
          <w:numId w:val="3"/>
        </w:numPr>
        <w:spacing w:before="0" w:after="120"/>
        <w:jc w:val="both"/>
        <w:rPr>
          <w:lang w:val="en-GB"/>
        </w:rPr>
      </w:pPr>
      <w:r w:rsidRPr="00F63A91">
        <w:rPr>
          <w:lang w:val="en-GB"/>
        </w:rPr>
        <w:t xml:space="preserve">The submission was based on three head-to-head </w:t>
      </w:r>
      <w:r w:rsidR="005D7A18" w:rsidRPr="00F63A91">
        <w:rPr>
          <w:lang w:val="en-GB"/>
        </w:rPr>
        <w:t>randomised controlled trials (</w:t>
      </w:r>
      <w:r w:rsidR="00625BDB" w:rsidRPr="00F63A91">
        <w:rPr>
          <w:lang w:val="en-GB"/>
        </w:rPr>
        <w:t>RCTs</w:t>
      </w:r>
      <w:r w:rsidR="005D7A18" w:rsidRPr="00F63A91">
        <w:rPr>
          <w:lang w:val="en-GB"/>
        </w:rPr>
        <w:t>)</w:t>
      </w:r>
      <w:r w:rsidR="00625BDB" w:rsidRPr="00F63A91">
        <w:rPr>
          <w:lang w:val="en-GB"/>
        </w:rPr>
        <w:t xml:space="preserve"> comparing vildagliptin to sitagliptin and linagliptin, in combination with insulin: </w:t>
      </w:r>
    </w:p>
    <w:p w:rsidR="00625BDB" w:rsidRPr="00E01A8E" w:rsidRDefault="00625BDB" w:rsidP="00674CEA">
      <w:pPr>
        <w:pStyle w:val="ListParagraph"/>
        <w:numPr>
          <w:ilvl w:val="1"/>
          <w:numId w:val="10"/>
        </w:numPr>
        <w:spacing w:before="0" w:after="120"/>
        <w:ind w:left="1418"/>
        <w:jc w:val="both"/>
      </w:pPr>
      <w:r w:rsidRPr="00E01A8E">
        <w:t xml:space="preserve">Study 23138: </w:t>
      </w:r>
      <w:r w:rsidR="006C29DB" w:rsidRPr="00E01A8E">
        <w:t>v</w:t>
      </w:r>
      <w:r w:rsidRPr="00E01A8E">
        <w:t xml:space="preserve">ildagliptin (n=83) vs. sitagliptin (n=65) in T2DM patients with severe renal impairment </w:t>
      </w:r>
    </w:p>
    <w:p w:rsidR="00625BDB" w:rsidRPr="00E01A8E" w:rsidRDefault="00625BDB" w:rsidP="00674CEA">
      <w:pPr>
        <w:pStyle w:val="ListParagraph"/>
        <w:numPr>
          <w:ilvl w:val="1"/>
          <w:numId w:val="10"/>
        </w:numPr>
        <w:spacing w:before="0" w:after="120"/>
        <w:ind w:left="1418"/>
        <w:jc w:val="both"/>
      </w:pPr>
      <w:r w:rsidRPr="00E01A8E">
        <w:t xml:space="preserve">Tang 2015: </w:t>
      </w:r>
      <w:r w:rsidR="006C29DB" w:rsidRPr="00E01A8E">
        <w:t>v</w:t>
      </w:r>
      <w:r w:rsidRPr="00E01A8E">
        <w:t>ildagliptin (n=166) vs. sitagliptin (n=165) vs. linagliptin (n=164) in T2DM patients</w:t>
      </w:r>
    </w:p>
    <w:p w:rsidR="00625BDB" w:rsidRPr="00E01A8E" w:rsidRDefault="00625BDB" w:rsidP="00674CEA">
      <w:pPr>
        <w:pStyle w:val="ListParagraph"/>
        <w:numPr>
          <w:ilvl w:val="1"/>
          <w:numId w:val="10"/>
        </w:numPr>
        <w:spacing w:before="0" w:after="120"/>
        <w:ind w:left="1418"/>
        <w:jc w:val="both"/>
      </w:pPr>
      <w:r w:rsidRPr="00E01A8E">
        <w:t xml:space="preserve">Study ADE07: </w:t>
      </w:r>
      <w:r w:rsidR="006C29DB" w:rsidRPr="00E01A8E">
        <w:t>v</w:t>
      </w:r>
      <w:r w:rsidRPr="00E01A8E">
        <w:t>ildagliptin (n=25) vs. sitagliptin (n=26) in T2DM patients with a pre-existing cardiovascular disease</w:t>
      </w:r>
      <w:r w:rsidR="002C165E">
        <w:t>.</w:t>
      </w:r>
    </w:p>
    <w:p w:rsidR="00653255" w:rsidRPr="00E01A8E" w:rsidRDefault="00653255" w:rsidP="00F35D71">
      <w:pPr>
        <w:pStyle w:val="ListParagraph"/>
        <w:numPr>
          <w:ilvl w:val="1"/>
          <w:numId w:val="3"/>
        </w:numPr>
        <w:spacing w:before="0" w:after="120"/>
        <w:jc w:val="both"/>
      </w:pPr>
      <w:r w:rsidRPr="00E01A8E">
        <w:t xml:space="preserve">The submission </w:t>
      </w:r>
      <w:r w:rsidR="00625BDB" w:rsidRPr="00E01A8E">
        <w:t xml:space="preserve">also </w:t>
      </w:r>
      <w:r w:rsidRPr="00E01A8E">
        <w:t xml:space="preserve">presented </w:t>
      </w:r>
      <w:r w:rsidR="00386BE3" w:rsidRPr="00E01A8E">
        <w:t xml:space="preserve">additional </w:t>
      </w:r>
      <w:r w:rsidRPr="00E01A8E">
        <w:t xml:space="preserve">three </w:t>
      </w:r>
      <w:r w:rsidR="00EB458B" w:rsidRPr="00E01A8E">
        <w:t>placebo</w:t>
      </w:r>
      <w:r w:rsidR="00347BB4" w:rsidRPr="00E01A8E">
        <w:t xml:space="preserve">-controlled </w:t>
      </w:r>
      <w:r w:rsidR="00E24F30" w:rsidRPr="00E01A8E">
        <w:t>vildagliptin</w:t>
      </w:r>
      <w:r w:rsidR="00347BB4" w:rsidRPr="00E01A8E">
        <w:t xml:space="preserve"> studies</w:t>
      </w:r>
      <w:r w:rsidR="00EB458B" w:rsidRPr="00E01A8E">
        <w:t>, plus insulin, to support the clinical claim of non-inferiority</w:t>
      </w:r>
      <w:r w:rsidR="00386BE3" w:rsidRPr="00E01A8E">
        <w:t xml:space="preserve"> (</w:t>
      </w:r>
      <w:r w:rsidR="00BB2730" w:rsidRPr="00E01A8E">
        <w:t>Study 23135, Study 2311 and Study 23137)</w:t>
      </w:r>
      <w:r w:rsidR="00EB458B" w:rsidRPr="00E01A8E">
        <w:t>.</w:t>
      </w:r>
      <w:r w:rsidRPr="00E01A8E">
        <w:t xml:space="preserve"> </w:t>
      </w:r>
      <w:r w:rsidR="00347BB4" w:rsidRPr="00E01A8E">
        <w:t>These studies were used for the vildagliptin TGA label (indication) application.</w:t>
      </w:r>
    </w:p>
    <w:p w:rsidR="00347BB4" w:rsidRDefault="00491E57" w:rsidP="00F35D71">
      <w:pPr>
        <w:pStyle w:val="ListParagraph"/>
        <w:numPr>
          <w:ilvl w:val="1"/>
          <w:numId w:val="3"/>
        </w:numPr>
        <w:spacing w:before="0" w:after="120"/>
        <w:jc w:val="both"/>
      </w:pPr>
      <w:r w:rsidRPr="00E01A8E">
        <w:t>No trials were identified for vildagliptin</w:t>
      </w:r>
      <w:r w:rsidR="00625BDB" w:rsidRPr="00E01A8E">
        <w:t xml:space="preserve"> </w:t>
      </w:r>
      <w:r w:rsidR="00050C8D">
        <w:t>with</w:t>
      </w:r>
      <w:r w:rsidR="00625BDB" w:rsidRPr="00E01A8E">
        <w:t xml:space="preserve"> </w:t>
      </w:r>
      <w:r w:rsidRPr="00E01A8E">
        <w:t>metformin FDC</w:t>
      </w:r>
      <w:r w:rsidR="00625BDB" w:rsidRPr="00E01A8E">
        <w:t xml:space="preserve"> </w:t>
      </w:r>
      <w:r w:rsidRPr="00E01A8E">
        <w:t xml:space="preserve">used in combination with insulin. </w:t>
      </w:r>
      <w:r w:rsidR="00347BB4" w:rsidRPr="00E01A8E">
        <w:t xml:space="preserve">Three bioequivalence trials </w:t>
      </w:r>
      <w:r w:rsidRPr="00E01A8E">
        <w:t xml:space="preserve">were presented </w:t>
      </w:r>
      <w:r w:rsidR="00625BDB" w:rsidRPr="00E01A8E">
        <w:t xml:space="preserve">comparing free combination of vildagliptin and metformin to vildagliptin </w:t>
      </w:r>
      <w:r w:rsidR="00050C8D">
        <w:t>with</w:t>
      </w:r>
      <w:r w:rsidR="00625BDB" w:rsidRPr="00E01A8E">
        <w:t xml:space="preserve"> metformin FDC (Study LMF2302, Study LMF 2307 and Study LMF 2301)</w:t>
      </w:r>
      <w:r w:rsidRPr="00E01A8E">
        <w:t xml:space="preserve">. </w:t>
      </w:r>
      <w:r w:rsidR="00B56082" w:rsidRPr="00E01A8E">
        <w:t>The three</w:t>
      </w:r>
      <w:r w:rsidRPr="00E01A8E">
        <w:t xml:space="preserve"> </w:t>
      </w:r>
      <w:r w:rsidR="00625BDB" w:rsidRPr="00E01A8E">
        <w:t xml:space="preserve">trials were presented in </w:t>
      </w:r>
      <w:r w:rsidRPr="00E01A8E">
        <w:t xml:space="preserve">previous PBAC submissions </w:t>
      </w:r>
      <w:r w:rsidR="00625BDB" w:rsidRPr="00E01A8E">
        <w:t xml:space="preserve">for vildagliptin </w:t>
      </w:r>
      <w:r w:rsidRPr="00E01A8E">
        <w:t>(PBAC November 2010 meeting and March 2016 meeting).</w:t>
      </w:r>
    </w:p>
    <w:p w:rsidR="00344D51" w:rsidRPr="00344D51" w:rsidRDefault="00C317F3" w:rsidP="002209E5">
      <w:pPr>
        <w:pStyle w:val="ListParagraph"/>
        <w:numPr>
          <w:ilvl w:val="1"/>
          <w:numId w:val="3"/>
        </w:numPr>
        <w:spacing w:before="0" w:after="120"/>
        <w:jc w:val="both"/>
      </w:pPr>
      <w:r w:rsidRPr="00E01A8E">
        <w:t>Details of the trials presented in the submission are provided in the table below.</w:t>
      </w:r>
      <w:r w:rsidR="004C49B5" w:rsidRPr="00E01A8E">
        <w:t xml:space="preserve"> </w:t>
      </w:r>
    </w:p>
    <w:p w:rsidR="007F1F37" w:rsidRPr="00E01A8E" w:rsidRDefault="00C317F3" w:rsidP="00466705">
      <w:pPr>
        <w:pStyle w:val="TableHeading0"/>
        <w:jc w:val="both"/>
      </w:pPr>
      <w:r w:rsidRPr="00E01A8E">
        <w:t>T</w:t>
      </w:r>
      <w:r w:rsidR="007A0EA2" w:rsidRPr="00E01A8E">
        <w:t>able 2</w:t>
      </w:r>
      <w:r w:rsidRPr="00E01A8E">
        <w:t>: Trials and associated reports presented in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24"/>
        <w:gridCol w:w="5292"/>
        <w:gridCol w:w="2366"/>
      </w:tblGrid>
      <w:tr w:rsidR="005C2D2A" w:rsidRPr="00E01A8E" w:rsidTr="002756FA">
        <w:trPr>
          <w:tblHeader/>
        </w:trPr>
        <w:tc>
          <w:tcPr>
            <w:tcW w:w="0" w:type="auto"/>
          </w:tcPr>
          <w:p w:rsidR="005C2D2A" w:rsidRPr="00E01A8E" w:rsidRDefault="005C2D2A" w:rsidP="00914940">
            <w:pPr>
              <w:keepNext/>
              <w:spacing w:before="40" w:after="40"/>
              <w:jc w:val="both"/>
              <w:rPr>
                <w:rFonts w:ascii="Arial Narrow" w:hAnsi="Arial Narrow"/>
                <w:b/>
                <w:sz w:val="20"/>
              </w:rPr>
            </w:pPr>
            <w:r w:rsidRPr="00E01A8E">
              <w:rPr>
                <w:rFonts w:ascii="Arial Narrow" w:hAnsi="Arial Narrow"/>
                <w:b/>
                <w:sz w:val="20"/>
              </w:rPr>
              <w:t>Trial ID</w:t>
            </w:r>
          </w:p>
        </w:tc>
        <w:tc>
          <w:tcPr>
            <w:tcW w:w="0" w:type="auto"/>
          </w:tcPr>
          <w:p w:rsidR="005C2D2A" w:rsidRPr="00E01A8E" w:rsidRDefault="005C2D2A" w:rsidP="00914940">
            <w:pPr>
              <w:keepNext/>
              <w:spacing w:before="40" w:after="40"/>
              <w:jc w:val="both"/>
              <w:rPr>
                <w:rFonts w:ascii="Arial Narrow" w:hAnsi="Arial Narrow"/>
                <w:b/>
                <w:sz w:val="20"/>
              </w:rPr>
            </w:pPr>
            <w:r w:rsidRPr="00E01A8E">
              <w:rPr>
                <w:rFonts w:ascii="Arial Narrow" w:hAnsi="Arial Narrow"/>
                <w:b/>
                <w:sz w:val="20"/>
              </w:rPr>
              <w:t>Protocol title/ Publication title</w:t>
            </w:r>
          </w:p>
        </w:tc>
        <w:tc>
          <w:tcPr>
            <w:tcW w:w="0" w:type="auto"/>
          </w:tcPr>
          <w:p w:rsidR="005C2D2A" w:rsidRPr="00E01A8E" w:rsidRDefault="005C2D2A" w:rsidP="00914940">
            <w:pPr>
              <w:keepNext/>
              <w:spacing w:before="40" w:after="40"/>
              <w:jc w:val="both"/>
              <w:rPr>
                <w:rFonts w:ascii="Arial Narrow" w:hAnsi="Arial Narrow"/>
                <w:b/>
                <w:sz w:val="20"/>
              </w:rPr>
            </w:pPr>
            <w:r w:rsidRPr="00E01A8E">
              <w:rPr>
                <w:rFonts w:ascii="Arial Narrow" w:hAnsi="Arial Narrow"/>
                <w:b/>
                <w:sz w:val="20"/>
              </w:rPr>
              <w:t>Publication citation</w:t>
            </w:r>
          </w:p>
        </w:tc>
      </w:tr>
      <w:tr w:rsidR="005C2D2A" w:rsidRPr="00E01A8E" w:rsidTr="002756FA">
        <w:tc>
          <w:tcPr>
            <w:tcW w:w="0" w:type="auto"/>
            <w:gridSpan w:val="3"/>
          </w:tcPr>
          <w:p w:rsidR="005C2D2A" w:rsidRPr="00E01A8E" w:rsidRDefault="005C2D2A" w:rsidP="00914940">
            <w:pPr>
              <w:keepNext/>
              <w:spacing w:before="40" w:after="40"/>
              <w:jc w:val="both"/>
              <w:rPr>
                <w:rFonts w:ascii="Arial Narrow" w:hAnsi="Arial Narrow"/>
                <w:b/>
                <w:sz w:val="20"/>
              </w:rPr>
            </w:pPr>
            <w:r w:rsidRPr="00E01A8E">
              <w:rPr>
                <w:rFonts w:ascii="Arial Narrow" w:hAnsi="Arial Narrow"/>
                <w:b/>
                <w:sz w:val="20"/>
              </w:rPr>
              <w:t>Direct randomised trial(s)</w:t>
            </w:r>
          </w:p>
        </w:tc>
      </w:tr>
      <w:tr w:rsidR="005C2D2A" w:rsidRPr="00E01A8E" w:rsidTr="002756FA">
        <w:tc>
          <w:tcPr>
            <w:tcW w:w="0" w:type="auto"/>
            <w:vMerge w:val="restart"/>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Study 23138</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(CLAF237A23138)</w:t>
            </w:r>
          </w:p>
          <w:p w:rsidR="005C2D2A" w:rsidRPr="00E01A8E" w:rsidRDefault="005C2D2A" w:rsidP="00914940">
            <w:pPr>
              <w:keepNext/>
              <w:widowControl w:val="0"/>
              <w:spacing w:before="40" w:after="40"/>
              <w:jc w:val="both"/>
              <w:rPr>
                <w:rFonts w:ascii="Arial Narrow" w:hAnsi="Arial Narrow"/>
                <w:b/>
                <w:sz w:val="20"/>
              </w:rPr>
            </w:pPr>
          </w:p>
        </w:tc>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 xml:space="preserve">Naik R, Wilkinson C, Lyathakula S, Lukashevich V. </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A multi-center, randomized, double-blind, active-controlled clinical trial to evaluate the safety and tolerability of 24 weeks treatment with vildagliptin (50 mg qd) versus</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sitagliptin (25 mg qd) in patients with type 2 diabetes and severe renal insufficiency</w:t>
            </w:r>
          </w:p>
        </w:tc>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2011</w:t>
            </w:r>
          </w:p>
          <w:p w:rsidR="005C2D2A" w:rsidRPr="00E01A8E" w:rsidRDefault="005C2D2A" w:rsidP="00914940">
            <w:pPr>
              <w:keepNext/>
              <w:widowControl w:val="0"/>
              <w:spacing w:before="40" w:after="40"/>
              <w:jc w:val="both"/>
              <w:rPr>
                <w:rFonts w:ascii="Arial Narrow" w:hAnsi="Arial Narrow"/>
                <w:b/>
                <w:sz w:val="20"/>
              </w:rPr>
            </w:pPr>
            <w:r w:rsidRPr="00E01A8E">
              <w:rPr>
                <w:rFonts w:ascii="Arial Narrow" w:hAnsi="Arial Narrow"/>
                <w:sz w:val="20"/>
              </w:rPr>
              <w:t>Novartis Clinical Study Report</w:t>
            </w:r>
          </w:p>
        </w:tc>
      </w:tr>
      <w:tr w:rsidR="005C2D2A" w:rsidRPr="00E01A8E" w:rsidTr="002756FA">
        <w:tc>
          <w:tcPr>
            <w:tcW w:w="0" w:type="auto"/>
            <w:vMerge/>
          </w:tcPr>
          <w:p w:rsidR="005C2D2A" w:rsidRPr="00E01A8E" w:rsidRDefault="005C2D2A" w:rsidP="00914940">
            <w:pPr>
              <w:keepNext/>
              <w:widowControl w:val="0"/>
              <w:spacing w:before="40" w:after="40"/>
              <w:jc w:val="both"/>
              <w:rPr>
                <w:rFonts w:ascii="Arial Narrow" w:hAnsi="Arial Narrow"/>
                <w:b/>
                <w:sz w:val="20"/>
              </w:rPr>
            </w:pPr>
          </w:p>
        </w:tc>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Kothny, W., Lukashevich, V., Foley, J. E., Rendell, M. S., &amp; Schweizer,</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A. Comparison of vildagliptin and sitagliptin in patients with type 2 diabetes and severe renal impairment: a randomised clinical trial.</w:t>
            </w:r>
            <w:r w:rsidR="004C49B5" w:rsidRPr="00E01A8E">
              <w:rPr>
                <w:rFonts w:ascii="Arial Narrow" w:hAnsi="Arial Narrow"/>
                <w:sz w:val="20"/>
              </w:rPr>
              <w:t xml:space="preserve"> </w:t>
            </w:r>
          </w:p>
        </w:tc>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2015</w:t>
            </w:r>
          </w:p>
          <w:p w:rsidR="005C2D2A" w:rsidRPr="00E01A8E" w:rsidRDefault="005C2D2A" w:rsidP="00914940">
            <w:pPr>
              <w:keepNext/>
              <w:widowControl w:val="0"/>
              <w:spacing w:before="40" w:after="40"/>
              <w:jc w:val="both"/>
              <w:rPr>
                <w:rFonts w:ascii="Arial Narrow" w:hAnsi="Arial Narrow"/>
                <w:b/>
                <w:sz w:val="20"/>
              </w:rPr>
            </w:pPr>
            <w:r w:rsidRPr="00E01A8E">
              <w:rPr>
                <w:rFonts w:ascii="Arial Narrow" w:hAnsi="Arial Narrow"/>
                <w:iCs/>
                <w:sz w:val="20"/>
              </w:rPr>
              <w:t>Diabetologia</w:t>
            </w:r>
            <w:r w:rsidRPr="00E01A8E">
              <w:rPr>
                <w:rFonts w:ascii="Arial Narrow" w:hAnsi="Arial Narrow"/>
                <w:sz w:val="20"/>
              </w:rPr>
              <w:t>, </w:t>
            </w:r>
            <w:r w:rsidRPr="00E01A8E">
              <w:rPr>
                <w:rFonts w:ascii="Arial Narrow" w:hAnsi="Arial Narrow"/>
                <w:iCs/>
                <w:sz w:val="20"/>
              </w:rPr>
              <w:t>58</w:t>
            </w:r>
            <w:r w:rsidRPr="00E01A8E">
              <w:rPr>
                <w:rFonts w:ascii="Arial Narrow" w:hAnsi="Arial Narrow"/>
                <w:sz w:val="20"/>
              </w:rPr>
              <w:t>(9), 2020–2026.</w:t>
            </w:r>
          </w:p>
        </w:tc>
      </w:tr>
      <w:tr w:rsidR="005C2D2A" w:rsidRPr="00E01A8E" w:rsidTr="002756FA">
        <w:tc>
          <w:tcPr>
            <w:tcW w:w="0" w:type="auto"/>
            <w:vMerge/>
          </w:tcPr>
          <w:p w:rsidR="005C2D2A" w:rsidRPr="00E01A8E" w:rsidRDefault="005C2D2A" w:rsidP="00914940">
            <w:pPr>
              <w:keepNext/>
              <w:widowControl w:val="0"/>
              <w:spacing w:before="40" w:after="40"/>
              <w:jc w:val="both"/>
              <w:rPr>
                <w:rFonts w:ascii="Arial Narrow" w:hAnsi="Arial Narrow"/>
                <w:b/>
                <w:sz w:val="20"/>
              </w:rPr>
            </w:pPr>
          </w:p>
        </w:tc>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Kothny, W., V., Foley, Schweizer, A., Rendell, M. S., &amp; Lukashevich, J. E.</w:t>
            </w:r>
          </w:p>
          <w:p w:rsidR="005C2D2A" w:rsidRPr="00E01A8E" w:rsidRDefault="005C2D2A" w:rsidP="00914940">
            <w:pPr>
              <w:keepNext/>
              <w:widowControl w:val="0"/>
              <w:spacing w:before="40" w:after="40"/>
              <w:jc w:val="both"/>
              <w:rPr>
                <w:rFonts w:ascii="Arial Narrow" w:hAnsi="Arial Narrow"/>
                <w:bCs/>
                <w:sz w:val="20"/>
              </w:rPr>
            </w:pPr>
            <w:r w:rsidRPr="00E01A8E">
              <w:rPr>
                <w:rFonts w:ascii="Arial Narrow" w:hAnsi="Arial Narrow"/>
                <w:bCs/>
                <w:sz w:val="20"/>
              </w:rPr>
              <w:t>Efficacy of vildagliptin and sitagliptin in patients with type 2 diabetes and severe renal impairment</w:t>
            </w:r>
          </w:p>
        </w:tc>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2014</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Diabetologia 57(1): S357-S358 (extension study, record no. 81, ABSTRACT)</w:t>
            </w:r>
          </w:p>
        </w:tc>
      </w:tr>
      <w:tr w:rsidR="005C2D2A" w:rsidRPr="00E01A8E" w:rsidTr="002756FA">
        <w:tc>
          <w:tcPr>
            <w:tcW w:w="0" w:type="auto"/>
            <w:vMerge/>
          </w:tcPr>
          <w:p w:rsidR="005C2D2A" w:rsidRPr="00E01A8E" w:rsidRDefault="005C2D2A" w:rsidP="00914940">
            <w:pPr>
              <w:keepNext/>
              <w:widowControl w:val="0"/>
              <w:spacing w:before="40" w:after="40"/>
              <w:jc w:val="both"/>
              <w:rPr>
                <w:rFonts w:ascii="Arial Narrow" w:hAnsi="Arial Narrow"/>
                <w:b/>
                <w:sz w:val="20"/>
              </w:rPr>
            </w:pPr>
          </w:p>
        </w:tc>
        <w:tc>
          <w:tcPr>
            <w:tcW w:w="0" w:type="auto"/>
          </w:tcPr>
          <w:p w:rsidR="005C2D2A" w:rsidRPr="00E01A8E" w:rsidRDefault="005C2D2A" w:rsidP="00914940">
            <w:pPr>
              <w:keepNext/>
              <w:widowControl w:val="0"/>
              <w:spacing w:before="40" w:after="40"/>
              <w:jc w:val="both"/>
              <w:rPr>
                <w:rFonts w:ascii="Arial Narrow" w:hAnsi="Arial Narrow"/>
                <w:bCs/>
                <w:sz w:val="20"/>
              </w:rPr>
            </w:pPr>
            <w:r w:rsidRPr="00E01A8E">
              <w:rPr>
                <w:rFonts w:ascii="Arial Narrow" w:hAnsi="Arial Narrow"/>
                <w:bCs/>
                <w:sz w:val="20"/>
              </w:rPr>
              <w:t>Safety and Tolerability of Vildagliptin Versus Sitagliptin in Patients With Type 2 Diabetes and Severe Renal Insufficiency (Study 2, NCT00616811)</w:t>
            </w:r>
          </w:p>
        </w:tc>
        <w:tc>
          <w:tcPr>
            <w:tcW w:w="0" w:type="auto"/>
          </w:tcPr>
          <w:p w:rsidR="005C2D2A" w:rsidRPr="00E01A8E" w:rsidRDefault="005C2D2A" w:rsidP="00914940">
            <w:pPr>
              <w:keepNext/>
              <w:widowControl w:val="0"/>
              <w:spacing w:before="40" w:after="40"/>
              <w:jc w:val="both"/>
              <w:rPr>
                <w:rFonts w:ascii="Arial Narrow" w:hAnsi="Arial Narrow"/>
                <w:b/>
                <w:sz w:val="20"/>
              </w:rPr>
            </w:pPr>
          </w:p>
        </w:tc>
      </w:tr>
      <w:tr w:rsidR="005C2D2A" w:rsidRPr="00E01A8E" w:rsidTr="002756FA">
        <w:tc>
          <w:tcPr>
            <w:tcW w:w="0" w:type="auto"/>
            <w:vMerge/>
          </w:tcPr>
          <w:p w:rsidR="005C2D2A" w:rsidRPr="00E01A8E" w:rsidRDefault="005C2D2A" w:rsidP="00914940">
            <w:pPr>
              <w:keepNext/>
              <w:widowControl w:val="0"/>
              <w:spacing w:before="40" w:after="40"/>
              <w:jc w:val="both"/>
              <w:rPr>
                <w:rFonts w:ascii="Arial Narrow" w:hAnsi="Arial Narrow"/>
                <w:b/>
                <w:sz w:val="20"/>
              </w:rPr>
            </w:pPr>
          </w:p>
        </w:tc>
        <w:tc>
          <w:tcPr>
            <w:tcW w:w="0" w:type="auto"/>
          </w:tcPr>
          <w:p w:rsidR="005C2D2A" w:rsidRPr="00E01A8E" w:rsidRDefault="005C2D2A" w:rsidP="00914940">
            <w:pPr>
              <w:keepNext/>
              <w:widowControl w:val="0"/>
              <w:spacing w:before="40" w:after="40"/>
              <w:jc w:val="both"/>
              <w:rPr>
                <w:rFonts w:ascii="Arial Narrow" w:hAnsi="Arial Narrow"/>
                <w:b/>
                <w:sz w:val="20"/>
              </w:rPr>
            </w:pPr>
            <w:r w:rsidRPr="00E01A8E">
              <w:rPr>
                <w:rFonts w:ascii="Arial Narrow" w:hAnsi="Arial Narrow"/>
                <w:bCs/>
                <w:sz w:val="20"/>
              </w:rPr>
              <w:t>Safety and Tolerability of Vildagliptin Versus Sitagliptin in Patients With Type 2 Diabetes and Severe Renal Insufficiency (28-week Extension Study 4, NCT00770081)</w:t>
            </w:r>
          </w:p>
        </w:tc>
        <w:tc>
          <w:tcPr>
            <w:tcW w:w="0" w:type="auto"/>
          </w:tcPr>
          <w:p w:rsidR="005C2D2A" w:rsidRPr="00E01A8E" w:rsidRDefault="005C2D2A" w:rsidP="00914940">
            <w:pPr>
              <w:keepNext/>
              <w:widowControl w:val="0"/>
              <w:spacing w:before="40" w:after="40"/>
              <w:jc w:val="both"/>
              <w:rPr>
                <w:rFonts w:ascii="Arial Narrow" w:hAnsi="Arial Narrow"/>
                <w:b/>
                <w:sz w:val="20"/>
              </w:rPr>
            </w:pPr>
          </w:p>
        </w:tc>
      </w:tr>
      <w:tr w:rsidR="005C2D2A" w:rsidRPr="00E01A8E" w:rsidTr="002756FA">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 xml:space="preserve">Tang </w:t>
            </w:r>
          </w:p>
        </w:tc>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Tang, Y.-Z., Wang, G., Jiang, Z.-H., Yan, T.-T., Chen, Y.-J., et al. Efficacy and safety of vildagliptin, sitagliptin, and linagliptin as add-on therapy in Chinese patients with T2DM inadequately controlled with dual combination of insulin and traditional oral hypoglycemic agent. </w:t>
            </w:r>
          </w:p>
        </w:tc>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2015</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iCs/>
                <w:sz w:val="20"/>
              </w:rPr>
              <w:t>Diabetology &amp; Metabolic Syndrome</w:t>
            </w:r>
            <w:r w:rsidRPr="00E01A8E">
              <w:rPr>
                <w:rFonts w:ascii="Arial Narrow" w:hAnsi="Arial Narrow"/>
                <w:sz w:val="20"/>
              </w:rPr>
              <w:t>, </w:t>
            </w:r>
            <w:r w:rsidRPr="00E01A8E">
              <w:rPr>
                <w:rFonts w:ascii="Arial Narrow" w:hAnsi="Arial Narrow"/>
                <w:iCs/>
                <w:sz w:val="20"/>
              </w:rPr>
              <w:t>7</w:t>
            </w:r>
            <w:r w:rsidRPr="00E01A8E">
              <w:rPr>
                <w:rFonts w:ascii="Arial Narrow" w:hAnsi="Arial Narrow"/>
                <w:sz w:val="20"/>
              </w:rPr>
              <w:t xml:space="preserve">, 91. </w:t>
            </w:r>
          </w:p>
        </w:tc>
      </w:tr>
      <w:tr w:rsidR="005C2D2A" w:rsidRPr="00E01A8E" w:rsidTr="002756FA">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Study ADE07</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(CLAF237ADE07)</w:t>
            </w:r>
          </w:p>
        </w:tc>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Multicentric cross-over trial to assess the glycemic profiles on 8 weeks of vildagliptin and sitagliptin treatment, each, in type 2 diabetic patients with a pre-existing cardiovascular disease pre-treated with insulin, using a PROBE design.</w:t>
            </w:r>
          </w:p>
          <w:p w:rsidR="005C2D2A" w:rsidRPr="00E01A8E" w:rsidRDefault="005C2D2A" w:rsidP="00914940">
            <w:pPr>
              <w:keepNext/>
              <w:widowControl w:val="0"/>
              <w:spacing w:before="40" w:after="40"/>
              <w:jc w:val="both"/>
              <w:rPr>
                <w:rFonts w:ascii="Arial Narrow" w:hAnsi="Arial Narrow"/>
                <w:sz w:val="20"/>
              </w:rPr>
            </w:pP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Vildagliptin vs</w:t>
            </w:r>
            <w:r w:rsidR="005751A6" w:rsidRPr="00E01A8E">
              <w:rPr>
                <w:rFonts w:ascii="Arial Narrow" w:hAnsi="Arial Narrow"/>
                <w:sz w:val="20"/>
              </w:rPr>
              <w:t>.</w:t>
            </w:r>
            <w:r w:rsidRPr="00E01A8E">
              <w:rPr>
                <w:rFonts w:ascii="Arial Narrow" w:hAnsi="Arial Narrow"/>
                <w:sz w:val="20"/>
              </w:rPr>
              <w:t xml:space="preserve"> Sitagliptin add-on to insulin - impact on glycaemic profile and correlation of hypoglycaemic episodes and heart function (Study 7, NCT01686932)</w:t>
            </w:r>
          </w:p>
        </w:tc>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2015</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Novartis Clinical Study Report</w:t>
            </w:r>
          </w:p>
        </w:tc>
      </w:tr>
      <w:tr w:rsidR="005C2D2A" w:rsidRPr="00E01A8E" w:rsidTr="002756FA">
        <w:tc>
          <w:tcPr>
            <w:tcW w:w="0" w:type="auto"/>
            <w:gridSpan w:val="3"/>
          </w:tcPr>
          <w:p w:rsidR="005C2D2A" w:rsidRPr="00E01A8E" w:rsidRDefault="005C2D2A" w:rsidP="00914940">
            <w:pPr>
              <w:keepNext/>
              <w:widowControl w:val="0"/>
              <w:spacing w:before="40" w:after="40"/>
              <w:jc w:val="both"/>
              <w:rPr>
                <w:rFonts w:ascii="Arial Narrow" w:hAnsi="Arial Narrow"/>
                <w:b/>
                <w:sz w:val="20"/>
              </w:rPr>
            </w:pPr>
            <w:r w:rsidRPr="00E01A8E">
              <w:rPr>
                <w:rFonts w:ascii="Arial Narrow" w:hAnsi="Arial Narrow"/>
                <w:b/>
                <w:sz w:val="20"/>
              </w:rPr>
              <w:t>Supplementary placebo-controlled trials</w:t>
            </w:r>
          </w:p>
        </w:tc>
      </w:tr>
      <w:tr w:rsidR="005C2D2A" w:rsidRPr="00E01A8E" w:rsidTr="002756FA">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Study 23135</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(CLAF237A23135)</w:t>
            </w:r>
          </w:p>
        </w:tc>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Wraith L, Paramal R, Kozlovski P, Lukashevich V</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A 24-week, multi-center, double-blind, randomized, placebo-controlled, parallel-group study to assess the efficacy and safety of vildagliptin 50mg bid as an add-on therapy to insulin, with or without metformin, in patients with type 2 diabetes mellitus</w:t>
            </w:r>
          </w:p>
        </w:tc>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2012</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Novartis Clinical Study Report</w:t>
            </w:r>
          </w:p>
          <w:p w:rsidR="005C2D2A" w:rsidRPr="00E01A8E" w:rsidRDefault="005C2D2A" w:rsidP="00914940">
            <w:pPr>
              <w:keepNext/>
              <w:widowControl w:val="0"/>
              <w:spacing w:before="40" w:after="40"/>
              <w:jc w:val="both"/>
              <w:rPr>
                <w:rFonts w:ascii="Arial Narrow" w:hAnsi="Arial Narrow"/>
                <w:sz w:val="20"/>
              </w:rPr>
            </w:pPr>
          </w:p>
        </w:tc>
      </w:tr>
      <w:tr w:rsidR="005C2D2A" w:rsidRPr="00E01A8E" w:rsidTr="002756FA">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Study 2311</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(CLAF237A2311)</w:t>
            </w:r>
          </w:p>
        </w:tc>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Albrecht, D., Shirt L., Dejager S., Schweizer A.</w:t>
            </w:r>
          </w:p>
          <w:p w:rsidR="005C2D2A" w:rsidRPr="00E01A8E" w:rsidRDefault="005C2D2A" w:rsidP="00914940">
            <w:pPr>
              <w:keepNext/>
              <w:widowControl w:val="0"/>
              <w:spacing w:before="40" w:after="40"/>
              <w:jc w:val="both"/>
              <w:rPr>
                <w:rFonts w:ascii="Arial Narrow" w:hAnsi="Arial Narrow"/>
                <w:bCs/>
                <w:sz w:val="20"/>
              </w:rPr>
            </w:pPr>
            <w:r w:rsidRPr="00E01A8E">
              <w:rPr>
                <w:rFonts w:ascii="Arial Narrow" w:hAnsi="Arial Narrow"/>
                <w:bCs/>
                <w:sz w:val="20"/>
              </w:rPr>
              <w:t xml:space="preserve">A </w:t>
            </w:r>
            <w:r w:rsidR="00B37CF3" w:rsidRPr="00E01A8E">
              <w:rPr>
                <w:rFonts w:ascii="Arial Narrow" w:hAnsi="Arial Narrow"/>
                <w:bCs/>
                <w:sz w:val="20"/>
              </w:rPr>
              <w:t>multi-center</w:t>
            </w:r>
            <w:r w:rsidRPr="00E01A8E">
              <w:rPr>
                <w:rFonts w:ascii="Arial Narrow" w:hAnsi="Arial Narrow"/>
                <w:bCs/>
                <w:sz w:val="20"/>
              </w:rPr>
              <w:t>, double-blind, randomized, parallel-group study to compare the effect of 24 weeks treatment with LAF237 50 mg bid to placebo as add-on therapy in patients with type 2 diabetes treated with insulin</w:t>
            </w:r>
          </w:p>
        </w:tc>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2005</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Novartis Clinical Study Report</w:t>
            </w:r>
          </w:p>
        </w:tc>
      </w:tr>
      <w:tr w:rsidR="005C2D2A" w:rsidRPr="00E01A8E" w:rsidTr="002756FA">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Study 23137</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(CLAF237A23137)</w:t>
            </w:r>
          </w:p>
        </w:tc>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Naik R, Wilkinson C, Paramal R, Lukashevich V</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A multi-center, randomized, double-blind, clinical trial to evaluate the safety and</w:t>
            </w:r>
          </w:p>
          <w:p w:rsidR="005C2D2A" w:rsidRDefault="005C2D2A" w:rsidP="00914940">
            <w:pPr>
              <w:keepNext/>
              <w:widowControl w:val="0"/>
              <w:spacing w:before="40" w:after="40"/>
              <w:jc w:val="both"/>
              <w:rPr>
                <w:rFonts w:ascii="Arial Narrow" w:hAnsi="Arial Narrow"/>
                <w:sz w:val="20"/>
              </w:rPr>
            </w:pPr>
            <w:r w:rsidRPr="00E01A8E">
              <w:rPr>
                <w:rFonts w:ascii="Arial Narrow" w:hAnsi="Arial Narrow"/>
                <w:sz w:val="20"/>
              </w:rPr>
              <w:t>tolerability of 24 weeks treatment with vildagliptin (50 mg qd) versus placebo in patients with type 2 diabetes and moderate or severe renal insufficiency</w:t>
            </w:r>
          </w:p>
          <w:p w:rsidR="00C43ECD" w:rsidRDefault="00C43ECD" w:rsidP="00914940">
            <w:pPr>
              <w:keepNext/>
              <w:widowControl w:val="0"/>
              <w:spacing w:before="40" w:after="40"/>
              <w:jc w:val="both"/>
              <w:rPr>
                <w:rFonts w:ascii="Arial Narrow" w:hAnsi="Arial Narrow"/>
                <w:sz w:val="20"/>
              </w:rPr>
            </w:pPr>
          </w:p>
          <w:p w:rsidR="00C43ECD" w:rsidRPr="00E01A8E" w:rsidRDefault="00C43ECD" w:rsidP="00914940">
            <w:pPr>
              <w:keepNext/>
              <w:widowControl w:val="0"/>
              <w:spacing w:before="40" w:after="40"/>
              <w:jc w:val="both"/>
              <w:rPr>
                <w:rFonts w:ascii="Arial Narrow" w:hAnsi="Arial Narrow"/>
                <w:sz w:val="20"/>
              </w:rPr>
            </w:pPr>
          </w:p>
        </w:tc>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2011</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Novartis Clinical Study Report</w:t>
            </w:r>
          </w:p>
        </w:tc>
      </w:tr>
      <w:tr w:rsidR="005C2D2A" w:rsidRPr="00E01A8E" w:rsidTr="002756FA">
        <w:tc>
          <w:tcPr>
            <w:tcW w:w="0" w:type="auto"/>
            <w:gridSpan w:val="3"/>
          </w:tcPr>
          <w:p w:rsidR="005C2D2A" w:rsidRPr="00E01A8E" w:rsidRDefault="005C2D2A" w:rsidP="00914940">
            <w:pPr>
              <w:keepNext/>
              <w:widowControl w:val="0"/>
              <w:spacing w:before="40" w:after="40"/>
              <w:jc w:val="both"/>
              <w:rPr>
                <w:rFonts w:ascii="Arial Narrow" w:hAnsi="Arial Narrow"/>
                <w:b/>
                <w:sz w:val="20"/>
              </w:rPr>
            </w:pPr>
            <w:r w:rsidRPr="00E01A8E">
              <w:rPr>
                <w:rFonts w:ascii="Arial Narrow" w:hAnsi="Arial Narrow"/>
                <w:b/>
                <w:sz w:val="20"/>
              </w:rPr>
              <w:t>Re-presented bioequivalence Trials</w:t>
            </w:r>
          </w:p>
        </w:tc>
      </w:tr>
      <w:tr w:rsidR="005C2D2A" w:rsidRPr="00E01A8E" w:rsidTr="002756FA">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LMF2303</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(LMF237A2303)</w:t>
            </w:r>
          </w:p>
        </w:tc>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He YL, Paladini S, Leon S, Ligueros M</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An open-label, randomized, single-dose, crossover, study to establish the bioequivalence between the fixed combination of 50/500 mg LAF237/Metformin tablet and the free combination of LAF237 50 mg and Metformin (Glucophage®) 500 mg tablets</w:t>
            </w:r>
          </w:p>
        </w:tc>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2006</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Novartis Clinical Study Report</w:t>
            </w:r>
          </w:p>
        </w:tc>
      </w:tr>
      <w:tr w:rsidR="005C2D2A" w:rsidRPr="00E01A8E" w:rsidTr="002756FA">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LMF2307</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(LMF237A2307)</w:t>
            </w:r>
          </w:p>
        </w:tc>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He YL, Sabia H, Ligueros M, Leon S</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An open-label, randomized, single-dose, crossover, study to establish the bioequivalence between the fixed combination of 50/850 mg LAF237/metformin FMI tablet and the free combination of LAF237 50 mg tablet and metformin (Glucophage®) 850 mg tablet</w:t>
            </w:r>
          </w:p>
        </w:tc>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2006</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Novartis Clinical Study Report</w:t>
            </w:r>
          </w:p>
        </w:tc>
      </w:tr>
      <w:tr w:rsidR="005C2D2A" w:rsidRPr="00E01A8E" w:rsidTr="002756FA">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LMF2301</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(CLMF237A2301)</w:t>
            </w:r>
          </w:p>
        </w:tc>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He YL, Paladini S, Leon S, Ligueros M</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An open-label, randomized, single-dose, crossover, study to establish the bioequivalence between the fixed combination of 50/1000 mg LAF237/metformin tablet and the free combination of LAF237 50 mg and metformin (Glucophage®) 1000 mg (2 x 500 mg) tablets</w:t>
            </w:r>
          </w:p>
        </w:tc>
        <w:tc>
          <w:tcPr>
            <w:tcW w:w="0" w:type="auto"/>
          </w:tcPr>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2006</w:t>
            </w:r>
          </w:p>
          <w:p w:rsidR="005C2D2A" w:rsidRPr="00E01A8E" w:rsidRDefault="005C2D2A" w:rsidP="00914940">
            <w:pPr>
              <w:keepNext/>
              <w:widowControl w:val="0"/>
              <w:spacing w:before="40" w:after="40"/>
              <w:jc w:val="both"/>
              <w:rPr>
                <w:rFonts w:ascii="Arial Narrow" w:hAnsi="Arial Narrow"/>
                <w:sz w:val="20"/>
              </w:rPr>
            </w:pPr>
            <w:r w:rsidRPr="00E01A8E">
              <w:rPr>
                <w:rFonts w:ascii="Arial Narrow" w:hAnsi="Arial Narrow"/>
                <w:sz w:val="20"/>
              </w:rPr>
              <w:t>Novartis Clinical Study Report</w:t>
            </w:r>
          </w:p>
        </w:tc>
      </w:tr>
    </w:tbl>
    <w:p w:rsidR="007F1F37" w:rsidRPr="00E01A8E" w:rsidRDefault="00564261" w:rsidP="00B8794E">
      <w:pPr>
        <w:pStyle w:val="TableFooter"/>
      </w:pPr>
      <w:r w:rsidRPr="00E01A8E">
        <w:t xml:space="preserve">Abbreviation: bid – twice per day; qd- once per day; </w:t>
      </w:r>
      <w:r w:rsidR="007F1F37" w:rsidRPr="00E01A8E">
        <w:t>Source: Table 2.3, p22-24 and Table 2.4, p24 of the submission, Attachments 9-11 of the submission, UMIN-CTR Clinical Trial website</w:t>
      </w:r>
    </w:p>
    <w:p w:rsidR="00C317F3" w:rsidRPr="00E01A8E" w:rsidRDefault="00DA7DFD" w:rsidP="00B8794E">
      <w:pPr>
        <w:pStyle w:val="ListParagraph"/>
        <w:numPr>
          <w:ilvl w:val="1"/>
          <w:numId w:val="3"/>
        </w:numPr>
        <w:spacing w:before="0" w:after="120"/>
        <w:jc w:val="both"/>
      </w:pPr>
      <w:r w:rsidRPr="00E01A8E">
        <w:t>K</w:t>
      </w:r>
      <w:r w:rsidR="00C317F3" w:rsidRPr="00E01A8E">
        <w:t>ey features o</w:t>
      </w:r>
      <w:r w:rsidR="0050245A" w:rsidRPr="00E01A8E">
        <w:t xml:space="preserve">f the </w:t>
      </w:r>
      <w:r w:rsidR="00325A42" w:rsidRPr="00E01A8E">
        <w:t xml:space="preserve">three </w:t>
      </w:r>
      <w:r w:rsidR="0050245A" w:rsidRPr="00E01A8E">
        <w:t>direct randomised trials</w:t>
      </w:r>
      <w:r w:rsidR="00C317F3" w:rsidRPr="00E01A8E">
        <w:t xml:space="preserve"> are summarised in </w:t>
      </w:r>
      <w:r w:rsidRPr="00E01A8E">
        <w:t>T</w:t>
      </w:r>
      <w:r w:rsidR="00C317F3" w:rsidRPr="00E01A8E">
        <w:t xml:space="preserve">able </w:t>
      </w:r>
      <w:r w:rsidRPr="00E01A8E">
        <w:t>3</w:t>
      </w:r>
      <w:r w:rsidR="00C317F3" w:rsidRPr="00E01A8E">
        <w:t>.</w:t>
      </w:r>
    </w:p>
    <w:p w:rsidR="00914940" w:rsidRPr="00E01A8E" w:rsidRDefault="00914940" w:rsidP="00914940">
      <w:pPr>
        <w:pStyle w:val="ListParagraph"/>
        <w:spacing w:before="0" w:after="120"/>
        <w:jc w:val="both"/>
      </w:pPr>
    </w:p>
    <w:p w:rsidR="00C317F3" w:rsidRPr="00E01A8E" w:rsidRDefault="007A0EA2" w:rsidP="00466705">
      <w:pPr>
        <w:pStyle w:val="TableHeading0"/>
        <w:jc w:val="both"/>
      </w:pPr>
      <w:r w:rsidRPr="00E01A8E">
        <w:t>Table 3</w:t>
      </w:r>
      <w:r w:rsidR="00C317F3" w:rsidRPr="00E01A8E">
        <w:t xml:space="preserve">: Key features of the </w:t>
      </w:r>
      <w:r w:rsidR="009D6364">
        <w:t>three randomis</w:t>
      </w:r>
      <w:r w:rsidR="00222B28" w:rsidRPr="00E01A8E">
        <w:t xml:space="preserve">ed trials </w:t>
      </w:r>
      <w:r w:rsidR="007721FF" w:rsidRPr="00E01A8E">
        <w:t>of vildagliptin compared to sitaglip</w:t>
      </w:r>
      <w:r w:rsidR="003912E8" w:rsidRPr="00E01A8E">
        <w:t>t</w:t>
      </w:r>
      <w:r w:rsidR="007721FF" w:rsidRPr="00E01A8E">
        <w:t>in and linagliptin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99"/>
        <w:gridCol w:w="544"/>
        <w:gridCol w:w="1069"/>
        <w:gridCol w:w="806"/>
        <w:gridCol w:w="3794"/>
        <w:gridCol w:w="2070"/>
      </w:tblGrid>
      <w:tr w:rsidR="00EF2AD4" w:rsidRPr="00E01A8E" w:rsidTr="002756FA">
        <w:tc>
          <w:tcPr>
            <w:tcW w:w="0" w:type="auto"/>
            <w:shd w:val="clear" w:color="auto" w:fill="auto"/>
            <w:vAlign w:val="center"/>
          </w:tcPr>
          <w:p w:rsidR="00EF2AD4" w:rsidRPr="00E01A8E" w:rsidRDefault="00EF2AD4" w:rsidP="00914940">
            <w:pPr>
              <w:pStyle w:val="TableText"/>
              <w:jc w:val="both"/>
              <w:rPr>
                <w:b/>
              </w:rPr>
            </w:pPr>
            <w:r w:rsidRPr="00E01A8E">
              <w:rPr>
                <w:b/>
              </w:rPr>
              <w:t>Trial</w:t>
            </w:r>
          </w:p>
        </w:tc>
        <w:tc>
          <w:tcPr>
            <w:tcW w:w="0" w:type="auto"/>
            <w:shd w:val="clear" w:color="auto" w:fill="auto"/>
            <w:vAlign w:val="center"/>
          </w:tcPr>
          <w:p w:rsidR="00EF2AD4" w:rsidRPr="00E01A8E" w:rsidRDefault="00EF2AD4" w:rsidP="00914940">
            <w:pPr>
              <w:pStyle w:val="TableText"/>
              <w:jc w:val="both"/>
              <w:rPr>
                <w:b/>
              </w:rPr>
            </w:pPr>
            <w:r w:rsidRPr="00E01A8E">
              <w:rPr>
                <w:b/>
              </w:rPr>
              <w:t>N</w:t>
            </w:r>
          </w:p>
        </w:tc>
        <w:tc>
          <w:tcPr>
            <w:tcW w:w="0" w:type="auto"/>
            <w:shd w:val="clear" w:color="auto" w:fill="auto"/>
            <w:vAlign w:val="center"/>
          </w:tcPr>
          <w:p w:rsidR="00EF2AD4" w:rsidRPr="00E01A8E" w:rsidRDefault="00EF2AD4" w:rsidP="00914940">
            <w:pPr>
              <w:pStyle w:val="TableText"/>
              <w:jc w:val="both"/>
              <w:rPr>
                <w:b/>
              </w:rPr>
            </w:pPr>
            <w:r w:rsidRPr="00E01A8E">
              <w:rPr>
                <w:b/>
              </w:rPr>
              <w:t>Design/ duration of follow-up</w:t>
            </w:r>
          </w:p>
        </w:tc>
        <w:tc>
          <w:tcPr>
            <w:tcW w:w="0" w:type="auto"/>
            <w:shd w:val="clear" w:color="auto" w:fill="auto"/>
            <w:vAlign w:val="center"/>
          </w:tcPr>
          <w:p w:rsidR="00EF2AD4" w:rsidRPr="00E01A8E" w:rsidRDefault="00EF2AD4" w:rsidP="00914940">
            <w:pPr>
              <w:pStyle w:val="TableText"/>
              <w:jc w:val="both"/>
              <w:rPr>
                <w:b/>
              </w:rPr>
            </w:pPr>
            <w:r w:rsidRPr="00E01A8E">
              <w:rPr>
                <w:b/>
              </w:rPr>
              <w:t>Risk of bias</w:t>
            </w:r>
          </w:p>
        </w:tc>
        <w:tc>
          <w:tcPr>
            <w:tcW w:w="0" w:type="auto"/>
            <w:shd w:val="clear" w:color="auto" w:fill="auto"/>
            <w:vAlign w:val="center"/>
          </w:tcPr>
          <w:p w:rsidR="00EF2AD4" w:rsidRPr="00E01A8E" w:rsidRDefault="00EF2AD4" w:rsidP="00914940">
            <w:pPr>
              <w:pStyle w:val="TableText"/>
              <w:jc w:val="both"/>
              <w:rPr>
                <w:b/>
              </w:rPr>
            </w:pPr>
            <w:r w:rsidRPr="00E01A8E">
              <w:rPr>
                <w:b/>
              </w:rPr>
              <w:t>Patient population</w:t>
            </w:r>
          </w:p>
        </w:tc>
        <w:tc>
          <w:tcPr>
            <w:tcW w:w="0" w:type="auto"/>
            <w:shd w:val="clear" w:color="auto" w:fill="auto"/>
            <w:vAlign w:val="center"/>
          </w:tcPr>
          <w:p w:rsidR="00EF2AD4" w:rsidRPr="00E01A8E" w:rsidRDefault="00EF2AD4" w:rsidP="00914940">
            <w:pPr>
              <w:pStyle w:val="TableText"/>
              <w:jc w:val="both"/>
              <w:rPr>
                <w:b/>
              </w:rPr>
            </w:pPr>
            <w:r w:rsidRPr="00E01A8E">
              <w:rPr>
                <w:b/>
              </w:rPr>
              <w:t>Outcome(s)</w:t>
            </w:r>
          </w:p>
        </w:tc>
      </w:tr>
      <w:tr w:rsidR="00EF2AD4" w:rsidRPr="00E01A8E" w:rsidTr="002756FA">
        <w:tc>
          <w:tcPr>
            <w:tcW w:w="0" w:type="auto"/>
            <w:shd w:val="clear" w:color="auto" w:fill="auto"/>
            <w:vAlign w:val="center"/>
          </w:tcPr>
          <w:p w:rsidR="00EF2AD4" w:rsidRPr="00E01A8E" w:rsidRDefault="00EF6904" w:rsidP="00914940">
            <w:pPr>
              <w:pStyle w:val="TableText"/>
              <w:jc w:val="both"/>
              <w:rPr>
                <w:b/>
              </w:rPr>
            </w:pPr>
            <w:r w:rsidRPr="00E01A8E">
              <w:rPr>
                <w:b/>
              </w:rPr>
              <w:t>Study 23138</w:t>
            </w:r>
          </w:p>
        </w:tc>
        <w:tc>
          <w:tcPr>
            <w:tcW w:w="0" w:type="auto"/>
            <w:shd w:val="clear" w:color="auto" w:fill="auto"/>
            <w:vAlign w:val="center"/>
          </w:tcPr>
          <w:p w:rsidR="00EF2AD4" w:rsidRPr="00E01A8E" w:rsidRDefault="001D7562" w:rsidP="00914940">
            <w:pPr>
              <w:pStyle w:val="TableText"/>
              <w:jc w:val="both"/>
            </w:pPr>
            <w:r w:rsidRPr="00E01A8E">
              <w:t>N=148</w:t>
            </w:r>
          </w:p>
        </w:tc>
        <w:tc>
          <w:tcPr>
            <w:tcW w:w="0" w:type="auto"/>
            <w:shd w:val="clear" w:color="auto" w:fill="auto"/>
            <w:vAlign w:val="center"/>
          </w:tcPr>
          <w:p w:rsidR="00EF2AD4" w:rsidRPr="00E01A8E" w:rsidRDefault="00FC5F17" w:rsidP="00914940">
            <w:pPr>
              <w:pStyle w:val="TableText"/>
              <w:jc w:val="both"/>
              <w:rPr>
                <w:rFonts w:ascii="Times" w:eastAsia="Times New Roman" w:hAnsi="Times" w:cs="Times New Roman"/>
              </w:rPr>
            </w:pPr>
            <w:r w:rsidRPr="00E01A8E">
              <w:t>DB, R, MC</w:t>
            </w:r>
          </w:p>
          <w:p w:rsidR="00EF2AD4" w:rsidRPr="00E01A8E" w:rsidRDefault="00BB4EA9" w:rsidP="00914940">
            <w:pPr>
              <w:pStyle w:val="TableText"/>
              <w:jc w:val="both"/>
            </w:pPr>
            <w:r w:rsidRPr="00E01A8E">
              <w:t xml:space="preserve">24 </w:t>
            </w:r>
            <w:r w:rsidR="00EF2AD4" w:rsidRPr="00E01A8E">
              <w:t>weeks</w:t>
            </w:r>
          </w:p>
          <w:p w:rsidR="00A2063E" w:rsidRPr="00E01A8E" w:rsidRDefault="00A2063E" w:rsidP="00914940">
            <w:pPr>
              <w:pStyle w:val="TableText"/>
              <w:jc w:val="both"/>
              <w:rPr>
                <w:rFonts w:ascii="Times" w:eastAsia="Times New Roman" w:hAnsi="Times" w:cs="Times New Roman"/>
              </w:rPr>
            </w:pPr>
            <w:r w:rsidRPr="00E01A8E">
              <w:t>(28 weeks follow-up)</w:t>
            </w:r>
          </w:p>
        </w:tc>
        <w:tc>
          <w:tcPr>
            <w:tcW w:w="0" w:type="auto"/>
            <w:shd w:val="clear" w:color="auto" w:fill="auto"/>
            <w:vAlign w:val="center"/>
          </w:tcPr>
          <w:p w:rsidR="00EF2AD4" w:rsidRPr="00E01A8E" w:rsidRDefault="00EF2AD4" w:rsidP="00914940">
            <w:pPr>
              <w:pStyle w:val="TableText"/>
              <w:jc w:val="both"/>
              <w:rPr>
                <w:rFonts w:ascii="Times" w:eastAsia="Times New Roman" w:hAnsi="Times" w:cs="Times New Roman"/>
              </w:rPr>
            </w:pPr>
            <w:r w:rsidRPr="00E01A8E">
              <w:t>Low</w:t>
            </w:r>
          </w:p>
        </w:tc>
        <w:tc>
          <w:tcPr>
            <w:tcW w:w="0" w:type="auto"/>
            <w:shd w:val="clear" w:color="auto" w:fill="auto"/>
            <w:vAlign w:val="center"/>
          </w:tcPr>
          <w:p w:rsidR="00A33FD5" w:rsidRPr="00E01A8E" w:rsidRDefault="00CE49AB" w:rsidP="00914940">
            <w:pPr>
              <w:pStyle w:val="TableText"/>
              <w:jc w:val="both"/>
              <w:rPr>
                <w:lang w:val="en-US"/>
              </w:rPr>
            </w:pPr>
            <w:r w:rsidRPr="00E01A8E">
              <w:rPr>
                <w:lang w:val="en-US"/>
              </w:rPr>
              <w:t>T2DM</w:t>
            </w:r>
            <w:r w:rsidR="00A33FD5" w:rsidRPr="00E01A8E">
              <w:rPr>
                <w:lang w:val="en-US"/>
              </w:rPr>
              <w:t xml:space="preserve"> + severe renal insufficiency</w:t>
            </w:r>
            <w:r w:rsidRPr="00E01A8E">
              <w:rPr>
                <w:lang w:val="en-US"/>
              </w:rPr>
              <w:t xml:space="preserve">; </w:t>
            </w:r>
          </w:p>
          <w:p w:rsidR="00A33FD5" w:rsidRPr="00E01A8E" w:rsidRDefault="00CE49AB" w:rsidP="00914940">
            <w:pPr>
              <w:pStyle w:val="TableText"/>
              <w:jc w:val="both"/>
              <w:rPr>
                <w:lang w:val="en-US"/>
              </w:rPr>
            </w:pPr>
            <w:r w:rsidRPr="00E01A8E">
              <w:rPr>
                <w:lang w:val="en-US"/>
              </w:rPr>
              <w:t xml:space="preserve">18-85 years; </w:t>
            </w:r>
          </w:p>
          <w:p w:rsidR="00CE49AB" w:rsidRPr="00E01A8E" w:rsidRDefault="00CE49AB" w:rsidP="00914940">
            <w:pPr>
              <w:pStyle w:val="TableText"/>
              <w:jc w:val="both"/>
              <w:rPr>
                <w:rFonts w:cs="Arial"/>
              </w:rPr>
            </w:pPr>
            <w:r w:rsidRPr="00E01A8E">
              <w:rPr>
                <w:rFonts w:cs="Arial"/>
              </w:rPr>
              <w:t xml:space="preserve">HbA1c 6.5-10.0%; </w:t>
            </w:r>
          </w:p>
          <w:p w:rsidR="00EF2AD4" w:rsidRPr="00E01A8E" w:rsidRDefault="00CE49AB" w:rsidP="00914940">
            <w:pPr>
              <w:pStyle w:val="TableText"/>
              <w:jc w:val="both"/>
            </w:pPr>
            <w:r w:rsidRPr="00E01A8E">
              <w:t>BMI 18-42 kg/m</w:t>
            </w:r>
            <w:r w:rsidRPr="00E01A8E">
              <w:rPr>
                <w:vertAlign w:val="superscript"/>
              </w:rPr>
              <w:t>2</w:t>
            </w:r>
            <w:r w:rsidRPr="00E01A8E">
              <w:t>;</w:t>
            </w:r>
          </w:p>
          <w:p w:rsidR="00CE49AB" w:rsidRPr="00E01A8E" w:rsidRDefault="00CE49AB" w:rsidP="00914940">
            <w:pPr>
              <w:keepNext/>
              <w:spacing w:before="0" w:after="60"/>
              <w:jc w:val="both"/>
              <w:rPr>
                <w:rFonts w:ascii="Arial Narrow" w:hAnsi="Arial Narrow"/>
                <w:sz w:val="20"/>
                <w:vertAlign w:val="superscript"/>
                <w:lang w:val="de-DE"/>
              </w:rPr>
            </w:pPr>
            <w:r w:rsidRPr="00E01A8E">
              <w:rPr>
                <w:rFonts w:ascii="Arial Narrow" w:hAnsi="Arial Narrow"/>
                <w:sz w:val="20"/>
                <w:lang w:val="de-DE"/>
              </w:rPr>
              <w:t>GFR&lt;30mL/min/1.73m</w:t>
            </w:r>
            <w:r w:rsidRPr="00E01A8E">
              <w:rPr>
                <w:rFonts w:ascii="Arial Narrow" w:hAnsi="Arial Narrow"/>
                <w:sz w:val="20"/>
                <w:vertAlign w:val="superscript"/>
                <w:lang w:val="de-DE"/>
              </w:rPr>
              <w:t>2</w:t>
            </w:r>
          </w:p>
          <w:p w:rsidR="00CE49AB" w:rsidRPr="00E01A8E" w:rsidRDefault="00CE49AB" w:rsidP="00914940">
            <w:pPr>
              <w:pStyle w:val="TableText"/>
              <w:jc w:val="both"/>
            </w:pPr>
          </w:p>
          <w:p w:rsidR="00CE49AB" w:rsidRPr="00E01A8E" w:rsidRDefault="00CE49AB" w:rsidP="00914940">
            <w:pPr>
              <w:pStyle w:val="TableText"/>
              <w:jc w:val="both"/>
              <w:rPr>
                <w:rFonts w:ascii="Times" w:eastAsia="Times New Roman" w:hAnsi="Times" w:cs="Times New Roman"/>
              </w:rPr>
            </w:pPr>
            <w:r w:rsidRPr="00E01A8E">
              <w:rPr>
                <w:b/>
              </w:rPr>
              <w:t>Treatment</w:t>
            </w:r>
            <w:r w:rsidRPr="00E01A8E">
              <w:t>: Untreated or treated^ with AD therapy (SU, TZD, meglitinide or insulin) on a stable dose (stable insulin</w:t>
            </w:r>
            <w:r w:rsidRPr="00E01A8E">
              <w:sym w:font="Symbol" w:char="F0B1"/>
            </w:r>
            <w:r w:rsidRPr="00E01A8E">
              <w:t>20%) for 4 weeks prior to 1st visit</w:t>
            </w:r>
          </w:p>
        </w:tc>
        <w:tc>
          <w:tcPr>
            <w:tcW w:w="0" w:type="auto"/>
            <w:shd w:val="clear" w:color="auto" w:fill="auto"/>
            <w:vAlign w:val="center"/>
          </w:tcPr>
          <w:p w:rsidR="00EF6904" w:rsidRPr="00E01A8E" w:rsidRDefault="00EF6904" w:rsidP="00914940">
            <w:pPr>
              <w:pStyle w:val="TableText"/>
              <w:jc w:val="both"/>
            </w:pPr>
            <w:r w:rsidRPr="00E01A8E">
              <w:rPr>
                <w:b/>
              </w:rPr>
              <w:t>Primary:</w:t>
            </w:r>
            <w:r w:rsidRPr="00E01A8E">
              <w:rPr>
                <w:rFonts w:eastAsia="Times New Roman" w:cs="Times New Roman"/>
                <w:szCs w:val="20"/>
              </w:rPr>
              <w:t xml:space="preserve"> AEs and serious AEs at week 24</w:t>
            </w:r>
          </w:p>
          <w:p w:rsidR="00EF6904" w:rsidRPr="00E01A8E" w:rsidRDefault="00EF6904" w:rsidP="00914940">
            <w:pPr>
              <w:pStyle w:val="TableText"/>
              <w:jc w:val="both"/>
            </w:pPr>
            <w:r w:rsidRPr="00E01A8E">
              <w:rPr>
                <w:b/>
              </w:rPr>
              <w:t>Secondary:</w:t>
            </w:r>
            <w:r w:rsidRPr="00E01A8E">
              <w:t xml:space="preserve"> </w:t>
            </w:r>
            <w:r w:rsidRPr="00E01A8E">
              <w:rPr>
                <w:lang w:val="en-US"/>
              </w:rPr>
              <w:t xml:space="preserve">Δ </w:t>
            </w:r>
            <w:r w:rsidRPr="00E01A8E">
              <w:t xml:space="preserve">HbA1c or </w:t>
            </w:r>
            <w:r w:rsidRPr="00E01A8E">
              <w:rPr>
                <w:lang w:val="en-US"/>
              </w:rPr>
              <w:t xml:space="preserve">Δ </w:t>
            </w:r>
            <w:r w:rsidRPr="00E01A8E">
              <w:t>FPG at week 24</w:t>
            </w:r>
          </w:p>
        </w:tc>
      </w:tr>
      <w:tr w:rsidR="00EF2AD4" w:rsidRPr="00E01A8E" w:rsidTr="002756FA">
        <w:tc>
          <w:tcPr>
            <w:tcW w:w="0" w:type="auto"/>
            <w:shd w:val="clear" w:color="auto" w:fill="auto"/>
            <w:vAlign w:val="center"/>
          </w:tcPr>
          <w:p w:rsidR="00EF2AD4" w:rsidRPr="00E01A8E" w:rsidRDefault="00EF6904" w:rsidP="00914940">
            <w:pPr>
              <w:pStyle w:val="TableText"/>
              <w:jc w:val="both"/>
              <w:rPr>
                <w:b/>
              </w:rPr>
            </w:pPr>
            <w:r w:rsidRPr="00E01A8E">
              <w:rPr>
                <w:b/>
              </w:rPr>
              <w:t>Tang 2015</w:t>
            </w:r>
          </w:p>
        </w:tc>
        <w:tc>
          <w:tcPr>
            <w:tcW w:w="0" w:type="auto"/>
            <w:shd w:val="clear" w:color="auto" w:fill="auto"/>
            <w:vAlign w:val="center"/>
          </w:tcPr>
          <w:p w:rsidR="00EF2AD4" w:rsidRPr="00E01A8E" w:rsidRDefault="001D7562" w:rsidP="00914940">
            <w:pPr>
              <w:pStyle w:val="TableText"/>
              <w:jc w:val="both"/>
            </w:pPr>
            <w:r w:rsidRPr="00E01A8E">
              <w:t>N=495</w:t>
            </w:r>
          </w:p>
        </w:tc>
        <w:tc>
          <w:tcPr>
            <w:tcW w:w="0" w:type="auto"/>
            <w:shd w:val="clear" w:color="auto" w:fill="auto"/>
            <w:vAlign w:val="center"/>
          </w:tcPr>
          <w:p w:rsidR="00EF2AD4" w:rsidRPr="00E01A8E" w:rsidRDefault="008B15EB" w:rsidP="00914940">
            <w:pPr>
              <w:pStyle w:val="TableText"/>
              <w:jc w:val="both"/>
              <w:rPr>
                <w:rFonts w:ascii="Times" w:eastAsia="Times New Roman" w:hAnsi="Times" w:cs="Times New Roman"/>
              </w:rPr>
            </w:pPr>
            <w:r w:rsidRPr="00E01A8E">
              <w:t xml:space="preserve">R, </w:t>
            </w:r>
            <w:r w:rsidR="00EF2AD4" w:rsidRPr="00E01A8E">
              <w:t>OL</w:t>
            </w:r>
          </w:p>
          <w:p w:rsidR="00EF2AD4" w:rsidRPr="00E01A8E" w:rsidRDefault="00A2063E" w:rsidP="00914940">
            <w:pPr>
              <w:pStyle w:val="TableText"/>
              <w:jc w:val="both"/>
              <w:rPr>
                <w:rFonts w:ascii="Times" w:eastAsia="Times New Roman" w:hAnsi="Times" w:cs="Times New Roman"/>
              </w:rPr>
            </w:pPr>
            <w:r w:rsidRPr="00E01A8E">
              <w:t xml:space="preserve">12 </w:t>
            </w:r>
            <w:r w:rsidR="00EF2AD4" w:rsidRPr="00E01A8E">
              <w:t>weeks</w:t>
            </w:r>
          </w:p>
        </w:tc>
        <w:tc>
          <w:tcPr>
            <w:tcW w:w="0" w:type="auto"/>
            <w:shd w:val="clear" w:color="auto" w:fill="auto"/>
            <w:vAlign w:val="center"/>
          </w:tcPr>
          <w:p w:rsidR="00EF2AD4" w:rsidRPr="00E01A8E" w:rsidRDefault="00222B28" w:rsidP="00914940">
            <w:pPr>
              <w:pStyle w:val="TableText"/>
              <w:jc w:val="both"/>
              <w:rPr>
                <w:rFonts w:ascii="Times" w:eastAsia="Times New Roman" w:hAnsi="Times" w:cs="Times New Roman"/>
              </w:rPr>
            </w:pPr>
            <w:r w:rsidRPr="00E01A8E">
              <w:t>High</w:t>
            </w:r>
          </w:p>
        </w:tc>
        <w:tc>
          <w:tcPr>
            <w:tcW w:w="0" w:type="auto"/>
            <w:shd w:val="clear" w:color="auto" w:fill="auto"/>
            <w:vAlign w:val="center"/>
          </w:tcPr>
          <w:p w:rsidR="00CE49AB" w:rsidRPr="00E01A8E" w:rsidRDefault="00EF2AD4" w:rsidP="00914940">
            <w:pPr>
              <w:pStyle w:val="TableText"/>
              <w:jc w:val="both"/>
              <w:rPr>
                <w:rFonts w:cs="Arial"/>
              </w:rPr>
            </w:pPr>
            <w:r w:rsidRPr="00E01A8E">
              <w:rPr>
                <w:lang w:val="en-US"/>
              </w:rPr>
              <w:t xml:space="preserve">T2DM; </w:t>
            </w:r>
            <w:r w:rsidR="00CE49AB" w:rsidRPr="00E01A8E">
              <w:rPr>
                <w:lang w:val="en-US"/>
              </w:rPr>
              <w:t>&gt;1</w:t>
            </w:r>
            <w:r w:rsidRPr="00E01A8E">
              <w:rPr>
                <w:lang w:val="en-US"/>
              </w:rPr>
              <w:t xml:space="preserve">8 years; </w:t>
            </w:r>
            <w:r w:rsidRPr="00E01A8E">
              <w:rPr>
                <w:rFonts w:cs="Arial"/>
              </w:rPr>
              <w:t xml:space="preserve">HbA1c </w:t>
            </w:r>
            <w:r w:rsidR="00CE49AB" w:rsidRPr="00E01A8E">
              <w:rPr>
                <w:rFonts w:cs="Arial"/>
              </w:rPr>
              <w:t>&gt;7.0</w:t>
            </w:r>
            <w:r w:rsidRPr="00E01A8E">
              <w:rPr>
                <w:rFonts w:cs="Arial"/>
              </w:rPr>
              <w:t xml:space="preserve">%; </w:t>
            </w:r>
          </w:p>
          <w:p w:rsidR="00EF2AD4" w:rsidRPr="00E01A8E" w:rsidRDefault="00CE49AB" w:rsidP="00914940">
            <w:pPr>
              <w:pStyle w:val="TableText"/>
              <w:jc w:val="both"/>
            </w:pPr>
            <w:r w:rsidRPr="00E01A8E">
              <w:t>BMI 22-45</w:t>
            </w:r>
            <w:r w:rsidR="00EF2AD4" w:rsidRPr="00E01A8E">
              <w:t xml:space="preserve"> kg/m</w:t>
            </w:r>
            <w:r w:rsidR="00EF2AD4" w:rsidRPr="00E01A8E">
              <w:rPr>
                <w:vertAlign w:val="superscript"/>
              </w:rPr>
              <w:t>2</w:t>
            </w:r>
            <w:r w:rsidRPr="00E01A8E">
              <w:t>;</w:t>
            </w:r>
          </w:p>
          <w:p w:rsidR="00CE49AB" w:rsidRPr="00E01A8E" w:rsidRDefault="00CE49AB" w:rsidP="00914940">
            <w:pPr>
              <w:pStyle w:val="TableText"/>
              <w:jc w:val="both"/>
            </w:pPr>
          </w:p>
          <w:p w:rsidR="00CE49AB" w:rsidRPr="00E01A8E" w:rsidRDefault="00CE49AB" w:rsidP="00914940">
            <w:pPr>
              <w:pStyle w:val="TableText"/>
              <w:jc w:val="both"/>
            </w:pPr>
            <w:r w:rsidRPr="00E01A8E">
              <w:rPr>
                <w:b/>
              </w:rPr>
              <w:t>Treatment</w:t>
            </w:r>
            <w:r w:rsidRPr="00E01A8E">
              <w:t>: Insulin at a stable dose of 20-80U/d</w:t>
            </w:r>
          </w:p>
          <w:p w:rsidR="00CE49AB" w:rsidRPr="00E01A8E" w:rsidRDefault="00A33FD5" w:rsidP="00914940">
            <w:pPr>
              <w:pStyle w:val="TableText"/>
              <w:jc w:val="both"/>
              <w:rPr>
                <w:rFonts w:ascii="Times" w:eastAsia="Times New Roman" w:hAnsi="Times" w:cs="Times New Roman"/>
              </w:rPr>
            </w:pPr>
            <w:r w:rsidRPr="00E01A8E">
              <w:t>Metformin</w:t>
            </w:r>
            <w:r w:rsidR="00CE49AB" w:rsidRPr="00E01A8E">
              <w:t xml:space="preserve"> or acarbose for at least 12 weeks prior to screening</w:t>
            </w:r>
          </w:p>
        </w:tc>
        <w:tc>
          <w:tcPr>
            <w:tcW w:w="0" w:type="auto"/>
            <w:shd w:val="clear" w:color="auto" w:fill="auto"/>
            <w:vAlign w:val="center"/>
          </w:tcPr>
          <w:p w:rsidR="00EF2AD4" w:rsidRPr="00E01A8E" w:rsidRDefault="00EF6904" w:rsidP="00914940">
            <w:pPr>
              <w:pStyle w:val="TableText"/>
              <w:jc w:val="both"/>
            </w:pPr>
            <w:r w:rsidRPr="00E01A8E">
              <w:rPr>
                <w:b/>
              </w:rPr>
              <w:t>Primary:</w:t>
            </w:r>
            <w:r w:rsidRPr="00E01A8E">
              <w:rPr>
                <w:lang w:val="en-US"/>
              </w:rPr>
              <w:t xml:space="preserve"> Endpoint of the mean Δ </w:t>
            </w:r>
            <w:r w:rsidRPr="00E01A8E">
              <w:t>HbA1c, % of patients &lt;7% HbA1c at week 12</w:t>
            </w:r>
          </w:p>
          <w:p w:rsidR="00EF6904" w:rsidRPr="00E01A8E" w:rsidRDefault="00EF6904" w:rsidP="00914940">
            <w:pPr>
              <w:pStyle w:val="TableText"/>
              <w:jc w:val="both"/>
              <w:rPr>
                <w:rFonts w:ascii="Times" w:eastAsia="Times New Roman" w:hAnsi="Times" w:cs="Times New Roman"/>
              </w:rPr>
            </w:pPr>
            <w:r w:rsidRPr="00E01A8E">
              <w:rPr>
                <w:b/>
              </w:rPr>
              <w:t>Secondary:</w:t>
            </w:r>
            <w:r w:rsidRPr="00E01A8E">
              <w:t xml:space="preserve"> </w:t>
            </w:r>
            <w:r w:rsidRPr="00E01A8E">
              <w:rPr>
                <w:lang w:val="en-US"/>
              </w:rPr>
              <w:t xml:space="preserve">Δ </w:t>
            </w:r>
            <w:r w:rsidRPr="00E01A8E">
              <w:rPr>
                <w:rFonts w:eastAsia="Times New Roman" w:cs="Times New Roman"/>
                <w:szCs w:val="20"/>
              </w:rPr>
              <w:t xml:space="preserve">FPG, </w:t>
            </w:r>
            <w:r w:rsidRPr="00E01A8E">
              <w:rPr>
                <w:lang w:val="en-US"/>
              </w:rPr>
              <w:t xml:space="preserve">Δ </w:t>
            </w:r>
            <w:r w:rsidRPr="00E01A8E">
              <w:rPr>
                <w:rFonts w:eastAsia="Times New Roman" w:cs="Times New Roman"/>
                <w:szCs w:val="20"/>
              </w:rPr>
              <w:t xml:space="preserve">PPG and </w:t>
            </w:r>
            <w:r w:rsidRPr="00E01A8E">
              <w:rPr>
                <w:lang w:val="en-US"/>
              </w:rPr>
              <w:t xml:space="preserve">Δ </w:t>
            </w:r>
            <w:r w:rsidRPr="00E01A8E">
              <w:rPr>
                <w:rFonts w:eastAsia="Times New Roman" w:cs="Times New Roman"/>
                <w:szCs w:val="20"/>
              </w:rPr>
              <w:t>insulin dose at week 12</w:t>
            </w:r>
          </w:p>
        </w:tc>
      </w:tr>
      <w:tr w:rsidR="00EF2AD4" w:rsidRPr="00E01A8E" w:rsidTr="002756FA">
        <w:tc>
          <w:tcPr>
            <w:tcW w:w="0" w:type="auto"/>
            <w:shd w:val="clear" w:color="auto" w:fill="auto"/>
            <w:vAlign w:val="center"/>
          </w:tcPr>
          <w:p w:rsidR="00EF2AD4" w:rsidRPr="00E01A8E" w:rsidRDefault="00EF6904" w:rsidP="00914940">
            <w:pPr>
              <w:pStyle w:val="TableText"/>
              <w:jc w:val="both"/>
              <w:rPr>
                <w:b/>
              </w:rPr>
            </w:pPr>
            <w:r w:rsidRPr="00E01A8E">
              <w:rPr>
                <w:b/>
              </w:rPr>
              <w:t>Study ADE07</w:t>
            </w:r>
          </w:p>
        </w:tc>
        <w:tc>
          <w:tcPr>
            <w:tcW w:w="0" w:type="auto"/>
            <w:shd w:val="clear" w:color="auto" w:fill="auto"/>
            <w:vAlign w:val="center"/>
          </w:tcPr>
          <w:p w:rsidR="00EF2AD4" w:rsidRPr="00E01A8E" w:rsidRDefault="001D7562" w:rsidP="00914940">
            <w:pPr>
              <w:pStyle w:val="TableText"/>
              <w:jc w:val="both"/>
            </w:pPr>
            <w:r w:rsidRPr="00E01A8E">
              <w:t>N=51</w:t>
            </w:r>
          </w:p>
        </w:tc>
        <w:tc>
          <w:tcPr>
            <w:tcW w:w="0" w:type="auto"/>
            <w:shd w:val="clear" w:color="auto" w:fill="auto"/>
            <w:vAlign w:val="center"/>
          </w:tcPr>
          <w:p w:rsidR="00EF2AD4" w:rsidRPr="00E01A8E" w:rsidRDefault="00EF2AD4" w:rsidP="00914940">
            <w:pPr>
              <w:pStyle w:val="TableText"/>
              <w:jc w:val="both"/>
              <w:rPr>
                <w:rFonts w:ascii="Times" w:eastAsia="Times New Roman" w:hAnsi="Times" w:cs="Times New Roman"/>
              </w:rPr>
            </w:pPr>
            <w:r w:rsidRPr="00E01A8E">
              <w:t>R, OL,</w:t>
            </w:r>
            <w:r w:rsidR="00FC5F17" w:rsidRPr="00E01A8E">
              <w:t>MC, CO</w:t>
            </w:r>
          </w:p>
          <w:p w:rsidR="00EF2AD4" w:rsidRPr="00E01A8E" w:rsidRDefault="00A2063E" w:rsidP="00914940">
            <w:pPr>
              <w:pStyle w:val="TableText"/>
              <w:jc w:val="both"/>
              <w:rPr>
                <w:rFonts w:ascii="Times" w:eastAsia="Times New Roman" w:hAnsi="Times" w:cs="Times New Roman"/>
              </w:rPr>
            </w:pPr>
            <w:r w:rsidRPr="00E01A8E">
              <w:t xml:space="preserve">8 </w:t>
            </w:r>
            <w:r w:rsidR="00EF2AD4" w:rsidRPr="00E01A8E">
              <w:t>weeks</w:t>
            </w:r>
          </w:p>
        </w:tc>
        <w:tc>
          <w:tcPr>
            <w:tcW w:w="0" w:type="auto"/>
            <w:shd w:val="clear" w:color="auto" w:fill="auto"/>
            <w:vAlign w:val="center"/>
          </w:tcPr>
          <w:p w:rsidR="00EF2AD4" w:rsidRPr="00E01A8E" w:rsidRDefault="00222B28" w:rsidP="00914940">
            <w:pPr>
              <w:pStyle w:val="TableText"/>
              <w:jc w:val="both"/>
              <w:rPr>
                <w:rFonts w:ascii="Times" w:eastAsia="Times New Roman" w:hAnsi="Times" w:cs="Times New Roman"/>
              </w:rPr>
            </w:pPr>
            <w:r w:rsidRPr="00E01A8E">
              <w:t>Uncertain</w:t>
            </w:r>
          </w:p>
        </w:tc>
        <w:tc>
          <w:tcPr>
            <w:tcW w:w="0" w:type="auto"/>
            <w:shd w:val="clear" w:color="auto" w:fill="auto"/>
            <w:vAlign w:val="center"/>
          </w:tcPr>
          <w:p w:rsidR="00A33FD5" w:rsidRPr="00E01A8E" w:rsidRDefault="00CE49AB" w:rsidP="00914940">
            <w:pPr>
              <w:pStyle w:val="TableText"/>
              <w:jc w:val="both"/>
              <w:rPr>
                <w:lang w:val="en-US"/>
              </w:rPr>
            </w:pPr>
            <w:r w:rsidRPr="00E01A8E">
              <w:rPr>
                <w:lang w:val="en-US"/>
              </w:rPr>
              <w:t>T2DM</w:t>
            </w:r>
            <w:r w:rsidR="00A33FD5" w:rsidRPr="00E01A8E">
              <w:rPr>
                <w:lang w:val="en-US"/>
              </w:rPr>
              <w:t xml:space="preserve"> + cardiovascular risk factors</w:t>
            </w:r>
            <w:r w:rsidRPr="00E01A8E">
              <w:rPr>
                <w:lang w:val="en-US"/>
              </w:rPr>
              <w:t xml:space="preserve">; </w:t>
            </w:r>
          </w:p>
          <w:p w:rsidR="00A33FD5" w:rsidRPr="00E01A8E" w:rsidRDefault="00FF4BC4" w:rsidP="00914940">
            <w:pPr>
              <w:pStyle w:val="TableText"/>
              <w:jc w:val="both"/>
              <w:rPr>
                <w:lang w:val="en-US"/>
              </w:rPr>
            </w:pPr>
            <w:r w:rsidRPr="00E01A8E">
              <w:rPr>
                <w:lang w:val="en-US"/>
              </w:rPr>
              <w:t>40-80</w:t>
            </w:r>
            <w:r w:rsidR="00CE49AB" w:rsidRPr="00E01A8E">
              <w:rPr>
                <w:lang w:val="en-US"/>
              </w:rPr>
              <w:t xml:space="preserve"> years; </w:t>
            </w:r>
          </w:p>
          <w:p w:rsidR="00FF4BC4" w:rsidRPr="00E01A8E" w:rsidRDefault="00CE49AB" w:rsidP="00914940">
            <w:pPr>
              <w:pStyle w:val="TableText"/>
              <w:jc w:val="both"/>
              <w:rPr>
                <w:rFonts w:cs="Arial"/>
              </w:rPr>
            </w:pPr>
            <w:r w:rsidRPr="00E01A8E">
              <w:rPr>
                <w:rFonts w:cs="Arial"/>
              </w:rPr>
              <w:t>HbA1c 7.0-</w:t>
            </w:r>
            <w:r w:rsidR="00FF4BC4" w:rsidRPr="00E01A8E">
              <w:rPr>
                <w:rFonts w:cs="Arial"/>
              </w:rPr>
              <w:t>9</w:t>
            </w:r>
            <w:r w:rsidRPr="00E01A8E">
              <w:rPr>
                <w:rFonts w:cs="Arial"/>
              </w:rPr>
              <w:t xml:space="preserve">.0%; </w:t>
            </w:r>
          </w:p>
          <w:p w:rsidR="00A33FD5" w:rsidRPr="00E01A8E" w:rsidRDefault="00A33FD5" w:rsidP="00914940">
            <w:pPr>
              <w:pStyle w:val="TableText"/>
              <w:jc w:val="both"/>
              <w:rPr>
                <w:rFonts w:cs="Arial"/>
              </w:rPr>
            </w:pPr>
            <w:r w:rsidRPr="00E01A8E">
              <w:rPr>
                <w:rFonts w:cs="Arial"/>
              </w:rPr>
              <w:t>Cardiovascular risk factors</w:t>
            </w:r>
          </w:p>
          <w:p w:rsidR="00FF4BC4" w:rsidRPr="00E01A8E" w:rsidRDefault="00FF4BC4" w:rsidP="00914940">
            <w:pPr>
              <w:pStyle w:val="TableText"/>
              <w:jc w:val="both"/>
            </w:pPr>
          </w:p>
          <w:p w:rsidR="00FF4BC4" w:rsidRPr="00E01A8E" w:rsidRDefault="00FF4BC4" w:rsidP="00914940">
            <w:pPr>
              <w:pStyle w:val="TableText"/>
              <w:jc w:val="both"/>
            </w:pPr>
            <w:r w:rsidRPr="00E01A8E">
              <w:rPr>
                <w:b/>
              </w:rPr>
              <w:t>Treatment:</w:t>
            </w:r>
            <w:r w:rsidRPr="00E01A8E">
              <w:t xml:space="preserve"> Insulin (</w:t>
            </w:r>
            <w:r w:rsidRPr="00E01A8E">
              <w:sym w:font="Symbol" w:char="F0B1"/>
            </w:r>
            <w:r w:rsidRPr="00E01A8E">
              <w:t xml:space="preserve">10%) for at least 12 weeks prior to 1st visit </w:t>
            </w:r>
          </w:p>
          <w:p w:rsidR="00FF4BC4" w:rsidRPr="00E01A8E" w:rsidRDefault="00FF4BC4" w:rsidP="00914940">
            <w:pPr>
              <w:pStyle w:val="TableText"/>
              <w:jc w:val="both"/>
              <w:rPr>
                <w:rFonts w:ascii="Times" w:eastAsia="Times New Roman" w:hAnsi="Times" w:cs="Times New Roman"/>
              </w:rPr>
            </w:pPr>
            <w:r w:rsidRPr="00E01A8E">
              <w:t xml:space="preserve">Optional treatment with stable dose of </w:t>
            </w:r>
            <w:r w:rsidR="00A33FD5" w:rsidRPr="00E01A8E">
              <w:t>metformin</w:t>
            </w:r>
            <w:r w:rsidRPr="00E01A8E">
              <w:t xml:space="preserve"> (≥1500mg/d) for at least 12 weeks prior to screening</w:t>
            </w:r>
          </w:p>
        </w:tc>
        <w:tc>
          <w:tcPr>
            <w:tcW w:w="0" w:type="auto"/>
            <w:shd w:val="clear" w:color="auto" w:fill="auto"/>
            <w:vAlign w:val="center"/>
          </w:tcPr>
          <w:p w:rsidR="00EF2AD4" w:rsidRPr="00E01A8E" w:rsidRDefault="00EF6904" w:rsidP="00914940">
            <w:pPr>
              <w:pStyle w:val="TableText"/>
              <w:jc w:val="both"/>
            </w:pPr>
            <w:r w:rsidRPr="00E01A8E">
              <w:rPr>
                <w:b/>
              </w:rPr>
              <w:t xml:space="preserve">Primary: </w:t>
            </w:r>
            <w:r w:rsidRPr="00E01A8E">
              <w:t>CGM (3 measures, for 5 days each)</w:t>
            </w:r>
            <w:r w:rsidRPr="00E01A8E">
              <w:rPr>
                <w:vertAlign w:val="superscript"/>
              </w:rPr>
              <w:t>1</w:t>
            </w:r>
          </w:p>
          <w:p w:rsidR="00EF6904" w:rsidRPr="00E01A8E" w:rsidRDefault="00EF6904" w:rsidP="00914940">
            <w:pPr>
              <w:pStyle w:val="TableText"/>
              <w:jc w:val="both"/>
              <w:rPr>
                <w:rFonts w:ascii="Times" w:eastAsia="Times New Roman" w:hAnsi="Times" w:cs="Times New Roman"/>
              </w:rPr>
            </w:pPr>
            <w:r w:rsidRPr="00E01A8E">
              <w:rPr>
                <w:b/>
              </w:rPr>
              <w:t>Secondary:</w:t>
            </w:r>
            <w:r w:rsidRPr="00E01A8E">
              <w:t xml:space="preserve"> </w:t>
            </w:r>
            <w:r w:rsidRPr="00E01A8E">
              <w:rPr>
                <w:rFonts w:eastAsia="Times New Roman" w:cs="Times New Roman"/>
                <w:szCs w:val="20"/>
              </w:rPr>
              <w:t>CGM, ECG, Inflammatory biomarkers, β-cell biomarkers</w:t>
            </w:r>
            <w:r w:rsidRPr="00E01A8E">
              <w:rPr>
                <w:rFonts w:eastAsia="Times New Roman" w:cs="Times New Roman"/>
                <w:szCs w:val="20"/>
                <w:vertAlign w:val="superscript"/>
              </w:rPr>
              <w:t>2</w:t>
            </w:r>
          </w:p>
        </w:tc>
      </w:tr>
      <w:tr w:rsidR="00EF2AD4" w:rsidRPr="00E01A8E" w:rsidTr="002756FA">
        <w:tc>
          <w:tcPr>
            <w:tcW w:w="0" w:type="auto"/>
            <w:shd w:val="clear" w:color="auto" w:fill="auto"/>
            <w:vAlign w:val="center"/>
          </w:tcPr>
          <w:p w:rsidR="00EF2AD4" w:rsidRPr="00E01A8E" w:rsidRDefault="0050245A" w:rsidP="00914940">
            <w:pPr>
              <w:pStyle w:val="TableText"/>
              <w:jc w:val="both"/>
              <w:rPr>
                <w:rFonts w:ascii="Times" w:eastAsia="Times New Roman" w:hAnsi="Times" w:cs="Times New Roman"/>
                <w:b/>
              </w:rPr>
            </w:pPr>
            <w:r w:rsidRPr="00E01A8E">
              <w:rPr>
                <w:b/>
              </w:rPr>
              <w:t>Meta-analysis</w:t>
            </w:r>
          </w:p>
        </w:tc>
        <w:tc>
          <w:tcPr>
            <w:tcW w:w="0" w:type="auto"/>
            <w:shd w:val="clear" w:color="auto" w:fill="auto"/>
            <w:vAlign w:val="center"/>
          </w:tcPr>
          <w:p w:rsidR="00EF2AD4" w:rsidRPr="00E01A8E" w:rsidRDefault="00EA01D9" w:rsidP="00914940">
            <w:pPr>
              <w:pStyle w:val="TableText"/>
              <w:jc w:val="both"/>
              <w:rPr>
                <w:rFonts w:ascii="Times" w:eastAsia="Times New Roman" w:hAnsi="Times" w:cs="Times New Roman"/>
              </w:rPr>
            </w:pPr>
            <w:r w:rsidRPr="00E01A8E">
              <w:t>N=694</w:t>
            </w:r>
          </w:p>
        </w:tc>
        <w:tc>
          <w:tcPr>
            <w:tcW w:w="0" w:type="auto"/>
            <w:gridSpan w:val="4"/>
            <w:shd w:val="clear" w:color="auto" w:fill="auto"/>
            <w:vAlign w:val="center"/>
          </w:tcPr>
          <w:p w:rsidR="00EF2AD4" w:rsidRPr="00E01A8E" w:rsidRDefault="0050245A" w:rsidP="00914940">
            <w:pPr>
              <w:pStyle w:val="TableText"/>
              <w:jc w:val="both"/>
              <w:rPr>
                <w:rFonts w:ascii="Times" w:eastAsia="Times New Roman" w:hAnsi="Times" w:cs="Times New Roman"/>
              </w:rPr>
            </w:pPr>
            <w:r w:rsidRPr="00E01A8E">
              <w:t xml:space="preserve">Included </w:t>
            </w:r>
            <w:r w:rsidR="00155FC6" w:rsidRPr="00E01A8E">
              <w:t>Study 2</w:t>
            </w:r>
            <w:r w:rsidR="00EA01D9" w:rsidRPr="00E01A8E">
              <w:t xml:space="preserve">3138, Tang 2015 and Study ADE07; assessed </w:t>
            </w:r>
            <w:r w:rsidR="00EA01D9" w:rsidRPr="00E01A8E">
              <w:rPr>
                <w:lang w:val="en-US"/>
              </w:rPr>
              <w:t xml:space="preserve">Δ </w:t>
            </w:r>
            <w:r w:rsidR="00EA01D9" w:rsidRPr="00E01A8E">
              <w:t>HbA1c comparing vildagliptin and sitagliptin in combination with insulin</w:t>
            </w:r>
            <w:r w:rsidR="00BB6F4E" w:rsidRPr="00E01A8E">
              <w:t>.</w:t>
            </w:r>
          </w:p>
        </w:tc>
      </w:tr>
    </w:tbl>
    <w:p w:rsidR="00EF6904" w:rsidRPr="009D6364" w:rsidRDefault="00EF6904" w:rsidP="00B8794E">
      <w:pPr>
        <w:pStyle w:val="TableFooter"/>
        <w:rPr>
          <w:szCs w:val="18"/>
        </w:rPr>
      </w:pPr>
      <w:r w:rsidRPr="009D6364">
        <w:rPr>
          <w:szCs w:val="18"/>
        </w:rPr>
        <w:t xml:space="preserve">Note: </w:t>
      </w:r>
      <w:r w:rsidR="00CE49AB" w:rsidRPr="009D6364">
        <w:rPr>
          <w:szCs w:val="18"/>
          <w:lang w:val="en-US"/>
        </w:rPr>
        <w:t xml:space="preserve">^-about 60.8% patients were on insulin only and 12.22% patients on SU+insulin therapy, and the remainder not reported; </w:t>
      </w:r>
      <w:r w:rsidRPr="009D6364">
        <w:rPr>
          <w:szCs w:val="18"/>
        </w:rPr>
        <w:t>1 defined as the area under the glucose/time curve and cumulatively obtained by a 5-day CGM; 2 CGM and ECG (3 measures, for 5 days each), inflammatory biomarkers (IL6, hsCRP), β-cell biomarkers (insulin, pro-insulin, C-peptide)</w:t>
      </w:r>
    </w:p>
    <w:p w:rsidR="00C317F3" w:rsidRPr="009D6364" w:rsidRDefault="00EF6904" w:rsidP="00B8794E">
      <w:pPr>
        <w:pStyle w:val="TableFooter"/>
        <w:rPr>
          <w:szCs w:val="18"/>
        </w:rPr>
      </w:pPr>
      <w:r w:rsidRPr="009D6364">
        <w:rPr>
          <w:szCs w:val="18"/>
        </w:rPr>
        <w:t xml:space="preserve">Abbreviations: </w:t>
      </w:r>
      <w:r w:rsidRPr="009D6364">
        <w:rPr>
          <w:szCs w:val="18"/>
          <w:lang w:val="en-US"/>
        </w:rPr>
        <w:t>Δ</w:t>
      </w:r>
      <w:r w:rsidR="00FC5F17" w:rsidRPr="009D6364">
        <w:rPr>
          <w:szCs w:val="18"/>
          <w:lang w:val="en-US"/>
        </w:rPr>
        <w:t>- change in</w:t>
      </w:r>
      <w:r w:rsidRPr="009D6364">
        <w:rPr>
          <w:szCs w:val="18"/>
        </w:rPr>
        <w:t xml:space="preserve">; </w:t>
      </w:r>
      <w:r w:rsidR="00A33FD5" w:rsidRPr="009D6364">
        <w:rPr>
          <w:szCs w:val="18"/>
          <w:lang w:val="en-US"/>
        </w:rPr>
        <w:t xml:space="preserve">AD, anti-diabetic; </w:t>
      </w:r>
      <w:r w:rsidR="00B827AA" w:rsidRPr="009D6364">
        <w:rPr>
          <w:szCs w:val="18"/>
          <w:lang w:val="en-US"/>
        </w:rPr>
        <w:t xml:space="preserve">AE- adverse events; </w:t>
      </w:r>
      <w:r w:rsidR="00A33FD5" w:rsidRPr="009D6364">
        <w:rPr>
          <w:szCs w:val="18"/>
          <w:lang w:val="en-US"/>
        </w:rPr>
        <w:t xml:space="preserve">BMI, body mass index; </w:t>
      </w:r>
      <w:r w:rsidR="00A33FD5" w:rsidRPr="009D6364">
        <w:rPr>
          <w:szCs w:val="18"/>
        </w:rPr>
        <w:t xml:space="preserve">CGM, Continuous glucose monitoring; </w:t>
      </w:r>
      <w:r w:rsidR="00FC5F17" w:rsidRPr="009D6364">
        <w:rPr>
          <w:szCs w:val="18"/>
        </w:rPr>
        <w:t xml:space="preserve">CO, cross over; </w:t>
      </w:r>
      <w:r w:rsidR="00A33FD5" w:rsidRPr="009D6364">
        <w:rPr>
          <w:szCs w:val="18"/>
        </w:rPr>
        <w:t xml:space="preserve">DB, double blind; </w:t>
      </w:r>
      <w:r w:rsidR="00B97B84" w:rsidRPr="009D6364">
        <w:rPr>
          <w:szCs w:val="18"/>
        </w:rPr>
        <w:t xml:space="preserve">HbA1c, haemoglobin A1c; </w:t>
      </w:r>
      <w:r w:rsidRPr="009D6364">
        <w:rPr>
          <w:szCs w:val="18"/>
        </w:rPr>
        <w:t>FPG, fasting plasma glucose;</w:t>
      </w:r>
      <w:r w:rsidR="00A33FD5" w:rsidRPr="009D6364">
        <w:rPr>
          <w:szCs w:val="18"/>
          <w:lang w:val="en-US"/>
        </w:rPr>
        <w:t xml:space="preserve"> GFR, glomerular filtration rate; </w:t>
      </w:r>
      <w:r w:rsidR="00DE4D1F" w:rsidRPr="009D6364">
        <w:rPr>
          <w:szCs w:val="18"/>
        </w:rPr>
        <w:t>MC, multi-centre;</w:t>
      </w:r>
      <w:r w:rsidRPr="009D6364">
        <w:rPr>
          <w:szCs w:val="18"/>
        </w:rPr>
        <w:t xml:space="preserve"> </w:t>
      </w:r>
      <w:r w:rsidR="00DE4D1F" w:rsidRPr="009D6364">
        <w:rPr>
          <w:szCs w:val="18"/>
        </w:rPr>
        <w:t xml:space="preserve">OL, open label; </w:t>
      </w:r>
      <w:r w:rsidRPr="009D6364">
        <w:rPr>
          <w:szCs w:val="18"/>
        </w:rPr>
        <w:t xml:space="preserve">PPG, postprandial plasma glucose; </w:t>
      </w:r>
      <w:r w:rsidR="00FC5F17" w:rsidRPr="009D6364">
        <w:rPr>
          <w:szCs w:val="18"/>
        </w:rPr>
        <w:t xml:space="preserve">R, </w:t>
      </w:r>
      <w:r w:rsidRPr="009D6364">
        <w:rPr>
          <w:szCs w:val="18"/>
        </w:rPr>
        <w:t xml:space="preserve">randomised; </w:t>
      </w:r>
      <w:r w:rsidR="00DE4D1F" w:rsidRPr="009D6364">
        <w:rPr>
          <w:szCs w:val="18"/>
          <w:lang w:val="en-US"/>
        </w:rPr>
        <w:t xml:space="preserve">SU, sulfonylurea; </w:t>
      </w:r>
      <w:r w:rsidR="00CE49AB" w:rsidRPr="009D6364">
        <w:rPr>
          <w:szCs w:val="18"/>
          <w:lang w:val="en-US"/>
        </w:rPr>
        <w:t xml:space="preserve">T2DM, type 2 diabetes mellitus; </w:t>
      </w:r>
      <w:r w:rsidR="00DE4D1F" w:rsidRPr="009D6364">
        <w:rPr>
          <w:szCs w:val="18"/>
          <w:lang w:val="en-US"/>
        </w:rPr>
        <w:t>TZD, Thiazolidinediones.</w:t>
      </w:r>
    </w:p>
    <w:p w:rsidR="00EF6904" w:rsidRPr="009D6364" w:rsidRDefault="00EF6904">
      <w:pPr>
        <w:pStyle w:val="TableFooter"/>
        <w:rPr>
          <w:szCs w:val="18"/>
        </w:rPr>
      </w:pPr>
      <w:r w:rsidRPr="009D6364">
        <w:rPr>
          <w:szCs w:val="18"/>
        </w:rPr>
        <w:t>Source: C</w:t>
      </w:r>
      <w:r w:rsidR="00C317F3" w:rsidRPr="009D6364">
        <w:rPr>
          <w:szCs w:val="18"/>
        </w:rPr>
        <w:t>ompiled during the evaluation</w:t>
      </w:r>
      <w:r w:rsidRPr="009D6364">
        <w:rPr>
          <w:szCs w:val="18"/>
        </w:rPr>
        <w:t>; Table 2.20, p.42-43 of the submission; CSR 23138 pp6-70; Tang et al. 2015; CSR ADE07 pp35-45; all publications in Attachment 9.</w:t>
      </w:r>
    </w:p>
    <w:p w:rsidR="00C317F3" w:rsidRPr="00E01A8E" w:rsidRDefault="00C317F3" w:rsidP="00F35D71">
      <w:pPr>
        <w:pStyle w:val="TableFooter"/>
      </w:pPr>
    </w:p>
    <w:p w:rsidR="00C317F3" w:rsidRPr="00E01A8E" w:rsidRDefault="00222B28" w:rsidP="00F35D71">
      <w:pPr>
        <w:pStyle w:val="ListParagraph"/>
        <w:numPr>
          <w:ilvl w:val="1"/>
          <w:numId w:val="3"/>
        </w:numPr>
        <w:spacing w:before="0" w:after="120"/>
        <w:jc w:val="both"/>
      </w:pPr>
      <w:r w:rsidRPr="00E01A8E">
        <w:t>Tang 2015 ha</w:t>
      </w:r>
      <w:r w:rsidR="00DA7DFD" w:rsidRPr="00E01A8E">
        <w:t xml:space="preserve">s </w:t>
      </w:r>
      <w:r w:rsidRPr="00E01A8E">
        <w:t xml:space="preserve">a high risk of bias due to the trial not reporting the method of randomisation, whether the outcome assessors were blinded and the method used to address missing data. </w:t>
      </w:r>
    </w:p>
    <w:p w:rsidR="00C317F3" w:rsidRPr="00E01A8E" w:rsidRDefault="00222B28" w:rsidP="00F35D71">
      <w:pPr>
        <w:pStyle w:val="ListParagraph"/>
        <w:numPr>
          <w:ilvl w:val="1"/>
          <w:numId w:val="3"/>
        </w:numPr>
        <w:spacing w:before="0" w:after="120"/>
        <w:jc w:val="both"/>
      </w:pPr>
      <w:r w:rsidRPr="00E01A8E">
        <w:t>Study ADE07 ha</w:t>
      </w:r>
      <w:r w:rsidR="00DA7DFD" w:rsidRPr="00E01A8E">
        <w:t>s</w:t>
      </w:r>
      <w:r w:rsidRPr="00E01A8E">
        <w:t xml:space="preserve"> a risk of bias that was uncertain as blinding of outcome assessors was not reported.</w:t>
      </w:r>
    </w:p>
    <w:p w:rsidR="00325A42" w:rsidRDefault="00325A42" w:rsidP="00F35D71">
      <w:pPr>
        <w:pStyle w:val="ListParagraph"/>
        <w:numPr>
          <w:ilvl w:val="1"/>
          <w:numId w:val="3"/>
        </w:numPr>
        <w:spacing w:before="0" w:after="120"/>
        <w:jc w:val="both"/>
      </w:pPr>
      <w:r w:rsidRPr="00E01A8E">
        <w:t>The risk of bias in the three placebo-controlled trials is low.</w:t>
      </w:r>
    </w:p>
    <w:p w:rsidR="00356B22" w:rsidRPr="00E01A8E" w:rsidRDefault="00356B22" w:rsidP="00F35D71">
      <w:pPr>
        <w:pStyle w:val="ListParagraph"/>
        <w:numPr>
          <w:ilvl w:val="1"/>
          <w:numId w:val="3"/>
        </w:numPr>
        <w:spacing w:before="0" w:after="120"/>
        <w:jc w:val="both"/>
      </w:pPr>
      <w:r>
        <w:t>In the Pre-PBAC Response</w:t>
      </w:r>
      <w:r w:rsidR="00E077FD">
        <w:t xml:space="preserve"> (p</w:t>
      </w:r>
      <w:r w:rsidR="000212CC">
        <w:t>1)</w:t>
      </w:r>
      <w:r>
        <w:t xml:space="preserve"> the sponsor </w:t>
      </w:r>
      <w:r w:rsidR="00E27591">
        <w:t xml:space="preserve">noted the heterogeneity, adding that </w:t>
      </w:r>
      <w:r>
        <w:t>“the evidence from the direct comparison is still considered to represent the best evidence in the hierarchy preferred by the PBAC”</w:t>
      </w:r>
      <w:r w:rsidR="00E077FD">
        <w:t xml:space="preserve"> (p</w:t>
      </w:r>
      <w:r>
        <w:t>1).</w:t>
      </w:r>
    </w:p>
    <w:p w:rsidR="00C317F3" w:rsidRPr="00E01A8E" w:rsidRDefault="00C317F3" w:rsidP="00466705">
      <w:pPr>
        <w:pStyle w:val="Heading2"/>
        <w:numPr>
          <w:ilvl w:val="0"/>
          <w:numId w:val="0"/>
        </w:numPr>
        <w:ind w:left="792" w:hanging="792"/>
        <w:jc w:val="both"/>
        <w:rPr>
          <w:i w:val="0"/>
        </w:rPr>
      </w:pPr>
      <w:bookmarkStart w:id="13" w:name="_Toc413139278"/>
      <w:bookmarkStart w:id="14" w:name="_Toc493069869"/>
      <w:r w:rsidRPr="00E01A8E">
        <w:rPr>
          <w:i w:val="0"/>
        </w:rPr>
        <w:t>Comparative effectiveness</w:t>
      </w:r>
      <w:bookmarkEnd w:id="13"/>
      <w:bookmarkEnd w:id="14"/>
      <w:r w:rsidRPr="00E01A8E">
        <w:rPr>
          <w:i w:val="0"/>
        </w:rPr>
        <w:t xml:space="preserve"> </w:t>
      </w:r>
    </w:p>
    <w:p w:rsidR="00B64600" w:rsidRPr="00E01A8E" w:rsidRDefault="00B64600" w:rsidP="00F35D71">
      <w:pPr>
        <w:pStyle w:val="ListParagraph"/>
        <w:numPr>
          <w:ilvl w:val="1"/>
          <w:numId w:val="3"/>
        </w:numPr>
        <w:spacing w:before="0" w:after="120"/>
        <w:jc w:val="both"/>
      </w:pPr>
      <w:r w:rsidRPr="00E01A8E">
        <w:t xml:space="preserve">Table </w:t>
      </w:r>
      <w:r w:rsidR="005751A6" w:rsidRPr="00E01A8E">
        <w:t>4</w:t>
      </w:r>
      <w:r w:rsidR="00560E74" w:rsidRPr="00E01A8E">
        <w:t xml:space="preserve"> </w:t>
      </w:r>
      <w:r w:rsidRPr="00E01A8E">
        <w:t xml:space="preserve">summarises the </w:t>
      </w:r>
      <w:r w:rsidR="007B6A96" w:rsidRPr="00E01A8E">
        <w:t>trial</w:t>
      </w:r>
      <w:r w:rsidR="007D4D9B" w:rsidRPr="00E01A8E">
        <w:t>s</w:t>
      </w:r>
      <w:r w:rsidR="007B6A96" w:rsidRPr="00E01A8E">
        <w:t xml:space="preserve"> and pooled </w:t>
      </w:r>
      <w:r w:rsidRPr="00E01A8E">
        <w:t xml:space="preserve">results of change in </w:t>
      </w:r>
      <w:r w:rsidR="00B97B84" w:rsidRPr="00E01A8E">
        <w:t>haemoglobin A1c (</w:t>
      </w:r>
      <w:r w:rsidRPr="00E01A8E">
        <w:t>HbA1c</w:t>
      </w:r>
      <w:r w:rsidR="00B97B84" w:rsidRPr="00E01A8E">
        <w:t>)</w:t>
      </w:r>
      <w:r w:rsidRPr="00E01A8E">
        <w:t xml:space="preserve"> from baseline in the vildagliptin, sitagliptin and linagliptin </w:t>
      </w:r>
      <w:r w:rsidR="00B427E3" w:rsidRPr="00E01A8E">
        <w:t>head-to-head RCTs</w:t>
      </w:r>
      <w:r w:rsidRPr="00E01A8E">
        <w:t>, in combination with insulin, and the vildagliptin-placebo trials, in combination with insulin, between the treatments for the duration of the trial.</w:t>
      </w:r>
    </w:p>
    <w:p w:rsidR="00C317F3" w:rsidRPr="00E01A8E" w:rsidRDefault="007A0EA2" w:rsidP="00466705">
      <w:pPr>
        <w:pStyle w:val="TableHeading0"/>
        <w:jc w:val="both"/>
      </w:pPr>
      <w:r w:rsidRPr="00E01A8E">
        <w:t>Table 4</w:t>
      </w:r>
      <w:r w:rsidR="00C317F3" w:rsidRPr="00E01A8E">
        <w:t xml:space="preserve">: Results of </w:t>
      </w:r>
      <w:r w:rsidR="00B64600" w:rsidRPr="00E01A8E">
        <w:t>mean change in HbA1c</w:t>
      </w:r>
      <w:r w:rsidR="00C317F3" w:rsidRPr="00E01A8E">
        <w:t xml:space="preserve"> across the </w:t>
      </w:r>
      <w:r w:rsidR="00B427E3" w:rsidRPr="00E01A8E">
        <w:t>head-to-head</w:t>
      </w:r>
      <w:r w:rsidR="00C317F3" w:rsidRPr="00E01A8E">
        <w:t xml:space="preserve"> randomised trials </w:t>
      </w:r>
      <w:r w:rsidR="00B64600" w:rsidRPr="00E01A8E">
        <w:t>and placebo trials</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753"/>
        <w:gridCol w:w="1003"/>
        <w:gridCol w:w="1135"/>
        <w:gridCol w:w="1135"/>
        <w:gridCol w:w="1844"/>
        <w:gridCol w:w="992"/>
      </w:tblGrid>
      <w:tr w:rsidR="00CA1A39" w:rsidRPr="00E01A8E" w:rsidTr="00CA1A39">
        <w:trPr>
          <w:trHeight w:val="543"/>
          <w:tblHeader/>
        </w:trPr>
        <w:tc>
          <w:tcPr>
            <w:tcW w:w="1319" w:type="pct"/>
            <w:tcBorders>
              <w:top w:val="single" w:sz="4" w:space="0" w:color="auto"/>
              <w:left w:val="single" w:sz="4" w:space="0" w:color="auto"/>
              <w:bottom w:val="single" w:sz="4" w:space="0" w:color="auto"/>
              <w:right w:val="single" w:sz="4" w:space="0" w:color="auto"/>
            </w:tcBorders>
            <w:tcMar>
              <w:right w:w="28" w:type="dxa"/>
            </w:tcMar>
            <w:vAlign w:val="center"/>
          </w:tcPr>
          <w:p w:rsidR="00B64600" w:rsidRPr="009D6364" w:rsidRDefault="00B64600" w:rsidP="00B8794E">
            <w:pPr>
              <w:widowControl w:val="0"/>
              <w:spacing w:before="0" w:after="0"/>
              <w:jc w:val="both"/>
              <w:rPr>
                <w:rFonts w:ascii="Arial Narrow" w:eastAsia="Times New Roman" w:hAnsi="Arial Narrow" w:cs="Arial"/>
                <w:b/>
                <w:bCs/>
                <w:snapToGrid w:val="0"/>
                <w:sz w:val="20"/>
                <w:szCs w:val="20"/>
              </w:rPr>
            </w:pPr>
            <w:r w:rsidRPr="009D6364">
              <w:rPr>
                <w:rFonts w:ascii="Arial Narrow" w:eastAsia="Times New Roman" w:hAnsi="Arial Narrow" w:cs="Arial"/>
                <w:b/>
                <w:bCs/>
                <w:snapToGrid w:val="0"/>
                <w:sz w:val="20"/>
                <w:szCs w:val="20"/>
              </w:rPr>
              <w:t>Study ID/ treatment arm</w:t>
            </w:r>
          </w:p>
        </w:tc>
        <w:tc>
          <w:tcPr>
            <w:tcW w:w="404" w:type="pct"/>
            <w:tcBorders>
              <w:top w:val="single" w:sz="4" w:space="0" w:color="auto"/>
              <w:left w:val="nil"/>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b/>
                <w:bCs/>
                <w:snapToGrid w:val="0"/>
                <w:sz w:val="20"/>
                <w:szCs w:val="20"/>
              </w:rPr>
            </w:pPr>
            <w:r w:rsidRPr="009D6364">
              <w:rPr>
                <w:rFonts w:ascii="Arial Narrow" w:eastAsia="Times New Roman" w:hAnsi="Arial Narrow" w:cs="Arial"/>
                <w:b/>
                <w:bCs/>
                <w:snapToGrid w:val="0"/>
                <w:sz w:val="20"/>
                <w:szCs w:val="20"/>
              </w:rPr>
              <w:t>Weeks</w:t>
            </w:r>
          </w:p>
        </w:tc>
        <w:tc>
          <w:tcPr>
            <w:tcW w:w="538" w:type="pct"/>
            <w:tcBorders>
              <w:top w:val="single" w:sz="4" w:space="0" w:color="auto"/>
              <w:left w:val="single" w:sz="4" w:space="0" w:color="auto"/>
              <w:bottom w:val="single" w:sz="4" w:space="0" w:color="auto"/>
              <w:right w:val="single" w:sz="4" w:space="0" w:color="auto"/>
            </w:tcBorders>
            <w:vAlign w:val="center"/>
          </w:tcPr>
          <w:p w:rsidR="00B64600" w:rsidRPr="009D6364" w:rsidRDefault="00B64600" w:rsidP="00466705">
            <w:pPr>
              <w:widowControl w:val="0"/>
              <w:spacing w:before="0" w:after="0"/>
              <w:jc w:val="both"/>
              <w:rPr>
                <w:rFonts w:ascii="Arial Narrow" w:eastAsia="Times New Roman" w:hAnsi="Arial Narrow" w:cs="Arial"/>
                <w:b/>
                <w:bCs/>
                <w:snapToGrid w:val="0"/>
                <w:sz w:val="20"/>
                <w:szCs w:val="20"/>
              </w:rPr>
            </w:pPr>
            <w:r w:rsidRPr="009D6364">
              <w:rPr>
                <w:rFonts w:ascii="Arial Narrow" w:eastAsia="Times New Roman" w:hAnsi="Arial Narrow" w:cs="Arial"/>
                <w:b/>
                <w:bCs/>
                <w:snapToGrid w:val="0"/>
                <w:sz w:val="20"/>
                <w:szCs w:val="20"/>
              </w:rPr>
              <w:t>Baseline HbA1c</w:t>
            </w:r>
          </w:p>
          <w:p w:rsidR="00B64600" w:rsidRPr="009D6364" w:rsidRDefault="00B64600" w:rsidP="00466705">
            <w:pPr>
              <w:widowControl w:val="0"/>
              <w:spacing w:before="0" w:after="0"/>
              <w:jc w:val="both"/>
              <w:rPr>
                <w:rFonts w:ascii="Arial Narrow" w:eastAsia="Times New Roman" w:hAnsi="Arial Narrow" w:cs="Arial"/>
                <w:b/>
                <w:bCs/>
                <w:snapToGrid w:val="0"/>
                <w:sz w:val="20"/>
                <w:szCs w:val="20"/>
              </w:rPr>
            </w:pPr>
            <w:r w:rsidRPr="009D6364">
              <w:rPr>
                <w:rFonts w:ascii="Arial Narrow" w:eastAsia="Times New Roman" w:hAnsi="Arial Narrow" w:cs="Arial"/>
                <w:b/>
                <w:bCs/>
                <w:snapToGrid w:val="0"/>
                <w:sz w:val="20"/>
                <w:szCs w:val="20"/>
              </w:rPr>
              <w:t>Mean ±SD</w:t>
            </w:r>
          </w:p>
        </w:tc>
        <w:tc>
          <w:tcPr>
            <w:tcW w:w="609" w:type="pct"/>
            <w:tcBorders>
              <w:top w:val="single" w:sz="4" w:space="0" w:color="auto"/>
              <w:left w:val="single" w:sz="4" w:space="0" w:color="auto"/>
              <w:bottom w:val="single" w:sz="4" w:space="0" w:color="auto"/>
              <w:right w:val="single" w:sz="4" w:space="0" w:color="auto"/>
            </w:tcBorders>
            <w:vAlign w:val="center"/>
          </w:tcPr>
          <w:p w:rsidR="00B64600" w:rsidRPr="009D6364" w:rsidRDefault="00B64600" w:rsidP="00466705">
            <w:pPr>
              <w:widowControl w:val="0"/>
              <w:spacing w:before="0" w:after="0"/>
              <w:jc w:val="both"/>
              <w:rPr>
                <w:rFonts w:ascii="Arial Narrow" w:eastAsia="Times New Roman" w:hAnsi="Arial Narrow" w:cs="Arial"/>
                <w:b/>
                <w:bCs/>
                <w:snapToGrid w:val="0"/>
                <w:sz w:val="20"/>
                <w:szCs w:val="20"/>
              </w:rPr>
            </w:pPr>
            <w:r w:rsidRPr="009D6364">
              <w:rPr>
                <w:rFonts w:ascii="Arial Narrow" w:eastAsia="Times New Roman" w:hAnsi="Arial Narrow" w:cs="Arial"/>
                <w:b/>
                <w:bCs/>
                <w:snapToGrid w:val="0"/>
                <w:sz w:val="20"/>
                <w:szCs w:val="20"/>
              </w:rPr>
              <w:t>Adj Δ from baseline</w:t>
            </w:r>
          </w:p>
          <w:p w:rsidR="00B64600" w:rsidRPr="009D6364" w:rsidRDefault="00B64600" w:rsidP="00466705">
            <w:pPr>
              <w:widowControl w:val="0"/>
              <w:spacing w:before="0" w:after="0"/>
              <w:jc w:val="both"/>
              <w:rPr>
                <w:rFonts w:ascii="Arial Narrow" w:eastAsia="Times New Roman" w:hAnsi="Arial Narrow" w:cs="Arial"/>
                <w:b/>
                <w:bCs/>
                <w:snapToGrid w:val="0"/>
                <w:sz w:val="20"/>
                <w:szCs w:val="20"/>
                <w:vertAlign w:val="superscript"/>
              </w:rPr>
            </w:pPr>
            <w:r w:rsidRPr="009D6364">
              <w:rPr>
                <w:rFonts w:ascii="Arial Narrow" w:eastAsia="Times New Roman" w:hAnsi="Arial Narrow" w:cs="Arial"/>
                <w:b/>
                <w:bCs/>
                <w:snapToGrid w:val="0"/>
                <w:sz w:val="20"/>
                <w:szCs w:val="20"/>
              </w:rPr>
              <w:t>Mean ±SD</w:t>
            </w:r>
          </w:p>
          <w:p w:rsidR="00B64600" w:rsidRPr="009D6364" w:rsidRDefault="00B64600" w:rsidP="00466705">
            <w:pPr>
              <w:widowControl w:val="0"/>
              <w:spacing w:before="0" w:after="0"/>
              <w:jc w:val="both"/>
              <w:rPr>
                <w:rFonts w:ascii="Arial Narrow" w:eastAsia="Times New Roman" w:hAnsi="Arial Narrow" w:cs="Arial"/>
                <w:b/>
                <w:bCs/>
                <w:snapToGrid w:val="0"/>
                <w:sz w:val="20"/>
                <w:szCs w:val="20"/>
                <w:vertAlign w:val="superscript"/>
              </w:rPr>
            </w:pPr>
          </w:p>
        </w:tc>
        <w:tc>
          <w:tcPr>
            <w:tcW w:w="608" w:type="pct"/>
            <w:tcBorders>
              <w:top w:val="single" w:sz="4" w:space="0" w:color="auto"/>
              <w:left w:val="single" w:sz="4" w:space="0" w:color="auto"/>
              <w:bottom w:val="single" w:sz="4" w:space="0" w:color="auto"/>
              <w:right w:val="double" w:sz="4" w:space="0" w:color="auto"/>
            </w:tcBorders>
            <w:vAlign w:val="center"/>
          </w:tcPr>
          <w:p w:rsidR="00B64600" w:rsidRPr="009D6364" w:rsidRDefault="00B64600" w:rsidP="00466705">
            <w:pPr>
              <w:widowControl w:val="0"/>
              <w:spacing w:before="0" w:after="0"/>
              <w:jc w:val="both"/>
              <w:rPr>
                <w:rFonts w:ascii="Arial Narrow" w:eastAsia="Times New Roman" w:hAnsi="Arial Narrow" w:cs="Arial"/>
                <w:b/>
                <w:bCs/>
                <w:snapToGrid w:val="0"/>
                <w:sz w:val="20"/>
                <w:szCs w:val="20"/>
              </w:rPr>
            </w:pPr>
            <w:r w:rsidRPr="009D6364">
              <w:rPr>
                <w:rFonts w:ascii="Arial Narrow" w:eastAsia="Times New Roman" w:hAnsi="Arial Narrow" w:cs="Arial"/>
                <w:b/>
                <w:bCs/>
                <w:snapToGrid w:val="0"/>
                <w:sz w:val="20"/>
                <w:szCs w:val="20"/>
              </w:rPr>
              <w:t>Difference to control</w:t>
            </w:r>
          </w:p>
          <w:p w:rsidR="00B64600" w:rsidRPr="009D6364" w:rsidRDefault="00B64600" w:rsidP="00466705">
            <w:pPr>
              <w:widowControl w:val="0"/>
              <w:spacing w:before="0" w:after="0"/>
              <w:jc w:val="both"/>
              <w:rPr>
                <w:rFonts w:ascii="Arial Narrow" w:eastAsia="Times New Roman" w:hAnsi="Arial Narrow" w:cs="Arial"/>
                <w:b/>
                <w:bCs/>
                <w:snapToGrid w:val="0"/>
                <w:sz w:val="20"/>
                <w:szCs w:val="20"/>
                <w:vertAlign w:val="superscript"/>
              </w:rPr>
            </w:pPr>
            <w:r w:rsidRPr="009D6364">
              <w:rPr>
                <w:rFonts w:ascii="Arial Narrow" w:eastAsia="Times New Roman" w:hAnsi="Arial Narrow" w:cs="Arial"/>
                <w:b/>
                <w:bCs/>
                <w:snapToGrid w:val="0"/>
                <w:sz w:val="20"/>
                <w:szCs w:val="20"/>
              </w:rPr>
              <w:t>Mean ±SD</w:t>
            </w:r>
          </w:p>
          <w:p w:rsidR="00B64600" w:rsidRPr="009D6364" w:rsidRDefault="00B64600" w:rsidP="00466705">
            <w:pPr>
              <w:widowControl w:val="0"/>
              <w:spacing w:before="0" w:after="0"/>
              <w:jc w:val="both"/>
              <w:rPr>
                <w:rFonts w:ascii="Arial Narrow" w:eastAsia="Times New Roman" w:hAnsi="Arial Narrow" w:cs="Arial"/>
                <w:b/>
                <w:bCs/>
                <w:snapToGrid w:val="0"/>
                <w:sz w:val="20"/>
                <w:szCs w:val="20"/>
              </w:rPr>
            </w:pPr>
          </w:p>
        </w:tc>
        <w:tc>
          <w:tcPr>
            <w:tcW w:w="989" w:type="pct"/>
            <w:tcBorders>
              <w:top w:val="single" w:sz="4" w:space="0" w:color="auto"/>
              <w:left w:val="double" w:sz="4" w:space="0" w:color="auto"/>
              <w:bottom w:val="single" w:sz="4" w:space="0" w:color="auto"/>
              <w:right w:val="single" w:sz="4" w:space="0" w:color="auto"/>
            </w:tcBorders>
            <w:vAlign w:val="center"/>
          </w:tcPr>
          <w:p w:rsidR="00B64600" w:rsidRPr="009D6364" w:rsidRDefault="00B64600" w:rsidP="00466705">
            <w:pPr>
              <w:widowControl w:val="0"/>
              <w:spacing w:before="0" w:after="0"/>
              <w:jc w:val="both"/>
              <w:rPr>
                <w:rFonts w:ascii="Arial Narrow" w:eastAsia="Times New Roman" w:hAnsi="Arial Narrow" w:cs="Arial"/>
                <w:b/>
                <w:bCs/>
                <w:snapToGrid w:val="0"/>
                <w:sz w:val="20"/>
                <w:szCs w:val="20"/>
              </w:rPr>
            </w:pPr>
            <w:r w:rsidRPr="009D6364">
              <w:rPr>
                <w:rFonts w:ascii="Arial Narrow" w:eastAsia="Times New Roman" w:hAnsi="Arial Narrow" w:cs="Arial"/>
                <w:b/>
                <w:bCs/>
                <w:snapToGrid w:val="0"/>
                <w:sz w:val="20"/>
                <w:szCs w:val="20"/>
              </w:rPr>
              <w:t>Mean (95% CI)</w:t>
            </w:r>
          </w:p>
        </w:tc>
        <w:tc>
          <w:tcPr>
            <w:tcW w:w="533" w:type="pct"/>
            <w:tcBorders>
              <w:top w:val="single" w:sz="4" w:space="0" w:color="auto"/>
              <w:left w:val="double" w:sz="4" w:space="0" w:color="auto"/>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b/>
                <w:bCs/>
                <w:snapToGrid w:val="0"/>
                <w:sz w:val="20"/>
                <w:szCs w:val="20"/>
              </w:rPr>
            </w:pPr>
            <w:r w:rsidRPr="009D6364">
              <w:rPr>
                <w:rFonts w:ascii="Arial Narrow" w:eastAsia="Times New Roman" w:hAnsi="Arial Narrow" w:cs="Arial"/>
                <w:b/>
                <w:bCs/>
                <w:snapToGrid w:val="0"/>
                <w:sz w:val="20"/>
                <w:szCs w:val="20"/>
              </w:rPr>
              <w:t>p-value</w:t>
            </w:r>
          </w:p>
        </w:tc>
      </w:tr>
      <w:tr w:rsidR="00B64600" w:rsidRPr="00E01A8E" w:rsidTr="00CA1A39">
        <w:tc>
          <w:tcPr>
            <w:tcW w:w="5000" w:type="pct"/>
            <w:gridSpan w:val="7"/>
            <w:tcBorders>
              <w:top w:val="single" w:sz="4" w:space="0" w:color="auto"/>
              <w:left w:val="single" w:sz="4" w:space="0" w:color="auto"/>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b/>
                <w:smallCaps/>
                <w:snapToGrid w:val="0"/>
                <w:sz w:val="20"/>
                <w:szCs w:val="20"/>
              </w:rPr>
            </w:pPr>
            <w:r w:rsidRPr="009D6364">
              <w:rPr>
                <w:rFonts w:ascii="Arial Narrow" w:eastAsia="Times New Roman" w:hAnsi="Arial Narrow" w:cs="Arial"/>
                <w:b/>
                <w:smallCaps/>
                <w:snapToGrid w:val="0"/>
                <w:sz w:val="20"/>
                <w:szCs w:val="20"/>
              </w:rPr>
              <w:t>HbA1c outcome</w:t>
            </w:r>
          </w:p>
        </w:tc>
      </w:tr>
      <w:tr w:rsidR="00B64600" w:rsidRPr="00E01A8E" w:rsidTr="00CA1A39">
        <w:tc>
          <w:tcPr>
            <w:tcW w:w="5000" w:type="pct"/>
            <w:gridSpan w:val="7"/>
            <w:tcBorders>
              <w:top w:val="single" w:sz="4" w:space="0" w:color="auto"/>
              <w:left w:val="single" w:sz="4" w:space="0" w:color="auto"/>
              <w:bottom w:val="single" w:sz="4" w:space="0" w:color="auto"/>
              <w:right w:val="single" w:sz="4" w:space="0" w:color="auto"/>
            </w:tcBorders>
          </w:tcPr>
          <w:p w:rsidR="00B64600" w:rsidRPr="009D6364" w:rsidRDefault="00B64600" w:rsidP="00B8794E">
            <w:pPr>
              <w:widowControl w:val="0"/>
              <w:spacing w:before="0" w:after="0"/>
              <w:jc w:val="both"/>
              <w:rPr>
                <w:rFonts w:ascii="Arial Narrow" w:eastAsia="Times New Roman" w:hAnsi="Arial Narrow" w:cs="Arial"/>
                <w:b/>
                <w:smallCaps/>
                <w:snapToGrid w:val="0"/>
                <w:sz w:val="20"/>
                <w:szCs w:val="20"/>
              </w:rPr>
            </w:pPr>
            <w:r w:rsidRPr="009D6364">
              <w:rPr>
                <w:rFonts w:ascii="Arial Narrow" w:eastAsia="Times New Roman" w:hAnsi="Arial Narrow" w:cs="Arial"/>
                <w:b/>
                <w:smallCaps/>
                <w:snapToGrid w:val="0"/>
                <w:sz w:val="20"/>
                <w:szCs w:val="20"/>
              </w:rPr>
              <w:t xml:space="preserve">Head-to-Head trials </w:t>
            </w:r>
          </w:p>
        </w:tc>
      </w:tr>
      <w:tr w:rsidR="00B64600" w:rsidRPr="00E01A8E" w:rsidTr="00CA1A39">
        <w:tc>
          <w:tcPr>
            <w:tcW w:w="5000" w:type="pct"/>
            <w:gridSpan w:val="7"/>
            <w:tcBorders>
              <w:top w:val="single" w:sz="4" w:space="0" w:color="auto"/>
              <w:left w:val="single" w:sz="4" w:space="0" w:color="auto"/>
              <w:bottom w:val="single" w:sz="4" w:space="0" w:color="auto"/>
              <w:right w:val="single" w:sz="4" w:space="0" w:color="auto"/>
            </w:tcBorders>
          </w:tcPr>
          <w:p w:rsidR="00B64600" w:rsidRPr="009D6364" w:rsidRDefault="00B64600" w:rsidP="00B8794E">
            <w:pPr>
              <w:widowControl w:val="0"/>
              <w:spacing w:before="0" w:after="0"/>
              <w:jc w:val="both"/>
              <w:rPr>
                <w:rFonts w:ascii="Arial Narrow" w:eastAsia="Times New Roman" w:hAnsi="Arial Narrow" w:cs="Arial"/>
                <w:b/>
                <w:snapToGrid w:val="0"/>
                <w:sz w:val="20"/>
                <w:szCs w:val="20"/>
              </w:rPr>
            </w:pPr>
            <w:r w:rsidRPr="009D6364">
              <w:rPr>
                <w:rFonts w:ascii="Arial Narrow" w:eastAsia="Times New Roman" w:hAnsi="Arial Narrow" w:cs="Arial"/>
                <w:b/>
                <w:snapToGrid w:val="0"/>
                <w:sz w:val="20"/>
                <w:szCs w:val="20"/>
              </w:rPr>
              <w:t>Study 23138 (Secondary outcome)</w:t>
            </w:r>
          </w:p>
        </w:tc>
      </w:tr>
      <w:tr w:rsidR="00CA1A39" w:rsidRPr="00E01A8E" w:rsidTr="00CA1A39">
        <w:trPr>
          <w:trHeight w:val="70"/>
        </w:trPr>
        <w:tc>
          <w:tcPr>
            <w:tcW w:w="1319"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 xml:space="preserve">Vildagliptin 50 mg </w:t>
            </w:r>
            <w:r w:rsidR="000C248E" w:rsidRPr="009D6364">
              <w:rPr>
                <w:rFonts w:ascii="Arial Narrow" w:eastAsia="Times New Roman" w:hAnsi="Arial Narrow" w:cs="Arial"/>
                <w:snapToGrid w:val="0"/>
                <w:sz w:val="20"/>
                <w:szCs w:val="20"/>
              </w:rPr>
              <w:t xml:space="preserve">qd </w:t>
            </w:r>
            <w:r w:rsidRPr="009D6364">
              <w:rPr>
                <w:rFonts w:ascii="Arial Narrow" w:eastAsia="Times New Roman" w:hAnsi="Arial Narrow" w:cs="Arial"/>
                <w:snapToGrid w:val="0"/>
                <w:sz w:val="20"/>
                <w:szCs w:val="20"/>
              </w:rPr>
              <w:t>(n=79)</w:t>
            </w:r>
          </w:p>
        </w:tc>
        <w:tc>
          <w:tcPr>
            <w:tcW w:w="404" w:type="pct"/>
            <w:vMerge w:val="restart"/>
            <w:tcBorders>
              <w:top w:val="single" w:sz="4" w:space="0" w:color="auto"/>
              <w:left w:val="single" w:sz="4" w:space="0" w:color="auto"/>
              <w:right w:val="single" w:sz="4" w:space="0" w:color="auto"/>
            </w:tcBorders>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24</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7.50±0.10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-0.39 ±0.14</w:t>
            </w:r>
          </w:p>
        </w:tc>
        <w:tc>
          <w:tcPr>
            <w:tcW w:w="608" w:type="pct"/>
            <w:vMerge w:val="restart"/>
            <w:tcBorders>
              <w:top w:val="single" w:sz="4" w:space="0" w:color="auto"/>
              <w:left w:val="single" w:sz="4" w:space="0" w:color="auto"/>
              <w:right w:val="doub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0.10 (0.18)</w:t>
            </w:r>
          </w:p>
        </w:tc>
        <w:tc>
          <w:tcPr>
            <w:tcW w:w="989" w:type="pct"/>
            <w:vMerge w:val="restart"/>
            <w:tcBorders>
              <w:top w:val="single" w:sz="4" w:space="0" w:color="auto"/>
              <w:left w:val="doub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0.10 (-0.32, 0.52)</w:t>
            </w:r>
          </w:p>
        </w:tc>
        <w:tc>
          <w:tcPr>
            <w:tcW w:w="533" w:type="pct"/>
            <w:vMerge w:val="restart"/>
            <w:tcBorders>
              <w:top w:val="single" w:sz="4" w:space="0" w:color="auto"/>
              <w:left w:val="double" w:sz="4" w:space="0" w:color="auto"/>
              <w:right w:val="single" w:sz="4" w:space="0" w:color="auto"/>
            </w:tcBorders>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0.591</w:t>
            </w:r>
          </w:p>
        </w:tc>
      </w:tr>
      <w:tr w:rsidR="00CA1A39" w:rsidRPr="00E01A8E" w:rsidTr="00CA1A39">
        <w:trPr>
          <w:trHeight w:val="233"/>
        </w:trPr>
        <w:tc>
          <w:tcPr>
            <w:tcW w:w="1319"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 xml:space="preserve">Sitagliptin </w:t>
            </w:r>
            <w:r w:rsidR="000C248E" w:rsidRPr="009D6364">
              <w:rPr>
                <w:rFonts w:ascii="Arial Narrow" w:eastAsia="Times New Roman" w:hAnsi="Arial Narrow" w:cs="Arial"/>
                <w:snapToGrid w:val="0"/>
                <w:sz w:val="20"/>
                <w:szCs w:val="20"/>
              </w:rPr>
              <w:t xml:space="preserve">25mg qd </w:t>
            </w:r>
            <w:r w:rsidRPr="009D6364">
              <w:rPr>
                <w:rFonts w:ascii="Arial Narrow" w:eastAsia="Times New Roman" w:hAnsi="Arial Narrow" w:cs="Arial"/>
                <w:snapToGrid w:val="0"/>
                <w:sz w:val="20"/>
                <w:szCs w:val="20"/>
              </w:rPr>
              <w:t>(n=62)</w:t>
            </w:r>
          </w:p>
        </w:tc>
        <w:tc>
          <w:tcPr>
            <w:tcW w:w="404" w:type="pct"/>
            <w:vMerge/>
            <w:tcBorders>
              <w:left w:val="single" w:sz="4" w:space="0" w:color="auto"/>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7.80±0.14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-0.49±0.16</w:t>
            </w:r>
          </w:p>
        </w:tc>
        <w:tc>
          <w:tcPr>
            <w:tcW w:w="608" w:type="pct"/>
            <w:vMerge/>
            <w:tcBorders>
              <w:left w:val="single" w:sz="4" w:space="0" w:color="auto"/>
              <w:bottom w:val="single" w:sz="4" w:space="0" w:color="auto"/>
              <w:right w:val="doub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989" w:type="pct"/>
            <w:vMerge/>
            <w:tcBorders>
              <w:left w:val="doub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533" w:type="pct"/>
            <w:vMerge/>
            <w:tcBorders>
              <w:left w:val="double" w:sz="4" w:space="0" w:color="auto"/>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r>
      <w:tr w:rsidR="00B64600" w:rsidRPr="00E01A8E" w:rsidTr="00CA1A39">
        <w:trPr>
          <w:trHeight w:val="23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b/>
                <w:snapToGrid w:val="0"/>
                <w:sz w:val="20"/>
                <w:szCs w:val="20"/>
              </w:rPr>
              <w:t>Study 23138 extension study</w:t>
            </w:r>
            <w:r w:rsidRPr="009D6364">
              <w:rPr>
                <w:rFonts w:ascii="Arial Narrow" w:eastAsia="Times New Roman" w:hAnsi="Arial Narrow" w:cs="Arial"/>
                <w:b/>
                <w:snapToGrid w:val="0"/>
                <w:sz w:val="20"/>
                <w:szCs w:val="20"/>
                <w:vertAlign w:val="superscript"/>
              </w:rPr>
              <w:t xml:space="preserve">1,2 </w:t>
            </w:r>
            <w:r w:rsidRPr="009D6364">
              <w:rPr>
                <w:rFonts w:ascii="Arial Narrow" w:eastAsia="Times New Roman" w:hAnsi="Arial Narrow" w:cs="Arial"/>
                <w:b/>
                <w:snapToGrid w:val="0"/>
                <w:sz w:val="20"/>
                <w:szCs w:val="20"/>
              </w:rPr>
              <w:t>(Secondary outcome)</w:t>
            </w:r>
          </w:p>
        </w:tc>
      </w:tr>
      <w:tr w:rsidR="00CA1A39" w:rsidRPr="00E01A8E" w:rsidTr="00CA1A39">
        <w:trPr>
          <w:trHeight w:val="233"/>
        </w:trPr>
        <w:tc>
          <w:tcPr>
            <w:tcW w:w="1319"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 xml:space="preserve">Vildagliptin 50 mg </w:t>
            </w:r>
            <w:r w:rsidR="000C248E" w:rsidRPr="009D6364">
              <w:rPr>
                <w:rFonts w:ascii="Arial Narrow" w:eastAsia="Times New Roman" w:hAnsi="Arial Narrow" w:cs="Arial"/>
                <w:snapToGrid w:val="0"/>
                <w:sz w:val="20"/>
                <w:szCs w:val="20"/>
              </w:rPr>
              <w:t xml:space="preserve">qd </w:t>
            </w:r>
            <w:r w:rsidRPr="009D6364">
              <w:rPr>
                <w:rFonts w:ascii="Arial Narrow" w:eastAsia="Times New Roman" w:hAnsi="Arial Narrow" w:cs="Arial"/>
                <w:snapToGrid w:val="0"/>
                <w:sz w:val="20"/>
                <w:szCs w:val="20"/>
              </w:rPr>
              <w:t>(n=41)</w:t>
            </w:r>
          </w:p>
        </w:tc>
        <w:tc>
          <w:tcPr>
            <w:tcW w:w="404" w:type="pct"/>
            <w:vMerge w:val="restart"/>
            <w:tcBorders>
              <w:top w:val="single" w:sz="4" w:space="0" w:color="auto"/>
              <w:left w:val="single" w:sz="4" w:space="0" w:color="auto"/>
              <w:right w:val="single" w:sz="4" w:space="0" w:color="auto"/>
            </w:tcBorders>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28</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7.52±0.13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-0.49 ±0.16</w:t>
            </w:r>
          </w:p>
        </w:tc>
        <w:tc>
          <w:tcPr>
            <w:tcW w:w="608" w:type="pct"/>
            <w:vMerge w:val="restart"/>
            <w:tcBorders>
              <w:top w:val="single" w:sz="4" w:space="0" w:color="auto"/>
              <w:left w:val="single" w:sz="4" w:space="0" w:color="auto"/>
              <w:right w:val="doub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0.10 (0.18)</w:t>
            </w:r>
          </w:p>
        </w:tc>
        <w:tc>
          <w:tcPr>
            <w:tcW w:w="989" w:type="pct"/>
            <w:vMerge w:val="restart"/>
            <w:tcBorders>
              <w:left w:val="doub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0.04 (-0.46, 0.54)</w:t>
            </w:r>
            <w:r w:rsidRPr="009D6364">
              <w:rPr>
                <w:rFonts w:ascii="Arial Narrow" w:eastAsia="Times New Roman" w:hAnsi="Arial Narrow" w:cs="Arial"/>
                <w:snapToGrid w:val="0"/>
                <w:sz w:val="20"/>
                <w:szCs w:val="20"/>
                <w:vertAlign w:val="superscript"/>
                <w:lang w:val="es-ES"/>
              </w:rPr>
              <w:t xml:space="preserve"> 2</w:t>
            </w:r>
          </w:p>
        </w:tc>
        <w:tc>
          <w:tcPr>
            <w:tcW w:w="533" w:type="pct"/>
            <w:vMerge w:val="restart"/>
            <w:tcBorders>
              <w:left w:val="double" w:sz="4" w:space="0" w:color="auto"/>
              <w:right w:val="single" w:sz="4" w:space="0" w:color="auto"/>
            </w:tcBorders>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0.88</w:t>
            </w:r>
            <w:r w:rsidRPr="009D6364">
              <w:rPr>
                <w:rFonts w:ascii="Arial Narrow" w:eastAsia="Times New Roman" w:hAnsi="Arial Narrow" w:cs="Arial"/>
                <w:snapToGrid w:val="0"/>
                <w:sz w:val="20"/>
                <w:szCs w:val="20"/>
                <w:vertAlign w:val="superscript"/>
                <w:lang w:val="es-ES"/>
              </w:rPr>
              <w:t>2</w:t>
            </w:r>
          </w:p>
        </w:tc>
      </w:tr>
      <w:tr w:rsidR="00CA1A39" w:rsidRPr="00E01A8E" w:rsidTr="00CA1A39">
        <w:trPr>
          <w:trHeight w:val="233"/>
        </w:trPr>
        <w:tc>
          <w:tcPr>
            <w:tcW w:w="1319"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 xml:space="preserve">Sitagliptin </w:t>
            </w:r>
            <w:r w:rsidR="000C248E" w:rsidRPr="009D6364">
              <w:rPr>
                <w:rFonts w:ascii="Arial Narrow" w:eastAsia="Times New Roman" w:hAnsi="Arial Narrow" w:cs="Arial"/>
                <w:snapToGrid w:val="0"/>
                <w:sz w:val="20"/>
                <w:szCs w:val="20"/>
              </w:rPr>
              <w:t xml:space="preserve">25mg qd </w:t>
            </w:r>
            <w:r w:rsidRPr="009D6364">
              <w:rPr>
                <w:rFonts w:ascii="Arial Narrow" w:eastAsia="Times New Roman" w:hAnsi="Arial Narrow" w:cs="Arial"/>
                <w:snapToGrid w:val="0"/>
                <w:sz w:val="20"/>
                <w:szCs w:val="20"/>
              </w:rPr>
              <w:t>(n=33)</w:t>
            </w:r>
          </w:p>
        </w:tc>
        <w:tc>
          <w:tcPr>
            <w:tcW w:w="404" w:type="pct"/>
            <w:vMerge/>
            <w:tcBorders>
              <w:left w:val="single" w:sz="4" w:space="0" w:color="auto"/>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7.82±0.21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-0.53±0.20</w:t>
            </w:r>
          </w:p>
        </w:tc>
        <w:tc>
          <w:tcPr>
            <w:tcW w:w="608" w:type="pct"/>
            <w:vMerge/>
            <w:tcBorders>
              <w:left w:val="single" w:sz="4" w:space="0" w:color="auto"/>
              <w:bottom w:val="single" w:sz="4" w:space="0" w:color="auto"/>
              <w:right w:val="doub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989" w:type="pct"/>
            <w:vMerge/>
            <w:tcBorders>
              <w:left w:val="doub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533" w:type="pct"/>
            <w:vMerge/>
            <w:tcBorders>
              <w:left w:val="double" w:sz="4" w:space="0" w:color="auto"/>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r>
      <w:tr w:rsidR="00B64600" w:rsidRPr="00E01A8E" w:rsidTr="00CA1A39">
        <w:tc>
          <w:tcPr>
            <w:tcW w:w="5000" w:type="pct"/>
            <w:gridSpan w:val="7"/>
            <w:tcBorders>
              <w:top w:val="single" w:sz="4" w:space="0" w:color="auto"/>
              <w:left w:val="single" w:sz="4" w:space="0" w:color="auto"/>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b/>
                <w:snapToGrid w:val="0"/>
                <w:sz w:val="20"/>
                <w:szCs w:val="20"/>
              </w:rPr>
            </w:pPr>
            <w:r w:rsidRPr="009D6364">
              <w:rPr>
                <w:rFonts w:ascii="Arial Narrow" w:eastAsia="Times New Roman" w:hAnsi="Arial Narrow" w:cs="Arial"/>
                <w:b/>
                <w:snapToGrid w:val="0"/>
                <w:sz w:val="20"/>
                <w:szCs w:val="20"/>
              </w:rPr>
              <w:t>Tang 2015 (Primary outcome)</w:t>
            </w:r>
          </w:p>
        </w:tc>
      </w:tr>
      <w:tr w:rsidR="00CA1A39" w:rsidRPr="00E01A8E" w:rsidTr="00CA1A39">
        <w:tc>
          <w:tcPr>
            <w:tcW w:w="1319"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 xml:space="preserve">Vildagliptin 50 mg </w:t>
            </w:r>
            <w:r w:rsidR="002E0D32" w:rsidRPr="009D6364">
              <w:rPr>
                <w:rFonts w:ascii="Arial Narrow" w:eastAsia="Times New Roman" w:hAnsi="Arial Narrow" w:cs="Arial"/>
                <w:snapToGrid w:val="0"/>
                <w:sz w:val="20"/>
                <w:szCs w:val="20"/>
              </w:rPr>
              <w:t xml:space="preserve">bid </w:t>
            </w:r>
            <w:r w:rsidRPr="009D6364">
              <w:rPr>
                <w:rFonts w:ascii="Arial Narrow" w:eastAsia="Times New Roman" w:hAnsi="Arial Narrow" w:cs="Arial"/>
                <w:snapToGrid w:val="0"/>
                <w:sz w:val="20"/>
                <w:szCs w:val="20"/>
              </w:rPr>
              <w:t>(n=166)</w:t>
            </w:r>
          </w:p>
        </w:tc>
        <w:tc>
          <w:tcPr>
            <w:tcW w:w="404" w:type="pct"/>
            <w:vMerge w:val="restart"/>
            <w:tcBorders>
              <w:top w:val="single" w:sz="4" w:space="0" w:color="auto"/>
              <w:left w:val="single" w:sz="4" w:space="0" w:color="auto"/>
              <w:right w:val="single" w:sz="4" w:space="0" w:color="auto"/>
            </w:tcBorders>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12</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9.59±1.84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-1.33 ±0.11</w:t>
            </w:r>
          </w:p>
        </w:tc>
        <w:tc>
          <w:tcPr>
            <w:tcW w:w="608" w:type="pct"/>
            <w:vMerge w:val="restart"/>
            <w:tcBorders>
              <w:top w:val="single" w:sz="4" w:space="0" w:color="auto"/>
              <w:left w:val="single" w:sz="4" w:space="0" w:color="auto"/>
              <w:right w:val="doub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NR</w:t>
            </w:r>
          </w:p>
        </w:tc>
        <w:tc>
          <w:tcPr>
            <w:tcW w:w="989" w:type="pct"/>
            <w:tcBorders>
              <w:top w:val="single" w:sz="4" w:space="0" w:color="auto"/>
              <w:left w:val="doub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533" w:type="pct"/>
            <w:tcBorders>
              <w:top w:val="single" w:sz="4" w:space="0" w:color="auto"/>
              <w:left w:val="doub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r>
      <w:tr w:rsidR="00CA1A39" w:rsidRPr="00E01A8E" w:rsidTr="00CA1A39">
        <w:tc>
          <w:tcPr>
            <w:tcW w:w="1319"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 xml:space="preserve">Sitagliptin </w:t>
            </w:r>
            <w:r w:rsidR="002E0D32" w:rsidRPr="009D6364">
              <w:rPr>
                <w:rFonts w:ascii="Arial Narrow" w:eastAsia="Times New Roman" w:hAnsi="Arial Narrow" w:cs="Arial"/>
                <w:snapToGrid w:val="0"/>
                <w:sz w:val="20"/>
                <w:szCs w:val="20"/>
              </w:rPr>
              <w:t xml:space="preserve">100mg qd </w:t>
            </w:r>
            <w:r w:rsidRPr="009D6364">
              <w:rPr>
                <w:rFonts w:ascii="Arial Narrow" w:eastAsia="Times New Roman" w:hAnsi="Arial Narrow" w:cs="Arial"/>
                <w:snapToGrid w:val="0"/>
                <w:sz w:val="20"/>
                <w:szCs w:val="20"/>
              </w:rPr>
              <w:t>(n=165)</w:t>
            </w:r>
          </w:p>
        </w:tc>
        <w:tc>
          <w:tcPr>
            <w:tcW w:w="404" w:type="pct"/>
            <w:vMerge/>
            <w:tcBorders>
              <w:left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lang w:val="es-ES"/>
              </w:rPr>
              <w:t>9.22±1.60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lang w:val="es-ES"/>
              </w:rPr>
              <w:t>-0.84±0.08</w:t>
            </w:r>
          </w:p>
        </w:tc>
        <w:tc>
          <w:tcPr>
            <w:tcW w:w="608" w:type="pct"/>
            <w:vMerge/>
            <w:tcBorders>
              <w:left w:val="single" w:sz="4" w:space="0" w:color="auto"/>
              <w:right w:val="doub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989" w:type="pct"/>
            <w:tcBorders>
              <w:left w:val="doub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lang w:val="es-ES"/>
              </w:rPr>
              <w:t>-0.49 (-0.51, -0.47)</w:t>
            </w:r>
            <w:r w:rsidRPr="009D6364">
              <w:rPr>
                <w:rFonts w:ascii="Arial Narrow" w:eastAsia="Times New Roman" w:hAnsi="Arial Narrow" w:cs="Arial"/>
                <w:snapToGrid w:val="0"/>
                <w:sz w:val="20"/>
                <w:szCs w:val="20"/>
                <w:vertAlign w:val="superscript"/>
                <w:lang w:val="es-ES"/>
              </w:rPr>
              <w:t>2</w:t>
            </w:r>
          </w:p>
        </w:tc>
        <w:tc>
          <w:tcPr>
            <w:tcW w:w="533" w:type="pct"/>
            <w:tcBorders>
              <w:left w:val="double" w:sz="4" w:space="0" w:color="auto"/>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b/>
                <w:snapToGrid w:val="0"/>
                <w:sz w:val="20"/>
                <w:szCs w:val="20"/>
              </w:rPr>
            </w:pPr>
            <w:r w:rsidRPr="009D6364">
              <w:rPr>
                <w:rFonts w:ascii="Arial Narrow" w:eastAsia="Times New Roman" w:hAnsi="Arial Narrow" w:cs="Arial"/>
                <w:b/>
                <w:snapToGrid w:val="0"/>
                <w:sz w:val="20"/>
                <w:szCs w:val="20"/>
              </w:rPr>
              <w:t>0.000</w:t>
            </w:r>
          </w:p>
        </w:tc>
      </w:tr>
      <w:tr w:rsidR="00CA1A39" w:rsidRPr="00E01A8E" w:rsidTr="00CA1A39">
        <w:tc>
          <w:tcPr>
            <w:tcW w:w="1319"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 xml:space="preserve">Linagliptin </w:t>
            </w:r>
            <w:r w:rsidR="002E0D32" w:rsidRPr="009D6364">
              <w:rPr>
                <w:rFonts w:ascii="Arial Narrow" w:eastAsia="Times New Roman" w:hAnsi="Arial Narrow" w:cs="Arial"/>
                <w:snapToGrid w:val="0"/>
                <w:sz w:val="20"/>
                <w:szCs w:val="20"/>
              </w:rPr>
              <w:t xml:space="preserve">5mg qd </w:t>
            </w:r>
            <w:r w:rsidRPr="009D6364">
              <w:rPr>
                <w:rFonts w:ascii="Arial Narrow" w:eastAsia="Times New Roman" w:hAnsi="Arial Narrow" w:cs="Arial"/>
                <w:snapToGrid w:val="0"/>
                <w:sz w:val="20"/>
                <w:szCs w:val="20"/>
              </w:rPr>
              <w:t>(n=164)</w:t>
            </w:r>
          </w:p>
        </w:tc>
        <w:tc>
          <w:tcPr>
            <w:tcW w:w="404" w:type="pct"/>
            <w:vMerge/>
            <w:tcBorders>
              <w:left w:val="single" w:sz="4" w:space="0" w:color="auto"/>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lang w:val="es-ES"/>
              </w:rPr>
              <w:t>9.58±1.80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lang w:val="es-ES"/>
              </w:rPr>
              <w:t>-0.81±0.08</w:t>
            </w:r>
          </w:p>
        </w:tc>
        <w:tc>
          <w:tcPr>
            <w:tcW w:w="608" w:type="pct"/>
            <w:vMerge/>
            <w:tcBorders>
              <w:left w:val="single" w:sz="4" w:space="0" w:color="auto"/>
              <w:bottom w:val="single" w:sz="4" w:space="0" w:color="auto"/>
              <w:right w:val="doub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989" w:type="pct"/>
            <w:tcBorders>
              <w:left w:val="doub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lang w:val="es-ES"/>
              </w:rPr>
              <w:t>-0.52 (-0.54, -0.50)</w:t>
            </w:r>
            <w:r w:rsidRPr="009D6364">
              <w:rPr>
                <w:rFonts w:ascii="Arial Narrow" w:eastAsia="Times New Roman" w:hAnsi="Arial Narrow" w:cs="Arial"/>
                <w:snapToGrid w:val="0"/>
                <w:sz w:val="20"/>
                <w:szCs w:val="20"/>
                <w:vertAlign w:val="superscript"/>
                <w:lang w:val="es-ES"/>
              </w:rPr>
              <w:t>2</w:t>
            </w:r>
          </w:p>
        </w:tc>
        <w:tc>
          <w:tcPr>
            <w:tcW w:w="533" w:type="pct"/>
            <w:tcBorders>
              <w:left w:val="double" w:sz="4" w:space="0" w:color="auto"/>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b/>
                <w:snapToGrid w:val="0"/>
                <w:sz w:val="20"/>
                <w:szCs w:val="20"/>
              </w:rPr>
            </w:pPr>
            <w:r w:rsidRPr="009D6364">
              <w:rPr>
                <w:rFonts w:ascii="Arial Narrow" w:eastAsia="Times New Roman" w:hAnsi="Arial Narrow" w:cs="Arial"/>
                <w:b/>
                <w:snapToGrid w:val="0"/>
                <w:sz w:val="20"/>
                <w:szCs w:val="20"/>
              </w:rPr>
              <w:t>0.000</w:t>
            </w:r>
          </w:p>
        </w:tc>
      </w:tr>
      <w:tr w:rsidR="00B64600" w:rsidRPr="00E01A8E" w:rsidTr="00CA1A39">
        <w:tc>
          <w:tcPr>
            <w:tcW w:w="5000" w:type="pct"/>
            <w:gridSpan w:val="7"/>
            <w:tcBorders>
              <w:top w:val="single" w:sz="4" w:space="0" w:color="auto"/>
              <w:left w:val="single" w:sz="4" w:space="0" w:color="auto"/>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b/>
                <w:snapToGrid w:val="0"/>
                <w:sz w:val="20"/>
                <w:szCs w:val="20"/>
              </w:rPr>
            </w:pPr>
            <w:r w:rsidRPr="009D6364">
              <w:rPr>
                <w:rFonts w:ascii="Arial Narrow" w:eastAsia="Times New Roman" w:hAnsi="Arial Narrow" w:cs="Arial"/>
                <w:b/>
                <w:snapToGrid w:val="0"/>
                <w:sz w:val="20"/>
                <w:szCs w:val="20"/>
              </w:rPr>
              <w:t>Study ADE07 (Secondary outcome)</w:t>
            </w:r>
          </w:p>
        </w:tc>
      </w:tr>
      <w:tr w:rsidR="00CA1A39" w:rsidRPr="00E01A8E" w:rsidTr="00CA1A39">
        <w:tc>
          <w:tcPr>
            <w:tcW w:w="1319"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 xml:space="preserve">Vildagliptin 50 mg </w:t>
            </w:r>
            <w:r w:rsidR="002E0D32" w:rsidRPr="009D6364">
              <w:rPr>
                <w:rFonts w:ascii="Arial Narrow" w:eastAsia="Times New Roman" w:hAnsi="Arial Narrow" w:cs="Arial"/>
                <w:snapToGrid w:val="0"/>
                <w:sz w:val="20"/>
                <w:szCs w:val="20"/>
              </w:rPr>
              <w:t xml:space="preserve">bid </w:t>
            </w:r>
            <w:r w:rsidRPr="009D6364">
              <w:rPr>
                <w:rFonts w:ascii="Arial Narrow" w:eastAsia="Times New Roman" w:hAnsi="Arial Narrow" w:cs="Arial"/>
                <w:snapToGrid w:val="0"/>
                <w:sz w:val="20"/>
                <w:szCs w:val="20"/>
              </w:rPr>
              <w:t>(n=49)</w:t>
            </w:r>
          </w:p>
        </w:tc>
        <w:tc>
          <w:tcPr>
            <w:tcW w:w="404" w:type="pct"/>
            <w:vMerge w:val="restart"/>
            <w:tcBorders>
              <w:top w:val="single" w:sz="4" w:space="0" w:color="auto"/>
              <w:left w:val="single" w:sz="4" w:space="0" w:color="auto"/>
              <w:right w:val="single" w:sz="4" w:space="0" w:color="auto"/>
            </w:tcBorders>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8</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7.83±0.52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-0.62±0.57</w:t>
            </w:r>
          </w:p>
        </w:tc>
        <w:tc>
          <w:tcPr>
            <w:tcW w:w="608" w:type="pct"/>
            <w:vMerge w:val="restart"/>
            <w:tcBorders>
              <w:top w:val="single" w:sz="4" w:space="0" w:color="auto"/>
              <w:left w:val="single" w:sz="4" w:space="0" w:color="auto"/>
              <w:right w:val="doub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NR</w:t>
            </w:r>
          </w:p>
        </w:tc>
        <w:tc>
          <w:tcPr>
            <w:tcW w:w="989" w:type="pct"/>
            <w:vMerge w:val="restart"/>
            <w:tcBorders>
              <w:top w:val="single" w:sz="4" w:space="0" w:color="auto"/>
              <w:left w:val="doub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lang w:val="es-ES"/>
              </w:rPr>
              <w:t>-0.12 (-0.34, 0.10)</w:t>
            </w:r>
          </w:p>
        </w:tc>
        <w:tc>
          <w:tcPr>
            <w:tcW w:w="533" w:type="pct"/>
            <w:vMerge w:val="restart"/>
            <w:tcBorders>
              <w:top w:val="single" w:sz="4" w:space="0" w:color="auto"/>
              <w:left w:val="double" w:sz="4" w:space="0" w:color="auto"/>
              <w:right w:val="single" w:sz="4" w:space="0" w:color="auto"/>
            </w:tcBorders>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lang w:val="es-ES"/>
              </w:rPr>
              <w:t>0.29</w:t>
            </w:r>
            <w:r w:rsidRPr="009D6364">
              <w:rPr>
                <w:rFonts w:ascii="Arial Narrow" w:eastAsia="Times New Roman" w:hAnsi="Arial Narrow" w:cs="Arial"/>
                <w:snapToGrid w:val="0"/>
                <w:sz w:val="20"/>
                <w:szCs w:val="20"/>
                <w:vertAlign w:val="superscript"/>
                <w:lang w:val="es-ES"/>
              </w:rPr>
              <w:t>2</w:t>
            </w:r>
          </w:p>
        </w:tc>
      </w:tr>
      <w:tr w:rsidR="00CA1A39" w:rsidRPr="00E01A8E" w:rsidTr="00CA1A39">
        <w:tc>
          <w:tcPr>
            <w:tcW w:w="1319"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 xml:space="preserve">Sitagliptin </w:t>
            </w:r>
            <w:r w:rsidR="002E0D32" w:rsidRPr="009D6364">
              <w:rPr>
                <w:rFonts w:ascii="Arial Narrow" w:eastAsia="Times New Roman" w:hAnsi="Arial Narrow" w:cs="Arial"/>
                <w:snapToGrid w:val="0"/>
                <w:sz w:val="20"/>
                <w:szCs w:val="20"/>
              </w:rPr>
              <w:t xml:space="preserve">100mg qd </w:t>
            </w:r>
            <w:r w:rsidRPr="009D6364">
              <w:rPr>
                <w:rFonts w:ascii="Arial Narrow" w:eastAsia="Times New Roman" w:hAnsi="Arial Narrow" w:cs="Arial"/>
                <w:snapToGrid w:val="0"/>
                <w:sz w:val="20"/>
                <w:szCs w:val="20"/>
              </w:rPr>
              <w:t>(n=49)</w:t>
            </w:r>
          </w:p>
        </w:tc>
        <w:tc>
          <w:tcPr>
            <w:tcW w:w="404" w:type="pct"/>
            <w:vMerge/>
            <w:tcBorders>
              <w:left w:val="single" w:sz="4" w:space="0" w:color="auto"/>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7.83±0.52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-0.50±0.55</w:t>
            </w:r>
          </w:p>
        </w:tc>
        <w:tc>
          <w:tcPr>
            <w:tcW w:w="608" w:type="pct"/>
            <w:vMerge/>
            <w:tcBorders>
              <w:left w:val="single" w:sz="4" w:space="0" w:color="auto"/>
              <w:bottom w:val="single" w:sz="4" w:space="0" w:color="auto"/>
              <w:right w:val="doub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989" w:type="pct"/>
            <w:vMerge/>
            <w:tcBorders>
              <w:left w:val="doub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533" w:type="pct"/>
            <w:vMerge/>
            <w:tcBorders>
              <w:left w:val="double" w:sz="4" w:space="0" w:color="auto"/>
              <w:bottom w:val="single" w:sz="4" w:space="0" w:color="auto"/>
              <w:right w:val="single" w:sz="4" w:space="0" w:color="auto"/>
            </w:tcBorders>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r>
      <w:tr w:rsidR="00B64600" w:rsidRPr="00E01A8E" w:rsidTr="00CA1A39">
        <w:tc>
          <w:tcPr>
            <w:tcW w:w="3479" w:type="pct"/>
            <w:gridSpan w:val="5"/>
            <w:tcBorders>
              <w:top w:val="single" w:sz="4" w:space="0" w:color="auto"/>
              <w:left w:val="single" w:sz="4" w:space="0" w:color="auto"/>
              <w:bottom w:val="double" w:sz="4" w:space="0" w:color="auto"/>
              <w:right w:val="double" w:sz="4" w:space="0" w:color="auto"/>
            </w:tcBorders>
          </w:tcPr>
          <w:p w:rsidR="00B64600" w:rsidRPr="009D6364" w:rsidRDefault="00B64600" w:rsidP="00B8794E">
            <w:pPr>
              <w:widowControl w:val="0"/>
              <w:spacing w:before="0" w:after="0"/>
              <w:jc w:val="both"/>
              <w:rPr>
                <w:rFonts w:ascii="Arial Narrow" w:eastAsia="Times New Roman" w:hAnsi="Arial Narrow" w:cs="Arial"/>
                <w:b/>
                <w:snapToGrid w:val="0"/>
                <w:sz w:val="20"/>
                <w:szCs w:val="20"/>
              </w:rPr>
            </w:pPr>
            <w:r w:rsidRPr="009D6364">
              <w:rPr>
                <w:rFonts w:ascii="Arial Narrow" w:eastAsia="Times New Roman" w:hAnsi="Arial Narrow" w:cs="Arial"/>
                <w:b/>
                <w:snapToGrid w:val="0"/>
                <w:sz w:val="20"/>
                <w:szCs w:val="20"/>
              </w:rPr>
              <w:t>Meta-analysis</w:t>
            </w:r>
            <w:r w:rsidRPr="009D6364">
              <w:rPr>
                <w:rFonts w:ascii="Arial Narrow" w:eastAsia="Times New Roman" w:hAnsi="Arial Narrow" w:cs="Arial"/>
                <w:b/>
                <w:snapToGrid w:val="0"/>
                <w:sz w:val="20"/>
                <w:szCs w:val="20"/>
                <w:vertAlign w:val="superscript"/>
                <w:lang w:val="es-ES"/>
              </w:rPr>
              <w:t>3</w:t>
            </w:r>
            <w:r w:rsidRPr="009D6364">
              <w:rPr>
                <w:rFonts w:ascii="Arial Narrow" w:eastAsia="Times New Roman" w:hAnsi="Arial Narrow" w:cs="Arial"/>
                <w:b/>
                <w:snapToGrid w:val="0"/>
                <w:sz w:val="20"/>
                <w:szCs w:val="20"/>
                <w:lang w:val="es-ES"/>
              </w:rPr>
              <w:t xml:space="preserve"> </w:t>
            </w:r>
            <w:r w:rsidRPr="009D6364">
              <w:rPr>
                <w:rFonts w:ascii="Arial Narrow" w:eastAsia="Times New Roman" w:hAnsi="Arial Narrow" w:cs="Arial"/>
                <w:b/>
                <w:snapToGrid w:val="0"/>
                <w:sz w:val="20"/>
                <w:szCs w:val="20"/>
              </w:rPr>
              <w:t>of Study 23138, Tang 2015 and Study ADE07 [</w:t>
            </w:r>
            <w:r w:rsidR="00EC1D5F" w:rsidRPr="009D6364">
              <w:rPr>
                <w:rFonts w:ascii="Arial Narrow" w:eastAsia="Times New Roman" w:hAnsi="Arial Narrow" w:cs="Arial"/>
                <w:b/>
                <w:bCs/>
                <w:snapToGrid w:val="0"/>
                <w:sz w:val="20"/>
                <w:szCs w:val="20"/>
              </w:rPr>
              <w:t>Χ</w:t>
            </w:r>
            <w:r w:rsidRPr="009D6364">
              <w:rPr>
                <w:rFonts w:ascii="Arial Narrow" w:eastAsia="Times New Roman" w:hAnsi="Arial Narrow" w:cs="Arial"/>
                <w:b/>
                <w:snapToGrid w:val="0"/>
                <w:sz w:val="20"/>
                <w:szCs w:val="20"/>
                <w:vertAlign w:val="superscript"/>
              </w:rPr>
              <w:t>2</w:t>
            </w:r>
            <w:r w:rsidRPr="009D6364">
              <w:rPr>
                <w:rFonts w:ascii="Arial Narrow" w:eastAsia="Times New Roman" w:hAnsi="Arial Narrow" w:cs="Arial"/>
                <w:b/>
                <w:snapToGrid w:val="0"/>
                <w:sz w:val="20"/>
                <w:szCs w:val="20"/>
              </w:rPr>
              <w:t>=18.22, df=2 (p=0.0001);I</w:t>
            </w:r>
            <w:r w:rsidRPr="009D6364">
              <w:rPr>
                <w:rFonts w:ascii="Arial Narrow" w:eastAsia="Times New Roman" w:hAnsi="Arial Narrow" w:cs="Arial"/>
                <w:b/>
                <w:snapToGrid w:val="0"/>
                <w:sz w:val="20"/>
                <w:szCs w:val="20"/>
                <w:vertAlign w:val="superscript"/>
              </w:rPr>
              <w:t>2</w:t>
            </w:r>
            <w:r w:rsidRPr="009D6364">
              <w:rPr>
                <w:rFonts w:ascii="Arial Narrow" w:eastAsia="Times New Roman" w:hAnsi="Arial Narrow" w:cs="Arial"/>
                <w:b/>
                <w:snapToGrid w:val="0"/>
                <w:sz w:val="20"/>
                <w:szCs w:val="20"/>
              </w:rPr>
              <w:t xml:space="preserve"> = 89%</w:t>
            </w:r>
          </w:p>
        </w:tc>
        <w:tc>
          <w:tcPr>
            <w:tcW w:w="989" w:type="pct"/>
            <w:tcBorders>
              <w:left w:val="double" w:sz="4" w:space="0" w:color="auto"/>
              <w:bottom w:val="double" w:sz="4" w:space="0" w:color="auto"/>
              <w:right w:val="single" w:sz="4" w:space="0" w:color="auto"/>
            </w:tcBorders>
            <w:shd w:val="clear" w:color="auto" w:fill="FFFFFF" w:themeFill="background1"/>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lang w:val="es-ES"/>
              </w:rPr>
              <w:t>-0.21 (-0.56, 0.14)</w:t>
            </w:r>
          </w:p>
        </w:tc>
        <w:tc>
          <w:tcPr>
            <w:tcW w:w="533" w:type="pct"/>
            <w:tcBorders>
              <w:left w:val="double" w:sz="4" w:space="0" w:color="auto"/>
              <w:bottom w:val="double" w:sz="4" w:space="0" w:color="auto"/>
              <w:right w:val="single" w:sz="4" w:space="0" w:color="auto"/>
            </w:tcBorders>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0.24</w:t>
            </w:r>
          </w:p>
        </w:tc>
      </w:tr>
      <w:tr w:rsidR="00B64600" w:rsidRPr="00E01A8E" w:rsidTr="00CA1A39">
        <w:tc>
          <w:tcPr>
            <w:tcW w:w="5000" w:type="pct"/>
            <w:gridSpan w:val="7"/>
            <w:tcBorders>
              <w:top w:val="double" w:sz="4" w:space="0" w:color="auto"/>
              <w:left w:val="single" w:sz="4" w:space="0" w:color="auto"/>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b/>
                <w:smallCaps/>
                <w:snapToGrid w:val="0"/>
                <w:sz w:val="20"/>
                <w:szCs w:val="20"/>
              </w:rPr>
            </w:pPr>
            <w:r w:rsidRPr="009D6364">
              <w:rPr>
                <w:rFonts w:ascii="Arial Narrow" w:eastAsia="Times New Roman" w:hAnsi="Arial Narrow" w:cs="Arial"/>
                <w:b/>
                <w:smallCaps/>
                <w:snapToGrid w:val="0"/>
                <w:sz w:val="20"/>
                <w:szCs w:val="20"/>
              </w:rPr>
              <w:t>placebo-controlled trials</w:t>
            </w:r>
          </w:p>
        </w:tc>
      </w:tr>
      <w:tr w:rsidR="00B64600" w:rsidRPr="00E01A8E" w:rsidTr="00CA1A39">
        <w:tc>
          <w:tcPr>
            <w:tcW w:w="5000" w:type="pct"/>
            <w:gridSpan w:val="7"/>
            <w:tcBorders>
              <w:top w:val="single" w:sz="4" w:space="0" w:color="auto"/>
              <w:left w:val="single" w:sz="4" w:space="0" w:color="auto"/>
              <w:bottom w:val="single" w:sz="4" w:space="0" w:color="auto"/>
              <w:right w:val="single" w:sz="4" w:space="0" w:color="auto"/>
            </w:tcBorders>
          </w:tcPr>
          <w:p w:rsidR="00B64600" w:rsidRPr="009D6364" w:rsidRDefault="00B64600" w:rsidP="00B8794E">
            <w:pPr>
              <w:widowControl w:val="0"/>
              <w:spacing w:before="0" w:after="0"/>
              <w:jc w:val="both"/>
              <w:rPr>
                <w:rFonts w:ascii="Arial Narrow" w:eastAsia="Times New Roman" w:hAnsi="Arial Narrow" w:cs="Arial"/>
                <w:b/>
                <w:snapToGrid w:val="0"/>
                <w:sz w:val="20"/>
                <w:szCs w:val="20"/>
              </w:rPr>
            </w:pPr>
            <w:r w:rsidRPr="009D6364">
              <w:rPr>
                <w:rFonts w:ascii="Arial Narrow" w:eastAsia="Times New Roman" w:hAnsi="Arial Narrow" w:cs="Arial"/>
                <w:b/>
                <w:snapToGrid w:val="0"/>
                <w:sz w:val="20"/>
                <w:szCs w:val="20"/>
              </w:rPr>
              <w:t>Study 23137 moderate renal impairment</w:t>
            </w:r>
            <w:r w:rsidRPr="009D6364">
              <w:rPr>
                <w:rFonts w:ascii="Arial Narrow" w:eastAsia="Times New Roman" w:hAnsi="Arial Narrow" w:cs="Arial"/>
                <w:b/>
                <w:snapToGrid w:val="0"/>
                <w:sz w:val="20"/>
                <w:szCs w:val="20"/>
                <w:vertAlign w:val="superscript"/>
              </w:rPr>
              <w:t>4</w:t>
            </w:r>
          </w:p>
        </w:tc>
      </w:tr>
      <w:tr w:rsidR="00CA1A39" w:rsidRPr="00E01A8E" w:rsidTr="00CA1A39">
        <w:trPr>
          <w:trHeight w:val="70"/>
        </w:trPr>
        <w:tc>
          <w:tcPr>
            <w:tcW w:w="1319"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 xml:space="preserve">Vildagliptin 50 mg </w:t>
            </w:r>
            <w:r w:rsidR="00397C68" w:rsidRPr="009D6364">
              <w:rPr>
                <w:rFonts w:ascii="Arial Narrow" w:eastAsia="Times New Roman" w:hAnsi="Arial Narrow" w:cs="Arial"/>
                <w:snapToGrid w:val="0"/>
                <w:sz w:val="20"/>
                <w:szCs w:val="20"/>
              </w:rPr>
              <w:t xml:space="preserve">qd </w:t>
            </w:r>
            <w:r w:rsidRPr="009D6364">
              <w:rPr>
                <w:rFonts w:ascii="Arial Narrow" w:eastAsia="Times New Roman" w:hAnsi="Arial Narrow" w:cs="Arial"/>
                <w:snapToGrid w:val="0"/>
                <w:sz w:val="20"/>
                <w:szCs w:val="20"/>
              </w:rPr>
              <w:t>(n=157)</w:t>
            </w:r>
          </w:p>
        </w:tc>
        <w:tc>
          <w:tcPr>
            <w:tcW w:w="404" w:type="pct"/>
            <w:vMerge w:val="restart"/>
            <w:tcBorders>
              <w:top w:val="single" w:sz="4" w:space="0" w:color="auto"/>
              <w:left w:val="single" w:sz="4" w:space="0" w:color="auto"/>
              <w:right w:val="single" w:sz="4" w:space="0" w:color="auto"/>
            </w:tcBorders>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24</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7.86±0.08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-0.74 ±0.10</w:t>
            </w:r>
          </w:p>
        </w:tc>
        <w:tc>
          <w:tcPr>
            <w:tcW w:w="608" w:type="pct"/>
            <w:vMerge w:val="restart"/>
            <w:tcBorders>
              <w:top w:val="single" w:sz="4" w:space="0" w:color="auto"/>
              <w:left w:val="single" w:sz="4" w:space="0" w:color="auto"/>
              <w:right w:val="doub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-0.53 (0.11)</w:t>
            </w:r>
          </w:p>
        </w:tc>
        <w:tc>
          <w:tcPr>
            <w:tcW w:w="989" w:type="pct"/>
            <w:vMerge w:val="restart"/>
            <w:tcBorders>
              <w:top w:val="single" w:sz="4" w:space="0" w:color="auto"/>
              <w:left w:val="doub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-0.53 (-0.75, -0.31)</w:t>
            </w:r>
          </w:p>
        </w:tc>
        <w:tc>
          <w:tcPr>
            <w:tcW w:w="533" w:type="pct"/>
            <w:vMerge w:val="restart"/>
            <w:tcBorders>
              <w:top w:val="single" w:sz="4" w:space="0" w:color="auto"/>
              <w:left w:val="double" w:sz="4" w:space="0" w:color="auto"/>
              <w:right w:val="single" w:sz="4" w:space="0" w:color="auto"/>
            </w:tcBorders>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b/>
                <w:snapToGrid w:val="0"/>
                <w:sz w:val="20"/>
                <w:szCs w:val="20"/>
              </w:rPr>
              <w:t>&lt;0.0001</w:t>
            </w:r>
          </w:p>
        </w:tc>
      </w:tr>
      <w:tr w:rsidR="00CA1A39" w:rsidRPr="00E01A8E" w:rsidTr="00CA1A39">
        <w:trPr>
          <w:trHeight w:val="233"/>
        </w:trPr>
        <w:tc>
          <w:tcPr>
            <w:tcW w:w="1319"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Placebo (n=128)</w:t>
            </w:r>
          </w:p>
        </w:tc>
        <w:tc>
          <w:tcPr>
            <w:tcW w:w="404" w:type="pct"/>
            <w:vMerge/>
            <w:tcBorders>
              <w:left w:val="single" w:sz="4" w:space="0" w:color="auto"/>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7.79±0.08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-0.21±0.11</w:t>
            </w:r>
          </w:p>
        </w:tc>
        <w:tc>
          <w:tcPr>
            <w:tcW w:w="608" w:type="pct"/>
            <w:vMerge/>
            <w:tcBorders>
              <w:left w:val="single" w:sz="4" w:space="0" w:color="auto"/>
              <w:bottom w:val="single" w:sz="4" w:space="0" w:color="auto"/>
              <w:right w:val="doub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989" w:type="pct"/>
            <w:vMerge/>
            <w:tcBorders>
              <w:left w:val="doub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533" w:type="pct"/>
            <w:vMerge/>
            <w:tcBorders>
              <w:left w:val="double" w:sz="4" w:space="0" w:color="auto"/>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r>
      <w:tr w:rsidR="00B64600" w:rsidRPr="00E01A8E" w:rsidTr="00CA1A39">
        <w:trPr>
          <w:trHeight w:val="23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b/>
                <w:snapToGrid w:val="0"/>
                <w:sz w:val="20"/>
                <w:szCs w:val="20"/>
              </w:rPr>
              <w:t>Study 23137 severe renal impairment</w:t>
            </w:r>
            <w:r w:rsidRPr="009D6364">
              <w:rPr>
                <w:rFonts w:ascii="Arial Narrow" w:eastAsia="Times New Roman" w:hAnsi="Arial Narrow" w:cs="Arial"/>
                <w:b/>
                <w:snapToGrid w:val="0"/>
                <w:sz w:val="20"/>
                <w:szCs w:val="20"/>
                <w:vertAlign w:val="superscript"/>
              </w:rPr>
              <w:t>4</w:t>
            </w:r>
          </w:p>
        </w:tc>
      </w:tr>
      <w:tr w:rsidR="00CA1A39" w:rsidRPr="00E01A8E" w:rsidTr="00CA1A39">
        <w:trPr>
          <w:trHeight w:val="233"/>
        </w:trPr>
        <w:tc>
          <w:tcPr>
            <w:tcW w:w="1319"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 xml:space="preserve">Vildagliptin 50 mg </w:t>
            </w:r>
            <w:r w:rsidR="00397C68" w:rsidRPr="009D6364">
              <w:rPr>
                <w:rFonts w:ascii="Arial Narrow" w:eastAsia="Times New Roman" w:hAnsi="Arial Narrow" w:cs="Arial"/>
                <w:snapToGrid w:val="0"/>
                <w:sz w:val="20"/>
                <w:szCs w:val="20"/>
              </w:rPr>
              <w:t xml:space="preserve">qd </w:t>
            </w:r>
            <w:r w:rsidRPr="009D6364">
              <w:rPr>
                <w:rFonts w:ascii="Arial Narrow" w:eastAsia="Times New Roman" w:hAnsi="Arial Narrow" w:cs="Arial"/>
                <w:snapToGrid w:val="0"/>
                <w:sz w:val="20"/>
                <w:szCs w:val="20"/>
              </w:rPr>
              <w:t>(n=122)</w:t>
            </w:r>
          </w:p>
        </w:tc>
        <w:tc>
          <w:tcPr>
            <w:tcW w:w="404" w:type="pct"/>
            <w:vMerge w:val="restart"/>
            <w:tcBorders>
              <w:top w:val="single" w:sz="4" w:space="0" w:color="auto"/>
              <w:left w:val="single" w:sz="4" w:space="0" w:color="auto"/>
              <w:right w:val="single" w:sz="4" w:space="0" w:color="auto"/>
            </w:tcBorders>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24</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7.69±0.09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-0.88 ±0.16</w:t>
            </w:r>
          </w:p>
        </w:tc>
        <w:tc>
          <w:tcPr>
            <w:tcW w:w="608" w:type="pct"/>
            <w:vMerge w:val="restart"/>
            <w:tcBorders>
              <w:top w:val="single" w:sz="4" w:space="0" w:color="auto"/>
              <w:left w:val="single" w:sz="4" w:space="0" w:color="auto"/>
              <w:right w:val="doub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-0.56 (0.13)</w:t>
            </w:r>
          </w:p>
        </w:tc>
        <w:tc>
          <w:tcPr>
            <w:tcW w:w="989" w:type="pct"/>
            <w:vMerge w:val="restart"/>
            <w:tcBorders>
              <w:left w:val="doub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-0.56 (-0.83, -0.30)</w:t>
            </w:r>
          </w:p>
        </w:tc>
        <w:tc>
          <w:tcPr>
            <w:tcW w:w="533" w:type="pct"/>
            <w:vMerge w:val="restart"/>
            <w:tcBorders>
              <w:left w:val="double" w:sz="4" w:space="0" w:color="auto"/>
              <w:right w:val="single" w:sz="4" w:space="0" w:color="auto"/>
            </w:tcBorders>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b/>
                <w:snapToGrid w:val="0"/>
                <w:sz w:val="20"/>
                <w:szCs w:val="20"/>
              </w:rPr>
              <w:t>&lt;0.0001</w:t>
            </w:r>
          </w:p>
        </w:tc>
      </w:tr>
      <w:tr w:rsidR="00CA1A39" w:rsidRPr="00E01A8E" w:rsidTr="00CA1A39">
        <w:trPr>
          <w:trHeight w:val="233"/>
        </w:trPr>
        <w:tc>
          <w:tcPr>
            <w:tcW w:w="1319"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Sitagliptin (n=95)</w:t>
            </w:r>
          </w:p>
        </w:tc>
        <w:tc>
          <w:tcPr>
            <w:tcW w:w="404" w:type="pct"/>
            <w:vMerge/>
            <w:tcBorders>
              <w:left w:val="single" w:sz="4" w:space="0" w:color="auto"/>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7.65±0.10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-0.32±0.16</w:t>
            </w:r>
          </w:p>
        </w:tc>
        <w:tc>
          <w:tcPr>
            <w:tcW w:w="608" w:type="pct"/>
            <w:vMerge/>
            <w:tcBorders>
              <w:left w:val="single" w:sz="4" w:space="0" w:color="auto"/>
              <w:bottom w:val="single" w:sz="4" w:space="0" w:color="auto"/>
              <w:right w:val="doub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989" w:type="pct"/>
            <w:vMerge/>
            <w:tcBorders>
              <w:left w:val="doub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533" w:type="pct"/>
            <w:vMerge/>
            <w:tcBorders>
              <w:left w:val="double" w:sz="4" w:space="0" w:color="auto"/>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r>
      <w:tr w:rsidR="00B64600" w:rsidRPr="00E01A8E" w:rsidTr="00CA1A39">
        <w:tc>
          <w:tcPr>
            <w:tcW w:w="5000" w:type="pct"/>
            <w:gridSpan w:val="7"/>
            <w:tcBorders>
              <w:top w:val="single" w:sz="4" w:space="0" w:color="auto"/>
              <w:left w:val="single" w:sz="4" w:space="0" w:color="auto"/>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b/>
                <w:snapToGrid w:val="0"/>
                <w:sz w:val="20"/>
                <w:szCs w:val="20"/>
              </w:rPr>
            </w:pPr>
            <w:r w:rsidRPr="009D6364">
              <w:rPr>
                <w:rFonts w:ascii="Arial Narrow" w:eastAsia="Times New Roman" w:hAnsi="Arial Narrow" w:cs="Arial"/>
                <w:b/>
                <w:snapToGrid w:val="0"/>
                <w:sz w:val="20"/>
                <w:szCs w:val="20"/>
              </w:rPr>
              <w:t xml:space="preserve">Study 23135 </w:t>
            </w:r>
          </w:p>
        </w:tc>
      </w:tr>
      <w:tr w:rsidR="00CA1A39" w:rsidRPr="00E01A8E" w:rsidTr="00CA1A39">
        <w:tc>
          <w:tcPr>
            <w:tcW w:w="1319"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 xml:space="preserve">Vildagliptin 50 mg </w:t>
            </w:r>
            <w:r w:rsidR="00397C68" w:rsidRPr="009D6364">
              <w:rPr>
                <w:rFonts w:ascii="Arial Narrow" w:eastAsia="Times New Roman" w:hAnsi="Arial Narrow" w:cs="Arial"/>
                <w:snapToGrid w:val="0"/>
                <w:sz w:val="20"/>
                <w:szCs w:val="20"/>
              </w:rPr>
              <w:t xml:space="preserve">bid </w:t>
            </w:r>
            <w:r w:rsidRPr="009D6364">
              <w:rPr>
                <w:rFonts w:ascii="Arial Narrow" w:eastAsia="Times New Roman" w:hAnsi="Arial Narrow" w:cs="Arial"/>
                <w:snapToGrid w:val="0"/>
                <w:sz w:val="20"/>
                <w:szCs w:val="20"/>
              </w:rPr>
              <w:t>(n=221)</w:t>
            </w:r>
          </w:p>
        </w:tc>
        <w:tc>
          <w:tcPr>
            <w:tcW w:w="404" w:type="pct"/>
            <w:vMerge w:val="restart"/>
            <w:tcBorders>
              <w:top w:val="single" w:sz="4" w:space="0" w:color="auto"/>
              <w:left w:val="single" w:sz="4" w:space="0" w:color="auto"/>
              <w:right w:val="single" w:sz="4" w:space="0" w:color="auto"/>
            </w:tcBorders>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24</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8.80±0.07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-0.77 ±0.08</w:t>
            </w:r>
          </w:p>
        </w:tc>
        <w:tc>
          <w:tcPr>
            <w:tcW w:w="608" w:type="pct"/>
            <w:vMerge w:val="restart"/>
            <w:tcBorders>
              <w:top w:val="single" w:sz="4" w:space="0" w:color="auto"/>
              <w:left w:val="single" w:sz="4" w:space="0" w:color="auto"/>
              <w:right w:val="doub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-0.72 (0.10)</w:t>
            </w:r>
          </w:p>
        </w:tc>
        <w:tc>
          <w:tcPr>
            <w:tcW w:w="989" w:type="pct"/>
            <w:vMerge w:val="restart"/>
            <w:tcBorders>
              <w:top w:val="single" w:sz="4" w:space="0" w:color="auto"/>
              <w:left w:val="doub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-0.72 (-0.92, -0.52)</w:t>
            </w:r>
          </w:p>
        </w:tc>
        <w:tc>
          <w:tcPr>
            <w:tcW w:w="533" w:type="pct"/>
            <w:vMerge w:val="restart"/>
            <w:tcBorders>
              <w:top w:val="single" w:sz="4" w:space="0" w:color="auto"/>
              <w:left w:val="double" w:sz="4" w:space="0" w:color="auto"/>
              <w:right w:val="single" w:sz="4" w:space="0" w:color="auto"/>
            </w:tcBorders>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b/>
                <w:snapToGrid w:val="0"/>
                <w:sz w:val="20"/>
                <w:szCs w:val="20"/>
              </w:rPr>
              <w:t>&lt;0.001</w:t>
            </w:r>
          </w:p>
        </w:tc>
      </w:tr>
      <w:tr w:rsidR="00CA1A39" w:rsidRPr="00E01A8E" w:rsidTr="00CA1A39">
        <w:tc>
          <w:tcPr>
            <w:tcW w:w="1319"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Placebo (n=215)</w:t>
            </w:r>
          </w:p>
        </w:tc>
        <w:tc>
          <w:tcPr>
            <w:tcW w:w="404" w:type="pct"/>
            <w:vMerge/>
            <w:tcBorders>
              <w:left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8.84±0.07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-0.05±0.08</w:t>
            </w:r>
          </w:p>
        </w:tc>
        <w:tc>
          <w:tcPr>
            <w:tcW w:w="608" w:type="pct"/>
            <w:vMerge/>
            <w:tcBorders>
              <w:left w:val="single" w:sz="4" w:space="0" w:color="auto"/>
              <w:right w:val="doub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989" w:type="pct"/>
            <w:vMerge/>
            <w:tcBorders>
              <w:left w:val="doub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533" w:type="pct"/>
            <w:vMerge/>
            <w:tcBorders>
              <w:left w:val="double" w:sz="4" w:space="0" w:color="auto"/>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b/>
                <w:snapToGrid w:val="0"/>
                <w:sz w:val="20"/>
                <w:szCs w:val="20"/>
              </w:rPr>
            </w:pPr>
          </w:p>
        </w:tc>
      </w:tr>
      <w:tr w:rsidR="00B64600" w:rsidRPr="00E01A8E" w:rsidTr="00CA1A39">
        <w:tc>
          <w:tcPr>
            <w:tcW w:w="5000" w:type="pct"/>
            <w:gridSpan w:val="7"/>
            <w:tcBorders>
              <w:top w:val="single" w:sz="4" w:space="0" w:color="auto"/>
              <w:left w:val="single" w:sz="4" w:space="0" w:color="auto"/>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b/>
                <w:snapToGrid w:val="0"/>
                <w:sz w:val="20"/>
                <w:szCs w:val="20"/>
              </w:rPr>
            </w:pPr>
            <w:r w:rsidRPr="009D6364">
              <w:rPr>
                <w:rFonts w:ascii="Arial Narrow" w:eastAsia="Times New Roman" w:hAnsi="Arial Narrow" w:cs="Arial"/>
                <w:b/>
                <w:snapToGrid w:val="0"/>
                <w:sz w:val="20"/>
                <w:szCs w:val="20"/>
              </w:rPr>
              <w:t xml:space="preserve">Study 2311 </w:t>
            </w:r>
          </w:p>
        </w:tc>
      </w:tr>
      <w:tr w:rsidR="00CA1A39" w:rsidRPr="00E01A8E" w:rsidTr="00CA1A39">
        <w:tc>
          <w:tcPr>
            <w:tcW w:w="1319"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 xml:space="preserve">Vildagliptin 50 mg </w:t>
            </w:r>
            <w:r w:rsidR="00397C68" w:rsidRPr="009D6364">
              <w:rPr>
                <w:rFonts w:ascii="Arial Narrow" w:eastAsia="Times New Roman" w:hAnsi="Arial Narrow" w:cs="Arial"/>
                <w:snapToGrid w:val="0"/>
                <w:sz w:val="20"/>
                <w:szCs w:val="20"/>
              </w:rPr>
              <w:t xml:space="preserve">bid </w:t>
            </w:r>
            <w:r w:rsidRPr="009D6364">
              <w:rPr>
                <w:rFonts w:ascii="Arial Narrow" w:eastAsia="Times New Roman" w:hAnsi="Arial Narrow" w:cs="Arial"/>
                <w:snapToGrid w:val="0"/>
                <w:sz w:val="20"/>
                <w:szCs w:val="20"/>
              </w:rPr>
              <w:t>(n=125)</w:t>
            </w:r>
          </w:p>
        </w:tc>
        <w:tc>
          <w:tcPr>
            <w:tcW w:w="404" w:type="pct"/>
            <w:vMerge w:val="restart"/>
            <w:tcBorders>
              <w:top w:val="single" w:sz="4" w:space="0" w:color="auto"/>
              <w:left w:val="single" w:sz="4" w:space="0" w:color="auto"/>
              <w:right w:val="single" w:sz="4" w:space="0" w:color="auto"/>
            </w:tcBorders>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24</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8.52±0.09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-0.51 ±0.09</w:t>
            </w:r>
          </w:p>
        </w:tc>
        <w:tc>
          <w:tcPr>
            <w:tcW w:w="608" w:type="pct"/>
            <w:vMerge w:val="restart"/>
            <w:tcBorders>
              <w:top w:val="single" w:sz="4" w:space="0" w:color="auto"/>
              <w:left w:val="single" w:sz="4" w:space="0" w:color="auto"/>
              <w:right w:val="doub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-0.27 (0.12)</w:t>
            </w:r>
          </w:p>
        </w:tc>
        <w:tc>
          <w:tcPr>
            <w:tcW w:w="989" w:type="pct"/>
            <w:vMerge w:val="restart"/>
            <w:tcBorders>
              <w:top w:val="single" w:sz="4" w:space="0" w:color="auto"/>
              <w:left w:val="doub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-0.27 (-0.51, -0.04)</w:t>
            </w:r>
            <w:r w:rsidRPr="009D6364">
              <w:rPr>
                <w:rFonts w:ascii="Arial Narrow" w:eastAsia="Times New Roman" w:hAnsi="Arial Narrow" w:cs="Arial"/>
                <w:snapToGrid w:val="0"/>
                <w:sz w:val="20"/>
                <w:szCs w:val="20"/>
                <w:vertAlign w:val="superscript"/>
              </w:rPr>
              <w:t xml:space="preserve"> 2</w:t>
            </w:r>
          </w:p>
        </w:tc>
        <w:tc>
          <w:tcPr>
            <w:tcW w:w="533" w:type="pct"/>
            <w:vMerge w:val="restart"/>
            <w:tcBorders>
              <w:top w:val="single" w:sz="4" w:space="0" w:color="auto"/>
              <w:left w:val="doub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b/>
                <w:snapToGrid w:val="0"/>
                <w:sz w:val="20"/>
                <w:szCs w:val="20"/>
              </w:rPr>
              <w:t>0.022</w:t>
            </w:r>
          </w:p>
        </w:tc>
      </w:tr>
      <w:tr w:rsidR="00CA1A39" w:rsidRPr="00E01A8E" w:rsidTr="00CA1A39">
        <w:tc>
          <w:tcPr>
            <w:tcW w:w="1319"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Placebo (n=131)</w:t>
            </w:r>
          </w:p>
        </w:tc>
        <w:tc>
          <w:tcPr>
            <w:tcW w:w="404" w:type="pct"/>
            <w:vMerge/>
            <w:tcBorders>
              <w:left w:val="single" w:sz="4" w:space="0" w:color="auto"/>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8.54±0.09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-0.05±0.08</w:t>
            </w:r>
          </w:p>
        </w:tc>
        <w:tc>
          <w:tcPr>
            <w:tcW w:w="608" w:type="pct"/>
            <w:vMerge/>
            <w:tcBorders>
              <w:left w:val="single" w:sz="4" w:space="0" w:color="auto"/>
              <w:bottom w:val="single" w:sz="4" w:space="0" w:color="auto"/>
              <w:right w:val="doub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989" w:type="pct"/>
            <w:vMerge/>
            <w:tcBorders>
              <w:left w:val="double" w:sz="4" w:space="0" w:color="auto"/>
              <w:right w:val="single" w:sz="4" w:space="0" w:color="auto"/>
            </w:tcBorders>
            <w:shd w:val="clear" w:color="auto" w:fill="auto"/>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c>
          <w:tcPr>
            <w:tcW w:w="533" w:type="pct"/>
            <w:vMerge/>
            <w:tcBorders>
              <w:left w:val="double" w:sz="4" w:space="0" w:color="auto"/>
              <w:bottom w:val="sing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p>
        </w:tc>
      </w:tr>
      <w:tr w:rsidR="00B64600" w:rsidRPr="00E01A8E" w:rsidTr="00CA1A39">
        <w:tc>
          <w:tcPr>
            <w:tcW w:w="3479" w:type="pct"/>
            <w:gridSpan w:val="5"/>
            <w:tcBorders>
              <w:top w:val="single" w:sz="4" w:space="0" w:color="auto"/>
              <w:left w:val="single" w:sz="4" w:space="0" w:color="auto"/>
              <w:bottom w:val="single" w:sz="4" w:space="0" w:color="auto"/>
              <w:right w:val="double" w:sz="4" w:space="0" w:color="auto"/>
            </w:tcBorders>
          </w:tcPr>
          <w:p w:rsidR="00B64600" w:rsidRPr="009D6364" w:rsidRDefault="00B64600" w:rsidP="00B8794E">
            <w:pPr>
              <w:widowControl w:val="0"/>
              <w:spacing w:before="0" w:after="0"/>
              <w:jc w:val="both"/>
              <w:rPr>
                <w:rFonts w:ascii="Arial Narrow" w:eastAsia="Times New Roman" w:hAnsi="Arial Narrow" w:cs="Arial"/>
                <w:b/>
                <w:snapToGrid w:val="0"/>
                <w:sz w:val="20"/>
                <w:szCs w:val="20"/>
              </w:rPr>
            </w:pPr>
            <w:r w:rsidRPr="009D6364">
              <w:rPr>
                <w:rFonts w:ascii="Arial Narrow" w:eastAsia="Times New Roman" w:hAnsi="Arial Narrow" w:cs="Arial"/>
                <w:b/>
                <w:snapToGrid w:val="0"/>
                <w:sz w:val="20"/>
                <w:szCs w:val="20"/>
              </w:rPr>
              <w:t>Meta-analysis</w:t>
            </w:r>
            <w:r w:rsidRPr="009D6364">
              <w:rPr>
                <w:rFonts w:ascii="Arial Narrow" w:eastAsia="Times New Roman" w:hAnsi="Arial Narrow" w:cs="Arial"/>
                <w:b/>
                <w:snapToGrid w:val="0"/>
                <w:sz w:val="20"/>
                <w:szCs w:val="20"/>
                <w:vertAlign w:val="superscript"/>
                <w:lang w:val="es-ES"/>
              </w:rPr>
              <w:t>3</w:t>
            </w:r>
            <w:r w:rsidRPr="009D6364">
              <w:rPr>
                <w:rFonts w:ascii="Arial Narrow" w:eastAsia="Times New Roman" w:hAnsi="Arial Narrow" w:cs="Arial"/>
                <w:b/>
                <w:snapToGrid w:val="0"/>
                <w:sz w:val="20"/>
                <w:szCs w:val="20"/>
                <w:lang w:val="es-ES"/>
              </w:rPr>
              <w:t xml:space="preserve"> </w:t>
            </w:r>
            <w:r w:rsidRPr="009D6364">
              <w:rPr>
                <w:rFonts w:ascii="Arial Narrow" w:eastAsia="Times New Roman" w:hAnsi="Arial Narrow" w:cs="Arial"/>
                <w:b/>
                <w:snapToGrid w:val="0"/>
                <w:sz w:val="20"/>
                <w:szCs w:val="20"/>
              </w:rPr>
              <w:t>of Study 23137, Study 23135 and Study 2311 [</w:t>
            </w:r>
            <w:r w:rsidR="00EC1D5F" w:rsidRPr="009D6364">
              <w:rPr>
                <w:rFonts w:ascii="Arial Narrow" w:eastAsia="Times New Roman" w:hAnsi="Arial Narrow" w:cs="Arial"/>
                <w:b/>
                <w:bCs/>
                <w:snapToGrid w:val="0"/>
                <w:sz w:val="20"/>
                <w:szCs w:val="20"/>
              </w:rPr>
              <w:t>Χ</w:t>
            </w:r>
            <w:r w:rsidRPr="009D6364">
              <w:rPr>
                <w:rFonts w:ascii="Arial Narrow" w:eastAsia="Times New Roman" w:hAnsi="Arial Narrow" w:cs="Arial"/>
                <w:b/>
                <w:snapToGrid w:val="0"/>
                <w:sz w:val="20"/>
                <w:szCs w:val="20"/>
                <w:vertAlign w:val="superscript"/>
              </w:rPr>
              <w:t>2</w:t>
            </w:r>
            <w:r w:rsidRPr="009D6364">
              <w:rPr>
                <w:rFonts w:ascii="Arial Narrow" w:eastAsia="Times New Roman" w:hAnsi="Arial Narrow" w:cs="Arial"/>
                <w:b/>
                <w:snapToGrid w:val="0"/>
                <w:sz w:val="20"/>
                <w:szCs w:val="20"/>
              </w:rPr>
              <w:t>=7.00, df=3 (p=0.07);I</w:t>
            </w:r>
            <w:r w:rsidRPr="009D6364">
              <w:rPr>
                <w:rFonts w:ascii="Arial Narrow" w:eastAsia="Times New Roman" w:hAnsi="Arial Narrow" w:cs="Arial"/>
                <w:b/>
                <w:snapToGrid w:val="0"/>
                <w:sz w:val="20"/>
                <w:szCs w:val="20"/>
                <w:vertAlign w:val="superscript"/>
              </w:rPr>
              <w:t>2</w:t>
            </w:r>
            <w:r w:rsidRPr="009D6364">
              <w:rPr>
                <w:rFonts w:ascii="Arial Narrow" w:eastAsia="Times New Roman" w:hAnsi="Arial Narrow" w:cs="Arial"/>
                <w:b/>
                <w:snapToGrid w:val="0"/>
                <w:sz w:val="20"/>
                <w:szCs w:val="20"/>
              </w:rPr>
              <w:t xml:space="preserve"> = 57%</w:t>
            </w:r>
          </w:p>
        </w:tc>
        <w:tc>
          <w:tcPr>
            <w:tcW w:w="989" w:type="pct"/>
            <w:tcBorders>
              <w:left w:val="double" w:sz="4" w:space="0" w:color="auto"/>
              <w:right w:val="single" w:sz="4" w:space="0" w:color="auto"/>
            </w:tcBorders>
            <w:shd w:val="clear" w:color="auto" w:fill="FFFFFF" w:themeFill="background1"/>
            <w:vAlign w:val="center"/>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snapToGrid w:val="0"/>
                <w:sz w:val="20"/>
                <w:szCs w:val="20"/>
              </w:rPr>
              <w:t>-0.52 (-0.74, -0.30)</w:t>
            </w:r>
          </w:p>
        </w:tc>
        <w:tc>
          <w:tcPr>
            <w:tcW w:w="533" w:type="pct"/>
            <w:tcBorders>
              <w:left w:val="double" w:sz="4" w:space="0" w:color="auto"/>
              <w:right w:val="single" w:sz="4" w:space="0" w:color="auto"/>
            </w:tcBorders>
          </w:tcPr>
          <w:p w:rsidR="00B64600" w:rsidRPr="009D6364" w:rsidRDefault="00B64600" w:rsidP="00466705">
            <w:pPr>
              <w:widowControl w:val="0"/>
              <w:spacing w:before="0" w:after="0"/>
              <w:jc w:val="both"/>
              <w:rPr>
                <w:rFonts w:ascii="Arial Narrow" w:eastAsia="Times New Roman" w:hAnsi="Arial Narrow" w:cs="Arial"/>
                <w:snapToGrid w:val="0"/>
                <w:sz w:val="20"/>
                <w:szCs w:val="20"/>
              </w:rPr>
            </w:pPr>
            <w:r w:rsidRPr="009D6364">
              <w:rPr>
                <w:rFonts w:ascii="Arial Narrow" w:eastAsia="Times New Roman" w:hAnsi="Arial Narrow" w:cs="Arial"/>
                <w:b/>
                <w:snapToGrid w:val="0"/>
                <w:sz w:val="20"/>
                <w:szCs w:val="20"/>
              </w:rPr>
              <w:t>&lt;0.0001</w:t>
            </w:r>
          </w:p>
        </w:tc>
      </w:tr>
    </w:tbl>
    <w:p w:rsidR="000437F2" w:rsidRPr="00E01A8E" w:rsidRDefault="000437F2" w:rsidP="00B8794E">
      <w:pPr>
        <w:widowControl w:val="0"/>
        <w:spacing w:before="0" w:after="0"/>
        <w:jc w:val="both"/>
        <w:rPr>
          <w:rFonts w:ascii="Arial Narrow" w:eastAsia="Times New Roman" w:hAnsi="Arial Narrow" w:cs="Arial"/>
          <w:snapToGrid w:val="0"/>
          <w:sz w:val="18"/>
          <w:szCs w:val="18"/>
        </w:rPr>
      </w:pPr>
      <w:r w:rsidRPr="00E01A8E">
        <w:rPr>
          <w:rFonts w:ascii="Arial Narrow" w:eastAsia="Times New Roman" w:hAnsi="Arial Narrow" w:cs="Arial"/>
          <w:snapToGrid w:val="0"/>
          <w:sz w:val="18"/>
          <w:szCs w:val="18"/>
        </w:rPr>
        <w:t>Note: 1 values are expressed as mean ± standard error; 2 estimated in Review Manager 5.1, Attachment 16</w:t>
      </w:r>
      <w:r w:rsidR="000D7D6C">
        <w:rPr>
          <w:rFonts w:ascii="Arial Narrow" w:eastAsia="Times New Roman" w:hAnsi="Arial Narrow" w:cs="Arial"/>
          <w:snapToGrid w:val="0"/>
          <w:sz w:val="18"/>
          <w:szCs w:val="18"/>
        </w:rPr>
        <w:t xml:space="preserve"> of the submission</w:t>
      </w:r>
      <w:r w:rsidRPr="00E01A8E">
        <w:rPr>
          <w:rFonts w:ascii="Arial Narrow" w:eastAsia="Times New Roman" w:hAnsi="Arial Narrow" w:cs="Arial"/>
          <w:snapToGrid w:val="0"/>
          <w:sz w:val="18"/>
          <w:szCs w:val="18"/>
        </w:rPr>
        <w:t>; when p value is not reported in the study, it is estimated in the Review Manager 5.1; 3 pooled results using random effects model, from Review Manager 5.1, Attachment 16 and 17</w:t>
      </w:r>
      <w:r w:rsidR="000D7D6C">
        <w:rPr>
          <w:rFonts w:ascii="Arial Narrow" w:eastAsia="Times New Roman" w:hAnsi="Arial Narrow" w:cs="Arial"/>
          <w:snapToGrid w:val="0"/>
          <w:sz w:val="18"/>
          <w:szCs w:val="18"/>
        </w:rPr>
        <w:t xml:space="preserve"> of the submission</w:t>
      </w:r>
      <w:r w:rsidRPr="00E01A8E">
        <w:rPr>
          <w:rFonts w:ascii="Arial Narrow" w:eastAsia="Times New Roman" w:hAnsi="Arial Narrow" w:cs="Arial"/>
          <w:snapToGrid w:val="0"/>
          <w:sz w:val="18"/>
          <w:szCs w:val="18"/>
        </w:rPr>
        <w:t>; 4 measured as change in HbA1c from baseline to rescue-censored endpoint;</w:t>
      </w:r>
    </w:p>
    <w:p w:rsidR="000437F2" w:rsidRPr="00E01A8E" w:rsidRDefault="000437F2" w:rsidP="00B8794E">
      <w:pPr>
        <w:widowControl w:val="0"/>
        <w:spacing w:before="0" w:after="0"/>
        <w:jc w:val="both"/>
        <w:rPr>
          <w:rFonts w:ascii="Arial Narrow" w:eastAsia="Times New Roman" w:hAnsi="Arial Narrow" w:cs="Arial"/>
          <w:snapToGrid w:val="0"/>
          <w:sz w:val="18"/>
          <w:szCs w:val="18"/>
        </w:rPr>
      </w:pPr>
      <w:r w:rsidRPr="00E01A8E">
        <w:rPr>
          <w:rFonts w:ascii="Arial Narrow" w:eastAsia="Times New Roman" w:hAnsi="Arial Narrow" w:cs="Arial"/>
          <w:snapToGrid w:val="0"/>
          <w:sz w:val="18"/>
          <w:szCs w:val="18"/>
        </w:rPr>
        <w:t xml:space="preserve">Abbreviations: </w:t>
      </w:r>
      <w:r w:rsidR="002E0D32" w:rsidRPr="00E01A8E">
        <w:rPr>
          <w:rFonts w:ascii="Arial Narrow" w:eastAsia="Times New Roman" w:hAnsi="Arial Narrow" w:cs="Arial"/>
          <w:snapToGrid w:val="0"/>
          <w:sz w:val="18"/>
          <w:szCs w:val="18"/>
        </w:rPr>
        <w:t xml:space="preserve">bid, twice per day; </w:t>
      </w:r>
      <w:r w:rsidR="000C248E" w:rsidRPr="00E01A8E">
        <w:rPr>
          <w:rFonts w:ascii="Arial Narrow" w:eastAsia="Times New Roman" w:hAnsi="Arial Narrow" w:cs="Arial"/>
          <w:snapToGrid w:val="0"/>
          <w:sz w:val="18"/>
          <w:szCs w:val="18"/>
        </w:rPr>
        <w:t xml:space="preserve">qd, once per day; </w:t>
      </w:r>
      <w:r w:rsidRPr="00E01A8E">
        <w:rPr>
          <w:rFonts w:ascii="Arial Narrow" w:eastAsia="Times New Roman" w:hAnsi="Arial Narrow" w:cs="Arial"/>
          <w:snapToGrid w:val="0"/>
          <w:sz w:val="18"/>
          <w:szCs w:val="18"/>
        </w:rPr>
        <w:t>SD, standard deviation; CI, confidence interval; n, number of participants; NR, not reported.</w:t>
      </w:r>
    </w:p>
    <w:p w:rsidR="000437F2" w:rsidRPr="00E01A8E" w:rsidRDefault="000437F2" w:rsidP="00B8794E">
      <w:pPr>
        <w:widowControl w:val="0"/>
        <w:spacing w:before="0" w:after="0"/>
        <w:jc w:val="both"/>
        <w:rPr>
          <w:rFonts w:ascii="Arial Narrow" w:eastAsia="Times New Roman" w:hAnsi="Arial Narrow" w:cs="Arial"/>
          <w:snapToGrid w:val="0"/>
          <w:sz w:val="18"/>
          <w:szCs w:val="18"/>
        </w:rPr>
      </w:pPr>
      <w:r w:rsidRPr="00E01A8E">
        <w:rPr>
          <w:rFonts w:ascii="Arial Narrow" w:eastAsia="Times New Roman" w:hAnsi="Arial Narrow" w:cs="Arial"/>
          <w:snapToGrid w:val="0"/>
          <w:sz w:val="18"/>
          <w:szCs w:val="18"/>
        </w:rPr>
        <w:t>Source: CSR 23138 p82; CSR 23138e p59; Tang et al. 2015; CSR ADE07 p85; all publications in Attachment 9; CSR 23135 p76; CSR2311 p55; CSR 23137 p85; CSR 23137e p78; all publications in Attachment 10.</w:t>
      </w:r>
    </w:p>
    <w:p w:rsidR="004E54B9" w:rsidRPr="00E01A8E" w:rsidRDefault="004E54B9">
      <w:pPr>
        <w:pStyle w:val="TableFooter"/>
      </w:pPr>
    </w:p>
    <w:p w:rsidR="004E54B9" w:rsidRPr="00E01A8E" w:rsidRDefault="004E54B9" w:rsidP="00F35D71">
      <w:pPr>
        <w:pStyle w:val="ListParagraph"/>
        <w:numPr>
          <w:ilvl w:val="1"/>
          <w:numId w:val="3"/>
        </w:numPr>
        <w:spacing w:before="0" w:after="120"/>
        <w:jc w:val="both"/>
        <w:rPr>
          <w:bCs/>
          <w:lang w:val="en-US"/>
        </w:rPr>
      </w:pPr>
      <w:r w:rsidRPr="00E01A8E">
        <w:rPr>
          <w:bCs/>
        </w:rPr>
        <w:t>Using the non-inferiority margin of 0.4%,</w:t>
      </w:r>
      <w:r w:rsidR="00526E4B" w:rsidRPr="00E01A8E">
        <w:t xml:space="preserve"> Tang 2015 found a statistically significant difference in HbA1c reduction which provided </w:t>
      </w:r>
      <w:r w:rsidR="00DA7DFD" w:rsidRPr="00E01A8E">
        <w:t xml:space="preserve">the </w:t>
      </w:r>
      <w:r w:rsidR="00526E4B" w:rsidRPr="00E01A8E">
        <w:t xml:space="preserve">foundation to claim superiority of vildagliptin over sitagliptin or linagliptin. </w:t>
      </w:r>
      <w:r w:rsidR="009D02AB" w:rsidRPr="00E01A8E">
        <w:t xml:space="preserve">The submission claimed that </w:t>
      </w:r>
      <w:r w:rsidRPr="00E01A8E">
        <w:t>Study ADE07 and Study 23138 demonstrated non-inferiority to both vildagliptin and sitagliptin with the 95% confidence intervals crossing zero</w:t>
      </w:r>
      <w:r w:rsidR="00526E4B" w:rsidRPr="00E01A8E">
        <w:t xml:space="preserve"> (the difference was not statistically significant)</w:t>
      </w:r>
      <w:r w:rsidR="009D02AB" w:rsidRPr="00E01A8E">
        <w:t xml:space="preserve"> (p</w:t>
      </w:r>
      <w:r w:rsidR="00370950" w:rsidRPr="00E01A8E">
        <w:t>48</w:t>
      </w:r>
      <w:r w:rsidR="009D02AB" w:rsidRPr="00E01A8E">
        <w:t xml:space="preserve"> of the submission)</w:t>
      </w:r>
      <w:r w:rsidR="00526E4B" w:rsidRPr="00E01A8E">
        <w:t>. Study ADE07 and Study 23138 were not powered to demonstrate non-inferiority in HbA1c reduction.</w:t>
      </w:r>
      <w:r w:rsidR="004C6719" w:rsidRPr="00E01A8E">
        <w:t xml:space="preserve"> </w:t>
      </w:r>
      <w:r w:rsidR="004C6719" w:rsidRPr="00E01A8E">
        <w:rPr>
          <w:lang w:val="en-GB"/>
        </w:rPr>
        <w:t xml:space="preserve">The </w:t>
      </w:r>
      <w:r w:rsidR="004C6719" w:rsidRPr="00E01A8E">
        <w:rPr>
          <w:bCs/>
          <w:lang w:val="en-GB"/>
        </w:rPr>
        <w:t>guidelines</w:t>
      </w:r>
      <w:r w:rsidR="004C6719" w:rsidRPr="00E01A8E">
        <w:rPr>
          <w:rStyle w:val="FootnoteReference"/>
          <w:bCs/>
          <w:lang w:val="en-GB"/>
        </w:rPr>
        <w:footnoteReference w:id="2"/>
      </w:r>
      <w:r w:rsidR="004C6719" w:rsidRPr="00E01A8E">
        <w:rPr>
          <w:bCs/>
          <w:lang w:val="en-GB"/>
        </w:rPr>
        <w:t xml:space="preserve"> on the clinical investigation of medicinal products in the treatment of diabetes</w:t>
      </w:r>
      <w:r w:rsidR="004C6719" w:rsidRPr="00E01A8E">
        <w:rPr>
          <w:lang w:val="en-GB"/>
        </w:rPr>
        <w:t xml:space="preserve"> recommend a non-inferiority margin of 0.3% for reductions in HbA1C.</w:t>
      </w:r>
      <w:r w:rsidR="009D02AB" w:rsidRPr="00E01A8E">
        <w:rPr>
          <w:lang w:val="en-GB"/>
        </w:rPr>
        <w:t xml:space="preserve"> Furthermore the upper limit of the confidence interval in Study 23138 was greater than 0.3%, and Study ADE07 only descriptively compared the change in HbA1c levels.</w:t>
      </w:r>
    </w:p>
    <w:p w:rsidR="003A183C" w:rsidRPr="00E01A8E" w:rsidRDefault="003A183C" w:rsidP="00F35D71">
      <w:pPr>
        <w:pStyle w:val="ListParagraph"/>
        <w:numPr>
          <w:ilvl w:val="1"/>
          <w:numId w:val="3"/>
        </w:numPr>
        <w:spacing w:before="0" w:after="120"/>
        <w:jc w:val="both"/>
        <w:rPr>
          <w:color w:val="4472C4" w:themeColor="accent5"/>
        </w:rPr>
      </w:pPr>
      <w:r w:rsidRPr="00E01A8E">
        <w:rPr>
          <w:bCs/>
        </w:rPr>
        <w:t>Based on a pooled analysis of the head-to-head trials, n</w:t>
      </w:r>
      <w:r w:rsidR="00BB74D4" w:rsidRPr="00E01A8E">
        <w:rPr>
          <w:bCs/>
        </w:rPr>
        <w:t xml:space="preserve">o statistically significant difference in the change in HbA1C levels between the treatments was observed (p=0.24), however the results </w:t>
      </w:r>
      <w:r w:rsidR="009D02AB" w:rsidRPr="00E01A8E">
        <w:rPr>
          <w:bCs/>
        </w:rPr>
        <w:t>(</w:t>
      </w:r>
      <w:r w:rsidR="00BB74D4" w:rsidRPr="00E01A8E">
        <w:rPr>
          <w:bCs/>
        </w:rPr>
        <w:t>-0.21</w:t>
      </w:r>
      <w:r w:rsidR="009D02AB" w:rsidRPr="00E01A8E">
        <w:rPr>
          <w:bCs/>
        </w:rPr>
        <w:t>, (</w:t>
      </w:r>
      <w:r w:rsidR="00BB74D4" w:rsidRPr="00E01A8E">
        <w:rPr>
          <w:bCs/>
        </w:rPr>
        <w:t>95% CI:-0.56, 0.14</w:t>
      </w:r>
      <w:r w:rsidR="009D02AB" w:rsidRPr="00E01A8E">
        <w:rPr>
          <w:bCs/>
        </w:rPr>
        <w:t>)</w:t>
      </w:r>
      <w:r w:rsidR="00A26603">
        <w:rPr>
          <w:bCs/>
        </w:rPr>
        <w:t>)</w:t>
      </w:r>
      <w:r w:rsidR="00BB74D4" w:rsidRPr="00E01A8E">
        <w:rPr>
          <w:bCs/>
        </w:rPr>
        <w:t xml:space="preserve"> numerically favour vildagliptin.</w:t>
      </w:r>
    </w:p>
    <w:p w:rsidR="00C86600" w:rsidRPr="00C0437A" w:rsidRDefault="003A183C" w:rsidP="00F35D71">
      <w:pPr>
        <w:pStyle w:val="ListParagraph"/>
        <w:numPr>
          <w:ilvl w:val="1"/>
          <w:numId w:val="3"/>
        </w:numPr>
        <w:spacing w:before="0" w:after="120"/>
        <w:jc w:val="both"/>
        <w:rPr>
          <w:bCs/>
          <w:i/>
        </w:rPr>
      </w:pPr>
      <w:r w:rsidRPr="00E01A8E">
        <w:rPr>
          <w:bCs/>
        </w:rPr>
        <w:t>Tang 2015 did not report whether it was powered to identify changes in HbA1C levels, while Study 23138 and Study ADE07 were only powered for the primary outcomes, and not the secondary outcomes of change in HbA1c. This increases the likelihood of not finding a statistically significant difference between the drugs. Significant heterogeneity (</w:t>
      </w:r>
      <w:r w:rsidR="00EC1D5F" w:rsidRPr="00E01A8E">
        <w:rPr>
          <w:rFonts w:cstheme="minorHAnsi"/>
          <w:bCs/>
        </w:rPr>
        <w:t>Χ</w:t>
      </w:r>
      <w:r w:rsidRPr="00E01A8E">
        <w:rPr>
          <w:bCs/>
          <w:vertAlign w:val="superscript"/>
        </w:rPr>
        <w:t>2</w:t>
      </w:r>
      <w:r w:rsidRPr="00E01A8E">
        <w:rPr>
          <w:bCs/>
        </w:rPr>
        <w:t>=18.22, df=2 (p=0.0001); I</w:t>
      </w:r>
      <w:r w:rsidRPr="00E01A8E">
        <w:rPr>
          <w:bCs/>
          <w:vertAlign w:val="superscript"/>
        </w:rPr>
        <w:t>2</w:t>
      </w:r>
      <w:r w:rsidRPr="00E01A8E">
        <w:rPr>
          <w:bCs/>
        </w:rPr>
        <w:t>=89%) existed across the trials. The upper limit of confidence interval was below the non-inferiority margin of 0.</w:t>
      </w:r>
      <w:r w:rsidR="009D02AB" w:rsidRPr="00E01A8E">
        <w:rPr>
          <w:bCs/>
        </w:rPr>
        <w:t>3</w:t>
      </w:r>
      <w:r w:rsidRPr="00E01A8E">
        <w:rPr>
          <w:bCs/>
        </w:rPr>
        <w:t>%, indicating the pooled difference between vildagliptin and sitagliptin in combination with insulin is not statistically significant</w:t>
      </w:r>
      <w:r w:rsidRPr="00AC4AE6">
        <w:rPr>
          <w:bCs/>
        </w:rPr>
        <w:t>.</w:t>
      </w:r>
      <w:r w:rsidR="00C86600" w:rsidRPr="00AC4AE6">
        <w:rPr>
          <w:bCs/>
        </w:rPr>
        <w:t xml:space="preserve"> </w:t>
      </w:r>
      <w:r w:rsidR="00C86600" w:rsidRPr="00771B63">
        <w:rPr>
          <w:bCs/>
        </w:rPr>
        <w:t>The</w:t>
      </w:r>
      <w:r w:rsidRPr="00771B63">
        <w:rPr>
          <w:bCs/>
        </w:rPr>
        <w:t xml:space="preserve"> </w:t>
      </w:r>
      <w:r w:rsidR="00C86600" w:rsidRPr="00771B63">
        <w:t>PSCR</w:t>
      </w:r>
      <w:r w:rsidR="00E077FD">
        <w:t xml:space="preserve"> (</w:t>
      </w:r>
      <w:r w:rsidR="00C86600" w:rsidRPr="00771B63">
        <w:t>p1) acknowledged the heterogeneity across the three head-to-head trials</w:t>
      </w:r>
      <w:r w:rsidR="00AC4AE6" w:rsidRPr="00771B63">
        <w:t xml:space="preserve"> and the issues create</w:t>
      </w:r>
      <w:r w:rsidR="00F067EF" w:rsidRPr="00771B63">
        <w:t>d</w:t>
      </w:r>
      <w:r w:rsidR="00AC4AE6" w:rsidRPr="00771B63">
        <w:t xml:space="preserve"> when the trials </w:t>
      </w:r>
      <w:r w:rsidR="00D758F1">
        <w:t>we</w:t>
      </w:r>
      <w:r w:rsidR="00AC4AE6" w:rsidRPr="00771B63">
        <w:t>re pooled.  The PSCR (p1) also note</w:t>
      </w:r>
      <w:r w:rsidR="00D758F1">
        <w:t>d</w:t>
      </w:r>
      <w:r w:rsidR="00AC4AE6" w:rsidRPr="00771B63">
        <w:t xml:space="preserve"> the commentary’s conclusion (p22) that the</w:t>
      </w:r>
      <w:r w:rsidR="00F067EF" w:rsidRPr="00771B63">
        <w:t xml:space="preserve"> </w:t>
      </w:r>
      <w:r w:rsidR="00B60425" w:rsidRPr="00771B63">
        <w:t>“</w:t>
      </w:r>
      <w:r w:rsidR="00B2389D" w:rsidRPr="00771B63">
        <w:t>diabetic population represented in the trials are generally similar to the Australian diabetic population”.</w:t>
      </w:r>
    </w:p>
    <w:p w:rsidR="004E54B9" w:rsidRDefault="003A183C" w:rsidP="00F35D71">
      <w:pPr>
        <w:pStyle w:val="ListParagraph"/>
        <w:numPr>
          <w:ilvl w:val="1"/>
          <w:numId w:val="3"/>
        </w:numPr>
        <w:spacing w:before="0" w:after="120"/>
        <w:jc w:val="both"/>
        <w:rPr>
          <w:bCs/>
        </w:rPr>
      </w:pPr>
      <w:r w:rsidRPr="00E01A8E">
        <w:rPr>
          <w:bCs/>
        </w:rPr>
        <w:t>Based on a pooled analysis of the placebo-controlled trials, t</w:t>
      </w:r>
      <w:r w:rsidR="00BB74D4" w:rsidRPr="00E01A8E">
        <w:rPr>
          <w:bCs/>
        </w:rPr>
        <w:t xml:space="preserve">he mean change in HbA1c was statistically significant with vildagliptin compared to placebo </w:t>
      </w:r>
      <w:r w:rsidRPr="00E01A8E">
        <w:rPr>
          <w:bCs/>
        </w:rPr>
        <w:t>(mean between group difference of -0.</w:t>
      </w:r>
      <w:r w:rsidR="00E720E1" w:rsidRPr="00E01A8E">
        <w:rPr>
          <w:bCs/>
        </w:rPr>
        <w:t>52</w:t>
      </w:r>
      <w:r w:rsidRPr="00E01A8E">
        <w:rPr>
          <w:bCs/>
        </w:rPr>
        <w:t xml:space="preserve"> [95%CI: -0.</w:t>
      </w:r>
      <w:r w:rsidR="00E720E1" w:rsidRPr="00E01A8E">
        <w:rPr>
          <w:bCs/>
        </w:rPr>
        <w:t>74</w:t>
      </w:r>
      <w:r w:rsidRPr="00E01A8E">
        <w:rPr>
          <w:bCs/>
        </w:rPr>
        <w:t>,-0.</w:t>
      </w:r>
      <w:r w:rsidR="00E720E1" w:rsidRPr="00E01A8E">
        <w:rPr>
          <w:bCs/>
        </w:rPr>
        <w:t>30</w:t>
      </w:r>
      <w:r w:rsidRPr="00E01A8E">
        <w:rPr>
          <w:bCs/>
        </w:rPr>
        <w:t>])</w:t>
      </w:r>
      <w:r w:rsidR="00BB74D4" w:rsidRPr="00E01A8E">
        <w:rPr>
          <w:bCs/>
        </w:rPr>
        <w:t xml:space="preserve">. </w:t>
      </w:r>
    </w:p>
    <w:p w:rsidR="00EE34B7" w:rsidRPr="00771B63" w:rsidRDefault="00EE34B7" w:rsidP="00EE34B7">
      <w:pPr>
        <w:pStyle w:val="PBACHeading1"/>
        <w:numPr>
          <w:ilvl w:val="1"/>
          <w:numId w:val="3"/>
        </w:numPr>
        <w:rPr>
          <w:rFonts w:asciiTheme="minorHAnsi" w:eastAsiaTheme="minorHAnsi" w:hAnsiTheme="minorHAnsi" w:cstheme="minorBidi"/>
          <w:b w:val="0"/>
          <w:bCs/>
          <w:snapToGrid/>
          <w:sz w:val="24"/>
        </w:rPr>
      </w:pPr>
      <w:r w:rsidRPr="00771B63">
        <w:rPr>
          <w:rFonts w:asciiTheme="minorHAnsi" w:eastAsiaTheme="minorHAnsi" w:hAnsiTheme="minorHAnsi" w:cstheme="minorBidi"/>
          <w:b w:val="0"/>
          <w:bCs/>
          <w:snapToGrid/>
          <w:sz w:val="24"/>
        </w:rPr>
        <w:t xml:space="preserve">The trials were limited in </w:t>
      </w:r>
      <w:r w:rsidR="007F7F96" w:rsidRPr="00771B63">
        <w:rPr>
          <w:rFonts w:asciiTheme="minorHAnsi" w:eastAsiaTheme="minorHAnsi" w:hAnsiTheme="minorHAnsi" w:cstheme="minorBidi"/>
          <w:b w:val="0"/>
          <w:bCs/>
          <w:snapToGrid/>
          <w:sz w:val="24"/>
        </w:rPr>
        <w:t>generalis</w:t>
      </w:r>
      <w:r w:rsidRPr="00771B63">
        <w:rPr>
          <w:rFonts w:asciiTheme="minorHAnsi" w:eastAsiaTheme="minorHAnsi" w:hAnsiTheme="minorHAnsi" w:cstheme="minorBidi"/>
          <w:b w:val="0"/>
          <w:bCs/>
          <w:snapToGrid/>
          <w:sz w:val="24"/>
        </w:rPr>
        <w:t>ability to the target PBS Australian population with type 2 diabetes mellitus (T2DM). In particular Study 23138 had T2DM patients with moderate and severe renal insufficiency, who were not all on insulin therapy to manage their diabetes, and had a much longer duration of diabetes compared to the target population. Tang 2015 was conducted in Chinese participants only, who had a higher mean HbA1c level compared to the target population. Study ADE07 had T2DM patients with a pre-existing cardiovascular disease, with a higher percentage of male participants, and the duration of diabetes was not reported.</w:t>
      </w:r>
    </w:p>
    <w:p w:rsidR="00C317F3" w:rsidRPr="00E01A8E" w:rsidRDefault="00C317F3" w:rsidP="00466705">
      <w:pPr>
        <w:pStyle w:val="Heading2"/>
        <w:numPr>
          <w:ilvl w:val="0"/>
          <w:numId w:val="0"/>
        </w:numPr>
        <w:ind w:left="792" w:hanging="792"/>
        <w:jc w:val="both"/>
        <w:rPr>
          <w:i w:val="0"/>
        </w:rPr>
      </w:pPr>
      <w:bookmarkStart w:id="15" w:name="_Toc413139279"/>
      <w:bookmarkStart w:id="16" w:name="_Toc493069870"/>
      <w:r w:rsidRPr="00E01A8E">
        <w:rPr>
          <w:i w:val="0"/>
        </w:rPr>
        <w:t>Comparative harms</w:t>
      </w:r>
      <w:bookmarkEnd w:id="15"/>
      <w:bookmarkEnd w:id="16"/>
    </w:p>
    <w:p w:rsidR="00B427E3" w:rsidRDefault="00B427E3" w:rsidP="00F35D71">
      <w:pPr>
        <w:pStyle w:val="ListParagraph"/>
        <w:numPr>
          <w:ilvl w:val="1"/>
          <w:numId w:val="3"/>
        </w:numPr>
        <w:spacing w:before="0" w:after="120"/>
        <w:jc w:val="both"/>
      </w:pPr>
      <w:r w:rsidRPr="00E01A8E">
        <w:t>A summary of key adverse events</w:t>
      </w:r>
      <w:r w:rsidR="00B827AA" w:rsidRPr="00E01A8E">
        <w:t xml:space="preserve"> (AEs)</w:t>
      </w:r>
      <w:r w:rsidRPr="00E01A8E">
        <w:t xml:space="preserve"> </w:t>
      </w:r>
      <w:r w:rsidR="007B6A96" w:rsidRPr="00E01A8E">
        <w:t xml:space="preserve">and pooled results </w:t>
      </w:r>
      <w:r w:rsidRPr="00E01A8E">
        <w:t xml:space="preserve">reported in the three head-to-head RCTs and three placebo trials is provided in Table </w:t>
      </w:r>
      <w:r w:rsidR="005751A6" w:rsidRPr="00E01A8E">
        <w:t>5</w:t>
      </w:r>
      <w:r w:rsidRPr="00E01A8E">
        <w:t xml:space="preserve">. </w:t>
      </w:r>
      <w:r w:rsidR="00D86DBF" w:rsidRPr="00E01A8E">
        <w:t>The submission entered the incorrect values for the relative risk (RR) and risk difference (</w:t>
      </w:r>
      <w:r w:rsidR="00572C27" w:rsidRPr="00E01A8E">
        <w:t>RD</w:t>
      </w:r>
      <w:r w:rsidR="00D86DBF" w:rsidRPr="00E01A8E">
        <w:t>) for study ADE07.</w:t>
      </w:r>
    </w:p>
    <w:p w:rsidR="00BB0213" w:rsidRPr="00E01A8E" w:rsidRDefault="00BB0213" w:rsidP="00E44231">
      <w:pPr>
        <w:pStyle w:val="ListParagraph"/>
        <w:spacing w:before="0" w:after="120"/>
        <w:jc w:val="both"/>
      </w:pPr>
    </w:p>
    <w:p w:rsidR="00B427E3" w:rsidRPr="00E01A8E" w:rsidRDefault="007A0EA2" w:rsidP="00466705">
      <w:pPr>
        <w:pStyle w:val="TableHeading0"/>
        <w:jc w:val="both"/>
      </w:pPr>
      <w:r w:rsidRPr="00E01A8E">
        <w:t>Table 5</w:t>
      </w:r>
      <w:r w:rsidR="00B427E3" w:rsidRPr="00E01A8E">
        <w:t>: Summary of adverse events reported in the head-to-head randomised trials and placebo trials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4"/>
        <w:gridCol w:w="1752"/>
        <w:gridCol w:w="1595"/>
        <w:gridCol w:w="1745"/>
        <w:gridCol w:w="2116"/>
      </w:tblGrid>
      <w:tr w:rsidR="00D74A12" w:rsidRPr="00E01A8E" w:rsidTr="002C7393">
        <w:trPr>
          <w:trHeight w:val="545"/>
          <w:tblHeader/>
        </w:trPr>
        <w:tc>
          <w:tcPr>
            <w:tcW w:w="1100" w:type="pct"/>
            <w:shd w:val="clear" w:color="auto" w:fill="auto"/>
          </w:tcPr>
          <w:p w:rsidR="00D74A12" w:rsidRPr="009D6364" w:rsidRDefault="00D74A12" w:rsidP="00914940">
            <w:pPr>
              <w:keepNext/>
              <w:spacing w:before="0" w:after="0"/>
              <w:jc w:val="both"/>
              <w:rPr>
                <w:rFonts w:ascii="Arial Narrow" w:hAnsi="Arial Narrow" w:cs="Arial"/>
                <w:b/>
                <w:sz w:val="20"/>
                <w:szCs w:val="20"/>
              </w:rPr>
            </w:pPr>
            <w:r w:rsidRPr="009D6364">
              <w:rPr>
                <w:rFonts w:ascii="Arial Narrow" w:hAnsi="Arial Narrow" w:cs="Arial"/>
                <w:b/>
                <w:sz w:val="20"/>
                <w:szCs w:val="20"/>
              </w:rPr>
              <w:t>Safety outcome</w:t>
            </w:r>
          </w:p>
        </w:tc>
        <w:tc>
          <w:tcPr>
            <w:tcW w:w="948" w:type="pct"/>
            <w:shd w:val="clear" w:color="auto" w:fill="auto"/>
          </w:tcPr>
          <w:p w:rsidR="00D74A12" w:rsidRPr="009D6364" w:rsidRDefault="00D74A12" w:rsidP="00914940">
            <w:pPr>
              <w:keepNext/>
              <w:spacing w:before="0" w:after="0"/>
              <w:jc w:val="both"/>
              <w:rPr>
                <w:rFonts w:ascii="Arial Narrow" w:hAnsi="Arial Narrow" w:cs="Arial"/>
                <w:b/>
                <w:sz w:val="20"/>
                <w:szCs w:val="20"/>
              </w:rPr>
            </w:pPr>
            <w:r w:rsidRPr="009D6364">
              <w:rPr>
                <w:rFonts w:ascii="Arial Narrow" w:hAnsi="Arial Narrow" w:cs="Arial"/>
                <w:b/>
                <w:sz w:val="20"/>
                <w:szCs w:val="20"/>
              </w:rPr>
              <w:t xml:space="preserve">Vildagliptin </w:t>
            </w:r>
          </w:p>
          <w:p w:rsidR="00D74A12" w:rsidRPr="009D6364" w:rsidRDefault="00D74A12" w:rsidP="00914940">
            <w:pPr>
              <w:keepNext/>
              <w:spacing w:before="0" w:after="0"/>
              <w:jc w:val="both"/>
              <w:rPr>
                <w:rFonts w:ascii="Arial Narrow" w:hAnsi="Arial Narrow" w:cs="Arial"/>
                <w:b/>
                <w:sz w:val="20"/>
                <w:szCs w:val="20"/>
              </w:rPr>
            </w:pPr>
            <w:r w:rsidRPr="009D6364">
              <w:rPr>
                <w:rFonts w:ascii="Arial Narrow" w:hAnsi="Arial Narrow" w:cs="Arial"/>
                <w:b/>
                <w:sz w:val="20"/>
                <w:szCs w:val="20"/>
              </w:rPr>
              <w:t>n/N (%)</w:t>
            </w:r>
          </w:p>
        </w:tc>
        <w:tc>
          <w:tcPr>
            <w:tcW w:w="863" w:type="pct"/>
            <w:shd w:val="clear" w:color="auto" w:fill="auto"/>
          </w:tcPr>
          <w:p w:rsidR="00D74A12" w:rsidRPr="009D6364" w:rsidRDefault="00D74A12" w:rsidP="00914940">
            <w:pPr>
              <w:keepNext/>
              <w:spacing w:before="0" w:after="0"/>
              <w:jc w:val="both"/>
              <w:rPr>
                <w:rFonts w:ascii="Arial Narrow" w:hAnsi="Arial Narrow" w:cs="Arial"/>
                <w:b/>
                <w:sz w:val="20"/>
                <w:szCs w:val="20"/>
              </w:rPr>
            </w:pPr>
            <w:r w:rsidRPr="009D6364">
              <w:rPr>
                <w:rFonts w:ascii="Arial Narrow" w:hAnsi="Arial Narrow" w:cs="Arial"/>
                <w:b/>
                <w:sz w:val="20"/>
                <w:szCs w:val="20"/>
              </w:rPr>
              <w:t xml:space="preserve">Sitagliptin </w:t>
            </w:r>
          </w:p>
          <w:p w:rsidR="00D74A12" w:rsidRPr="009D6364" w:rsidRDefault="00D74A12" w:rsidP="00914940">
            <w:pPr>
              <w:keepNext/>
              <w:spacing w:before="0" w:after="0"/>
              <w:jc w:val="both"/>
              <w:rPr>
                <w:rFonts w:ascii="Arial Narrow" w:hAnsi="Arial Narrow" w:cs="Arial"/>
                <w:b/>
                <w:sz w:val="20"/>
                <w:szCs w:val="20"/>
              </w:rPr>
            </w:pPr>
            <w:r w:rsidRPr="009D6364">
              <w:rPr>
                <w:rFonts w:ascii="Arial Narrow" w:hAnsi="Arial Narrow" w:cs="Arial"/>
                <w:b/>
                <w:sz w:val="20"/>
                <w:szCs w:val="20"/>
              </w:rPr>
              <w:t>n/N (%)</w:t>
            </w:r>
          </w:p>
        </w:tc>
        <w:tc>
          <w:tcPr>
            <w:tcW w:w="944" w:type="pct"/>
            <w:shd w:val="clear" w:color="auto" w:fill="auto"/>
          </w:tcPr>
          <w:p w:rsidR="00D74A12" w:rsidRPr="009D6364" w:rsidRDefault="00D74A12" w:rsidP="00914940">
            <w:pPr>
              <w:keepNext/>
              <w:spacing w:before="0" w:after="0"/>
              <w:jc w:val="both"/>
              <w:rPr>
                <w:rFonts w:ascii="Arial Narrow" w:hAnsi="Arial Narrow" w:cs="Arial"/>
                <w:b/>
                <w:sz w:val="20"/>
                <w:szCs w:val="20"/>
              </w:rPr>
            </w:pPr>
            <w:r w:rsidRPr="009D6364">
              <w:rPr>
                <w:rFonts w:ascii="Arial Narrow" w:hAnsi="Arial Narrow" w:cs="Arial"/>
                <w:b/>
                <w:sz w:val="20"/>
                <w:szCs w:val="20"/>
              </w:rPr>
              <w:t>Relative risk</w:t>
            </w:r>
            <w:r w:rsidRPr="009D6364">
              <w:rPr>
                <w:rFonts w:ascii="Arial Narrow" w:hAnsi="Arial Narrow" w:cs="Arial"/>
                <w:b/>
                <w:sz w:val="20"/>
                <w:szCs w:val="20"/>
                <w:vertAlign w:val="superscript"/>
              </w:rPr>
              <w:t>1</w:t>
            </w:r>
            <w:r w:rsidRPr="009D6364">
              <w:rPr>
                <w:rFonts w:ascii="Arial Narrow" w:hAnsi="Arial Narrow" w:cs="Arial"/>
                <w:b/>
                <w:sz w:val="20"/>
                <w:szCs w:val="20"/>
              </w:rPr>
              <w:t xml:space="preserve"> (RR)</w:t>
            </w:r>
          </w:p>
          <w:p w:rsidR="00D74A12" w:rsidRPr="009D6364" w:rsidRDefault="00D74A12" w:rsidP="00914940">
            <w:pPr>
              <w:keepNext/>
              <w:spacing w:before="0" w:after="0"/>
              <w:jc w:val="both"/>
              <w:rPr>
                <w:rFonts w:ascii="Arial Narrow" w:hAnsi="Arial Narrow" w:cs="Arial"/>
                <w:b/>
                <w:sz w:val="20"/>
                <w:szCs w:val="20"/>
              </w:rPr>
            </w:pPr>
            <w:r w:rsidRPr="009D6364">
              <w:rPr>
                <w:rFonts w:ascii="Arial Narrow" w:hAnsi="Arial Narrow" w:cs="Arial"/>
                <w:b/>
                <w:sz w:val="20"/>
                <w:szCs w:val="20"/>
              </w:rPr>
              <w:t>vild-sita 95%CI</w:t>
            </w:r>
          </w:p>
        </w:tc>
        <w:tc>
          <w:tcPr>
            <w:tcW w:w="1145" w:type="pct"/>
            <w:shd w:val="clear" w:color="auto" w:fill="auto"/>
          </w:tcPr>
          <w:p w:rsidR="00D74A12" w:rsidRPr="009D6364" w:rsidRDefault="00D74A12" w:rsidP="00914940">
            <w:pPr>
              <w:keepNext/>
              <w:spacing w:before="0" w:after="0"/>
              <w:jc w:val="both"/>
              <w:rPr>
                <w:rFonts w:ascii="Arial Narrow" w:hAnsi="Arial Narrow" w:cs="Arial"/>
                <w:b/>
                <w:sz w:val="20"/>
                <w:szCs w:val="20"/>
              </w:rPr>
            </w:pPr>
            <w:r w:rsidRPr="009D6364">
              <w:rPr>
                <w:rFonts w:ascii="Arial Narrow" w:hAnsi="Arial Narrow" w:cs="Arial"/>
                <w:b/>
                <w:sz w:val="20"/>
                <w:szCs w:val="20"/>
              </w:rPr>
              <w:t>Risk difference</w:t>
            </w:r>
            <w:r w:rsidRPr="009D6364">
              <w:rPr>
                <w:rFonts w:ascii="Arial Narrow" w:hAnsi="Arial Narrow" w:cs="Arial"/>
                <w:b/>
                <w:sz w:val="20"/>
                <w:szCs w:val="20"/>
                <w:vertAlign w:val="superscript"/>
              </w:rPr>
              <w:t>1</w:t>
            </w:r>
            <w:r w:rsidRPr="009D6364">
              <w:rPr>
                <w:rFonts w:ascii="Arial Narrow" w:hAnsi="Arial Narrow" w:cs="Arial"/>
                <w:b/>
                <w:sz w:val="20"/>
                <w:szCs w:val="20"/>
              </w:rPr>
              <w:t xml:space="preserve"> (RD) </w:t>
            </w:r>
          </w:p>
          <w:p w:rsidR="00D74A12" w:rsidRPr="009D6364" w:rsidRDefault="00D74A12" w:rsidP="00914940">
            <w:pPr>
              <w:keepNext/>
              <w:spacing w:before="0" w:after="0"/>
              <w:jc w:val="both"/>
              <w:rPr>
                <w:rFonts w:ascii="Arial Narrow" w:hAnsi="Arial Narrow" w:cs="Arial"/>
                <w:b/>
                <w:sz w:val="20"/>
                <w:szCs w:val="20"/>
                <w:lang w:val="it-IT"/>
              </w:rPr>
            </w:pPr>
            <w:r w:rsidRPr="009D6364">
              <w:rPr>
                <w:rFonts w:ascii="Arial Narrow" w:hAnsi="Arial Narrow" w:cs="Arial"/>
                <w:b/>
                <w:sz w:val="20"/>
                <w:szCs w:val="20"/>
              </w:rPr>
              <w:t xml:space="preserve">vild-sita </w:t>
            </w:r>
            <w:r w:rsidRPr="009D6364">
              <w:rPr>
                <w:rFonts w:ascii="Arial Narrow" w:hAnsi="Arial Narrow" w:cs="Arial"/>
                <w:b/>
                <w:sz w:val="20"/>
                <w:szCs w:val="20"/>
                <w:lang w:val="it-IT"/>
              </w:rPr>
              <w:t>(95%CI)</w:t>
            </w:r>
          </w:p>
        </w:tc>
      </w:tr>
      <w:tr w:rsidR="00D74A12" w:rsidRPr="00E01A8E" w:rsidTr="0089750A">
        <w:trPr>
          <w:trHeight w:val="307"/>
        </w:trPr>
        <w:tc>
          <w:tcPr>
            <w:tcW w:w="5000" w:type="pct"/>
            <w:gridSpan w:val="5"/>
            <w:shd w:val="clear" w:color="auto" w:fill="auto"/>
          </w:tcPr>
          <w:p w:rsidR="00D74A12" w:rsidRPr="009D6364" w:rsidRDefault="00D74A12" w:rsidP="00914940">
            <w:pPr>
              <w:keepNext/>
              <w:spacing w:before="40" w:after="40"/>
              <w:jc w:val="both"/>
              <w:rPr>
                <w:rFonts w:ascii="Arial Narrow" w:eastAsia="Times New Roman" w:hAnsi="Arial Narrow" w:cs="Times New Roman"/>
                <w:b/>
                <w:sz w:val="20"/>
                <w:szCs w:val="20"/>
              </w:rPr>
            </w:pPr>
            <w:r w:rsidRPr="009D6364">
              <w:rPr>
                <w:rFonts w:ascii="Arial Narrow" w:eastAsia="Times New Roman" w:hAnsi="Arial Narrow" w:cs="Arial"/>
                <w:b/>
                <w:smallCaps/>
                <w:snapToGrid w:val="0"/>
                <w:sz w:val="20"/>
                <w:szCs w:val="20"/>
              </w:rPr>
              <w:t>Head-to-Head trials</w:t>
            </w:r>
          </w:p>
        </w:tc>
      </w:tr>
      <w:tr w:rsidR="00D74A12" w:rsidRPr="00E01A8E" w:rsidTr="0089750A">
        <w:trPr>
          <w:trHeight w:val="307"/>
        </w:trPr>
        <w:tc>
          <w:tcPr>
            <w:tcW w:w="5000" w:type="pct"/>
            <w:gridSpan w:val="5"/>
            <w:shd w:val="clear" w:color="auto" w:fill="auto"/>
          </w:tcPr>
          <w:p w:rsidR="00D74A12" w:rsidRPr="009D6364" w:rsidRDefault="00D74A12" w:rsidP="00914940">
            <w:pPr>
              <w:keepNext/>
              <w:spacing w:before="40" w:after="40"/>
              <w:jc w:val="both"/>
              <w:rPr>
                <w:rFonts w:ascii="Arial Narrow" w:eastAsia="Times New Roman" w:hAnsi="Arial Narrow" w:cs="Times New Roman"/>
                <w:b/>
                <w:sz w:val="20"/>
                <w:szCs w:val="20"/>
              </w:rPr>
            </w:pPr>
            <w:r w:rsidRPr="009D6364">
              <w:rPr>
                <w:rFonts w:ascii="Arial Narrow" w:eastAsia="Times New Roman" w:hAnsi="Arial Narrow" w:cs="Times New Roman"/>
                <w:b/>
                <w:sz w:val="20"/>
                <w:szCs w:val="20"/>
              </w:rPr>
              <w:t>Any AE (at least one)</w:t>
            </w:r>
          </w:p>
        </w:tc>
      </w:tr>
      <w:tr w:rsidR="00D74A12" w:rsidRPr="00E01A8E" w:rsidTr="0089750A">
        <w:trPr>
          <w:trHeight w:val="307"/>
        </w:trPr>
        <w:tc>
          <w:tcPr>
            <w:tcW w:w="1100" w:type="pct"/>
            <w:shd w:val="clear" w:color="auto" w:fill="auto"/>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Study 23138</w:t>
            </w:r>
          </w:p>
        </w:tc>
        <w:tc>
          <w:tcPr>
            <w:tcW w:w="948"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1145"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r>
      <w:tr w:rsidR="00D74A12" w:rsidRPr="00E01A8E" w:rsidTr="0089750A">
        <w:trPr>
          <w:trHeight w:val="295"/>
        </w:trPr>
        <w:tc>
          <w:tcPr>
            <w:tcW w:w="1100" w:type="pct"/>
            <w:shd w:val="clear" w:color="auto" w:fill="auto"/>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Study ADE07</w:t>
            </w:r>
          </w:p>
        </w:tc>
        <w:tc>
          <w:tcPr>
            <w:tcW w:w="948"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shd w:val="clear" w:color="auto" w:fill="auto"/>
          </w:tcPr>
          <w:p w:rsidR="004B3315"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c>
          <w:tcPr>
            <w:tcW w:w="1145"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p w:rsidR="004B3315"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r>
      <w:tr w:rsidR="00D74A12" w:rsidRPr="00E01A8E" w:rsidTr="0089750A">
        <w:trPr>
          <w:trHeight w:val="307"/>
        </w:trPr>
        <w:tc>
          <w:tcPr>
            <w:tcW w:w="2911" w:type="pct"/>
            <w:gridSpan w:val="3"/>
            <w:shd w:val="clear" w:color="auto" w:fill="auto"/>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b/>
                <w:sz w:val="20"/>
                <w:szCs w:val="20"/>
              </w:rPr>
              <w:t>Pooled analysis</w:t>
            </w:r>
            <w:r w:rsidRPr="009D6364">
              <w:rPr>
                <w:rFonts w:ascii="Arial Narrow" w:eastAsia="Times New Roman" w:hAnsi="Arial Narrow" w:cs="Times New Roman"/>
                <w:b/>
                <w:sz w:val="20"/>
                <w:szCs w:val="20"/>
                <w:vertAlign w:val="superscript"/>
              </w:rPr>
              <w:t>2</w:t>
            </w:r>
            <w:r w:rsidR="004C49B5" w:rsidRPr="009D6364">
              <w:rPr>
                <w:rFonts w:ascii="Arial Narrow" w:eastAsia="Times New Roman" w:hAnsi="Arial Narrow" w:cs="Times New Roman"/>
                <w:b/>
                <w:sz w:val="20"/>
                <w:szCs w:val="20"/>
              </w:rPr>
              <w:t xml:space="preserve"> </w:t>
            </w:r>
          </w:p>
        </w:tc>
        <w:tc>
          <w:tcPr>
            <w:tcW w:w="944" w:type="pct"/>
            <w:shd w:val="clear" w:color="auto" w:fill="auto"/>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1.03 (0.78, 1.36)</w:t>
            </w:r>
          </w:p>
        </w:tc>
        <w:tc>
          <w:tcPr>
            <w:tcW w:w="1145" w:type="pct"/>
            <w:shd w:val="clear" w:color="auto" w:fill="auto"/>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0.01 (-0.13, 0.15)</w:t>
            </w:r>
          </w:p>
        </w:tc>
      </w:tr>
      <w:tr w:rsidR="00D74A12" w:rsidRPr="00E01A8E" w:rsidTr="0089750A">
        <w:trPr>
          <w:trHeight w:val="295"/>
        </w:trPr>
        <w:tc>
          <w:tcPr>
            <w:tcW w:w="5000" w:type="pct"/>
            <w:gridSpan w:val="5"/>
            <w:shd w:val="clear" w:color="auto" w:fill="auto"/>
          </w:tcPr>
          <w:p w:rsidR="00D74A12" w:rsidRPr="009D6364" w:rsidRDefault="00D74A12" w:rsidP="00914940">
            <w:pPr>
              <w:keepNext/>
              <w:spacing w:before="40" w:after="40"/>
              <w:jc w:val="both"/>
              <w:rPr>
                <w:rFonts w:ascii="Arial Narrow" w:eastAsia="Times New Roman" w:hAnsi="Arial Narrow" w:cs="Times New Roman"/>
                <w:b/>
                <w:sz w:val="20"/>
                <w:szCs w:val="20"/>
              </w:rPr>
            </w:pPr>
            <w:r w:rsidRPr="009D6364">
              <w:rPr>
                <w:rFonts w:ascii="Arial Narrow" w:eastAsia="Times New Roman" w:hAnsi="Arial Narrow" w:cs="Times New Roman"/>
                <w:b/>
                <w:sz w:val="20"/>
                <w:szCs w:val="20"/>
              </w:rPr>
              <w:t>Any SAE</w:t>
            </w:r>
          </w:p>
        </w:tc>
      </w:tr>
      <w:tr w:rsidR="00D74A12" w:rsidRPr="00E01A8E" w:rsidTr="0089750A">
        <w:trPr>
          <w:trHeight w:val="307"/>
        </w:trPr>
        <w:tc>
          <w:tcPr>
            <w:tcW w:w="1100" w:type="pct"/>
            <w:shd w:val="clear" w:color="auto" w:fill="auto"/>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Study 23138</w:t>
            </w:r>
          </w:p>
        </w:tc>
        <w:tc>
          <w:tcPr>
            <w:tcW w:w="948"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c>
          <w:tcPr>
            <w:tcW w:w="1145"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r>
      <w:tr w:rsidR="00D74A12" w:rsidRPr="00E01A8E" w:rsidTr="0089750A">
        <w:trPr>
          <w:trHeight w:val="307"/>
        </w:trPr>
        <w:tc>
          <w:tcPr>
            <w:tcW w:w="1100" w:type="pct"/>
            <w:shd w:val="clear" w:color="auto" w:fill="auto"/>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Study ADE07</w:t>
            </w:r>
          </w:p>
        </w:tc>
        <w:tc>
          <w:tcPr>
            <w:tcW w:w="948"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c>
          <w:tcPr>
            <w:tcW w:w="1145"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r>
      <w:tr w:rsidR="00D74A12" w:rsidRPr="00E01A8E" w:rsidTr="0089750A">
        <w:trPr>
          <w:trHeight w:val="307"/>
        </w:trPr>
        <w:tc>
          <w:tcPr>
            <w:tcW w:w="2911" w:type="pct"/>
            <w:gridSpan w:val="3"/>
            <w:shd w:val="clear" w:color="auto" w:fill="auto"/>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b/>
                <w:sz w:val="20"/>
                <w:szCs w:val="20"/>
              </w:rPr>
              <w:t>Pooled analysis</w:t>
            </w:r>
            <w:r w:rsidRPr="009D6364">
              <w:rPr>
                <w:rFonts w:ascii="Arial Narrow" w:eastAsia="Times New Roman" w:hAnsi="Arial Narrow" w:cs="Times New Roman"/>
                <w:b/>
                <w:sz w:val="20"/>
                <w:szCs w:val="20"/>
                <w:vertAlign w:val="superscript"/>
              </w:rPr>
              <w:t>2</w:t>
            </w:r>
            <w:r w:rsidR="00AD16B6" w:rsidRPr="009D6364">
              <w:rPr>
                <w:rFonts w:ascii="Arial Narrow" w:eastAsia="Times New Roman" w:hAnsi="Arial Narrow" w:cs="Times New Roman"/>
                <w:b/>
                <w:sz w:val="20"/>
                <w:szCs w:val="20"/>
                <w:vertAlign w:val="superscript"/>
              </w:rPr>
              <w:t xml:space="preserve"> </w:t>
            </w:r>
          </w:p>
        </w:tc>
        <w:tc>
          <w:tcPr>
            <w:tcW w:w="944" w:type="pct"/>
            <w:shd w:val="clear" w:color="auto" w:fill="auto"/>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1.08 (0.61, 1.91)</w:t>
            </w:r>
          </w:p>
        </w:tc>
        <w:tc>
          <w:tcPr>
            <w:tcW w:w="1145" w:type="pct"/>
            <w:shd w:val="clear" w:color="auto" w:fill="auto"/>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0.02 (-0.04, 0.08)</w:t>
            </w:r>
          </w:p>
        </w:tc>
      </w:tr>
      <w:tr w:rsidR="00D74A12" w:rsidRPr="00E01A8E" w:rsidTr="0089750A">
        <w:trPr>
          <w:trHeight w:val="416"/>
        </w:trPr>
        <w:tc>
          <w:tcPr>
            <w:tcW w:w="5000" w:type="pct"/>
            <w:gridSpan w:val="5"/>
            <w:shd w:val="clear" w:color="auto" w:fill="auto"/>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b/>
                <w:sz w:val="20"/>
                <w:szCs w:val="20"/>
              </w:rPr>
              <w:t>Any AE resulting discontinuation</w:t>
            </w:r>
          </w:p>
        </w:tc>
      </w:tr>
      <w:tr w:rsidR="00D74A12" w:rsidRPr="00E01A8E" w:rsidTr="0089750A">
        <w:trPr>
          <w:trHeight w:val="295"/>
        </w:trPr>
        <w:tc>
          <w:tcPr>
            <w:tcW w:w="1100" w:type="pct"/>
            <w:shd w:val="clear" w:color="auto" w:fill="auto"/>
          </w:tcPr>
          <w:p w:rsidR="00D74A12" w:rsidRPr="009D6364" w:rsidRDefault="00D74A12" w:rsidP="00914940">
            <w:pPr>
              <w:keepNext/>
              <w:spacing w:before="40" w:after="40"/>
              <w:jc w:val="both"/>
              <w:rPr>
                <w:rFonts w:ascii="Arial Narrow" w:eastAsia="Times New Roman" w:hAnsi="Arial Narrow" w:cs="Times New Roman"/>
                <w:b/>
                <w:sz w:val="20"/>
                <w:szCs w:val="20"/>
              </w:rPr>
            </w:pPr>
            <w:r w:rsidRPr="009D6364">
              <w:rPr>
                <w:rFonts w:ascii="Arial Narrow" w:eastAsia="Times New Roman" w:hAnsi="Arial Narrow" w:cs="Times New Roman"/>
                <w:sz w:val="20"/>
                <w:szCs w:val="20"/>
              </w:rPr>
              <w:t>Study 23138</w:t>
            </w:r>
          </w:p>
        </w:tc>
        <w:tc>
          <w:tcPr>
            <w:tcW w:w="948"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c>
          <w:tcPr>
            <w:tcW w:w="1145"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r>
      <w:tr w:rsidR="00D74A12" w:rsidRPr="00E01A8E" w:rsidTr="0089750A">
        <w:trPr>
          <w:trHeight w:val="307"/>
        </w:trPr>
        <w:tc>
          <w:tcPr>
            <w:tcW w:w="1100" w:type="pct"/>
            <w:shd w:val="clear" w:color="auto" w:fill="auto"/>
          </w:tcPr>
          <w:p w:rsidR="00D74A12" w:rsidRPr="009D6364" w:rsidRDefault="00D74A12" w:rsidP="00914940">
            <w:pPr>
              <w:keepNext/>
              <w:spacing w:before="40" w:after="40"/>
              <w:jc w:val="both"/>
              <w:rPr>
                <w:rFonts w:ascii="Arial Narrow" w:eastAsia="Times New Roman" w:hAnsi="Arial Narrow" w:cs="Times New Roman"/>
                <w:b/>
                <w:sz w:val="20"/>
                <w:szCs w:val="20"/>
              </w:rPr>
            </w:pPr>
            <w:r w:rsidRPr="009D6364">
              <w:rPr>
                <w:rFonts w:ascii="Arial Narrow" w:eastAsia="Times New Roman" w:hAnsi="Arial Narrow" w:cs="Times New Roman"/>
                <w:sz w:val="20"/>
                <w:szCs w:val="20"/>
              </w:rPr>
              <w:t>Study ADE07</w:t>
            </w:r>
          </w:p>
        </w:tc>
        <w:tc>
          <w:tcPr>
            <w:tcW w:w="948"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c>
          <w:tcPr>
            <w:tcW w:w="1145"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r>
      <w:tr w:rsidR="00D74A12" w:rsidRPr="00E01A8E" w:rsidTr="0089750A">
        <w:trPr>
          <w:trHeight w:val="307"/>
        </w:trPr>
        <w:tc>
          <w:tcPr>
            <w:tcW w:w="2911" w:type="pct"/>
            <w:gridSpan w:val="3"/>
            <w:shd w:val="clear" w:color="auto" w:fill="auto"/>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b/>
                <w:sz w:val="20"/>
                <w:szCs w:val="20"/>
              </w:rPr>
              <w:t>Pooled analysis</w:t>
            </w:r>
            <w:r w:rsidRPr="009D6364">
              <w:rPr>
                <w:rFonts w:ascii="Arial Narrow" w:eastAsia="Times New Roman" w:hAnsi="Arial Narrow" w:cs="Times New Roman"/>
                <w:b/>
                <w:sz w:val="20"/>
                <w:szCs w:val="20"/>
                <w:vertAlign w:val="superscript"/>
              </w:rPr>
              <w:t>2</w:t>
            </w:r>
            <w:r w:rsidR="004B3315" w:rsidRPr="009D6364">
              <w:rPr>
                <w:rFonts w:ascii="Arial Narrow" w:eastAsia="Times New Roman" w:hAnsi="Arial Narrow" w:cs="Times New Roman"/>
                <w:b/>
                <w:sz w:val="20"/>
                <w:szCs w:val="20"/>
                <w:vertAlign w:val="superscript"/>
              </w:rPr>
              <w:t xml:space="preserve"> </w:t>
            </w:r>
          </w:p>
        </w:tc>
        <w:tc>
          <w:tcPr>
            <w:tcW w:w="944" w:type="pct"/>
            <w:shd w:val="clear" w:color="auto" w:fill="auto"/>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0.81 (0.30, 2.22)</w:t>
            </w:r>
          </w:p>
        </w:tc>
        <w:tc>
          <w:tcPr>
            <w:tcW w:w="1145" w:type="pct"/>
            <w:shd w:val="clear" w:color="auto" w:fill="auto"/>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-0.01 (-0.05, 0.04)</w:t>
            </w:r>
          </w:p>
        </w:tc>
      </w:tr>
      <w:tr w:rsidR="00D74A12" w:rsidRPr="00E01A8E" w:rsidTr="0089750A">
        <w:trPr>
          <w:trHeight w:val="295"/>
        </w:trPr>
        <w:tc>
          <w:tcPr>
            <w:tcW w:w="5000" w:type="pct"/>
            <w:gridSpan w:val="5"/>
            <w:shd w:val="clear" w:color="auto" w:fill="auto"/>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b/>
                <w:sz w:val="20"/>
                <w:szCs w:val="20"/>
              </w:rPr>
              <w:t xml:space="preserve">Death </w:t>
            </w:r>
          </w:p>
        </w:tc>
      </w:tr>
      <w:tr w:rsidR="00D74A12" w:rsidRPr="00E01A8E" w:rsidTr="0089750A">
        <w:trPr>
          <w:trHeight w:val="307"/>
        </w:trPr>
        <w:tc>
          <w:tcPr>
            <w:tcW w:w="1100" w:type="pct"/>
            <w:shd w:val="clear" w:color="auto" w:fill="auto"/>
          </w:tcPr>
          <w:p w:rsidR="00D74A12" w:rsidRPr="009D6364" w:rsidRDefault="00D74A12" w:rsidP="00914940">
            <w:pPr>
              <w:keepNext/>
              <w:spacing w:before="40" w:after="40"/>
              <w:jc w:val="both"/>
              <w:rPr>
                <w:rFonts w:ascii="Arial Narrow" w:eastAsia="Times New Roman" w:hAnsi="Arial Narrow" w:cs="Times New Roman"/>
                <w:b/>
                <w:sz w:val="20"/>
                <w:szCs w:val="20"/>
              </w:rPr>
            </w:pPr>
            <w:r w:rsidRPr="009D6364">
              <w:rPr>
                <w:rFonts w:ascii="Arial Narrow" w:eastAsia="Times New Roman" w:hAnsi="Arial Narrow" w:cs="Times New Roman"/>
                <w:sz w:val="20"/>
                <w:szCs w:val="20"/>
              </w:rPr>
              <w:t>Study 23138</w:t>
            </w:r>
          </w:p>
        </w:tc>
        <w:tc>
          <w:tcPr>
            <w:tcW w:w="948"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c>
          <w:tcPr>
            <w:tcW w:w="1145"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r>
      <w:tr w:rsidR="00D74A12" w:rsidRPr="00E01A8E" w:rsidTr="0089750A">
        <w:trPr>
          <w:trHeight w:val="295"/>
        </w:trPr>
        <w:tc>
          <w:tcPr>
            <w:tcW w:w="1100" w:type="pct"/>
            <w:shd w:val="clear" w:color="auto" w:fill="auto"/>
          </w:tcPr>
          <w:p w:rsidR="00D74A12" w:rsidRPr="009D6364" w:rsidRDefault="00D74A12" w:rsidP="00914940">
            <w:pPr>
              <w:keepNext/>
              <w:spacing w:before="40" w:after="40"/>
              <w:jc w:val="both"/>
              <w:rPr>
                <w:rFonts w:ascii="Arial Narrow" w:eastAsia="Times New Roman" w:hAnsi="Arial Narrow" w:cs="Times New Roman"/>
                <w:b/>
                <w:sz w:val="20"/>
                <w:szCs w:val="20"/>
              </w:rPr>
            </w:pPr>
            <w:r w:rsidRPr="009D6364">
              <w:rPr>
                <w:rFonts w:ascii="Arial Narrow" w:eastAsia="Times New Roman" w:hAnsi="Arial Narrow" w:cs="Times New Roman"/>
                <w:sz w:val="20"/>
                <w:szCs w:val="20"/>
              </w:rPr>
              <w:t>Study ADE07</w:t>
            </w:r>
          </w:p>
        </w:tc>
        <w:tc>
          <w:tcPr>
            <w:tcW w:w="948"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w:t>
            </w:r>
          </w:p>
        </w:tc>
        <w:tc>
          <w:tcPr>
            <w:tcW w:w="1145" w:type="pct"/>
            <w:shd w:val="clear" w:color="auto" w:fill="auto"/>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r>
      <w:tr w:rsidR="00D74A12" w:rsidRPr="00E01A8E" w:rsidTr="0089750A">
        <w:trPr>
          <w:trHeight w:val="307"/>
        </w:trPr>
        <w:tc>
          <w:tcPr>
            <w:tcW w:w="2911" w:type="pct"/>
            <w:gridSpan w:val="3"/>
            <w:shd w:val="clear" w:color="auto" w:fill="auto"/>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b/>
                <w:sz w:val="20"/>
                <w:szCs w:val="20"/>
              </w:rPr>
              <w:t>Pooled analysis</w:t>
            </w:r>
            <w:r w:rsidRPr="009D6364">
              <w:rPr>
                <w:rFonts w:ascii="Arial Narrow" w:eastAsia="Times New Roman" w:hAnsi="Arial Narrow" w:cs="Times New Roman"/>
                <w:b/>
                <w:sz w:val="20"/>
                <w:szCs w:val="20"/>
                <w:vertAlign w:val="superscript"/>
              </w:rPr>
              <w:t>2</w:t>
            </w:r>
            <w:r w:rsidR="00AD16B6" w:rsidRPr="009D6364">
              <w:rPr>
                <w:rFonts w:ascii="Arial Narrow" w:eastAsia="Times New Roman" w:hAnsi="Arial Narrow" w:cs="Times New Roman"/>
                <w:b/>
                <w:sz w:val="20"/>
                <w:szCs w:val="20"/>
                <w:vertAlign w:val="superscript"/>
              </w:rPr>
              <w:t xml:space="preserve"> </w:t>
            </w:r>
            <w:r w:rsidR="00AD16B6" w:rsidRPr="009D6364">
              <w:rPr>
                <w:rFonts w:ascii="Arial Narrow" w:eastAsia="Times New Roman" w:hAnsi="Arial Narrow" w:cs="Arial"/>
                <w:b/>
                <w:snapToGrid w:val="0"/>
                <w:sz w:val="20"/>
                <w:szCs w:val="20"/>
              </w:rPr>
              <w:t>[</w:t>
            </w:r>
            <w:r w:rsidR="00EC1D5F" w:rsidRPr="009D6364">
              <w:rPr>
                <w:rFonts w:ascii="Arial Narrow" w:eastAsia="Times New Roman" w:hAnsi="Arial Narrow" w:cs="Arial"/>
                <w:b/>
                <w:bCs/>
                <w:snapToGrid w:val="0"/>
                <w:sz w:val="20"/>
                <w:szCs w:val="20"/>
              </w:rPr>
              <w:t>Χ</w:t>
            </w:r>
            <w:r w:rsidR="00AD16B6" w:rsidRPr="009D6364">
              <w:rPr>
                <w:rFonts w:ascii="Arial Narrow" w:eastAsia="Times New Roman" w:hAnsi="Arial Narrow" w:cs="Arial"/>
                <w:b/>
                <w:snapToGrid w:val="0"/>
                <w:sz w:val="20"/>
                <w:szCs w:val="20"/>
                <w:vertAlign w:val="superscript"/>
              </w:rPr>
              <w:t>2</w:t>
            </w:r>
            <w:r w:rsidR="00AD16B6" w:rsidRPr="009D6364">
              <w:rPr>
                <w:rFonts w:ascii="Arial Narrow" w:eastAsia="Times New Roman" w:hAnsi="Arial Narrow" w:cs="Arial"/>
                <w:b/>
                <w:snapToGrid w:val="0"/>
                <w:sz w:val="20"/>
                <w:szCs w:val="20"/>
              </w:rPr>
              <w:t>=0.27, df=1 (p=0.60);I</w:t>
            </w:r>
            <w:r w:rsidR="00AD16B6" w:rsidRPr="009D6364">
              <w:rPr>
                <w:rFonts w:ascii="Arial Narrow" w:eastAsia="Times New Roman" w:hAnsi="Arial Narrow" w:cs="Arial"/>
                <w:b/>
                <w:snapToGrid w:val="0"/>
                <w:sz w:val="20"/>
                <w:szCs w:val="20"/>
                <w:vertAlign w:val="superscript"/>
              </w:rPr>
              <w:t>2</w:t>
            </w:r>
            <w:r w:rsidR="00AD16B6" w:rsidRPr="009D6364">
              <w:rPr>
                <w:rFonts w:ascii="Arial Narrow" w:eastAsia="Times New Roman" w:hAnsi="Arial Narrow" w:cs="Arial"/>
                <w:b/>
                <w:snapToGrid w:val="0"/>
                <w:sz w:val="20"/>
                <w:szCs w:val="20"/>
              </w:rPr>
              <w:t xml:space="preserve"> = 0%</w:t>
            </w:r>
          </w:p>
        </w:tc>
        <w:tc>
          <w:tcPr>
            <w:tcW w:w="944" w:type="pct"/>
            <w:shd w:val="clear" w:color="auto" w:fill="auto"/>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1.13 (5.87)</w:t>
            </w:r>
          </w:p>
        </w:tc>
        <w:tc>
          <w:tcPr>
            <w:tcW w:w="1145" w:type="pct"/>
            <w:shd w:val="clear" w:color="auto" w:fill="auto"/>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0.01 (-0.03, 0.04)</w:t>
            </w:r>
          </w:p>
        </w:tc>
      </w:tr>
      <w:tr w:rsidR="00D74A12" w:rsidRPr="00E01A8E" w:rsidTr="0089750A">
        <w:tblPrEx>
          <w:tblBorders>
            <w:left w:val="none" w:sz="0" w:space="0" w:color="auto"/>
            <w:right w:val="none" w:sz="0" w:space="0" w:color="auto"/>
            <w:insideV w:val="none" w:sz="0" w:space="0" w:color="auto"/>
          </w:tblBorders>
        </w:tblPrEx>
        <w:trPr>
          <w:trHeight w:val="305"/>
        </w:trPr>
        <w:tc>
          <w:tcPr>
            <w:tcW w:w="5000" w:type="pct"/>
            <w:gridSpan w:val="5"/>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Arial"/>
                <w:snapToGrid w:val="0"/>
                <w:sz w:val="20"/>
                <w:szCs w:val="20"/>
              </w:rPr>
            </w:pPr>
            <w:r w:rsidRPr="009D6364">
              <w:rPr>
                <w:rFonts w:ascii="Arial Narrow" w:eastAsia="Times New Roman" w:hAnsi="Arial Narrow" w:cs="Arial"/>
                <w:b/>
                <w:smallCaps/>
                <w:snapToGrid w:val="0"/>
                <w:sz w:val="20"/>
                <w:szCs w:val="20"/>
              </w:rPr>
              <w:t>placebo-controlled trials</w:t>
            </w:r>
          </w:p>
        </w:tc>
      </w:tr>
      <w:tr w:rsidR="00D74A12" w:rsidRPr="00E01A8E" w:rsidTr="0089750A">
        <w:tblPrEx>
          <w:tblBorders>
            <w:left w:val="none" w:sz="0" w:space="0" w:color="auto"/>
            <w:right w:val="none" w:sz="0" w:space="0" w:color="auto"/>
            <w:insideV w:val="none" w:sz="0" w:space="0" w:color="auto"/>
          </w:tblBorders>
        </w:tblPrEx>
        <w:trPr>
          <w:trHeight w:val="449"/>
        </w:trPr>
        <w:tc>
          <w:tcPr>
            <w:tcW w:w="1100" w:type="pct"/>
            <w:tcBorders>
              <w:left w:val="single" w:sz="4" w:space="0" w:color="auto"/>
              <w:right w:val="single" w:sz="4" w:space="0" w:color="auto"/>
            </w:tcBorders>
          </w:tcPr>
          <w:p w:rsidR="00D74A12" w:rsidRPr="009D6364" w:rsidRDefault="00D74A12" w:rsidP="00914940">
            <w:pPr>
              <w:keepNext/>
              <w:spacing w:before="0" w:after="0"/>
              <w:jc w:val="both"/>
              <w:rPr>
                <w:rFonts w:ascii="Arial Narrow" w:hAnsi="Arial Narrow" w:cs="Arial"/>
                <w:b/>
                <w:sz w:val="20"/>
                <w:szCs w:val="20"/>
              </w:rPr>
            </w:pPr>
            <w:r w:rsidRPr="009D6364">
              <w:rPr>
                <w:rFonts w:ascii="Arial Narrow" w:hAnsi="Arial Narrow" w:cs="Arial"/>
                <w:b/>
                <w:sz w:val="20"/>
                <w:szCs w:val="20"/>
              </w:rPr>
              <w:t>Safety outcome</w:t>
            </w:r>
          </w:p>
        </w:tc>
        <w:tc>
          <w:tcPr>
            <w:tcW w:w="948" w:type="pct"/>
            <w:tcBorders>
              <w:left w:val="single" w:sz="4" w:space="0" w:color="auto"/>
              <w:right w:val="single" w:sz="4" w:space="0" w:color="auto"/>
            </w:tcBorders>
          </w:tcPr>
          <w:p w:rsidR="00D74A12" w:rsidRPr="009D6364" w:rsidRDefault="00D74A12" w:rsidP="00914940">
            <w:pPr>
              <w:keepNext/>
              <w:spacing w:before="0" w:after="0"/>
              <w:jc w:val="both"/>
              <w:rPr>
                <w:rFonts w:ascii="Arial Narrow" w:hAnsi="Arial Narrow" w:cs="Arial"/>
                <w:b/>
                <w:sz w:val="20"/>
                <w:szCs w:val="20"/>
              </w:rPr>
            </w:pPr>
            <w:r w:rsidRPr="009D6364">
              <w:rPr>
                <w:rFonts w:ascii="Arial Narrow" w:hAnsi="Arial Narrow" w:cs="Arial"/>
                <w:b/>
                <w:sz w:val="20"/>
                <w:szCs w:val="20"/>
              </w:rPr>
              <w:t xml:space="preserve">Vildagliptin </w:t>
            </w:r>
          </w:p>
          <w:p w:rsidR="00D74A12" w:rsidRPr="009D6364" w:rsidRDefault="00D74A12" w:rsidP="00914940">
            <w:pPr>
              <w:keepNext/>
              <w:spacing w:before="0" w:after="0"/>
              <w:jc w:val="both"/>
              <w:rPr>
                <w:rFonts w:ascii="Arial Narrow" w:hAnsi="Arial Narrow" w:cs="Arial"/>
                <w:b/>
                <w:sz w:val="20"/>
                <w:szCs w:val="20"/>
              </w:rPr>
            </w:pPr>
            <w:r w:rsidRPr="009D6364">
              <w:rPr>
                <w:rFonts w:ascii="Arial Narrow" w:hAnsi="Arial Narrow" w:cs="Arial"/>
                <w:b/>
                <w:sz w:val="20"/>
                <w:szCs w:val="20"/>
              </w:rPr>
              <w:t>n/N (%)</w:t>
            </w:r>
          </w:p>
        </w:tc>
        <w:tc>
          <w:tcPr>
            <w:tcW w:w="863" w:type="pct"/>
            <w:tcBorders>
              <w:left w:val="single" w:sz="4" w:space="0" w:color="auto"/>
              <w:right w:val="single" w:sz="4" w:space="0" w:color="auto"/>
            </w:tcBorders>
          </w:tcPr>
          <w:p w:rsidR="00D74A12" w:rsidRPr="009D6364" w:rsidRDefault="00D74A12" w:rsidP="00914940">
            <w:pPr>
              <w:keepNext/>
              <w:spacing w:before="0" w:after="0"/>
              <w:jc w:val="both"/>
              <w:rPr>
                <w:rFonts w:ascii="Arial Narrow" w:hAnsi="Arial Narrow" w:cs="Arial"/>
                <w:b/>
                <w:sz w:val="20"/>
                <w:szCs w:val="20"/>
              </w:rPr>
            </w:pPr>
            <w:r w:rsidRPr="009D6364">
              <w:rPr>
                <w:rFonts w:ascii="Arial Narrow" w:hAnsi="Arial Narrow" w:cs="Arial"/>
                <w:b/>
                <w:sz w:val="20"/>
                <w:szCs w:val="20"/>
              </w:rPr>
              <w:t>Placebo</w:t>
            </w:r>
          </w:p>
          <w:p w:rsidR="00D74A12" w:rsidRPr="009D6364" w:rsidRDefault="00D74A12" w:rsidP="00914940">
            <w:pPr>
              <w:keepNext/>
              <w:spacing w:before="0" w:after="0"/>
              <w:jc w:val="both"/>
              <w:rPr>
                <w:rFonts w:ascii="Arial Narrow" w:hAnsi="Arial Narrow" w:cs="Arial"/>
                <w:b/>
                <w:sz w:val="20"/>
                <w:szCs w:val="20"/>
              </w:rPr>
            </w:pPr>
            <w:r w:rsidRPr="009D6364">
              <w:rPr>
                <w:rFonts w:ascii="Arial Narrow" w:hAnsi="Arial Narrow" w:cs="Arial"/>
                <w:b/>
                <w:sz w:val="20"/>
                <w:szCs w:val="20"/>
              </w:rPr>
              <w:t>n/N (%)</w:t>
            </w:r>
          </w:p>
        </w:tc>
        <w:tc>
          <w:tcPr>
            <w:tcW w:w="944" w:type="pct"/>
            <w:tcBorders>
              <w:left w:val="single" w:sz="4" w:space="0" w:color="auto"/>
              <w:right w:val="single" w:sz="4" w:space="0" w:color="auto"/>
            </w:tcBorders>
          </w:tcPr>
          <w:p w:rsidR="00D74A12" w:rsidRPr="009D6364" w:rsidRDefault="00D74A12" w:rsidP="00914940">
            <w:pPr>
              <w:keepNext/>
              <w:spacing w:before="0" w:after="0"/>
              <w:jc w:val="both"/>
              <w:rPr>
                <w:rFonts w:ascii="Arial Narrow" w:hAnsi="Arial Narrow" w:cs="Arial"/>
                <w:b/>
                <w:sz w:val="20"/>
                <w:szCs w:val="20"/>
              </w:rPr>
            </w:pPr>
            <w:r w:rsidRPr="009D6364">
              <w:rPr>
                <w:rFonts w:ascii="Arial Narrow" w:hAnsi="Arial Narrow" w:cs="Arial"/>
                <w:b/>
                <w:sz w:val="20"/>
                <w:szCs w:val="20"/>
              </w:rPr>
              <w:t>Relative risk</w:t>
            </w:r>
            <w:r w:rsidRPr="009D6364">
              <w:rPr>
                <w:rFonts w:ascii="Arial Narrow" w:hAnsi="Arial Narrow" w:cs="Arial"/>
                <w:b/>
                <w:sz w:val="20"/>
                <w:szCs w:val="20"/>
                <w:vertAlign w:val="superscript"/>
              </w:rPr>
              <w:t>1</w:t>
            </w:r>
          </w:p>
          <w:p w:rsidR="00D74A12" w:rsidRPr="009D6364" w:rsidRDefault="00D74A12" w:rsidP="00914940">
            <w:pPr>
              <w:keepNext/>
              <w:spacing w:before="0" w:after="0"/>
              <w:jc w:val="both"/>
              <w:rPr>
                <w:rFonts w:ascii="Arial Narrow" w:hAnsi="Arial Narrow" w:cs="Arial"/>
                <w:b/>
                <w:sz w:val="20"/>
                <w:szCs w:val="20"/>
              </w:rPr>
            </w:pPr>
            <w:r w:rsidRPr="009D6364">
              <w:rPr>
                <w:rFonts w:ascii="Arial Narrow" w:hAnsi="Arial Narrow" w:cs="Arial"/>
                <w:b/>
                <w:sz w:val="20"/>
                <w:szCs w:val="20"/>
              </w:rPr>
              <w:t>vild-placebo (95%CI)</w:t>
            </w:r>
          </w:p>
        </w:tc>
        <w:tc>
          <w:tcPr>
            <w:tcW w:w="1145" w:type="pct"/>
            <w:tcBorders>
              <w:left w:val="single" w:sz="4" w:space="0" w:color="auto"/>
              <w:right w:val="single" w:sz="4" w:space="0" w:color="auto"/>
            </w:tcBorders>
          </w:tcPr>
          <w:p w:rsidR="00D74A12" w:rsidRPr="009D6364" w:rsidRDefault="00D74A12" w:rsidP="00914940">
            <w:pPr>
              <w:keepNext/>
              <w:spacing w:before="0" w:after="0"/>
              <w:jc w:val="both"/>
              <w:rPr>
                <w:rFonts w:ascii="Arial Narrow" w:hAnsi="Arial Narrow" w:cs="Arial"/>
                <w:b/>
                <w:sz w:val="20"/>
                <w:szCs w:val="20"/>
              </w:rPr>
            </w:pPr>
            <w:r w:rsidRPr="009D6364">
              <w:rPr>
                <w:rFonts w:ascii="Arial Narrow" w:hAnsi="Arial Narrow" w:cs="Arial"/>
                <w:b/>
                <w:sz w:val="20"/>
                <w:szCs w:val="20"/>
              </w:rPr>
              <w:t>Risk difference</w:t>
            </w:r>
            <w:r w:rsidRPr="009D6364">
              <w:rPr>
                <w:rFonts w:ascii="Arial Narrow" w:hAnsi="Arial Narrow" w:cs="Arial"/>
                <w:b/>
                <w:sz w:val="20"/>
                <w:szCs w:val="20"/>
                <w:vertAlign w:val="superscript"/>
              </w:rPr>
              <w:t>1</w:t>
            </w:r>
          </w:p>
          <w:p w:rsidR="00D74A12" w:rsidRPr="009D6364" w:rsidRDefault="00D74A12" w:rsidP="00914940">
            <w:pPr>
              <w:keepNext/>
              <w:spacing w:before="0" w:after="0"/>
              <w:jc w:val="both"/>
              <w:rPr>
                <w:rFonts w:ascii="Arial Narrow" w:hAnsi="Arial Narrow" w:cs="Arial"/>
                <w:b/>
                <w:sz w:val="20"/>
                <w:szCs w:val="20"/>
              </w:rPr>
            </w:pPr>
            <w:r w:rsidRPr="009D6364">
              <w:rPr>
                <w:rFonts w:ascii="Arial Narrow" w:hAnsi="Arial Narrow" w:cs="Arial"/>
                <w:b/>
                <w:sz w:val="20"/>
                <w:szCs w:val="20"/>
              </w:rPr>
              <w:t>vild-placebo (95%CI)</w:t>
            </w:r>
          </w:p>
        </w:tc>
      </w:tr>
      <w:tr w:rsidR="00D74A12" w:rsidRPr="00E01A8E" w:rsidTr="0089750A">
        <w:tblPrEx>
          <w:tblBorders>
            <w:left w:val="none" w:sz="0" w:space="0" w:color="auto"/>
            <w:right w:val="none" w:sz="0" w:space="0" w:color="auto"/>
            <w:insideV w:val="none" w:sz="0" w:space="0" w:color="auto"/>
          </w:tblBorders>
        </w:tblPrEx>
        <w:trPr>
          <w:trHeight w:val="307"/>
        </w:trPr>
        <w:tc>
          <w:tcPr>
            <w:tcW w:w="5000" w:type="pct"/>
            <w:gridSpan w:val="5"/>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b/>
                <w:sz w:val="20"/>
                <w:szCs w:val="20"/>
              </w:rPr>
            </w:pPr>
            <w:r w:rsidRPr="009D6364">
              <w:rPr>
                <w:rFonts w:ascii="Arial Narrow" w:eastAsia="Times New Roman" w:hAnsi="Arial Narrow" w:cs="Times New Roman"/>
                <w:b/>
                <w:sz w:val="20"/>
                <w:szCs w:val="20"/>
              </w:rPr>
              <w:t>Any AE (at least one)</w:t>
            </w:r>
          </w:p>
        </w:tc>
      </w:tr>
      <w:tr w:rsidR="00D74A12" w:rsidRPr="00E01A8E" w:rsidTr="0089750A">
        <w:tblPrEx>
          <w:tblBorders>
            <w:left w:val="none" w:sz="0" w:space="0" w:color="auto"/>
            <w:right w:val="none" w:sz="0" w:space="0" w:color="auto"/>
            <w:insideV w:val="none" w:sz="0" w:space="0" w:color="auto"/>
          </w:tblBorders>
        </w:tblPrEx>
        <w:trPr>
          <w:trHeight w:val="295"/>
        </w:trPr>
        <w:tc>
          <w:tcPr>
            <w:tcW w:w="1100"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Study 23135</w:t>
            </w:r>
          </w:p>
        </w:tc>
        <w:tc>
          <w:tcPr>
            <w:tcW w:w="948"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1145"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r>
      <w:tr w:rsidR="00D74A12" w:rsidRPr="00E01A8E" w:rsidTr="0089750A">
        <w:tblPrEx>
          <w:tblBorders>
            <w:left w:val="none" w:sz="0" w:space="0" w:color="auto"/>
            <w:right w:val="none" w:sz="0" w:space="0" w:color="auto"/>
            <w:insideV w:val="none" w:sz="0" w:space="0" w:color="auto"/>
          </w:tblBorders>
        </w:tblPrEx>
        <w:trPr>
          <w:trHeight w:val="307"/>
        </w:trPr>
        <w:tc>
          <w:tcPr>
            <w:tcW w:w="1100"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Study 2311</w:t>
            </w:r>
          </w:p>
        </w:tc>
        <w:tc>
          <w:tcPr>
            <w:tcW w:w="948"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c>
          <w:tcPr>
            <w:tcW w:w="1145"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r>
      <w:tr w:rsidR="00D74A12" w:rsidRPr="00E01A8E" w:rsidTr="0089750A">
        <w:tblPrEx>
          <w:tblBorders>
            <w:left w:val="none" w:sz="0" w:space="0" w:color="auto"/>
            <w:right w:val="none" w:sz="0" w:space="0" w:color="auto"/>
            <w:insideV w:val="none" w:sz="0" w:space="0" w:color="auto"/>
          </w:tblBorders>
        </w:tblPrEx>
        <w:trPr>
          <w:trHeight w:val="307"/>
        </w:trPr>
        <w:tc>
          <w:tcPr>
            <w:tcW w:w="1100"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Study 23137 (moderate renal impairment)</w:t>
            </w:r>
          </w:p>
        </w:tc>
        <w:tc>
          <w:tcPr>
            <w:tcW w:w="948"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c>
          <w:tcPr>
            <w:tcW w:w="1145"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r>
      <w:tr w:rsidR="00D74A12" w:rsidRPr="00E01A8E" w:rsidTr="0089750A">
        <w:tblPrEx>
          <w:tblBorders>
            <w:left w:val="none" w:sz="0" w:space="0" w:color="auto"/>
            <w:right w:val="none" w:sz="0" w:space="0" w:color="auto"/>
            <w:insideV w:val="none" w:sz="0" w:space="0" w:color="auto"/>
          </w:tblBorders>
        </w:tblPrEx>
        <w:trPr>
          <w:trHeight w:val="295"/>
        </w:trPr>
        <w:tc>
          <w:tcPr>
            <w:tcW w:w="1100"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Study 23137 (severe renal impairment)</w:t>
            </w:r>
          </w:p>
        </w:tc>
        <w:tc>
          <w:tcPr>
            <w:tcW w:w="948"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c>
          <w:tcPr>
            <w:tcW w:w="1145"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r>
      <w:tr w:rsidR="00D74A12" w:rsidRPr="00E01A8E" w:rsidTr="0089750A">
        <w:tblPrEx>
          <w:tblBorders>
            <w:left w:val="none" w:sz="0" w:space="0" w:color="auto"/>
            <w:right w:val="none" w:sz="0" w:space="0" w:color="auto"/>
            <w:insideV w:val="none" w:sz="0" w:space="0" w:color="auto"/>
          </w:tblBorders>
        </w:tblPrEx>
        <w:trPr>
          <w:trHeight w:val="307"/>
        </w:trPr>
        <w:tc>
          <w:tcPr>
            <w:tcW w:w="1100"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b/>
                <w:sz w:val="20"/>
                <w:szCs w:val="20"/>
              </w:rPr>
            </w:pPr>
            <w:r w:rsidRPr="009D6364">
              <w:rPr>
                <w:rFonts w:ascii="Arial Narrow" w:eastAsia="Times New Roman" w:hAnsi="Arial Narrow" w:cs="Times New Roman"/>
                <w:b/>
                <w:sz w:val="20"/>
                <w:szCs w:val="20"/>
              </w:rPr>
              <w:t>Pooled analysis</w:t>
            </w:r>
            <w:r w:rsidRPr="009D6364">
              <w:rPr>
                <w:rFonts w:ascii="Arial Narrow" w:eastAsia="Times New Roman" w:hAnsi="Arial Narrow" w:cs="Times New Roman"/>
                <w:b/>
                <w:sz w:val="20"/>
                <w:szCs w:val="20"/>
                <w:vertAlign w:val="superscript"/>
              </w:rPr>
              <w:t>2</w:t>
            </w:r>
          </w:p>
        </w:tc>
        <w:tc>
          <w:tcPr>
            <w:tcW w:w="948"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448/658 (68.1%)</w:t>
            </w:r>
          </w:p>
        </w:tc>
        <w:tc>
          <w:tcPr>
            <w:tcW w:w="863"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397/599 (66.3%)</w:t>
            </w:r>
          </w:p>
        </w:tc>
        <w:tc>
          <w:tcPr>
            <w:tcW w:w="944"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1.01 (-0.91, 1.12)</w:t>
            </w:r>
          </w:p>
        </w:tc>
        <w:tc>
          <w:tcPr>
            <w:tcW w:w="1145"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0.01 (-0.06, 0.08)</w:t>
            </w:r>
          </w:p>
        </w:tc>
      </w:tr>
      <w:tr w:rsidR="00D74A12" w:rsidRPr="00E01A8E" w:rsidTr="0089750A">
        <w:tblPrEx>
          <w:tblBorders>
            <w:left w:val="none" w:sz="0" w:space="0" w:color="auto"/>
            <w:right w:val="none" w:sz="0" w:space="0" w:color="auto"/>
            <w:insideV w:val="none" w:sz="0" w:space="0" w:color="auto"/>
          </w:tblBorders>
        </w:tblPrEx>
        <w:trPr>
          <w:trHeight w:val="307"/>
        </w:trPr>
        <w:tc>
          <w:tcPr>
            <w:tcW w:w="5000" w:type="pct"/>
            <w:gridSpan w:val="5"/>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b/>
                <w:sz w:val="20"/>
                <w:szCs w:val="20"/>
              </w:rPr>
            </w:pPr>
            <w:r w:rsidRPr="009D6364">
              <w:rPr>
                <w:rFonts w:ascii="Arial Narrow" w:eastAsia="Times New Roman" w:hAnsi="Arial Narrow" w:cs="Times New Roman"/>
                <w:b/>
                <w:sz w:val="20"/>
                <w:szCs w:val="20"/>
              </w:rPr>
              <w:t>Any SAE</w:t>
            </w:r>
          </w:p>
        </w:tc>
      </w:tr>
      <w:tr w:rsidR="00D74A12" w:rsidRPr="00E01A8E" w:rsidTr="0089750A">
        <w:tblPrEx>
          <w:tblBorders>
            <w:left w:val="none" w:sz="0" w:space="0" w:color="auto"/>
            <w:right w:val="none" w:sz="0" w:space="0" w:color="auto"/>
            <w:insideV w:val="none" w:sz="0" w:space="0" w:color="auto"/>
          </w:tblBorders>
        </w:tblPrEx>
        <w:trPr>
          <w:trHeight w:val="295"/>
        </w:trPr>
        <w:tc>
          <w:tcPr>
            <w:tcW w:w="1100"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Study 23135</w:t>
            </w:r>
          </w:p>
        </w:tc>
        <w:tc>
          <w:tcPr>
            <w:tcW w:w="948"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c>
          <w:tcPr>
            <w:tcW w:w="1145"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r>
      <w:tr w:rsidR="00D74A12" w:rsidRPr="00E01A8E" w:rsidTr="0089750A">
        <w:tblPrEx>
          <w:tblBorders>
            <w:left w:val="none" w:sz="0" w:space="0" w:color="auto"/>
            <w:right w:val="none" w:sz="0" w:space="0" w:color="auto"/>
            <w:insideV w:val="none" w:sz="0" w:space="0" w:color="auto"/>
          </w:tblBorders>
        </w:tblPrEx>
        <w:trPr>
          <w:trHeight w:val="307"/>
        </w:trPr>
        <w:tc>
          <w:tcPr>
            <w:tcW w:w="1100"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Study 2311</w:t>
            </w:r>
          </w:p>
        </w:tc>
        <w:tc>
          <w:tcPr>
            <w:tcW w:w="948"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1145"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r>
      <w:tr w:rsidR="00D74A12" w:rsidRPr="00E01A8E" w:rsidTr="0089750A">
        <w:tblPrEx>
          <w:tblBorders>
            <w:left w:val="none" w:sz="0" w:space="0" w:color="auto"/>
            <w:right w:val="none" w:sz="0" w:space="0" w:color="auto"/>
            <w:insideV w:val="none" w:sz="0" w:space="0" w:color="auto"/>
          </w:tblBorders>
        </w:tblPrEx>
        <w:trPr>
          <w:trHeight w:val="295"/>
        </w:trPr>
        <w:tc>
          <w:tcPr>
            <w:tcW w:w="1100"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Study 23137 (moderate renal impairment)</w:t>
            </w:r>
          </w:p>
        </w:tc>
        <w:tc>
          <w:tcPr>
            <w:tcW w:w="948"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1145"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r>
      <w:tr w:rsidR="00D74A12" w:rsidRPr="00E01A8E" w:rsidTr="0089750A">
        <w:tblPrEx>
          <w:tblBorders>
            <w:left w:val="none" w:sz="0" w:space="0" w:color="auto"/>
            <w:right w:val="none" w:sz="0" w:space="0" w:color="auto"/>
            <w:insideV w:val="none" w:sz="0" w:space="0" w:color="auto"/>
          </w:tblBorders>
        </w:tblPrEx>
        <w:trPr>
          <w:trHeight w:val="307"/>
        </w:trPr>
        <w:tc>
          <w:tcPr>
            <w:tcW w:w="1100"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Study 23137 (severe renal impairment)</w:t>
            </w:r>
          </w:p>
        </w:tc>
        <w:tc>
          <w:tcPr>
            <w:tcW w:w="948"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1145"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r>
      <w:tr w:rsidR="00D74A12" w:rsidRPr="00E01A8E" w:rsidTr="0089750A">
        <w:tblPrEx>
          <w:tblBorders>
            <w:left w:val="none" w:sz="0" w:space="0" w:color="auto"/>
            <w:right w:val="none" w:sz="0" w:space="0" w:color="auto"/>
            <w:insideV w:val="none" w:sz="0" w:space="0" w:color="auto"/>
          </w:tblBorders>
        </w:tblPrEx>
        <w:trPr>
          <w:trHeight w:val="307"/>
        </w:trPr>
        <w:tc>
          <w:tcPr>
            <w:tcW w:w="1100"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b/>
                <w:sz w:val="20"/>
                <w:szCs w:val="20"/>
              </w:rPr>
              <w:t>Pooled analysis</w:t>
            </w:r>
            <w:r w:rsidRPr="009D6364">
              <w:rPr>
                <w:rFonts w:ascii="Arial Narrow" w:eastAsia="Times New Roman" w:hAnsi="Arial Narrow" w:cs="Times New Roman"/>
                <w:b/>
                <w:sz w:val="20"/>
                <w:szCs w:val="20"/>
                <w:vertAlign w:val="superscript"/>
              </w:rPr>
              <w:t>2</w:t>
            </w:r>
          </w:p>
        </w:tc>
        <w:tc>
          <w:tcPr>
            <w:tcW w:w="948"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59/658 (9.0%)</w:t>
            </w:r>
          </w:p>
        </w:tc>
        <w:tc>
          <w:tcPr>
            <w:tcW w:w="863"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54/599 (9.0%)</w:t>
            </w:r>
          </w:p>
        </w:tc>
        <w:tc>
          <w:tcPr>
            <w:tcW w:w="944"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0.95 (0.67, 1.34)</w:t>
            </w:r>
          </w:p>
        </w:tc>
        <w:tc>
          <w:tcPr>
            <w:tcW w:w="1145"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-0.00 (-0.03, 0.03)</w:t>
            </w:r>
          </w:p>
        </w:tc>
      </w:tr>
      <w:tr w:rsidR="00D74A12" w:rsidRPr="00E01A8E" w:rsidTr="0089750A">
        <w:tblPrEx>
          <w:tblBorders>
            <w:left w:val="none" w:sz="0" w:space="0" w:color="auto"/>
            <w:right w:val="none" w:sz="0" w:space="0" w:color="auto"/>
            <w:insideV w:val="none" w:sz="0" w:space="0" w:color="auto"/>
          </w:tblBorders>
        </w:tblPrEx>
        <w:trPr>
          <w:trHeight w:val="295"/>
        </w:trPr>
        <w:tc>
          <w:tcPr>
            <w:tcW w:w="5000" w:type="pct"/>
            <w:gridSpan w:val="5"/>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b/>
                <w:sz w:val="20"/>
                <w:szCs w:val="20"/>
              </w:rPr>
            </w:pPr>
            <w:r w:rsidRPr="009D6364">
              <w:rPr>
                <w:rFonts w:ascii="Arial Narrow" w:eastAsia="Times New Roman" w:hAnsi="Arial Narrow" w:cs="Times New Roman"/>
                <w:b/>
                <w:sz w:val="20"/>
                <w:szCs w:val="20"/>
              </w:rPr>
              <w:t>AEs resulting in discontinuation</w:t>
            </w:r>
          </w:p>
        </w:tc>
      </w:tr>
      <w:tr w:rsidR="00D74A12" w:rsidRPr="00E01A8E" w:rsidTr="0089750A">
        <w:tblPrEx>
          <w:tblBorders>
            <w:left w:val="none" w:sz="0" w:space="0" w:color="auto"/>
            <w:right w:val="none" w:sz="0" w:space="0" w:color="auto"/>
            <w:insideV w:val="none" w:sz="0" w:space="0" w:color="auto"/>
          </w:tblBorders>
        </w:tblPrEx>
        <w:trPr>
          <w:trHeight w:val="307"/>
        </w:trPr>
        <w:tc>
          <w:tcPr>
            <w:tcW w:w="1100"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Study 23135</w:t>
            </w:r>
          </w:p>
        </w:tc>
        <w:tc>
          <w:tcPr>
            <w:tcW w:w="948"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c>
          <w:tcPr>
            <w:tcW w:w="1145"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r>
      <w:tr w:rsidR="00D74A12" w:rsidRPr="00E01A8E" w:rsidTr="0089750A">
        <w:tblPrEx>
          <w:tblBorders>
            <w:left w:val="none" w:sz="0" w:space="0" w:color="auto"/>
            <w:right w:val="none" w:sz="0" w:space="0" w:color="auto"/>
            <w:insideV w:val="none" w:sz="0" w:space="0" w:color="auto"/>
          </w:tblBorders>
        </w:tblPrEx>
        <w:trPr>
          <w:trHeight w:val="307"/>
        </w:trPr>
        <w:tc>
          <w:tcPr>
            <w:tcW w:w="1100"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Study 2311</w:t>
            </w:r>
          </w:p>
        </w:tc>
        <w:tc>
          <w:tcPr>
            <w:tcW w:w="948"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1145"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r>
      <w:tr w:rsidR="00D74A12" w:rsidRPr="00E01A8E" w:rsidTr="0089750A">
        <w:tblPrEx>
          <w:tblBorders>
            <w:left w:val="none" w:sz="0" w:space="0" w:color="auto"/>
            <w:right w:val="none" w:sz="0" w:space="0" w:color="auto"/>
            <w:insideV w:val="none" w:sz="0" w:space="0" w:color="auto"/>
          </w:tblBorders>
        </w:tblPrEx>
        <w:trPr>
          <w:trHeight w:val="295"/>
        </w:trPr>
        <w:tc>
          <w:tcPr>
            <w:tcW w:w="1100"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Study 23137 moderate renal impairment</w:t>
            </w:r>
          </w:p>
        </w:tc>
        <w:tc>
          <w:tcPr>
            <w:tcW w:w="948"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1145"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r>
      <w:tr w:rsidR="00D74A12" w:rsidRPr="00E01A8E" w:rsidTr="0089750A">
        <w:tblPrEx>
          <w:tblBorders>
            <w:left w:val="none" w:sz="0" w:space="0" w:color="auto"/>
            <w:right w:val="none" w:sz="0" w:space="0" w:color="auto"/>
            <w:insideV w:val="none" w:sz="0" w:space="0" w:color="auto"/>
          </w:tblBorders>
        </w:tblPrEx>
        <w:trPr>
          <w:trHeight w:val="307"/>
        </w:trPr>
        <w:tc>
          <w:tcPr>
            <w:tcW w:w="1100"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Study 23137 severe renal impairment</w:t>
            </w:r>
          </w:p>
        </w:tc>
        <w:tc>
          <w:tcPr>
            <w:tcW w:w="948"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1145"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r>
      <w:tr w:rsidR="00D74A12" w:rsidRPr="00E01A8E" w:rsidTr="0089750A">
        <w:tblPrEx>
          <w:tblBorders>
            <w:left w:val="none" w:sz="0" w:space="0" w:color="auto"/>
            <w:right w:val="none" w:sz="0" w:space="0" w:color="auto"/>
            <w:insideV w:val="none" w:sz="0" w:space="0" w:color="auto"/>
          </w:tblBorders>
        </w:tblPrEx>
        <w:trPr>
          <w:trHeight w:val="295"/>
        </w:trPr>
        <w:tc>
          <w:tcPr>
            <w:tcW w:w="1100"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b/>
                <w:sz w:val="20"/>
                <w:szCs w:val="20"/>
              </w:rPr>
              <w:t>Pooled analysis</w:t>
            </w:r>
            <w:r w:rsidRPr="009D6364">
              <w:rPr>
                <w:rFonts w:ascii="Arial Narrow" w:eastAsia="Times New Roman" w:hAnsi="Arial Narrow" w:cs="Times New Roman"/>
                <w:b/>
                <w:sz w:val="20"/>
                <w:szCs w:val="20"/>
                <w:vertAlign w:val="superscript"/>
              </w:rPr>
              <w:t>2</w:t>
            </w:r>
          </w:p>
        </w:tc>
        <w:tc>
          <w:tcPr>
            <w:tcW w:w="948"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34/658 (5.2%)</w:t>
            </w:r>
          </w:p>
        </w:tc>
        <w:tc>
          <w:tcPr>
            <w:tcW w:w="863"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20/599 (3.3%)</w:t>
            </w:r>
          </w:p>
        </w:tc>
        <w:tc>
          <w:tcPr>
            <w:tcW w:w="944"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1.47 (0.62, 3.48)</w:t>
            </w:r>
          </w:p>
        </w:tc>
        <w:tc>
          <w:tcPr>
            <w:tcW w:w="1145"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0.02 (-0.02, 0.05)</w:t>
            </w:r>
          </w:p>
        </w:tc>
      </w:tr>
      <w:tr w:rsidR="00D74A12" w:rsidRPr="00E01A8E" w:rsidTr="0089750A">
        <w:tblPrEx>
          <w:tblBorders>
            <w:left w:val="none" w:sz="0" w:space="0" w:color="auto"/>
            <w:right w:val="none" w:sz="0" w:space="0" w:color="auto"/>
            <w:insideV w:val="none" w:sz="0" w:space="0" w:color="auto"/>
          </w:tblBorders>
        </w:tblPrEx>
        <w:trPr>
          <w:trHeight w:val="307"/>
        </w:trPr>
        <w:tc>
          <w:tcPr>
            <w:tcW w:w="5000" w:type="pct"/>
            <w:gridSpan w:val="5"/>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b/>
                <w:sz w:val="20"/>
                <w:szCs w:val="20"/>
              </w:rPr>
            </w:pPr>
            <w:r w:rsidRPr="009D6364">
              <w:rPr>
                <w:rFonts w:ascii="Arial Narrow" w:eastAsia="Times New Roman" w:hAnsi="Arial Narrow" w:cs="Times New Roman"/>
                <w:b/>
                <w:sz w:val="20"/>
                <w:szCs w:val="20"/>
              </w:rPr>
              <w:t>Deaths</w:t>
            </w:r>
          </w:p>
        </w:tc>
      </w:tr>
      <w:tr w:rsidR="00D74A12" w:rsidRPr="00E01A8E" w:rsidTr="0089750A">
        <w:tblPrEx>
          <w:tblBorders>
            <w:left w:val="none" w:sz="0" w:space="0" w:color="auto"/>
            <w:right w:val="none" w:sz="0" w:space="0" w:color="auto"/>
            <w:insideV w:val="none" w:sz="0" w:space="0" w:color="auto"/>
          </w:tblBorders>
        </w:tblPrEx>
        <w:trPr>
          <w:trHeight w:val="307"/>
        </w:trPr>
        <w:tc>
          <w:tcPr>
            <w:tcW w:w="1100"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Study 23135</w:t>
            </w:r>
          </w:p>
        </w:tc>
        <w:tc>
          <w:tcPr>
            <w:tcW w:w="948"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c>
          <w:tcPr>
            <w:tcW w:w="1145"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r>
      <w:tr w:rsidR="00D74A12" w:rsidRPr="00E01A8E" w:rsidTr="0089750A">
        <w:tblPrEx>
          <w:tblBorders>
            <w:left w:val="none" w:sz="0" w:space="0" w:color="auto"/>
            <w:right w:val="none" w:sz="0" w:space="0" w:color="auto"/>
            <w:insideV w:val="none" w:sz="0" w:space="0" w:color="auto"/>
          </w:tblBorders>
        </w:tblPrEx>
        <w:trPr>
          <w:trHeight w:val="295"/>
        </w:trPr>
        <w:tc>
          <w:tcPr>
            <w:tcW w:w="1100"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Study 2311</w:t>
            </w:r>
          </w:p>
        </w:tc>
        <w:tc>
          <w:tcPr>
            <w:tcW w:w="948"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1145"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r>
      <w:tr w:rsidR="00D74A12" w:rsidRPr="00E01A8E" w:rsidTr="0089750A">
        <w:tblPrEx>
          <w:tblBorders>
            <w:left w:val="none" w:sz="0" w:space="0" w:color="auto"/>
            <w:right w:val="none" w:sz="0" w:space="0" w:color="auto"/>
            <w:insideV w:val="none" w:sz="0" w:space="0" w:color="auto"/>
          </w:tblBorders>
        </w:tblPrEx>
        <w:trPr>
          <w:trHeight w:val="307"/>
        </w:trPr>
        <w:tc>
          <w:tcPr>
            <w:tcW w:w="1100"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Study 23137 moderate renal impairment</w:t>
            </w:r>
          </w:p>
        </w:tc>
        <w:tc>
          <w:tcPr>
            <w:tcW w:w="948"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1145"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r>
      <w:tr w:rsidR="00D74A12" w:rsidRPr="00E01A8E" w:rsidTr="0089750A">
        <w:tblPrEx>
          <w:tblBorders>
            <w:left w:val="none" w:sz="0" w:space="0" w:color="auto"/>
            <w:right w:val="none" w:sz="0" w:space="0" w:color="auto"/>
            <w:insideV w:val="none" w:sz="0" w:space="0" w:color="auto"/>
          </w:tblBorders>
        </w:tblPrEx>
        <w:trPr>
          <w:trHeight w:val="307"/>
        </w:trPr>
        <w:tc>
          <w:tcPr>
            <w:tcW w:w="1100"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Study 23137 severe renal impairment</w:t>
            </w:r>
          </w:p>
        </w:tc>
        <w:tc>
          <w:tcPr>
            <w:tcW w:w="948"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863"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c>
          <w:tcPr>
            <w:tcW w:w="944"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 ''''''''''''</w:t>
            </w:r>
          </w:p>
        </w:tc>
        <w:tc>
          <w:tcPr>
            <w:tcW w:w="1145" w:type="pct"/>
            <w:tcBorders>
              <w:left w:val="single" w:sz="4" w:space="0" w:color="auto"/>
              <w:right w:val="single" w:sz="4" w:space="0" w:color="auto"/>
            </w:tcBorders>
          </w:tcPr>
          <w:p w:rsidR="00D74A12" w:rsidRPr="00530119" w:rsidRDefault="00530119" w:rsidP="00914940">
            <w:pPr>
              <w:keepNext/>
              <w:spacing w:before="40" w:after="40"/>
              <w:jc w:val="both"/>
              <w:rPr>
                <w:rFonts w:ascii="Arial Narrow" w:eastAsia="Times New Roman" w:hAnsi="Arial Narrow" w:cs="Times New Roman"/>
                <w:sz w:val="20"/>
                <w:szCs w:val="20"/>
                <w:highlight w:val="black"/>
              </w:rPr>
            </w:pPr>
            <w:r>
              <w:rPr>
                <w:rFonts w:ascii="Arial Narrow" w:eastAsia="Times New Roman" w:hAnsi="Arial Narrow" w:cs="Times New Roman"/>
                <w:noProof/>
                <w:color w:val="000000"/>
                <w:sz w:val="20"/>
                <w:szCs w:val="20"/>
                <w:highlight w:val="black"/>
              </w:rPr>
              <w:t>''''''''''''' '''''''''''''''''''''''''''''</w:t>
            </w:r>
          </w:p>
        </w:tc>
      </w:tr>
      <w:tr w:rsidR="00D74A12" w:rsidRPr="00E01A8E" w:rsidTr="0089750A">
        <w:tblPrEx>
          <w:tblBorders>
            <w:left w:val="none" w:sz="0" w:space="0" w:color="auto"/>
            <w:right w:val="none" w:sz="0" w:space="0" w:color="auto"/>
            <w:insideV w:val="none" w:sz="0" w:space="0" w:color="auto"/>
          </w:tblBorders>
        </w:tblPrEx>
        <w:trPr>
          <w:trHeight w:val="295"/>
        </w:trPr>
        <w:tc>
          <w:tcPr>
            <w:tcW w:w="1100"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b/>
                <w:sz w:val="20"/>
                <w:szCs w:val="20"/>
              </w:rPr>
              <w:t>Pooled analysis</w:t>
            </w:r>
            <w:r w:rsidRPr="009D6364">
              <w:rPr>
                <w:rFonts w:ascii="Arial Narrow" w:eastAsia="Times New Roman" w:hAnsi="Arial Narrow" w:cs="Times New Roman"/>
                <w:b/>
                <w:sz w:val="20"/>
                <w:szCs w:val="20"/>
                <w:vertAlign w:val="superscript"/>
              </w:rPr>
              <w:t>2</w:t>
            </w:r>
          </w:p>
        </w:tc>
        <w:tc>
          <w:tcPr>
            <w:tcW w:w="948"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5/658 (0.8%)</w:t>
            </w:r>
          </w:p>
        </w:tc>
        <w:tc>
          <w:tcPr>
            <w:tcW w:w="863"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7/599 (1.2%)</w:t>
            </w:r>
          </w:p>
        </w:tc>
        <w:tc>
          <w:tcPr>
            <w:tcW w:w="944"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0.63 (0.21, 1.90)</w:t>
            </w:r>
          </w:p>
        </w:tc>
        <w:tc>
          <w:tcPr>
            <w:tcW w:w="1145" w:type="pct"/>
            <w:tcBorders>
              <w:left w:val="single" w:sz="4" w:space="0" w:color="auto"/>
              <w:right w:val="single" w:sz="4" w:space="0" w:color="auto"/>
            </w:tcBorders>
          </w:tcPr>
          <w:p w:rsidR="00D74A12" w:rsidRPr="009D6364" w:rsidRDefault="00D74A12" w:rsidP="00914940">
            <w:pPr>
              <w:keepNext/>
              <w:spacing w:before="40" w:after="40"/>
              <w:jc w:val="both"/>
              <w:rPr>
                <w:rFonts w:ascii="Arial Narrow" w:eastAsia="Times New Roman" w:hAnsi="Arial Narrow" w:cs="Times New Roman"/>
                <w:sz w:val="20"/>
                <w:szCs w:val="20"/>
              </w:rPr>
            </w:pPr>
            <w:r w:rsidRPr="009D6364">
              <w:rPr>
                <w:rFonts w:ascii="Arial Narrow" w:eastAsia="Times New Roman" w:hAnsi="Arial Narrow" w:cs="Times New Roman"/>
                <w:sz w:val="20"/>
                <w:szCs w:val="20"/>
              </w:rPr>
              <w:t>-0.00 (-0.01, 0.01)</w:t>
            </w:r>
          </w:p>
        </w:tc>
      </w:tr>
    </w:tbl>
    <w:p w:rsidR="00D74A12" w:rsidRPr="00E01A8E" w:rsidRDefault="00D74A12" w:rsidP="00B8794E">
      <w:pPr>
        <w:pStyle w:val="NoSpacing"/>
        <w:rPr>
          <w:rFonts w:ascii="Arial Narrow" w:hAnsi="Arial Narrow"/>
          <w:sz w:val="18"/>
          <w:szCs w:val="18"/>
        </w:rPr>
      </w:pPr>
      <w:r w:rsidRPr="00E01A8E">
        <w:rPr>
          <w:rFonts w:ascii="Arial Narrow" w:hAnsi="Arial Narrow"/>
          <w:sz w:val="18"/>
          <w:szCs w:val="18"/>
        </w:rPr>
        <w:t>Note: 1 relative risk and risk difference for each trial are estimated in Review Manager 5.1; 2 pooled results using random effects model, from Review Manager 5.1, in Attachment 16.</w:t>
      </w:r>
    </w:p>
    <w:p w:rsidR="00D74A12" w:rsidRPr="00E01A8E" w:rsidRDefault="00D74A12" w:rsidP="00B8794E">
      <w:pPr>
        <w:pStyle w:val="NoSpacing"/>
        <w:rPr>
          <w:rFonts w:ascii="Arial Narrow" w:hAnsi="Arial Narrow"/>
          <w:sz w:val="16"/>
        </w:rPr>
      </w:pPr>
      <w:r w:rsidRPr="00E01A8E">
        <w:rPr>
          <w:rFonts w:ascii="Arial Narrow" w:hAnsi="Arial Narrow"/>
          <w:sz w:val="18"/>
          <w:szCs w:val="18"/>
        </w:rPr>
        <w:t>Abbreviations: n, number of participants, N=total participants in group; AE, adverse event; CI, confidence interval; RR, relative risk; RD, risk difference; SAE, serious adverse event; NA, not applicable.</w:t>
      </w:r>
    </w:p>
    <w:p w:rsidR="00D74A12" w:rsidRPr="00E01A8E" w:rsidRDefault="00D74A12" w:rsidP="00B8794E">
      <w:pPr>
        <w:widowControl w:val="0"/>
        <w:spacing w:before="0" w:after="0"/>
        <w:jc w:val="both"/>
        <w:rPr>
          <w:rFonts w:ascii="Arial Narrow" w:eastAsia="Times New Roman" w:hAnsi="Arial Narrow" w:cs="Arial"/>
          <w:snapToGrid w:val="0"/>
          <w:sz w:val="18"/>
          <w:szCs w:val="18"/>
        </w:rPr>
      </w:pPr>
      <w:r w:rsidRPr="00E01A8E">
        <w:rPr>
          <w:rFonts w:ascii="Arial Narrow" w:eastAsia="Times New Roman" w:hAnsi="Arial Narrow" w:cs="Arial"/>
          <w:snapToGrid w:val="0"/>
          <w:sz w:val="18"/>
          <w:szCs w:val="18"/>
        </w:rPr>
        <w:t>Source:</w:t>
      </w:r>
      <w:r w:rsidRPr="00E01A8E">
        <w:rPr>
          <w:rFonts w:ascii="Sabon" w:hAnsi="Sabon" w:cs="Arial"/>
          <w:sz w:val="16"/>
          <w:szCs w:val="16"/>
        </w:rPr>
        <w:t xml:space="preserve"> </w:t>
      </w:r>
      <w:r w:rsidR="00370950" w:rsidRPr="00E01A8E">
        <w:rPr>
          <w:rFonts w:ascii="Arial Narrow" w:eastAsia="Times New Roman" w:hAnsi="Arial Narrow" w:cs="Arial"/>
          <w:snapToGrid w:val="0"/>
          <w:sz w:val="18"/>
          <w:szCs w:val="18"/>
        </w:rPr>
        <w:t>Table 2.28, p55 of the submission, Table 2.29 p57 of the submission;</w:t>
      </w:r>
      <w:r w:rsidR="00370950" w:rsidRPr="00E01A8E">
        <w:rPr>
          <w:rFonts w:ascii="Sabon" w:hAnsi="Sabon" w:cs="Arial"/>
          <w:sz w:val="16"/>
          <w:szCs w:val="16"/>
        </w:rPr>
        <w:t xml:space="preserve"> </w:t>
      </w:r>
      <w:r w:rsidRPr="00E01A8E">
        <w:rPr>
          <w:rFonts w:ascii="Arial Narrow" w:eastAsia="Times New Roman" w:hAnsi="Arial Narrow" w:cs="Arial"/>
          <w:snapToGrid w:val="0"/>
          <w:sz w:val="18"/>
          <w:szCs w:val="18"/>
        </w:rPr>
        <w:t>CSR 23138 p93, 96; CSR 23138e p59; Tang et al. 2015; CSR ADE07 p75; all publications in Attachment 9; all publications in Attachment 9; CSR 23135 p92, 95; CSR 2311 p68, 71; CSR 23137 pp96-98,100; all publications in Attachment 10.</w:t>
      </w:r>
      <w:r w:rsidR="00976A14" w:rsidRPr="00E01A8E">
        <w:rPr>
          <w:rFonts w:ascii="Arial Narrow" w:eastAsia="Times New Roman" w:hAnsi="Arial Narrow" w:cs="Arial"/>
          <w:snapToGrid w:val="0"/>
          <w:sz w:val="18"/>
          <w:szCs w:val="18"/>
        </w:rPr>
        <w:t xml:space="preserve"> Compiled during evaluation.</w:t>
      </w:r>
    </w:p>
    <w:p w:rsidR="00B427E3" w:rsidRPr="00E01A8E" w:rsidRDefault="00B427E3" w:rsidP="00B8794E">
      <w:pPr>
        <w:pStyle w:val="ListParagraph"/>
        <w:spacing w:before="0" w:after="120"/>
        <w:jc w:val="both"/>
      </w:pPr>
    </w:p>
    <w:p w:rsidR="00B427E3" w:rsidRPr="00E01A8E" w:rsidRDefault="00B427E3" w:rsidP="00F35D71">
      <w:pPr>
        <w:pStyle w:val="ListParagraph"/>
        <w:numPr>
          <w:ilvl w:val="1"/>
          <w:numId w:val="3"/>
        </w:numPr>
        <w:spacing w:before="0" w:after="120"/>
        <w:jc w:val="both"/>
      </w:pPr>
      <w:r w:rsidRPr="00E01A8E">
        <w:t>No severe AEs were reported in Tang 2015</w:t>
      </w:r>
      <w:r w:rsidR="00D74A12" w:rsidRPr="00E01A8E">
        <w:t>.</w:t>
      </w:r>
      <w:r w:rsidR="004C49B5" w:rsidRPr="00E01A8E">
        <w:t xml:space="preserve"> </w:t>
      </w:r>
      <w:r w:rsidR="00D74A12" w:rsidRPr="00E01A8E">
        <w:t>All the AEs reported during the study were mild.</w:t>
      </w:r>
    </w:p>
    <w:p w:rsidR="00263759" w:rsidRPr="00E01A8E" w:rsidRDefault="00EC7377" w:rsidP="00F35D71">
      <w:pPr>
        <w:pStyle w:val="ListParagraph"/>
        <w:numPr>
          <w:ilvl w:val="1"/>
          <w:numId w:val="3"/>
        </w:numPr>
        <w:spacing w:before="0" w:after="120"/>
        <w:jc w:val="both"/>
      </w:pPr>
      <w:r w:rsidRPr="00E01A8E">
        <w:t xml:space="preserve">No </w:t>
      </w:r>
      <w:r w:rsidR="00BB74D4" w:rsidRPr="00E01A8E">
        <w:t xml:space="preserve">statistically significant difference in the proportion of patients who had more AE or </w:t>
      </w:r>
      <w:r w:rsidR="00B827AA" w:rsidRPr="00E01A8E">
        <w:t xml:space="preserve">serious </w:t>
      </w:r>
      <w:r w:rsidR="00BB74D4" w:rsidRPr="00E01A8E">
        <w:t xml:space="preserve">AE when treated with vildagliptin compared with sitagliptin in combination with insulin was observed in the pooled results </w:t>
      </w:r>
      <w:r w:rsidRPr="00E01A8E">
        <w:t>of the three head-to-head trials.</w:t>
      </w:r>
    </w:p>
    <w:p w:rsidR="00EC7377" w:rsidRPr="00E01A8E" w:rsidRDefault="00BB74D4" w:rsidP="00F35D71">
      <w:pPr>
        <w:pStyle w:val="ListParagraph"/>
        <w:numPr>
          <w:ilvl w:val="1"/>
          <w:numId w:val="3"/>
        </w:numPr>
        <w:spacing w:before="0" w:after="120"/>
        <w:jc w:val="both"/>
      </w:pPr>
      <w:r w:rsidRPr="00E01A8E">
        <w:t xml:space="preserve">No statistically significant differences in adverse events were observed between vildagliptin and placebo in combination with insulin in the pooled results. </w:t>
      </w:r>
      <w:r w:rsidR="00EC7377" w:rsidRPr="00E01A8E">
        <w:t>There was slightly higher incidence of AEs in Study 23135 with vildagliptin compared to placebo group but no</w:t>
      </w:r>
      <w:r w:rsidRPr="00E01A8E">
        <w:t>t in Study 2311 and Study 23137</w:t>
      </w:r>
      <w:r w:rsidR="00EC7377" w:rsidRPr="00E01A8E">
        <w:t>.</w:t>
      </w:r>
    </w:p>
    <w:p w:rsidR="00C317F3" w:rsidRPr="00E01A8E" w:rsidRDefault="008058E8" w:rsidP="00466705">
      <w:pPr>
        <w:pStyle w:val="Heading2"/>
        <w:numPr>
          <w:ilvl w:val="0"/>
          <w:numId w:val="0"/>
        </w:numPr>
        <w:ind w:left="792" w:hanging="792"/>
        <w:jc w:val="both"/>
        <w:rPr>
          <w:i w:val="0"/>
        </w:rPr>
      </w:pPr>
      <w:bookmarkStart w:id="17" w:name="_Toc493069871"/>
      <w:r w:rsidRPr="00E01A8E">
        <w:rPr>
          <w:i w:val="0"/>
        </w:rPr>
        <w:t>Interpretation of clinical evidence</w:t>
      </w:r>
      <w:bookmarkEnd w:id="17"/>
    </w:p>
    <w:p w:rsidR="009E5E06" w:rsidRPr="00E01A8E" w:rsidRDefault="009E5E06" w:rsidP="00F35D71">
      <w:pPr>
        <w:widowControl w:val="0"/>
        <w:numPr>
          <w:ilvl w:val="1"/>
          <w:numId w:val="3"/>
        </w:numPr>
        <w:spacing w:before="0" w:after="120"/>
        <w:contextualSpacing/>
        <w:jc w:val="both"/>
      </w:pPr>
      <w:r w:rsidRPr="00E01A8E">
        <w:t xml:space="preserve">The submission described vildagliptin </w:t>
      </w:r>
      <w:r w:rsidR="00B70B2A" w:rsidRPr="00E01A8E">
        <w:t>100</w:t>
      </w:r>
      <w:r w:rsidRPr="00E01A8E">
        <w:t>mg</w:t>
      </w:r>
      <w:r w:rsidR="00B70B2A" w:rsidRPr="00E01A8E">
        <w:t>/day [50mg bid]</w:t>
      </w:r>
      <w:r w:rsidRPr="00E01A8E">
        <w:t xml:space="preserve"> in combination with insulin as:</w:t>
      </w:r>
    </w:p>
    <w:p w:rsidR="009E5E06" w:rsidRPr="00E01A8E" w:rsidRDefault="009E5E06" w:rsidP="00674CEA">
      <w:pPr>
        <w:pStyle w:val="ListParagraph"/>
        <w:widowControl w:val="0"/>
        <w:numPr>
          <w:ilvl w:val="0"/>
          <w:numId w:val="8"/>
        </w:numPr>
        <w:spacing w:before="0" w:after="120"/>
        <w:ind w:left="1077" w:hanging="357"/>
        <w:contextualSpacing/>
        <w:jc w:val="both"/>
      </w:pPr>
      <w:r w:rsidRPr="00E01A8E">
        <w:t>non-inferior to sitagliptin 100 mg</w:t>
      </w:r>
      <w:r w:rsidR="00B70B2A" w:rsidRPr="00E01A8E">
        <w:t>/day,</w:t>
      </w:r>
      <w:r w:rsidRPr="00E01A8E">
        <w:t xml:space="preserve"> with insulin, with respect to efficacy and safety in the treatment of </w:t>
      </w:r>
      <w:r w:rsidR="00B70B2A" w:rsidRPr="00E01A8E">
        <w:t xml:space="preserve">T2DM </w:t>
      </w:r>
      <w:r w:rsidRPr="00E01A8E">
        <w:t>patients</w:t>
      </w:r>
      <w:r w:rsidR="00B70B2A" w:rsidRPr="00E01A8E">
        <w:t xml:space="preserve">; </w:t>
      </w:r>
      <w:r w:rsidRPr="00E01A8E">
        <w:t>and</w:t>
      </w:r>
    </w:p>
    <w:p w:rsidR="009E5E06" w:rsidRPr="00E01A8E" w:rsidRDefault="009E5E06" w:rsidP="00674CEA">
      <w:pPr>
        <w:pStyle w:val="ListParagraph"/>
        <w:widowControl w:val="0"/>
        <w:numPr>
          <w:ilvl w:val="0"/>
          <w:numId w:val="8"/>
        </w:numPr>
        <w:spacing w:before="0" w:after="120"/>
        <w:ind w:left="1077" w:hanging="357"/>
        <w:contextualSpacing/>
        <w:jc w:val="both"/>
      </w:pPr>
      <w:r w:rsidRPr="00E01A8E">
        <w:t>non-inferior to linagliptin 5mg</w:t>
      </w:r>
      <w:r w:rsidR="00B70B2A" w:rsidRPr="00E01A8E">
        <w:t>/day with insulin, with respect to efficacy and safety in the treatment of T2DM patients</w:t>
      </w:r>
    </w:p>
    <w:p w:rsidR="009E5E06" w:rsidRPr="00E01A8E" w:rsidRDefault="00B70B2A" w:rsidP="00F35D71">
      <w:pPr>
        <w:pStyle w:val="ListParagraph"/>
        <w:numPr>
          <w:ilvl w:val="1"/>
          <w:numId w:val="3"/>
        </w:numPr>
        <w:spacing w:before="0" w:after="120"/>
        <w:jc w:val="both"/>
      </w:pPr>
      <w:r w:rsidRPr="00E01A8E">
        <w:t xml:space="preserve">The submission described vildagliptin </w:t>
      </w:r>
      <w:r w:rsidR="00050C8D">
        <w:t>with</w:t>
      </w:r>
      <w:r w:rsidRPr="00E01A8E">
        <w:t xml:space="preserve"> metformin FDC to be bio-equivalent to vildagliptin and metformin taken separately as:</w:t>
      </w:r>
    </w:p>
    <w:p w:rsidR="00815503" w:rsidRDefault="00B70B2A" w:rsidP="002C165E">
      <w:pPr>
        <w:pStyle w:val="ListParagraph"/>
      </w:pPr>
      <w:r w:rsidRPr="00E01A8E">
        <w:t xml:space="preserve">Vildagliptin </w:t>
      </w:r>
      <w:r w:rsidR="00050C8D">
        <w:t>with</w:t>
      </w:r>
      <w:r w:rsidRPr="00E01A8E">
        <w:t xml:space="preserve"> metformin 50/500mg, 50/850mg and 50/1000mg FDC bid is equivalent to the concomitant administration of vildagliptin 50mg bid and metformin hydrochloride 500/850/1000mg bid.</w:t>
      </w:r>
    </w:p>
    <w:p w:rsidR="002C165E" w:rsidRDefault="00C43ECD" w:rsidP="002C165E">
      <w:pPr>
        <w:pStyle w:val="ListParagraph"/>
        <w:numPr>
          <w:ilvl w:val="1"/>
          <w:numId w:val="3"/>
        </w:numPr>
        <w:spacing w:before="0" w:after="120"/>
        <w:ind w:left="810" w:hanging="810"/>
        <w:jc w:val="both"/>
        <w:rPr>
          <w:rFonts w:cs="Arial"/>
          <w:snapToGrid w:val="0"/>
          <w:szCs w:val="20"/>
        </w:rPr>
      </w:pPr>
      <w:r w:rsidRPr="00771B63">
        <w:rPr>
          <w:rFonts w:cs="Arial"/>
          <w:snapToGrid w:val="0"/>
          <w:szCs w:val="20"/>
        </w:rPr>
        <w:t>The PBAC considered that</w:t>
      </w:r>
      <w:r w:rsidR="00584ED3">
        <w:rPr>
          <w:rFonts w:cs="Arial"/>
          <w:snapToGrid w:val="0"/>
          <w:szCs w:val="20"/>
        </w:rPr>
        <w:t>, on balance</w:t>
      </w:r>
      <w:r w:rsidRPr="00771B63">
        <w:rPr>
          <w:rFonts w:cs="Arial"/>
          <w:snapToGrid w:val="0"/>
          <w:szCs w:val="20"/>
        </w:rPr>
        <w:t xml:space="preserve"> the claim of n</w:t>
      </w:r>
      <w:r w:rsidR="007C76C5" w:rsidRPr="00771B63">
        <w:rPr>
          <w:rFonts w:cs="Arial"/>
          <w:snapToGrid w:val="0"/>
          <w:szCs w:val="20"/>
        </w:rPr>
        <w:t>on-inferior</w:t>
      </w:r>
      <w:r w:rsidRPr="00771B63">
        <w:rPr>
          <w:rFonts w:cs="Arial"/>
          <w:snapToGrid w:val="0"/>
          <w:szCs w:val="20"/>
        </w:rPr>
        <w:t xml:space="preserve"> comparati</w:t>
      </w:r>
      <w:r w:rsidR="007C76C5" w:rsidRPr="00771B63">
        <w:rPr>
          <w:rFonts w:cs="Arial"/>
          <w:snapToGrid w:val="0"/>
          <w:szCs w:val="20"/>
        </w:rPr>
        <w:t>ve effectiveness was reasonable</w:t>
      </w:r>
      <w:r w:rsidR="0029254C" w:rsidRPr="00771B63">
        <w:rPr>
          <w:rFonts w:cs="Arial"/>
          <w:snapToGrid w:val="0"/>
          <w:szCs w:val="20"/>
        </w:rPr>
        <w:t xml:space="preserve">.  Although there were </w:t>
      </w:r>
      <w:r w:rsidR="003B195E" w:rsidRPr="00771B63">
        <w:rPr>
          <w:rFonts w:cs="Arial"/>
          <w:snapToGrid w:val="0"/>
          <w:szCs w:val="20"/>
        </w:rPr>
        <w:t>some uncertainties arising from the data</w:t>
      </w:r>
      <w:r w:rsidR="0029254C" w:rsidRPr="0029254C">
        <w:rPr>
          <w:rFonts w:cs="Arial"/>
          <w:snapToGrid w:val="0"/>
          <w:szCs w:val="20"/>
        </w:rPr>
        <w:t xml:space="preserve"> in terms of heterogeneity and </w:t>
      </w:r>
      <w:r w:rsidR="0029254C" w:rsidRPr="00D32572">
        <w:rPr>
          <w:rFonts w:cs="Arial"/>
          <w:snapToGrid w:val="0"/>
          <w:szCs w:val="20"/>
        </w:rPr>
        <w:t>power of the studies, the PBAC accepted that the data</w:t>
      </w:r>
      <w:r w:rsidR="00E077FD">
        <w:rPr>
          <w:rFonts w:cs="Arial"/>
          <w:snapToGrid w:val="0"/>
          <w:szCs w:val="20"/>
        </w:rPr>
        <w:t xml:space="preserve"> support</w:t>
      </w:r>
      <w:r w:rsidR="0029254C" w:rsidRPr="00D32572">
        <w:rPr>
          <w:rFonts w:cs="Arial"/>
          <w:snapToGrid w:val="0"/>
          <w:szCs w:val="20"/>
        </w:rPr>
        <w:t xml:space="preserve"> a claim of non-inferiority to the comparators in populations generally similar to the Australian diabetic population</w:t>
      </w:r>
      <w:r w:rsidRPr="00771B63">
        <w:rPr>
          <w:rFonts w:cs="Arial"/>
          <w:snapToGrid w:val="0"/>
          <w:szCs w:val="20"/>
        </w:rPr>
        <w:t>.</w:t>
      </w:r>
    </w:p>
    <w:p w:rsidR="002C165E" w:rsidRDefault="00C43ECD" w:rsidP="002C165E">
      <w:pPr>
        <w:pStyle w:val="ListParagraph"/>
        <w:numPr>
          <w:ilvl w:val="1"/>
          <w:numId w:val="3"/>
        </w:numPr>
        <w:spacing w:before="0" w:after="120"/>
        <w:ind w:left="810" w:hanging="810"/>
        <w:jc w:val="both"/>
        <w:rPr>
          <w:rFonts w:cs="Arial"/>
          <w:snapToGrid w:val="0"/>
          <w:szCs w:val="20"/>
        </w:rPr>
      </w:pPr>
      <w:r w:rsidRPr="002C165E">
        <w:rPr>
          <w:rFonts w:cs="Arial"/>
          <w:snapToGrid w:val="0"/>
          <w:szCs w:val="20"/>
        </w:rPr>
        <w:t>The PBAC considered that the claim of non-inferior co</w:t>
      </w:r>
      <w:r w:rsidR="007C76C5" w:rsidRPr="002C165E">
        <w:rPr>
          <w:rFonts w:cs="Arial"/>
          <w:snapToGrid w:val="0"/>
          <w:szCs w:val="20"/>
        </w:rPr>
        <w:t>mparative safety was reasonable</w:t>
      </w:r>
      <w:r w:rsidR="00F70354" w:rsidRPr="002C165E">
        <w:rPr>
          <w:rFonts w:cs="Arial"/>
          <w:snapToGrid w:val="0"/>
          <w:szCs w:val="20"/>
        </w:rPr>
        <w:t xml:space="preserve"> </w:t>
      </w:r>
      <w:bookmarkStart w:id="18" w:name="_Toc413139282"/>
      <w:bookmarkStart w:id="19" w:name="_Toc493069872"/>
    </w:p>
    <w:p w:rsidR="00C317F3" w:rsidRPr="002C165E" w:rsidRDefault="00C317F3" w:rsidP="0084646A">
      <w:pPr>
        <w:pStyle w:val="Heading2"/>
        <w:numPr>
          <w:ilvl w:val="0"/>
          <w:numId w:val="0"/>
        </w:numPr>
        <w:ind w:left="792" w:hanging="792"/>
        <w:jc w:val="both"/>
        <w:rPr>
          <w:rFonts w:cs="Arial"/>
          <w:snapToGrid w:val="0"/>
          <w:szCs w:val="20"/>
        </w:rPr>
      </w:pPr>
      <w:r w:rsidRPr="0084646A">
        <w:rPr>
          <w:i w:val="0"/>
        </w:rPr>
        <w:t>Economic</w:t>
      </w:r>
      <w:r w:rsidRPr="002C165E">
        <w:t xml:space="preserve"> analysis</w:t>
      </w:r>
      <w:bookmarkEnd w:id="18"/>
      <w:bookmarkEnd w:id="19"/>
    </w:p>
    <w:p w:rsidR="00CC07E8" w:rsidRPr="00E01A8E" w:rsidRDefault="00CC07E8" w:rsidP="00F35D71">
      <w:pPr>
        <w:pStyle w:val="ListParagraph"/>
        <w:numPr>
          <w:ilvl w:val="1"/>
          <w:numId w:val="3"/>
        </w:numPr>
        <w:spacing w:before="0" w:after="120"/>
        <w:jc w:val="both"/>
      </w:pPr>
      <w:r w:rsidRPr="00E01A8E">
        <w:t xml:space="preserve">The equi-effective doses </w:t>
      </w:r>
      <w:r w:rsidR="00325103" w:rsidRPr="00E01A8E">
        <w:t>are estimated as</w:t>
      </w:r>
      <w:r w:rsidRPr="00E01A8E">
        <w:t>:</w:t>
      </w:r>
    </w:p>
    <w:p w:rsidR="00CC07E8" w:rsidRPr="00E01A8E" w:rsidRDefault="00CC07E8" w:rsidP="00674CEA">
      <w:pPr>
        <w:pStyle w:val="ListParagraph"/>
        <w:widowControl w:val="0"/>
        <w:numPr>
          <w:ilvl w:val="0"/>
          <w:numId w:val="8"/>
        </w:numPr>
        <w:spacing w:before="0" w:after="120"/>
        <w:ind w:left="1077" w:hanging="357"/>
        <w:contextualSpacing/>
        <w:jc w:val="both"/>
      </w:pPr>
      <w:r w:rsidRPr="00E01A8E">
        <w:t>Vildagliptin 100mg</w:t>
      </w:r>
      <w:r w:rsidR="00325103" w:rsidRPr="00E01A8E">
        <w:t>/day</w:t>
      </w:r>
      <w:r w:rsidRPr="00E01A8E">
        <w:t xml:space="preserve"> =</w:t>
      </w:r>
      <w:r w:rsidR="00325103" w:rsidRPr="00E01A8E">
        <w:t xml:space="preserve"> sitagliptin 100mg/day</w:t>
      </w:r>
    </w:p>
    <w:p w:rsidR="00917AED" w:rsidRPr="00E01A8E" w:rsidRDefault="00CC07E8" w:rsidP="00674CEA">
      <w:pPr>
        <w:pStyle w:val="ListParagraph"/>
        <w:widowControl w:val="0"/>
        <w:numPr>
          <w:ilvl w:val="0"/>
          <w:numId w:val="8"/>
        </w:numPr>
        <w:spacing w:before="0" w:after="120"/>
        <w:ind w:left="1077" w:hanging="357"/>
        <w:contextualSpacing/>
        <w:jc w:val="both"/>
      </w:pPr>
      <w:r w:rsidRPr="00E01A8E">
        <w:t>Vildagliptin 100mg</w:t>
      </w:r>
      <w:r w:rsidR="00325103" w:rsidRPr="00E01A8E">
        <w:t>/day</w:t>
      </w:r>
      <w:r w:rsidRPr="00E01A8E">
        <w:t xml:space="preserve"> = linagliptin 5mg</w:t>
      </w:r>
      <w:r w:rsidR="00325103" w:rsidRPr="00E01A8E">
        <w:t>/day</w:t>
      </w:r>
    </w:p>
    <w:p w:rsidR="00CC07E8" w:rsidRPr="00E01A8E" w:rsidRDefault="00CC07E8" w:rsidP="00674CEA">
      <w:pPr>
        <w:pStyle w:val="ListParagraph"/>
        <w:widowControl w:val="0"/>
        <w:numPr>
          <w:ilvl w:val="0"/>
          <w:numId w:val="8"/>
        </w:numPr>
        <w:spacing w:before="0" w:after="120"/>
        <w:ind w:left="1077" w:hanging="357"/>
        <w:contextualSpacing/>
        <w:jc w:val="both"/>
      </w:pPr>
      <w:r w:rsidRPr="00E01A8E">
        <w:t xml:space="preserve">Vildagliptin </w:t>
      </w:r>
      <w:r w:rsidR="00050C8D">
        <w:t>with</w:t>
      </w:r>
      <w:r w:rsidRPr="00E01A8E">
        <w:t xml:space="preserve"> metformin 50/500 mg; 50/850 mg; 50/1000mg FDC bid = the concomitant administration of vildagliptin 50 mg bid and metformin hydrochloride 500mg; 850mg; 1000mg bid</w:t>
      </w:r>
      <w:r w:rsidR="00F37230">
        <w:t>.</w:t>
      </w:r>
    </w:p>
    <w:p w:rsidR="000238D1" w:rsidRPr="00E01A8E" w:rsidRDefault="000238D1" w:rsidP="00F35D71">
      <w:pPr>
        <w:pStyle w:val="ListParagraph"/>
        <w:widowControl w:val="0"/>
        <w:spacing w:before="0" w:after="120"/>
        <w:ind w:left="1077"/>
        <w:contextualSpacing/>
        <w:jc w:val="both"/>
      </w:pPr>
    </w:p>
    <w:p w:rsidR="00AD2709" w:rsidRPr="00E01A8E" w:rsidRDefault="00931AD1" w:rsidP="00F35D71">
      <w:pPr>
        <w:pStyle w:val="ListParagraph"/>
        <w:numPr>
          <w:ilvl w:val="1"/>
          <w:numId w:val="3"/>
        </w:numPr>
        <w:spacing w:before="0" w:after="120"/>
        <w:jc w:val="both"/>
      </w:pPr>
      <w:r w:rsidRPr="00E01A8E">
        <w:t>These estimates were based on the doses used in the three head-to-head trials and three bio-equivalence trials.</w:t>
      </w:r>
    </w:p>
    <w:p w:rsidR="00D2033B" w:rsidRDefault="003F2A31" w:rsidP="00F35D71">
      <w:pPr>
        <w:pStyle w:val="ListParagraph"/>
        <w:numPr>
          <w:ilvl w:val="1"/>
          <w:numId w:val="3"/>
        </w:numPr>
        <w:spacing w:before="0" w:after="120"/>
        <w:jc w:val="both"/>
      </w:pPr>
      <w:r w:rsidRPr="00E01A8E">
        <w:t xml:space="preserve">The </w:t>
      </w:r>
      <w:r w:rsidR="00672C93" w:rsidRPr="00E01A8E">
        <w:t>vildagliptin</w:t>
      </w:r>
      <w:r w:rsidRPr="00E01A8E">
        <w:t xml:space="preserve"> </w:t>
      </w:r>
      <w:r w:rsidR="00E074B7" w:rsidRPr="00E01A8E">
        <w:t>product information (</w:t>
      </w:r>
      <w:r w:rsidR="00CB24A8" w:rsidRPr="00E01A8E">
        <w:t>PI</w:t>
      </w:r>
      <w:r w:rsidR="00E074B7" w:rsidRPr="00E01A8E">
        <w:t>)</w:t>
      </w:r>
      <w:r w:rsidRPr="00E01A8E">
        <w:t xml:space="preserve"> recommends monitoring of liver enzymes prior to initiation </w:t>
      </w:r>
      <w:r w:rsidR="00DA7DFD" w:rsidRPr="00E01A8E">
        <w:t>of vildagliptin, every 3 months</w:t>
      </w:r>
      <w:r w:rsidRPr="00E01A8E">
        <w:t xml:space="preserve"> in the first year of therapy and periodically thereafter. </w:t>
      </w:r>
      <w:r w:rsidRPr="00971822">
        <w:t>T</w:t>
      </w:r>
      <w:r w:rsidRPr="00E01A8E">
        <w:t xml:space="preserve">he vildagliptin PI </w:t>
      </w:r>
      <w:r w:rsidR="00672C93" w:rsidRPr="00E01A8E">
        <w:t xml:space="preserve">also </w:t>
      </w:r>
      <w:r w:rsidRPr="00E01A8E">
        <w:t xml:space="preserve">notes that patients who develop increased transaminase levels should be monitored with a second </w:t>
      </w:r>
      <w:r w:rsidR="0093275A">
        <w:t>liver function test (</w:t>
      </w:r>
      <w:r w:rsidRPr="00E01A8E">
        <w:t>LFT</w:t>
      </w:r>
      <w:r w:rsidR="0093275A">
        <w:t>)</w:t>
      </w:r>
      <w:r w:rsidRPr="00E01A8E">
        <w:t xml:space="preserve"> to confirm the finding and be followed thereafter with frequent LFTs until the abnormalities return to normal.</w:t>
      </w:r>
      <w:r w:rsidR="004C49B5" w:rsidRPr="00E01A8E">
        <w:t xml:space="preserve"> </w:t>
      </w:r>
      <w:r w:rsidR="004B25AB" w:rsidRPr="00E01A8E">
        <w:t xml:space="preserve">The price of the vildagliptin </w:t>
      </w:r>
      <w:r w:rsidR="00050C8D">
        <w:t>with</w:t>
      </w:r>
      <w:r w:rsidR="004B25AB" w:rsidRPr="00E01A8E">
        <w:t xml:space="preserve"> metformin FDCs includes an offset to account for the cost of </w:t>
      </w:r>
      <w:r w:rsidR="0093275A">
        <w:rPr>
          <w:bCs/>
        </w:rPr>
        <w:t>LFTs</w:t>
      </w:r>
      <w:r w:rsidR="004B25AB" w:rsidRPr="00E01A8E">
        <w:rPr>
          <w:bCs/>
        </w:rPr>
        <w:t>, however no such offset is included in the single agent vildagliptin price (</w:t>
      </w:r>
      <w:r w:rsidR="004B25AB" w:rsidRPr="00E01A8E">
        <w:t xml:space="preserve">LFTs). </w:t>
      </w:r>
      <w:r w:rsidR="00D2033B" w:rsidRPr="00E01A8E">
        <w:t xml:space="preserve">The submission includes an analysis of current prescription data to demonstrate </w:t>
      </w:r>
      <w:r w:rsidR="004B25AB" w:rsidRPr="00E01A8E">
        <w:t xml:space="preserve">that </w:t>
      </w:r>
      <w:r w:rsidR="00D2033B" w:rsidRPr="00E01A8E">
        <w:t xml:space="preserve">the average </w:t>
      </w:r>
      <w:r w:rsidR="00D2033B" w:rsidRPr="00296DFB">
        <w:t>ex-man price</w:t>
      </w:r>
      <w:r w:rsidR="00D2033B" w:rsidRPr="00E01A8E">
        <w:t xml:space="preserve"> of vildagliptin is lower than that of sitagliptin and linagliptin. </w:t>
      </w:r>
    </w:p>
    <w:p w:rsidR="00584ED3" w:rsidRDefault="00584ED3" w:rsidP="00584ED3">
      <w:pPr>
        <w:pStyle w:val="ListParagraph"/>
        <w:numPr>
          <w:ilvl w:val="1"/>
          <w:numId w:val="3"/>
        </w:numPr>
      </w:pPr>
      <w:r w:rsidRPr="00F972B4">
        <w:t xml:space="preserve">The PBAC recalled that when it considered vildagliptin with metformin in 2010 it noted that any applications to subsidise new vildagliptin monotherapy or combination products may need to be priced differently to take into account additional costs association with LFTs for vildagliptin compared to sitagliptin.  </w:t>
      </w:r>
    </w:p>
    <w:p w:rsidR="00F972B4" w:rsidRPr="00E01A8E" w:rsidRDefault="008F392C" w:rsidP="00FA4FAB">
      <w:pPr>
        <w:pStyle w:val="ListParagraph"/>
        <w:numPr>
          <w:ilvl w:val="1"/>
          <w:numId w:val="3"/>
        </w:numPr>
        <w:spacing w:before="0" w:after="120"/>
        <w:jc w:val="both"/>
      </w:pPr>
      <w:r w:rsidRPr="00771B63">
        <w:rPr>
          <w:bCs/>
          <w:szCs w:val="24"/>
        </w:rPr>
        <w:t>The PBAC noted that t</w:t>
      </w:r>
      <w:r w:rsidR="00356B22" w:rsidRPr="00771B63">
        <w:rPr>
          <w:bCs/>
          <w:szCs w:val="24"/>
        </w:rPr>
        <w:t xml:space="preserve">he ESC considered that the current offset in </w:t>
      </w:r>
      <w:r w:rsidR="00050C8D" w:rsidRPr="00050C8D">
        <w:rPr>
          <w:bCs/>
          <w:szCs w:val="24"/>
        </w:rPr>
        <w:t xml:space="preserve">the price of the vildagliptin </w:t>
      </w:r>
      <w:r w:rsidR="00050C8D">
        <w:rPr>
          <w:bCs/>
          <w:szCs w:val="24"/>
        </w:rPr>
        <w:t>with</w:t>
      </w:r>
      <w:r w:rsidR="00356B22" w:rsidRPr="00771B63">
        <w:rPr>
          <w:bCs/>
          <w:szCs w:val="24"/>
        </w:rPr>
        <w:t xml:space="preserve"> metformin FDC prod</w:t>
      </w:r>
      <w:r w:rsidR="00E077FD" w:rsidRPr="00E077FD">
        <w:rPr>
          <w:bCs/>
          <w:szCs w:val="24"/>
        </w:rPr>
        <w:t>ucts to account for the cost of</w:t>
      </w:r>
      <w:r w:rsidR="00356B22" w:rsidRPr="00771B63">
        <w:rPr>
          <w:bCs/>
          <w:szCs w:val="24"/>
        </w:rPr>
        <w:t xml:space="preserve"> a</w:t>
      </w:r>
      <w:r w:rsidR="0093275A">
        <w:rPr>
          <w:bCs/>
          <w:szCs w:val="24"/>
        </w:rPr>
        <w:t xml:space="preserve">dditional </w:t>
      </w:r>
      <w:r w:rsidR="0093275A" w:rsidRPr="0093275A">
        <w:rPr>
          <w:bCs/>
          <w:szCs w:val="24"/>
        </w:rPr>
        <w:t>LFTs</w:t>
      </w:r>
      <w:r w:rsidR="00356B22" w:rsidRPr="00771B63">
        <w:rPr>
          <w:bCs/>
          <w:szCs w:val="24"/>
        </w:rPr>
        <w:t>, recommended in the TGA Product Information (PI) of</w:t>
      </w:r>
      <w:r w:rsidR="00050C8D" w:rsidRPr="00050C8D">
        <w:rPr>
          <w:bCs/>
          <w:szCs w:val="24"/>
        </w:rPr>
        <w:t xml:space="preserve"> vildagliptin and vildagliptin </w:t>
      </w:r>
      <w:r w:rsidR="00050C8D">
        <w:rPr>
          <w:bCs/>
          <w:szCs w:val="24"/>
        </w:rPr>
        <w:t>with</w:t>
      </w:r>
      <w:r w:rsidR="00356B22" w:rsidRPr="00771B63">
        <w:rPr>
          <w:bCs/>
          <w:szCs w:val="24"/>
        </w:rPr>
        <w:t xml:space="preserve"> metformin FDC, may not be appropriate as it is unlikely that additional costs for LFTs would be incurred in practice.  Most patients on a DPP4 inhibitor would be having blood tests 6 monthly to monitor HbA1c, and the MBS claiming rules mean that even if LFTs are only included for vildagliptin patients and not for patients on other DPP4 inhibitors, the actual added cost to government of these tests would be nil.</w:t>
      </w:r>
    </w:p>
    <w:p w:rsidR="00C317F3" w:rsidRPr="00E01A8E" w:rsidRDefault="00C317F3" w:rsidP="00466705">
      <w:pPr>
        <w:pStyle w:val="Heading2"/>
        <w:numPr>
          <w:ilvl w:val="0"/>
          <w:numId w:val="0"/>
        </w:numPr>
        <w:ind w:left="792" w:hanging="792"/>
        <w:jc w:val="both"/>
        <w:rPr>
          <w:i w:val="0"/>
        </w:rPr>
      </w:pPr>
      <w:bookmarkStart w:id="20" w:name="_Toc413139283"/>
      <w:bookmarkStart w:id="21" w:name="_Toc493069873"/>
      <w:r w:rsidRPr="00E01A8E">
        <w:rPr>
          <w:i w:val="0"/>
        </w:rPr>
        <w:t>D</w:t>
      </w:r>
      <w:r w:rsidR="00D15E75" w:rsidRPr="00E01A8E">
        <w:rPr>
          <w:i w:val="0"/>
        </w:rPr>
        <w:t>rug cost/patient</w:t>
      </w:r>
      <w:r w:rsidRPr="00E01A8E">
        <w:rPr>
          <w:i w:val="0"/>
        </w:rPr>
        <w:t>/year</w:t>
      </w:r>
      <w:bookmarkEnd w:id="20"/>
      <w:r w:rsidR="00D15E75" w:rsidRPr="00E01A8E">
        <w:rPr>
          <w:i w:val="0"/>
        </w:rPr>
        <w:t>:</w:t>
      </w:r>
      <w:bookmarkEnd w:id="21"/>
    </w:p>
    <w:p w:rsidR="00691FEB" w:rsidRPr="00691FEB" w:rsidRDefault="00691FEB" w:rsidP="00691FEB">
      <w:pPr>
        <w:pStyle w:val="ListParagraph"/>
        <w:numPr>
          <w:ilvl w:val="1"/>
          <w:numId w:val="3"/>
        </w:numPr>
        <w:spacing w:before="0" w:after="120"/>
        <w:jc w:val="both"/>
        <w:rPr>
          <w:szCs w:val="24"/>
        </w:rPr>
      </w:pPr>
      <w:r>
        <w:rPr>
          <w:szCs w:val="24"/>
        </w:rPr>
        <w:t>The drug cost was calculated as:</w:t>
      </w:r>
    </w:p>
    <w:p w:rsidR="00D15E75" w:rsidRPr="00F35D71" w:rsidRDefault="000B6D42" w:rsidP="00674CEA">
      <w:pPr>
        <w:widowControl w:val="0"/>
        <w:numPr>
          <w:ilvl w:val="0"/>
          <w:numId w:val="9"/>
        </w:numPr>
        <w:spacing w:before="0" w:after="120"/>
        <w:ind w:left="1077" w:hanging="357"/>
        <w:contextualSpacing/>
        <w:jc w:val="both"/>
        <w:rPr>
          <w:szCs w:val="24"/>
        </w:rPr>
      </w:pPr>
      <w:r w:rsidRPr="00E01A8E">
        <w:t>$</w:t>
      </w:r>
      <w:r w:rsidRPr="000D7D6C">
        <w:rPr>
          <w:szCs w:val="24"/>
        </w:rPr>
        <w:t>72</w:t>
      </w:r>
      <w:r w:rsidR="005A4295" w:rsidRPr="000D7D6C">
        <w:rPr>
          <w:szCs w:val="24"/>
        </w:rPr>
        <w:t>5.45</w:t>
      </w:r>
      <w:r w:rsidR="00D064AA" w:rsidRPr="00F35D71">
        <w:rPr>
          <w:szCs w:val="24"/>
        </w:rPr>
        <w:t xml:space="preserve"> </w:t>
      </w:r>
      <w:r w:rsidR="00D15E75" w:rsidRPr="00F35D71">
        <w:rPr>
          <w:szCs w:val="24"/>
        </w:rPr>
        <w:t>for vildagliptin 50mg</w:t>
      </w:r>
      <w:r w:rsidR="002C165E">
        <w:rPr>
          <w:szCs w:val="24"/>
        </w:rPr>
        <w:t xml:space="preserve">; </w:t>
      </w:r>
    </w:p>
    <w:p w:rsidR="0087430A" w:rsidRPr="00F35D71" w:rsidRDefault="00D15E75" w:rsidP="00674CEA">
      <w:pPr>
        <w:widowControl w:val="0"/>
        <w:numPr>
          <w:ilvl w:val="0"/>
          <w:numId w:val="9"/>
        </w:numPr>
        <w:spacing w:before="0" w:after="120"/>
        <w:ind w:left="1077" w:hanging="357"/>
        <w:contextualSpacing/>
        <w:jc w:val="both"/>
        <w:rPr>
          <w:szCs w:val="24"/>
        </w:rPr>
      </w:pPr>
      <w:r w:rsidRPr="00F35D71">
        <w:rPr>
          <w:szCs w:val="24"/>
        </w:rPr>
        <w:t>$</w:t>
      </w:r>
      <w:r w:rsidR="00FC18A8" w:rsidRPr="000D7D6C">
        <w:rPr>
          <w:szCs w:val="24"/>
        </w:rPr>
        <w:t>711.09</w:t>
      </w:r>
      <w:r w:rsidR="00D064AA" w:rsidRPr="00F35D71">
        <w:rPr>
          <w:szCs w:val="24"/>
        </w:rPr>
        <w:t xml:space="preserve"> </w:t>
      </w:r>
      <w:r w:rsidRPr="00F35D71">
        <w:rPr>
          <w:szCs w:val="24"/>
        </w:rPr>
        <w:t>for vildagliptin 50mg/metformin 500 mg FDC</w:t>
      </w:r>
      <w:r w:rsidR="002C165E">
        <w:rPr>
          <w:szCs w:val="24"/>
        </w:rPr>
        <w:t>;</w:t>
      </w:r>
      <w:r w:rsidR="00DC355A" w:rsidRPr="00F35D71">
        <w:rPr>
          <w:szCs w:val="24"/>
        </w:rPr>
        <w:t xml:space="preserve"> </w:t>
      </w:r>
    </w:p>
    <w:p w:rsidR="006B136E" w:rsidRPr="00F35D71" w:rsidRDefault="00D15E75" w:rsidP="00674CEA">
      <w:pPr>
        <w:widowControl w:val="0"/>
        <w:numPr>
          <w:ilvl w:val="0"/>
          <w:numId w:val="9"/>
        </w:numPr>
        <w:spacing w:before="0" w:after="120"/>
        <w:ind w:left="1077" w:hanging="357"/>
        <w:contextualSpacing/>
        <w:jc w:val="both"/>
        <w:rPr>
          <w:szCs w:val="24"/>
        </w:rPr>
      </w:pPr>
      <w:r w:rsidRPr="00F35D71">
        <w:rPr>
          <w:szCs w:val="24"/>
        </w:rPr>
        <w:t>$</w:t>
      </w:r>
      <w:r w:rsidR="00FC18A8" w:rsidRPr="000D7D6C">
        <w:rPr>
          <w:szCs w:val="24"/>
        </w:rPr>
        <w:t>724.24</w:t>
      </w:r>
      <w:r w:rsidRPr="00F35D71">
        <w:rPr>
          <w:szCs w:val="24"/>
        </w:rPr>
        <w:t xml:space="preserve"> for vildagliptin 50mg/metformin 850 mg FDC</w:t>
      </w:r>
      <w:r w:rsidR="00DC355A" w:rsidRPr="00F35D71">
        <w:rPr>
          <w:szCs w:val="24"/>
        </w:rPr>
        <w:t xml:space="preserve">; </w:t>
      </w:r>
      <w:r w:rsidRPr="00F35D71">
        <w:rPr>
          <w:szCs w:val="24"/>
        </w:rPr>
        <w:t>and</w:t>
      </w:r>
    </w:p>
    <w:p w:rsidR="00C302DE" w:rsidRPr="002C165E" w:rsidRDefault="00D15E75" w:rsidP="002C165E">
      <w:pPr>
        <w:widowControl w:val="0"/>
        <w:spacing w:before="0" w:after="120"/>
        <w:ind w:left="1077"/>
        <w:contextualSpacing/>
        <w:jc w:val="both"/>
        <w:rPr>
          <w:szCs w:val="24"/>
        </w:rPr>
      </w:pPr>
      <w:r w:rsidRPr="00DB79CF">
        <w:rPr>
          <w:szCs w:val="24"/>
        </w:rPr>
        <w:t>$</w:t>
      </w:r>
      <w:r w:rsidR="00FC18A8" w:rsidRPr="000D7D6C">
        <w:rPr>
          <w:szCs w:val="24"/>
        </w:rPr>
        <w:t>729.59</w:t>
      </w:r>
      <w:r w:rsidR="000B6D42" w:rsidRPr="00DB79CF">
        <w:rPr>
          <w:szCs w:val="24"/>
        </w:rPr>
        <w:t xml:space="preserve"> </w:t>
      </w:r>
      <w:r w:rsidRPr="00DB79CF">
        <w:rPr>
          <w:szCs w:val="24"/>
        </w:rPr>
        <w:t>for vildagliptin 50mg/metformin 1000 mg FDC</w:t>
      </w:r>
      <w:r w:rsidR="002C165E">
        <w:rPr>
          <w:szCs w:val="24"/>
        </w:rPr>
        <w:t>.</w:t>
      </w:r>
    </w:p>
    <w:p w:rsidR="00C317F3" w:rsidRPr="00E01A8E" w:rsidRDefault="00C317F3" w:rsidP="00466705">
      <w:pPr>
        <w:pStyle w:val="Heading2"/>
        <w:numPr>
          <w:ilvl w:val="0"/>
          <w:numId w:val="0"/>
        </w:numPr>
        <w:ind w:left="792" w:hanging="792"/>
        <w:jc w:val="both"/>
        <w:rPr>
          <w:i w:val="0"/>
        </w:rPr>
      </w:pPr>
      <w:bookmarkStart w:id="22" w:name="_Toc413139284"/>
      <w:bookmarkStart w:id="23" w:name="_Toc493069874"/>
      <w:r w:rsidRPr="00E01A8E">
        <w:rPr>
          <w:i w:val="0"/>
        </w:rPr>
        <w:t>Estimated PBS usage &amp; financial implications</w:t>
      </w:r>
      <w:bookmarkEnd w:id="22"/>
      <w:bookmarkEnd w:id="23"/>
    </w:p>
    <w:p w:rsidR="00C317F3" w:rsidRPr="00E01A8E" w:rsidRDefault="00C317F3" w:rsidP="00F35D71">
      <w:pPr>
        <w:pStyle w:val="ListParagraph"/>
        <w:numPr>
          <w:ilvl w:val="1"/>
          <w:numId w:val="3"/>
        </w:numPr>
        <w:spacing w:before="0" w:after="120"/>
        <w:jc w:val="both"/>
        <w:rPr>
          <w:color w:val="4472C4" w:themeColor="accent5"/>
        </w:rPr>
      </w:pPr>
      <w:r w:rsidRPr="00E01A8E">
        <w:t xml:space="preserve">This submission </w:t>
      </w:r>
      <w:r w:rsidR="00E01A8E">
        <w:t>was</w:t>
      </w:r>
      <w:r w:rsidR="00454493" w:rsidRPr="00E01A8E">
        <w:t xml:space="preserve"> </w:t>
      </w:r>
      <w:r w:rsidR="00FA49B6" w:rsidRPr="00E01A8E">
        <w:t>not</w:t>
      </w:r>
      <w:r w:rsidRPr="00E01A8E">
        <w:t xml:space="preserve"> considered by DUSC</w:t>
      </w:r>
      <w:r w:rsidRPr="00E01A8E">
        <w:rPr>
          <w:color w:val="4472C4" w:themeColor="accent5"/>
        </w:rPr>
        <w:t>.</w:t>
      </w:r>
      <w:r w:rsidR="00FA49B6" w:rsidRPr="00E01A8E">
        <w:rPr>
          <w:color w:val="4472C4" w:themeColor="accent5"/>
        </w:rPr>
        <w:t xml:space="preserve"> </w:t>
      </w:r>
      <w:r w:rsidR="00FA49B6" w:rsidRPr="00E01A8E">
        <w:t>The submission presented a market share approach, with estimates based on extrapolated trends of sitagliptin and linagliptin use with insulin derived from an analysis of the 10% PBS sample</w:t>
      </w:r>
      <w:r w:rsidR="00F27D9E" w:rsidRPr="00E01A8E">
        <w:t xml:space="preserve"> and 2016 Medicare data</w:t>
      </w:r>
      <w:r w:rsidR="00FA49B6" w:rsidRPr="00E01A8E">
        <w:t>.</w:t>
      </w:r>
    </w:p>
    <w:p w:rsidR="007A0EA2" w:rsidRPr="00E01A8E" w:rsidRDefault="007A0EA2" w:rsidP="00F35D71">
      <w:pPr>
        <w:pStyle w:val="ListParagraph"/>
        <w:numPr>
          <w:ilvl w:val="1"/>
          <w:numId w:val="3"/>
        </w:numPr>
        <w:spacing w:before="0" w:after="120"/>
        <w:jc w:val="both"/>
      </w:pPr>
      <w:r w:rsidRPr="00E01A8E">
        <w:t xml:space="preserve">Table 6 summarises the estimated extent of use and financial implications associated with listing vildagliptin and vildagliptin </w:t>
      </w:r>
      <w:r w:rsidR="00050C8D">
        <w:t>with</w:t>
      </w:r>
      <w:r w:rsidRPr="00E01A8E">
        <w:t xml:space="preserve"> metformin FDC in combination with insulin.</w:t>
      </w:r>
    </w:p>
    <w:p w:rsidR="00A26603" w:rsidRDefault="00A26603">
      <w:pPr>
        <w:spacing w:before="0" w:line="259" w:lineRule="auto"/>
        <w:rPr>
          <w:rFonts w:ascii="Arial Narrow" w:hAnsi="Arial Narrow"/>
          <w:b/>
          <w:sz w:val="20"/>
        </w:rPr>
      </w:pPr>
      <w:r>
        <w:br w:type="page"/>
      </w:r>
    </w:p>
    <w:p w:rsidR="00C317F3" w:rsidRPr="00E01A8E" w:rsidRDefault="007A0EA2" w:rsidP="00466705">
      <w:pPr>
        <w:pStyle w:val="TableHeading0"/>
        <w:jc w:val="both"/>
      </w:pPr>
      <w:r w:rsidRPr="00E01A8E">
        <w:t>Table 6</w:t>
      </w:r>
      <w:r w:rsidR="00C317F3" w:rsidRPr="00E01A8E">
        <w:t>: Estimated use and financial implications</w:t>
      </w:r>
      <w:r w:rsidR="00703BE3" w:rsidRPr="00E01A8E">
        <w:t xml:space="preserve"> of listing Vildagliptin</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79"/>
        <w:gridCol w:w="1141"/>
        <w:gridCol w:w="1144"/>
        <w:gridCol w:w="1142"/>
        <w:gridCol w:w="1144"/>
        <w:gridCol w:w="1142"/>
        <w:gridCol w:w="1012"/>
      </w:tblGrid>
      <w:tr w:rsidR="005F5AAB" w:rsidRPr="00E01A8E" w:rsidTr="005F5AAB">
        <w:trPr>
          <w:tblHeader/>
        </w:trPr>
        <w:tc>
          <w:tcPr>
            <w:tcW w:w="1266" w:type="pct"/>
            <w:shd w:val="clear" w:color="auto" w:fill="auto"/>
            <w:vAlign w:val="center"/>
          </w:tcPr>
          <w:p w:rsidR="00E37424" w:rsidRPr="009D6364" w:rsidRDefault="00E37424" w:rsidP="00466705">
            <w:pPr>
              <w:pStyle w:val="TableText"/>
              <w:jc w:val="both"/>
              <w:rPr>
                <w:szCs w:val="20"/>
              </w:rPr>
            </w:pPr>
          </w:p>
        </w:tc>
        <w:tc>
          <w:tcPr>
            <w:tcW w:w="634" w:type="pct"/>
            <w:shd w:val="clear" w:color="auto" w:fill="auto"/>
            <w:vAlign w:val="center"/>
          </w:tcPr>
          <w:p w:rsidR="00E37424" w:rsidRPr="009D6364" w:rsidRDefault="00EB6751" w:rsidP="00466705">
            <w:pPr>
              <w:pStyle w:val="TableText"/>
              <w:jc w:val="both"/>
              <w:rPr>
                <w:b/>
                <w:szCs w:val="20"/>
              </w:rPr>
            </w:pPr>
            <w:r w:rsidRPr="009D6364">
              <w:rPr>
                <w:b/>
                <w:szCs w:val="20"/>
              </w:rPr>
              <w:t>2018</w:t>
            </w:r>
          </w:p>
        </w:tc>
        <w:tc>
          <w:tcPr>
            <w:tcW w:w="635" w:type="pct"/>
            <w:shd w:val="clear" w:color="auto" w:fill="auto"/>
            <w:vAlign w:val="center"/>
          </w:tcPr>
          <w:p w:rsidR="00E37424" w:rsidRPr="009D6364" w:rsidRDefault="00EB6751" w:rsidP="00466705">
            <w:pPr>
              <w:pStyle w:val="TableText"/>
              <w:jc w:val="both"/>
              <w:rPr>
                <w:b/>
                <w:szCs w:val="20"/>
              </w:rPr>
            </w:pPr>
            <w:r w:rsidRPr="009D6364">
              <w:rPr>
                <w:b/>
                <w:szCs w:val="20"/>
              </w:rPr>
              <w:t>2019</w:t>
            </w:r>
          </w:p>
        </w:tc>
        <w:tc>
          <w:tcPr>
            <w:tcW w:w="634" w:type="pct"/>
            <w:shd w:val="clear" w:color="auto" w:fill="auto"/>
            <w:vAlign w:val="center"/>
          </w:tcPr>
          <w:p w:rsidR="00E37424" w:rsidRPr="009D6364" w:rsidRDefault="00EB6751" w:rsidP="00466705">
            <w:pPr>
              <w:pStyle w:val="TableText"/>
              <w:jc w:val="both"/>
              <w:rPr>
                <w:b/>
                <w:szCs w:val="20"/>
              </w:rPr>
            </w:pPr>
            <w:r w:rsidRPr="009D6364">
              <w:rPr>
                <w:b/>
                <w:szCs w:val="20"/>
              </w:rPr>
              <w:t>2020</w:t>
            </w:r>
          </w:p>
        </w:tc>
        <w:tc>
          <w:tcPr>
            <w:tcW w:w="635" w:type="pct"/>
            <w:shd w:val="clear" w:color="auto" w:fill="auto"/>
            <w:vAlign w:val="center"/>
          </w:tcPr>
          <w:p w:rsidR="00E37424" w:rsidRPr="009D6364" w:rsidRDefault="00EB6751" w:rsidP="00466705">
            <w:pPr>
              <w:pStyle w:val="TableText"/>
              <w:jc w:val="both"/>
              <w:rPr>
                <w:b/>
                <w:szCs w:val="20"/>
              </w:rPr>
            </w:pPr>
            <w:r w:rsidRPr="009D6364">
              <w:rPr>
                <w:b/>
                <w:szCs w:val="20"/>
              </w:rPr>
              <w:t>2021</w:t>
            </w:r>
          </w:p>
        </w:tc>
        <w:tc>
          <w:tcPr>
            <w:tcW w:w="634" w:type="pct"/>
            <w:shd w:val="clear" w:color="auto" w:fill="auto"/>
            <w:vAlign w:val="center"/>
          </w:tcPr>
          <w:p w:rsidR="00E37424" w:rsidRPr="009D6364" w:rsidRDefault="00EB6751" w:rsidP="00466705">
            <w:pPr>
              <w:pStyle w:val="TableText"/>
              <w:jc w:val="both"/>
              <w:rPr>
                <w:b/>
                <w:szCs w:val="20"/>
              </w:rPr>
            </w:pPr>
            <w:r w:rsidRPr="009D6364">
              <w:rPr>
                <w:b/>
                <w:szCs w:val="20"/>
              </w:rPr>
              <w:t>2022</w:t>
            </w:r>
          </w:p>
        </w:tc>
        <w:tc>
          <w:tcPr>
            <w:tcW w:w="562" w:type="pct"/>
          </w:tcPr>
          <w:p w:rsidR="00E37424" w:rsidRPr="009D6364" w:rsidRDefault="00EB6751" w:rsidP="00466705">
            <w:pPr>
              <w:pStyle w:val="TableText"/>
              <w:jc w:val="both"/>
              <w:rPr>
                <w:b/>
                <w:szCs w:val="20"/>
              </w:rPr>
            </w:pPr>
            <w:r w:rsidRPr="009D6364">
              <w:rPr>
                <w:b/>
                <w:szCs w:val="20"/>
              </w:rPr>
              <w:t>2023</w:t>
            </w:r>
          </w:p>
        </w:tc>
      </w:tr>
      <w:tr w:rsidR="00E37424" w:rsidRPr="00E01A8E" w:rsidTr="0037352A">
        <w:tc>
          <w:tcPr>
            <w:tcW w:w="5000" w:type="pct"/>
            <w:gridSpan w:val="7"/>
            <w:shd w:val="clear" w:color="auto" w:fill="auto"/>
            <w:vAlign w:val="center"/>
          </w:tcPr>
          <w:p w:rsidR="00E37424" w:rsidRPr="009D6364" w:rsidRDefault="00E37424" w:rsidP="00466705">
            <w:pPr>
              <w:pStyle w:val="TableText"/>
              <w:jc w:val="both"/>
              <w:rPr>
                <w:b/>
                <w:bCs/>
                <w:color w:val="000000"/>
                <w:szCs w:val="20"/>
              </w:rPr>
            </w:pPr>
            <w:r w:rsidRPr="009D6364">
              <w:rPr>
                <w:b/>
                <w:bCs/>
                <w:color w:val="000000"/>
                <w:szCs w:val="20"/>
              </w:rPr>
              <w:t>Estimated extent of use</w:t>
            </w:r>
          </w:p>
        </w:tc>
      </w:tr>
      <w:tr w:rsidR="005F5AAB" w:rsidRPr="00E01A8E" w:rsidTr="005F5AAB">
        <w:tc>
          <w:tcPr>
            <w:tcW w:w="1266" w:type="pct"/>
            <w:shd w:val="clear" w:color="auto" w:fill="auto"/>
            <w:vAlign w:val="center"/>
          </w:tcPr>
          <w:p w:rsidR="005F5AAB" w:rsidRPr="009D6364" w:rsidRDefault="005F5AAB" w:rsidP="00466705">
            <w:pPr>
              <w:pStyle w:val="TableText"/>
              <w:jc w:val="both"/>
              <w:rPr>
                <w:b/>
                <w:szCs w:val="20"/>
              </w:rPr>
            </w:pPr>
            <w:r w:rsidRPr="009D6364">
              <w:rPr>
                <w:b/>
                <w:szCs w:val="20"/>
              </w:rPr>
              <w:t>Patients</w:t>
            </w:r>
          </w:p>
        </w:tc>
        <w:tc>
          <w:tcPr>
            <w:tcW w:w="634" w:type="pct"/>
            <w:shd w:val="clear" w:color="auto" w:fill="auto"/>
          </w:tcPr>
          <w:p w:rsidR="005F5AAB" w:rsidRPr="009D6364" w:rsidRDefault="005F5AAB" w:rsidP="00466705">
            <w:pPr>
              <w:pStyle w:val="TableText"/>
              <w:jc w:val="both"/>
              <w:rPr>
                <w:rFonts w:eastAsia="Times New Roman" w:cs="Times New Roman"/>
                <w:szCs w:val="20"/>
              </w:rPr>
            </w:pPr>
          </w:p>
        </w:tc>
        <w:tc>
          <w:tcPr>
            <w:tcW w:w="635" w:type="pct"/>
            <w:shd w:val="clear" w:color="auto" w:fill="auto"/>
          </w:tcPr>
          <w:p w:rsidR="005F5AAB" w:rsidRPr="009D6364" w:rsidRDefault="005F5AAB" w:rsidP="00466705">
            <w:pPr>
              <w:pStyle w:val="TableText"/>
              <w:jc w:val="both"/>
              <w:rPr>
                <w:rFonts w:eastAsia="Times New Roman" w:cs="Times New Roman"/>
                <w:szCs w:val="20"/>
              </w:rPr>
            </w:pPr>
          </w:p>
        </w:tc>
        <w:tc>
          <w:tcPr>
            <w:tcW w:w="634" w:type="pct"/>
            <w:shd w:val="clear" w:color="auto" w:fill="auto"/>
          </w:tcPr>
          <w:p w:rsidR="005F5AAB" w:rsidRPr="009D6364" w:rsidRDefault="005F5AAB" w:rsidP="00466705">
            <w:pPr>
              <w:pStyle w:val="TableText"/>
              <w:jc w:val="both"/>
              <w:rPr>
                <w:rFonts w:eastAsia="Times New Roman" w:cs="Times New Roman"/>
                <w:szCs w:val="20"/>
              </w:rPr>
            </w:pPr>
          </w:p>
        </w:tc>
        <w:tc>
          <w:tcPr>
            <w:tcW w:w="635" w:type="pct"/>
            <w:shd w:val="clear" w:color="auto" w:fill="auto"/>
          </w:tcPr>
          <w:p w:rsidR="005F5AAB" w:rsidRPr="009D6364" w:rsidRDefault="005F5AAB" w:rsidP="00466705">
            <w:pPr>
              <w:pStyle w:val="TableText"/>
              <w:jc w:val="both"/>
              <w:rPr>
                <w:rFonts w:eastAsia="Times New Roman" w:cs="Times New Roman"/>
                <w:szCs w:val="20"/>
              </w:rPr>
            </w:pPr>
          </w:p>
        </w:tc>
        <w:tc>
          <w:tcPr>
            <w:tcW w:w="634" w:type="pct"/>
            <w:shd w:val="clear" w:color="auto" w:fill="auto"/>
          </w:tcPr>
          <w:p w:rsidR="005F5AAB" w:rsidRPr="009D6364" w:rsidRDefault="005F5AAB" w:rsidP="00466705">
            <w:pPr>
              <w:pStyle w:val="TableText"/>
              <w:jc w:val="both"/>
              <w:rPr>
                <w:rFonts w:eastAsia="Times New Roman" w:cs="Times New Roman"/>
                <w:szCs w:val="20"/>
              </w:rPr>
            </w:pPr>
          </w:p>
        </w:tc>
        <w:tc>
          <w:tcPr>
            <w:tcW w:w="562" w:type="pct"/>
          </w:tcPr>
          <w:p w:rsidR="005F5AAB" w:rsidRPr="009D6364" w:rsidRDefault="005F5AAB" w:rsidP="00466705">
            <w:pPr>
              <w:pStyle w:val="TableText"/>
              <w:jc w:val="both"/>
              <w:rPr>
                <w:rFonts w:eastAsia="Times New Roman" w:cs="Times New Roman"/>
                <w:szCs w:val="20"/>
              </w:rPr>
            </w:pPr>
          </w:p>
        </w:tc>
      </w:tr>
      <w:tr w:rsidR="005F5AAB" w:rsidRPr="00E01A8E" w:rsidTr="005F5AAB">
        <w:tc>
          <w:tcPr>
            <w:tcW w:w="1266" w:type="pct"/>
            <w:shd w:val="clear" w:color="auto" w:fill="auto"/>
            <w:vAlign w:val="center"/>
          </w:tcPr>
          <w:p w:rsidR="00EB6751" w:rsidRPr="009D6364" w:rsidRDefault="00EB6751" w:rsidP="00466705">
            <w:pPr>
              <w:pStyle w:val="TableText"/>
              <w:jc w:val="both"/>
              <w:rPr>
                <w:szCs w:val="20"/>
              </w:rPr>
            </w:pPr>
            <w:r w:rsidRPr="009D6364">
              <w:rPr>
                <w:szCs w:val="20"/>
              </w:rPr>
              <w:t>Vildagliptin patients (Without PBS listing)</w:t>
            </w:r>
          </w:p>
        </w:tc>
        <w:tc>
          <w:tcPr>
            <w:tcW w:w="634" w:type="pct"/>
            <w:shd w:val="clear" w:color="auto" w:fill="auto"/>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 xml:space="preserve"> '''''''''''' </w:t>
            </w:r>
          </w:p>
        </w:tc>
        <w:tc>
          <w:tcPr>
            <w:tcW w:w="635" w:type="pct"/>
            <w:shd w:val="clear" w:color="auto" w:fill="auto"/>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 xml:space="preserve"> '''''''''''' </w:t>
            </w:r>
          </w:p>
        </w:tc>
        <w:tc>
          <w:tcPr>
            <w:tcW w:w="634" w:type="pct"/>
            <w:shd w:val="clear" w:color="auto" w:fill="auto"/>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 xml:space="preserve"> '''''''''''''' </w:t>
            </w:r>
          </w:p>
        </w:tc>
        <w:tc>
          <w:tcPr>
            <w:tcW w:w="635" w:type="pct"/>
            <w:shd w:val="clear" w:color="auto" w:fill="auto"/>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 xml:space="preserve"> '''''''''''''' </w:t>
            </w:r>
          </w:p>
        </w:tc>
        <w:tc>
          <w:tcPr>
            <w:tcW w:w="634" w:type="pct"/>
            <w:shd w:val="clear" w:color="auto" w:fill="auto"/>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 xml:space="preserve"> ''''''''''''' </w:t>
            </w:r>
          </w:p>
        </w:tc>
        <w:tc>
          <w:tcPr>
            <w:tcW w:w="562" w:type="pct"/>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 xml:space="preserve"> ''''''''''''' </w:t>
            </w:r>
          </w:p>
        </w:tc>
      </w:tr>
      <w:tr w:rsidR="005F5AAB" w:rsidRPr="00E01A8E" w:rsidTr="005F5AAB">
        <w:tc>
          <w:tcPr>
            <w:tcW w:w="1266" w:type="pct"/>
            <w:shd w:val="clear" w:color="auto" w:fill="auto"/>
            <w:vAlign w:val="center"/>
          </w:tcPr>
          <w:p w:rsidR="00EB6751" w:rsidRPr="009D6364" w:rsidRDefault="00EB6751" w:rsidP="00466705">
            <w:pPr>
              <w:pStyle w:val="TableText"/>
              <w:jc w:val="both"/>
              <w:rPr>
                <w:szCs w:val="20"/>
              </w:rPr>
            </w:pPr>
            <w:r w:rsidRPr="009D6364">
              <w:rPr>
                <w:szCs w:val="20"/>
              </w:rPr>
              <w:t>Vildagliptin patients (With PBS listing)</w:t>
            </w:r>
          </w:p>
        </w:tc>
        <w:tc>
          <w:tcPr>
            <w:tcW w:w="634" w:type="pct"/>
            <w:shd w:val="clear" w:color="auto" w:fill="auto"/>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 xml:space="preserve"> '''''''''''''' </w:t>
            </w:r>
          </w:p>
        </w:tc>
        <w:tc>
          <w:tcPr>
            <w:tcW w:w="635" w:type="pct"/>
            <w:shd w:val="clear" w:color="auto" w:fill="auto"/>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 xml:space="preserve"> ''''''''''''''' </w:t>
            </w:r>
          </w:p>
        </w:tc>
        <w:tc>
          <w:tcPr>
            <w:tcW w:w="634" w:type="pct"/>
            <w:shd w:val="clear" w:color="auto" w:fill="auto"/>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 xml:space="preserve"> ''''''''''''' </w:t>
            </w:r>
          </w:p>
        </w:tc>
        <w:tc>
          <w:tcPr>
            <w:tcW w:w="635" w:type="pct"/>
            <w:shd w:val="clear" w:color="auto" w:fill="auto"/>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 xml:space="preserve"> '''''''''''''' </w:t>
            </w:r>
          </w:p>
        </w:tc>
        <w:tc>
          <w:tcPr>
            <w:tcW w:w="634" w:type="pct"/>
            <w:shd w:val="clear" w:color="auto" w:fill="auto"/>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 xml:space="preserve"> ''''''''''''''' </w:t>
            </w:r>
          </w:p>
        </w:tc>
        <w:tc>
          <w:tcPr>
            <w:tcW w:w="562" w:type="pct"/>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 xml:space="preserve"> '''''''''''' </w:t>
            </w:r>
          </w:p>
        </w:tc>
      </w:tr>
      <w:tr w:rsidR="005F5AAB" w:rsidRPr="00E01A8E" w:rsidTr="005F5AAB">
        <w:tc>
          <w:tcPr>
            <w:tcW w:w="1266" w:type="pct"/>
            <w:shd w:val="clear" w:color="auto" w:fill="auto"/>
            <w:vAlign w:val="center"/>
          </w:tcPr>
          <w:p w:rsidR="00EB6751" w:rsidRPr="009D6364" w:rsidRDefault="002C7393" w:rsidP="00466705">
            <w:pPr>
              <w:pStyle w:val="TableText"/>
              <w:jc w:val="both"/>
              <w:rPr>
                <w:rFonts w:eastAsia="Times New Roman" w:cs="Times New Roman"/>
                <w:szCs w:val="20"/>
              </w:rPr>
            </w:pPr>
            <w:r w:rsidRPr="009D6364">
              <w:rPr>
                <w:szCs w:val="20"/>
              </w:rPr>
              <w:t>Incremental v</w:t>
            </w:r>
            <w:r w:rsidR="00EB6751" w:rsidRPr="009D6364">
              <w:rPr>
                <w:szCs w:val="20"/>
              </w:rPr>
              <w:t>ildagliptin patients</w:t>
            </w:r>
          </w:p>
        </w:tc>
        <w:tc>
          <w:tcPr>
            <w:tcW w:w="634" w:type="pct"/>
            <w:shd w:val="clear" w:color="auto" w:fill="auto"/>
          </w:tcPr>
          <w:p w:rsidR="00EB6751"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 xml:space="preserve"> '''''''''' </w:t>
            </w:r>
          </w:p>
        </w:tc>
        <w:tc>
          <w:tcPr>
            <w:tcW w:w="635" w:type="pct"/>
            <w:shd w:val="clear" w:color="auto" w:fill="auto"/>
          </w:tcPr>
          <w:p w:rsidR="00EB6751"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 xml:space="preserve"> '''''''''''''' </w:t>
            </w:r>
          </w:p>
        </w:tc>
        <w:tc>
          <w:tcPr>
            <w:tcW w:w="634" w:type="pct"/>
            <w:shd w:val="clear" w:color="auto" w:fill="auto"/>
          </w:tcPr>
          <w:p w:rsidR="00EB6751"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 xml:space="preserve"> ''''''''''''' </w:t>
            </w:r>
          </w:p>
        </w:tc>
        <w:tc>
          <w:tcPr>
            <w:tcW w:w="635" w:type="pct"/>
            <w:shd w:val="clear" w:color="auto" w:fill="auto"/>
          </w:tcPr>
          <w:p w:rsidR="00EB6751"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 xml:space="preserve"> ''''''''''''' </w:t>
            </w:r>
          </w:p>
        </w:tc>
        <w:tc>
          <w:tcPr>
            <w:tcW w:w="634" w:type="pct"/>
            <w:shd w:val="clear" w:color="auto" w:fill="auto"/>
          </w:tcPr>
          <w:p w:rsidR="00EB6751"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 xml:space="preserve"> '''''''''''' </w:t>
            </w:r>
          </w:p>
        </w:tc>
        <w:tc>
          <w:tcPr>
            <w:tcW w:w="562" w:type="pct"/>
          </w:tcPr>
          <w:p w:rsidR="00EB6751"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 xml:space="preserve"> '''''''''''''' </w:t>
            </w:r>
          </w:p>
        </w:tc>
      </w:tr>
      <w:tr w:rsidR="005F5AAB" w:rsidRPr="00E01A8E" w:rsidTr="005F5AAB">
        <w:tc>
          <w:tcPr>
            <w:tcW w:w="1266" w:type="pct"/>
            <w:shd w:val="clear" w:color="auto" w:fill="auto"/>
            <w:vAlign w:val="center"/>
          </w:tcPr>
          <w:p w:rsidR="005F5AAB" w:rsidRPr="009D6364" w:rsidRDefault="005F5AAB" w:rsidP="00466705">
            <w:pPr>
              <w:pStyle w:val="TableText"/>
              <w:jc w:val="both"/>
              <w:rPr>
                <w:b/>
                <w:szCs w:val="20"/>
              </w:rPr>
            </w:pPr>
            <w:r w:rsidRPr="009D6364">
              <w:rPr>
                <w:b/>
                <w:szCs w:val="20"/>
              </w:rPr>
              <w:t>Scripts</w:t>
            </w:r>
          </w:p>
        </w:tc>
        <w:tc>
          <w:tcPr>
            <w:tcW w:w="634" w:type="pct"/>
            <w:shd w:val="clear" w:color="auto" w:fill="auto"/>
            <w:vAlign w:val="bottom"/>
          </w:tcPr>
          <w:p w:rsidR="005F5AAB" w:rsidRPr="009D6364" w:rsidRDefault="005F5AAB" w:rsidP="00466705">
            <w:pPr>
              <w:pStyle w:val="TableText"/>
              <w:jc w:val="both"/>
              <w:rPr>
                <w:rFonts w:eastAsia="Times New Roman" w:cs="Times New Roman"/>
                <w:szCs w:val="20"/>
              </w:rPr>
            </w:pPr>
          </w:p>
        </w:tc>
        <w:tc>
          <w:tcPr>
            <w:tcW w:w="635" w:type="pct"/>
            <w:shd w:val="clear" w:color="auto" w:fill="auto"/>
            <w:vAlign w:val="bottom"/>
          </w:tcPr>
          <w:p w:rsidR="005F5AAB" w:rsidRPr="009D6364" w:rsidRDefault="005F5AAB" w:rsidP="00466705">
            <w:pPr>
              <w:pStyle w:val="TableText"/>
              <w:jc w:val="both"/>
              <w:rPr>
                <w:rFonts w:eastAsia="Times New Roman" w:cs="Times New Roman"/>
                <w:szCs w:val="20"/>
              </w:rPr>
            </w:pPr>
          </w:p>
        </w:tc>
        <w:tc>
          <w:tcPr>
            <w:tcW w:w="634" w:type="pct"/>
            <w:shd w:val="clear" w:color="auto" w:fill="auto"/>
            <w:vAlign w:val="bottom"/>
          </w:tcPr>
          <w:p w:rsidR="005F5AAB" w:rsidRPr="009D6364" w:rsidRDefault="005F5AAB" w:rsidP="00466705">
            <w:pPr>
              <w:pStyle w:val="TableText"/>
              <w:jc w:val="both"/>
              <w:rPr>
                <w:rFonts w:eastAsia="Times New Roman" w:cs="Times New Roman"/>
                <w:szCs w:val="20"/>
              </w:rPr>
            </w:pPr>
          </w:p>
        </w:tc>
        <w:tc>
          <w:tcPr>
            <w:tcW w:w="635" w:type="pct"/>
            <w:shd w:val="clear" w:color="auto" w:fill="auto"/>
            <w:vAlign w:val="bottom"/>
          </w:tcPr>
          <w:p w:rsidR="005F5AAB" w:rsidRPr="009D6364" w:rsidRDefault="005F5AAB" w:rsidP="00466705">
            <w:pPr>
              <w:pStyle w:val="TableText"/>
              <w:jc w:val="both"/>
              <w:rPr>
                <w:rFonts w:eastAsia="Times New Roman" w:cs="Times New Roman"/>
                <w:szCs w:val="20"/>
              </w:rPr>
            </w:pPr>
          </w:p>
        </w:tc>
        <w:tc>
          <w:tcPr>
            <w:tcW w:w="634" w:type="pct"/>
            <w:shd w:val="clear" w:color="auto" w:fill="auto"/>
            <w:vAlign w:val="bottom"/>
          </w:tcPr>
          <w:p w:rsidR="005F5AAB" w:rsidRPr="009D6364" w:rsidRDefault="005F5AAB" w:rsidP="00466705">
            <w:pPr>
              <w:pStyle w:val="TableText"/>
              <w:jc w:val="both"/>
              <w:rPr>
                <w:rFonts w:eastAsia="Times New Roman" w:cs="Times New Roman"/>
                <w:szCs w:val="20"/>
              </w:rPr>
            </w:pPr>
          </w:p>
        </w:tc>
        <w:tc>
          <w:tcPr>
            <w:tcW w:w="562" w:type="pct"/>
            <w:vAlign w:val="bottom"/>
          </w:tcPr>
          <w:p w:rsidR="005F5AAB" w:rsidRPr="009D6364" w:rsidRDefault="005F5AAB" w:rsidP="00466705">
            <w:pPr>
              <w:pStyle w:val="TableText"/>
              <w:jc w:val="both"/>
              <w:rPr>
                <w:rFonts w:eastAsia="Times New Roman" w:cs="Times New Roman"/>
                <w:szCs w:val="20"/>
              </w:rPr>
            </w:pPr>
          </w:p>
        </w:tc>
      </w:tr>
      <w:tr w:rsidR="005F5AAB" w:rsidRPr="00E01A8E" w:rsidTr="005F5AAB">
        <w:tc>
          <w:tcPr>
            <w:tcW w:w="1266" w:type="pct"/>
            <w:shd w:val="clear" w:color="auto" w:fill="auto"/>
            <w:vAlign w:val="center"/>
          </w:tcPr>
          <w:p w:rsidR="00EB6751" w:rsidRPr="009D6364" w:rsidRDefault="00EB6751" w:rsidP="00466705">
            <w:pPr>
              <w:pStyle w:val="TableText"/>
              <w:jc w:val="both"/>
              <w:rPr>
                <w:szCs w:val="20"/>
              </w:rPr>
            </w:pPr>
            <w:r w:rsidRPr="009D6364">
              <w:rPr>
                <w:szCs w:val="20"/>
              </w:rPr>
              <w:t>Scripts (Without PBS listing)</w:t>
            </w:r>
          </w:p>
        </w:tc>
        <w:tc>
          <w:tcPr>
            <w:tcW w:w="634" w:type="pct"/>
            <w:shd w:val="clear" w:color="auto" w:fill="auto"/>
            <w:vAlign w:val="bottom"/>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c>
          <w:tcPr>
            <w:tcW w:w="635" w:type="pct"/>
            <w:shd w:val="clear" w:color="auto" w:fill="auto"/>
            <w:vAlign w:val="bottom"/>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c>
          <w:tcPr>
            <w:tcW w:w="634" w:type="pct"/>
            <w:shd w:val="clear" w:color="auto" w:fill="auto"/>
            <w:vAlign w:val="bottom"/>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c>
          <w:tcPr>
            <w:tcW w:w="635" w:type="pct"/>
            <w:shd w:val="clear" w:color="auto" w:fill="auto"/>
            <w:vAlign w:val="bottom"/>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c>
          <w:tcPr>
            <w:tcW w:w="634" w:type="pct"/>
            <w:shd w:val="clear" w:color="auto" w:fill="auto"/>
            <w:vAlign w:val="bottom"/>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c>
          <w:tcPr>
            <w:tcW w:w="562" w:type="pct"/>
            <w:vAlign w:val="bottom"/>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r>
      <w:tr w:rsidR="005F5AAB" w:rsidRPr="00E01A8E" w:rsidTr="005F5AAB">
        <w:tc>
          <w:tcPr>
            <w:tcW w:w="1266" w:type="pct"/>
            <w:shd w:val="clear" w:color="auto" w:fill="auto"/>
            <w:vAlign w:val="center"/>
          </w:tcPr>
          <w:p w:rsidR="00EB6751" w:rsidRPr="009D6364" w:rsidRDefault="00EB6751" w:rsidP="00466705">
            <w:pPr>
              <w:pStyle w:val="TableText"/>
              <w:jc w:val="both"/>
              <w:rPr>
                <w:szCs w:val="20"/>
              </w:rPr>
            </w:pPr>
            <w:r w:rsidRPr="009D6364">
              <w:rPr>
                <w:szCs w:val="20"/>
              </w:rPr>
              <w:t>Scripts (With PBS listing)</w:t>
            </w:r>
          </w:p>
        </w:tc>
        <w:tc>
          <w:tcPr>
            <w:tcW w:w="634" w:type="pct"/>
            <w:shd w:val="clear" w:color="auto" w:fill="auto"/>
            <w:vAlign w:val="bottom"/>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c>
          <w:tcPr>
            <w:tcW w:w="635" w:type="pct"/>
            <w:shd w:val="clear" w:color="auto" w:fill="auto"/>
            <w:vAlign w:val="bottom"/>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c>
          <w:tcPr>
            <w:tcW w:w="634" w:type="pct"/>
            <w:shd w:val="clear" w:color="auto" w:fill="auto"/>
            <w:vAlign w:val="bottom"/>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c>
          <w:tcPr>
            <w:tcW w:w="635" w:type="pct"/>
            <w:shd w:val="clear" w:color="auto" w:fill="auto"/>
            <w:vAlign w:val="bottom"/>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c>
          <w:tcPr>
            <w:tcW w:w="634" w:type="pct"/>
            <w:shd w:val="clear" w:color="auto" w:fill="auto"/>
            <w:vAlign w:val="bottom"/>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c>
          <w:tcPr>
            <w:tcW w:w="562" w:type="pct"/>
            <w:vAlign w:val="bottom"/>
          </w:tcPr>
          <w:p w:rsidR="00EB6751"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r>
      <w:tr w:rsidR="005F5AAB" w:rsidRPr="00E01A8E" w:rsidTr="005F5AAB">
        <w:tc>
          <w:tcPr>
            <w:tcW w:w="1266" w:type="pct"/>
            <w:shd w:val="clear" w:color="auto" w:fill="auto"/>
            <w:vAlign w:val="center"/>
          </w:tcPr>
          <w:p w:rsidR="00EB6751" w:rsidRPr="009D6364" w:rsidRDefault="00EB6751" w:rsidP="00466705">
            <w:pPr>
              <w:pStyle w:val="TableText"/>
              <w:jc w:val="both"/>
              <w:rPr>
                <w:rFonts w:eastAsia="Times New Roman" w:cs="Times New Roman"/>
                <w:szCs w:val="20"/>
              </w:rPr>
            </w:pPr>
            <w:r w:rsidRPr="009D6364">
              <w:rPr>
                <w:szCs w:val="20"/>
              </w:rPr>
              <w:t xml:space="preserve">Incremental </w:t>
            </w:r>
            <w:r w:rsidR="002C7393" w:rsidRPr="009D6364">
              <w:rPr>
                <w:szCs w:val="20"/>
              </w:rPr>
              <w:t>v</w:t>
            </w:r>
            <w:r w:rsidR="00B767FE" w:rsidRPr="009D6364">
              <w:rPr>
                <w:szCs w:val="20"/>
              </w:rPr>
              <w:t xml:space="preserve">ildagliptin </w:t>
            </w:r>
            <w:r w:rsidRPr="009D6364">
              <w:rPr>
                <w:szCs w:val="20"/>
              </w:rPr>
              <w:t>scripts dispensed</w:t>
            </w:r>
          </w:p>
        </w:tc>
        <w:tc>
          <w:tcPr>
            <w:tcW w:w="634" w:type="pct"/>
            <w:shd w:val="clear" w:color="auto" w:fill="auto"/>
            <w:vAlign w:val="center"/>
          </w:tcPr>
          <w:p w:rsidR="00EB6751"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635" w:type="pct"/>
            <w:shd w:val="clear" w:color="auto" w:fill="auto"/>
            <w:vAlign w:val="center"/>
          </w:tcPr>
          <w:p w:rsidR="00EB6751"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634" w:type="pct"/>
            <w:shd w:val="clear" w:color="auto" w:fill="auto"/>
            <w:vAlign w:val="center"/>
          </w:tcPr>
          <w:p w:rsidR="00EB6751"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635" w:type="pct"/>
            <w:shd w:val="clear" w:color="auto" w:fill="auto"/>
            <w:vAlign w:val="center"/>
          </w:tcPr>
          <w:p w:rsidR="00EB6751"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634" w:type="pct"/>
            <w:shd w:val="clear" w:color="auto" w:fill="auto"/>
            <w:vAlign w:val="center"/>
          </w:tcPr>
          <w:p w:rsidR="00EB6751"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562" w:type="pct"/>
            <w:vAlign w:val="center"/>
          </w:tcPr>
          <w:p w:rsidR="00EB6751"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r>
      <w:tr w:rsidR="005F5AAB" w:rsidRPr="00E01A8E" w:rsidTr="005F5AAB">
        <w:tc>
          <w:tcPr>
            <w:tcW w:w="1266" w:type="pct"/>
            <w:shd w:val="clear" w:color="auto" w:fill="auto"/>
            <w:vAlign w:val="center"/>
          </w:tcPr>
          <w:p w:rsidR="00B767FE" w:rsidRPr="009D6364" w:rsidRDefault="00B767FE" w:rsidP="00466705">
            <w:pPr>
              <w:pStyle w:val="TableText"/>
              <w:jc w:val="both"/>
              <w:rPr>
                <w:szCs w:val="20"/>
              </w:rPr>
            </w:pPr>
            <w:r w:rsidRPr="009D6364">
              <w:rPr>
                <w:szCs w:val="20"/>
              </w:rPr>
              <w:t>Reduction in sitagliptin and linagliptin scripts</w:t>
            </w:r>
          </w:p>
        </w:tc>
        <w:tc>
          <w:tcPr>
            <w:tcW w:w="634" w:type="pct"/>
            <w:shd w:val="clear" w:color="auto" w:fill="auto"/>
          </w:tcPr>
          <w:p w:rsidR="00B767FE"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c>
          <w:tcPr>
            <w:tcW w:w="635" w:type="pct"/>
            <w:shd w:val="clear" w:color="auto" w:fill="auto"/>
          </w:tcPr>
          <w:p w:rsidR="00B767FE"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c>
          <w:tcPr>
            <w:tcW w:w="634" w:type="pct"/>
          </w:tcPr>
          <w:p w:rsidR="00B767FE"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c>
          <w:tcPr>
            <w:tcW w:w="635" w:type="pct"/>
            <w:shd w:val="clear" w:color="auto" w:fill="auto"/>
          </w:tcPr>
          <w:p w:rsidR="00B767FE"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c>
          <w:tcPr>
            <w:tcW w:w="634" w:type="pct"/>
            <w:shd w:val="clear" w:color="auto" w:fill="auto"/>
          </w:tcPr>
          <w:p w:rsidR="00B767FE"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c>
          <w:tcPr>
            <w:tcW w:w="562" w:type="pct"/>
            <w:shd w:val="clear" w:color="auto" w:fill="auto"/>
          </w:tcPr>
          <w:p w:rsidR="00B767FE"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r>
      <w:tr w:rsidR="005F5AAB" w:rsidRPr="00E01A8E" w:rsidTr="005F5AAB">
        <w:tc>
          <w:tcPr>
            <w:tcW w:w="1266" w:type="pct"/>
            <w:shd w:val="clear" w:color="auto" w:fill="auto"/>
            <w:vAlign w:val="center"/>
          </w:tcPr>
          <w:p w:rsidR="00B767FE" w:rsidRPr="009D6364" w:rsidRDefault="00B767FE" w:rsidP="00466705">
            <w:pPr>
              <w:pStyle w:val="TableText"/>
              <w:jc w:val="both"/>
              <w:rPr>
                <w:szCs w:val="20"/>
              </w:rPr>
            </w:pPr>
            <w:r w:rsidRPr="009D6364">
              <w:rPr>
                <w:szCs w:val="20"/>
              </w:rPr>
              <w:t>Overall change in scripts</w:t>
            </w:r>
          </w:p>
        </w:tc>
        <w:tc>
          <w:tcPr>
            <w:tcW w:w="634" w:type="pct"/>
            <w:shd w:val="clear" w:color="auto" w:fill="auto"/>
          </w:tcPr>
          <w:p w:rsidR="00B767FE"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c>
          <w:tcPr>
            <w:tcW w:w="635" w:type="pct"/>
            <w:shd w:val="clear" w:color="auto" w:fill="auto"/>
          </w:tcPr>
          <w:p w:rsidR="00B767FE"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c>
          <w:tcPr>
            <w:tcW w:w="634" w:type="pct"/>
          </w:tcPr>
          <w:p w:rsidR="00B767FE"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c>
          <w:tcPr>
            <w:tcW w:w="635" w:type="pct"/>
            <w:shd w:val="clear" w:color="auto" w:fill="auto"/>
          </w:tcPr>
          <w:p w:rsidR="00B767FE"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c>
          <w:tcPr>
            <w:tcW w:w="634" w:type="pct"/>
            <w:shd w:val="clear" w:color="auto" w:fill="auto"/>
          </w:tcPr>
          <w:p w:rsidR="00B767FE"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c>
          <w:tcPr>
            <w:tcW w:w="562" w:type="pct"/>
            <w:shd w:val="clear" w:color="auto" w:fill="auto"/>
          </w:tcPr>
          <w:p w:rsidR="00B767FE" w:rsidRPr="00530119" w:rsidRDefault="00530119" w:rsidP="00466705">
            <w:pPr>
              <w:pStyle w:val="TableText"/>
              <w:jc w:val="both"/>
              <w:rPr>
                <w:rFonts w:eastAsia="Times New Roman" w:cs="Times New Roman"/>
                <w:szCs w:val="20"/>
                <w:highlight w:val="black"/>
              </w:rPr>
            </w:pPr>
            <w:r>
              <w:rPr>
                <w:rFonts w:eastAsia="Times New Roman" w:cs="Times New Roman"/>
                <w:noProof/>
                <w:color w:val="000000"/>
                <w:szCs w:val="20"/>
                <w:highlight w:val="black"/>
              </w:rPr>
              <w:t>''''''''''''''''</w:t>
            </w:r>
          </w:p>
        </w:tc>
      </w:tr>
      <w:tr w:rsidR="00947CB3" w:rsidRPr="00E01A8E" w:rsidTr="0037352A">
        <w:tc>
          <w:tcPr>
            <w:tcW w:w="5000" w:type="pct"/>
            <w:gridSpan w:val="7"/>
            <w:shd w:val="clear" w:color="auto" w:fill="auto"/>
            <w:vAlign w:val="center"/>
          </w:tcPr>
          <w:p w:rsidR="00947CB3" w:rsidRPr="009D6364" w:rsidRDefault="00DD0B73" w:rsidP="00466705">
            <w:pPr>
              <w:pStyle w:val="TableText"/>
              <w:jc w:val="both"/>
              <w:rPr>
                <w:b/>
                <w:bCs/>
                <w:color w:val="000000"/>
                <w:szCs w:val="20"/>
              </w:rPr>
            </w:pPr>
            <w:r w:rsidRPr="009D6364">
              <w:rPr>
                <w:b/>
                <w:bCs/>
                <w:color w:val="000000"/>
                <w:szCs w:val="20"/>
              </w:rPr>
              <w:t xml:space="preserve">Cost to PBS/RPBS </w:t>
            </w:r>
            <w:r w:rsidR="00331A14" w:rsidRPr="009D6364">
              <w:rPr>
                <w:b/>
                <w:bCs/>
                <w:color w:val="000000"/>
                <w:szCs w:val="20"/>
              </w:rPr>
              <w:t>of v</w:t>
            </w:r>
            <w:r w:rsidR="00947CB3" w:rsidRPr="009D6364">
              <w:rPr>
                <w:b/>
                <w:bCs/>
                <w:color w:val="000000"/>
                <w:szCs w:val="20"/>
              </w:rPr>
              <w:t>ildagliptin</w:t>
            </w:r>
          </w:p>
        </w:tc>
      </w:tr>
      <w:tr w:rsidR="005F5AAB" w:rsidRPr="00E01A8E" w:rsidTr="005F5AAB">
        <w:tc>
          <w:tcPr>
            <w:tcW w:w="1266" w:type="pct"/>
            <w:shd w:val="clear" w:color="auto" w:fill="auto"/>
            <w:vAlign w:val="bottom"/>
          </w:tcPr>
          <w:p w:rsidR="00947CB3" w:rsidRPr="009D6364" w:rsidRDefault="00947CB3" w:rsidP="00466705">
            <w:pPr>
              <w:pStyle w:val="TableText"/>
              <w:jc w:val="both"/>
              <w:rPr>
                <w:szCs w:val="20"/>
              </w:rPr>
            </w:pPr>
            <w:r w:rsidRPr="009D6364">
              <w:rPr>
                <w:rFonts w:eastAsia="Times New Roman" w:cs="Times New Roman"/>
                <w:szCs w:val="20"/>
              </w:rPr>
              <w:t>Packs/scripts</w:t>
            </w:r>
            <w:r w:rsidRPr="009D6364">
              <w:rPr>
                <w:rFonts w:eastAsia="Times New Roman" w:cs="Times New Roman"/>
                <w:szCs w:val="20"/>
                <w:vertAlign w:val="superscript"/>
              </w:rPr>
              <w:t>1</w:t>
            </w:r>
          </w:p>
        </w:tc>
        <w:tc>
          <w:tcPr>
            <w:tcW w:w="634" w:type="pct"/>
            <w:shd w:val="clear" w:color="auto" w:fill="auto"/>
          </w:tcPr>
          <w:p w:rsidR="00947CB3"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635" w:type="pct"/>
            <w:shd w:val="clear" w:color="auto" w:fill="auto"/>
          </w:tcPr>
          <w:p w:rsidR="00947CB3"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634" w:type="pct"/>
            <w:shd w:val="clear" w:color="auto" w:fill="auto"/>
          </w:tcPr>
          <w:p w:rsidR="00947CB3"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635" w:type="pct"/>
            <w:shd w:val="clear" w:color="auto" w:fill="auto"/>
          </w:tcPr>
          <w:p w:rsidR="00947CB3"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634" w:type="pct"/>
            <w:shd w:val="clear" w:color="auto" w:fill="auto"/>
          </w:tcPr>
          <w:p w:rsidR="00947CB3"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562" w:type="pct"/>
          </w:tcPr>
          <w:p w:rsidR="00947CB3"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r>
      <w:tr w:rsidR="005F5AAB" w:rsidRPr="00E01A8E" w:rsidTr="005F5AAB">
        <w:tc>
          <w:tcPr>
            <w:tcW w:w="1266" w:type="pct"/>
            <w:shd w:val="clear" w:color="auto" w:fill="auto"/>
            <w:vAlign w:val="center"/>
          </w:tcPr>
          <w:p w:rsidR="00DD0B73" w:rsidRPr="009D6364" w:rsidRDefault="00DD0B73" w:rsidP="00466705">
            <w:pPr>
              <w:pStyle w:val="TableText"/>
              <w:jc w:val="both"/>
              <w:rPr>
                <w:szCs w:val="20"/>
                <w:vertAlign w:val="superscript"/>
              </w:rPr>
            </w:pPr>
            <w:r w:rsidRPr="009D6364">
              <w:rPr>
                <w:szCs w:val="20"/>
              </w:rPr>
              <w:t>Cost at average DPMQ</w:t>
            </w:r>
            <w:r w:rsidR="00F32976" w:rsidRPr="009D6364">
              <w:rPr>
                <w:szCs w:val="20"/>
                <w:vertAlign w:val="superscript"/>
              </w:rPr>
              <w:t>2</w:t>
            </w:r>
          </w:p>
        </w:tc>
        <w:tc>
          <w:tcPr>
            <w:tcW w:w="634" w:type="pct"/>
            <w:shd w:val="clear" w:color="auto" w:fill="auto"/>
          </w:tcPr>
          <w:p w:rsidR="00F32976"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 xml:space="preserve"> ''''''''''''''''''''</w:t>
            </w:r>
          </w:p>
        </w:tc>
        <w:tc>
          <w:tcPr>
            <w:tcW w:w="635" w:type="pct"/>
            <w:shd w:val="clear" w:color="auto" w:fill="auto"/>
          </w:tcPr>
          <w:p w:rsidR="00F32976"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 xml:space="preserve"> '''''''''''''''''''''''</w:t>
            </w:r>
          </w:p>
        </w:tc>
        <w:tc>
          <w:tcPr>
            <w:tcW w:w="634" w:type="pct"/>
            <w:shd w:val="clear" w:color="auto" w:fill="auto"/>
          </w:tcPr>
          <w:p w:rsidR="00F32976"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 xml:space="preserve"> '''''''''''''''''''</w:t>
            </w:r>
          </w:p>
        </w:tc>
        <w:tc>
          <w:tcPr>
            <w:tcW w:w="635" w:type="pct"/>
            <w:shd w:val="clear" w:color="auto" w:fill="auto"/>
          </w:tcPr>
          <w:p w:rsidR="00F32976"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 xml:space="preserve"> ''''''''''''''''''''''''''</w:t>
            </w:r>
          </w:p>
        </w:tc>
        <w:tc>
          <w:tcPr>
            <w:tcW w:w="634" w:type="pct"/>
            <w:shd w:val="clear" w:color="auto" w:fill="auto"/>
          </w:tcPr>
          <w:p w:rsidR="00F32976"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 xml:space="preserve"> ''''''''''''''''''''''''</w:t>
            </w:r>
          </w:p>
        </w:tc>
        <w:tc>
          <w:tcPr>
            <w:tcW w:w="562" w:type="pct"/>
          </w:tcPr>
          <w:p w:rsidR="00F32976"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 xml:space="preserve"> '''''''''''''''''''''''</w:t>
            </w:r>
          </w:p>
        </w:tc>
      </w:tr>
      <w:tr w:rsidR="005F5AAB" w:rsidRPr="00E01A8E" w:rsidTr="005F5AAB">
        <w:tc>
          <w:tcPr>
            <w:tcW w:w="1266" w:type="pct"/>
            <w:shd w:val="clear" w:color="auto" w:fill="auto"/>
            <w:vAlign w:val="center"/>
          </w:tcPr>
          <w:p w:rsidR="00DD0B73" w:rsidRPr="009D6364" w:rsidRDefault="00DD0B73" w:rsidP="00466705">
            <w:pPr>
              <w:pStyle w:val="TableText"/>
              <w:jc w:val="both"/>
              <w:rPr>
                <w:rFonts w:eastAsia="Times New Roman" w:cs="Times New Roman"/>
                <w:szCs w:val="20"/>
                <w:vertAlign w:val="superscript"/>
              </w:rPr>
            </w:pPr>
            <w:r w:rsidRPr="009D6364">
              <w:rPr>
                <w:szCs w:val="20"/>
              </w:rPr>
              <w:t>Cost net of co-payment</w:t>
            </w:r>
            <w:r w:rsidR="00F32976" w:rsidRPr="009D6364">
              <w:rPr>
                <w:szCs w:val="20"/>
                <w:vertAlign w:val="superscript"/>
              </w:rPr>
              <w:t>2</w:t>
            </w:r>
          </w:p>
        </w:tc>
        <w:tc>
          <w:tcPr>
            <w:tcW w:w="634" w:type="pct"/>
            <w:shd w:val="clear" w:color="auto" w:fill="auto"/>
          </w:tcPr>
          <w:p w:rsidR="00F32976"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 xml:space="preserve"> '''''''''''''''''''</w:t>
            </w:r>
          </w:p>
        </w:tc>
        <w:tc>
          <w:tcPr>
            <w:tcW w:w="635" w:type="pct"/>
            <w:shd w:val="clear" w:color="auto" w:fill="auto"/>
          </w:tcPr>
          <w:p w:rsidR="00F32976"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 xml:space="preserve"> '''''''''''''''''''''''</w:t>
            </w:r>
          </w:p>
        </w:tc>
        <w:tc>
          <w:tcPr>
            <w:tcW w:w="634" w:type="pct"/>
            <w:shd w:val="clear" w:color="auto" w:fill="auto"/>
          </w:tcPr>
          <w:p w:rsidR="00F32976"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 xml:space="preserve"> ''''''''''''''''''''''''</w:t>
            </w:r>
          </w:p>
        </w:tc>
        <w:tc>
          <w:tcPr>
            <w:tcW w:w="635" w:type="pct"/>
            <w:shd w:val="clear" w:color="auto" w:fill="auto"/>
          </w:tcPr>
          <w:p w:rsidR="00F32976"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 xml:space="preserve"> '''''''''''''''''''''''''</w:t>
            </w:r>
          </w:p>
        </w:tc>
        <w:tc>
          <w:tcPr>
            <w:tcW w:w="634" w:type="pct"/>
            <w:shd w:val="clear" w:color="auto" w:fill="auto"/>
          </w:tcPr>
          <w:p w:rsidR="00F32976"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 xml:space="preserve"> '''''''''''''''''''''''</w:t>
            </w:r>
          </w:p>
        </w:tc>
        <w:tc>
          <w:tcPr>
            <w:tcW w:w="562" w:type="pct"/>
          </w:tcPr>
          <w:p w:rsidR="00F32976"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 xml:space="preserve"> ''''''''''''''''''''''</w:t>
            </w:r>
          </w:p>
        </w:tc>
      </w:tr>
      <w:tr w:rsidR="00DD0B73" w:rsidRPr="00E01A8E" w:rsidTr="0037352A">
        <w:tc>
          <w:tcPr>
            <w:tcW w:w="5000" w:type="pct"/>
            <w:gridSpan w:val="7"/>
            <w:shd w:val="clear" w:color="auto" w:fill="auto"/>
            <w:vAlign w:val="center"/>
          </w:tcPr>
          <w:p w:rsidR="00DD0B73" w:rsidRPr="009D6364" w:rsidRDefault="00DD0B73" w:rsidP="00466705">
            <w:pPr>
              <w:pStyle w:val="TableText"/>
              <w:jc w:val="both"/>
              <w:rPr>
                <w:bCs/>
                <w:color w:val="000000"/>
                <w:szCs w:val="20"/>
              </w:rPr>
            </w:pPr>
            <w:r w:rsidRPr="009D6364">
              <w:rPr>
                <w:b/>
                <w:bCs/>
                <w:color w:val="000000"/>
                <w:szCs w:val="20"/>
              </w:rPr>
              <w:t xml:space="preserve">Cost to MBS of vildagliptin </w:t>
            </w:r>
          </w:p>
        </w:tc>
      </w:tr>
      <w:tr w:rsidR="005F5AAB" w:rsidRPr="00E01A8E" w:rsidTr="005F5AAB">
        <w:tc>
          <w:tcPr>
            <w:tcW w:w="1266" w:type="pct"/>
            <w:shd w:val="clear" w:color="auto" w:fill="auto"/>
          </w:tcPr>
          <w:p w:rsidR="00DD0B73" w:rsidRPr="009D6364" w:rsidRDefault="00DD0B73" w:rsidP="00466705">
            <w:pPr>
              <w:pStyle w:val="TableText"/>
              <w:jc w:val="both"/>
              <w:rPr>
                <w:szCs w:val="20"/>
              </w:rPr>
            </w:pPr>
            <w:r w:rsidRPr="009D6364">
              <w:rPr>
                <w:rFonts w:eastAsia="Times New Roman" w:cs="Times New Roman"/>
                <w:szCs w:val="20"/>
              </w:rPr>
              <w:t>Cost for LFT testing</w:t>
            </w:r>
          </w:p>
        </w:tc>
        <w:tc>
          <w:tcPr>
            <w:tcW w:w="634" w:type="pct"/>
            <w:shd w:val="clear" w:color="auto" w:fill="auto"/>
          </w:tcPr>
          <w:p w:rsidR="00DD0B73"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635" w:type="pct"/>
            <w:shd w:val="clear" w:color="auto" w:fill="auto"/>
          </w:tcPr>
          <w:p w:rsidR="00DD0B73"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634" w:type="pct"/>
            <w:shd w:val="clear" w:color="auto" w:fill="auto"/>
          </w:tcPr>
          <w:p w:rsidR="00DD0B73"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635" w:type="pct"/>
            <w:shd w:val="clear" w:color="auto" w:fill="auto"/>
          </w:tcPr>
          <w:p w:rsidR="00DD0B73"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634" w:type="pct"/>
            <w:shd w:val="clear" w:color="auto" w:fill="auto"/>
          </w:tcPr>
          <w:p w:rsidR="00DD0B73"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562" w:type="pct"/>
          </w:tcPr>
          <w:p w:rsidR="00DD0B73"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r>
      <w:tr w:rsidR="005F5AAB" w:rsidRPr="00E01A8E" w:rsidTr="005F5AAB">
        <w:tc>
          <w:tcPr>
            <w:tcW w:w="1266" w:type="pct"/>
            <w:shd w:val="clear" w:color="auto" w:fill="auto"/>
          </w:tcPr>
          <w:p w:rsidR="00DD0B73" w:rsidRPr="009D6364" w:rsidRDefault="00DD0B73" w:rsidP="00466705">
            <w:pPr>
              <w:pStyle w:val="TableText"/>
              <w:jc w:val="both"/>
              <w:rPr>
                <w:szCs w:val="20"/>
              </w:rPr>
            </w:pPr>
            <w:r w:rsidRPr="009D6364">
              <w:rPr>
                <w:rFonts w:eastAsia="Times New Roman" w:cs="Times New Roman"/>
                <w:szCs w:val="20"/>
              </w:rPr>
              <w:t>Cost of LFT testing with 5 consultations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bottom"/>
          </w:tcPr>
          <w:p w:rsidR="00DD0B73"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635" w:type="pct"/>
            <w:tcBorders>
              <w:top w:val="single" w:sz="4" w:space="0" w:color="auto"/>
              <w:left w:val="nil"/>
              <w:bottom w:val="single" w:sz="4" w:space="0" w:color="auto"/>
              <w:right w:val="single" w:sz="4" w:space="0" w:color="auto"/>
            </w:tcBorders>
            <w:shd w:val="clear" w:color="auto" w:fill="auto"/>
            <w:vAlign w:val="bottom"/>
          </w:tcPr>
          <w:p w:rsidR="00DD0B73"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634" w:type="pct"/>
            <w:tcBorders>
              <w:top w:val="single" w:sz="4" w:space="0" w:color="auto"/>
              <w:left w:val="nil"/>
              <w:bottom w:val="single" w:sz="4" w:space="0" w:color="auto"/>
              <w:right w:val="single" w:sz="4" w:space="0" w:color="auto"/>
            </w:tcBorders>
            <w:shd w:val="clear" w:color="auto" w:fill="auto"/>
            <w:vAlign w:val="bottom"/>
          </w:tcPr>
          <w:p w:rsidR="00DD0B73"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635" w:type="pct"/>
            <w:tcBorders>
              <w:top w:val="single" w:sz="4" w:space="0" w:color="auto"/>
              <w:left w:val="nil"/>
              <w:bottom w:val="single" w:sz="4" w:space="0" w:color="auto"/>
              <w:right w:val="single" w:sz="4" w:space="0" w:color="auto"/>
            </w:tcBorders>
            <w:shd w:val="clear" w:color="auto" w:fill="auto"/>
            <w:vAlign w:val="bottom"/>
          </w:tcPr>
          <w:p w:rsidR="00DD0B73"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634" w:type="pct"/>
            <w:tcBorders>
              <w:top w:val="single" w:sz="4" w:space="0" w:color="auto"/>
              <w:left w:val="nil"/>
              <w:bottom w:val="single" w:sz="4" w:space="0" w:color="auto"/>
              <w:right w:val="single" w:sz="4" w:space="0" w:color="auto"/>
            </w:tcBorders>
            <w:shd w:val="clear" w:color="auto" w:fill="auto"/>
            <w:vAlign w:val="bottom"/>
          </w:tcPr>
          <w:p w:rsidR="00DD0B73"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562" w:type="pct"/>
            <w:tcBorders>
              <w:top w:val="single" w:sz="4" w:space="0" w:color="auto"/>
              <w:left w:val="nil"/>
              <w:bottom w:val="single" w:sz="4" w:space="0" w:color="auto"/>
              <w:right w:val="single" w:sz="4" w:space="0" w:color="auto"/>
            </w:tcBorders>
            <w:shd w:val="clear" w:color="auto" w:fill="auto"/>
            <w:vAlign w:val="bottom"/>
          </w:tcPr>
          <w:p w:rsidR="00DD0B73"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r>
      <w:tr w:rsidR="00DD0B73" w:rsidRPr="00E01A8E" w:rsidTr="0037352A">
        <w:tc>
          <w:tcPr>
            <w:tcW w:w="5000" w:type="pct"/>
            <w:gridSpan w:val="7"/>
            <w:shd w:val="clear" w:color="auto" w:fill="auto"/>
            <w:vAlign w:val="center"/>
          </w:tcPr>
          <w:p w:rsidR="00DD0B73" w:rsidRPr="009D6364" w:rsidRDefault="00922CF8" w:rsidP="00466705">
            <w:pPr>
              <w:pStyle w:val="TableText"/>
              <w:jc w:val="both"/>
              <w:rPr>
                <w:b/>
                <w:bCs/>
                <w:color w:val="000000"/>
                <w:szCs w:val="20"/>
              </w:rPr>
            </w:pPr>
            <w:r w:rsidRPr="009D6364">
              <w:rPr>
                <w:b/>
                <w:bCs/>
                <w:color w:val="000000"/>
                <w:szCs w:val="20"/>
              </w:rPr>
              <w:t>Overall cost to government health budget</w:t>
            </w:r>
            <w:r w:rsidR="00DD0B73" w:rsidRPr="009D6364">
              <w:rPr>
                <w:b/>
                <w:bCs/>
                <w:color w:val="4472C4" w:themeColor="accent5"/>
                <w:szCs w:val="20"/>
              </w:rPr>
              <w:t xml:space="preserve"> </w:t>
            </w:r>
          </w:p>
        </w:tc>
      </w:tr>
      <w:tr w:rsidR="005F5AAB" w:rsidRPr="00E01A8E" w:rsidTr="005F5AAB">
        <w:tc>
          <w:tcPr>
            <w:tcW w:w="1266" w:type="pct"/>
            <w:shd w:val="clear" w:color="auto" w:fill="auto"/>
          </w:tcPr>
          <w:p w:rsidR="00922CF8" w:rsidRPr="009D6364" w:rsidRDefault="00922CF8" w:rsidP="00466705">
            <w:pPr>
              <w:pStyle w:val="TableText"/>
              <w:jc w:val="both"/>
              <w:rPr>
                <w:szCs w:val="20"/>
                <w:vertAlign w:val="superscript"/>
              </w:rPr>
            </w:pPr>
            <w:r w:rsidRPr="009D6364">
              <w:rPr>
                <w:rFonts w:eastAsia="Times New Roman" w:cs="Times New Roman"/>
                <w:b/>
                <w:szCs w:val="20"/>
              </w:rPr>
              <w:t xml:space="preserve">PBS/RPBS </w:t>
            </w:r>
            <w:r w:rsidR="00F32976" w:rsidRPr="009D6364">
              <w:rPr>
                <w:rFonts w:eastAsia="Times New Roman" w:cs="Times New Roman"/>
                <w:b/>
                <w:szCs w:val="20"/>
              </w:rPr>
              <w:t>–</w:t>
            </w:r>
            <w:r w:rsidRPr="009D6364">
              <w:rPr>
                <w:rFonts w:eastAsia="Times New Roman" w:cs="Times New Roman"/>
                <w:b/>
                <w:szCs w:val="20"/>
              </w:rPr>
              <w:t xml:space="preserve"> MBS</w:t>
            </w:r>
            <w:r w:rsidR="00F32976" w:rsidRPr="009D6364">
              <w:rPr>
                <w:rFonts w:eastAsia="Times New Roman" w:cs="Times New Roman"/>
                <w:szCs w:val="20"/>
                <w:vertAlign w:val="superscript"/>
              </w:rPr>
              <w:t>2</w:t>
            </w:r>
          </w:p>
        </w:tc>
        <w:tc>
          <w:tcPr>
            <w:tcW w:w="634" w:type="pct"/>
            <w:shd w:val="clear" w:color="auto" w:fill="auto"/>
          </w:tcPr>
          <w:p w:rsidR="00922CF8" w:rsidRPr="00530119" w:rsidRDefault="00922CF8" w:rsidP="00466705">
            <w:pPr>
              <w:pStyle w:val="TableText"/>
              <w:jc w:val="both"/>
              <w:rPr>
                <w:rFonts w:eastAsia="Times New Roman" w:cs="Times New Roman"/>
                <w:b/>
                <w:szCs w:val="20"/>
              </w:rPr>
            </w:pPr>
          </w:p>
          <w:p w:rsidR="00F32976" w:rsidRPr="00530119" w:rsidRDefault="00530119" w:rsidP="00466705">
            <w:pPr>
              <w:pStyle w:val="TableText"/>
              <w:jc w:val="both"/>
              <w:rPr>
                <w:bCs/>
                <w:color w:val="000000"/>
                <w:szCs w:val="20"/>
                <w:highlight w:val="black"/>
              </w:rPr>
            </w:pPr>
            <w:r>
              <w:rPr>
                <w:rFonts w:eastAsia="Times New Roman" w:cs="Times New Roman"/>
                <w:b/>
                <w:noProof/>
                <w:color w:val="000000"/>
                <w:szCs w:val="20"/>
                <w:highlight w:val="black"/>
              </w:rPr>
              <w:t>''''''''''''''''</w:t>
            </w:r>
          </w:p>
        </w:tc>
        <w:tc>
          <w:tcPr>
            <w:tcW w:w="635" w:type="pct"/>
            <w:shd w:val="clear" w:color="auto" w:fill="auto"/>
          </w:tcPr>
          <w:p w:rsidR="00F32976" w:rsidRPr="00530119" w:rsidRDefault="00530119" w:rsidP="00466705">
            <w:pPr>
              <w:pStyle w:val="TableText"/>
              <w:jc w:val="both"/>
              <w:rPr>
                <w:bCs/>
                <w:color w:val="000000"/>
                <w:szCs w:val="20"/>
                <w:highlight w:val="black"/>
              </w:rPr>
            </w:pPr>
            <w:r>
              <w:rPr>
                <w:rFonts w:eastAsia="Times New Roman" w:cs="Times New Roman"/>
                <w:b/>
                <w:noProof/>
                <w:color w:val="000000"/>
                <w:szCs w:val="20"/>
                <w:highlight w:val="black"/>
              </w:rPr>
              <w:t xml:space="preserve"> ''''''''''''''''''</w:t>
            </w:r>
          </w:p>
        </w:tc>
        <w:tc>
          <w:tcPr>
            <w:tcW w:w="634" w:type="pct"/>
            <w:shd w:val="clear" w:color="auto" w:fill="auto"/>
          </w:tcPr>
          <w:p w:rsidR="00F32976" w:rsidRPr="00530119" w:rsidRDefault="00530119" w:rsidP="00466705">
            <w:pPr>
              <w:pStyle w:val="TableText"/>
              <w:jc w:val="both"/>
              <w:rPr>
                <w:bCs/>
                <w:color w:val="000000"/>
                <w:szCs w:val="20"/>
                <w:highlight w:val="black"/>
              </w:rPr>
            </w:pPr>
            <w:r>
              <w:rPr>
                <w:rFonts w:eastAsia="Times New Roman" w:cs="Times New Roman"/>
                <w:b/>
                <w:noProof/>
                <w:color w:val="000000"/>
                <w:szCs w:val="20"/>
                <w:highlight w:val="black"/>
              </w:rPr>
              <w:t xml:space="preserve"> '''''''''''''''''</w:t>
            </w:r>
          </w:p>
        </w:tc>
        <w:tc>
          <w:tcPr>
            <w:tcW w:w="635" w:type="pct"/>
            <w:shd w:val="clear" w:color="auto" w:fill="auto"/>
          </w:tcPr>
          <w:p w:rsidR="00F32976" w:rsidRPr="00530119" w:rsidRDefault="00530119" w:rsidP="00466705">
            <w:pPr>
              <w:pStyle w:val="TableText"/>
              <w:jc w:val="both"/>
              <w:rPr>
                <w:bCs/>
                <w:color w:val="000000"/>
                <w:szCs w:val="20"/>
                <w:highlight w:val="black"/>
              </w:rPr>
            </w:pPr>
            <w:r>
              <w:rPr>
                <w:rFonts w:eastAsia="Times New Roman" w:cs="Times New Roman"/>
                <w:b/>
                <w:noProof/>
                <w:color w:val="000000"/>
                <w:szCs w:val="20"/>
                <w:highlight w:val="black"/>
              </w:rPr>
              <w:t xml:space="preserve"> '''''''''''''''''''</w:t>
            </w:r>
          </w:p>
        </w:tc>
        <w:tc>
          <w:tcPr>
            <w:tcW w:w="634" w:type="pct"/>
            <w:shd w:val="clear" w:color="auto" w:fill="auto"/>
          </w:tcPr>
          <w:p w:rsidR="00F32976" w:rsidRPr="00530119" w:rsidRDefault="00530119" w:rsidP="00466705">
            <w:pPr>
              <w:pStyle w:val="TableText"/>
              <w:jc w:val="both"/>
              <w:rPr>
                <w:bCs/>
                <w:color w:val="000000"/>
                <w:szCs w:val="20"/>
                <w:highlight w:val="black"/>
              </w:rPr>
            </w:pPr>
            <w:r>
              <w:rPr>
                <w:rFonts w:eastAsia="Times New Roman" w:cs="Times New Roman"/>
                <w:b/>
                <w:noProof/>
                <w:color w:val="000000"/>
                <w:szCs w:val="20"/>
                <w:highlight w:val="black"/>
              </w:rPr>
              <w:t xml:space="preserve"> ''''''''''''''''''</w:t>
            </w:r>
          </w:p>
        </w:tc>
        <w:tc>
          <w:tcPr>
            <w:tcW w:w="562" w:type="pct"/>
          </w:tcPr>
          <w:p w:rsidR="00F32976" w:rsidRPr="00530119" w:rsidRDefault="00530119" w:rsidP="00466705">
            <w:pPr>
              <w:pStyle w:val="TableText"/>
              <w:jc w:val="both"/>
              <w:rPr>
                <w:bCs/>
                <w:color w:val="000000"/>
                <w:szCs w:val="20"/>
                <w:highlight w:val="black"/>
              </w:rPr>
            </w:pPr>
            <w:r>
              <w:rPr>
                <w:rFonts w:eastAsia="Times New Roman" w:cs="Times New Roman"/>
                <w:b/>
                <w:noProof/>
                <w:color w:val="000000"/>
                <w:szCs w:val="20"/>
                <w:highlight w:val="black"/>
              </w:rPr>
              <w:t xml:space="preserve"> '''''''''''''''''''''</w:t>
            </w:r>
          </w:p>
        </w:tc>
      </w:tr>
      <w:tr w:rsidR="005F5AAB" w:rsidRPr="00E01A8E" w:rsidTr="005F5AAB">
        <w:tc>
          <w:tcPr>
            <w:tcW w:w="1266" w:type="pct"/>
            <w:shd w:val="clear" w:color="auto" w:fill="auto"/>
          </w:tcPr>
          <w:p w:rsidR="00922CF8" w:rsidRPr="009D6364" w:rsidRDefault="00922CF8" w:rsidP="00466705">
            <w:pPr>
              <w:pStyle w:val="TableText"/>
              <w:jc w:val="both"/>
              <w:rPr>
                <w:rFonts w:eastAsia="Times New Roman" w:cs="Times New Roman"/>
                <w:szCs w:val="20"/>
              </w:rPr>
            </w:pPr>
            <w:r w:rsidRPr="009D6364">
              <w:rPr>
                <w:rFonts w:eastAsia="Times New Roman" w:cs="Times New Roman"/>
                <w:szCs w:val="20"/>
              </w:rPr>
              <w:t>PBS/RPBS – MBS cost with cost of LFT testing with 5 consultations</w:t>
            </w:r>
          </w:p>
        </w:tc>
        <w:tc>
          <w:tcPr>
            <w:tcW w:w="634" w:type="pct"/>
            <w:tcBorders>
              <w:top w:val="single" w:sz="4" w:space="0" w:color="auto"/>
              <w:left w:val="single" w:sz="4" w:space="0" w:color="auto"/>
              <w:bottom w:val="single" w:sz="4" w:space="0" w:color="auto"/>
              <w:right w:val="single" w:sz="4" w:space="0" w:color="auto"/>
            </w:tcBorders>
            <w:shd w:val="clear" w:color="auto" w:fill="auto"/>
            <w:vAlign w:val="bottom"/>
          </w:tcPr>
          <w:p w:rsidR="00922CF8"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635" w:type="pct"/>
            <w:tcBorders>
              <w:top w:val="single" w:sz="4" w:space="0" w:color="auto"/>
              <w:left w:val="nil"/>
              <w:bottom w:val="single" w:sz="4" w:space="0" w:color="auto"/>
              <w:right w:val="single" w:sz="4" w:space="0" w:color="auto"/>
            </w:tcBorders>
            <w:shd w:val="clear" w:color="auto" w:fill="auto"/>
            <w:vAlign w:val="bottom"/>
          </w:tcPr>
          <w:p w:rsidR="00922CF8"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634" w:type="pct"/>
            <w:tcBorders>
              <w:top w:val="single" w:sz="4" w:space="0" w:color="auto"/>
              <w:left w:val="nil"/>
              <w:bottom w:val="single" w:sz="4" w:space="0" w:color="auto"/>
              <w:right w:val="single" w:sz="4" w:space="0" w:color="auto"/>
            </w:tcBorders>
            <w:shd w:val="clear" w:color="auto" w:fill="auto"/>
            <w:vAlign w:val="bottom"/>
          </w:tcPr>
          <w:p w:rsidR="00922CF8"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635" w:type="pct"/>
            <w:tcBorders>
              <w:top w:val="single" w:sz="4" w:space="0" w:color="auto"/>
              <w:left w:val="nil"/>
              <w:bottom w:val="single" w:sz="4" w:space="0" w:color="auto"/>
              <w:right w:val="single" w:sz="4" w:space="0" w:color="auto"/>
            </w:tcBorders>
            <w:shd w:val="clear" w:color="auto" w:fill="auto"/>
            <w:vAlign w:val="bottom"/>
          </w:tcPr>
          <w:p w:rsidR="00922CF8"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634" w:type="pct"/>
            <w:tcBorders>
              <w:top w:val="single" w:sz="4" w:space="0" w:color="auto"/>
              <w:left w:val="nil"/>
              <w:bottom w:val="single" w:sz="4" w:space="0" w:color="auto"/>
              <w:right w:val="single" w:sz="4" w:space="0" w:color="auto"/>
            </w:tcBorders>
            <w:shd w:val="clear" w:color="auto" w:fill="auto"/>
            <w:vAlign w:val="bottom"/>
          </w:tcPr>
          <w:p w:rsidR="00922CF8"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c>
          <w:tcPr>
            <w:tcW w:w="562" w:type="pct"/>
            <w:tcBorders>
              <w:top w:val="single" w:sz="4" w:space="0" w:color="auto"/>
              <w:left w:val="nil"/>
              <w:bottom w:val="single" w:sz="4" w:space="0" w:color="auto"/>
              <w:right w:val="single" w:sz="4" w:space="0" w:color="auto"/>
            </w:tcBorders>
            <w:shd w:val="clear" w:color="auto" w:fill="auto"/>
            <w:vAlign w:val="bottom"/>
          </w:tcPr>
          <w:p w:rsidR="00922CF8" w:rsidRPr="00530119" w:rsidRDefault="00530119" w:rsidP="00466705">
            <w:pPr>
              <w:pStyle w:val="TableText"/>
              <w:jc w:val="both"/>
              <w:rPr>
                <w:bCs/>
                <w:color w:val="000000"/>
                <w:szCs w:val="20"/>
                <w:highlight w:val="black"/>
              </w:rPr>
            </w:pPr>
            <w:r>
              <w:rPr>
                <w:rFonts w:eastAsia="Times New Roman" w:cs="Times New Roman"/>
                <w:noProof/>
                <w:color w:val="000000"/>
                <w:szCs w:val="20"/>
                <w:highlight w:val="black"/>
              </w:rPr>
              <w:t>'''''''''''''''''''''''''</w:t>
            </w:r>
          </w:p>
        </w:tc>
      </w:tr>
    </w:tbl>
    <w:p w:rsidR="00947CB3" w:rsidRPr="00E01A8E" w:rsidRDefault="00947CB3" w:rsidP="00B8794E">
      <w:pPr>
        <w:widowControl w:val="0"/>
        <w:spacing w:before="0" w:after="120"/>
        <w:contextualSpacing/>
        <w:jc w:val="both"/>
        <w:rPr>
          <w:rFonts w:ascii="Arial Narrow" w:eastAsia="Times New Roman" w:hAnsi="Arial Narrow" w:cs="Arial"/>
          <w:snapToGrid w:val="0"/>
          <w:sz w:val="18"/>
          <w:szCs w:val="20"/>
        </w:rPr>
      </w:pPr>
      <w:r w:rsidRPr="00E01A8E">
        <w:rPr>
          <w:rFonts w:ascii="Arial Narrow" w:eastAsia="Times New Roman" w:hAnsi="Arial Narrow" w:cs="Arial"/>
          <w:snapToGrid w:val="0"/>
          <w:sz w:val="18"/>
          <w:szCs w:val="20"/>
        </w:rPr>
        <w:t>Note: 1- Submission noted that slight discrepancies in net script numbers occur vs. patient model due to rounding during al</w:t>
      </w:r>
      <w:r w:rsidR="00F32976" w:rsidRPr="00E01A8E">
        <w:rPr>
          <w:rFonts w:ascii="Arial Narrow" w:eastAsia="Times New Roman" w:hAnsi="Arial Narrow" w:cs="Arial"/>
          <w:snapToGrid w:val="0"/>
          <w:sz w:val="18"/>
          <w:szCs w:val="20"/>
        </w:rPr>
        <w:t>location to PBS/RPBS categories.</w:t>
      </w:r>
    </w:p>
    <w:p w:rsidR="00F32976" w:rsidRPr="00E01A8E" w:rsidRDefault="00F32976" w:rsidP="00B8794E">
      <w:pPr>
        <w:widowControl w:val="0"/>
        <w:spacing w:before="0" w:after="120"/>
        <w:contextualSpacing/>
        <w:jc w:val="both"/>
        <w:rPr>
          <w:rFonts w:ascii="Arial Narrow" w:eastAsia="Times New Roman" w:hAnsi="Arial Narrow" w:cs="Arial"/>
          <w:snapToGrid w:val="0"/>
          <w:sz w:val="18"/>
          <w:szCs w:val="20"/>
        </w:rPr>
      </w:pPr>
      <w:r w:rsidRPr="00E01A8E">
        <w:rPr>
          <w:rFonts w:ascii="Arial Narrow" w:eastAsia="Times New Roman" w:hAnsi="Arial Narrow" w:cs="Arial"/>
          <w:snapToGrid w:val="0"/>
          <w:sz w:val="18"/>
          <w:szCs w:val="20"/>
        </w:rPr>
        <w:t xml:space="preserve">2- The </w:t>
      </w:r>
      <w:r w:rsidR="0032013D" w:rsidRPr="00E01A8E">
        <w:rPr>
          <w:rFonts w:ascii="Arial Narrow" w:eastAsia="Times New Roman" w:hAnsi="Arial Narrow" w:cs="Arial"/>
          <w:snapToGrid w:val="0"/>
          <w:sz w:val="18"/>
          <w:szCs w:val="20"/>
        </w:rPr>
        <w:t>costs have been updated</w:t>
      </w:r>
      <w:r w:rsidRPr="00E01A8E">
        <w:rPr>
          <w:rFonts w:ascii="Arial Narrow" w:eastAsia="Times New Roman" w:hAnsi="Arial Narrow" w:cs="Arial"/>
          <w:snapToGrid w:val="0"/>
          <w:sz w:val="18"/>
          <w:szCs w:val="20"/>
        </w:rPr>
        <w:t xml:space="preserve"> using the DPMQ price using current pharmacy mark-up as of June 2017</w:t>
      </w:r>
      <w:r w:rsidR="0032013D" w:rsidRPr="00E01A8E">
        <w:rPr>
          <w:rFonts w:ascii="Arial Narrow" w:eastAsia="Times New Roman" w:hAnsi="Arial Narrow" w:cs="Arial"/>
          <w:snapToGrid w:val="0"/>
          <w:sz w:val="18"/>
          <w:szCs w:val="20"/>
        </w:rPr>
        <w:t>, which increased by 40 cents</w:t>
      </w:r>
    </w:p>
    <w:p w:rsidR="00947CB3" w:rsidRPr="00E01A8E" w:rsidRDefault="00947CB3" w:rsidP="00B8794E">
      <w:pPr>
        <w:widowControl w:val="0"/>
        <w:spacing w:before="0" w:after="120"/>
        <w:contextualSpacing/>
        <w:jc w:val="both"/>
        <w:rPr>
          <w:rFonts w:ascii="Arial Narrow" w:eastAsia="Times New Roman" w:hAnsi="Arial Narrow" w:cs="Arial"/>
          <w:snapToGrid w:val="0"/>
          <w:sz w:val="18"/>
          <w:szCs w:val="20"/>
        </w:rPr>
      </w:pPr>
      <w:r w:rsidRPr="00E01A8E">
        <w:rPr>
          <w:rFonts w:ascii="Arial Narrow" w:eastAsia="Times New Roman" w:hAnsi="Arial Narrow" w:cs="Arial"/>
          <w:snapToGrid w:val="0"/>
          <w:sz w:val="18"/>
          <w:szCs w:val="20"/>
        </w:rPr>
        <w:t>Abbreviation: DPMQ: Dispensed Price for Maximum Quantity</w:t>
      </w:r>
      <w:r w:rsidR="00922CF8" w:rsidRPr="00E01A8E">
        <w:rPr>
          <w:rFonts w:ascii="Arial Narrow" w:eastAsia="Times New Roman" w:hAnsi="Arial Narrow" w:cs="Arial"/>
          <w:snapToGrid w:val="0"/>
          <w:sz w:val="18"/>
          <w:szCs w:val="20"/>
        </w:rPr>
        <w:t>; LFT: liver function tests; MBS: Medicare benefits schedule; PBS: pharmaceutical benefits scheme; RPBS: Repatriation schedule of the PBS</w:t>
      </w:r>
    </w:p>
    <w:p w:rsidR="00922CF8" w:rsidRPr="00E01A8E" w:rsidRDefault="00947CB3" w:rsidP="00B8794E">
      <w:pPr>
        <w:widowControl w:val="0"/>
        <w:spacing w:before="0" w:after="120"/>
        <w:contextualSpacing/>
        <w:jc w:val="both"/>
        <w:rPr>
          <w:rFonts w:ascii="Arial Narrow" w:eastAsia="Times New Roman" w:hAnsi="Arial Narrow" w:cs="Arial"/>
          <w:snapToGrid w:val="0"/>
          <w:sz w:val="18"/>
          <w:szCs w:val="20"/>
        </w:rPr>
      </w:pPr>
      <w:r w:rsidRPr="00E01A8E">
        <w:rPr>
          <w:rFonts w:ascii="Arial Narrow" w:eastAsia="Times New Roman" w:hAnsi="Arial Narrow" w:cs="Arial"/>
          <w:snapToGrid w:val="0"/>
          <w:sz w:val="18"/>
          <w:szCs w:val="20"/>
        </w:rPr>
        <w:t>Source: Table 4.12 p95</w:t>
      </w:r>
      <w:r w:rsidR="00922CF8" w:rsidRPr="00E01A8E">
        <w:rPr>
          <w:rFonts w:ascii="Arial Narrow" w:eastAsia="Times New Roman" w:hAnsi="Arial Narrow" w:cs="Arial"/>
          <w:snapToGrid w:val="0"/>
          <w:sz w:val="18"/>
          <w:szCs w:val="20"/>
        </w:rPr>
        <w:t>, Table 4.14, p96-97</w:t>
      </w:r>
      <w:r w:rsidRPr="00E01A8E">
        <w:rPr>
          <w:rFonts w:ascii="Arial Narrow" w:eastAsia="Times New Roman" w:hAnsi="Arial Narrow" w:cs="Arial"/>
          <w:snapToGrid w:val="0"/>
          <w:sz w:val="18"/>
          <w:szCs w:val="20"/>
        </w:rPr>
        <w:t xml:space="preserve"> of the submission; Calculation</w:t>
      </w:r>
      <w:r w:rsidR="00922CF8" w:rsidRPr="00E01A8E">
        <w:rPr>
          <w:rFonts w:ascii="Arial Narrow" w:eastAsia="Times New Roman" w:hAnsi="Arial Narrow" w:cs="Arial"/>
          <w:snapToGrid w:val="0"/>
          <w:sz w:val="18"/>
          <w:szCs w:val="20"/>
        </w:rPr>
        <w:t xml:space="preserve">s provided in the Attachment 15, </w:t>
      </w:r>
      <w:r w:rsidRPr="00E01A8E">
        <w:rPr>
          <w:rFonts w:ascii="Arial Narrow" w:eastAsia="Times New Roman" w:hAnsi="Arial Narrow" w:cs="Arial"/>
          <w:snapToGrid w:val="0"/>
          <w:sz w:val="18"/>
          <w:szCs w:val="20"/>
        </w:rPr>
        <w:t>spreadsheet “Cost&amp;NetCost to PBS&amp;RPBS”</w:t>
      </w:r>
      <w:r w:rsidR="00922CF8" w:rsidRPr="00E01A8E">
        <w:rPr>
          <w:rFonts w:ascii="Arial Narrow" w:eastAsia="Times New Roman" w:hAnsi="Arial Narrow" w:cs="Arial"/>
          <w:snapToGrid w:val="0"/>
          <w:sz w:val="18"/>
          <w:szCs w:val="20"/>
        </w:rPr>
        <w:t>,and “Summary PBS&amp;RPBS&amp;MBS” in the submission, and c</w:t>
      </w:r>
      <w:r w:rsidR="00317C00" w:rsidRPr="00E01A8E">
        <w:rPr>
          <w:rFonts w:ascii="Arial Narrow" w:eastAsia="Times New Roman" w:hAnsi="Arial Narrow" w:cs="Arial"/>
          <w:snapToGrid w:val="0"/>
          <w:sz w:val="18"/>
          <w:szCs w:val="20"/>
        </w:rPr>
        <w:t>ompiled</w:t>
      </w:r>
      <w:r w:rsidR="00922CF8" w:rsidRPr="00E01A8E">
        <w:rPr>
          <w:rFonts w:ascii="Arial Narrow" w:eastAsia="Times New Roman" w:hAnsi="Arial Narrow" w:cs="Arial"/>
          <w:snapToGrid w:val="0"/>
          <w:sz w:val="18"/>
          <w:szCs w:val="20"/>
        </w:rPr>
        <w:t xml:space="preserve"> during the evaluation.</w:t>
      </w:r>
    </w:p>
    <w:p w:rsidR="00A26603" w:rsidRPr="00A26603" w:rsidRDefault="00A26603" w:rsidP="00A26603">
      <w:pPr>
        <w:pStyle w:val="ListParagraph"/>
        <w:spacing w:before="0" w:after="120"/>
        <w:jc w:val="both"/>
        <w:rPr>
          <w:color w:val="4472C4" w:themeColor="accent5"/>
        </w:rPr>
      </w:pPr>
      <w:r w:rsidRPr="0059789D">
        <w:rPr>
          <w:rFonts w:eastAsia="Times New Roman" w:cs="Times New Roman"/>
          <w:szCs w:val="24"/>
          <w:lang w:eastAsia="en-AU"/>
        </w:rPr>
        <w:t xml:space="preserve">The redacted table shows that at year 5, the estimated number of patients was less than 10,000 per year and the net </w:t>
      </w:r>
      <w:r>
        <w:rPr>
          <w:rFonts w:eastAsia="Times New Roman" w:cs="Times New Roman"/>
          <w:szCs w:val="24"/>
          <w:lang w:eastAsia="en-AU"/>
        </w:rPr>
        <w:t>savings</w:t>
      </w:r>
      <w:r w:rsidRPr="0059789D">
        <w:rPr>
          <w:rFonts w:eastAsia="Times New Roman" w:cs="Times New Roman"/>
          <w:szCs w:val="24"/>
          <w:lang w:eastAsia="en-AU"/>
        </w:rPr>
        <w:t xml:space="preserve"> to the </w:t>
      </w:r>
      <w:r>
        <w:rPr>
          <w:rFonts w:eastAsia="Times New Roman" w:cs="Times New Roman"/>
          <w:szCs w:val="24"/>
          <w:lang w:eastAsia="en-AU"/>
        </w:rPr>
        <w:t>Government</w:t>
      </w:r>
      <w:r w:rsidRPr="0059789D">
        <w:rPr>
          <w:rFonts w:eastAsia="Times New Roman" w:cs="Times New Roman"/>
          <w:szCs w:val="24"/>
          <w:lang w:eastAsia="en-AU"/>
        </w:rPr>
        <w:t xml:space="preserve"> would be </w:t>
      </w:r>
      <w:r w:rsidR="002209E5">
        <w:rPr>
          <w:rFonts w:eastAsia="Times New Roman" w:cs="Times New Roman"/>
          <w:szCs w:val="24"/>
          <w:lang w:eastAsia="en-AU"/>
        </w:rPr>
        <w:t>less than $10</w:t>
      </w:r>
      <w:r w:rsidRPr="0059789D">
        <w:rPr>
          <w:rFonts w:eastAsia="Times New Roman" w:cs="Times New Roman"/>
          <w:szCs w:val="24"/>
          <w:lang w:eastAsia="en-AU"/>
        </w:rPr>
        <w:t xml:space="preserve"> million per year.</w:t>
      </w:r>
    </w:p>
    <w:p w:rsidR="00DA554C" w:rsidRPr="00E01A8E" w:rsidRDefault="00DA554C" w:rsidP="00F35D71">
      <w:pPr>
        <w:pStyle w:val="ListParagraph"/>
        <w:numPr>
          <w:ilvl w:val="1"/>
          <w:numId w:val="3"/>
        </w:numPr>
        <w:spacing w:before="0" w:after="120"/>
        <w:jc w:val="both"/>
        <w:rPr>
          <w:color w:val="4472C4" w:themeColor="accent5"/>
        </w:rPr>
      </w:pPr>
      <w:r w:rsidRPr="00E01A8E">
        <w:t xml:space="preserve">The </w:t>
      </w:r>
      <w:r w:rsidR="00DB79CF">
        <w:t xml:space="preserve">evaluation considered the </w:t>
      </w:r>
      <w:r w:rsidRPr="00E01A8E">
        <w:t>financial implications may be underestimated due to the following reasons:</w:t>
      </w:r>
    </w:p>
    <w:p w:rsidR="00DA554C" w:rsidRPr="00E01A8E" w:rsidRDefault="00DA554C" w:rsidP="00674CEA">
      <w:pPr>
        <w:pStyle w:val="ListParagraph"/>
        <w:numPr>
          <w:ilvl w:val="0"/>
          <w:numId w:val="11"/>
        </w:numPr>
        <w:spacing w:before="0" w:after="120"/>
        <w:ind w:left="1134"/>
        <w:jc w:val="both"/>
      </w:pPr>
      <w:r w:rsidRPr="00E01A8E">
        <w:t>There is uncertainty regarding the estimates of new patients as the relatively new DPP-4 in combination with insulin market is not stable</w:t>
      </w:r>
      <w:r w:rsidR="00C51BE9" w:rsidRPr="00E01A8E">
        <w:t>.</w:t>
      </w:r>
      <w:r w:rsidR="003B5846" w:rsidRPr="00E01A8E">
        <w:t xml:space="preserve"> Furthermore, the approach used to estimate the number of patients treated from the number of scripts for sitagliptin and linagliptin assumed 100% adherence, and thus may underestimate the number of patients treated.</w:t>
      </w:r>
    </w:p>
    <w:p w:rsidR="00C51BE9" w:rsidRPr="00E01A8E" w:rsidRDefault="00C51BE9" w:rsidP="00674CEA">
      <w:pPr>
        <w:pStyle w:val="ListParagraph"/>
        <w:numPr>
          <w:ilvl w:val="0"/>
          <w:numId w:val="11"/>
        </w:numPr>
        <w:spacing w:before="0" w:after="120"/>
        <w:ind w:left="1134"/>
        <w:jc w:val="both"/>
      </w:pPr>
      <w:r w:rsidRPr="00E01A8E">
        <w:t>The submission did not apply the latest DPMQ (as of June 2017).</w:t>
      </w:r>
    </w:p>
    <w:p w:rsidR="00C51BE9" w:rsidRDefault="00C51BE9" w:rsidP="00674CEA">
      <w:pPr>
        <w:pStyle w:val="ListParagraph"/>
        <w:numPr>
          <w:ilvl w:val="0"/>
          <w:numId w:val="11"/>
        </w:numPr>
        <w:spacing w:before="0" w:after="120"/>
        <w:ind w:left="1134"/>
        <w:jc w:val="both"/>
      </w:pPr>
      <w:r w:rsidRPr="00E01A8E">
        <w:t xml:space="preserve">There is the potential for leakage beyond the requested PBS population for the vildagliptin </w:t>
      </w:r>
      <w:r w:rsidR="00050C8D">
        <w:t>with</w:t>
      </w:r>
      <w:r w:rsidRPr="00E01A8E">
        <w:t xml:space="preserve"> metformin FDC, from third line use, to earlier in the treatment algorithm in patients unable to tolerate or contraindicated to sulfonylurea therapy</w:t>
      </w:r>
      <w:r w:rsidRPr="00356B22">
        <w:t>.</w:t>
      </w:r>
      <w:r w:rsidR="00356B22" w:rsidRPr="00771B63">
        <w:t xml:space="preserve"> </w:t>
      </w:r>
      <w:r w:rsidR="00356B22" w:rsidRPr="00356B22">
        <w:t>This potential currently exists with all DPP-4 inhibitors.</w:t>
      </w:r>
    </w:p>
    <w:p w:rsidR="00356B22" w:rsidRDefault="00356B22" w:rsidP="00356B22">
      <w:pPr>
        <w:pStyle w:val="ListParagraph"/>
        <w:numPr>
          <w:ilvl w:val="1"/>
          <w:numId w:val="3"/>
        </w:numPr>
        <w:spacing w:before="0" w:after="120"/>
        <w:jc w:val="both"/>
      </w:pPr>
      <w:r w:rsidRPr="00356B22">
        <w:t>The ESC considered that the requested listing is unlikely to impact on the frequency o</w:t>
      </w:r>
      <w:r w:rsidR="009642BB">
        <w:t>f</w:t>
      </w:r>
      <w:r w:rsidRPr="00356B22">
        <w:t xml:space="preserve"> consultations or the number of LFTs.</w:t>
      </w:r>
    </w:p>
    <w:p w:rsidR="00356B22" w:rsidRPr="00356B22" w:rsidRDefault="00EE34B7" w:rsidP="00356B22">
      <w:pPr>
        <w:pStyle w:val="ListParagraph"/>
        <w:numPr>
          <w:ilvl w:val="1"/>
          <w:numId w:val="3"/>
        </w:numPr>
        <w:spacing w:before="0" w:after="120"/>
        <w:jc w:val="both"/>
      </w:pPr>
      <w:r w:rsidRPr="002F4581">
        <w:rPr>
          <w:rFonts w:cs="Arial"/>
          <w:bCs/>
        </w:rPr>
        <w:t>At year 5, the estimated number of patients was</w:t>
      </w:r>
      <w:r w:rsidR="0029254C">
        <w:rPr>
          <w:rFonts w:cs="Arial"/>
          <w:bCs/>
        </w:rPr>
        <w:t xml:space="preserve"> </w:t>
      </w:r>
      <w:r w:rsidR="002209E5" w:rsidRPr="0059789D">
        <w:rPr>
          <w:rFonts w:eastAsia="Times New Roman" w:cs="Times New Roman"/>
          <w:szCs w:val="24"/>
          <w:lang w:eastAsia="en-AU"/>
        </w:rPr>
        <w:t>less than 10,000 per year</w:t>
      </w:r>
      <w:r w:rsidR="00DB79CF">
        <w:rPr>
          <w:rFonts w:cs="Arial"/>
          <w:bCs/>
        </w:rPr>
        <w:t>. The</w:t>
      </w:r>
      <w:r w:rsidR="00454D99" w:rsidRPr="002F4581">
        <w:rPr>
          <w:rFonts w:cs="Arial"/>
          <w:bCs/>
        </w:rPr>
        <w:t xml:space="preserve"> </w:t>
      </w:r>
      <w:r w:rsidRPr="002F4581">
        <w:rPr>
          <w:rFonts w:cs="Arial"/>
          <w:bCs/>
        </w:rPr>
        <w:t xml:space="preserve">net </w:t>
      </w:r>
      <w:r w:rsidR="00D14884">
        <w:rPr>
          <w:rFonts w:cs="Arial"/>
          <w:bCs/>
        </w:rPr>
        <w:t>save</w:t>
      </w:r>
      <w:r w:rsidR="00D14884" w:rsidRPr="002F4581">
        <w:rPr>
          <w:rFonts w:cs="Arial"/>
          <w:bCs/>
        </w:rPr>
        <w:t xml:space="preserve"> </w:t>
      </w:r>
      <w:r w:rsidRPr="002F4581">
        <w:rPr>
          <w:rFonts w:cs="Arial"/>
          <w:bCs/>
        </w:rPr>
        <w:t xml:space="preserve">to the PBS </w:t>
      </w:r>
      <w:r w:rsidR="00DB79CF">
        <w:rPr>
          <w:rFonts w:cs="Arial"/>
          <w:bCs/>
        </w:rPr>
        <w:t xml:space="preserve">over the first 5 years of listing was estimated to be </w:t>
      </w:r>
      <w:r w:rsidR="004277D2">
        <w:rPr>
          <w:rFonts w:eastAsia="Times New Roman" w:cs="Times New Roman"/>
          <w:szCs w:val="24"/>
          <w:lang w:eastAsia="en-AU"/>
        </w:rPr>
        <w:t>less than $10</w:t>
      </w:r>
      <w:r w:rsidR="004277D2" w:rsidRPr="0059789D">
        <w:rPr>
          <w:rFonts w:eastAsia="Times New Roman" w:cs="Times New Roman"/>
          <w:szCs w:val="24"/>
          <w:lang w:eastAsia="en-AU"/>
        </w:rPr>
        <w:t xml:space="preserve"> million per year.</w:t>
      </w:r>
    </w:p>
    <w:p w:rsidR="00C43ECD" w:rsidRPr="00771B63" w:rsidRDefault="00C43ECD" w:rsidP="00C43ECD">
      <w:pPr>
        <w:pStyle w:val="PBACHeading1"/>
        <w:numPr>
          <w:ilvl w:val="0"/>
          <w:numId w:val="0"/>
        </w:numPr>
        <w:rPr>
          <w:rFonts w:asciiTheme="minorHAnsi" w:hAnsiTheme="minorHAnsi"/>
          <w:b w:val="0"/>
          <w:i/>
          <w:sz w:val="24"/>
          <w:szCs w:val="24"/>
        </w:rPr>
      </w:pPr>
      <w:r w:rsidRPr="00771B63">
        <w:rPr>
          <w:rFonts w:asciiTheme="minorHAnsi" w:hAnsiTheme="minorHAnsi"/>
          <w:b w:val="0"/>
          <w:i/>
          <w:sz w:val="24"/>
          <w:szCs w:val="24"/>
        </w:rPr>
        <w:t>For more detail on PBAC’s view, see section 7 PBAC outcome.</w:t>
      </w:r>
    </w:p>
    <w:p w:rsidR="00647A6D" w:rsidRPr="00771B63" w:rsidRDefault="00647A6D" w:rsidP="00771B63">
      <w:pPr>
        <w:pStyle w:val="Heading1"/>
        <w:ind w:left="709" w:hanging="709"/>
        <w:jc w:val="both"/>
        <w:rPr>
          <w:b w:val="0"/>
        </w:rPr>
      </w:pPr>
      <w:r w:rsidRPr="00771B63">
        <w:t>PBAC Outcome</w:t>
      </w:r>
    </w:p>
    <w:p w:rsidR="00DA3E6F" w:rsidRPr="00DA3E6F" w:rsidRDefault="00DA3E6F" w:rsidP="00DA3E6F">
      <w:pPr>
        <w:pStyle w:val="ListParagraph"/>
        <w:numPr>
          <w:ilvl w:val="0"/>
          <w:numId w:val="3"/>
        </w:numPr>
        <w:spacing w:before="200" w:after="120"/>
        <w:rPr>
          <w:rFonts w:ascii="Arial" w:eastAsia="Times New Roman" w:hAnsi="Arial" w:cs="Arial"/>
          <w:b/>
          <w:bCs/>
          <w:snapToGrid w:val="0"/>
          <w:vanish/>
          <w:sz w:val="22"/>
          <w:lang w:val="en-GB"/>
        </w:rPr>
      </w:pPr>
    </w:p>
    <w:p w:rsidR="004A2187" w:rsidRPr="00771B63" w:rsidRDefault="004A2187" w:rsidP="00771B63">
      <w:pPr>
        <w:pStyle w:val="ListParagraph"/>
        <w:numPr>
          <w:ilvl w:val="1"/>
          <w:numId w:val="3"/>
        </w:numPr>
      </w:pPr>
      <w:r>
        <w:t xml:space="preserve">The </w:t>
      </w:r>
      <w:r w:rsidR="00771B63">
        <w:t>P</w:t>
      </w:r>
      <w:r>
        <w:t xml:space="preserve">BAC recommended the </w:t>
      </w:r>
      <w:r w:rsidR="00674CEA">
        <w:t>Authority Required (streamlined</w:t>
      </w:r>
      <w:r w:rsidR="00A64A01">
        <w:t xml:space="preserve">) </w:t>
      </w:r>
      <w:r>
        <w:t xml:space="preserve">listing of </w:t>
      </w:r>
      <w:r w:rsidRPr="00E01A8E">
        <w:t xml:space="preserve">vildagliptin and vildagliptin </w:t>
      </w:r>
      <w:r>
        <w:t>with</w:t>
      </w:r>
      <w:r w:rsidRPr="00E01A8E">
        <w:t xml:space="preserve"> metformin fixed dose combination (FDC)</w:t>
      </w:r>
      <w:r w:rsidR="00F972B4">
        <w:t xml:space="preserve"> for use in combination with insulin.</w:t>
      </w:r>
    </w:p>
    <w:p w:rsidR="004A2187" w:rsidRPr="00771B63" w:rsidRDefault="004A2187" w:rsidP="00771B63">
      <w:pPr>
        <w:pStyle w:val="ListParagraph"/>
        <w:numPr>
          <w:ilvl w:val="1"/>
          <w:numId w:val="3"/>
        </w:numPr>
      </w:pPr>
      <w:r w:rsidRPr="00FA4FAB">
        <w:t>The PBAC’s recommendation for listing was based on, among other matters, its assessment, as described above, that</w:t>
      </w:r>
      <w:r>
        <w:t xml:space="preserve"> the cost-effectiveness of </w:t>
      </w:r>
      <w:r w:rsidRPr="00E01A8E">
        <w:t xml:space="preserve">vildagliptin </w:t>
      </w:r>
      <w:r>
        <w:t>would be acceptable if it were cost-minimised against</w:t>
      </w:r>
      <w:r w:rsidRPr="004A2187">
        <w:t xml:space="preserve"> </w:t>
      </w:r>
      <w:r w:rsidRPr="00E01A8E">
        <w:t>sitagliptin and linagliptin</w:t>
      </w:r>
      <w:r w:rsidR="00F972B4">
        <w:t xml:space="preserve">. </w:t>
      </w:r>
      <w:r w:rsidR="00771B63">
        <w:t xml:space="preserve"> </w:t>
      </w:r>
      <w:r w:rsidR="00AB1054">
        <w:t>Similarly, the</w:t>
      </w:r>
      <w:r w:rsidR="00F972B4">
        <w:t xml:space="preserve"> cost effectiveness of vildagliptin with metformin in this setting would be acceptable if cost-minimised against the component drugs.</w:t>
      </w:r>
    </w:p>
    <w:p w:rsidR="00BF0B19" w:rsidRDefault="00CB4E75" w:rsidP="00F972B4">
      <w:pPr>
        <w:pStyle w:val="ListParagraph"/>
        <w:numPr>
          <w:ilvl w:val="1"/>
          <w:numId w:val="3"/>
        </w:numPr>
        <w:spacing w:before="0" w:after="120"/>
        <w:jc w:val="both"/>
      </w:pPr>
      <w:r w:rsidRPr="00CB4E75">
        <w:rPr>
          <w:bCs/>
          <w:snapToGrid w:val="0"/>
          <w:lang w:val="en-GB"/>
        </w:rPr>
        <w:t>The PBAC</w:t>
      </w:r>
      <w:r w:rsidR="00447F11">
        <w:rPr>
          <w:bCs/>
          <w:snapToGrid w:val="0"/>
          <w:lang w:val="en-GB"/>
        </w:rPr>
        <w:t xml:space="preserve"> </w:t>
      </w:r>
      <w:r w:rsidR="00A64A01">
        <w:rPr>
          <w:bCs/>
          <w:snapToGrid w:val="0"/>
          <w:lang w:val="en-GB"/>
        </w:rPr>
        <w:t>recommend the restriction wording</w:t>
      </w:r>
      <w:r w:rsidR="00F972B4">
        <w:rPr>
          <w:bCs/>
          <w:snapToGrid w:val="0"/>
          <w:lang w:val="en-GB"/>
        </w:rPr>
        <w:t xml:space="preserve">, maximum quantities and repeats </w:t>
      </w:r>
      <w:r w:rsidR="00A64A01">
        <w:rPr>
          <w:bCs/>
          <w:snapToGrid w:val="0"/>
          <w:lang w:val="en-GB"/>
        </w:rPr>
        <w:t xml:space="preserve">should be consistent with that for the other </w:t>
      </w:r>
      <w:r w:rsidR="00F972B4" w:rsidRPr="00F972B4">
        <w:rPr>
          <w:bCs/>
          <w:snapToGrid w:val="0"/>
          <w:lang w:val="en-GB"/>
        </w:rPr>
        <w:t xml:space="preserve">dipeptidyl peptidase 4 </w:t>
      </w:r>
      <w:r w:rsidR="00F972B4">
        <w:rPr>
          <w:bCs/>
          <w:snapToGrid w:val="0"/>
          <w:lang w:val="en-GB"/>
        </w:rPr>
        <w:t>(</w:t>
      </w:r>
      <w:r w:rsidR="00A64A01">
        <w:rPr>
          <w:bCs/>
          <w:snapToGrid w:val="0"/>
          <w:lang w:val="en-GB"/>
        </w:rPr>
        <w:t>DPP4</w:t>
      </w:r>
      <w:r w:rsidR="00F972B4">
        <w:rPr>
          <w:bCs/>
          <w:snapToGrid w:val="0"/>
          <w:lang w:val="en-GB"/>
        </w:rPr>
        <w:t>)</w:t>
      </w:r>
      <w:r w:rsidR="00A64A01">
        <w:rPr>
          <w:bCs/>
          <w:snapToGrid w:val="0"/>
          <w:lang w:val="en-GB"/>
        </w:rPr>
        <w:t xml:space="preserve"> inhibitors. </w:t>
      </w:r>
    </w:p>
    <w:p w:rsidR="00A64A01" w:rsidRDefault="0022024A" w:rsidP="00CB4E75">
      <w:pPr>
        <w:pStyle w:val="ListParagraph"/>
        <w:numPr>
          <w:ilvl w:val="1"/>
          <w:numId w:val="3"/>
        </w:numPr>
        <w:spacing w:before="0" w:after="120"/>
        <w:jc w:val="both"/>
      </w:pPr>
      <w:r>
        <w:t xml:space="preserve">The </w:t>
      </w:r>
      <w:r w:rsidR="006B2E1D">
        <w:t xml:space="preserve">estimated </w:t>
      </w:r>
      <w:r>
        <w:t xml:space="preserve">equi-effective doses </w:t>
      </w:r>
      <w:r w:rsidR="006B2E1D">
        <w:t>for vildagliptin were</w:t>
      </w:r>
      <w:r w:rsidR="00EB7F35">
        <w:t>:</w:t>
      </w:r>
      <w:r w:rsidR="006B2E1D">
        <w:t xml:space="preserve"> </w:t>
      </w:r>
    </w:p>
    <w:p w:rsidR="00A64A01" w:rsidRPr="00E01A8E" w:rsidRDefault="00674CEA" w:rsidP="00674CEA">
      <w:pPr>
        <w:pStyle w:val="ListParagraph"/>
        <w:numPr>
          <w:ilvl w:val="0"/>
          <w:numId w:val="7"/>
        </w:numPr>
        <w:spacing w:before="0" w:after="120"/>
        <w:jc w:val="both"/>
      </w:pPr>
      <w:r>
        <w:t>V</w:t>
      </w:r>
      <w:r w:rsidR="0022024A">
        <w:t xml:space="preserve">ildagliptin </w:t>
      </w:r>
      <w:r w:rsidR="006B2E1D">
        <w:t>100mg daily</w:t>
      </w:r>
      <w:r w:rsidR="00A64A01">
        <w:t xml:space="preserve"> is equivalent</w:t>
      </w:r>
      <w:r w:rsidR="006B2E1D">
        <w:t xml:space="preserve"> sitagliptin 100mg </w:t>
      </w:r>
      <w:r w:rsidR="0022024A">
        <w:t>daily</w:t>
      </w:r>
      <w:r w:rsidR="006B2E1D">
        <w:t xml:space="preserve"> </w:t>
      </w:r>
      <w:r w:rsidR="00A64A01">
        <w:t>or</w:t>
      </w:r>
      <w:r w:rsidR="006B2E1D">
        <w:t xml:space="preserve"> linagliptin 5mg daily</w:t>
      </w:r>
      <w:r w:rsidR="0022024A">
        <w:t xml:space="preserve">.  </w:t>
      </w:r>
    </w:p>
    <w:p w:rsidR="00A64A01" w:rsidRPr="00E01A8E" w:rsidRDefault="00A64A01" w:rsidP="00674CEA">
      <w:pPr>
        <w:pStyle w:val="ListParagraph"/>
        <w:numPr>
          <w:ilvl w:val="0"/>
          <w:numId w:val="7"/>
        </w:numPr>
        <w:spacing w:before="0" w:after="120"/>
        <w:jc w:val="both"/>
      </w:pPr>
      <w:r w:rsidRPr="00E01A8E">
        <w:t xml:space="preserve">Vildagliptin </w:t>
      </w:r>
      <w:r>
        <w:t>with</w:t>
      </w:r>
      <w:r w:rsidRPr="00E01A8E">
        <w:t xml:space="preserve"> metformin 50/500mg, 50/850mg and 50/1000mg FDC bid is equivalent to the concomitant administration of vildagliptin 50mg bid and metformin hydrochloride 500/850/1000mg bid.</w:t>
      </w:r>
    </w:p>
    <w:p w:rsidR="00647A6D" w:rsidRPr="007A7E65" w:rsidRDefault="007A7E65" w:rsidP="00647A6D">
      <w:pPr>
        <w:widowControl w:val="0"/>
        <w:numPr>
          <w:ilvl w:val="1"/>
          <w:numId w:val="3"/>
        </w:numPr>
        <w:spacing w:before="0" w:after="120"/>
        <w:jc w:val="both"/>
        <w:rPr>
          <w:rFonts w:cs="Arial"/>
          <w:bCs/>
          <w:snapToGrid w:val="0"/>
          <w:lang w:val="en-GB"/>
        </w:rPr>
      </w:pPr>
      <w:r w:rsidRPr="007A7E65">
        <w:rPr>
          <w:rFonts w:cs="Arial"/>
          <w:bCs/>
          <w:snapToGrid w:val="0"/>
          <w:lang w:val="en-GB"/>
        </w:rPr>
        <w:t>The PBAC accepted that the clinical place for the pr</w:t>
      </w:r>
      <w:r w:rsidR="0031734B">
        <w:rPr>
          <w:rFonts w:cs="Arial"/>
          <w:bCs/>
          <w:snapToGrid w:val="0"/>
          <w:lang w:val="en-GB"/>
        </w:rPr>
        <w:t xml:space="preserve">oposed therapy was appropriate. </w:t>
      </w:r>
    </w:p>
    <w:p w:rsidR="00647A6D" w:rsidRPr="0093275A" w:rsidRDefault="00636F7E" w:rsidP="00647A6D">
      <w:pPr>
        <w:widowControl w:val="0"/>
        <w:numPr>
          <w:ilvl w:val="1"/>
          <w:numId w:val="3"/>
        </w:numPr>
        <w:spacing w:before="0" w:after="120"/>
        <w:jc w:val="both"/>
        <w:rPr>
          <w:rFonts w:cs="Arial"/>
          <w:bCs/>
          <w:snapToGrid w:val="0"/>
          <w:lang w:val="en-GB"/>
        </w:rPr>
      </w:pPr>
      <w:r w:rsidRPr="007A7E65">
        <w:rPr>
          <w:rFonts w:cs="Arial"/>
          <w:bCs/>
          <w:snapToGrid w:val="0"/>
          <w:lang w:val="en-GB"/>
        </w:rPr>
        <w:t>The PBAC considered the nominated comparators were appropriate</w:t>
      </w:r>
      <w:r w:rsidR="0031734B">
        <w:rPr>
          <w:rFonts w:cs="Arial"/>
          <w:bCs/>
          <w:snapToGrid w:val="0"/>
          <w:lang w:val="en-GB"/>
        </w:rPr>
        <w:t xml:space="preserve"> as the primary </w:t>
      </w:r>
      <w:r w:rsidR="0031734B" w:rsidRPr="0093275A">
        <w:rPr>
          <w:rFonts w:cs="Arial"/>
          <w:bCs/>
          <w:snapToGrid w:val="0"/>
          <w:lang w:val="en-GB"/>
        </w:rPr>
        <w:t xml:space="preserve">comparators are both DPP-4 inhibitors, </w:t>
      </w:r>
      <w:r w:rsidR="0031734B" w:rsidRPr="0093275A">
        <w:t>pharmacological analogues of vildagliptin, and currently listed on the PBS for use in combination with insulin therapy in T2DM</w:t>
      </w:r>
      <w:r w:rsidRPr="0093275A">
        <w:rPr>
          <w:rFonts w:cs="Arial"/>
          <w:bCs/>
          <w:snapToGrid w:val="0"/>
          <w:lang w:val="en-GB"/>
        </w:rPr>
        <w:t>.</w:t>
      </w:r>
      <w:r w:rsidR="0031734B" w:rsidRPr="0093275A">
        <w:rPr>
          <w:rFonts w:cs="Arial"/>
          <w:bCs/>
          <w:snapToGrid w:val="0"/>
          <w:lang w:val="en-GB"/>
        </w:rPr>
        <w:t xml:space="preserve"> The secondary comparators were also considered appropriate based on the rationale provided by the sponsor.</w:t>
      </w:r>
    </w:p>
    <w:p w:rsidR="00FA4FAB" w:rsidRPr="00FA4FAB" w:rsidRDefault="00FA4FAB" w:rsidP="00FA4FAB">
      <w:pPr>
        <w:pStyle w:val="ListParagraph"/>
        <w:numPr>
          <w:ilvl w:val="1"/>
          <w:numId w:val="3"/>
        </w:numPr>
      </w:pPr>
      <w:r w:rsidRPr="00FA4FAB">
        <w:t>The PBAC considered that, on balance the claim of non-inferior comparative effectiveness was reasonable.  Although there were some uncertainties arising from the data in terms of heterogeneity and power of the studies, the PBAC accepted that the data support a claim of non-inferiority to the comparators in populations generally similar to the Australian diabetic population.</w:t>
      </w:r>
    </w:p>
    <w:p w:rsidR="00636F7E" w:rsidRPr="0031734B" w:rsidRDefault="00B234D4" w:rsidP="00636F7E">
      <w:pPr>
        <w:widowControl w:val="0"/>
        <w:numPr>
          <w:ilvl w:val="1"/>
          <w:numId w:val="3"/>
        </w:numPr>
        <w:spacing w:before="0" w:after="120"/>
        <w:jc w:val="both"/>
        <w:rPr>
          <w:rFonts w:cs="Arial"/>
          <w:bCs/>
          <w:i/>
          <w:snapToGrid w:val="0"/>
          <w:lang w:val="en-GB"/>
        </w:rPr>
      </w:pPr>
      <w:r>
        <w:rPr>
          <w:rFonts w:cs="Arial"/>
          <w:bCs/>
          <w:snapToGrid w:val="0"/>
          <w:lang w:val="en-GB"/>
        </w:rPr>
        <w:t>The PBAC accepted that the safety of vildagliptin and vildagliptin with metformin was non-inferior to the comparators.</w:t>
      </w:r>
    </w:p>
    <w:p w:rsidR="0031734B" w:rsidRPr="0049037E" w:rsidRDefault="00E03082" w:rsidP="004277D2">
      <w:pPr>
        <w:widowControl w:val="0"/>
        <w:numPr>
          <w:ilvl w:val="1"/>
          <w:numId w:val="3"/>
        </w:numPr>
        <w:spacing w:before="0" w:after="120"/>
        <w:jc w:val="both"/>
        <w:rPr>
          <w:rFonts w:cs="Arial"/>
          <w:bCs/>
          <w:snapToGrid w:val="0"/>
          <w:lang w:val="en-GB"/>
        </w:rPr>
      </w:pPr>
      <w:r>
        <w:t xml:space="preserve">The PBAC agreed with the </w:t>
      </w:r>
      <w:r w:rsidR="00BD2FA9">
        <w:t xml:space="preserve">sponsor provided </w:t>
      </w:r>
      <w:r>
        <w:t xml:space="preserve">estimates and proposed costs, noting the advice of the ESC that </w:t>
      </w:r>
      <w:r w:rsidR="00BD2FA9">
        <w:t>the financial implications may have been underestimated</w:t>
      </w:r>
      <w:r w:rsidR="0049037E">
        <w:t xml:space="preserve"> </w:t>
      </w:r>
      <w:r w:rsidR="00BD2FA9">
        <w:t>and noting that this may increase longer term savings compared to the use of the comparator</w:t>
      </w:r>
      <w:r>
        <w:t xml:space="preserve">. </w:t>
      </w:r>
      <w:r w:rsidR="00463376">
        <w:t xml:space="preserve">The PBAC noted that the cost of treatment with vildagliptin and vildagliptin with metformin will </w:t>
      </w:r>
      <w:r w:rsidR="00B234D4">
        <w:t xml:space="preserve">lead to a save of </w:t>
      </w:r>
      <w:r w:rsidR="004277D2" w:rsidRPr="004277D2">
        <w:t>less than $10 million per year</w:t>
      </w:r>
      <w:r w:rsidR="004277D2">
        <w:t xml:space="preserve">, </w:t>
      </w:r>
      <w:r w:rsidR="00B234D4">
        <w:t>over five years.</w:t>
      </w:r>
    </w:p>
    <w:p w:rsidR="00647A6D" w:rsidRPr="008454C4" w:rsidRDefault="00647A6D" w:rsidP="00647A6D">
      <w:pPr>
        <w:widowControl w:val="0"/>
        <w:numPr>
          <w:ilvl w:val="1"/>
          <w:numId w:val="3"/>
        </w:numPr>
        <w:spacing w:before="0" w:after="120"/>
        <w:jc w:val="both"/>
        <w:rPr>
          <w:rFonts w:cs="Arial"/>
          <w:bCs/>
          <w:snapToGrid w:val="0"/>
          <w:lang w:val="en-GB"/>
        </w:rPr>
      </w:pPr>
      <w:r w:rsidRPr="008454C4">
        <w:rPr>
          <w:rFonts w:cs="Arial"/>
          <w:bCs/>
          <w:snapToGrid w:val="0"/>
          <w:lang w:val="en-GB"/>
        </w:rPr>
        <w:t xml:space="preserve">The PBAC advised that </w:t>
      </w:r>
      <w:r w:rsidR="008454C4">
        <w:rPr>
          <w:rFonts w:cs="Arial"/>
          <w:bCs/>
          <w:snapToGrid w:val="0"/>
          <w:lang w:val="en-GB"/>
        </w:rPr>
        <w:t xml:space="preserve">vildagliptin and vildagliptin </w:t>
      </w:r>
      <w:r w:rsidR="00E929DB">
        <w:rPr>
          <w:rFonts w:cs="Arial"/>
          <w:bCs/>
          <w:snapToGrid w:val="0"/>
          <w:lang w:val="en-GB"/>
        </w:rPr>
        <w:t>with</w:t>
      </w:r>
      <w:r w:rsidR="008454C4">
        <w:rPr>
          <w:rFonts w:cs="Arial"/>
          <w:bCs/>
          <w:snapToGrid w:val="0"/>
          <w:lang w:val="en-GB"/>
        </w:rPr>
        <w:t xml:space="preserve"> metformin are</w:t>
      </w:r>
      <w:r w:rsidRPr="008454C4">
        <w:rPr>
          <w:rFonts w:cs="Arial"/>
          <w:bCs/>
          <w:snapToGrid w:val="0"/>
          <w:lang w:val="en-GB"/>
        </w:rPr>
        <w:t xml:space="preserve"> suitable for prescribing by nurse practitioners</w:t>
      </w:r>
      <w:r w:rsidR="008454C4">
        <w:rPr>
          <w:rFonts w:cs="Arial"/>
          <w:bCs/>
          <w:snapToGrid w:val="0"/>
          <w:lang w:val="en-GB"/>
        </w:rPr>
        <w:t xml:space="preserve"> as continuing therapy only</w:t>
      </w:r>
      <w:r w:rsidRPr="008454C4">
        <w:rPr>
          <w:rFonts w:cs="Arial"/>
          <w:bCs/>
          <w:snapToGrid w:val="0"/>
          <w:lang w:val="en-GB"/>
        </w:rPr>
        <w:t xml:space="preserve">.  </w:t>
      </w:r>
    </w:p>
    <w:p w:rsidR="00647A6D" w:rsidRPr="00F972B4" w:rsidRDefault="00647A6D" w:rsidP="00647A6D">
      <w:pPr>
        <w:widowControl w:val="0"/>
        <w:numPr>
          <w:ilvl w:val="1"/>
          <w:numId w:val="3"/>
        </w:numPr>
        <w:spacing w:before="0" w:after="120"/>
        <w:jc w:val="both"/>
        <w:rPr>
          <w:rFonts w:cs="Arial"/>
          <w:bCs/>
          <w:snapToGrid w:val="0"/>
          <w:lang w:val="en-GB"/>
        </w:rPr>
      </w:pPr>
      <w:r w:rsidRPr="00F972B4">
        <w:rPr>
          <w:rFonts w:cs="Arial"/>
          <w:bCs/>
          <w:snapToGrid w:val="0"/>
          <w:lang w:val="en-GB"/>
        </w:rPr>
        <w:t xml:space="preserve">The PBAC recommended that the Early Supply Rule should apply. </w:t>
      </w:r>
    </w:p>
    <w:p w:rsidR="0053144D" w:rsidRPr="00F972B4" w:rsidRDefault="00647A6D" w:rsidP="0053144D">
      <w:pPr>
        <w:widowControl w:val="0"/>
        <w:numPr>
          <w:ilvl w:val="1"/>
          <w:numId w:val="3"/>
        </w:numPr>
        <w:spacing w:before="0" w:after="120"/>
        <w:jc w:val="both"/>
        <w:rPr>
          <w:rFonts w:cs="Arial"/>
          <w:bCs/>
          <w:snapToGrid w:val="0"/>
          <w:lang w:val="en-GB"/>
        </w:rPr>
      </w:pPr>
      <w:r w:rsidRPr="00F972B4">
        <w:rPr>
          <w:rFonts w:cs="Arial"/>
          <w:bCs/>
          <w:snapToGrid w:val="0"/>
          <w:lang w:val="en-GB"/>
        </w:rPr>
        <w:t>The PBAC noted that this submission</w:t>
      </w:r>
      <w:r w:rsidR="003A44E2" w:rsidRPr="00F972B4">
        <w:rPr>
          <w:rFonts w:cs="Arial"/>
          <w:bCs/>
          <w:snapToGrid w:val="0"/>
          <w:lang w:val="en-GB"/>
        </w:rPr>
        <w:t xml:space="preserve"> </w:t>
      </w:r>
      <w:r w:rsidRPr="00F972B4">
        <w:rPr>
          <w:rFonts w:cs="Arial"/>
          <w:bCs/>
          <w:snapToGrid w:val="0"/>
          <w:lang w:val="en-GB"/>
        </w:rPr>
        <w:t>is not eligible for an Independent Review</w:t>
      </w:r>
      <w:r w:rsidR="003A44E2" w:rsidRPr="00E929DB">
        <w:rPr>
          <w:rFonts w:cs="Arial"/>
          <w:bCs/>
          <w:snapToGrid w:val="0"/>
          <w:lang w:val="en-GB"/>
        </w:rPr>
        <w:t xml:space="preserve"> because</w:t>
      </w:r>
      <w:r w:rsidR="003A44E2" w:rsidRPr="00F972B4">
        <w:rPr>
          <w:rFonts w:cs="Arial"/>
          <w:bCs/>
          <w:snapToGrid w:val="0"/>
          <w:lang w:val="en-GB"/>
        </w:rPr>
        <w:t xml:space="preserve"> the PBAC has made a positive recommendation</w:t>
      </w:r>
      <w:r w:rsidRPr="00F972B4">
        <w:rPr>
          <w:rFonts w:cs="Arial"/>
          <w:bCs/>
          <w:snapToGrid w:val="0"/>
          <w:lang w:val="en-GB"/>
        </w:rPr>
        <w:t xml:space="preserve">. </w:t>
      </w:r>
    </w:p>
    <w:p w:rsidR="00647A6D" w:rsidRPr="00CB4E75" w:rsidRDefault="00647A6D" w:rsidP="00647A6D">
      <w:pPr>
        <w:spacing w:before="240"/>
        <w:jc w:val="both"/>
        <w:rPr>
          <w:rFonts w:cs="Arial"/>
          <w:b/>
          <w:bCs/>
          <w:snapToGrid w:val="0"/>
          <w:lang w:val="en-GB"/>
        </w:rPr>
      </w:pPr>
      <w:r w:rsidRPr="00CB4E75">
        <w:rPr>
          <w:rFonts w:cs="Arial"/>
          <w:b/>
          <w:bCs/>
          <w:snapToGrid w:val="0"/>
          <w:lang w:val="en-GB"/>
        </w:rPr>
        <w:t>Outcome:</w:t>
      </w:r>
    </w:p>
    <w:p w:rsidR="00647A6D" w:rsidRPr="00E3572D" w:rsidRDefault="00E3572D" w:rsidP="00E3572D">
      <w:pPr>
        <w:jc w:val="both"/>
        <w:rPr>
          <w:rFonts w:cs="Arial"/>
          <w:bCs/>
          <w:snapToGrid w:val="0"/>
          <w:lang w:val="en-GB"/>
        </w:rPr>
      </w:pPr>
      <w:r>
        <w:rPr>
          <w:rFonts w:cs="Arial"/>
          <w:bCs/>
          <w:snapToGrid w:val="0"/>
          <w:lang w:val="en-GB"/>
        </w:rPr>
        <w:t>Recommended.</w:t>
      </w:r>
    </w:p>
    <w:p w:rsidR="00647A6D" w:rsidRPr="00CB4E75" w:rsidRDefault="00647A6D" w:rsidP="0084646A">
      <w:pPr>
        <w:pStyle w:val="Heading1"/>
        <w:ind w:left="709" w:hanging="709"/>
        <w:jc w:val="both"/>
        <w:rPr>
          <w:rFonts w:cs="Arial"/>
          <w:b w:val="0"/>
          <w:bCs/>
          <w:i/>
          <w:snapToGrid w:val="0"/>
          <w:lang w:val="en-GB"/>
        </w:rPr>
      </w:pPr>
      <w:r w:rsidRPr="00CB4E75">
        <w:rPr>
          <w:rFonts w:cs="Arial"/>
          <w:bCs/>
          <w:snapToGrid w:val="0"/>
          <w:lang w:val="en-GB"/>
        </w:rPr>
        <w:t>Recommended listing</w:t>
      </w:r>
    </w:p>
    <w:p w:rsidR="00647A6D" w:rsidRPr="003859E7" w:rsidRDefault="00647A6D" w:rsidP="00647A6D">
      <w:pPr>
        <w:widowControl w:val="0"/>
        <w:ind w:firstLine="720"/>
        <w:jc w:val="both"/>
        <w:rPr>
          <w:rFonts w:cs="Arial"/>
          <w:bCs/>
          <w:snapToGrid w:val="0"/>
        </w:rPr>
      </w:pPr>
      <w:r w:rsidRPr="003859E7">
        <w:rPr>
          <w:rFonts w:cs="Arial"/>
          <w:bCs/>
          <w:snapToGrid w:val="0"/>
        </w:rPr>
        <w:t>Add new item:</w:t>
      </w:r>
    </w:p>
    <w:p w:rsidR="002209E5" w:rsidRDefault="002209E5">
      <w:r>
        <w:br w:type="page"/>
      </w:r>
    </w:p>
    <w:tbl>
      <w:tblPr>
        <w:tblW w:w="4085" w:type="pct"/>
        <w:tblInd w:w="25" w:type="dxa"/>
        <w:tblBorders>
          <w:bottom w:val="single" w:sz="4" w:space="0" w:color="auto"/>
        </w:tblBorders>
        <w:tblCellMar>
          <w:left w:w="28" w:type="dxa"/>
          <w:right w:w="28" w:type="dxa"/>
        </w:tblCellMar>
        <w:tblLook w:val="0000" w:firstRow="0" w:lastRow="0" w:firstColumn="0" w:lastColumn="0" w:noHBand="0" w:noVBand="0"/>
      </w:tblPr>
      <w:tblGrid>
        <w:gridCol w:w="3292"/>
        <w:gridCol w:w="741"/>
        <w:gridCol w:w="896"/>
        <w:gridCol w:w="884"/>
        <w:gridCol w:w="1607"/>
      </w:tblGrid>
      <w:tr w:rsidR="003859E7" w:rsidRPr="00984441" w:rsidTr="003859E7">
        <w:trPr>
          <w:cantSplit/>
          <w:trHeight w:val="463"/>
        </w:trPr>
        <w:tc>
          <w:tcPr>
            <w:tcW w:w="2218" w:type="pct"/>
            <w:tcBorders>
              <w:bottom w:val="single" w:sz="4" w:space="0" w:color="auto"/>
            </w:tcBorders>
            <w:vAlign w:val="center"/>
          </w:tcPr>
          <w:p w:rsidR="003859E7" w:rsidRPr="008D533A" w:rsidRDefault="003859E7" w:rsidP="00771B63">
            <w:pPr>
              <w:pStyle w:val="TableText"/>
              <w:jc w:val="both"/>
            </w:pPr>
            <w:r w:rsidRPr="008D533A">
              <w:t>Name, Restriction,</w:t>
            </w:r>
          </w:p>
          <w:p w:rsidR="003859E7" w:rsidRPr="008D533A" w:rsidRDefault="003859E7" w:rsidP="00771B63">
            <w:pPr>
              <w:pStyle w:val="TableText"/>
              <w:jc w:val="both"/>
            </w:pPr>
            <w:r w:rsidRPr="008D533A">
              <w:t>Manner of administration and form</w:t>
            </w:r>
          </w:p>
        </w:tc>
        <w:tc>
          <w:tcPr>
            <w:tcW w:w="499" w:type="pct"/>
            <w:tcBorders>
              <w:bottom w:val="single" w:sz="4" w:space="0" w:color="auto"/>
            </w:tcBorders>
            <w:vAlign w:val="center"/>
          </w:tcPr>
          <w:p w:rsidR="003859E7" w:rsidRPr="008D533A" w:rsidRDefault="003859E7" w:rsidP="00771B63">
            <w:pPr>
              <w:pStyle w:val="TableText"/>
              <w:jc w:val="both"/>
            </w:pPr>
            <w:r w:rsidRPr="008D533A">
              <w:t>Max.</w:t>
            </w:r>
          </w:p>
          <w:p w:rsidR="003859E7" w:rsidRPr="008D533A" w:rsidRDefault="003859E7" w:rsidP="00771B63">
            <w:pPr>
              <w:pStyle w:val="TableText"/>
              <w:jc w:val="both"/>
            </w:pPr>
            <w:r w:rsidRPr="008D533A">
              <w:t>Qty (tablets)</w:t>
            </w:r>
          </w:p>
        </w:tc>
        <w:tc>
          <w:tcPr>
            <w:tcW w:w="604" w:type="pct"/>
            <w:tcBorders>
              <w:bottom w:val="single" w:sz="4" w:space="0" w:color="auto"/>
            </w:tcBorders>
            <w:vAlign w:val="center"/>
          </w:tcPr>
          <w:p w:rsidR="003859E7" w:rsidRPr="008D533A" w:rsidRDefault="003859E7" w:rsidP="00771B63">
            <w:pPr>
              <w:pStyle w:val="TableText"/>
              <w:jc w:val="both"/>
            </w:pPr>
            <w:r w:rsidRPr="008D533A">
              <w:t>№.of</w:t>
            </w:r>
          </w:p>
          <w:p w:rsidR="003859E7" w:rsidRPr="008D533A" w:rsidRDefault="003859E7" w:rsidP="00771B63">
            <w:pPr>
              <w:pStyle w:val="TableText"/>
              <w:jc w:val="both"/>
            </w:pPr>
            <w:r w:rsidRPr="008D533A">
              <w:t>Rpts</w:t>
            </w:r>
          </w:p>
        </w:tc>
        <w:tc>
          <w:tcPr>
            <w:tcW w:w="1679" w:type="pct"/>
            <w:gridSpan w:val="2"/>
            <w:tcBorders>
              <w:bottom w:val="single" w:sz="4" w:space="0" w:color="auto"/>
            </w:tcBorders>
            <w:vAlign w:val="center"/>
          </w:tcPr>
          <w:p w:rsidR="003859E7" w:rsidRPr="008D533A" w:rsidRDefault="003859E7" w:rsidP="00771B63">
            <w:pPr>
              <w:pStyle w:val="TableText"/>
              <w:jc w:val="both"/>
              <w:rPr>
                <w:lang w:val="fr-FR"/>
              </w:rPr>
            </w:pPr>
            <w:r w:rsidRPr="008D533A">
              <w:t>Proprietary Name and Manufacturer</w:t>
            </w:r>
          </w:p>
        </w:tc>
      </w:tr>
      <w:tr w:rsidR="003859E7" w:rsidRPr="00691913" w:rsidTr="003859E7">
        <w:trPr>
          <w:cantSplit/>
          <w:trHeight w:val="828"/>
        </w:trPr>
        <w:tc>
          <w:tcPr>
            <w:tcW w:w="2218" w:type="pct"/>
            <w:tcBorders>
              <w:top w:val="single" w:sz="4" w:space="0" w:color="auto"/>
              <w:bottom w:val="nil"/>
            </w:tcBorders>
            <w:vAlign w:val="center"/>
          </w:tcPr>
          <w:p w:rsidR="003859E7" w:rsidRPr="008D533A" w:rsidRDefault="003859E7" w:rsidP="00771B63">
            <w:pPr>
              <w:pStyle w:val="TableText"/>
              <w:jc w:val="both"/>
            </w:pPr>
            <w:r w:rsidRPr="008D533A">
              <w:rPr>
                <w:smallCaps/>
              </w:rPr>
              <w:t xml:space="preserve">Vildagliptin </w:t>
            </w:r>
          </w:p>
          <w:p w:rsidR="003859E7" w:rsidRPr="008D533A" w:rsidRDefault="003859E7" w:rsidP="00771B63">
            <w:pPr>
              <w:pStyle w:val="TableText"/>
              <w:jc w:val="both"/>
            </w:pPr>
            <w:r w:rsidRPr="008D533A">
              <w:t xml:space="preserve">Tablet, 50mg </w:t>
            </w:r>
          </w:p>
        </w:tc>
        <w:tc>
          <w:tcPr>
            <w:tcW w:w="499" w:type="pct"/>
            <w:tcBorders>
              <w:top w:val="single" w:sz="4" w:space="0" w:color="auto"/>
              <w:bottom w:val="nil"/>
            </w:tcBorders>
            <w:vAlign w:val="center"/>
          </w:tcPr>
          <w:p w:rsidR="003859E7" w:rsidRPr="008D533A" w:rsidRDefault="003859E7" w:rsidP="00771B63">
            <w:pPr>
              <w:pStyle w:val="TableText"/>
              <w:jc w:val="both"/>
            </w:pPr>
          </w:p>
          <w:p w:rsidR="003859E7" w:rsidRPr="008D533A" w:rsidRDefault="003859E7" w:rsidP="00771B63">
            <w:pPr>
              <w:pStyle w:val="TableText"/>
              <w:jc w:val="both"/>
            </w:pPr>
            <w:r w:rsidRPr="008D533A">
              <w:t>60</w:t>
            </w:r>
          </w:p>
          <w:p w:rsidR="003859E7" w:rsidRPr="008D533A" w:rsidRDefault="003859E7" w:rsidP="00771B63">
            <w:pPr>
              <w:pStyle w:val="TableText"/>
              <w:jc w:val="both"/>
            </w:pPr>
          </w:p>
        </w:tc>
        <w:tc>
          <w:tcPr>
            <w:tcW w:w="604" w:type="pct"/>
            <w:tcBorders>
              <w:top w:val="single" w:sz="4" w:space="0" w:color="auto"/>
              <w:bottom w:val="nil"/>
            </w:tcBorders>
            <w:vAlign w:val="center"/>
          </w:tcPr>
          <w:p w:rsidR="003859E7" w:rsidRPr="008D533A" w:rsidRDefault="003859E7" w:rsidP="00771B63">
            <w:pPr>
              <w:pStyle w:val="TableText"/>
              <w:jc w:val="both"/>
            </w:pPr>
            <w:r w:rsidRPr="008D533A">
              <w:t>5</w:t>
            </w:r>
          </w:p>
        </w:tc>
        <w:tc>
          <w:tcPr>
            <w:tcW w:w="596" w:type="pct"/>
            <w:tcBorders>
              <w:top w:val="single" w:sz="4" w:space="0" w:color="auto"/>
              <w:bottom w:val="nil"/>
            </w:tcBorders>
            <w:vAlign w:val="center"/>
          </w:tcPr>
          <w:p w:rsidR="003859E7" w:rsidRPr="008D533A" w:rsidRDefault="003859E7" w:rsidP="00771B63">
            <w:pPr>
              <w:pStyle w:val="TableText"/>
              <w:jc w:val="both"/>
            </w:pPr>
            <w:r w:rsidRPr="008D533A">
              <w:t xml:space="preserve">Galvus® </w:t>
            </w:r>
          </w:p>
        </w:tc>
        <w:tc>
          <w:tcPr>
            <w:tcW w:w="1083" w:type="pct"/>
            <w:tcBorders>
              <w:top w:val="single" w:sz="4" w:space="0" w:color="auto"/>
              <w:bottom w:val="nil"/>
            </w:tcBorders>
            <w:vAlign w:val="center"/>
          </w:tcPr>
          <w:p w:rsidR="003859E7" w:rsidRPr="008D533A" w:rsidRDefault="003859E7" w:rsidP="00771B63">
            <w:pPr>
              <w:pStyle w:val="TableText"/>
              <w:jc w:val="both"/>
            </w:pPr>
            <w:r w:rsidRPr="008D533A">
              <w:t>Novartis Pharmaceuticals Australia Pty Limited</w:t>
            </w:r>
          </w:p>
        </w:tc>
      </w:tr>
    </w:tbl>
    <w:p w:rsidR="003859E7" w:rsidRDefault="003859E7" w:rsidP="003859E7">
      <w:pPr>
        <w:pStyle w:val="TableText"/>
        <w:jc w:val="both"/>
        <w:rPr>
          <w:sz w:val="18"/>
          <w:szCs w:val="18"/>
        </w:rPr>
      </w:pPr>
      <w:r>
        <w:t xml:space="preserve">* </w:t>
      </w:r>
      <w:r w:rsidRPr="00332EBE">
        <w:rPr>
          <w:sz w:val="18"/>
          <w:szCs w:val="18"/>
        </w:rPr>
        <w:t>the DPMQ have been updated from those included in the submission to reflect the 1 July 2017 increase of 40 cents in the dispensing fee</w:t>
      </w:r>
    </w:p>
    <w:tbl>
      <w:tblPr>
        <w:tblW w:w="9217" w:type="dxa"/>
        <w:tblInd w:w="105" w:type="dxa"/>
        <w:tblLayout w:type="fixed"/>
        <w:tblLook w:val="0000" w:firstRow="0" w:lastRow="0" w:firstColumn="0" w:lastColumn="0" w:noHBand="0" w:noVBand="0"/>
      </w:tblPr>
      <w:tblGrid>
        <w:gridCol w:w="2835"/>
        <w:gridCol w:w="6382"/>
      </w:tblGrid>
      <w:tr w:rsidR="003859E7" w:rsidRPr="00260CE3" w:rsidTr="00771B63">
        <w:trPr>
          <w:cantSplit/>
          <w:trHeight w:val="113"/>
        </w:trPr>
        <w:tc>
          <w:tcPr>
            <w:tcW w:w="9217" w:type="dxa"/>
            <w:gridSpan w:val="2"/>
            <w:tcBorders>
              <w:bottom w:val="single" w:sz="4" w:space="0" w:color="auto"/>
            </w:tcBorders>
          </w:tcPr>
          <w:p w:rsidR="003859E7" w:rsidRPr="00260CE3" w:rsidRDefault="003859E7" w:rsidP="00771B63">
            <w:pPr>
              <w:spacing w:before="0" w:after="0"/>
              <w:jc w:val="both"/>
              <w:rPr>
                <w:rFonts w:ascii="Arial Narrow" w:hAnsi="Arial Narrow" w:cs="Arial"/>
                <w:sz w:val="20"/>
                <w:szCs w:val="20"/>
              </w:rPr>
            </w:pPr>
          </w:p>
        </w:tc>
      </w:tr>
      <w:tr w:rsidR="003859E7" w:rsidRPr="00260CE3" w:rsidTr="00771B63">
        <w:trPr>
          <w:cantSplit/>
          <w:trHeight w:val="113"/>
        </w:trPr>
        <w:tc>
          <w:tcPr>
            <w:tcW w:w="2835" w:type="dxa"/>
            <w:tcBorders>
              <w:top w:val="single" w:sz="4" w:space="0" w:color="auto"/>
              <w:left w:val="single" w:sz="4" w:space="0" w:color="auto"/>
              <w:bottom w:val="single" w:sz="4" w:space="0" w:color="auto"/>
              <w:right w:val="single" w:sz="4" w:space="0" w:color="auto"/>
            </w:tcBorders>
          </w:tcPr>
          <w:p w:rsidR="003859E7" w:rsidRPr="00260CE3" w:rsidRDefault="003859E7" w:rsidP="00771B63">
            <w:pPr>
              <w:spacing w:before="0" w:after="0"/>
              <w:jc w:val="both"/>
              <w:rPr>
                <w:rFonts w:ascii="Arial Narrow" w:hAnsi="Arial Narrow" w:cs="Arial"/>
                <w:b/>
                <w:sz w:val="20"/>
                <w:szCs w:val="20"/>
              </w:rPr>
            </w:pPr>
            <w:r w:rsidRPr="00260CE3">
              <w:rPr>
                <w:rFonts w:ascii="Arial Narrow" w:hAnsi="Arial Narrow" w:cs="Arial"/>
                <w:b/>
                <w:sz w:val="20"/>
                <w:szCs w:val="20"/>
              </w:rPr>
              <w:t>Category / Program</w:t>
            </w:r>
            <w:r>
              <w:rPr>
                <w:rFonts w:ascii="Arial Narrow" w:hAnsi="Arial Narrow" w:cs="Arial"/>
                <w:b/>
                <w:sz w:val="20"/>
                <w:szCs w:val="20"/>
              </w:rPr>
              <w:t>:</w:t>
            </w:r>
          </w:p>
        </w:tc>
        <w:tc>
          <w:tcPr>
            <w:tcW w:w="6382" w:type="dxa"/>
            <w:tcBorders>
              <w:top w:val="single" w:sz="4" w:space="0" w:color="auto"/>
              <w:left w:val="single" w:sz="4" w:space="0" w:color="auto"/>
              <w:bottom w:val="single" w:sz="4" w:space="0" w:color="auto"/>
              <w:right w:val="single" w:sz="4" w:space="0" w:color="auto"/>
            </w:tcBorders>
          </w:tcPr>
          <w:p w:rsidR="003859E7" w:rsidRPr="00260CE3" w:rsidRDefault="003859E7" w:rsidP="00771B63">
            <w:pPr>
              <w:spacing w:before="0" w:after="0"/>
              <w:rPr>
                <w:rFonts w:ascii="Arial Narrow" w:hAnsi="Arial Narrow" w:cs="Arial"/>
                <w:sz w:val="20"/>
                <w:szCs w:val="20"/>
              </w:rPr>
            </w:pPr>
            <w:r w:rsidRPr="00260CE3">
              <w:rPr>
                <w:rFonts w:ascii="Arial Narrow" w:hAnsi="Arial Narrow" w:cs="Arial"/>
                <w:sz w:val="20"/>
                <w:szCs w:val="20"/>
              </w:rPr>
              <w:t>GENERAL – General Schedule (Code GE)</w:t>
            </w:r>
          </w:p>
        </w:tc>
      </w:tr>
      <w:tr w:rsidR="003859E7" w:rsidRPr="00260CE3" w:rsidTr="00771B63">
        <w:trPr>
          <w:cantSplit/>
          <w:trHeight w:val="113"/>
        </w:trPr>
        <w:tc>
          <w:tcPr>
            <w:tcW w:w="2835" w:type="dxa"/>
            <w:tcBorders>
              <w:top w:val="single" w:sz="4" w:space="0" w:color="auto"/>
              <w:left w:val="single" w:sz="4" w:space="0" w:color="auto"/>
              <w:bottom w:val="single" w:sz="4" w:space="0" w:color="auto"/>
              <w:right w:val="single" w:sz="4" w:space="0" w:color="auto"/>
            </w:tcBorders>
          </w:tcPr>
          <w:p w:rsidR="003859E7" w:rsidRDefault="003859E7" w:rsidP="00771B63">
            <w:pPr>
              <w:spacing w:before="0" w:after="0"/>
              <w:jc w:val="both"/>
              <w:rPr>
                <w:rFonts w:ascii="Arial Narrow" w:hAnsi="Arial Narrow" w:cs="Arial"/>
                <w:b/>
                <w:sz w:val="20"/>
                <w:szCs w:val="20"/>
              </w:rPr>
            </w:pPr>
            <w:r w:rsidRPr="00260CE3">
              <w:rPr>
                <w:rFonts w:ascii="Arial Narrow" w:hAnsi="Arial Narrow" w:cs="Arial"/>
                <w:b/>
                <w:sz w:val="20"/>
                <w:szCs w:val="20"/>
              </w:rPr>
              <w:t>Prescriber type:</w:t>
            </w:r>
          </w:p>
          <w:p w:rsidR="003859E7" w:rsidRPr="00260CE3" w:rsidRDefault="003859E7" w:rsidP="00771B63">
            <w:pPr>
              <w:spacing w:before="0" w:after="0"/>
              <w:jc w:val="both"/>
              <w:rPr>
                <w:rFonts w:ascii="Arial Narrow" w:hAnsi="Arial Narrow" w:cs="Arial"/>
                <w:b/>
                <w:sz w:val="20"/>
                <w:szCs w:val="20"/>
              </w:rPr>
            </w:pPr>
          </w:p>
        </w:tc>
        <w:tc>
          <w:tcPr>
            <w:tcW w:w="6382" w:type="dxa"/>
            <w:tcBorders>
              <w:top w:val="single" w:sz="4" w:space="0" w:color="auto"/>
              <w:left w:val="single" w:sz="4" w:space="0" w:color="auto"/>
              <w:bottom w:val="single" w:sz="4" w:space="0" w:color="auto"/>
              <w:right w:val="single" w:sz="4" w:space="0" w:color="auto"/>
            </w:tcBorders>
          </w:tcPr>
          <w:p w:rsidR="003859E7" w:rsidRPr="00260CE3" w:rsidRDefault="003859E7" w:rsidP="00771B63">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530119">
              <w:rPr>
                <w:rFonts w:ascii="Arial Narrow" w:hAnsi="Arial Narrow" w:cs="Arial"/>
                <w:sz w:val="20"/>
                <w:szCs w:val="20"/>
              </w:rPr>
            </w:r>
            <w:r w:rsidR="0053011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30119">
              <w:rPr>
                <w:rFonts w:ascii="Arial Narrow" w:hAnsi="Arial Narrow" w:cs="Arial"/>
                <w:sz w:val="20"/>
                <w:szCs w:val="20"/>
              </w:rPr>
            </w:r>
            <w:r w:rsidR="00530119">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530119">
              <w:rPr>
                <w:rFonts w:ascii="Arial Narrow" w:hAnsi="Arial Narrow" w:cs="Arial"/>
                <w:sz w:val="20"/>
                <w:szCs w:val="20"/>
              </w:rPr>
            </w:r>
            <w:r w:rsidR="00530119">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530119">
              <w:rPr>
                <w:rFonts w:ascii="Arial Narrow" w:hAnsi="Arial Narrow" w:cs="Arial"/>
                <w:sz w:val="20"/>
                <w:szCs w:val="20"/>
              </w:rPr>
            </w:r>
            <w:r w:rsidR="0053011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3859E7" w:rsidRPr="00260CE3" w:rsidRDefault="003859E7" w:rsidP="00771B63">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530119">
              <w:rPr>
                <w:rFonts w:ascii="Arial Narrow" w:hAnsi="Arial Narrow" w:cs="Arial"/>
                <w:sz w:val="20"/>
                <w:szCs w:val="20"/>
              </w:rPr>
            </w:r>
            <w:r w:rsidR="0053011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3859E7" w:rsidRPr="00260CE3" w:rsidTr="00771B63">
        <w:trPr>
          <w:cantSplit/>
          <w:trHeight w:val="113"/>
        </w:trPr>
        <w:tc>
          <w:tcPr>
            <w:tcW w:w="2835" w:type="dxa"/>
            <w:tcBorders>
              <w:top w:val="single" w:sz="4" w:space="0" w:color="auto"/>
              <w:left w:val="single" w:sz="4" w:space="0" w:color="auto"/>
              <w:bottom w:val="single" w:sz="4" w:space="0" w:color="auto"/>
              <w:right w:val="single" w:sz="4" w:space="0" w:color="auto"/>
            </w:tcBorders>
          </w:tcPr>
          <w:p w:rsidR="003859E7" w:rsidRPr="00AE058A" w:rsidRDefault="003859E7" w:rsidP="00771B63">
            <w:pPr>
              <w:spacing w:before="0" w:after="0"/>
              <w:jc w:val="both"/>
              <w:rPr>
                <w:rFonts w:ascii="Arial Narrow" w:hAnsi="Arial Narrow" w:cs="Arial"/>
                <w:i/>
                <w:sz w:val="20"/>
                <w:szCs w:val="20"/>
              </w:rPr>
            </w:pPr>
            <w:r w:rsidRPr="00260CE3">
              <w:rPr>
                <w:rFonts w:ascii="Arial Narrow" w:hAnsi="Arial Narrow" w:cs="Arial"/>
                <w:b/>
                <w:sz w:val="20"/>
                <w:szCs w:val="20"/>
              </w:rPr>
              <w:t>PBS Indication:</w:t>
            </w:r>
          </w:p>
        </w:tc>
        <w:tc>
          <w:tcPr>
            <w:tcW w:w="6382" w:type="dxa"/>
            <w:tcBorders>
              <w:top w:val="single" w:sz="4" w:space="0" w:color="auto"/>
              <w:left w:val="single" w:sz="4" w:space="0" w:color="auto"/>
              <w:bottom w:val="single" w:sz="4" w:space="0" w:color="auto"/>
              <w:right w:val="single" w:sz="4" w:space="0" w:color="auto"/>
            </w:tcBorders>
          </w:tcPr>
          <w:p w:rsidR="003859E7" w:rsidRPr="00260CE3" w:rsidRDefault="003859E7" w:rsidP="00771B63">
            <w:pPr>
              <w:spacing w:before="0" w:after="0"/>
              <w:rPr>
                <w:rFonts w:ascii="Arial Narrow" w:hAnsi="Arial Narrow" w:cs="Arial"/>
                <w:sz w:val="20"/>
                <w:szCs w:val="20"/>
              </w:rPr>
            </w:pPr>
            <w:r>
              <w:rPr>
                <w:rFonts w:ascii="Arial Narrow" w:hAnsi="Arial Narrow" w:cs="Arial"/>
                <w:sz w:val="20"/>
                <w:szCs w:val="20"/>
              </w:rPr>
              <w:t>Diabetes mellitus type 2</w:t>
            </w:r>
          </w:p>
        </w:tc>
      </w:tr>
      <w:tr w:rsidR="003859E7" w:rsidRPr="00260CE3" w:rsidTr="00771B63">
        <w:trPr>
          <w:cantSplit/>
          <w:trHeight w:val="113"/>
        </w:trPr>
        <w:tc>
          <w:tcPr>
            <w:tcW w:w="2835" w:type="dxa"/>
            <w:tcBorders>
              <w:top w:val="single" w:sz="4" w:space="0" w:color="auto"/>
              <w:left w:val="single" w:sz="4" w:space="0" w:color="auto"/>
              <w:bottom w:val="single" w:sz="4" w:space="0" w:color="auto"/>
              <w:right w:val="single" w:sz="4" w:space="0" w:color="auto"/>
            </w:tcBorders>
          </w:tcPr>
          <w:p w:rsidR="003859E7" w:rsidRPr="00260CE3" w:rsidRDefault="003859E7" w:rsidP="00771B63">
            <w:pPr>
              <w:spacing w:before="0" w:after="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3859E7" w:rsidRDefault="003859E7" w:rsidP="00771B63">
            <w:pPr>
              <w:spacing w:before="0" w:after="0"/>
              <w:rPr>
                <w:rFonts w:ascii="Arial Narrow" w:hAnsi="Arial Narrow" w:cs="Arial"/>
                <w:i/>
                <w:sz w:val="20"/>
                <w:szCs w:val="20"/>
                <w:highlight w:val="yellow"/>
              </w:rPr>
            </w:pPr>
          </w:p>
          <w:p w:rsidR="003859E7" w:rsidRDefault="003859E7" w:rsidP="00771B63">
            <w:pPr>
              <w:spacing w:before="0" w:after="0"/>
              <w:rPr>
                <w:rFonts w:ascii="Arial Narrow" w:hAnsi="Arial Narrow" w:cs="Arial"/>
                <w:i/>
                <w:sz w:val="20"/>
                <w:szCs w:val="20"/>
              </w:rPr>
            </w:pPr>
          </w:p>
          <w:p w:rsidR="003859E7" w:rsidRPr="00CD28F3" w:rsidRDefault="003859E7" w:rsidP="00771B63">
            <w:pPr>
              <w:spacing w:before="0" w:after="0"/>
              <w:rPr>
                <w:rFonts w:ascii="Arial Narrow" w:hAnsi="Arial Narrow" w:cs="Arial"/>
                <w:i/>
                <w:sz w:val="20"/>
                <w:szCs w:val="20"/>
              </w:rPr>
            </w:pPr>
          </w:p>
        </w:tc>
        <w:tc>
          <w:tcPr>
            <w:tcW w:w="6382" w:type="dxa"/>
            <w:tcBorders>
              <w:top w:val="single" w:sz="4" w:space="0" w:color="auto"/>
              <w:left w:val="single" w:sz="4" w:space="0" w:color="auto"/>
              <w:bottom w:val="single" w:sz="4" w:space="0" w:color="auto"/>
              <w:right w:val="single" w:sz="4" w:space="0" w:color="auto"/>
            </w:tcBorders>
          </w:tcPr>
          <w:p w:rsidR="003859E7" w:rsidRPr="00106BCF" w:rsidRDefault="003859E7" w:rsidP="00771B63">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530119">
              <w:rPr>
                <w:rFonts w:ascii="Arial Narrow" w:hAnsi="Arial Narrow" w:cs="Arial"/>
                <w:sz w:val="20"/>
                <w:szCs w:val="20"/>
              </w:rPr>
            </w:r>
            <w:r w:rsidR="0053011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3859E7" w:rsidRPr="00106BCF" w:rsidRDefault="003859E7" w:rsidP="00771B63">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530119">
              <w:rPr>
                <w:rFonts w:ascii="Arial Narrow" w:hAnsi="Arial Narrow" w:cs="Arial"/>
                <w:sz w:val="20"/>
                <w:szCs w:val="20"/>
              </w:rPr>
            </w:r>
            <w:r w:rsidR="0053011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3859E7" w:rsidRPr="00106BCF" w:rsidRDefault="003859E7" w:rsidP="00771B63">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530119">
              <w:rPr>
                <w:rFonts w:ascii="Arial Narrow" w:hAnsi="Arial Narrow" w:cs="Arial"/>
                <w:sz w:val="20"/>
                <w:szCs w:val="20"/>
              </w:rPr>
            </w:r>
            <w:r w:rsidR="0053011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3859E7" w:rsidRPr="00106BCF" w:rsidRDefault="003859E7" w:rsidP="00771B63">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530119">
              <w:rPr>
                <w:rFonts w:ascii="Arial Narrow" w:hAnsi="Arial Narrow" w:cs="Arial"/>
                <w:sz w:val="20"/>
                <w:szCs w:val="20"/>
              </w:rPr>
            </w:r>
            <w:r w:rsidR="0053011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Pr="004332FE">
              <w:rPr>
                <w:rFonts w:ascii="Arial Narrow" w:hAnsi="Arial Narrow" w:cs="Arial"/>
                <w:sz w:val="20"/>
                <w:szCs w:val="20"/>
              </w:rPr>
              <w:t>-</w:t>
            </w:r>
            <w:r w:rsidRPr="00106BCF">
              <w:rPr>
                <w:rFonts w:ascii="Arial Narrow" w:hAnsi="Arial Narrow" w:cs="Arial"/>
                <w:sz w:val="20"/>
                <w:szCs w:val="20"/>
              </w:rPr>
              <w:t xml:space="preserve"> Emergency</w:t>
            </w:r>
          </w:p>
          <w:p w:rsidR="003859E7" w:rsidRPr="00106BCF" w:rsidRDefault="003859E7" w:rsidP="00771B63">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530119">
              <w:rPr>
                <w:rFonts w:ascii="Arial Narrow" w:hAnsi="Arial Narrow" w:cs="Arial"/>
                <w:sz w:val="20"/>
                <w:szCs w:val="20"/>
              </w:rPr>
            </w:r>
            <w:r w:rsidR="0053011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3859E7" w:rsidRPr="00260CE3" w:rsidRDefault="003859E7" w:rsidP="00771B63">
            <w:pPr>
              <w:spacing w:before="0" w:after="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530119">
              <w:rPr>
                <w:rFonts w:ascii="Arial Narrow" w:hAnsi="Arial Narrow" w:cs="Arial"/>
                <w:sz w:val="20"/>
                <w:szCs w:val="20"/>
              </w:rPr>
            </w:r>
            <w:r w:rsidR="0053011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3859E7" w:rsidRPr="00260CE3" w:rsidTr="00771B63">
        <w:trPr>
          <w:cantSplit/>
          <w:trHeight w:val="113"/>
        </w:trPr>
        <w:tc>
          <w:tcPr>
            <w:tcW w:w="2835" w:type="dxa"/>
            <w:tcBorders>
              <w:top w:val="single" w:sz="4" w:space="0" w:color="auto"/>
              <w:left w:val="single" w:sz="4" w:space="0" w:color="auto"/>
              <w:bottom w:val="single" w:sz="4" w:space="0" w:color="auto"/>
              <w:right w:val="single" w:sz="4" w:space="0" w:color="auto"/>
            </w:tcBorders>
          </w:tcPr>
          <w:p w:rsidR="003859E7" w:rsidRPr="00260CE3" w:rsidRDefault="003859E7" w:rsidP="00771B63">
            <w:pPr>
              <w:spacing w:before="0" w:after="0"/>
              <w:jc w:val="both"/>
              <w:rPr>
                <w:rFonts w:ascii="Arial Narrow" w:hAnsi="Arial Narrow" w:cs="Arial"/>
                <w:b/>
                <w:sz w:val="20"/>
                <w:szCs w:val="20"/>
              </w:rPr>
            </w:pPr>
            <w:r w:rsidRPr="00260CE3">
              <w:rPr>
                <w:rFonts w:ascii="Arial Narrow" w:hAnsi="Arial Narrow" w:cs="Arial"/>
                <w:b/>
                <w:sz w:val="20"/>
                <w:szCs w:val="20"/>
              </w:rPr>
              <w:t>Clinical criteria:</w:t>
            </w:r>
          </w:p>
          <w:p w:rsidR="003859E7" w:rsidRPr="00260CE3" w:rsidRDefault="003859E7" w:rsidP="00771B63">
            <w:pPr>
              <w:spacing w:before="0" w:after="0"/>
              <w:jc w:val="both"/>
              <w:rPr>
                <w:rFonts w:ascii="Arial Narrow" w:hAnsi="Arial Narrow" w:cs="Arial"/>
                <w:i/>
                <w:sz w:val="20"/>
                <w:szCs w:val="20"/>
              </w:rPr>
            </w:pPr>
          </w:p>
          <w:p w:rsidR="003859E7" w:rsidRPr="00260CE3" w:rsidRDefault="003859E7" w:rsidP="00771B63">
            <w:pPr>
              <w:spacing w:before="0" w:after="0"/>
              <w:jc w:val="both"/>
              <w:rPr>
                <w:rFonts w:ascii="Arial Narrow" w:hAnsi="Arial Narrow" w:cs="Arial"/>
                <w:sz w:val="20"/>
                <w:szCs w:val="20"/>
              </w:rPr>
            </w:pPr>
          </w:p>
        </w:tc>
        <w:tc>
          <w:tcPr>
            <w:tcW w:w="6382" w:type="dxa"/>
            <w:tcBorders>
              <w:top w:val="single" w:sz="4" w:space="0" w:color="auto"/>
              <w:left w:val="single" w:sz="4" w:space="0" w:color="auto"/>
              <w:bottom w:val="single" w:sz="4" w:space="0" w:color="auto"/>
              <w:right w:val="single" w:sz="4" w:space="0" w:color="auto"/>
            </w:tcBorders>
          </w:tcPr>
          <w:p w:rsidR="003859E7" w:rsidRPr="009266D9" w:rsidRDefault="003859E7" w:rsidP="00771B63">
            <w:pPr>
              <w:spacing w:before="0" w:after="0"/>
              <w:rPr>
                <w:rFonts w:ascii="Arial Narrow" w:hAnsi="Arial Narrow"/>
                <w:sz w:val="20"/>
              </w:rPr>
            </w:pPr>
            <w:r w:rsidRPr="009266D9">
              <w:rPr>
                <w:rFonts w:ascii="Arial Narrow" w:hAnsi="Arial Narrow"/>
                <w:sz w:val="20"/>
              </w:rPr>
              <w:t>The treatment must be in combination with insulin</w:t>
            </w:r>
          </w:p>
          <w:p w:rsidR="003859E7" w:rsidRPr="009266D9" w:rsidRDefault="003859E7" w:rsidP="00771B63">
            <w:pPr>
              <w:spacing w:before="0" w:after="0"/>
              <w:rPr>
                <w:rFonts w:ascii="Arial Narrow" w:hAnsi="Arial Narrow"/>
                <w:sz w:val="20"/>
              </w:rPr>
            </w:pPr>
            <w:r w:rsidRPr="009266D9">
              <w:rPr>
                <w:rFonts w:ascii="Arial Narrow" w:hAnsi="Arial Narrow"/>
                <w:sz w:val="20"/>
              </w:rPr>
              <w:t xml:space="preserve">AND </w:t>
            </w:r>
          </w:p>
          <w:p w:rsidR="003859E7" w:rsidRDefault="003859E7" w:rsidP="00771B63">
            <w:pPr>
              <w:spacing w:before="0" w:after="0"/>
              <w:rPr>
                <w:rFonts w:ascii="Arial Narrow" w:hAnsi="Arial Narrow"/>
                <w:sz w:val="20"/>
              </w:rPr>
            </w:pPr>
            <w:r w:rsidRPr="009266D9">
              <w:rPr>
                <w:rFonts w:ascii="Arial Narrow" w:hAnsi="Arial Narrow"/>
                <w:sz w:val="20"/>
              </w:rPr>
              <w:t>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w:t>
            </w:r>
          </w:p>
          <w:p w:rsidR="003859E7" w:rsidRPr="009266D9" w:rsidRDefault="003859E7" w:rsidP="00771B63">
            <w:pPr>
              <w:spacing w:before="0" w:after="0"/>
              <w:rPr>
                <w:rFonts w:ascii="Arial Narrow" w:hAnsi="Arial Narrow"/>
                <w:sz w:val="20"/>
              </w:rPr>
            </w:pPr>
            <w:r w:rsidRPr="009266D9">
              <w:rPr>
                <w:rFonts w:ascii="Arial Narrow" w:hAnsi="Arial Narrow"/>
                <w:sz w:val="20"/>
              </w:rPr>
              <w:t>OR</w:t>
            </w:r>
          </w:p>
          <w:p w:rsidR="003859E7" w:rsidRPr="009266D9" w:rsidRDefault="003859E7" w:rsidP="00771B63">
            <w:pPr>
              <w:spacing w:before="0" w:after="0"/>
              <w:rPr>
                <w:rFonts w:ascii="Arial Narrow" w:hAnsi="Arial Narrow"/>
                <w:sz w:val="20"/>
              </w:rPr>
            </w:pPr>
            <w:r w:rsidRPr="009266D9">
              <w:rPr>
                <w:rFonts w:ascii="Arial Narrow" w:hAnsi="Arial Narrow"/>
                <w:sz w:val="20"/>
              </w:rP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w:t>
            </w:r>
          </w:p>
          <w:p w:rsidR="003859E7" w:rsidRPr="00260CE3" w:rsidRDefault="003859E7" w:rsidP="00771B63">
            <w:pPr>
              <w:spacing w:before="0" w:after="0"/>
              <w:jc w:val="both"/>
              <w:rPr>
                <w:rFonts w:ascii="Arial Narrow" w:hAnsi="Arial Narrow" w:cs="Arial"/>
                <w:sz w:val="20"/>
                <w:szCs w:val="20"/>
              </w:rPr>
            </w:pPr>
          </w:p>
        </w:tc>
      </w:tr>
      <w:tr w:rsidR="003859E7" w:rsidRPr="00260CE3" w:rsidTr="00771B63">
        <w:trPr>
          <w:cantSplit/>
          <w:trHeight w:val="113"/>
        </w:trPr>
        <w:tc>
          <w:tcPr>
            <w:tcW w:w="2835" w:type="dxa"/>
            <w:tcBorders>
              <w:top w:val="single" w:sz="4" w:space="0" w:color="auto"/>
              <w:left w:val="single" w:sz="4" w:space="0" w:color="auto"/>
              <w:bottom w:val="single" w:sz="4" w:space="0" w:color="auto"/>
              <w:right w:val="single" w:sz="4" w:space="0" w:color="auto"/>
            </w:tcBorders>
          </w:tcPr>
          <w:p w:rsidR="003859E7" w:rsidRPr="00260CE3" w:rsidRDefault="003859E7" w:rsidP="00771B63">
            <w:pPr>
              <w:spacing w:before="0" w:after="0"/>
              <w:jc w:val="both"/>
              <w:rPr>
                <w:rFonts w:ascii="Arial Narrow" w:hAnsi="Arial Narrow" w:cs="Arial"/>
                <w:b/>
                <w:sz w:val="20"/>
                <w:szCs w:val="20"/>
              </w:rPr>
            </w:pPr>
            <w:r w:rsidRPr="00260CE3">
              <w:rPr>
                <w:rFonts w:ascii="Arial Narrow" w:hAnsi="Arial Narrow" w:cs="Arial"/>
                <w:b/>
                <w:sz w:val="20"/>
                <w:szCs w:val="20"/>
              </w:rPr>
              <w:t>Prescriber Instructions</w:t>
            </w:r>
          </w:p>
          <w:p w:rsidR="003859E7" w:rsidRPr="00260CE3" w:rsidRDefault="003859E7" w:rsidP="00771B63">
            <w:pPr>
              <w:spacing w:before="0" w:after="0"/>
              <w:jc w:val="both"/>
              <w:rPr>
                <w:rFonts w:ascii="Arial Narrow" w:hAnsi="Arial Narrow" w:cs="Arial"/>
                <w:sz w:val="20"/>
                <w:szCs w:val="20"/>
              </w:rPr>
            </w:pPr>
          </w:p>
        </w:tc>
        <w:tc>
          <w:tcPr>
            <w:tcW w:w="6382" w:type="dxa"/>
            <w:tcBorders>
              <w:top w:val="single" w:sz="4" w:space="0" w:color="auto"/>
              <w:left w:val="single" w:sz="4" w:space="0" w:color="auto"/>
              <w:bottom w:val="single" w:sz="4" w:space="0" w:color="auto"/>
              <w:right w:val="single" w:sz="4" w:space="0" w:color="auto"/>
            </w:tcBorders>
          </w:tcPr>
          <w:p w:rsidR="003859E7" w:rsidRPr="00FA4FAB" w:rsidRDefault="003859E7" w:rsidP="00771B63">
            <w:pPr>
              <w:spacing w:before="0" w:after="0"/>
              <w:rPr>
                <w:rFonts w:ascii="Arial Narrow" w:hAnsi="Arial Narrow"/>
                <w:sz w:val="20"/>
              </w:rPr>
            </w:pPr>
            <w:r w:rsidRPr="00FA4FAB">
              <w:rPr>
                <w:rFonts w:ascii="Arial Narrow" w:hAnsi="Arial Narrow"/>
                <w:sz w:val="20"/>
              </w:rPr>
              <w:t>The date and level of the qualifying HbA1c measurement must be, or must have been, documented in the patient’s medical records at the time treatment with a gliptin, a glitazone, a glucagon-like peptide-1 or an SGLT2 inhibitor is initiated.</w:t>
            </w:r>
          </w:p>
          <w:p w:rsidR="003859E7" w:rsidRPr="007F66FC" w:rsidRDefault="003859E7" w:rsidP="00771B63">
            <w:pPr>
              <w:spacing w:before="0" w:after="0"/>
              <w:rPr>
                <w:rFonts w:ascii="Arial Narrow" w:hAnsi="Arial Narrow"/>
                <w:i/>
                <w:sz w:val="20"/>
              </w:rPr>
            </w:pPr>
          </w:p>
          <w:p w:rsidR="003859E7" w:rsidRDefault="003859E7" w:rsidP="00771B63">
            <w:pPr>
              <w:spacing w:before="0" w:after="0"/>
              <w:rPr>
                <w:rFonts w:ascii="Arial Narrow" w:hAnsi="Arial Narrow"/>
                <w:sz w:val="20"/>
              </w:rPr>
            </w:pPr>
            <w:r w:rsidRPr="009266D9">
              <w:rPr>
                <w:rFonts w:ascii="Arial Narrow" w:hAnsi="Arial Narrow"/>
                <w:sz w:val="20"/>
              </w:rPr>
              <w:t>The HbA1c must be no more than 4 months old at the time treatment with a gliptin, a glitazone, a glucagon-like peptide-1 or an SGLT2 inhibitor was initiated.</w:t>
            </w:r>
          </w:p>
          <w:p w:rsidR="003859E7" w:rsidRPr="009266D9" w:rsidRDefault="003859E7" w:rsidP="00771B63">
            <w:pPr>
              <w:spacing w:before="0" w:after="0"/>
              <w:rPr>
                <w:rFonts w:ascii="Arial Narrow" w:hAnsi="Arial Narrow"/>
                <w:sz w:val="20"/>
              </w:rPr>
            </w:pPr>
          </w:p>
          <w:p w:rsidR="003859E7" w:rsidRPr="009266D9" w:rsidRDefault="003859E7" w:rsidP="00771B63">
            <w:pPr>
              <w:spacing w:before="0" w:after="0"/>
              <w:rPr>
                <w:rFonts w:ascii="Arial Narrow" w:hAnsi="Arial Narrow"/>
                <w:sz w:val="20"/>
              </w:rPr>
            </w:pPr>
            <w:r w:rsidRPr="009266D9">
              <w:rPr>
                <w:rFonts w:ascii="Arial Narrow" w:hAnsi="Arial Narrow"/>
                <w:sz w:val="20"/>
              </w:rPr>
              <w:t>Blood glucose monitoring may be used as an alternative assessment to HbA1c levels in the following circumstances:</w:t>
            </w:r>
          </w:p>
          <w:p w:rsidR="003859E7" w:rsidRPr="009266D9" w:rsidRDefault="003859E7" w:rsidP="00771B63">
            <w:pPr>
              <w:spacing w:before="0" w:after="0"/>
              <w:rPr>
                <w:rFonts w:ascii="Arial Narrow" w:hAnsi="Arial Narrow"/>
                <w:sz w:val="20"/>
              </w:rPr>
            </w:pPr>
            <w:r w:rsidRPr="009266D9">
              <w:rPr>
                <w:rFonts w:ascii="Arial Narrow" w:hAnsi="Arial Narrow"/>
                <w:sz w:val="20"/>
              </w:rPr>
              <w:t>(a) A clinical condition with reduced red blood cell survival, including haemolytic anaemias and haemoglobinopathies; and/or</w:t>
            </w:r>
          </w:p>
          <w:p w:rsidR="003859E7" w:rsidRDefault="003859E7" w:rsidP="00771B63">
            <w:pPr>
              <w:spacing w:before="0" w:after="0"/>
              <w:rPr>
                <w:rFonts w:ascii="Arial Narrow" w:hAnsi="Arial Narrow"/>
                <w:sz w:val="20"/>
              </w:rPr>
            </w:pPr>
            <w:r w:rsidRPr="009266D9">
              <w:rPr>
                <w:rFonts w:ascii="Arial Narrow" w:hAnsi="Arial Narrow"/>
                <w:sz w:val="20"/>
              </w:rPr>
              <w:t>(b) Had red cell transfusion within the previous 3 months.</w:t>
            </w:r>
          </w:p>
          <w:p w:rsidR="003859E7" w:rsidRPr="009266D9" w:rsidRDefault="003859E7" w:rsidP="00771B63">
            <w:pPr>
              <w:spacing w:before="0" w:after="0"/>
              <w:rPr>
                <w:rFonts w:ascii="Arial Narrow" w:hAnsi="Arial Narrow"/>
                <w:sz w:val="20"/>
              </w:rPr>
            </w:pPr>
          </w:p>
          <w:p w:rsidR="003859E7" w:rsidRPr="009266D9" w:rsidRDefault="003859E7" w:rsidP="00771B63">
            <w:pPr>
              <w:spacing w:before="0" w:after="0"/>
              <w:rPr>
                <w:rFonts w:ascii="Arial Narrow" w:hAnsi="Arial Narrow"/>
                <w:sz w:val="20"/>
              </w:rPr>
            </w:pPr>
            <w:r w:rsidRPr="009266D9">
              <w:rPr>
                <w:rFonts w:ascii="Arial Narrow" w:hAnsi="Arial Narrow"/>
                <w:sz w:val="20"/>
              </w:rPr>
              <w:t>The results of the blood glucose monitoring, which must be no more than 4 months old at the time of initiation of treatment with a gliptin, a glitazone, a glucagon-like peptide-1 or an SGLT2 inhibitor, must be documented in the patient's medical records.</w:t>
            </w:r>
          </w:p>
          <w:p w:rsidR="003859E7" w:rsidRPr="00260CE3" w:rsidRDefault="003859E7" w:rsidP="00771B63">
            <w:pPr>
              <w:spacing w:before="0" w:after="0"/>
              <w:rPr>
                <w:rFonts w:ascii="Arial Narrow" w:hAnsi="Arial Narrow" w:cs="Arial"/>
                <w:sz w:val="20"/>
                <w:szCs w:val="20"/>
              </w:rPr>
            </w:pPr>
          </w:p>
        </w:tc>
      </w:tr>
      <w:tr w:rsidR="003859E7" w:rsidRPr="00260CE3" w:rsidTr="00771B63">
        <w:trPr>
          <w:cantSplit/>
          <w:trHeight w:val="113"/>
        </w:trPr>
        <w:tc>
          <w:tcPr>
            <w:tcW w:w="2835" w:type="dxa"/>
            <w:tcBorders>
              <w:top w:val="single" w:sz="4" w:space="0" w:color="auto"/>
              <w:left w:val="single" w:sz="4" w:space="0" w:color="auto"/>
              <w:bottom w:val="single" w:sz="4" w:space="0" w:color="auto"/>
              <w:right w:val="single" w:sz="4" w:space="0" w:color="auto"/>
            </w:tcBorders>
          </w:tcPr>
          <w:p w:rsidR="003859E7" w:rsidRPr="00E00371" w:rsidRDefault="003859E7" w:rsidP="00771B63">
            <w:pPr>
              <w:spacing w:before="0" w:after="0"/>
              <w:jc w:val="both"/>
              <w:rPr>
                <w:rFonts w:ascii="Arial Narrow" w:hAnsi="Arial Narrow" w:cs="Arial"/>
                <w:b/>
                <w:i/>
                <w:sz w:val="20"/>
                <w:szCs w:val="20"/>
              </w:rPr>
            </w:pPr>
            <w:r w:rsidRPr="00E00371">
              <w:rPr>
                <w:rFonts w:ascii="Arial Narrow" w:hAnsi="Arial Narrow" w:cs="Arial"/>
                <w:b/>
                <w:i/>
                <w:sz w:val="20"/>
                <w:szCs w:val="20"/>
              </w:rPr>
              <w:t>Administrative Advice</w:t>
            </w:r>
          </w:p>
          <w:p w:rsidR="003859E7" w:rsidRPr="00260CE3" w:rsidRDefault="003859E7" w:rsidP="00771B63">
            <w:pPr>
              <w:spacing w:before="0" w:after="0"/>
              <w:jc w:val="both"/>
              <w:rPr>
                <w:rFonts w:ascii="Arial Narrow" w:hAnsi="Arial Narrow" w:cs="Arial"/>
                <w:i/>
                <w:sz w:val="20"/>
                <w:szCs w:val="20"/>
              </w:rPr>
            </w:pPr>
          </w:p>
        </w:tc>
        <w:tc>
          <w:tcPr>
            <w:tcW w:w="6382" w:type="dxa"/>
            <w:tcBorders>
              <w:top w:val="single" w:sz="4" w:space="0" w:color="auto"/>
              <w:left w:val="single" w:sz="4" w:space="0" w:color="auto"/>
              <w:bottom w:val="single" w:sz="4" w:space="0" w:color="auto"/>
              <w:right w:val="single" w:sz="4" w:space="0" w:color="auto"/>
            </w:tcBorders>
          </w:tcPr>
          <w:p w:rsidR="003859E7" w:rsidRPr="00FA4FAB" w:rsidRDefault="003859E7" w:rsidP="00771B63">
            <w:pPr>
              <w:spacing w:before="0" w:after="0"/>
              <w:rPr>
                <w:rFonts w:ascii="Arial Narrow" w:hAnsi="Arial Narrow" w:cs="Arial"/>
                <w:sz w:val="20"/>
                <w:szCs w:val="20"/>
              </w:rPr>
            </w:pPr>
            <w:r w:rsidRPr="00FA4FAB">
              <w:rPr>
                <w:rFonts w:ascii="Arial Narrow" w:hAnsi="Arial Narrow" w:cs="Arial"/>
                <w:sz w:val="20"/>
                <w:szCs w:val="20"/>
              </w:rPr>
              <w:t>Continuing Therapy Only:</w:t>
            </w:r>
          </w:p>
          <w:p w:rsidR="003859E7" w:rsidRPr="00FA4FAB" w:rsidRDefault="003859E7" w:rsidP="00771B63">
            <w:pPr>
              <w:spacing w:before="0" w:after="0"/>
              <w:rPr>
                <w:rFonts w:ascii="Arial Narrow" w:hAnsi="Arial Narrow" w:cs="Arial"/>
                <w:sz w:val="20"/>
                <w:szCs w:val="20"/>
              </w:rPr>
            </w:pPr>
            <w:r w:rsidRPr="00FA4FAB">
              <w:rPr>
                <w:rFonts w:ascii="Arial Narrow" w:hAnsi="Arial Narrow" w:cs="Arial"/>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3859E7" w:rsidRPr="00FA4FAB" w:rsidRDefault="003859E7" w:rsidP="00771B63">
            <w:pPr>
              <w:spacing w:before="0" w:after="0"/>
              <w:rPr>
                <w:rFonts w:ascii="Arial Narrow" w:hAnsi="Arial Narrow" w:cs="Arial"/>
                <w:sz w:val="20"/>
                <w:szCs w:val="20"/>
              </w:rPr>
            </w:pPr>
          </w:p>
          <w:p w:rsidR="003859E7" w:rsidRPr="00260CE3" w:rsidRDefault="003859E7" w:rsidP="00771B63">
            <w:pPr>
              <w:spacing w:before="0" w:after="0"/>
              <w:rPr>
                <w:rFonts w:ascii="Arial Narrow" w:hAnsi="Arial Narrow" w:cs="Arial"/>
                <w:sz w:val="20"/>
                <w:szCs w:val="20"/>
              </w:rPr>
            </w:pPr>
            <w:r w:rsidRPr="00FA4FAB">
              <w:rPr>
                <w:rFonts w:ascii="Arial Narrow" w:hAnsi="Arial Narrow" w:cs="Arial"/>
                <w:sz w:val="20"/>
                <w:szCs w:val="20"/>
              </w:rPr>
              <w:t>This drug is not PBS-subsidised for use as monotherapy or in combination with a thiazolidinedione (glitazone), a glucagon-like peptide-1 or an SGLT2 inhibitor.</w:t>
            </w:r>
          </w:p>
        </w:tc>
      </w:tr>
    </w:tbl>
    <w:p w:rsidR="003859E7" w:rsidRDefault="003859E7" w:rsidP="003859E7">
      <w:pPr>
        <w:rPr>
          <w:rFonts w:ascii="Arial" w:hAnsi="Arial" w:cs="Arial"/>
          <w:sz w:val="22"/>
        </w:rPr>
      </w:pPr>
    </w:p>
    <w:tbl>
      <w:tblPr>
        <w:tblW w:w="7558" w:type="dxa"/>
        <w:tblInd w:w="105" w:type="dxa"/>
        <w:tblLayout w:type="fixed"/>
        <w:tblCellMar>
          <w:left w:w="28" w:type="dxa"/>
          <w:right w:w="28" w:type="dxa"/>
        </w:tblCellMar>
        <w:tblLook w:val="0000" w:firstRow="0" w:lastRow="0" w:firstColumn="0" w:lastColumn="0" w:noHBand="0" w:noVBand="0"/>
      </w:tblPr>
      <w:tblGrid>
        <w:gridCol w:w="3353"/>
        <w:gridCol w:w="754"/>
        <w:gridCol w:w="913"/>
        <w:gridCol w:w="901"/>
        <w:gridCol w:w="1637"/>
      </w:tblGrid>
      <w:tr w:rsidR="003859E7" w:rsidRPr="00984441" w:rsidTr="003859E7">
        <w:trPr>
          <w:cantSplit/>
          <w:trHeight w:val="463"/>
        </w:trPr>
        <w:tc>
          <w:tcPr>
            <w:tcW w:w="3353" w:type="dxa"/>
            <w:tcBorders>
              <w:bottom w:val="single" w:sz="4" w:space="0" w:color="auto"/>
            </w:tcBorders>
            <w:vAlign w:val="center"/>
          </w:tcPr>
          <w:p w:rsidR="003859E7" w:rsidRPr="00F12373" w:rsidRDefault="003859E7" w:rsidP="00771B63">
            <w:pPr>
              <w:pStyle w:val="TableText"/>
              <w:jc w:val="both"/>
            </w:pPr>
            <w:r w:rsidRPr="00F12373">
              <w:t>Name, Restriction,</w:t>
            </w:r>
          </w:p>
          <w:p w:rsidR="003859E7" w:rsidRPr="00F12373" w:rsidRDefault="003859E7" w:rsidP="00771B63">
            <w:pPr>
              <w:pStyle w:val="TableText"/>
              <w:jc w:val="both"/>
            </w:pPr>
            <w:r w:rsidRPr="00F12373">
              <w:t>Manner of administration and form</w:t>
            </w:r>
          </w:p>
        </w:tc>
        <w:tc>
          <w:tcPr>
            <w:tcW w:w="754" w:type="dxa"/>
            <w:tcBorders>
              <w:bottom w:val="single" w:sz="4" w:space="0" w:color="auto"/>
            </w:tcBorders>
            <w:vAlign w:val="center"/>
          </w:tcPr>
          <w:p w:rsidR="003859E7" w:rsidRPr="00F12373" w:rsidRDefault="003859E7" w:rsidP="00771B63">
            <w:pPr>
              <w:pStyle w:val="TableText"/>
              <w:jc w:val="both"/>
            </w:pPr>
            <w:r w:rsidRPr="00F12373">
              <w:t>Max.</w:t>
            </w:r>
          </w:p>
          <w:p w:rsidR="003859E7" w:rsidRPr="00F12373" w:rsidRDefault="003859E7" w:rsidP="00771B63">
            <w:pPr>
              <w:pStyle w:val="TableText"/>
              <w:jc w:val="both"/>
            </w:pPr>
            <w:r w:rsidRPr="00F12373">
              <w:t>Qty (tablets)</w:t>
            </w:r>
          </w:p>
        </w:tc>
        <w:tc>
          <w:tcPr>
            <w:tcW w:w="913" w:type="dxa"/>
            <w:tcBorders>
              <w:bottom w:val="single" w:sz="4" w:space="0" w:color="auto"/>
            </w:tcBorders>
            <w:vAlign w:val="center"/>
          </w:tcPr>
          <w:p w:rsidR="003859E7" w:rsidRPr="00F12373" w:rsidRDefault="003859E7" w:rsidP="00771B63">
            <w:pPr>
              <w:pStyle w:val="TableText"/>
              <w:jc w:val="both"/>
            </w:pPr>
            <w:r w:rsidRPr="00F12373">
              <w:t>№.of</w:t>
            </w:r>
          </w:p>
          <w:p w:rsidR="003859E7" w:rsidRPr="00F12373" w:rsidRDefault="003859E7" w:rsidP="00771B63">
            <w:pPr>
              <w:pStyle w:val="TableText"/>
              <w:jc w:val="both"/>
            </w:pPr>
            <w:r w:rsidRPr="00F12373">
              <w:t>Rpts</w:t>
            </w:r>
          </w:p>
        </w:tc>
        <w:tc>
          <w:tcPr>
            <w:tcW w:w="2538" w:type="dxa"/>
            <w:gridSpan w:val="2"/>
            <w:tcBorders>
              <w:bottom w:val="single" w:sz="4" w:space="0" w:color="auto"/>
            </w:tcBorders>
            <w:vAlign w:val="center"/>
          </w:tcPr>
          <w:p w:rsidR="003859E7" w:rsidRPr="00F12373" w:rsidRDefault="003859E7" w:rsidP="00771B63">
            <w:pPr>
              <w:pStyle w:val="TableText"/>
              <w:jc w:val="both"/>
              <w:rPr>
                <w:lang w:val="fr-FR"/>
              </w:rPr>
            </w:pPr>
            <w:r w:rsidRPr="00F12373">
              <w:t>Proprietary Name and Manufacturer</w:t>
            </w:r>
          </w:p>
        </w:tc>
      </w:tr>
      <w:tr w:rsidR="003859E7" w:rsidRPr="00691913" w:rsidTr="003859E7">
        <w:trPr>
          <w:cantSplit/>
          <w:trHeight w:val="828"/>
        </w:trPr>
        <w:tc>
          <w:tcPr>
            <w:tcW w:w="3353" w:type="dxa"/>
            <w:vMerge w:val="restart"/>
            <w:tcBorders>
              <w:top w:val="single" w:sz="4" w:space="0" w:color="auto"/>
            </w:tcBorders>
            <w:vAlign w:val="center"/>
          </w:tcPr>
          <w:p w:rsidR="003859E7" w:rsidRPr="00F12373" w:rsidRDefault="003859E7" w:rsidP="00771B63">
            <w:pPr>
              <w:pStyle w:val="TableText"/>
              <w:spacing w:before="0" w:after="0"/>
              <w:rPr>
                <w:smallCaps/>
              </w:rPr>
            </w:pPr>
            <w:r w:rsidRPr="00F12373">
              <w:rPr>
                <w:smallCaps/>
              </w:rPr>
              <w:t>Vildagliptin + metformin fixed dose combination</w:t>
            </w:r>
          </w:p>
          <w:p w:rsidR="003859E7" w:rsidRPr="00F12373" w:rsidRDefault="003859E7" w:rsidP="00771B63">
            <w:pPr>
              <w:pStyle w:val="TableText"/>
              <w:spacing w:before="0" w:after="0"/>
              <w:jc w:val="both"/>
            </w:pPr>
            <w:r w:rsidRPr="00F12373">
              <w:t>Tablet, 50mg/500mg</w:t>
            </w:r>
          </w:p>
          <w:p w:rsidR="003859E7" w:rsidRPr="00F12373" w:rsidRDefault="003859E7" w:rsidP="00771B63">
            <w:pPr>
              <w:pStyle w:val="TableText"/>
              <w:spacing w:before="0" w:after="0"/>
              <w:jc w:val="both"/>
            </w:pPr>
            <w:r w:rsidRPr="00F12373">
              <w:t>Tablet, 50mg/850mg</w:t>
            </w:r>
          </w:p>
          <w:p w:rsidR="003859E7" w:rsidRPr="00F12373" w:rsidRDefault="003859E7" w:rsidP="00771B63">
            <w:pPr>
              <w:pStyle w:val="TableText"/>
              <w:spacing w:before="0" w:after="0"/>
              <w:jc w:val="both"/>
            </w:pPr>
            <w:r w:rsidRPr="00F12373">
              <w:t>Tablet, 50mg/1000mg</w:t>
            </w:r>
          </w:p>
        </w:tc>
        <w:tc>
          <w:tcPr>
            <w:tcW w:w="754" w:type="dxa"/>
            <w:tcBorders>
              <w:top w:val="single" w:sz="4" w:space="0" w:color="auto"/>
            </w:tcBorders>
            <w:vAlign w:val="center"/>
          </w:tcPr>
          <w:p w:rsidR="003859E7" w:rsidRPr="00F12373" w:rsidRDefault="003859E7" w:rsidP="00771B63">
            <w:pPr>
              <w:pStyle w:val="TableText"/>
              <w:jc w:val="both"/>
            </w:pPr>
          </w:p>
          <w:p w:rsidR="003859E7" w:rsidRPr="00F12373" w:rsidRDefault="003859E7" w:rsidP="00771B63">
            <w:pPr>
              <w:pStyle w:val="TableText"/>
              <w:jc w:val="both"/>
            </w:pPr>
            <w:r w:rsidRPr="00F12373">
              <w:t>60</w:t>
            </w:r>
          </w:p>
        </w:tc>
        <w:tc>
          <w:tcPr>
            <w:tcW w:w="913" w:type="dxa"/>
            <w:tcBorders>
              <w:top w:val="single" w:sz="4" w:space="0" w:color="auto"/>
            </w:tcBorders>
            <w:vAlign w:val="center"/>
          </w:tcPr>
          <w:p w:rsidR="003859E7" w:rsidRPr="00F12373" w:rsidRDefault="003859E7" w:rsidP="00771B63">
            <w:pPr>
              <w:pStyle w:val="TableText"/>
              <w:jc w:val="both"/>
            </w:pPr>
          </w:p>
          <w:p w:rsidR="003859E7" w:rsidRPr="00F12373" w:rsidRDefault="003859E7" w:rsidP="00771B63">
            <w:pPr>
              <w:pStyle w:val="TableText"/>
              <w:jc w:val="both"/>
            </w:pPr>
            <w:r w:rsidRPr="00F12373">
              <w:t>5</w:t>
            </w:r>
          </w:p>
        </w:tc>
        <w:tc>
          <w:tcPr>
            <w:tcW w:w="901" w:type="dxa"/>
            <w:tcBorders>
              <w:top w:val="single" w:sz="4" w:space="0" w:color="auto"/>
            </w:tcBorders>
            <w:vAlign w:val="center"/>
          </w:tcPr>
          <w:p w:rsidR="003859E7" w:rsidRPr="00F12373" w:rsidRDefault="003859E7" w:rsidP="00771B63">
            <w:pPr>
              <w:pStyle w:val="TableText"/>
              <w:jc w:val="both"/>
            </w:pPr>
          </w:p>
          <w:p w:rsidR="003859E7" w:rsidRPr="00F12373" w:rsidRDefault="003859E7" w:rsidP="00771B63">
            <w:pPr>
              <w:pStyle w:val="TableText"/>
              <w:jc w:val="both"/>
            </w:pPr>
            <w:r w:rsidRPr="00F12373">
              <w:t>Galvumet®</w:t>
            </w:r>
          </w:p>
        </w:tc>
        <w:tc>
          <w:tcPr>
            <w:tcW w:w="1637" w:type="dxa"/>
            <w:vMerge w:val="restart"/>
            <w:tcBorders>
              <w:top w:val="single" w:sz="4" w:space="0" w:color="auto"/>
            </w:tcBorders>
            <w:vAlign w:val="center"/>
          </w:tcPr>
          <w:p w:rsidR="003859E7" w:rsidRPr="00F12373" w:rsidRDefault="003859E7" w:rsidP="00771B63">
            <w:pPr>
              <w:pStyle w:val="TableText"/>
              <w:jc w:val="both"/>
            </w:pPr>
          </w:p>
          <w:p w:rsidR="003859E7" w:rsidRPr="00F12373" w:rsidRDefault="003859E7" w:rsidP="00771B63">
            <w:pPr>
              <w:pStyle w:val="TableText"/>
              <w:jc w:val="both"/>
            </w:pPr>
            <w:r w:rsidRPr="00F12373">
              <w:t>Novartis Pharmaceuticals Australia Pty Limited</w:t>
            </w:r>
          </w:p>
          <w:p w:rsidR="003859E7" w:rsidRPr="00F12373" w:rsidRDefault="003859E7" w:rsidP="00771B63">
            <w:pPr>
              <w:pStyle w:val="TableText"/>
              <w:jc w:val="both"/>
            </w:pPr>
          </w:p>
        </w:tc>
      </w:tr>
      <w:tr w:rsidR="003859E7" w:rsidRPr="00691913" w:rsidTr="003859E7">
        <w:trPr>
          <w:cantSplit/>
          <w:trHeight w:val="207"/>
        </w:trPr>
        <w:tc>
          <w:tcPr>
            <w:tcW w:w="3353" w:type="dxa"/>
            <w:vMerge/>
            <w:vAlign w:val="center"/>
          </w:tcPr>
          <w:p w:rsidR="003859E7" w:rsidRDefault="003859E7" w:rsidP="00771B63">
            <w:pPr>
              <w:pStyle w:val="TableText"/>
              <w:jc w:val="both"/>
              <w:rPr>
                <w:smallCaps/>
              </w:rPr>
            </w:pPr>
          </w:p>
        </w:tc>
        <w:tc>
          <w:tcPr>
            <w:tcW w:w="754" w:type="dxa"/>
            <w:vAlign w:val="center"/>
          </w:tcPr>
          <w:p w:rsidR="003859E7" w:rsidRPr="00691913" w:rsidRDefault="003859E7" w:rsidP="00771B63">
            <w:pPr>
              <w:pStyle w:val="TableText"/>
              <w:jc w:val="both"/>
            </w:pPr>
            <w:r>
              <w:t>60</w:t>
            </w:r>
          </w:p>
        </w:tc>
        <w:tc>
          <w:tcPr>
            <w:tcW w:w="913" w:type="dxa"/>
            <w:vAlign w:val="center"/>
          </w:tcPr>
          <w:p w:rsidR="003859E7" w:rsidRDefault="003859E7" w:rsidP="00771B63">
            <w:pPr>
              <w:pStyle w:val="TableText"/>
              <w:jc w:val="both"/>
            </w:pPr>
            <w:r>
              <w:t>5</w:t>
            </w:r>
          </w:p>
        </w:tc>
        <w:tc>
          <w:tcPr>
            <w:tcW w:w="901" w:type="dxa"/>
            <w:vAlign w:val="center"/>
          </w:tcPr>
          <w:p w:rsidR="003859E7" w:rsidRDefault="003859E7" w:rsidP="00771B63">
            <w:pPr>
              <w:pStyle w:val="TableText"/>
              <w:jc w:val="both"/>
            </w:pPr>
            <w:r>
              <w:t>Galvumet</w:t>
            </w:r>
            <w:r w:rsidRPr="001442A6">
              <w:t>®</w:t>
            </w:r>
          </w:p>
        </w:tc>
        <w:tc>
          <w:tcPr>
            <w:tcW w:w="1637" w:type="dxa"/>
            <w:vMerge/>
            <w:vAlign w:val="center"/>
          </w:tcPr>
          <w:p w:rsidR="003859E7" w:rsidRPr="00691913" w:rsidRDefault="003859E7" w:rsidP="00771B63">
            <w:pPr>
              <w:pStyle w:val="TableText"/>
              <w:jc w:val="both"/>
            </w:pPr>
          </w:p>
        </w:tc>
      </w:tr>
      <w:tr w:rsidR="003859E7" w:rsidRPr="00691913" w:rsidTr="003859E7">
        <w:trPr>
          <w:cantSplit/>
          <w:trHeight w:val="207"/>
        </w:trPr>
        <w:tc>
          <w:tcPr>
            <w:tcW w:w="3353" w:type="dxa"/>
            <w:vMerge/>
            <w:vAlign w:val="center"/>
          </w:tcPr>
          <w:p w:rsidR="003859E7" w:rsidRDefault="003859E7" w:rsidP="00771B63">
            <w:pPr>
              <w:pStyle w:val="TableText"/>
              <w:jc w:val="both"/>
              <w:rPr>
                <w:smallCaps/>
              </w:rPr>
            </w:pPr>
          </w:p>
        </w:tc>
        <w:tc>
          <w:tcPr>
            <w:tcW w:w="754" w:type="dxa"/>
            <w:vAlign w:val="center"/>
          </w:tcPr>
          <w:p w:rsidR="003859E7" w:rsidRPr="00691913" w:rsidRDefault="003859E7" w:rsidP="00771B63">
            <w:pPr>
              <w:pStyle w:val="TableText"/>
              <w:jc w:val="both"/>
            </w:pPr>
            <w:r>
              <w:t>60</w:t>
            </w:r>
          </w:p>
        </w:tc>
        <w:tc>
          <w:tcPr>
            <w:tcW w:w="913" w:type="dxa"/>
            <w:vAlign w:val="center"/>
          </w:tcPr>
          <w:p w:rsidR="003859E7" w:rsidRDefault="003859E7" w:rsidP="00771B63">
            <w:pPr>
              <w:pStyle w:val="TableText"/>
              <w:jc w:val="both"/>
            </w:pPr>
            <w:r>
              <w:t>5</w:t>
            </w:r>
          </w:p>
        </w:tc>
        <w:tc>
          <w:tcPr>
            <w:tcW w:w="901" w:type="dxa"/>
            <w:vAlign w:val="center"/>
          </w:tcPr>
          <w:p w:rsidR="003859E7" w:rsidRDefault="003859E7" w:rsidP="00771B63">
            <w:pPr>
              <w:pStyle w:val="TableText"/>
              <w:jc w:val="both"/>
            </w:pPr>
            <w:r>
              <w:t>Galvumet</w:t>
            </w:r>
            <w:r w:rsidRPr="001442A6">
              <w:t>®</w:t>
            </w:r>
          </w:p>
        </w:tc>
        <w:tc>
          <w:tcPr>
            <w:tcW w:w="1637" w:type="dxa"/>
            <w:vMerge/>
            <w:vAlign w:val="center"/>
          </w:tcPr>
          <w:p w:rsidR="003859E7" w:rsidRPr="00691913" w:rsidRDefault="003859E7" w:rsidP="00771B63">
            <w:pPr>
              <w:pStyle w:val="TableText"/>
              <w:jc w:val="both"/>
            </w:pPr>
          </w:p>
        </w:tc>
      </w:tr>
    </w:tbl>
    <w:p w:rsidR="003859E7" w:rsidRDefault="003859E7" w:rsidP="003859E7">
      <w:pPr>
        <w:pStyle w:val="TableText"/>
        <w:jc w:val="both"/>
        <w:rPr>
          <w:sz w:val="18"/>
          <w:szCs w:val="18"/>
        </w:rPr>
      </w:pPr>
      <w:r>
        <w:t xml:space="preserve">* </w:t>
      </w:r>
      <w:r w:rsidRPr="00332EBE">
        <w:rPr>
          <w:sz w:val="18"/>
          <w:szCs w:val="18"/>
        </w:rPr>
        <w:t>the DPMQ have been updated from those included in the submission to reflect the 1 July 2017 increase of 40 cents in the dispensing fee</w:t>
      </w:r>
    </w:p>
    <w:tbl>
      <w:tblPr>
        <w:tblW w:w="9214" w:type="dxa"/>
        <w:tblInd w:w="108" w:type="dxa"/>
        <w:tblLayout w:type="fixed"/>
        <w:tblLook w:val="0000" w:firstRow="0" w:lastRow="0" w:firstColumn="0" w:lastColumn="0" w:noHBand="0" w:noVBand="0"/>
      </w:tblPr>
      <w:tblGrid>
        <w:gridCol w:w="2835"/>
        <w:gridCol w:w="6379"/>
      </w:tblGrid>
      <w:tr w:rsidR="003859E7" w:rsidRPr="00260CE3" w:rsidTr="00771B63">
        <w:trPr>
          <w:cantSplit/>
          <w:trHeight w:val="360"/>
        </w:trPr>
        <w:tc>
          <w:tcPr>
            <w:tcW w:w="9214" w:type="dxa"/>
            <w:gridSpan w:val="2"/>
            <w:tcBorders>
              <w:bottom w:val="single" w:sz="4" w:space="0" w:color="auto"/>
            </w:tcBorders>
          </w:tcPr>
          <w:p w:rsidR="003859E7" w:rsidRPr="00260CE3" w:rsidRDefault="003859E7" w:rsidP="00771B63">
            <w:pPr>
              <w:spacing w:before="0" w:after="0"/>
              <w:jc w:val="both"/>
              <w:rPr>
                <w:rFonts w:ascii="Arial Narrow" w:hAnsi="Arial Narrow" w:cs="Arial"/>
                <w:sz w:val="20"/>
                <w:szCs w:val="20"/>
              </w:rPr>
            </w:pPr>
          </w:p>
        </w:tc>
      </w:tr>
      <w:tr w:rsidR="003859E7" w:rsidRPr="00260CE3" w:rsidTr="00771B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3859E7" w:rsidRPr="00260CE3" w:rsidRDefault="003859E7" w:rsidP="00771B63">
            <w:pPr>
              <w:spacing w:before="0" w:after="0"/>
              <w:jc w:val="both"/>
              <w:rPr>
                <w:rFonts w:ascii="Arial Narrow" w:hAnsi="Arial Narrow" w:cs="Arial"/>
                <w:b/>
                <w:sz w:val="20"/>
                <w:szCs w:val="20"/>
              </w:rPr>
            </w:pPr>
            <w:r w:rsidRPr="00260CE3">
              <w:rPr>
                <w:rFonts w:ascii="Arial Narrow" w:hAnsi="Arial Narrow" w:cs="Arial"/>
                <w:b/>
                <w:sz w:val="20"/>
                <w:szCs w:val="20"/>
              </w:rPr>
              <w:t>Category / Program</w:t>
            </w:r>
          </w:p>
        </w:tc>
        <w:tc>
          <w:tcPr>
            <w:tcW w:w="6379" w:type="dxa"/>
            <w:tcBorders>
              <w:top w:val="single" w:sz="4" w:space="0" w:color="auto"/>
              <w:left w:val="single" w:sz="4" w:space="0" w:color="auto"/>
              <w:bottom w:val="single" w:sz="4" w:space="0" w:color="auto"/>
              <w:right w:val="single" w:sz="4" w:space="0" w:color="auto"/>
            </w:tcBorders>
          </w:tcPr>
          <w:p w:rsidR="003859E7" w:rsidRPr="00260CE3" w:rsidRDefault="003859E7" w:rsidP="00771B63">
            <w:pPr>
              <w:spacing w:before="0" w:after="0"/>
              <w:rPr>
                <w:rFonts w:ascii="Arial Narrow" w:hAnsi="Arial Narrow" w:cs="Arial"/>
                <w:sz w:val="20"/>
                <w:szCs w:val="20"/>
              </w:rPr>
            </w:pPr>
            <w:r w:rsidRPr="00260CE3">
              <w:rPr>
                <w:rFonts w:ascii="Arial Narrow" w:hAnsi="Arial Narrow" w:cs="Arial"/>
                <w:sz w:val="20"/>
                <w:szCs w:val="20"/>
              </w:rPr>
              <w:t>GENERAL – General Schedule (Code GE)</w:t>
            </w:r>
          </w:p>
        </w:tc>
      </w:tr>
      <w:tr w:rsidR="003859E7" w:rsidRPr="00E00371" w:rsidTr="00771B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3859E7" w:rsidRPr="0010252D" w:rsidRDefault="003859E7" w:rsidP="00771B63">
            <w:pPr>
              <w:spacing w:before="0" w:after="0"/>
              <w:jc w:val="both"/>
              <w:rPr>
                <w:rFonts w:ascii="Arial Narrow" w:hAnsi="Arial Narrow" w:cs="Arial"/>
                <w:b/>
                <w:sz w:val="20"/>
                <w:szCs w:val="20"/>
              </w:rPr>
            </w:pPr>
            <w:r w:rsidRPr="0010252D">
              <w:rPr>
                <w:rFonts w:ascii="Arial Narrow" w:hAnsi="Arial Narrow" w:cs="Arial"/>
                <w:b/>
                <w:sz w:val="20"/>
                <w:szCs w:val="20"/>
              </w:rPr>
              <w:t>Prescriber type:</w:t>
            </w:r>
          </w:p>
          <w:p w:rsidR="003859E7" w:rsidRPr="00E00371" w:rsidRDefault="003859E7" w:rsidP="00771B63">
            <w:pPr>
              <w:spacing w:before="0" w:after="0"/>
              <w:jc w:val="both"/>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rsidR="003859E7" w:rsidRPr="0010252D" w:rsidRDefault="003859E7" w:rsidP="00771B63">
            <w:pPr>
              <w:spacing w:before="0" w:after="0"/>
              <w:rPr>
                <w:rFonts w:ascii="Arial Narrow" w:hAnsi="Arial Narrow" w:cs="Arial"/>
                <w:sz w:val="20"/>
                <w:szCs w:val="20"/>
              </w:rPr>
            </w:pPr>
            <w:r w:rsidRPr="00E00371">
              <w:rPr>
                <w:rFonts w:ascii="Arial Narrow" w:hAnsi="Arial Narrow" w:cs="Arial"/>
                <w:sz w:val="20"/>
                <w:szCs w:val="20"/>
              </w:rPr>
              <w:fldChar w:fldCharType="begin">
                <w:ffData>
                  <w:name w:val="Check1"/>
                  <w:enabled/>
                  <w:calcOnExit w:val="0"/>
                  <w:checkBox>
                    <w:sizeAuto/>
                    <w:default w:val="0"/>
                  </w:checkBox>
                </w:ffData>
              </w:fldChar>
            </w:r>
            <w:r w:rsidRPr="00E00371">
              <w:rPr>
                <w:rFonts w:ascii="Arial Narrow" w:hAnsi="Arial Narrow" w:cs="Arial"/>
                <w:sz w:val="20"/>
                <w:szCs w:val="20"/>
              </w:rPr>
              <w:instrText xml:space="preserve"> FORMCHECKBOX </w:instrText>
            </w:r>
            <w:r w:rsidR="00530119">
              <w:rPr>
                <w:rFonts w:ascii="Arial Narrow" w:hAnsi="Arial Narrow" w:cs="Arial"/>
                <w:sz w:val="20"/>
                <w:szCs w:val="20"/>
              </w:rPr>
            </w:r>
            <w:r w:rsidR="00530119">
              <w:rPr>
                <w:rFonts w:ascii="Arial Narrow" w:hAnsi="Arial Narrow" w:cs="Arial"/>
                <w:sz w:val="20"/>
                <w:szCs w:val="20"/>
              </w:rPr>
              <w:fldChar w:fldCharType="separate"/>
            </w:r>
            <w:r w:rsidRPr="00E00371">
              <w:rPr>
                <w:rFonts w:ascii="Arial Narrow" w:hAnsi="Arial Narrow" w:cs="Arial"/>
                <w:sz w:val="20"/>
                <w:szCs w:val="20"/>
              </w:rPr>
              <w:fldChar w:fldCharType="end"/>
            </w:r>
            <w:r w:rsidRPr="0010252D">
              <w:rPr>
                <w:rFonts w:ascii="Arial Narrow" w:hAnsi="Arial Narrow" w:cs="Arial"/>
                <w:sz w:val="20"/>
                <w:szCs w:val="20"/>
              </w:rPr>
              <w:t xml:space="preserve">Dental  </w:t>
            </w:r>
            <w:r w:rsidRPr="00E00371">
              <w:rPr>
                <w:rFonts w:ascii="Arial Narrow" w:hAnsi="Arial Narrow" w:cs="Arial"/>
                <w:sz w:val="20"/>
                <w:szCs w:val="20"/>
              </w:rPr>
              <w:fldChar w:fldCharType="begin">
                <w:ffData>
                  <w:name w:val=""/>
                  <w:enabled/>
                  <w:calcOnExit w:val="0"/>
                  <w:checkBox>
                    <w:sizeAuto/>
                    <w:default w:val="1"/>
                  </w:checkBox>
                </w:ffData>
              </w:fldChar>
            </w:r>
            <w:r w:rsidRPr="00E00371">
              <w:rPr>
                <w:rFonts w:ascii="Arial Narrow" w:hAnsi="Arial Narrow" w:cs="Arial"/>
                <w:sz w:val="20"/>
                <w:szCs w:val="20"/>
              </w:rPr>
              <w:instrText xml:space="preserve"> FORMCHECKBOX </w:instrText>
            </w:r>
            <w:r w:rsidR="00530119">
              <w:rPr>
                <w:rFonts w:ascii="Arial Narrow" w:hAnsi="Arial Narrow" w:cs="Arial"/>
                <w:sz w:val="20"/>
                <w:szCs w:val="20"/>
              </w:rPr>
            </w:r>
            <w:r w:rsidR="00530119">
              <w:rPr>
                <w:rFonts w:ascii="Arial Narrow" w:hAnsi="Arial Narrow" w:cs="Arial"/>
                <w:sz w:val="20"/>
                <w:szCs w:val="20"/>
              </w:rPr>
              <w:fldChar w:fldCharType="separate"/>
            </w:r>
            <w:r w:rsidRPr="00E00371">
              <w:rPr>
                <w:rFonts w:ascii="Arial Narrow" w:hAnsi="Arial Narrow" w:cs="Arial"/>
                <w:sz w:val="20"/>
                <w:szCs w:val="20"/>
              </w:rPr>
              <w:fldChar w:fldCharType="end"/>
            </w:r>
            <w:r w:rsidRPr="0010252D">
              <w:rPr>
                <w:rFonts w:ascii="Arial Narrow" w:hAnsi="Arial Narrow" w:cs="Arial"/>
                <w:sz w:val="20"/>
                <w:szCs w:val="20"/>
              </w:rPr>
              <w:t xml:space="preserve">Medical Practitioners  </w:t>
            </w:r>
            <w:r w:rsidRPr="00E00371">
              <w:rPr>
                <w:rFonts w:ascii="Arial Narrow" w:hAnsi="Arial Narrow" w:cs="Arial"/>
                <w:sz w:val="20"/>
                <w:szCs w:val="20"/>
              </w:rPr>
              <w:fldChar w:fldCharType="begin">
                <w:ffData>
                  <w:name w:val=""/>
                  <w:enabled/>
                  <w:calcOnExit w:val="0"/>
                  <w:checkBox>
                    <w:sizeAuto/>
                    <w:default w:val="1"/>
                  </w:checkBox>
                </w:ffData>
              </w:fldChar>
            </w:r>
            <w:r w:rsidRPr="00E00371">
              <w:rPr>
                <w:rFonts w:ascii="Arial Narrow" w:hAnsi="Arial Narrow" w:cs="Arial"/>
                <w:sz w:val="20"/>
                <w:szCs w:val="20"/>
              </w:rPr>
              <w:instrText xml:space="preserve"> FORMCHECKBOX </w:instrText>
            </w:r>
            <w:r w:rsidR="00530119">
              <w:rPr>
                <w:rFonts w:ascii="Arial Narrow" w:hAnsi="Arial Narrow" w:cs="Arial"/>
                <w:sz w:val="20"/>
                <w:szCs w:val="20"/>
              </w:rPr>
            </w:r>
            <w:r w:rsidR="00530119">
              <w:rPr>
                <w:rFonts w:ascii="Arial Narrow" w:hAnsi="Arial Narrow" w:cs="Arial"/>
                <w:sz w:val="20"/>
                <w:szCs w:val="20"/>
              </w:rPr>
              <w:fldChar w:fldCharType="separate"/>
            </w:r>
            <w:r w:rsidRPr="00E00371">
              <w:rPr>
                <w:rFonts w:ascii="Arial Narrow" w:hAnsi="Arial Narrow" w:cs="Arial"/>
                <w:sz w:val="20"/>
                <w:szCs w:val="20"/>
              </w:rPr>
              <w:fldChar w:fldCharType="end"/>
            </w:r>
            <w:r w:rsidRPr="0010252D">
              <w:rPr>
                <w:rFonts w:ascii="Arial Narrow" w:hAnsi="Arial Narrow" w:cs="Arial"/>
                <w:sz w:val="20"/>
                <w:szCs w:val="20"/>
              </w:rPr>
              <w:t xml:space="preserve">Nurse practitioners  </w:t>
            </w:r>
            <w:r w:rsidRPr="00E00371">
              <w:rPr>
                <w:rFonts w:ascii="Arial Narrow" w:hAnsi="Arial Narrow" w:cs="Arial"/>
                <w:sz w:val="20"/>
                <w:szCs w:val="20"/>
              </w:rPr>
              <w:fldChar w:fldCharType="begin">
                <w:ffData>
                  <w:name w:val=""/>
                  <w:enabled/>
                  <w:calcOnExit w:val="0"/>
                  <w:checkBox>
                    <w:sizeAuto/>
                    <w:default w:val="0"/>
                  </w:checkBox>
                </w:ffData>
              </w:fldChar>
            </w:r>
            <w:r w:rsidRPr="00E00371">
              <w:rPr>
                <w:rFonts w:ascii="Arial Narrow" w:hAnsi="Arial Narrow" w:cs="Arial"/>
                <w:sz w:val="20"/>
                <w:szCs w:val="20"/>
              </w:rPr>
              <w:instrText xml:space="preserve"> FORMCHECKBOX </w:instrText>
            </w:r>
            <w:r w:rsidR="00530119">
              <w:rPr>
                <w:rFonts w:ascii="Arial Narrow" w:hAnsi="Arial Narrow" w:cs="Arial"/>
                <w:sz w:val="20"/>
                <w:szCs w:val="20"/>
              </w:rPr>
            </w:r>
            <w:r w:rsidR="00530119">
              <w:rPr>
                <w:rFonts w:ascii="Arial Narrow" w:hAnsi="Arial Narrow" w:cs="Arial"/>
                <w:sz w:val="20"/>
                <w:szCs w:val="20"/>
              </w:rPr>
              <w:fldChar w:fldCharType="separate"/>
            </w:r>
            <w:r w:rsidRPr="00E00371">
              <w:rPr>
                <w:rFonts w:ascii="Arial Narrow" w:hAnsi="Arial Narrow" w:cs="Arial"/>
                <w:sz w:val="20"/>
                <w:szCs w:val="20"/>
              </w:rPr>
              <w:fldChar w:fldCharType="end"/>
            </w:r>
            <w:r w:rsidRPr="0010252D">
              <w:rPr>
                <w:rFonts w:ascii="Arial Narrow" w:hAnsi="Arial Narrow" w:cs="Arial"/>
                <w:sz w:val="20"/>
                <w:szCs w:val="20"/>
              </w:rPr>
              <w:t>Optometrists</w:t>
            </w:r>
          </w:p>
          <w:p w:rsidR="003859E7" w:rsidRPr="0010252D" w:rsidRDefault="003859E7" w:rsidP="00771B63">
            <w:pPr>
              <w:spacing w:before="0" w:after="0"/>
              <w:rPr>
                <w:rFonts w:ascii="Arial Narrow" w:hAnsi="Arial Narrow" w:cs="Arial"/>
                <w:sz w:val="20"/>
                <w:szCs w:val="20"/>
              </w:rPr>
            </w:pPr>
            <w:r w:rsidRPr="00E00371">
              <w:rPr>
                <w:rFonts w:ascii="Arial Narrow" w:hAnsi="Arial Narrow" w:cs="Arial"/>
                <w:sz w:val="20"/>
                <w:szCs w:val="20"/>
              </w:rPr>
              <w:fldChar w:fldCharType="begin">
                <w:ffData>
                  <w:name w:val=""/>
                  <w:enabled/>
                  <w:calcOnExit w:val="0"/>
                  <w:checkBox>
                    <w:sizeAuto/>
                    <w:default w:val="0"/>
                  </w:checkBox>
                </w:ffData>
              </w:fldChar>
            </w:r>
            <w:r w:rsidRPr="00E00371">
              <w:rPr>
                <w:rFonts w:ascii="Arial Narrow" w:hAnsi="Arial Narrow" w:cs="Arial"/>
                <w:sz w:val="20"/>
                <w:szCs w:val="20"/>
              </w:rPr>
              <w:instrText xml:space="preserve"> FORMCHECKBOX </w:instrText>
            </w:r>
            <w:r w:rsidR="00530119">
              <w:rPr>
                <w:rFonts w:ascii="Arial Narrow" w:hAnsi="Arial Narrow" w:cs="Arial"/>
                <w:sz w:val="20"/>
                <w:szCs w:val="20"/>
              </w:rPr>
            </w:r>
            <w:r w:rsidR="00530119">
              <w:rPr>
                <w:rFonts w:ascii="Arial Narrow" w:hAnsi="Arial Narrow" w:cs="Arial"/>
                <w:sz w:val="20"/>
                <w:szCs w:val="20"/>
              </w:rPr>
              <w:fldChar w:fldCharType="separate"/>
            </w:r>
            <w:r w:rsidRPr="00E00371">
              <w:rPr>
                <w:rFonts w:ascii="Arial Narrow" w:hAnsi="Arial Narrow" w:cs="Arial"/>
                <w:sz w:val="20"/>
                <w:szCs w:val="20"/>
              </w:rPr>
              <w:fldChar w:fldCharType="end"/>
            </w:r>
            <w:r w:rsidRPr="0010252D">
              <w:rPr>
                <w:rFonts w:ascii="Arial Narrow" w:hAnsi="Arial Narrow" w:cs="Arial"/>
                <w:sz w:val="20"/>
                <w:szCs w:val="20"/>
              </w:rPr>
              <w:t>Midwives</w:t>
            </w:r>
          </w:p>
        </w:tc>
      </w:tr>
      <w:tr w:rsidR="003859E7" w:rsidRPr="00260CE3" w:rsidTr="00771B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3859E7" w:rsidRPr="00AE058A" w:rsidRDefault="003859E7" w:rsidP="00771B63">
            <w:pPr>
              <w:spacing w:before="0" w:after="0"/>
              <w:jc w:val="both"/>
              <w:rPr>
                <w:rFonts w:ascii="Arial Narrow" w:hAnsi="Arial Narrow" w:cs="Arial"/>
                <w:i/>
                <w:sz w:val="20"/>
                <w:szCs w:val="20"/>
              </w:rPr>
            </w:pPr>
            <w:r w:rsidRPr="00260CE3">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rsidR="003859E7" w:rsidRPr="00260CE3" w:rsidRDefault="003859E7" w:rsidP="00771B63">
            <w:pPr>
              <w:spacing w:before="0" w:after="0"/>
              <w:rPr>
                <w:rFonts w:ascii="Arial Narrow" w:hAnsi="Arial Narrow" w:cs="Arial"/>
                <w:sz w:val="20"/>
                <w:szCs w:val="20"/>
              </w:rPr>
            </w:pPr>
            <w:r>
              <w:rPr>
                <w:rFonts w:ascii="Arial Narrow" w:hAnsi="Arial Narrow" w:cs="Arial"/>
                <w:sz w:val="20"/>
                <w:szCs w:val="20"/>
              </w:rPr>
              <w:t>Diabetes mellitus type 2</w:t>
            </w:r>
          </w:p>
        </w:tc>
      </w:tr>
      <w:tr w:rsidR="003859E7" w:rsidRPr="00260CE3" w:rsidTr="00771B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3859E7" w:rsidRPr="00260CE3" w:rsidRDefault="003859E7" w:rsidP="00771B63">
            <w:pPr>
              <w:spacing w:before="0" w:after="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3859E7" w:rsidRDefault="003859E7" w:rsidP="00771B63">
            <w:pPr>
              <w:spacing w:before="0" w:after="0"/>
              <w:rPr>
                <w:rFonts w:ascii="Arial Narrow" w:hAnsi="Arial Narrow" w:cs="Arial"/>
                <w:i/>
                <w:sz w:val="20"/>
                <w:szCs w:val="20"/>
                <w:highlight w:val="yellow"/>
              </w:rPr>
            </w:pPr>
          </w:p>
          <w:p w:rsidR="003859E7" w:rsidRDefault="003859E7" w:rsidP="00771B63">
            <w:pPr>
              <w:spacing w:before="0" w:after="0"/>
              <w:rPr>
                <w:rFonts w:ascii="Arial Narrow" w:hAnsi="Arial Narrow" w:cs="Arial"/>
                <w:i/>
                <w:sz w:val="20"/>
                <w:szCs w:val="20"/>
              </w:rPr>
            </w:pPr>
          </w:p>
          <w:p w:rsidR="003859E7" w:rsidRPr="00CD28F3" w:rsidRDefault="003859E7" w:rsidP="00771B63">
            <w:pPr>
              <w:spacing w:before="0" w:after="0"/>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3859E7" w:rsidRPr="00106BCF" w:rsidRDefault="003859E7" w:rsidP="00771B63">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530119">
              <w:rPr>
                <w:rFonts w:ascii="Arial Narrow" w:hAnsi="Arial Narrow" w:cs="Arial"/>
                <w:sz w:val="20"/>
                <w:szCs w:val="20"/>
              </w:rPr>
            </w:r>
            <w:r w:rsidR="0053011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3859E7" w:rsidRPr="00106BCF" w:rsidRDefault="003859E7" w:rsidP="00771B63">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530119">
              <w:rPr>
                <w:rFonts w:ascii="Arial Narrow" w:hAnsi="Arial Narrow" w:cs="Arial"/>
                <w:sz w:val="20"/>
                <w:szCs w:val="20"/>
              </w:rPr>
            </w:r>
            <w:r w:rsidR="0053011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3859E7" w:rsidRPr="00106BCF" w:rsidRDefault="003859E7" w:rsidP="00771B63">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530119">
              <w:rPr>
                <w:rFonts w:ascii="Arial Narrow" w:hAnsi="Arial Narrow" w:cs="Arial"/>
                <w:sz w:val="20"/>
                <w:szCs w:val="20"/>
              </w:rPr>
            </w:r>
            <w:r w:rsidR="0053011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3859E7" w:rsidRPr="00106BCF" w:rsidRDefault="003859E7" w:rsidP="00771B63">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530119">
              <w:rPr>
                <w:rFonts w:ascii="Arial Narrow" w:hAnsi="Arial Narrow" w:cs="Arial"/>
                <w:sz w:val="20"/>
                <w:szCs w:val="20"/>
              </w:rPr>
            </w:r>
            <w:r w:rsidR="0053011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Pr="004332FE">
              <w:rPr>
                <w:rFonts w:ascii="Arial Narrow" w:hAnsi="Arial Narrow" w:cs="Arial"/>
                <w:sz w:val="20"/>
                <w:szCs w:val="20"/>
              </w:rPr>
              <w:t>-</w:t>
            </w:r>
            <w:r w:rsidRPr="00106BCF">
              <w:rPr>
                <w:rFonts w:ascii="Arial Narrow" w:hAnsi="Arial Narrow" w:cs="Arial"/>
                <w:sz w:val="20"/>
                <w:szCs w:val="20"/>
              </w:rPr>
              <w:t xml:space="preserve"> Emergency</w:t>
            </w:r>
          </w:p>
          <w:p w:rsidR="003859E7" w:rsidRPr="00106BCF" w:rsidRDefault="003859E7" w:rsidP="00771B63">
            <w:pPr>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530119">
              <w:rPr>
                <w:rFonts w:ascii="Arial Narrow" w:hAnsi="Arial Narrow" w:cs="Arial"/>
                <w:sz w:val="20"/>
                <w:szCs w:val="20"/>
              </w:rPr>
            </w:r>
            <w:r w:rsidR="0053011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3859E7" w:rsidRPr="00260CE3" w:rsidRDefault="003859E7" w:rsidP="00771B63">
            <w:pPr>
              <w:spacing w:before="0" w:after="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530119">
              <w:rPr>
                <w:rFonts w:ascii="Arial Narrow" w:hAnsi="Arial Narrow" w:cs="Arial"/>
                <w:sz w:val="20"/>
                <w:szCs w:val="20"/>
              </w:rPr>
            </w:r>
            <w:r w:rsidR="0053011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3859E7" w:rsidRPr="00260CE3" w:rsidTr="00771B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3859E7" w:rsidRPr="00260CE3" w:rsidRDefault="003859E7" w:rsidP="00771B63">
            <w:pPr>
              <w:spacing w:before="0" w:after="0"/>
              <w:jc w:val="both"/>
              <w:rPr>
                <w:rFonts w:ascii="Arial Narrow" w:hAnsi="Arial Narrow" w:cs="Arial"/>
                <w:b/>
                <w:sz w:val="20"/>
                <w:szCs w:val="20"/>
              </w:rPr>
            </w:pPr>
            <w:r w:rsidRPr="00260CE3">
              <w:rPr>
                <w:rFonts w:ascii="Arial Narrow" w:hAnsi="Arial Narrow" w:cs="Arial"/>
                <w:b/>
                <w:sz w:val="20"/>
                <w:szCs w:val="20"/>
              </w:rPr>
              <w:t>Clinical criteria:</w:t>
            </w:r>
          </w:p>
          <w:p w:rsidR="003859E7" w:rsidRPr="00260CE3" w:rsidRDefault="003859E7" w:rsidP="00771B63">
            <w:pPr>
              <w:spacing w:before="0" w:after="0"/>
              <w:jc w:val="both"/>
              <w:rPr>
                <w:rFonts w:ascii="Arial Narrow" w:hAnsi="Arial Narrow" w:cs="Arial"/>
                <w:i/>
                <w:sz w:val="20"/>
                <w:szCs w:val="20"/>
              </w:rPr>
            </w:pPr>
          </w:p>
          <w:p w:rsidR="003859E7" w:rsidRPr="00260CE3" w:rsidRDefault="003859E7" w:rsidP="00771B63">
            <w:pPr>
              <w:spacing w:before="0" w:after="0"/>
              <w:jc w:val="both"/>
              <w:rPr>
                <w:rFonts w:ascii="Arial Narrow" w:hAnsi="Arial Narrow" w:cs="Arial"/>
                <w:sz w:val="20"/>
                <w:szCs w:val="20"/>
              </w:rPr>
            </w:pPr>
          </w:p>
        </w:tc>
        <w:tc>
          <w:tcPr>
            <w:tcW w:w="6379" w:type="dxa"/>
            <w:tcBorders>
              <w:top w:val="single" w:sz="4" w:space="0" w:color="auto"/>
              <w:left w:val="single" w:sz="4" w:space="0" w:color="auto"/>
              <w:bottom w:val="single" w:sz="4" w:space="0" w:color="auto"/>
              <w:right w:val="single" w:sz="4" w:space="0" w:color="auto"/>
            </w:tcBorders>
          </w:tcPr>
          <w:p w:rsidR="003859E7" w:rsidRPr="009266D9" w:rsidRDefault="003859E7" w:rsidP="00771B63">
            <w:pPr>
              <w:spacing w:before="0" w:after="0"/>
              <w:rPr>
                <w:rFonts w:ascii="Arial Narrow" w:hAnsi="Arial Narrow"/>
                <w:sz w:val="20"/>
              </w:rPr>
            </w:pPr>
            <w:r w:rsidRPr="009266D9">
              <w:rPr>
                <w:rFonts w:ascii="Arial Narrow" w:hAnsi="Arial Narrow"/>
                <w:sz w:val="20"/>
              </w:rPr>
              <w:t>The treatment must be in combination with insulin</w:t>
            </w:r>
          </w:p>
          <w:p w:rsidR="003859E7" w:rsidRPr="009266D9" w:rsidRDefault="003859E7" w:rsidP="00771B63">
            <w:pPr>
              <w:spacing w:before="0" w:after="0"/>
              <w:rPr>
                <w:rFonts w:ascii="Arial Narrow" w:hAnsi="Arial Narrow"/>
                <w:sz w:val="20"/>
              </w:rPr>
            </w:pPr>
            <w:r w:rsidRPr="009266D9">
              <w:rPr>
                <w:rFonts w:ascii="Arial Narrow" w:hAnsi="Arial Narrow"/>
                <w:sz w:val="20"/>
              </w:rPr>
              <w:t xml:space="preserve">AND </w:t>
            </w:r>
          </w:p>
          <w:p w:rsidR="003859E7" w:rsidRDefault="003859E7" w:rsidP="00771B63">
            <w:pPr>
              <w:spacing w:before="0" w:after="0"/>
              <w:rPr>
                <w:rFonts w:ascii="Arial Narrow" w:hAnsi="Arial Narrow"/>
                <w:sz w:val="20"/>
              </w:rPr>
            </w:pPr>
            <w:r w:rsidRPr="009266D9">
              <w:rPr>
                <w:rFonts w:ascii="Arial Narrow" w:hAnsi="Arial Narrow"/>
                <w:sz w:val="20"/>
              </w:rPr>
              <w:t>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w:t>
            </w:r>
          </w:p>
          <w:p w:rsidR="003859E7" w:rsidRPr="009266D9" w:rsidRDefault="003859E7" w:rsidP="00771B63">
            <w:pPr>
              <w:spacing w:before="0" w:after="0"/>
              <w:rPr>
                <w:rFonts w:ascii="Arial Narrow" w:hAnsi="Arial Narrow"/>
                <w:sz w:val="20"/>
              </w:rPr>
            </w:pPr>
            <w:r w:rsidRPr="009266D9">
              <w:rPr>
                <w:rFonts w:ascii="Arial Narrow" w:hAnsi="Arial Narrow"/>
                <w:sz w:val="20"/>
              </w:rPr>
              <w:t>OR</w:t>
            </w:r>
          </w:p>
          <w:p w:rsidR="003859E7" w:rsidRPr="009266D9" w:rsidRDefault="003859E7" w:rsidP="00771B63">
            <w:pPr>
              <w:spacing w:before="0" w:after="0"/>
              <w:rPr>
                <w:rFonts w:ascii="Arial Narrow" w:hAnsi="Arial Narrow"/>
                <w:sz w:val="20"/>
              </w:rPr>
            </w:pPr>
            <w:r w:rsidRPr="009266D9">
              <w:rPr>
                <w:rFonts w:ascii="Arial Narrow" w:hAnsi="Arial Narrow"/>
                <w:sz w:val="20"/>
              </w:rP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w:t>
            </w:r>
          </w:p>
          <w:p w:rsidR="003859E7" w:rsidRPr="00260CE3" w:rsidRDefault="003859E7" w:rsidP="00771B63">
            <w:pPr>
              <w:spacing w:before="0" w:after="0"/>
              <w:jc w:val="both"/>
              <w:rPr>
                <w:rFonts w:ascii="Arial Narrow" w:hAnsi="Arial Narrow" w:cs="Arial"/>
                <w:sz w:val="20"/>
                <w:szCs w:val="20"/>
              </w:rPr>
            </w:pPr>
          </w:p>
        </w:tc>
      </w:tr>
      <w:tr w:rsidR="003859E7" w:rsidRPr="00260CE3" w:rsidTr="00771B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3859E7" w:rsidRPr="00260CE3" w:rsidRDefault="003859E7" w:rsidP="00771B63">
            <w:pPr>
              <w:spacing w:before="0" w:after="0"/>
              <w:jc w:val="both"/>
              <w:rPr>
                <w:rFonts w:ascii="Arial Narrow" w:hAnsi="Arial Narrow" w:cs="Arial"/>
                <w:b/>
                <w:sz w:val="20"/>
                <w:szCs w:val="20"/>
              </w:rPr>
            </w:pPr>
            <w:r w:rsidRPr="00260CE3">
              <w:rPr>
                <w:rFonts w:ascii="Arial Narrow" w:hAnsi="Arial Narrow" w:cs="Arial"/>
                <w:b/>
                <w:sz w:val="20"/>
                <w:szCs w:val="20"/>
              </w:rPr>
              <w:t>Prescriber Instructions</w:t>
            </w:r>
          </w:p>
          <w:p w:rsidR="003859E7" w:rsidRPr="00260CE3" w:rsidRDefault="003859E7" w:rsidP="00771B63">
            <w:pPr>
              <w:spacing w:before="0" w:after="0"/>
              <w:jc w:val="both"/>
              <w:rPr>
                <w:rFonts w:ascii="Arial Narrow" w:hAnsi="Arial Narrow" w:cs="Arial"/>
                <w:sz w:val="20"/>
                <w:szCs w:val="20"/>
              </w:rPr>
            </w:pPr>
          </w:p>
        </w:tc>
        <w:tc>
          <w:tcPr>
            <w:tcW w:w="6379" w:type="dxa"/>
            <w:tcBorders>
              <w:top w:val="single" w:sz="4" w:space="0" w:color="auto"/>
              <w:left w:val="single" w:sz="4" w:space="0" w:color="auto"/>
              <w:bottom w:val="single" w:sz="4" w:space="0" w:color="auto"/>
              <w:right w:val="single" w:sz="4" w:space="0" w:color="auto"/>
            </w:tcBorders>
          </w:tcPr>
          <w:p w:rsidR="003859E7" w:rsidRPr="00FA4FAB" w:rsidRDefault="003859E7" w:rsidP="00771B63">
            <w:pPr>
              <w:spacing w:before="0" w:after="0"/>
              <w:rPr>
                <w:rFonts w:ascii="Arial Narrow" w:hAnsi="Arial Narrow"/>
                <w:sz w:val="20"/>
              </w:rPr>
            </w:pPr>
            <w:r w:rsidRPr="00FA4FAB">
              <w:rPr>
                <w:rFonts w:ascii="Arial Narrow" w:hAnsi="Arial Narrow"/>
                <w:sz w:val="20"/>
              </w:rPr>
              <w:t>The date and level of the qualifying HbA1c measurement must be, or must have been, documented in the patient’s medical records at the time treatment with a gliptin, a glitazone, a glucagon-like peptide-1 or an SGLT2 inhibitor is initiated.</w:t>
            </w:r>
          </w:p>
          <w:p w:rsidR="003859E7" w:rsidRPr="007F66FC" w:rsidRDefault="003859E7" w:rsidP="00771B63">
            <w:pPr>
              <w:spacing w:before="0" w:after="0"/>
              <w:rPr>
                <w:rFonts w:ascii="Arial Narrow" w:hAnsi="Arial Narrow"/>
                <w:i/>
                <w:sz w:val="20"/>
              </w:rPr>
            </w:pPr>
          </w:p>
          <w:p w:rsidR="003859E7" w:rsidRDefault="003859E7" w:rsidP="00771B63">
            <w:pPr>
              <w:spacing w:before="0" w:after="0"/>
              <w:rPr>
                <w:rFonts w:ascii="Arial Narrow" w:hAnsi="Arial Narrow"/>
                <w:sz w:val="20"/>
              </w:rPr>
            </w:pPr>
            <w:r w:rsidRPr="009266D9">
              <w:rPr>
                <w:rFonts w:ascii="Arial Narrow" w:hAnsi="Arial Narrow"/>
                <w:sz w:val="20"/>
              </w:rPr>
              <w:t>The HbA1c must be no more than 4 months old at the time treatment with a gliptin, a glitazone, a glucagon-like peptide-1 or an SGLT2 inhibitor was initiated.</w:t>
            </w:r>
          </w:p>
          <w:p w:rsidR="003859E7" w:rsidRPr="009266D9" w:rsidRDefault="003859E7" w:rsidP="00771B63">
            <w:pPr>
              <w:spacing w:before="0" w:after="0"/>
              <w:rPr>
                <w:rFonts w:ascii="Arial Narrow" w:hAnsi="Arial Narrow"/>
                <w:sz w:val="20"/>
              </w:rPr>
            </w:pPr>
          </w:p>
          <w:p w:rsidR="003859E7" w:rsidRPr="009266D9" w:rsidRDefault="003859E7" w:rsidP="00771B63">
            <w:pPr>
              <w:spacing w:before="0" w:after="0"/>
              <w:rPr>
                <w:rFonts w:ascii="Arial Narrow" w:hAnsi="Arial Narrow"/>
                <w:sz w:val="20"/>
              </w:rPr>
            </w:pPr>
            <w:r w:rsidRPr="009266D9">
              <w:rPr>
                <w:rFonts w:ascii="Arial Narrow" w:hAnsi="Arial Narrow"/>
                <w:sz w:val="20"/>
              </w:rPr>
              <w:t>Blood glucose monitoring may be used as an alternative assessment to HbA1c levels in the following circumstances:</w:t>
            </w:r>
          </w:p>
          <w:p w:rsidR="003859E7" w:rsidRPr="009266D9" w:rsidRDefault="003859E7" w:rsidP="00771B63">
            <w:pPr>
              <w:spacing w:before="0" w:after="0"/>
              <w:rPr>
                <w:rFonts w:ascii="Arial Narrow" w:hAnsi="Arial Narrow"/>
                <w:sz w:val="20"/>
              </w:rPr>
            </w:pPr>
            <w:r w:rsidRPr="009266D9">
              <w:rPr>
                <w:rFonts w:ascii="Arial Narrow" w:hAnsi="Arial Narrow"/>
                <w:sz w:val="20"/>
              </w:rPr>
              <w:t>(a) A clinical condition with reduced red blood cell survival, including haemolytic anaemias and haemoglobinopathies; and/or</w:t>
            </w:r>
          </w:p>
          <w:p w:rsidR="003859E7" w:rsidRPr="009266D9" w:rsidRDefault="003859E7" w:rsidP="00771B63">
            <w:pPr>
              <w:spacing w:before="0" w:after="0"/>
              <w:rPr>
                <w:rFonts w:ascii="Arial Narrow" w:hAnsi="Arial Narrow"/>
                <w:sz w:val="20"/>
              </w:rPr>
            </w:pPr>
            <w:r w:rsidRPr="009266D9">
              <w:rPr>
                <w:rFonts w:ascii="Arial Narrow" w:hAnsi="Arial Narrow"/>
                <w:sz w:val="20"/>
              </w:rPr>
              <w:t>(b) Had red cell transfusion within the previous 3 months.</w:t>
            </w:r>
          </w:p>
          <w:p w:rsidR="003859E7" w:rsidRDefault="003859E7" w:rsidP="00771B63">
            <w:pPr>
              <w:spacing w:before="0" w:after="0"/>
              <w:rPr>
                <w:rFonts w:ascii="Arial Narrow" w:hAnsi="Arial Narrow"/>
                <w:sz w:val="20"/>
              </w:rPr>
            </w:pPr>
          </w:p>
          <w:p w:rsidR="003859E7" w:rsidRPr="009266D9" w:rsidRDefault="003859E7" w:rsidP="00771B63">
            <w:pPr>
              <w:spacing w:before="0" w:after="0"/>
              <w:rPr>
                <w:rFonts w:ascii="Arial Narrow" w:hAnsi="Arial Narrow"/>
                <w:sz w:val="20"/>
              </w:rPr>
            </w:pPr>
            <w:r w:rsidRPr="009266D9">
              <w:rPr>
                <w:rFonts w:ascii="Arial Narrow" w:hAnsi="Arial Narrow"/>
                <w:sz w:val="20"/>
              </w:rPr>
              <w:t>The results of the blood glucose monitoring, which must be no more than 4 months old at the time of initiation of treatment with a gliptin, a glitazone, a glucagon-like peptide-1 or an SGLT2 inhibitor, must be documented in the patient's medical records.</w:t>
            </w:r>
          </w:p>
          <w:p w:rsidR="003859E7" w:rsidRPr="00260CE3" w:rsidRDefault="003859E7" w:rsidP="00771B63">
            <w:pPr>
              <w:spacing w:before="0" w:after="0"/>
              <w:rPr>
                <w:rFonts w:ascii="Arial Narrow" w:hAnsi="Arial Narrow" w:cs="Arial"/>
                <w:sz w:val="20"/>
                <w:szCs w:val="20"/>
              </w:rPr>
            </w:pPr>
          </w:p>
        </w:tc>
      </w:tr>
      <w:tr w:rsidR="003859E7" w:rsidRPr="00260CE3" w:rsidTr="00771B63">
        <w:trPr>
          <w:cantSplit/>
          <w:trHeight w:val="360"/>
        </w:trPr>
        <w:tc>
          <w:tcPr>
            <w:tcW w:w="2835" w:type="dxa"/>
            <w:tcBorders>
              <w:top w:val="single" w:sz="4" w:space="0" w:color="auto"/>
              <w:left w:val="single" w:sz="4" w:space="0" w:color="auto"/>
              <w:bottom w:val="single" w:sz="4" w:space="0" w:color="auto"/>
              <w:right w:val="single" w:sz="4" w:space="0" w:color="auto"/>
            </w:tcBorders>
          </w:tcPr>
          <w:p w:rsidR="003859E7" w:rsidRPr="00E00371" w:rsidRDefault="003859E7" w:rsidP="00771B63">
            <w:pPr>
              <w:spacing w:before="0" w:after="0"/>
              <w:jc w:val="both"/>
              <w:rPr>
                <w:rFonts w:ascii="Arial Narrow" w:hAnsi="Arial Narrow" w:cs="Arial"/>
                <w:b/>
                <w:i/>
                <w:sz w:val="20"/>
                <w:szCs w:val="20"/>
              </w:rPr>
            </w:pPr>
            <w:r w:rsidRPr="00E00371">
              <w:rPr>
                <w:rFonts w:ascii="Arial Narrow" w:hAnsi="Arial Narrow" w:cs="Arial"/>
                <w:b/>
                <w:i/>
                <w:sz w:val="20"/>
                <w:szCs w:val="20"/>
              </w:rPr>
              <w:t>Administrative Advice</w:t>
            </w:r>
          </w:p>
          <w:p w:rsidR="003859E7" w:rsidRPr="00260CE3" w:rsidRDefault="003859E7" w:rsidP="00771B63">
            <w:pPr>
              <w:spacing w:before="0" w:after="0"/>
              <w:jc w:val="both"/>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3859E7" w:rsidRPr="00FA4FAB" w:rsidRDefault="003859E7" w:rsidP="00771B63">
            <w:pPr>
              <w:spacing w:before="0" w:after="0"/>
              <w:rPr>
                <w:rFonts w:ascii="Arial Narrow" w:hAnsi="Arial Narrow" w:cs="Arial"/>
                <w:sz w:val="20"/>
                <w:szCs w:val="20"/>
              </w:rPr>
            </w:pPr>
            <w:r w:rsidRPr="00FA4FAB">
              <w:rPr>
                <w:rFonts w:ascii="Arial Narrow" w:hAnsi="Arial Narrow" w:cs="Arial"/>
                <w:sz w:val="20"/>
                <w:szCs w:val="20"/>
              </w:rPr>
              <w:t>Continuing Therapy Only:</w:t>
            </w:r>
          </w:p>
          <w:p w:rsidR="003859E7" w:rsidRPr="00FA4FAB" w:rsidRDefault="003859E7" w:rsidP="00771B63">
            <w:pPr>
              <w:spacing w:before="0" w:after="0"/>
              <w:rPr>
                <w:rFonts w:ascii="Arial Narrow" w:hAnsi="Arial Narrow" w:cs="Arial"/>
                <w:sz w:val="20"/>
                <w:szCs w:val="20"/>
              </w:rPr>
            </w:pPr>
            <w:r w:rsidRPr="00FA4FAB">
              <w:rPr>
                <w:rFonts w:ascii="Arial Narrow" w:hAnsi="Arial Narrow" w:cs="Arial"/>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3859E7" w:rsidRPr="00FA4FAB" w:rsidRDefault="003859E7" w:rsidP="00771B63">
            <w:pPr>
              <w:spacing w:before="0" w:after="0"/>
              <w:rPr>
                <w:rFonts w:ascii="Arial Narrow" w:hAnsi="Arial Narrow" w:cs="Arial"/>
                <w:sz w:val="20"/>
                <w:szCs w:val="20"/>
              </w:rPr>
            </w:pPr>
          </w:p>
          <w:p w:rsidR="003C563F" w:rsidRPr="000E1753" w:rsidRDefault="003C563F" w:rsidP="003C563F">
            <w:pPr>
              <w:spacing w:before="0" w:after="0"/>
              <w:rPr>
                <w:rFonts w:ascii="Arial Narrow" w:hAnsi="Arial Narrow" w:cs="Arial"/>
                <w:sz w:val="20"/>
                <w:szCs w:val="20"/>
              </w:rPr>
            </w:pPr>
            <w:r w:rsidRPr="000E1753">
              <w:rPr>
                <w:rFonts w:ascii="Arial Narrow" w:hAnsi="Arial Narrow" w:cs="Arial"/>
                <w:sz w:val="20"/>
                <w:szCs w:val="20"/>
              </w:rPr>
              <w:t>This fixed dose combination tablet is not PBS-subsidised for use as initial therapy or in combination with a thiazolidinedione (glitazone), a glucagon-like peptide-1 or an SGLT2 inhibitor.</w:t>
            </w:r>
          </w:p>
          <w:p w:rsidR="003859E7" w:rsidRPr="00260CE3" w:rsidRDefault="003859E7" w:rsidP="00771B63">
            <w:pPr>
              <w:spacing w:before="0" w:after="0"/>
              <w:rPr>
                <w:rFonts w:ascii="Arial Narrow" w:hAnsi="Arial Narrow" w:cs="Arial"/>
                <w:sz w:val="20"/>
                <w:szCs w:val="20"/>
              </w:rPr>
            </w:pPr>
          </w:p>
        </w:tc>
      </w:tr>
    </w:tbl>
    <w:p w:rsidR="00344D51" w:rsidRPr="00344D51" w:rsidRDefault="00344D51" w:rsidP="00344D51">
      <w:pPr>
        <w:pStyle w:val="Heading1"/>
        <w:ind w:left="709" w:hanging="709"/>
        <w:jc w:val="both"/>
        <w:rPr>
          <w:rFonts w:cs="Arial"/>
          <w:bCs/>
          <w:snapToGrid w:val="0"/>
          <w:lang w:val="en-GB"/>
        </w:rPr>
      </w:pPr>
      <w:r w:rsidRPr="00344D51">
        <w:rPr>
          <w:rFonts w:cs="Arial"/>
          <w:bCs/>
          <w:snapToGrid w:val="0"/>
          <w:lang w:val="en-GB"/>
        </w:rPr>
        <w:t>Context for Decision</w:t>
      </w:r>
    </w:p>
    <w:p w:rsidR="00344D51" w:rsidRPr="00D24BA5" w:rsidRDefault="00344D51" w:rsidP="00344D51">
      <w:pPr>
        <w:spacing w:after="120"/>
      </w:pPr>
      <w:r w:rsidRPr="00D24BA5">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44D51" w:rsidRPr="002D0A8C" w:rsidRDefault="00344D51" w:rsidP="00344D51">
      <w:pPr>
        <w:pStyle w:val="Heading1"/>
        <w:ind w:left="709" w:hanging="709"/>
        <w:jc w:val="both"/>
        <w:rPr>
          <w:rFonts w:cs="Arial"/>
          <w:bCs/>
          <w:snapToGrid w:val="0"/>
          <w:lang w:val="en-GB"/>
        </w:rPr>
      </w:pPr>
      <w:r w:rsidRPr="00344D51">
        <w:rPr>
          <w:rFonts w:cs="Arial"/>
          <w:bCs/>
          <w:snapToGrid w:val="0"/>
          <w:lang w:val="en-GB"/>
        </w:rPr>
        <w:t>Sponsor’s Comment</w:t>
      </w:r>
    </w:p>
    <w:p w:rsidR="00344D51" w:rsidRPr="00A37835" w:rsidRDefault="00344D51" w:rsidP="00344D51">
      <w:pPr>
        <w:jc w:val="both"/>
        <w:rPr>
          <w:rFonts w:cs="Arial"/>
          <w:snapToGrid w:val="0"/>
          <w:szCs w:val="20"/>
        </w:rPr>
      </w:pPr>
      <w:r w:rsidRPr="00D24BA5">
        <w:rPr>
          <w:rFonts w:cs="Arial"/>
          <w:snapToGrid w:val="0"/>
          <w:szCs w:val="20"/>
        </w:rPr>
        <w:t>The sponsor had no comment.</w:t>
      </w:r>
    </w:p>
    <w:p w:rsidR="003859E7" w:rsidRDefault="003859E7" w:rsidP="00647A6D">
      <w:pPr>
        <w:pStyle w:val="NoSpacing"/>
        <w:rPr>
          <w:lang w:val="en-GB"/>
        </w:rPr>
      </w:pPr>
    </w:p>
    <w:sectPr w:rsidR="003859E7" w:rsidSect="00E01A8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ED24CC" w15:done="0"/>
  <w15:commentEx w15:paraId="0D8C646E" w15:paraIdParent="03ED24CC" w15:done="0"/>
  <w15:commentEx w15:paraId="2779D60D" w15:done="0"/>
  <w15:commentEx w15:paraId="5B4BBA11" w15:paraIdParent="2779D60D" w15:done="0"/>
  <w15:commentEx w15:paraId="5D4B0041" w15:done="0"/>
  <w15:commentEx w15:paraId="2DACB63B" w15:paraIdParent="5D4B00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119" w:rsidRDefault="00530119" w:rsidP="00BA3306">
      <w:pPr>
        <w:spacing w:before="0" w:after="0"/>
      </w:pPr>
      <w:r>
        <w:separator/>
      </w:r>
    </w:p>
  </w:endnote>
  <w:endnote w:type="continuationSeparator" w:id="0">
    <w:p w:rsidR="00530119" w:rsidRDefault="00530119" w:rsidP="00BA3306">
      <w:pPr>
        <w:spacing w:before="0" w:after="0"/>
      </w:pPr>
      <w:r>
        <w:continuationSeparator/>
      </w:r>
    </w:p>
  </w:endnote>
  <w:endnote w:type="continuationNotice" w:id="1">
    <w:p w:rsidR="00530119" w:rsidRDefault="0053011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onstantia"/>
    <w:charset w:val="00"/>
    <w:family w:val="roman"/>
    <w:pitch w:val="variable"/>
    <w:sig w:usb0="00000003"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19" w:rsidRDefault="005301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404393"/>
      <w:docPartObj>
        <w:docPartGallery w:val="Page Numbers (Bottom of Page)"/>
        <w:docPartUnique/>
      </w:docPartObj>
    </w:sdtPr>
    <w:sdtEndPr>
      <w:rPr>
        <w:noProof/>
      </w:rPr>
    </w:sdtEndPr>
    <w:sdtContent>
      <w:p w:rsidR="00344D51" w:rsidRDefault="00344D51">
        <w:pPr>
          <w:pStyle w:val="Footer"/>
          <w:jc w:val="center"/>
        </w:pPr>
        <w:r>
          <w:fldChar w:fldCharType="begin"/>
        </w:r>
        <w:r>
          <w:instrText xml:space="preserve"> PAGE   \* MERGEFORMAT </w:instrText>
        </w:r>
        <w:r>
          <w:fldChar w:fldCharType="separate"/>
        </w:r>
        <w:r w:rsidR="00530119">
          <w:rPr>
            <w:noProof/>
          </w:rPr>
          <w:t>1</w:t>
        </w:r>
        <w:r>
          <w:rPr>
            <w:noProof/>
          </w:rPr>
          <w:fldChar w:fldCharType="end"/>
        </w:r>
      </w:p>
    </w:sdtContent>
  </w:sdt>
  <w:p w:rsidR="00344D51" w:rsidRPr="00EF5615" w:rsidRDefault="00344D51" w:rsidP="00EF561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19" w:rsidRDefault="00530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119" w:rsidRDefault="00530119" w:rsidP="00BA3306">
      <w:pPr>
        <w:spacing w:before="0" w:after="0"/>
      </w:pPr>
      <w:r>
        <w:separator/>
      </w:r>
    </w:p>
  </w:footnote>
  <w:footnote w:type="continuationSeparator" w:id="0">
    <w:p w:rsidR="00530119" w:rsidRDefault="00530119" w:rsidP="00BA3306">
      <w:pPr>
        <w:spacing w:before="0" w:after="0"/>
      </w:pPr>
      <w:r>
        <w:continuationSeparator/>
      </w:r>
    </w:p>
  </w:footnote>
  <w:footnote w:type="continuationNotice" w:id="1">
    <w:p w:rsidR="00530119" w:rsidRDefault="00530119">
      <w:pPr>
        <w:spacing w:before="0" w:after="0"/>
      </w:pPr>
    </w:p>
  </w:footnote>
  <w:footnote w:id="2">
    <w:p w:rsidR="00344D51" w:rsidRDefault="00344D51">
      <w:pPr>
        <w:pStyle w:val="FootnoteText"/>
      </w:pPr>
      <w:r>
        <w:rPr>
          <w:rStyle w:val="FootnoteReference"/>
        </w:rPr>
        <w:footnoteRef/>
      </w:r>
      <w:r>
        <w:t xml:space="preserve"> </w:t>
      </w:r>
      <w:r w:rsidRPr="004C6719">
        <w:rPr>
          <w:lang w:val="en-GB"/>
        </w:rPr>
        <w:t>Committee for Medicinal Products for Human Use (CHMP) (2011). Guideline on clinical investigation of medicinal products in the treatment of diabetes mellitus (p9).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19" w:rsidRDefault="005301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51" w:rsidRDefault="00344D51" w:rsidP="00F777AA">
    <w:pPr>
      <w:pStyle w:val="Header"/>
      <w:tabs>
        <w:tab w:val="left" w:pos="1725"/>
        <w:tab w:val="left" w:pos="7725"/>
      </w:tabs>
      <w:jc w:val="center"/>
      <w:rPr>
        <w:i/>
      </w:rPr>
    </w:pPr>
    <w:r>
      <w:rPr>
        <w:i/>
      </w:rPr>
      <w:t>Public Summary Document – November 2017 PBAC Meeting</w:t>
    </w:r>
  </w:p>
  <w:p w:rsidR="00344D51" w:rsidRPr="00F777AA" w:rsidRDefault="00344D51" w:rsidP="00F777AA">
    <w:pPr>
      <w:pStyle w:val="Header"/>
      <w:tabs>
        <w:tab w:val="left" w:pos="1725"/>
        <w:tab w:val="left" w:pos="7725"/>
      </w:tabs>
      <w:jc w:val="cent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19" w:rsidRDefault="005301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2C73"/>
    <w:multiLevelType w:val="hybridMultilevel"/>
    <w:tmpl w:val="0C265BA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
    <w:nsid w:val="0CDB6CA4"/>
    <w:multiLevelType w:val="hybridMultilevel"/>
    <w:tmpl w:val="1B120168"/>
    <w:lvl w:ilvl="0" w:tplc="BE7883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4E6825"/>
    <w:multiLevelType w:val="multilevel"/>
    <w:tmpl w:val="CF84B626"/>
    <w:lvl w:ilvl="0">
      <w:start w:val="1"/>
      <w:numFmt w:val="decimal"/>
      <w:pStyle w:val="Heading1"/>
      <w:lvlText w:val="%1"/>
      <w:lvlJc w:val="left"/>
      <w:pPr>
        <w:ind w:left="432" w:hanging="432"/>
      </w:pPr>
      <w:rPr>
        <w:rFonts w:hint="default"/>
        <w:b/>
        <w:i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0DE3451"/>
    <w:multiLevelType w:val="hybridMultilevel"/>
    <w:tmpl w:val="8D58F70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427554A1"/>
    <w:multiLevelType w:val="hybridMultilevel"/>
    <w:tmpl w:val="C9C291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43195427"/>
    <w:multiLevelType w:val="multilevel"/>
    <w:tmpl w:val="4F1AEC7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65246E7"/>
    <w:multiLevelType w:val="hybridMultilevel"/>
    <w:tmpl w:val="79646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BB56875"/>
    <w:multiLevelType w:val="multilevel"/>
    <w:tmpl w:val="D35E6ED4"/>
    <w:lvl w:ilvl="0">
      <w:start w:val="1"/>
      <w:numFmt w:val="decimal"/>
      <w:lvlText w:val="%1."/>
      <w:lvlJc w:val="left"/>
      <w:pPr>
        <w:ind w:left="360" w:hanging="360"/>
      </w:p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4D033C"/>
    <w:multiLevelType w:val="multilevel"/>
    <w:tmpl w:val="42F4FF86"/>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7"/>
  </w:num>
  <w:num w:numId="3">
    <w:abstractNumId w:val="11"/>
  </w:num>
  <w:num w:numId="4">
    <w:abstractNumId w:val="3"/>
  </w:num>
  <w:num w:numId="5">
    <w:abstractNumId w:val="10"/>
  </w:num>
  <w:num w:numId="6">
    <w:abstractNumId w:val="0"/>
  </w:num>
  <w:num w:numId="7">
    <w:abstractNumId w:val="5"/>
  </w:num>
  <w:num w:numId="8">
    <w:abstractNumId w:val="4"/>
  </w:num>
  <w:num w:numId="9">
    <w:abstractNumId w:val="1"/>
  </w:num>
  <w:num w:numId="10">
    <w:abstractNumId w:val="6"/>
  </w:num>
  <w:num w:numId="11">
    <w:abstractNumId w:val="8"/>
  </w:num>
  <w:num w:numId="12">
    <w:abstractNumId w:val="9"/>
  </w:num>
  <w:num w:numId="13">
    <w:abstractNumId w:val="2"/>
  </w:num>
  <w:num w:numId="14">
    <w:abstractNumId w:val="9"/>
  </w:num>
  <w:num w:numId="15">
    <w:abstractNumId w:val="2"/>
  </w:num>
  <w:num w:numId="16">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rs Mutsa Gumbie">
    <w15:presenceInfo w15:providerId="AD" w15:userId="S-1-5-21-1594774353-775871607-213974443-1040557"/>
  </w15:person>
  <w15:person w15:author="Dr Bonny Parkinson">
    <w15:presenceInfo w15:providerId="AD" w15:userId="S-1-5-21-1594774353-775871607-213974443-844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0D05"/>
    <w:rsid w:val="00001373"/>
    <w:rsid w:val="00001AB4"/>
    <w:rsid w:val="000037AB"/>
    <w:rsid w:val="000039B5"/>
    <w:rsid w:val="0000760E"/>
    <w:rsid w:val="0001066F"/>
    <w:rsid w:val="00013222"/>
    <w:rsid w:val="0002095B"/>
    <w:rsid w:val="000212CC"/>
    <w:rsid w:val="00021A1E"/>
    <w:rsid w:val="00022D3B"/>
    <w:rsid w:val="000238D1"/>
    <w:rsid w:val="00024D5F"/>
    <w:rsid w:val="000278D9"/>
    <w:rsid w:val="00034404"/>
    <w:rsid w:val="000359E2"/>
    <w:rsid w:val="00043526"/>
    <w:rsid w:val="000437F2"/>
    <w:rsid w:val="000461CF"/>
    <w:rsid w:val="00046DE8"/>
    <w:rsid w:val="00050C8D"/>
    <w:rsid w:val="00057F71"/>
    <w:rsid w:val="00062067"/>
    <w:rsid w:val="00065C62"/>
    <w:rsid w:val="00065CDE"/>
    <w:rsid w:val="00065F4A"/>
    <w:rsid w:val="000713E1"/>
    <w:rsid w:val="000755B1"/>
    <w:rsid w:val="00080FF3"/>
    <w:rsid w:val="000847FE"/>
    <w:rsid w:val="00086133"/>
    <w:rsid w:val="00095566"/>
    <w:rsid w:val="000A2694"/>
    <w:rsid w:val="000A2EF1"/>
    <w:rsid w:val="000A3D89"/>
    <w:rsid w:val="000A6FBD"/>
    <w:rsid w:val="000B2671"/>
    <w:rsid w:val="000B56CD"/>
    <w:rsid w:val="000B6B69"/>
    <w:rsid w:val="000B6D42"/>
    <w:rsid w:val="000C0142"/>
    <w:rsid w:val="000C248E"/>
    <w:rsid w:val="000C46A9"/>
    <w:rsid w:val="000C6A40"/>
    <w:rsid w:val="000C6A75"/>
    <w:rsid w:val="000D0023"/>
    <w:rsid w:val="000D2E92"/>
    <w:rsid w:val="000D5675"/>
    <w:rsid w:val="000D7D6C"/>
    <w:rsid w:val="000E1753"/>
    <w:rsid w:val="000F2534"/>
    <w:rsid w:val="000F3652"/>
    <w:rsid w:val="00100657"/>
    <w:rsid w:val="001009F4"/>
    <w:rsid w:val="001014A2"/>
    <w:rsid w:val="00102368"/>
    <w:rsid w:val="00102C60"/>
    <w:rsid w:val="00104286"/>
    <w:rsid w:val="001073D0"/>
    <w:rsid w:val="00114C75"/>
    <w:rsid w:val="00120791"/>
    <w:rsid w:val="00123701"/>
    <w:rsid w:val="0012701F"/>
    <w:rsid w:val="001279AE"/>
    <w:rsid w:val="0013092C"/>
    <w:rsid w:val="00130EC3"/>
    <w:rsid w:val="00136E76"/>
    <w:rsid w:val="001402E0"/>
    <w:rsid w:val="001442A6"/>
    <w:rsid w:val="001468C6"/>
    <w:rsid w:val="00146C47"/>
    <w:rsid w:val="001502C3"/>
    <w:rsid w:val="00155FC6"/>
    <w:rsid w:val="00162961"/>
    <w:rsid w:val="001654A6"/>
    <w:rsid w:val="00165A49"/>
    <w:rsid w:val="0016682E"/>
    <w:rsid w:val="001722AD"/>
    <w:rsid w:val="00173577"/>
    <w:rsid w:val="0017638E"/>
    <w:rsid w:val="00176AA5"/>
    <w:rsid w:val="0017712D"/>
    <w:rsid w:val="0017720E"/>
    <w:rsid w:val="00177893"/>
    <w:rsid w:val="001838B3"/>
    <w:rsid w:val="00184221"/>
    <w:rsid w:val="00185C57"/>
    <w:rsid w:val="00186307"/>
    <w:rsid w:val="00186EBC"/>
    <w:rsid w:val="00193BFA"/>
    <w:rsid w:val="00195DA4"/>
    <w:rsid w:val="001A0142"/>
    <w:rsid w:val="001A02B2"/>
    <w:rsid w:val="001B00CE"/>
    <w:rsid w:val="001B0690"/>
    <w:rsid w:val="001B6389"/>
    <w:rsid w:val="001B7EB1"/>
    <w:rsid w:val="001C04CC"/>
    <w:rsid w:val="001C051E"/>
    <w:rsid w:val="001D0CC4"/>
    <w:rsid w:val="001D1F90"/>
    <w:rsid w:val="001D5DE3"/>
    <w:rsid w:val="001D7562"/>
    <w:rsid w:val="001D783B"/>
    <w:rsid w:val="001E0194"/>
    <w:rsid w:val="001E4361"/>
    <w:rsid w:val="001E5918"/>
    <w:rsid w:val="001F0500"/>
    <w:rsid w:val="001F073C"/>
    <w:rsid w:val="001F2912"/>
    <w:rsid w:val="001F4904"/>
    <w:rsid w:val="002001C6"/>
    <w:rsid w:val="00200296"/>
    <w:rsid w:val="00201ADB"/>
    <w:rsid w:val="002058E5"/>
    <w:rsid w:val="00210FAA"/>
    <w:rsid w:val="00215033"/>
    <w:rsid w:val="0022024A"/>
    <w:rsid w:val="002209E5"/>
    <w:rsid w:val="00222B28"/>
    <w:rsid w:val="002234A6"/>
    <w:rsid w:val="00225454"/>
    <w:rsid w:val="00230B36"/>
    <w:rsid w:val="00231C29"/>
    <w:rsid w:val="002425EA"/>
    <w:rsid w:val="00242EA0"/>
    <w:rsid w:val="00243685"/>
    <w:rsid w:val="0025613F"/>
    <w:rsid w:val="0025658D"/>
    <w:rsid w:val="00261DC6"/>
    <w:rsid w:val="002625C5"/>
    <w:rsid w:val="00263759"/>
    <w:rsid w:val="00264623"/>
    <w:rsid w:val="00267770"/>
    <w:rsid w:val="00273C92"/>
    <w:rsid w:val="00274504"/>
    <w:rsid w:val="00274B04"/>
    <w:rsid w:val="002756FA"/>
    <w:rsid w:val="00280AE7"/>
    <w:rsid w:val="00280B5B"/>
    <w:rsid w:val="00282D1F"/>
    <w:rsid w:val="002836DF"/>
    <w:rsid w:val="0029254C"/>
    <w:rsid w:val="002928F4"/>
    <w:rsid w:val="00296DFB"/>
    <w:rsid w:val="002A4503"/>
    <w:rsid w:val="002B3BD3"/>
    <w:rsid w:val="002B4941"/>
    <w:rsid w:val="002B5D74"/>
    <w:rsid w:val="002B7ADB"/>
    <w:rsid w:val="002C09A7"/>
    <w:rsid w:val="002C165E"/>
    <w:rsid w:val="002C1D2F"/>
    <w:rsid w:val="002C7393"/>
    <w:rsid w:val="002D0A8C"/>
    <w:rsid w:val="002D1C7E"/>
    <w:rsid w:val="002D2FCA"/>
    <w:rsid w:val="002D34C2"/>
    <w:rsid w:val="002D4E5F"/>
    <w:rsid w:val="002D4F0F"/>
    <w:rsid w:val="002D7823"/>
    <w:rsid w:val="002D7F68"/>
    <w:rsid w:val="002E0D32"/>
    <w:rsid w:val="002E3CFB"/>
    <w:rsid w:val="002E42FD"/>
    <w:rsid w:val="002E4C2D"/>
    <w:rsid w:val="002E4F53"/>
    <w:rsid w:val="002E5DEA"/>
    <w:rsid w:val="002E6D81"/>
    <w:rsid w:val="002E724A"/>
    <w:rsid w:val="002F0CC4"/>
    <w:rsid w:val="002F311E"/>
    <w:rsid w:val="002F4581"/>
    <w:rsid w:val="002F71B8"/>
    <w:rsid w:val="0030057F"/>
    <w:rsid w:val="00301EA1"/>
    <w:rsid w:val="00302FCC"/>
    <w:rsid w:val="003062AE"/>
    <w:rsid w:val="00307277"/>
    <w:rsid w:val="00310BB5"/>
    <w:rsid w:val="0031159C"/>
    <w:rsid w:val="00315514"/>
    <w:rsid w:val="0031734B"/>
    <w:rsid w:val="00317C00"/>
    <w:rsid w:val="0032013D"/>
    <w:rsid w:val="00320B6D"/>
    <w:rsid w:val="00325103"/>
    <w:rsid w:val="00325A42"/>
    <w:rsid w:val="00331A14"/>
    <w:rsid w:val="00332EBE"/>
    <w:rsid w:val="00334ACF"/>
    <w:rsid w:val="0033564D"/>
    <w:rsid w:val="00337FD3"/>
    <w:rsid w:val="00341A14"/>
    <w:rsid w:val="00344A03"/>
    <w:rsid w:val="00344D51"/>
    <w:rsid w:val="00347BB4"/>
    <w:rsid w:val="00351381"/>
    <w:rsid w:val="003530A6"/>
    <w:rsid w:val="00353627"/>
    <w:rsid w:val="0035400D"/>
    <w:rsid w:val="00354FE4"/>
    <w:rsid w:val="00355F72"/>
    <w:rsid w:val="00356B22"/>
    <w:rsid w:val="00357657"/>
    <w:rsid w:val="003636D6"/>
    <w:rsid w:val="003639A6"/>
    <w:rsid w:val="00363A91"/>
    <w:rsid w:val="003679AE"/>
    <w:rsid w:val="00370950"/>
    <w:rsid w:val="0037352A"/>
    <w:rsid w:val="00373A96"/>
    <w:rsid w:val="0038281C"/>
    <w:rsid w:val="003828F3"/>
    <w:rsid w:val="003851FE"/>
    <w:rsid w:val="0038549C"/>
    <w:rsid w:val="003859E7"/>
    <w:rsid w:val="00385A64"/>
    <w:rsid w:val="00386BE3"/>
    <w:rsid w:val="00386D1A"/>
    <w:rsid w:val="003912E8"/>
    <w:rsid w:val="00397170"/>
    <w:rsid w:val="00397C68"/>
    <w:rsid w:val="003A183C"/>
    <w:rsid w:val="003A3433"/>
    <w:rsid w:val="003A44E2"/>
    <w:rsid w:val="003A537E"/>
    <w:rsid w:val="003A660F"/>
    <w:rsid w:val="003B051A"/>
    <w:rsid w:val="003B095E"/>
    <w:rsid w:val="003B195E"/>
    <w:rsid w:val="003B5846"/>
    <w:rsid w:val="003C0BF9"/>
    <w:rsid w:val="003C0EAF"/>
    <w:rsid w:val="003C139F"/>
    <w:rsid w:val="003C1A9F"/>
    <w:rsid w:val="003C4265"/>
    <w:rsid w:val="003C563F"/>
    <w:rsid w:val="003C5F28"/>
    <w:rsid w:val="003D11A9"/>
    <w:rsid w:val="003D2A37"/>
    <w:rsid w:val="003D617C"/>
    <w:rsid w:val="003D69EF"/>
    <w:rsid w:val="003D7F8C"/>
    <w:rsid w:val="003E0EDB"/>
    <w:rsid w:val="003E1E3B"/>
    <w:rsid w:val="003E4798"/>
    <w:rsid w:val="003E4944"/>
    <w:rsid w:val="003E6475"/>
    <w:rsid w:val="003F105A"/>
    <w:rsid w:val="003F1A6E"/>
    <w:rsid w:val="003F283D"/>
    <w:rsid w:val="003F2A31"/>
    <w:rsid w:val="003F49B6"/>
    <w:rsid w:val="003F6199"/>
    <w:rsid w:val="003F74BA"/>
    <w:rsid w:val="004033BF"/>
    <w:rsid w:val="00410D90"/>
    <w:rsid w:val="00411158"/>
    <w:rsid w:val="00421450"/>
    <w:rsid w:val="004257B3"/>
    <w:rsid w:val="0042662D"/>
    <w:rsid w:val="00427046"/>
    <w:rsid w:val="004277D2"/>
    <w:rsid w:val="00427E55"/>
    <w:rsid w:val="00436959"/>
    <w:rsid w:val="00437BB5"/>
    <w:rsid w:val="004429F0"/>
    <w:rsid w:val="00443A67"/>
    <w:rsid w:val="00447F11"/>
    <w:rsid w:val="00453BAE"/>
    <w:rsid w:val="00453D59"/>
    <w:rsid w:val="00454493"/>
    <w:rsid w:val="00454D99"/>
    <w:rsid w:val="004619BB"/>
    <w:rsid w:val="00463376"/>
    <w:rsid w:val="00465D3F"/>
    <w:rsid w:val="0046621E"/>
    <w:rsid w:val="00466705"/>
    <w:rsid w:val="00471FA1"/>
    <w:rsid w:val="00472D4D"/>
    <w:rsid w:val="00483126"/>
    <w:rsid w:val="0049037E"/>
    <w:rsid w:val="00491832"/>
    <w:rsid w:val="004919DD"/>
    <w:rsid w:val="00491E57"/>
    <w:rsid w:val="004927DA"/>
    <w:rsid w:val="00494F7C"/>
    <w:rsid w:val="00496D7F"/>
    <w:rsid w:val="00497F45"/>
    <w:rsid w:val="004A1F79"/>
    <w:rsid w:val="004A2187"/>
    <w:rsid w:val="004A2DF5"/>
    <w:rsid w:val="004A4EF3"/>
    <w:rsid w:val="004A5293"/>
    <w:rsid w:val="004B25AB"/>
    <w:rsid w:val="004B3315"/>
    <w:rsid w:val="004B3688"/>
    <w:rsid w:val="004B3C00"/>
    <w:rsid w:val="004C49B5"/>
    <w:rsid w:val="004C4B70"/>
    <w:rsid w:val="004C6719"/>
    <w:rsid w:val="004D1006"/>
    <w:rsid w:val="004D45DF"/>
    <w:rsid w:val="004E0C0B"/>
    <w:rsid w:val="004E2125"/>
    <w:rsid w:val="004E54B9"/>
    <w:rsid w:val="004F3148"/>
    <w:rsid w:val="004F3688"/>
    <w:rsid w:val="004F3AAE"/>
    <w:rsid w:val="004F407E"/>
    <w:rsid w:val="004F4415"/>
    <w:rsid w:val="004F4BDE"/>
    <w:rsid w:val="004F6163"/>
    <w:rsid w:val="004F7CAC"/>
    <w:rsid w:val="0050245A"/>
    <w:rsid w:val="00507713"/>
    <w:rsid w:val="005112CC"/>
    <w:rsid w:val="00511320"/>
    <w:rsid w:val="005143F9"/>
    <w:rsid w:val="00516566"/>
    <w:rsid w:val="005218C3"/>
    <w:rsid w:val="00522210"/>
    <w:rsid w:val="00522DDC"/>
    <w:rsid w:val="00526E4B"/>
    <w:rsid w:val="00530119"/>
    <w:rsid w:val="0053144D"/>
    <w:rsid w:val="00531C11"/>
    <w:rsid w:val="00535C74"/>
    <w:rsid w:val="005361AB"/>
    <w:rsid w:val="00541D43"/>
    <w:rsid w:val="00542068"/>
    <w:rsid w:val="005430F2"/>
    <w:rsid w:val="00543AF9"/>
    <w:rsid w:val="00543FF0"/>
    <w:rsid w:val="0054562E"/>
    <w:rsid w:val="005508D4"/>
    <w:rsid w:val="005523B4"/>
    <w:rsid w:val="0055532F"/>
    <w:rsid w:val="005558A9"/>
    <w:rsid w:val="00560E74"/>
    <w:rsid w:val="00560FB6"/>
    <w:rsid w:val="00561D24"/>
    <w:rsid w:val="00561E15"/>
    <w:rsid w:val="00564261"/>
    <w:rsid w:val="0057052B"/>
    <w:rsid w:val="00572C27"/>
    <w:rsid w:val="005751A6"/>
    <w:rsid w:val="00575932"/>
    <w:rsid w:val="00576ADE"/>
    <w:rsid w:val="00577CFD"/>
    <w:rsid w:val="00577DEF"/>
    <w:rsid w:val="00584ED3"/>
    <w:rsid w:val="00585675"/>
    <w:rsid w:val="00585A05"/>
    <w:rsid w:val="00587023"/>
    <w:rsid w:val="005924A7"/>
    <w:rsid w:val="005948F6"/>
    <w:rsid w:val="00597972"/>
    <w:rsid w:val="005A4295"/>
    <w:rsid w:val="005A593D"/>
    <w:rsid w:val="005A623B"/>
    <w:rsid w:val="005A694A"/>
    <w:rsid w:val="005C2C18"/>
    <w:rsid w:val="005C2D2A"/>
    <w:rsid w:val="005C39B0"/>
    <w:rsid w:val="005C3BD2"/>
    <w:rsid w:val="005C6285"/>
    <w:rsid w:val="005C778F"/>
    <w:rsid w:val="005D5BA1"/>
    <w:rsid w:val="005D622E"/>
    <w:rsid w:val="005D7A18"/>
    <w:rsid w:val="005E273D"/>
    <w:rsid w:val="005E49B2"/>
    <w:rsid w:val="005F0AE8"/>
    <w:rsid w:val="005F2A6B"/>
    <w:rsid w:val="005F40C1"/>
    <w:rsid w:val="005F5AAB"/>
    <w:rsid w:val="006024D3"/>
    <w:rsid w:val="0060276C"/>
    <w:rsid w:val="0060314A"/>
    <w:rsid w:val="00604104"/>
    <w:rsid w:val="00606EF9"/>
    <w:rsid w:val="0060706A"/>
    <w:rsid w:val="006070C4"/>
    <w:rsid w:val="00607758"/>
    <w:rsid w:val="00607FB5"/>
    <w:rsid w:val="00610D5E"/>
    <w:rsid w:val="006110E8"/>
    <w:rsid w:val="00613467"/>
    <w:rsid w:val="00616E2A"/>
    <w:rsid w:val="00624315"/>
    <w:rsid w:val="006253DD"/>
    <w:rsid w:val="0062545B"/>
    <w:rsid w:val="0062552A"/>
    <w:rsid w:val="00625BDB"/>
    <w:rsid w:val="00631136"/>
    <w:rsid w:val="006332BE"/>
    <w:rsid w:val="006359BC"/>
    <w:rsid w:val="00636F7E"/>
    <w:rsid w:val="006408C3"/>
    <w:rsid w:val="00641A04"/>
    <w:rsid w:val="00643968"/>
    <w:rsid w:val="00644AF1"/>
    <w:rsid w:val="0064620D"/>
    <w:rsid w:val="00647A6D"/>
    <w:rsid w:val="00651D11"/>
    <w:rsid w:val="006530D5"/>
    <w:rsid w:val="00653255"/>
    <w:rsid w:val="00654860"/>
    <w:rsid w:val="0065550C"/>
    <w:rsid w:val="00657754"/>
    <w:rsid w:val="00661286"/>
    <w:rsid w:val="00661422"/>
    <w:rsid w:val="00662DFF"/>
    <w:rsid w:val="00663F72"/>
    <w:rsid w:val="00664356"/>
    <w:rsid w:val="00672120"/>
    <w:rsid w:val="00672C93"/>
    <w:rsid w:val="00674CEA"/>
    <w:rsid w:val="006863AD"/>
    <w:rsid w:val="00691913"/>
    <w:rsid w:val="00691FEB"/>
    <w:rsid w:val="00692FB3"/>
    <w:rsid w:val="00695B7F"/>
    <w:rsid w:val="00697875"/>
    <w:rsid w:val="006A138B"/>
    <w:rsid w:val="006A20BB"/>
    <w:rsid w:val="006A59AC"/>
    <w:rsid w:val="006B136E"/>
    <w:rsid w:val="006B140A"/>
    <w:rsid w:val="006B2E1D"/>
    <w:rsid w:val="006B5C55"/>
    <w:rsid w:val="006C29DB"/>
    <w:rsid w:val="006C4906"/>
    <w:rsid w:val="006C613D"/>
    <w:rsid w:val="006C69EF"/>
    <w:rsid w:val="006D0679"/>
    <w:rsid w:val="006D3271"/>
    <w:rsid w:val="006D61E0"/>
    <w:rsid w:val="006D66F1"/>
    <w:rsid w:val="006E3552"/>
    <w:rsid w:val="006E5367"/>
    <w:rsid w:val="006E7302"/>
    <w:rsid w:val="006F161E"/>
    <w:rsid w:val="006F21CC"/>
    <w:rsid w:val="006F2704"/>
    <w:rsid w:val="006F41FD"/>
    <w:rsid w:val="00703BE3"/>
    <w:rsid w:val="00707082"/>
    <w:rsid w:val="00707FC3"/>
    <w:rsid w:val="00712C73"/>
    <w:rsid w:val="00723AB1"/>
    <w:rsid w:val="00723E1E"/>
    <w:rsid w:val="007306F0"/>
    <w:rsid w:val="00735383"/>
    <w:rsid w:val="007371D5"/>
    <w:rsid w:val="00744A5B"/>
    <w:rsid w:val="007455E9"/>
    <w:rsid w:val="00747333"/>
    <w:rsid w:val="007509A6"/>
    <w:rsid w:val="00750B45"/>
    <w:rsid w:val="00750B5A"/>
    <w:rsid w:val="00751984"/>
    <w:rsid w:val="0075308C"/>
    <w:rsid w:val="00761DD7"/>
    <w:rsid w:val="007633B0"/>
    <w:rsid w:val="007673C0"/>
    <w:rsid w:val="007715D2"/>
    <w:rsid w:val="00771B63"/>
    <w:rsid w:val="007721FF"/>
    <w:rsid w:val="00772501"/>
    <w:rsid w:val="00772C70"/>
    <w:rsid w:val="007768FE"/>
    <w:rsid w:val="00776B1F"/>
    <w:rsid w:val="00776EB8"/>
    <w:rsid w:val="007847FA"/>
    <w:rsid w:val="00786C28"/>
    <w:rsid w:val="00787ECC"/>
    <w:rsid w:val="00790910"/>
    <w:rsid w:val="00791DE1"/>
    <w:rsid w:val="00791E03"/>
    <w:rsid w:val="007A01F8"/>
    <w:rsid w:val="007A0EA2"/>
    <w:rsid w:val="007A221E"/>
    <w:rsid w:val="007A3A8C"/>
    <w:rsid w:val="007A3C8B"/>
    <w:rsid w:val="007A5CEA"/>
    <w:rsid w:val="007A7E65"/>
    <w:rsid w:val="007B0E0C"/>
    <w:rsid w:val="007B6A96"/>
    <w:rsid w:val="007C0C66"/>
    <w:rsid w:val="007C26E5"/>
    <w:rsid w:val="007C6F3F"/>
    <w:rsid w:val="007C720A"/>
    <w:rsid w:val="007C76C5"/>
    <w:rsid w:val="007D1092"/>
    <w:rsid w:val="007D2621"/>
    <w:rsid w:val="007D4D9B"/>
    <w:rsid w:val="007E3562"/>
    <w:rsid w:val="007F00A5"/>
    <w:rsid w:val="007F08CA"/>
    <w:rsid w:val="007F1F37"/>
    <w:rsid w:val="007F3B6E"/>
    <w:rsid w:val="007F3C48"/>
    <w:rsid w:val="007F43B4"/>
    <w:rsid w:val="007F6A77"/>
    <w:rsid w:val="007F7F96"/>
    <w:rsid w:val="0080222B"/>
    <w:rsid w:val="008058E8"/>
    <w:rsid w:val="00806434"/>
    <w:rsid w:val="00813288"/>
    <w:rsid w:val="00813F54"/>
    <w:rsid w:val="00815503"/>
    <w:rsid w:val="00817E97"/>
    <w:rsid w:val="00821A29"/>
    <w:rsid w:val="008223C8"/>
    <w:rsid w:val="00823233"/>
    <w:rsid w:val="00824154"/>
    <w:rsid w:val="00824426"/>
    <w:rsid w:val="008300F6"/>
    <w:rsid w:val="00830E52"/>
    <w:rsid w:val="008324E3"/>
    <w:rsid w:val="00834DD9"/>
    <w:rsid w:val="00836344"/>
    <w:rsid w:val="00836347"/>
    <w:rsid w:val="00836A0F"/>
    <w:rsid w:val="00836E8D"/>
    <w:rsid w:val="00842FC0"/>
    <w:rsid w:val="008454C4"/>
    <w:rsid w:val="00845946"/>
    <w:rsid w:val="0084646A"/>
    <w:rsid w:val="008476A0"/>
    <w:rsid w:val="00852F38"/>
    <w:rsid w:val="00854C36"/>
    <w:rsid w:val="00856C34"/>
    <w:rsid w:val="00864BCC"/>
    <w:rsid w:val="00865DC1"/>
    <w:rsid w:val="00870089"/>
    <w:rsid w:val="0087430A"/>
    <w:rsid w:val="00874AD1"/>
    <w:rsid w:val="008750F9"/>
    <w:rsid w:val="00875341"/>
    <w:rsid w:val="0087536F"/>
    <w:rsid w:val="00877244"/>
    <w:rsid w:val="00880A40"/>
    <w:rsid w:val="00881E24"/>
    <w:rsid w:val="00884F8C"/>
    <w:rsid w:val="00885BE4"/>
    <w:rsid w:val="008869F4"/>
    <w:rsid w:val="00893EEF"/>
    <w:rsid w:val="00894C81"/>
    <w:rsid w:val="00895250"/>
    <w:rsid w:val="0089750A"/>
    <w:rsid w:val="008A1C5F"/>
    <w:rsid w:val="008A2E5A"/>
    <w:rsid w:val="008A3C58"/>
    <w:rsid w:val="008A4880"/>
    <w:rsid w:val="008A52B1"/>
    <w:rsid w:val="008B15EB"/>
    <w:rsid w:val="008B28AF"/>
    <w:rsid w:val="008B5B32"/>
    <w:rsid w:val="008C3767"/>
    <w:rsid w:val="008D344A"/>
    <w:rsid w:val="008D533A"/>
    <w:rsid w:val="008D78FF"/>
    <w:rsid w:val="008D7B91"/>
    <w:rsid w:val="008E0602"/>
    <w:rsid w:val="008E0D95"/>
    <w:rsid w:val="008E1640"/>
    <w:rsid w:val="008E17D9"/>
    <w:rsid w:val="008E2340"/>
    <w:rsid w:val="008E25F1"/>
    <w:rsid w:val="008E63EC"/>
    <w:rsid w:val="008F0BE8"/>
    <w:rsid w:val="008F24A8"/>
    <w:rsid w:val="008F392C"/>
    <w:rsid w:val="009059E0"/>
    <w:rsid w:val="0091010D"/>
    <w:rsid w:val="00914940"/>
    <w:rsid w:val="00914C21"/>
    <w:rsid w:val="00914DA7"/>
    <w:rsid w:val="00915E86"/>
    <w:rsid w:val="00915F63"/>
    <w:rsid w:val="009175F7"/>
    <w:rsid w:val="009177E9"/>
    <w:rsid w:val="00917AED"/>
    <w:rsid w:val="00922CF8"/>
    <w:rsid w:val="00922DA5"/>
    <w:rsid w:val="00924CBE"/>
    <w:rsid w:val="0092606A"/>
    <w:rsid w:val="00931AD1"/>
    <w:rsid w:val="00931CE2"/>
    <w:rsid w:val="0093275A"/>
    <w:rsid w:val="009331CF"/>
    <w:rsid w:val="009334AC"/>
    <w:rsid w:val="00940692"/>
    <w:rsid w:val="00942010"/>
    <w:rsid w:val="0094320A"/>
    <w:rsid w:val="009465C3"/>
    <w:rsid w:val="00946AB2"/>
    <w:rsid w:val="00947CB3"/>
    <w:rsid w:val="0095026E"/>
    <w:rsid w:val="0095170D"/>
    <w:rsid w:val="0095307F"/>
    <w:rsid w:val="009537DB"/>
    <w:rsid w:val="00954885"/>
    <w:rsid w:val="00955526"/>
    <w:rsid w:val="00962D9F"/>
    <w:rsid w:val="009642BB"/>
    <w:rsid w:val="00966C09"/>
    <w:rsid w:val="00971822"/>
    <w:rsid w:val="00976A14"/>
    <w:rsid w:val="009813A5"/>
    <w:rsid w:val="00981EB9"/>
    <w:rsid w:val="00981FF0"/>
    <w:rsid w:val="00983C79"/>
    <w:rsid w:val="00984441"/>
    <w:rsid w:val="009844CF"/>
    <w:rsid w:val="00984DD8"/>
    <w:rsid w:val="00986085"/>
    <w:rsid w:val="0099085F"/>
    <w:rsid w:val="009925DB"/>
    <w:rsid w:val="00993CC9"/>
    <w:rsid w:val="009976F1"/>
    <w:rsid w:val="009A06C8"/>
    <w:rsid w:val="009A2B6A"/>
    <w:rsid w:val="009A4067"/>
    <w:rsid w:val="009A4B87"/>
    <w:rsid w:val="009A6F74"/>
    <w:rsid w:val="009A7CA9"/>
    <w:rsid w:val="009B01E7"/>
    <w:rsid w:val="009B14D7"/>
    <w:rsid w:val="009B14E6"/>
    <w:rsid w:val="009B376D"/>
    <w:rsid w:val="009C08E1"/>
    <w:rsid w:val="009C2CF2"/>
    <w:rsid w:val="009C4E00"/>
    <w:rsid w:val="009C682B"/>
    <w:rsid w:val="009D02AB"/>
    <w:rsid w:val="009D3628"/>
    <w:rsid w:val="009D4C2A"/>
    <w:rsid w:val="009D6364"/>
    <w:rsid w:val="009D6914"/>
    <w:rsid w:val="009E1C22"/>
    <w:rsid w:val="009E2481"/>
    <w:rsid w:val="009E341F"/>
    <w:rsid w:val="009E5E06"/>
    <w:rsid w:val="009F0ECC"/>
    <w:rsid w:val="009F3631"/>
    <w:rsid w:val="009F3790"/>
    <w:rsid w:val="009F5D32"/>
    <w:rsid w:val="009F7CEB"/>
    <w:rsid w:val="00A03094"/>
    <w:rsid w:val="00A040FD"/>
    <w:rsid w:val="00A0426A"/>
    <w:rsid w:val="00A04C0D"/>
    <w:rsid w:val="00A0506E"/>
    <w:rsid w:val="00A07A7F"/>
    <w:rsid w:val="00A12983"/>
    <w:rsid w:val="00A140E1"/>
    <w:rsid w:val="00A2063E"/>
    <w:rsid w:val="00A20B1A"/>
    <w:rsid w:val="00A22A39"/>
    <w:rsid w:val="00A26603"/>
    <w:rsid w:val="00A33FD5"/>
    <w:rsid w:val="00A41615"/>
    <w:rsid w:val="00A41E5D"/>
    <w:rsid w:val="00A512B0"/>
    <w:rsid w:val="00A535FB"/>
    <w:rsid w:val="00A547E1"/>
    <w:rsid w:val="00A568E7"/>
    <w:rsid w:val="00A56EC7"/>
    <w:rsid w:val="00A6374D"/>
    <w:rsid w:val="00A64A01"/>
    <w:rsid w:val="00A73E1F"/>
    <w:rsid w:val="00A81F82"/>
    <w:rsid w:val="00A83DAC"/>
    <w:rsid w:val="00A841B0"/>
    <w:rsid w:val="00A85691"/>
    <w:rsid w:val="00A85A2B"/>
    <w:rsid w:val="00A85A6D"/>
    <w:rsid w:val="00A861E1"/>
    <w:rsid w:val="00A91049"/>
    <w:rsid w:val="00A93543"/>
    <w:rsid w:val="00A94EFC"/>
    <w:rsid w:val="00A97699"/>
    <w:rsid w:val="00A97A08"/>
    <w:rsid w:val="00AA1681"/>
    <w:rsid w:val="00AA2FA1"/>
    <w:rsid w:val="00AA4B1F"/>
    <w:rsid w:val="00AA51C1"/>
    <w:rsid w:val="00AA6156"/>
    <w:rsid w:val="00AA73AC"/>
    <w:rsid w:val="00AA7B77"/>
    <w:rsid w:val="00AB1054"/>
    <w:rsid w:val="00AB187A"/>
    <w:rsid w:val="00AB4C69"/>
    <w:rsid w:val="00AB514A"/>
    <w:rsid w:val="00AB61FF"/>
    <w:rsid w:val="00AC4AE6"/>
    <w:rsid w:val="00AC50E3"/>
    <w:rsid w:val="00AD16B6"/>
    <w:rsid w:val="00AD2709"/>
    <w:rsid w:val="00AD51C9"/>
    <w:rsid w:val="00AE2A68"/>
    <w:rsid w:val="00AE3999"/>
    <w:rsid w:val="00AE4BC4"/>
    <w:rsid w:val="00AE4CD0"/>
    <w:rsid w:val="00AE513E"/>
    <w:rsid w:val="00AE737D"/>
    <w:rsid w:val="00AE7AA8"/>
    <w:rsid w:val="00AF0DF9"/>
    <w:rsid w:val="00AF4BE4"/>
    <w:rsid w:val="00B05A6C"/>
    <w:rsid w:val="00B0606A"/>
    <w:rsid w:val="00B11EA0"/>
    <w:rsid w:val="00B13704"/>
    <w:rsid w:val="00B14C90"/>
    <w:rsid w:val="00B17FDB"/>
    <w:rsid w:val="00B21BB1"/>
    <w:rsid w:val="00B234D4"/>
    <w:rsid w:val="00B2389D"/>
    <w:rsid w:val="00B25D68"/>
    <w:rsid w:val="00B275B8"/>
    <w:rsid w:val="00B2777B"/>
    <w:rsid w:val="00B33504"/>
    <w:rsid w:val="00B357A6"/>
    <w:rsid w:val="00B37CF3"/>
    <w:rsid w:val="00B416C3"/>
    <w:rsid w:val="00B427E3"/>
    <w:rsid w:val="00B429DB"/>
    <w:rsid w:val="00B45675"/>
    <w:rsid w:val="00B52FAE"/>
    <w:rsid w:val="00B539FB"/>
    <w:rsid w:val="00B56082"/>
    <w:rsid w:val="00B60425"/>
    <w:rsid w:val="00B6367E"/>
    <w:rsid w:val="00B63B06"/>
    <w:rsid w:val="00B64600"/>
    <w:rsid w:val="00B66C37"/>
    <w:rsid w:val="00B67119"/>
    <w:rsid w:val="00B707EF"/>
    <w:rsid w:val="00B70B2A"/>
    <w:rsid w:val="00B71675"/>
    <w:rsid w:val="00B71B62"/>
    <w:rsid w:val="00B75BC0"/>
    <w:rsid w:val="00B767FE"/>
    <w:rsid w:val="00B7796D"/>
    <w:rsid w:val="00B80B83"/>
    <w:rsid w:val="00B81A5A"/>
    <w:rsid w:val="00B822E3"/>
    <w:rsid w:val="00B827AA"/>
    <w:rsid w:val="00B863A0"/>
    <w:rsid w:val="00B8794E"/>
    <w:rsid w:val="00B915D3"/>
    <w:rsid w:val="00B92024"/>
    <w:rsid w:val="00B96B35"/>
    <w:rsid w:val="00B97B84"/>
    <w:rsid w:val="00BA01AB"/>
    <w:rsid w:val="00BA3306"/>
    <w:rsid w:val="00BA6AAD"/>
    <w:rsid w:val="00BA73EE"/>
    <w:rsid w:val="00BB0213"/>
    <w:rsid w:val="00BB2730"/>
    <w:rsid w:val="00BB4EA9"/>
    <w:rsid w:val="00BB6F4E"/>
    <w:rsid w:val="00BB74D4"/>
    <w:rsid w:val="00BC3301"/>
    <w:rsid w:val="00BC7FCB"/>
    <w:rsid w:val="00BD03EC"/>
    <w:rsid w:val="00BD117C"/>
    <w:rsid w:val="00BD2FA9"/>
    <w:rsid w:val="00BE3CAA"/>
    <w:rsid w:val="00BE3E5F"/>
    <w:rsid w:val="00BE583A"/>
    <w:rsid w:val="00BF0B19"/>
    <w:rsid w:val="00C03A48"/>
    <w:rsid w:val="00C0437A"/>
    <w:rsid w:val="00C06418"/>
    <w:rsid w:val="00C06FC1"/>
    <w:rsid w:val="00C07417"/>
    <w:rsid w:val="00C07BBA"/>
    <w:rsid w:val="00C104C2"/>
    <w:rsid w:val="00C10A9D"/>
    <w:rsid w:val="00C11033"/>
    <w:rsid w:val="00C17CF7"/>
    <w:rsid w:val="00C20D42"/>
    <w:rsid w:val="00C23FEA"/>
    <w:rsid w:val="00C241C0"/>
    <w:rsid w:val="00C302DE"/>
    <w:rsid w:val="00C317F3"/>
    <w:rsid w:val="00C37478"/>
    <w:rsid w:val="00C43ECD"/>
    <w:rsid w:val="00C44C37"/>
    <w:rsid w:val="00C46AE5"/>
    <w:rsid w:val="00C47654"/>
    <w:rsid w:val="00C47C7F"/>
    <w:rsid w:val="00C51BE9"/>
    <w:rsid w:val="00C52ACF"/>
    <w:rsid w:val="00C54B44"/>
    <w:rsid w:val="00C55E58"/>
    <w:rsid w:val="00C57E4D"/>
    <w:rsid w:val="00C60A59"/>
    <w:rsid w:val="00C626E2"/>
    <w:rsid w:val="00C628C8"/>
    <w:rsid w:val="00C7519E"/>
    <w:rsid w:val="00C77918"/>
    <w:rsid w:val="00C81A12"/>
    <w:rsid w:val="00C84597"/>
    <w:rsid w:val="00C846BE"/>
    <w:rsid w:val="00C86600"/>
    <w:rsid w:val="00C963DE"/>
    <w:rsid w:val="00CA00B9"/>
    <w:rsid w:val="00CA0C26"/>
    <w:rsid w:val="00CA1A39"/>
    <w:rsid w:val="00CA316A"/>
    <w:rsid w:val="00CA40E0"/>
    <w:rsid w:val="00CA4499"/>
    <w:rsid w:val="00CA4883"/>
    <w:rsid w:val="00CA51AB"/>
    <w:rsid w:val="00CA6AEB"/>
    <w:rsid w:val="00CB0725"/>
    <w:rsid w:val="00CB07A8"/>
    <w:rsid w:val="00CB0A93"/>
    <w:rsid w:val="00CB14A1"/>
    <w:rsid w:val="00CB207C"/>
    <w:rsid w:val="00CB24A8"/>
    <w:rsid w:val="00CB4E75"/>
    <w:rsid w:val="00CB5389"/>
    <w:rsid w:val="00CB7A84"/>
    <w:rsid w:val="00CC07E8"/>
    <w:rsid w:val="00CC10E1"/>
    <w:rsid w:val="00CC3FC5"/>
    <w:rsid w:val="00CC762C"/>
    <w:rsid w:val="00CD12E3"/>
    <w:rsid w:val="00CD6327"/>
    <w:rsid w:val="00CE29DE"/>
    <w:rsid w:val="00CE2B78"/>
    <w:rsid w:val="00CE49A6"/>
    <w:rsid w:val="00CE49AB"/>
    <w:rsid w:val="00CE63DC"/>
    <w:rsid w:val="00CE74A3"/>
    <w:rsid w:val="00CF6B8A"/>
    <w:rsid w:val="00D034DD"/>
    <w:rsid w:val="00D03D0C"/>
    <w:rsid w:val="00D044BF"/>
    <w:rsid w:val="00D04952"/>
    <w:rsid w:val="00D064AA"/>
    <w:rsid w:val="00D06A16"/>
    <w:rsid w:val="00D1078F"/>
    <w:rsid w:val="00D10E60"/>
    <w:rsid w:val="00D12CD2"/>
    <w:rsid w:val="00D14884"/>
    <w:rsid w:val="00D14D23"/>
    <w:rsid w:val="00D15D8B"/>
    <w:rsid w:val="00D15E75"/>
    <w:rsid w:val="00D17984"/>
    <w:rsid w:val="00D2033B"/>
    <w:rsid w:val="00D24DAD"/>
    <w:rsid w:val="00D25916"/>
    <w:rsid w:val="00D30A7E"/>
    <w:rsid w:val="00D32572"/>
    <w:rsid w:val="00D329E6"/>
    <w:rsid w:val="00D357D5"/>
    <w:rsid w:val="00D37972"/>
    <w:rsid w:val="00D40896"/>
    <w:rsid w:val="00D41534"/>
    <w:rsid w:val="00D451FC"/>
    <w:rsid w:val="00D47B13"/>
    <w:rsid w:val="00D50D56"/>
    <w:rsid w:val="00D53C79"/>
    <w:rsid w:val="00D63C48"/>
    <w:rsid w:val="00D64289"/>
    <w:rsid w:val="00D64FAD"/>
    <w:rsid w:val="00D6667B"/>
    <w:rsid w:val="00D71400"/>
    <w:rsid w:val="00D72C23"/>
    <w:rsid w:val="00D74A12"/>
    <w:rsid w:val="00D758F1"/>
    <w:rsid w:val="00D80787"/>
    <w:rsid w:val="00D84325"/>
    <w:rsid w:val="00D8435D"/>
    <w:rsid w:val="00D86DBF"/>
    <w:rsid w:val="00D95394"/>
    <w:rsid w:val="00D970E7"/>
    <w:rsid w:val="00DA032B"/>
    <w:rsid w:val="00DA0456"/>
    <w:rsid w:val="00DA0996"/>
    <w:rsid w:val="00DA3E6F"/>
    <w:rsid w:val="00DA554C"/>
    <w:rsid w:val="00DA55BB"/>
    <w:rsid w:val="00DA73EE"/>
    <w:rsid w:val="00DA7DFD"/>
    <w:rsid w:val="00DB79CF"/>
    <w:rsid w:val="00DB7EE7"/>
    <w:rsid w:val="00DC1743"/>
    <w:rsid w:val="00DC1EFE"/>
    <w:rsid w:val="00DC1F73"/>
    <w:rsid w:val="00DC23B1"/>
    <w:rsid w:val="00DC34D0"/>
    <w:rsid w:val="00DC355A"/>
    <w:rsid w:val="00DC44F3"/>
    <w:rsid w:val="00DC4CC9"/>
    <w:rsid w:val="00DC581E"/>
    <w:rsid w:val="00DC7746"/>
    <w:rsid w:val="00DD0B73"/>
    <w:rsid w:val="00DD3049"/>
    <w:rsid w:val="00DD4469"/>
    <w:rsid w:val="00DD55EE"/>
    <w:rsid w:val="00DE30E2"/>
    <w:rsid w:val="00DE3A9A"/>
    <w:rsid w:val="00DE4D1F"/>
    <w:rsid w:val="00DE6421"/>
    <w:rsid w:val="00DE6FDA"/>
    <w:rsid w:val="00DF16C0"/>
    <w:rsid w:val="00DF368E"/>
    <w:rsid w:val="00DF548B"/>
    <w:rsid w:val="00DF5C1A"/>
    <w:rsid w:val="00E01A8E"/>
    <w:rsid w:val="00E03082"/>
    <w:rsid w:val="00E05CB1"/>
    <w:rsid w:val="00E05FBC"/>
    <w:rsid w:val="00E074B7"/>
    <w:rsid w:val="00E077FD"/>
    <w:rsid w:val="00E10B7D"/>
    <w:rsid w:val="00E16732"/>
    <w:rsid w:val="00E17B64"/>
    <w:rsid w:val="00E227EA"/>
    <w:rsid w:val="00E23660"/>
    <w:rsid w:val="00E2467F"/>
    <w:rsid w:val="00E24F30"/>
    <w:rsid w:val="00E27591"/>
    <w:rsid w:val="00E2761D"/>
    <w:rsid w:val="00E31A1E"/>
    <w:rsid w:val="00E32DBE"/>
    <w:rsid w:val="00E34484"/>
    <w:rsid w:val="00E3491E"/>
    <w:rsid w:val="00E3572D"/>
    <w:rsid w:val="00E37424"/>
    <w:rsid w:val="00E4041E"/>
    <w:rsid w:val="00E44231"/>
    <w:rsid w:val="00E44BB7"/>
    <w:rsid w:val="00E45180"/>
    <w:rsid w:val="00E45305"/>
    <w:rsid w:val="00E4634C"/>
    <w:rsid w:val="00E46AC9"/>
    <w:rsid w:val="00E5055B"/>
    <w:rsid w:val="00E53DB6"/>
    <w:rsid w:val="00E54FB3"/>
    <w:rsid w:val="00E55904"/>
    <w:rsid w:val="00E55E72"/>
    <w:rsid w:val="00E61E00"/>
    <w:rsid w:val="00E62F4E"/>
    <w:rsid w:val="00E66614"/>
    <w:rsid w:val="00E720E1"/>
    <w:rsid w:val="00E727F7"/>
    <w:rsid w:val="00E73747"/>
    <w:rsid w:val="00E773DF"/>
    <w:rsid w:val="00E8269B"/>
    <w:rsid w:val="00E86A33"/>
    <w:rsid w:val="00E8762C"/>
    <w:rsid w:val="00E929DB"/>
    <w:rsid w:val="00E930FA"/>
    <w:rsid w:val="00E936A1"/>
    <w:rsid w:val="00EA01D9"/>
    <w:rsid w:val="00EA1B29"/>
    <w:rsid w:val="00EA4D93"/>
    <w:rsid w:val="00EA66E6"/>
    <w:rsid w:val="00EB3F3E"/>
    <w:rsid w:val="00EB426B"/>
    <w:rsid w:val="00EB458B"/>
    <w:rsid w:val="00EB5E6D"/>
    <w:rsid w:val="00EB6751"/>
    <w:rsid w:val="00EB7F35"/>
    <w:rsid w:val="00EC0B14"/>
    <w:rsid w:val="00EC1D5F"/>
    <w:rsid w:val="00EC7377"/>
    <w:rsid w:val="00ED2D9A"/>
    <w:rsid w:val="00ED4A58"/>
    <w:rsid w:val="00EE34B7"/>
    <w:rsid w:val="00EE4729"/>
    <w:rsid w:val="00EE76F9"/>
    <w:rsid w:val="00EF2AD4"/>
    <w:rsid w:val="00EF3278"/>
    <w:rsid w:val="00EF55B6"/>
    <w:rsid w:val="00EF5615"/>
    <w:rsid w:val="00EF6904"/>
    <w:rsid w:val="00F049EC"/>
    <w:rsid w:val="00F067EF"/>
    <w:rsid w:val="00F12373"/>
    <w:rsid w:val="00F123A5"/>
    <w:rsid w:val="00F14672"/>
    <w:rsid w:val="00F207E6"/>
    <w:rsid w:val="00F216ED"/>
    <w:rsid w:val="00F26B4B"/>
    <w:rsid w:val="00F2706C"/>
    <w:rsid w:val="00F27D9E"/>
    <w:rsid w:val="00F3094A"/>
    <w:rsid w:val="00F32976"/>
    <w:rsid w:val="00F32D23"/>
    <w:rsid w:val="00F33E59"/>
    <w:rsid w:val="00F35D71"/>
    <w:rsid w:val="00F37230"/>
    <w:rsid w:val="00F419C5"/>
    <w:rsid w:val="00F44EFB"/>
    <w:rsid w:val="00F56314"/>
    <w:rsid w:val="00F63A91"/>
    <w:rsid w:val="00F70109"/>
    <w:rsid w:val="00F70354"/>
    <w:rsid w:val="00F711BC"/>
    <w:rsid w:val="00F72B42"/>
    <w:rsid w:val="00F733F3"/>
    <w:rsid w:val="00F73A39"/>
    <w:rsid w:val="00F75D3A"/>
    <w:rsid w:val="00F777AA"/>
    <w:rsid w:val="00F80139"/>
    <w:rsid w:val="00F87C31"/>
    <w:rsid w:val="00F9212E"/>
    <w:rsid w:val="00F94163"/>
    <w:rsid w:val="00F972B4"/>
    <w:rsid w:val="00F9783F"/>
    <w:rsid w:val="00FA0329"/>
    <w:rsid w:val="00FA49B6"/>
    <w:rsid w:val="00FA4FAB"/>
    <w:rsid w:val="00FA5C7C"/>
    <w:rsid w:val="00FB31F2"/>
    <w:rsid w:val="00FB366A"/>
    <w:rsid w:val="00FB57DB"/>
    <w:rsid w:val="00FB6238"/>
    <w:rsid w:val="00FB6D17"/>
    <w:rsid w:val="00FC06E3"/>
    <w:rsid w:val="00FC0AB3"/>
    <w:rsid w:val="00FC13CE"/>
    <w:rsid w:val="00FC18A8"/>
    <w:rsid w:val="00FC22AB"/>
    <w:rsid w:val="00FC4C8A"/>
    <w:rsid w:val="00FC594B"/>
    <w:rsid w:val="00FC5E5C"/>
    <w:rsid w:val="00FC5F17"/>
    <w:rsid w:val="00FC74C4"/>
    <w:rsid w:val="00FD0DA5"/>
    <w:rsid w:val="00FD4A66"/>
    <w:rsid w:val="00FD7841"/>
    <w:rsid w:val="00FE2431"/>
    <w:rsid w:val="00FE4C58"/>
    <w:rsid w:val="00FE60D1"/>
    <w:rsid w:val="00FE6746"/>
    <w:rsid w:val="00FE68EF"/>
    <w:rsid w:val="00FF2550"/>
    <w:rsid w:val="00FF4795"/>
    <w:rsid w:val="00FF4BC4"/>
    <w:rsid w:val="00FF610D"/>
    <w:rsid w:val="00FF755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4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0"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uiPriority w:val="1"/>
    <w:qFormat/>
    <w:rsid w:val="00CA316A"/>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2D4E5F"/>
    <w:pPr>
      <w:keepNext/>
      <w:keepLines/>
      <w:numPr>
        <w:ilvl w:val="1"/>
        <w:numId w:val="12"/>
      </w:numPr>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2D4E5F"/>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i/>
      <w:sz w:val="28"/>
      <w:szCs w:val="28"/>
    </w:rPr>
  </w:style>
  <w:style w:type="character" w:customStyle="1" w:styleId="Heading6Char">
    <w:name w:val="Heading 6 Char"/>
    <w:aliases w:val="Heading 3 - Body Char"/>
    <w:basedOn w:val="DefaultParagraphFont"/>
    <w:link w:val="Heading6"/>
    <w:uiPriority w:val="7"/>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9"/>
    <w:unhideWhenUsed/>
    <w:rsid w:val="004619BB"/>
    <w:rPr>
      <w:b/>
      <w:bCs/>
    </w:rPr>
  </w:style>
  <w:style w:type="character" w:customStyle="1" w:styleId="CommentSubjectChar">
    <w:name w:val="Comment Subject Char"/>
    <w:basedOn w:val="CommentTextChar"/>
    <w:link w:val="CommentSubject"/>
    <w:uiPriority w:val="99"/>
    <w:rsid w:val="004619BB"/>
    <w:rPr>
      <w:b/>
      <w:bCs/>
      <w:sz w:val="20"/>
      <w:szCs w:val="20"/>
    </w:rPr>
  </w:style>
  <w:style w:type="paragraph" w:styleId="BalloonText">
    <w:name w:val="Balloon Text"/>
    <w:basedOn w:val="Normal"/>
    <w:link w:val="BalloonTextChar"/>
    <w:uiPriority w:val="9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aliases w:val="PBAC Table Footnote"/>
    <w:link w:val="NoSpacingChar"/>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qFormat/>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numbering" w:customStyle="1" w:styleId="NoList1">
    <w:name w:val="No List1"/>
    <w:next w:val="NoList"/>
    <w:uiPriority w:val="99"/>
    <w:semiHidden/>
    <w:unhideWhenUsed/>
    <w:rsid w:val="00E3491E"/>
  </w:style>
  <w:style w:type="table" w:customStyle="1" w:styleId="TableGrid211">
    <w:name w:val="Table Grid211"/>
    <w:basedOn w:val="TableNormal"/>
    <w:next w:val="TableGrid"/>
    <w:uiPriority w:val="59"/>
    <w:rsid w:val="00E349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4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qFormat/>
    <w:rsid w:val="00E3491E"/>
    <w:pPr>
      <w:spacing w:before="40" w:after="40"/>
    </w:pPr>
    <w:rPr>
      <w:rFonts w:ascii="Arial Narrow" w:eastAsia="Times New Roman" w:hAnsi="Arial Narrow" w:cs="Times New Roman"/>
      <w:sz w:val="20"/>
      <w:szCs w:val="20"/>
    </w:rPr>
  </w:style>
  <w:style w:type="character" w:customStyle="1" w:styleId="PBACTableTextChar">
    <w:name w:val="PBAC Table Text Char"/>
    <w:basedOn w:val="DefaultParagraphFont"/>
    <w:link w:val="PBACTableText"/>
    <w:rsid w:val="00E3491E"/>
    <w:rPr>
      <w:rFonts w:ascii="Arial Narrow" w:eastAsia="Times New Roman" w:hAnsi="Arial Narrow" w:cs="Times New Roman"/>
      <w:sz w:val="20"/>
      <w:szCs w:val="20"/>
    </w:rPr>
  </w:style>
  <w:style w:type="character" w:customStyle="1" w:styleId="NoSpacingChar">
    <w:name w:val="No Spacing Char"/>
    <w:aliases w:val="PBAC Table Footnote Char"/>
    <w:basedOn w:val="DefaultParagraphFont"/>
    <w:link w:val="NoSpacing"/>
    <w:uiPriority w:val="1"/>
    <w:rsid w:val="00E3491E"/>
    <w:rPr>
      <w:rFonts w:ascii="Arial" w:eastAsia="Times New Roman" w:hAnsi="Arial" w:cs="Arial"/>
      <w:snapToGrid w:val="0"/>
      <w:szCs w:val="20"/>
    </w:rPr>
  </w:style>
  <w:style w:type="paragraph" w:customStyle="1" w:styleId="PBACtablecaption">
    <w:name w:val="PBAC table caption"/>
    <w:basedOn w:val="PBACTableText"/>
    <w:link w:val="PBACtablecaptionChar"/>
    <w:rsid w:val="00E3491E"/>
    <w:pPr>
      <w:spacing w:before="0" w:after="0"/>
    </w:pPr>
    <w:rPr>
      <w:rFonts w:cs="Arial"/>
      <w:sz w:val="18"/>
      <w:szCs w:val="18"/>
    </w:rPr>
  </w:style>
  <w:style w:type="character" w:customStyle="1" w:styleId="PBACtablecaptionChar">
    <w:name w:val="PBAC table caption Char"/>
    <w:basedOn w:val="PBACTableTextChar"/>
    <w:link w:val="PBACtablecaption"/>
    <w:rsid w:val="00E3491E"/>
    <w:rPr>
      <w:rFonts w:ascii="Arial Narrow" w:eastAsia="Times New Roman" w:hAnsi="Arial Narrow" w:cs="Arial"/>
      <w:sz w:val="18"/>
      <w:szCs w:val="18"/>
    </w:rPr>
  </w:style>
  <w:style w:type="paragraph" w:customStyle="1" w:styleId="Default">
    <w:name w:val="Default"/>
    <w:rsid w:val="00E3491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2">
    <w:name w:val="No List2"/>
    <w:next w:val="NoList"/>
    <w:uiPriority w:val="99"/>
    <w:semiHidden/>
    <w:unhideWhenUsed/>
    <w:rsid w:val="00E3491E"/>
  </w:style>
  <w:style w:type="character" w:customStyle="1" w:styleId="TablefootnoteChar">
    <w:name w:val="Table footnote Char"/>
    <w:basedOn w:val="DefaultParagraphFont"/>
    <w:link w:val="Tablefootnote"/>
    <w:locked/>
    <w:rsid w:val="00E3491E"/>
    <w:rPr>
      <w:rFonts w:ascii="Arial Narrow" w:hAnsi="Arial Narrow" w:cs="Tahoma"/>
      <w:sz w:val="16"/>
    </w:rPr>
  </w:style>
  <w:style w:type="paragraph" w:customStyle="1" w:styleId="Tablefootnote">
    <w:name w:val="Table footnote"/>
    <w:basedOn w:val="Normal"/>
    <w:link w:val="TablefootnoteChar"/>
    <w:rsid w:val="00E3491E"/>
    <w:pPr>
      <w:spacing w:before="40" w:after="360"/>
    </w:pPr>
    <w:rPr>
      <w:rFonts w:ascii="Arial Narrow" w:hAnsi="Arial Narrow" w:cs="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0"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6E"/>
    <w:pPr>
      <w:spacing w:before="120" w:line="240" w:lineRule="auto"/>
    </w:pPr>
    <w:rPr>
      <w:sz w:val="24"/>
    </w:rPr>
  </w:style>
  <w:style w:type="paragraph" w:styleId="Heading1">
    <w:name w:val="heading 1"/>
    <w:basedOn w:val="Normal"/>
    <w:next w:val="Normal"/>
    <w:link w:val="Heading1Char"/>
    <w:uiPriority w:val="1"/>
    <w:qFormat/>
    <w:rsid w:val="00CA316A"/>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2D4E5F"/>
    <w:pPr>
      <w:keepNext/>
      <w:keepLines/>
      <w:numPr>
        <w:ilvl w:val="1"/>
        <w:numId w:val="12"/>
      </w:numPr>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2D4E5F"/>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i/>
      <w:sz w:val="28"/>
      <w:szCs w:val="28"/>
    </w:rPr>
  </w:style>
  <w:style w:type="character" w:customStyle="1" w:styleId="Heading6Char">
    <w:name w:val="Heading 6 Char"/>
    <w:aliases w:val="Heading 3 - Body Char"/>
    <w:basedOn w:val="DefaultParagraphFont"/>
    <w:link w:val="Heading6"/>
    <w:uiPriority w:val="7"/>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9"/>
    <w:unhideWhenUsed/>
    <w:rsid w:val="004619BB"/>
    <w:rPr>
      <w:b/>
      <w:bCs/>
    </w:rPr>
  </w:style>
  <w:style w:type="character" w:customStyle="1" w:styleId="CommentSubjectChar">
    <w:name w:val="Comment Subject Char"/>
    <w:basedOn w:val="CommentTextChar"/>
    <w:link w:val="CommentSubject"/>
    <w:uiPriority w:val="99"/>
    <w:rsid w:val="004619BB"/>
    <w:rPr>
      <w:b/>
      <w:bCs/>
      <w:sz w:val="20"/>
      <w:szCs w:val="20"/>
    </w:rPr>
  </w:style>
  <w:style w:type="paragraph" w:styleId="BalloonText">
    <w:name w:val="Balloon Text"/>
    <w:basedOn w:val="Normal"/>
    <w:link w:val="BalloonTextChar"/>
    <w:uiPriority w:val="9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aliases w:val="PBAC Table Footnote"/>
    <w:link w:val="NoSpacingChar"/>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qFormat/>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numbering" w:customStyle="1" w:styleId="NoList1">
    <w:name w:val="No List1"/>
    <w:next w:val="NoList"/>
    <w:uiPriority w:val="99"/>
    <w:semiHidden/>
    <w:unhideWhenUsed/>
    <w:rsid w:val="00E3491E"/>
  </w:style>
  <w:style w:type="table" w:customStyle="1" w:styleId="TableGrid211">
    <w:name w:val="Table Grid211"/>
    <w:basedOn w:val="TableNormal"/>
    <w:next w:val="TableGrid"/>
    <w:uiPriority w:val="59"/>
    <w:rsid w:val="00E349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4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qFormat/>
    <w:rsid w:val="00E3491E"/>
    <w:pPr>
      <w:spacing w:before="40" w:after="40"/>
    </w:pPr>
    <w:rPr>
      <w:rFonts w:ascii="Arial Narrow" w:eastAsia="Times New Roman" w:hAnsi="Arial Narrow" w:cs="Times New Roman"/>
      <w:sz w:val="20"/>
      <w:szCs w:val="20"/>
    </w:rPr>
  </w:style>
  <w:style w:type="character" w:customStyle="1" w:styleId="PBACTableTextChar">
    <w:name w:val="PBAC Table Text Char"/>
    <w:basedOn w:val="DefaultParagraphFont"/>
    <w:link w:val="PBACTableText"/>
    <w:rsid w:val="00E3491E"/>
    <w:rPr>
      <w:rFonts w:ascii="Arial Narrow" w:eastAsia="Times New Roman" w:hAnsi="Arial Narrow" w:cs="Times New Roman"/>
      <w:sz w:val="20"/>
      <w:szCs w:val="20"/>
    </w:rPr>
  </w:style>
  <w:style w:type="character" w:customStyle="1" w:styleId="NoSpacingChar">
    <w:name w:val="No Spacing Char"/>
    <w:aliases w:val="PBAC Table Footnote Char"/>
    <w:basedOn w:val="DefaultParagraphFont"/>
    <w:link w:val="NoSpacing"/>
    <w:uiPriority w:val="1"/>
    <w:rsid w:val="00E3491E"/>
    <w:rPr>
      <w:rFonts w:ascii="Arial" w:eastAsia="Times New Roman" w:hAnsi="Arial" w:cs="Arial"/>
      <w:snapToGrid w:val="0"/>
      <w:szCs w:val="20"/>
    </w:rPr>
  </w:style>
  <w:style w:type="paragraph" w:customStyle="1" w:styleId="PBACtablecaption">
    <w:name w:val="PBAC table caption"/>
    <w:basedOn w:val="PBACTableText"/>
    <w:link w:val="PBACtablecaptionChar"/>
    <w:rsid w:val="00E3491E"/>
    <w:pPr>
      <w:spacing w:before="0" w:after="0"/>
    </w:pPr>
    <w:rPr>
      <w:rFonts w:cs="Arial"/>
      <w:sz w:val="18"/>
      <w:szCs w:val="18"/>
    </w:rPr>
  </w:style>
  <w:style w:type="character" w:customStyle="1" w:styleId="PBACtablecaptionChar">
    <w:name w:val="PBAC table caption Char"/>
    <w:basedOn w:val="PBACTableTextChar"/>
    <w:link w:val="PBACtablecaption"/>
    <w:rsid w:val="00E3491E"/>
    <w:rPr>
      <w:rFonts w:ascii="Arial Narrow" w:eastAsia="Times New Roman" w:hAnsi="Arial Narrow" w:cs="Arial"/>
      <w:sz w:val="18"/>
      <w:szCs w:val="18"/>
    </w:rPr>
  </w:style>
  <w:style w:type="paragraph" w:customStyle="1" w:styleId="Default">
    <w:name w:val="Default"/>
    <w:rsid w:val="00E3491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2">
    <w:name w:val="No List2"/>
    <w:next w:val="NoList"/>
    <w:uiPriority w:val="99"/>
    <w:semiHidden/>
    <w:unhideWhenUsed/>
    <w:rsid w:val="00E3491E"/>
  </w:style>
  <w:style w:type="character" w:customStyle="1" w:styleId="TablefootnoteChar">
    <w:name w:val="Table footnote Char"/>
    <w:basedOn w:val="DefaultParagraphFont"/>
    <w:link w:val="Tablefootnote"/>
    <w:locked/>
    <w:rsid w:val="00E3491E"/>
    <w:rPr>
      <w:rFonts w:ascii="Arial Narrow" w:hAnsi="Arial Narrow" w:cs="Tahoma"/>
      <w:sz w:val="16"/>
    </w:rPr>
  </w:style>
  <w:style w:type="paragraph" w:customStyle="1" w:styleId="Tablefootnote">
    <w:name w:val="Table footnote"/>
    <w:basedOn w:val="Normal"/>
    <w:link w:val="TablefootnoteChar"/>
    <w:rsid w:val="00E3491E"/>
    <w:pPr>
      <w:spacing w:before="40" w:after="360"/>
    </w:pPr>
    <w:rPr>
      <w:rFonts w:ascii="Arial Narrow" w:hAnsi="Arial Narrow"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33A6E-E797-48CE-BE46-C05B91C8B243}">
  <ds:schemaRefs>
    <ds:schemaRef ds:uri="http://schemas.openxmlformats.org/officeDocument/2006/bibliography"/>
  </ds:schemaRefs>
</ds:datastoreItem>
</file>

<file path=customXml/itemProps2.xml><?xml version="1.0" encoding="utf-8"?>
<ds:datastoreItem xmlns:ds="http://schemas.openxmlformats.org/officeDocument/2006/customXml" ds:itemID="{50A555CC-6343-4971-ADE1-446A6E04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6877</Words>
  <Characters>39200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2018-02-19T23:58:00Z</dcterms:created>
  <dcterms:modified xsi:type="dcterms:W3CDTF">2018-02-19T23:59:00Z</dcterms:modified>
</cp:coreProperties>
</file>