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04" w:rsidRDefault="00B511E9" w:rsidP="00F55365">
      <w:pPr>
        <w:outlineLvl w:val="0"/>
        <w:rPr>
          <w:b/>
          <w:sz w:val="36"/>
          <w:szCs w:val="36"/>
        </w:rPr>
      </w:pPr>
      <w:r>
        <w:rPr>
          <w:b/>
          <w:sz w:val="36"/>
          <w:szCs w:val="36"/>
        </w:rPr>
        <w:t>6.01</w:t>
      </w:r>
      <w:r w:rsidR="00B60939" w:rsidRPr="00C12C14">
        <w:rPr>
          <w:b/>
          <w:sz w:val="36"/>
          <w:szCs w:val="36"/>
        </w:rPr>
        <w:tab/>
      </w:r>
      <w:r w:rsidR="00A92E09">
        <w:rPr>
          <w:b/>
          <w:sz w:val="36"/>
          <w:szCs w:val="36"/>
        </w:rPr>
        <w:t>ABATACEPT</w:t>
      </w:r>
      <w:r w:rsidR="00B60939" w:rsidRPr="00C12C14">
        <w:rPr>
          <w:b/>
          <w:sz w:val="36"/>
          <w:szCs w:val="36"/>
        </w:rPr>
        <w:t xml:space="preserve">, </w:t>
      </w:r>
      <w:r w:rsidR="00A92E09">
        <w:rPr>
          <w:b/>
          <w:sz w:val="36"/>
          <w:szCs w:val="36"/>
        </w:rPr>
        <w:t xml:space="preserve">125mg SC injection </w:t>
      </w:r>
    </w:p>
    <w:p w:rsidR="00942A04" w:rsidRDefault="00A92E09" w:rsidP="00A92E09">
      <w:pPr>
        <w:rPr>
          <w:b/>
          <w:sz w:val="36"/>
          <w:szCs w:val="36"/>
        </w:rPr>
      </w:pPr>
      <w:r>
        <w:rPr>
          <w:b/>
          <w:sz w:val="36"/>
          <w:szCs w:val="36"/>
        </w:rPr>
        <w:t xml:space="preserve">(auto-injector and pre-filled syringe) and </w:t>
      </w:r>
    </w:p>
    <w:p w:rsidR="00CC4303" w:rsidRDefault="00A92E09" w:rsidP="00A92E09">
      <w:pPr>
        <w:rPr>
          <w:b/>
          <w:sz w:val="36"/>
          <w:szCs w:val="36"/>
        </w:rPr>
      </w:pPr>
      <w:r>
        <w:rPr>
          <w:b/>
          <w:sz w:val="36"/>
          <w:szCs w:val="36"/>
        </w:rPr>
        <w:t>250mg vial for IV infusion</w:t>
      </w:r>
      <w:r w:rsidR="00B60939" w:rsidRPr="00C12C14">
        <w:rPr>
          <w:b/>
          <w:sz w:val="36"/>
          <w:szCs w:val="36"/>
        </w:rPr>
        <w:t xml:space="preserve">, </w:t>
      </w:r>
    </w:p>
    <w:p w:rsidR="00B60939" w:rsidRDefault="00A92E09" w:rsidP="00A92E09">
      <w:pPr>
        <w:rPr>
          <w:b/>
          <w:sz w:val="36"/>
          <w:szCs w:val="36"/>
        </w:rPr>
      </w:pPr>
      <w:proofErr w:type="spellStart"/>
      <w:proofErr w:type="gramStart"/>
      <w:r>
        <w:rPr>
          <w:b/>
          <w:sz w:val="36"/>
          <w:szCs w:val="36"/>
        </w:rPr>
        <w:t>Orencia</w:t>
      </w:r>
      <w:proofErr w:type="spellEnd"/>
      <w:r w:rsidR="00B60939" w:rsidRPr="00C12C14">
        <w:rPr>
          <w:b/>
          <w:sz w:val="36"/>
          <w:szCs w:val="36"/>
          <w:vertAlign w:val="superscript"/>
        </w:rPr>
        <w:t>®</w:t>
      </w:r>
      <w:r w:rsidR="00B60939" w:rsidRPr="00C12C14">
        <w:rPr>
          <w:b/>
          <w:sz w:val="36"/>
          <w:szCs w:val="36"/>
        </w:rPr>
        <w:t xml:space="preserve">, </w:t>
      </w:r>
      <w:r>
        <w:rPr>
          <w:b/>
          <w:sz w:val="36"/>
          <w:szCs w:val="36"/>
        </w:rPr>
        <w:t>Bristol-Myers Squibb</w:t>
      </w:r>
      <w:r w:rsidR="00B60939" w:rsidRPr="00C12C14">
        <w:rPr>
          <w:b/>
          <w:sz w:val="36"/>
          <w:szCs w:val="36"/>
        </w:rPr>
        <w:t>.</w:t>
      </w:r>
      <w:proofErr w:type="gramEnd"/>
    </w:p>
    <w:p w:rsidR="00B60939" w:rsidRPr="00234409" w:rsidRDefault="00B60939" w:rsidP="00207D00"/>
    <w:p w:rsidR="00B50DB8" w:rsidRPr="00F55365" w:rsidRDefault="00B50DB8" w:rsidP="00DA4FB3">
      <w:pPr>
        <w:pStyle w:val="PBACHeading1"/>
        <w:spacing w:after="120"/>
      </w:pPr>
      <w:bookmarkStart w:id="0" w:name="_Toc503190132"/>
      <w:r w:rsidRPr="00F55365">
        <w:t>Purpose of Application</w:t>
      </w:r>
      <w:bookmarkEnd w:id="0"/>
    </w:p>
    <w:p w:rsidR="002C2775" w:rsidRPr="00234409" w:rsidRDefault="008B1757" w:rsidP="005C5856">
      <w:pPr>
        <w:pStyle w:val="ListParagraph"/>
        <w:widowControl/>
        <w:numPr>
          <w:ilvl w:val="1"/>
          <w:numId w:val="3"/>
        </w:numPr>
      </w:pPr>
      <w:r w:rsidRPr="00234409">
        <w:t xml:space="preserve">Authority </w:t>
      </w:r>
      <w:proofErr w:type="gramStart"/>
      <w:r w:rsidRPr="00234409">
        <w:t>Required</w:t>
      </w:r>
      <w:proofErr w:type="gramEnd"/>
      <w:r w:rsidR="00BA0E6C" w:rsidRPr="00234409">
        <w:t xml:space="preserve"> (in writing) </w:t>
      </w:r>
      <w:r w:rsidRPr="00234409">
        <w:t xml:space="preserve">listing </w:t>
      </w:r>
      <w:r w:rsidR="00571FC9" w:rsidRPr="00234409">
        <w:t>of</w:t>
      </w:r>
      <w:r w:rsidRPr="00234409">
        <w:t xml:space="preserve"> </w:t>
      </w:r>
      <w:proofErr w:type="spellStart"/>
      <w:r w:rsidR="00BA0E6C" w:rsidRPr="00234409">
        <w:t>abatacept</w:t>
      </w:r>
      <w:proofErr w:type="spellEnd"/>
      <w:r w:rsidR="00BA0E6C" w:rsidRPr="00234409">
        <w:t xml:space="preserve"> </w:t>
      </w:r>
      <w:r w:rsidRPr="00234409">
        <w:t xml:space="preserve">for treatment of </w:t>
      </w:r>
      <w:r w:rsidR="00BA0E6C" w:rsidRPr="00234409">
        <w:t>severe active psoriatic arthritis (PsA) in patients meeting certain criteria</w:t>
      </w:r>
      <w:r w:rsidRPr="00234409">
        <w:t>.</w:t>
      </w:r>
      <w:r w:rsidR="00BA0E6C" w:rsidRPr="00234409">
        <w:t xml:space="preserve">  </w:t>
      </w:r>
      <w:r w:rsidR="00BA0E6C" w:rsidRPr="00234409">
        <w:rPr>
          <w:iCs/>
        </w:rPr>
        <w:t>Th</w:t>
      </w:r>
      <w:r w:rsidR="00571FC9" w:rsidRPr="00234409">
        <w:rPr>
          <w:iCs/>
        </w:rPr>
        <w:t xml:space="preserve">is is the first submission of </w:t>
      </w:r>
      <w:proofErr w:type="spellStart"/>
      <w:r w:rsidR="009A7FDE" w:rsidRPr="00234409">
        <w:rPr>
          <w:iCs/>
        </w:rPr>
        <w:t>abatacept</w:t>
      </w:r>
      <w:proofErr w:type="spellEnd"/>
      <w:r w:rsidR="009A7FDE" w:rsidRPr="00234409">
        <w:rPr>
          <w:iCs/>
        </w:rPr>
        <w:t xml:space="preserve"> </w:t>
      </w:r>
      <w:r w:rsidR="00571FC9" w:rsidRPr="00234409">
        <w:rPr>
          <w:iCs/>
        </w:rPr>
        <w:t>for PsA to be considered by the</w:t>
      </w:r>
      <w:r w:rsidR="00B1282C" w:rsidRPr="00234409">
        <w:rPr>
          <w:iCs/>
        </w:rPr>
        <w:t xml:space="preserve"> PBAC.  </w:t>
      </w:r>
      <w:proofErr w:type="spellStart"/>
      <w:r w:rsidR="00B1282C" w:rsidRPr="00234409">
        <w:rPr>
          <w:iCs/>
        </w:rPr>
        <w:t>A</w:t>
      </w:r>
      <w:r w:rsidR="009A7FDE" w:rsidRPr="00234409">
        <w:rPr>
          <w:iCs/>
        </w:rPr>
        <w:t>batacept</w:t>
      </w:r>
      <w:proofErr w:type="spellEnd"/>
      <w:r w:rsidR="00B1282C" w:rsidRPr="00234409">
        <w:rPr>
          <w:iCs/>
        </w:rPr>
        <w:t xml:space="preserve"> was listed on the PBS for the treatment of rheumatoid arthritis (RA) </w:t>
      </w:r>
      <w:r w:rsidR="005C5856" w:rsidRPr="00234409">
        <w:rPr>
          <w:iCs/>
        </w:rPr>
        <w:t>in 2008</w:t>
      </w:r>
      <w:r w:rsidR="00B1282C" w:rsidRPr="00234409">
        <w:rPr>
          <w:iCs/>
        </w:rPr>
        <w:t xml:space="preserve">; </w:t>
      </w:r>
      <w:r w:rsidR="00C45A99" w:rsidRPr="00234409">
        <w:rPr>
          <w:iCs/>
        </w:rPr>
        <w:t xml:space="preserve">a submission for the </w:t>
      </w:r>
      <w:r w:rsidR="00B1282C" w:rsidRPr="00234409">
        <w:rPr>
          <w:iCs/>
        </w:rPr>
        <w:t xml:space="preserve">treatment of juvenile idiopathic arthritis (JIA) </w:t>
      </w:r>
      <w:r w:rsidR="00C45A99" w:rsidRPr="00234409">
        <w:rPr>
          <w:iCs/>
        </w:rPr>
        <w:t xml:space="preserve">was considered </w:t>
      </w:r>
      <w:r w:rsidR="005C5856" w:rsidRPr="00234409">
        <w:rPr>
          <w:iCs/>
        </w:rPr>
        <w:t xml:space="preserve">by the PBAC </w:t>
      </w:r>
      <w:r w:rsidR="00C45A99" w:rsidRPr="00234409">
        <w:rPr>
          <w:iCs/>
        </w:rPr>
        <w:t xml:space="preserve">in July 2011 </w:t>
      </w:r>
      <w:r w:rsidR="00EF0A9C">
        <w:rPr>
          <w:iCs/>
        </w:rPr>
        <w:t>and</w:t>
      </w:r>
      <w:r w:rsidR="00EF0A9C" w:rsidRPr="00234409">
        <w:rPr>
          <w:iCs/>
        </w:rPr>
        <w:t xml:space="preserve"> </w:t>
      </w:r>
      <w:r w:rsidR="00C45A99" w:rsidRPr="00234409">
        <w:rPr>
          <w:iCs/>
        </w:rPr>
        <w:t>the decision was deferred.</w:t>
      </w:r>
    </w:p>
    <w:p w:rsidR="00AB1DCC" w:rsidRPr="00CF18B0" w:rsidRDefault="00A37424" w:rsidP="00AB1DCC">
      <w:pPr>
        <w:pStyle w:val="ListParagraph"/>
        <w:widowControl/>
        <w:numPr>
          <w:ilvl w:val="1"/>
          <w:numId w:val="3"/>
        </w:numPr>
        <w:spacing w:after="120"/>
        <w:rPr>
          <w:rStyle w:val="CommentReference"/>
          <w:rFonts w:ascii="Calibri" w:hAnsi="Calibri"/>
          <w:b w:val="0"/>
          <w:sz w:val="24"/>
          <w:szCs w:val="22"/>
        </w:rPr>
      </w:pPr>
      <w:r w:rsidRPr="00234409">
        <w:t xml:space="preserve">The basis for the requested listing was a cost-minimisation analysis to the </w:t>
      </w:r>
      <w:r w:rsidR="00632F46" w:rsidRPr="00234409">
        <w:t>following</w:t>
      </w:r>
      <w:r w:rsidRPr="00234409">
        <w:t xml:space="preserve"> biologic disease-modifying anti-rheumatic drugs (bDMARDs) currently listed</w:t>
      </w:r>
      <w:r w:rsidR="00F55365">
        <w:t xml:space="preserve"> on the PBS: </w:t>
      </w:r>
      <w:proofErr w:type="spellStart"/>
      <w:r w:rsidR="00F55365">
        <w:t>certolizumab</w:t>
      </w:r>
      <w:proofErr w:type="spellEnd"/>
      <w:r w:rsidR="00F55365">
        <w:t xml:space="preserve"> </w:t>
      </w:r>
      <w:proofErr w:type="spellStart"/>
      <w:r w:rsidR="00F55365">
        <w:t>pegol</w:t>
      </w:r>
      <w:proofErr w:type="spellEnd"/>
      <w:r w:rsidR="00F55365">
        <w:t xml:space="preserve">, </w:t>
      </w:r>
      <w:proofErr w:type="gramStart"/>
      <w:r w:rsidR="00F55365">
        <w:t>ustekinumab ,</w:t>
      </w:r>
      <w:proofErr w:type="gramEnd"/>
      <w:r w:rsidR="00F55365">
        <w:t xml:space="preserve"> and secukinumab</w:t>
      </w:r>
      <w:r w:rsidRPr="00234409">
        <w:t xml:space="preserve">.  </w:t>
      </w:r>
      <w:r w:rsidR="001E6123" w:rsidRPr="00234409">
        <w:t xml:space="preserve">While any bDMARD listed on the PBS for PsA could be an appropriate comparator, the submission noted that </w:t>
      </w:r>
      <w:proofErr w:type="spellStart"/>
      <w:r w:rsidR="00BE187C" w:rsidRPr="00234409">
        <w:t>certolizumab</w:t>
      </w:r>
      <w:proofErr w:type="spellEnd"/>
      <w:r w:rsidR="001E6123" w:rsidRPr="00234409">
        <w:t xml:space="preserve">, </w:t>
      </w:r>
      <w:r w:rsidR="00BE187C" w:rsidRPr="00234409">
        <w:t>ustekinumab</w:t>
      </w:r>
      <w:r w:rsidR="001E6123" w:rsidRPr="00234409">
        <w:t xml:space="preserve"> and </w:t>
      </w:r>
      <w:r w:rsidR="00BE187C">
        <w:t>s</w:t>
      </w:r>
      <w:r w:rsidR="00BE187C" w:rsidRPr="00234409">
        <w:t>ecukinumab</w:t>
      </w:r>
      <w:r w:rsidR="001E6123" w:rsidRPr="00234409">
        <w:t xml:space="preserve"> represented a ‘lower-tier’ of </w:t>
      </w:r>
      <w:r w:rsidR="00FA0AAC">
        <w:t>less expensive</w:t>
      </w:r>
      <w:r w:rsidR="00A90C34">
        <w:t xml:space="preserve"> alternatives on the PBS</w:t>
      </w:r>
      <w:r w:rsidR="001E6123" w:rsidRPr="00234409">
        <w:t xml:space="preserve">. </w:t>
      </w:r>
      <w:r w:rsidR="001E6123" w:rsidRPr="00CF18B0">
        <w:rPr>
          <w:iCs/>
        </w:rPr>
        <w:t xml:space="preserve">The nomination of </w:t>
      </w:r>
      <w:proofErr w:type="spellStart"/>
      <w:r w:rsidR="00BE187C" w:rsidRPr="00234409">
        <w:t>certolizumab</w:t>
      </w:r>
      <w:proofErr w:type="spellEnd"/>
      <w:r w:rsidR="00BE187C" w:rsidRPr="00234409">
        <w:t xml:space="preserve">, ustekinumab and </w:t>
      </w:r>
      <w:r w:rsidR="00BE187C">
        <w:t>s</w:t>
      </w:r>
      <w:r w:rsidR="00BE187C" w:rsidRPr="00234409">
        <w:t xml:space="preserve">ecukinumab </w:t>
      </w:r>
      <w:r w:rsidR="001E6123" w:rsidRPr="00CF18B0">
        <w:rPr>
          <w:iCs/>
        </w:rPr>
        <w:t xml:space="preserve">as comparators was reasonable, however should the effective prices of any ‘higher tier’ bDMARDs actually be lower than the requested price of </w:t>
      </w:r>
      <w:proofErr w:type="spellStart"/>
      <w:r w:rsidR="001E6123" w:rsidRPr="00CF18B0">
        <w:rPr>
          <w:iCs/>
        </w:rPr>
        <w:t>abatacept</w:t>
      </w:r>
      <w:proofErr w:type="spellEnd"/>
      <w:r w:rsidR="001E6123" w:rsidRPr="00CF18B0">
        <w:rPr>
          <w:iCs/>
        </w:rPr>
        <w:t xml:space="preserve">, they would also be relevant comparators. </w:t>
      </w:r>
      <w:r w:rsidR="00AC2CAF" w:rsidRPr="00CF18B0">
        <w:rPr>
          <w:iCs/>
        </w:rPr>
        <w:t xml:space="preserve">The cost calculation presented included </w:t>
      </w:r>
      <w:r w:rsidR="00015A15" w:rsidRPr="00CF18B0">
        <w:rPr>
          <w:iCs/>
        </w:rPr>
        <w:t>secukinumab</w:t>
      </w:r>
      <w:r w:rsidR="00AC2CAF" w:rsidRPr="00CF18B0">
        <w:rPr>
          <w:iCs/>
        </w:rPr>
        <w:t xml:space="preserve"> as the only comparator, which was listed on a cost-minimisation basis to </w:t>
      </w:r>
      <w:proofErr w:type="spellStart"/>
      <w:r w:rsidR="00015A15" w:rsidRPr="00CF18B0">
        <w:rPr>
          <w:iCs/>
        </w:rPr>
        <w:t>certolizumab</w:t>
      </w:r>
      <w:proofErr w:type="spellEnd"/>
      <w:r w:rsidR="00AC2CAF" w:rsidRPr="00CF18B0">
        <w:rPr>
          <w:iCs/>
        </w:rPr>
        <w:t xml:space="preserve"> and </w:t>
      </w:r>
      <w:r w:rsidR="00015A15" w:rsidRPr="00CF18B0">
        <w:rPr>
          <w:iCs/>
        </w:rPr>
        <w:t>ustekinumab</w:t>
      </w:r>
      <w:r w:rsidR="00AC2CAF" w:rsidRPr="00CF18B0">
        <w:rPr>
          <w:iCs/>
        </w:rPr>
        <w:t xml:space="preserve">.  </w:t>
      </w:r>
    </w:p>
    <w:p w:rsidR="008B1757" w:rsidRPr="00234409" w:rsidRDefault="00706426" w:rsidP="008B1757">
      <w:pPr>
        <w:rPr>
          <w:rStyle w:val="CommentReference"/>
        </w:rPr>
      </w:pPr>
      <w:r w:rsidRPr="00234409">
        <w:rPr>
          <w:rStyle w:val="CommentReference"/>
        </w:rPr>
        <w:t>Table 1</w:t>
      </w:r>
      <w:r w:rsidR="008B1757" w:rsidRPr="00234409">
        <w:rPr>
          <w:rStyle w:val="CommentReference"/>
        </w:rPr>
        <w:t>: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909"/>
      </w:tblGrid>
      <w:tr w:rsidR="008B1757" w:rsidRPr="00234409" w:rsidTr="00745A0D">
        <w:trPr>
          <w:cantSplit/>
          <w:tblHeader/>
        </w:trPr>
        <w:tc>
          <w:tcPr>
            <w:tcW w:w="1271" w:type="dxa"/>
            <w:shd w:val="clear" w:color="auto" w:fill="auto"/>
          </w:tcPr>
          <w:p w:rsidR="008B1757" w:rsidRPr="00234409" w:rsidRDefault="008B1757" w:rsidP="008B1757">
            <w:pPr>
              <w:pStyle w:val="Tabletext"/>
              <w:rPr>
                <w:b/>
                <w:szCs w:val="20"/>
              </w:rPr>
            </w:pPr>
            <w:r w:rsidRPr="00234409">
              <w:rPr>
                <w:b/>
              </w:rPr>
              <w:t>Component</w:t>
            </w:r>
          </w:p>
        </w:tc>
        <w:tc>
          <w:tcPr>
            <w:tcW w:w="7909" w:type="dxa"/>
            <w:shd w:val="clear" w:color="auto" w:fill="auto"/>
          </w:tcPr>
          <w:p w:rsidR="008B1757" w:rsidRPr="00234409" w:rsidRDefault="008B1757" w:rsidP="008B1757">
            <w:pPr>
              <w:pStyle w:val="Tabletext"/>
              <w:jc w:val="center"/>
              <w:rPr>
                <w:b/>
              </w:rPr>
            </w:pPr>
            <w:r w:rsidRPr="00234409">
              <w:rPr>
                <w:b/>
              </w:rPr>
              <w:t>Description</w:t>
            </w:r>
          </w:p>
        </w:tc>
      </w:tr>
      <w:tr w:rsidR="00745A0D" w:rsidRPr="00234409" w:rsidTr="00745A0D">
        <w:trPr>
          <w:cantSplit/>
        </w:trPr>
        <w:tc>
          <w:tcPr>
            <w:tcW w:w="1271" w:type="dxa"/>
            <w:shd w:val="clear" w:color="auto" w:fill="auto"/>
          </w:tcPr>
          <w:p w:rsidR="00745A0D" w:rsidRPr="00234409" w:rsidRDefault="00745A0D" w:rsidP="00745A0D">
            <w:pPr>
              <w:pStyle w:val="Tabletext"/>
            </w:pPr>
            <w:r w:rsidRPr="00234409">
              <w:t>Population</w:t>
            </w:r>
          </w:p>
        </w:tc>
        <w:tc>
          <w:tcPr>
            <w:tcW w:w="7909" w:type="dxa"/>
            <w:shd w:val="clear" w:color="auto" w:fill="auto"/>
            <w:vAlign w:val="center"/>
          </w:tcPr>
          <w:p w:rsidR="00745A0D" w:rsidRPr="00234409" w:rsidRDefault="00745A0D" w:rsidP="00745A0D">
            <w:pPr>
              <w:pStyle w:val="Tabletext"/>
            </w:pPr>
            <w:r w:rsidRPr="00234409">
              <w:t>Adults with severe active psoriatic arthritis</w:t>
            </w:r>
          </w:p>
        </w:tc>
      </w:tr>
      <w:tr w:rsidR="008B1757" w:rsidRPr="00234409" w:rsidTr="00745A0D">
        <w:trPr>
          <w:cantSplit/>
        </w:trPr>
        <w:tc>
          <w:tcPr>
            <w:tcW w:w="1271" w:type="dxa"/>
            <w:shd w:val="clear" w:color="auto" w:fill="auto"/>
          </w:tcPr>
          <w:p w:rsidR="008B1757" w:rsidRPr="00234409" w:rsidRDefault="008B1757" w:rsidP="008B1757">
            <w:pPr>
              <w:pStyle w:val="Tabletext"/>
            </w:pPr>
            <w:r w:rsidRPr="00234409">
              <w:t>Intervention</w:t>
            </w:r>
          </w:p>
        </w:tc>
        <w:tc>
          <w:tcPr>
            <w:tcW w:w="7909" w:type="dxa"/>
            <w:shd w:val="clear" w:color="auto" w:fill="auto"/>
          </w:tcPr>
          <w:p w:rsidR="00571FC9" w:rsidRPr="00234409" w:rsidRDefault="00745A0D" w:rsidP="008B1757">
            <w:pPr>
              <w:pStyle w:val="Tabletext"/>
            </w:pPr>
            <w:proofErr w:type="spellStart"/>
            <w:r w:rsidRPr="00234409">
              <w:t>Abatacept</w:t>
            </w:r>
            <w:proofErr w:type="spellEnd"/>
            <w:r w:rsidRPr="00234409">
              <w:t xml:space="preserve"> 125mg SC weekly; or </w:t>
            </w:r>
          </w:p>
          <w:p w:rsidR="008B1757" w:rsidRPr="00234409" w:rsidRDefault="00571FC9" w:rsidP="008B1757">
            <w:pPr>
              <w:pStyle w:val="Tabletext"/>
            </w:pPr>
            <w:proofErr w:type="spellStart"/>
            <w:r w:rsidRPr="00234409">
              <w:t>A</w:t>
            </w:r>
            <w:r w:rsidR="00745A0D" w:rsidRPr="00234409">
              <w:t>batacept</w:t>
            </w:r>
            <w:proofErr w:type="spellEnd"/>
            <w:r w:rsidR="00745A0D" w:rsidRPr="00234409">
              <w:t xml:space="preserve"> </w:t>
            </w:r>
            <w:r w:rsidR="005B7E0F" w:rsidRPr="00234409">
              <w:t>~</w:t>
            </w:r>
            <w:r w:rsidR="00745A0D" w:rsidRPr="00234409">
              <w:t>10mg/</w:t>
            </w:r>
            <w:proofErr w:type="spellStart"/>
            <w:r w:rsidR="00745A0D" w:rsidRPr="00234409">
              <w:t>kg</w:t>
            </w:r>
            <w:r w:rsidR="00745A0D" w:rsidRPr="00234409">
              <w:rPr>
                <w:vertAlign w:val="superscript"/>
              </w:rPr>
              <w:t>a</w:t>
            </w:r>
            <w:proofErr w:type="spellEnd"/>
            <w:r w:rsidR="00745A0D" w:rsidRPr="00234409">
              <w:t xml:space="preserve"> IV at weeks 0, 2, 4, then every 4 weeks.</w:t>
            </w:r>
          </w:p>
        </w:tc>
      </w:tr>
      <w:tr w:rsidR="008B1757" w:rsidRPr="00234409" w:rsidTr="00745A0D">
        <w:trPr>
          <w:cantSplit/>
        </w:trPr>
        <w:tc>
          <w:tcPr>
            <w:tcW w:w="1271" w:type="dxa"/>
            <w:shd w:val="clear" w:color="auto" w:fill="auto"/>
          </w:tcPr>
          <w:p w:rsidR="008B1757" w:rsidRPr="00234409" w:rsidRDefault="008B1757" w:rsidP="008B1757">
            <w:pPr>
              <w:pStyle w:val="Tabletext"/>
            </w:pPr>
            <w:r w:rsidRPr="00234409">
              <w:t>Comparator</w:t>
            </w:r>
            <w:r w:rsidR="00745A0D" w:rsidRPr="00234409">
              <w:t>s</w:t>
            </w:r>
          </w:p>
        </w:tc>
        <w:tc>
          <w:tcPr>
            <w:tcW w:w="7909" w:type="dxa"/>
            <w:shd w:val="clear" w:color="auto" w:fill="auto"/>
          </w:tcPr>
          <w:p w:rsidR="008B1757" w:rsidRPr="00234409" w:rsidRDefault="00745A0D" w:rsidP="00745A0D">
            <w:pPr>
              <w:pStyle w:val="Tabletext"/>
            </w:pPr>
            <w:proofErr w:type="spellStart"/>
            <w:r w:rsidRPr="00234409">
              <w:t>Certolizumab</w:t>
            </w:r>
            <w:proofErr w:type="spellEnd"/>
            <w:r w:rsidRPr="00234409">
              <w:t xml:space="preserve"> 400mg SC at weeks 0, 2, 4, then either 200mg every</w:t>
            </w:r>
            <w:r w:rsidR="00571FC9" w:rsidRPr="00234409">
              <w:t xml:space="preserve"> 2 weeks or 400mg every 4 weeks;</w:t>
            </w:r>
          </w:p>
          <w:p w:rsidR="00745A0D" w:rsidRPr="00234409" w:rsidRDefault="00745A0D" w:rsidP="008B1757">
            <w:pPr>
              <w:pStyle w:val="Tabletext"/>
            </w:pPr>
            <w:r w:rsidRPr="00234409">
              <w:t>Ustekinumab 45mg SC at weeks</w:t>
            </w:r>
            <w:r w:rsidR="004B3BD0" w:rsidRPr="00234409">
              <w:t xml:space="preserve"> 0, 4, then every 12 weeks</w:t>
            </w:r>
            <w:r w:rsidR="00571FC9" w:rsidRPr="00234409">
              <w:t>;</w:t>
            </w:r>
          </w:p>
          <w:p w:rsidR="004B3BD0" w:rsidRPr="00234409" w:rsidRDefault="004B3BD0" w:rsidP="008B1757">
            <w:pPr>
              <w:pStyle w:val="Tabletext"/>
            </w:pPr>
            <w:r w:rsidRPr="00234409">
              <w:t>Secukinumab 150mg or 300mg</w:t>
            </w:r>
            <w:r w:rsidRPr="00234409">
              <w:rPr>
                <w:vertAlign w:val="superscript"/>
              </w:rPr>
              <w:t>b</w:t>
            </w:r>
            <w:r w:rsidRPr="00234409">
              <w:t xml:space="preserve"> SC at weeks 0, 1, 2, 3, 4, </w:t>
            </w:r>
            <w:proofErr w:type="gramStart"/>
            <w:r w:rsidRPr="00234409">
              <w:t>then</w:t>
            </w:r>
            <w:proofErr w:type="gramEnd"/>
            <w:r w:rsidRPr="00234409">
              <w:t xml:space="preserve"> every 4 weeks.</w:t>
            </w:r>
          </w:p>
        </w:tc>
      </w:tr>
      <w:tr w:rsidR="008B1757" w:rsidRPr="00234409" w:rsidTr="00745A0D">
        <w:trPr>
          <w:cantSplit/>
        </w:trPr>
        <w:tc>
          <w:tcPr>
            <w:tcW w:w="1271" w:type="dxa"/>
            <w:shd w:val="clear" w:color="auto" w:fill="auto"/>
          </w:tcPr>
          <w:p w:rsidR="008B1757" w:rsidRPr="00234409" w:rsidRDefault="008B1757" w:rsidP="008B1757">
            <w:pPr>
              <w:pStyle w:val="Tabletext"/>
            </w:pPr>
            <w:r w:rsidRPr="00234409">
              <w:t>Outcomes</w:t>
            </w:r>
          </w:p>
        </w:tc>
        <w:tc>
          <w:tcPr>
            <w:tcW w:w="7909" w:type="dxa"/>
            <w:shd w:val="clear" w:color="auto" w:fill="auto"/>
          </w:tcPr>
          <w:p w:rsidR="008B1757" w:rsidRPr="00234409" w:rsidRDefault="00094443" w:rsidP="00571FC9">
            <w:pPr>
              <w:pStyle w:val="Tabletext"/>
            </w:pPr>
            <w:r w:rsidRPr="00234409">
              <w:t>ACR50</w:t>
            </w:r>
            <w:r w:rsidR="00571FC9" w:rsidRPr="00234409">
              <w:t xml:space="preserve"> and to a lesser extent ACR20 </w:t>
            </w:r>
            <w:r w:rsidRPr="00234409">
              <w:t>given ACR50 reflects to a greater degree the criteria for current PBS eligi</w:t>
            </w:r>
            <w:r w:rsidR="00571FC9" w:rsidRPr="00234409">
              <w:t>bility for continuing treatment.  The PBAC has previously considered indirect comparisons of ACR50 and ACR20 of other bDMARDs</w:t>
            </w:r>
            <w:r w:rsidRPr="00234409">
              <w:t xml:space="preserve"> at a time point</w:t>
            </w:r>
            <w:r w:rsidR="00571FC9" w:rsidRPr="00234409">
              <w:t>s</w:t>
            </w:r>
            <w:r w:rsidRPr="00234409">
              <w:t xml:space="preserve"> consistent with the assessment of response on the PBS</w:t>
            </w:r>
            <w:r w:rsidR="00571FC9" w:rsidRPr="00234409">
              <w:t>.</w:t>
            </w:r>
            <w:r w:rsidRPr="00234409">
              <w:rPr>
                <w:iCs/>
              </w:rPr>
              <w:t xml:space="preserve"> </w:t>
            </w:r>
          </w:p>
        </w:tc>
      </w:tr>
      <w:tr w:rsidR="008B1757" w:rsidRPr="00234409" w:rsidTr="00745A0D">
        <w:trPr>
          <w:cantSplit/>
        </w:trPr>
        <w:tc>
          <w:tcPr>
            <w:tcW w:w="1271" w:type="dxa"/>
            <w:shd w:val="clear" w:color="auto" w:fill="auto"/>
          </w:tcPr>
          <w:p w:rsidR="008B1757" w:rsidRPr="00234409" w:rsidRDefault="008B1757" w:rsidP="008B1757">
            <w:pPr>
              <w:pStyle w:val="Tabletext"/>
            </w:pPr>
            <w:r w:rsidRPr="00234409">
              <w:t>Clinical claim</w:t>
            </w:r>
          </w:p>
        </w:tc>
        <w:tc>
          <w:tcPr>
            <w:tcW w:w="7909" w:type="dxa"/>
            <w:shd w:val="clear" w:color="auto" w:fill="auto"/>
          </w:tcPr>
          <w:p w:rsidR="008B1757" w:rsidRPr="00234409" w:rsidRDefault="00E9297B" w:rsidP="00E9297B">
            <w:pPr>
              <w:pStyle w:val="Tabletext"/>
            </w:pPr>
            <w:r w:rsidRPr="00234409">
              <w:t xml:space="preserve">In adults with severe active psoriatic arthritis, </w:t>
            </w:r>
            <w:proofErr w:type="spellStart"/>
            <w:r w:rsidRPr="00234409">
              <w:t>abatacept</w:t>
            </w:r>
            <w:proofErr w:type="spellEnd"/>
            <w:r w:rsidRPr="00234409">
              <w:t xml:space="preserve"> is no worse than the nominated comparators (</w:t>
            </w:r>
            <w:proofErr w:type="spellStart"/>
            <w:r w:rsidRPr="00234409">
              <w:t>certolizumab</w:t>
            </w:r>
            <w:proofErr w:type="spellEnd"/>
            <w:r w:rsidRPr="00234409">
              <w:t>, ustekinumab and secukinumab) at treating the disease measured across several outcomes when interpreted collectively (ACR20, ACR50, PASI75, HAQ-DI, Quality of Life), and no worse than the nominated comparators in terms of safety.</w:t>
            </w:r>
          </w:p>
        </w:tc>
      </w:tr>
    </w:tbl>
    <w:p w:rsidR="00F31497" w:rsidRPr="00234409" w:rsidRDefault="00F31497" w:rsidP="005B7E0F">
      <w:pPr>
        <w:pStyle w:val="TableFooter"/>
      </w:pPr>
      <w:r w:rsidRPr="00234409">
        <w:t xml:space="preserve">ACR20/50 = ≥20% /50% improvement on the American College of Rheumatology Criteria; bDMARD = biologic disease-modifying anti-rhematic drug; IV=intravenous; SC=subcutaneous; </w:t>
      </w:r>
      <w:r w:rsidR="005B7E0F" w:rsidRPr="00234409">
        <w:t>PASI75 = ≥75% reduction in the Psoriasis Area and Severity Index; HAQ-DI = Health Assessment Questionnaire Disability Index</w:t>
      </w:r>
      <w:r w:rsidR="003D1E07" w:rsidRPr="00234409">
        <w:t>; PBS = Pharmaceutical Benefits Scheme</w:t>
      </w:r>
    </w:p>
    <w:p w:rsidR="00667A7C" w:rsidRPr="00234409" w:rsidRDefault="00667A7C" w:rsidP="00667A7C">
      <w:pPr>
        <w:pStyle w:val="TableFooter"/>
        <w:tabs>
          <w:tab w:val="left" w:pos="142"/>
        </w:tabs>
      </w:pPr>
      <w:r w:rsidRPr="00234409">
        <w:rPr>
          <w:vertAlign w:val="superscript"/>
        </w:rPr>
        <w:t>a</w:t>
      </w:r>
      <w:r w:rsidRPr="00234409">
        <w:tab/>
        <w:t>&lt;60kg: 500mg, 60-100kg: 750mg, &gt;100kg: 1g</w:t>
      </w:r>
    </w:p>
    <w:p w:rsidR="004B3BD0" w:rsidRPr="00234409" w:rsidRDefault="004B3BD0" w:rsidP="00254DA2">
      <w:pPr>
        <w:pStyle w:val="TableFooter"/>
        <w:tabs>
          <w:tab w:val="left" w:pos="142"/>
        </w:tabs>
      </w:pPr>
      <w:proofErr w:type="gramStart"/>
      <w:r w:rsidRPr="00234409">
        <w:rPr>
          <w:vertAlign w:val="superscript"/>
        </w:rPr>
        <w:t>b</w:t>
      </w:r>
      <w:proofErr w:type="gramEnd"/>
      <w:r w:rsidRPr="00234409">
        <w:tab/>
      </w:r>
      <w:r w:rsidR="00254DA2" w:rsidRPr="00234409">
        <w:t>300mg recommended for anti-TNF-α inadequate responders or patients with concomitant moderate to severe plaque psoriasis.</w:t>
      </w:r>
    </w:p>
    <w:p w:rsidR="004E43B2" w:rsidRPr="00DA4FB3" w:rsidRDefault="008B1757" w:rsidP="00DA4FB3">
      <w:pPr>
        <w:pStyle w:val="TableFooter"/>
        <w:rPr>
          <w:sz w:val="20"/>
        </w:rPr>
      </w:pPr>
      <w:r w:rsidRPr="00234409">
        <w:t>Source: Table</w:t>
      </w:r>
      <w:r w:rsidR="00745A0D" w:rsidRPr="00234409">
        <w:t xml:space="preserve"> 51</w:t>
      </w:r>
      <w:r w:rsidRPr="00234409">
        <w:t>, p</w:t>
      </w:r>
      <w:r w:rsidR="00745A0D" w:rsidRPr="00234409">
        <w:t>117</w:t>
      </w:r>
      <w:r w:rsidRPr="00234409">
        <w:t xml:space="preserve"> of the submission.</w:t>
      </w:r>
    </w:p>
    <w:p w:rsidR="00B60939" w:rsidRPr="00234409" w:rsidRDefault="00B50DB8" w:rsidP="00DA4FB3">
      <w:pPr>
        <w:pStyle w:val="PBACHeading1"/>
        <w:spacing w:after="120"/>
      </w:pPr>
      <w:bookmarkStart w:id="1" w:name="_Toc503190133"/>
      <w:r w:rsidRPr="00234409">
        <w:lastRenderedPageBreak/>
        <w:t>Requested listing</w:t>
      </w:r>
      <w:bookmarkEnd w:id="1"/>
    </w:p>
    <w:p w:rsidR="00584E6F" w:rsidRPr="00234409" w:rsidRDefault="00584E6F" w:rsidP="005A692B">
      <w:pPr>
        <w:pStyle w:val="ListParagraph"/>
        <w:widowControl/>
        <w:numPr>
          <w:ilvl w:val="1"/>
          <w:numId w:val="3"/>
        </w:numPr>
        <w:rPr>
          <w:iCs/>
        </w:rPr>
      </w:pPr>
      <w:r w:rsidRPr="00234409">
        <w:t xml:space="preserve">PBS listing of </w:t>
      </w:r>
      <w:proofErr w:type="spellStart"/>
      <w:r w:rsidR="006B5817" w:rsidRPr="00234409">
        <w:t>abatacept</w:t>
      </w:r>
      <w:proofErr w:type="spellEnd"/>
      <w:r w:rsidRPr="00234409">
        <w:t xml:space="preserve"> was requested for three formulations: </w:t>
      </w:r>
      <w:proofErr w:type="spellStart"/>
      <w:r w:rsidRPr="00234409">
        <w:t>i</w:t>
      </w:r>
      <w:proofErr w:type="spellEnd"/>
      <w:r w:rsidRPr="00234409">
        <w:t xml:space="preserve">) a 125mg auto-injector for </w:t>
      </w:r>
      <w:r w:rsidR="002E64E5" w:rsidRPr="00234409">
        <w:t>subcutaneous (</w:t>
      </w:r>
      <w:r w:rsidRPr="00234409">
        <w:t>SC</w:t>
      </w:r>
      <w:r w:rsidR="002E64E5" w:rsidRPr="00234409">
        <w:t>)</w:t>
      </w:r>
      <w:r w:rsidRPr="00234409">
        <w:t xml:space="preserve"> administration, ii) a 125mg pre-filled syringe for SC administration, and iii) a 250mg vial (powder) for </w:t>
      </w:r>
      <w:r w:rsidR="002E64E5" w:rsidRPr="00234409">
        <w:t>intravenous (</w:t>
      </w:r>
      <w:r w:rsidRPr="00234409">
        <w:t>IV</w:t>
      </w:r>
      <w:r w:rsidR="002E64E5" w:rsidRPr="00234409">
        <w:t>)</w:t>
      </w:r>
      <w:r w:rsidRPr="00234409">
        <w:t xml:space="preserve"> infusion (reconstitution with 10ml of water for injection).</w:t>
      </w:r>
      <w:r w:rsidR="005A692B" w:rsidRPr="00234409">
        <w:t xml:space="preserve">  </w:t>
      </w:r>
    </w:p>
    <w:p w:rsidR="00584E6F" w:rsidRPr="00AB1DCC" w:rsidRDefault="00584E6F" w:rsidP="00617E12">
      <w:pPr>
        <w:pStyle w:val="ListParagraph"/>
        <w:widowControl/>
        <w:numPr>
          <w:ilvl w:val="1"/>
          <w:numId w:val="3"/>
        </w:numPr>
      </w:pPr>
      <w:r w:rsidRPr="00234409">
        <w:t xml:space="preserve">An abbreviated form of the requested listing was presented in the submission; the Sponsor requested alignment of the requested restriction with the wording of the other bDMARDs currently listed for </w:t>
      </w:r>
      <w:r w:rsidR="00444565" w:rsidRPr="00234409">
        <w:t xml:space="preserve">severe active </w:t>
      </w:r>
      <w:proofErr w:type="spellStart"/>
      <w:r w:rsidRPr="00234409">
        <w:t>PsA.</w:t>
      </w:r>
      <w:proofErr w:type="spellEnd"/>
      <w:r w:rsidRPr="00234409">
        <w:t xml:space="preserve">  </w:t>
      </w:r>
      <w:r w:rsidRPr="00234409">
        <w:rPr>
          <w:iCs/>
        </w:rPr>
        <w:t>For consistency with the other bDMARDs: the SC and IV formulations would need to be restricted as authority required (in writing) S85 and S100 items respectively.</w:t>
      </w:r>
    </w:p>
    <w:tbl>
      <w:tblPr>
        <w:tblW w:w="5000" w:type="pct"/>
        <w:tblInd w:w="28" w:type="dxa"/>
        <w:tblCellMar>
          <w:left w:w="28" w:type="dxa"/>
          <w:right w:w="28" w:type="dxa"/>
        </w:tblCellMar>
        <w:tblLook w:val="0000" w:firstRow="0" w:lastRow="0" w:firstColumn="0" w:lastColumn="0" w:noHBand="0" w:noVBand="0"/>
      </w:tblPr>
      <w:tblGrid>
        <w:gridCol w:w="2241"/>
        <w:gridCol w:w="1015"/>
        <w:gridCol w:w="1015"/>
        <w:gridCol w:w="1017"/>
        <w:gridCol w:w="1953"/>
        <w:gridCol w:w="1842"/>
      </w:tblGrid>
      <w:tr w:rsidR="00687C8A" w:rsidRPr="00413860" w:rsidTr="00DA4FB3">
        <w:trPr>
          <w:cantSplit/>
          <w:trHeight w:val="463"/>
        </w:trPr>
        <w:tc>
          <w:tcPr>
            <w:tcW w:w="1233" w:type="pct"/>
            <w:tcBorders>
              <w:top w:val="single" w:sz="4" w:space="0" w:color="auto"/>
              <w:bottom w:val="single" w:sz="4" w:space="0" w:color="auto"/>
            </w:tcBorders>
            <w:vAlign w:val="center"/>
          </w:tcPr>
          <w:p w:rsidR="00687C8A" w:rsidRPr="00C7151A" w:rsidRDefault="00687C8A" w:rsidP="00617E12">
            <w:pPr>
              <w:keepNext/>
              <w:jc w:val="left"/>
              <w:rPr>
                <w:rFonts w:ascii="Arial Narrow" w:hAnsi="Arial Narrow"/>
                <w:b/>
                <w:sz w:val="20"/>
              </w:rPr>
            </w:pPr>
            <w:r w:rsidRPr="00C7151A">
              <w:rPr>
                <w:rFonts w:ascii="Arial Narrow" w:hAnsi="Arial Narrow"/>
                <w:b/>
                <w:sz w:val="20"/>
              </w:rPr>
              <w:t>Name, Restriction,</w:t>
            </w:r>
          </w:p>
          <w:p w:rsidR="00687C8A" w:rsidRPr="00C7151A" w:rsidRDefault="00687C8A" w:rsidP="00617E12">
            <w:pPr>
              <w:keepNext/>
              <w:jc w:val="left"/>
              <w:rPr>
                <w:rFonts w:ascii="Arial Narrow" w:hAnsi="Arial Narrow"/>
                <w:b/>
                <w:sz w:val="20"/>
              </w:rPr>
            </w:pPr>
            <w:r w:rsidRPr="00C7151A">
              <w:rPr>
                <w:rFonts w:ascii="Arial Narrow" w:hAnsi="Arial Narrow"/>
                <w:b/>
                <w:sz w:val="20"/>
              </w:rPr>
              <w:t>Manner of administration and form</w:t>
            </w:r>
          </w:p>
        </w:tc>
        <w:tc>
          <w:tcPr>
            <w:tcW w:w="559" w:type="pct"/>
            <w:tcBorders>
              <w:top w:val="single" w:sz="4" w:space="0" w:color="auto"/>
              <w:bottom w:val="single" w:sz="4" w:space="0" w:color="auto"/>
            </w:tcBorders>
            <w:vAlign w:val="center"/>
          </w:tcPr>
          <w:p w:rsidR="00687C8A" w:rsidRPr="00687C8A" w:rsidRDefault="00687C8A" w:rsidP="00687C8A">
            <w:pPr>
              <w:keepNext/>
              <w:jc w:val="center"/>
              <w:rPr>
                <w:rFonts w:ascii="Arial Narrow" w:hAnsi="Arial Narrow"/>
                <w:b/>
                <w:sz w:val="20"/>
              </w:rPr>
            </w:pPr>
            <w:r w:rsidRPr="00687C8A">
              <w:rPr>
                <w:rFonts w:ascii="Arial Narrow" w:hAnsi="Arial Narrow"/>
                <w:b/>
                <w:sz w:val="20"/>
              </w:rPr>
              <w:t>Max. Qty</w:t>
            </w:r>
          </w:p>
          <w:p w:rsidR="00687C8A" w:rsidRPr="00687C8A" w:rsidRDefault="00687C8A" w:rsidP="00687C8A">
            <w:pPr>
              <w:keepNext/>
              <w:jc w:val="center"/>
              <w:rPr>
                <w:rFonts w:ascii="Arial Narrow" w:hAnsi="Arial Narrow"/>
                <w:b/>
                <w:sz w:val="20"/>
                <w:szCs w:val="18"/>
              </w:rPr>
            </w:pPr>
            <w:r w:rsidRPr="00687C8A">
              <w:rPr>
                <w:rFonts w:ascii="Arial Narrow" w:hAnsi="Arial Narrow"/>
                <w:b/>
                <w:sz w:val="20"/>
                <w:szCs w:val="18"/>
              </w:rPr>
              <w:t>(packs)</w:t>
            </w:r>
          </w:p>
        </w:tc>
        <w:tc>
          <w:tcPr>
            <w:tcW w:w="559" w:type="pct"/>
            <w:tcBorders>
              <w:top w:val="single" w:sz="4" w:space="0" w:color="auto"/>
              <w:bottom w:val="single" w:sz="4" w:space="0" w:color="auto"/>
            </w:tcBorders>
            <w:vAlign w:val="center"/>
          </w:tcPr>
          <w:p w:rsidR="00687C8A" w:rsidRPr="00C7151A" w:rsidRDefault="00687C8A" w:rsidP="00687C8A">
            <w:pPr>
              <w:keepNext/>
              <w:jc w:val="center"/>
              <w:rPr>
                <w:rFonts w:ascii="Arial Narrow" w:hAnsi="Arial Narrow"/>
                <w:b/>
                <w:sz w:val="20"/>
              </w:rPr>
            </w:pPr>
            <w:r w:rsidRPr="00C7151A">
              <w:rPr>
                <w:rFonts w:ascii="Arial Narrow" w:hAnsi="Arial Narrow"/>
                <w:b/>
                <w:sz w:val="20"/>
              </w:rPr>
              <w:t>Max.</w:t>
            </w:r>
            <w:r>
              <w:rPr>
                <w:rFonts w:ascii="Arial Narrow" w:hAnsi="Arial Narrow"/>
                <w:b/>
                <w:sz w:val="20"/>
              </w:rPr>
              <w:t xml:space="preserve"> </w:t>
            </w:r>
            <w:r w:rsidRPr="00C7151A">
              <w:rPr>
                <w:rFonts w:ascii="Arial Narrow" w:hAnsi="Arial Narrow"/>
                <w:b/>
                <w:sz w:val="20"/>
              </w:rPr>
              <w:t>Qty</w:t>
            </w:r>
          </w:p>
          <w:p w:rsidR="00687C8A" w:rsidRPr="00C7151A" w:rsidRDefault="00687C8A" w:rsidP="00687C8A">
            <w:pPr>
              <w:keepNext/>
              <w:jc w:val="center"/>
              <w:rPr>
                <w:rFonts w:ascii="Arial Narrow" w:hAnsi="Arial Narrow"/>
                <w:b/>
                <w:sz w:val="20"/>
              </w:rPr>
            </w:pPr>
            <w:r>
              <w:rPr>
                <w:rFonts w:ascii="Arial Narrow" w:hAnsi="Arial Narrow"/>
                <w:b/>
                <w:sz w:val="20"/>
              </w:rPr>
              <w:t>(units)</w:t>
            </w:r>
          </w:p>
        </w:tc>
        <w:tc>
          <w:tcPr>
            <w:tcW w:w="560" w:type="pct"/>
            <w:tcBorders>
              <w:top w:val="single" w:sz="4" w:space="0" w:color="auto"/>
              <w:bottom w:val="single" w:sz="4" w:space="0" w:color="auto"/>
            </w:tcBorders>
            <w:vAlign w:val="center"/>
          </w:tcPr>
          <w:p w:rsidR="00687C8A" w:rsidRPr="00C7151A" w:rsidRDefault="00687C8A" w:rsidP="00617E12">
            <w:pPr>
              <w:keepNext/>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.of</w:t>
            </w:r>
          </w:p>
          <w:p w:rsidR="00687C8A" w:rsidRPr="00C7151A" w:rsidRDefault="00687C8A" w:rsidP="00617E12">
            <w:pPr>
              <w:keepNext/>
              <w:jc w:val="center"/>
              <w:rPr>
                <w:rFonts w:ascii="Arial Narrow" w:hAnsi="Arial Narrow"/>
                <w:b/>
                <w:sz w:val="20"/>
              </w:rPr>
            </w:pPr>
            <w:r w:rsidRPr="00C7151A">
              <w:rPr>
                <w:rFonts w:ascii="Arial Narrow" w:hAnsi="Arial Narrow"/>
                <w:b/>
                <w:sz w:val="20"/>
              </w:rPr>
              <w:t>Rpts</w:t>
            </w:r>
          </w:p>
        </w:tc>
        <w:tc>
          <w:tcPr>
            <w:tcW w:w="1075" w:type="pct"/>
            <w:tcBorders>
              <w:top w:val="single" w:sz="4" w:space="0" w:color="auto"/>
              <w:bottom w:val="single" w:sz="4" w:space="0" w:color="auto"/>
            </w:tcBorders>
            <w:vAlign w:val="center"/>
          </w:tcPr>
          <w:p w:rsidR="00687C8A" w:rsidRPr="00C7151A" w:rsidRDefault="00687C8A" w:rsidP="00687C8A">
            <w:pPr>
              <w:keepNext/>
              <w:jc w:val="center"/>
              <w:rPr>
                <w:rFonts w:ascii="Arial Narrow" w:hAnsi="Arial Narrow"/>
                <w:b/>
                <w:sz w:val="20"/>
              </w:rPr>
            </w:pPr>
            <w:r w:rsidRPr="00C7151A">
              <w:rPr>
                <w:rFonts w:ascii="Arial Narrow" w:hAnsi="Arial Narrow"/>
                <w:b/>
                <w:sz w:val="20"/>
              </w:rPr>
              <w:t>Dispensed Price for Max. Qty</w:t>
            </w:r>
          </w:p>
        </w:tc>
        <w:tc>
          <w:tcPr>
            <w:tcW w:w="1015" w:type="pct"/>
            <w:tcBorders>
              <w:top w:val="single" w:sz="4" w:space="0" w:color="auto"/>
              <w:left w:val="nil"/>
            </w:tcBorders>
            <w:vAlign w:val="center"/>
          </w:tcPr>
          <w:p w:rsidR="00687C8A" w:rsidRPr="00C7151A" w:rsidRDefault="00687C8A" w:rsidP="00617E12">
            <w:pPr>
              <w:keepNext/>
              <w:jc w:val="center"/>
              <w:rPr>
                <w:rFonts w:ascii="Arial Narrow" w:hAnsi="Arial Narrow"/>
                <w:b/>
                <w:sz w:val="20"/>
                <w:lang w:val="fr-FR"/>
              </w:rPr>
            </w:pPr>
            <w:r w:rsidRPr="00C7151A">
              <w:rPr>
                <w:rFonts w:ascii="Arial Narrow" w:hAnsi="Arial Narrow"/>
                <w:b/>
                <w:sz w:val="20"/>
              </w:rPr>
              <w:t>Proprietary Name and Manufacturer</w:t>
            </w:r>
          </w:p>
        </w:tc>
      </w:tr>
      <w:tr w:rsidR="00687C8A" w:rsidRPr="00413860" w:rsidTr="00DA4FB3">
        <w:trPr>
          <w:cantSplit/>
          <w:trHeight w:val="70"/>
        </w:trPr>
        <w:tc>
          <w:tcPr>
            <w:tcW w:w="1233" w:type="pct"/>
          </w:tcPr>
          <w:p w:rsidR="00687C8A" w:rsidRPr="001E06F6" w:rsidRDefault="00687C8A" w:rsidP="00687C8A">
            <w:pPr>
              <w:keepNext/>
              <w:jc w:val="left"/>
              <w:rPr>
                <w:rFonts w:ascii="Arial Narrow" w:hAnsi="Arial Narrow"/>
                <w:sz w:val="20"/>
                <w:szCs w:val="18"/>
                <w:lang w:val="pt-PT"/>
              </w:rPr>
            </w:pPr>
            <w:r w:rsidRPr="001E06F6">
              <w:rPr>
                <w:rFonts w:ascii="Arial Narrow" w:hAnsi="Arial Narrow"/>
                <w:sz w:val="20"/>
                <w:szCs w:val="18"/>
                <w:lang w:val="pt-PT"/>
              </w:rPr>
              <w:t>ABATACEPT, single dose auto-injector (4), 125mg</w:t>
            </w:r>
          </w:p>
        </w:tc>
        <w:tc>
          <w:tcPr>
            <w:tcW w:w="559" w:type="pct"/>
            <w:tcBorders>
              <w:top w:val="single" w:sz="4" w:space="0" w:color="auto"/>
            </w:tcBorders>
            <w:vAlign w:val="center"/>
          </w:tcPr>
          <w:p w:rsidR="00687C8A" w:rsidRPr="00687C8A" w:rsidRDefault="00687C8A" w:rsidP="00687C8A">
            <w:pPr>
              <w:keepNext/>
              <w:jc w:val="center"/>
              <w:rPr>
                <w:rFonts w:ascii="Arial Narrow" w:hAnsi="Arial Narrow"/>
                <w:sz w:val="20"/>
                <w:szCs w:val="18"/>
              </w:rPr>
            </w:pPr>
            <w:r>
              <w:rPr>
                <w:rFonts w:ascii="Arial Narrow" w:hAnsi="Arial Narrow"/>
                <w:sz w:val="20"/>
                <w:szCs w:val="18"/>
              </w:rPr>
              <w:t>1</w:t>
            </w:r>
          </w:p>
        </w:tc>
        <w:tc>
          <w:tcPr>
            <w:tcW w:w="559" w:type="pct"/>
            <w:tcBorders>
              <w:top w:val="single" w:sz="4" w:space="0" w:color="auto"/>
            </w:tcBorders>
            <w:vAlign w:val="center"/>
          </w:tcPr>
          <w:p w:rsidR="00687C8A" w:rsidRPr="00687C8A" w:rsidRDefault="00687C8A" w:rsidP="00687C8A">
            <w:pPr>
              <w:keepNext/>
              <w:jc w:val="center"/>
              <w:rPr>
                <w:rFonts w:ascii="Arial Narrow" w:hAnsi="Arial Narrow"/>
                <w:sz w:val="20"/>
                <w:szCs w:val="18"/>
              </w:rPr>
            </w:pPr>
            <w:r>
              <w:rPr>
                <w:rFonts w:ascii="Arial Narrow" w:hAnsi="Arial Narrow"/>
                <w:sz w:val="20"/>
                <w:szCs w:val="18"/>
              </w:rPr>
              <w:t>4</w:t>
            </w:r>
          </w:p>
        </w:tc>
        <w:tc>
          <w:tcPr>
            <w:tcW w:w="560" w:type="pct"/>
            <w:vAlign w:val="center"/>
          </w:tcPr>
          <w:p w:rsidR="00687C8A" w:rsidRPr="00DB0E1A" w:rsidRDefault="00EF5DAF" w:rsidP="00687C8A">
            <w:pPr>
              <w:keepNext/>
              <w:jc w:val="center"/>
              <w:rPr>
                <w:rFonts w:ascii="Arial Narrow" w:hAnsi="Arial Narrow"/>
                <w:i/>
                <w:iCs/>
                <w:sz w:val="20"/>
                <w:szCs w:val="18"/>
              </w:rPr>
            </w:pPr>
            <w:r w:rsidRPr="00DB0E1A">
              <w:rPr>
                <w:rFonts w:ascii="Arial Narrow" w:hAnsi="Arial Narrow"/>
                <w:i/>
                <w:iCs/>
                <w:sz w:val="20"/>
                <w:szCs w:val="18"/>
              </w:rPr>
              <w:t>NR</w:t>
            </w:r>
          </w:p>
        </w:tc>
        <w:tc>
          <w:tcPr>
            <w:tcW w:w="1075" w:type="pct"/>
            <w:tcBorders>
              <w:top w:val="single" w:sz="4" w:space="0" w:color="auto"/>
            </w:tcBorders>
            <w:vAlign w:val="center"/>
          </w:tcPr>
          <w:p w:rsidR="00687C8A" w:rsidRPr="00687C8A" w:rsidRDefault="00687C8A" w:rsidP="00687C8A">
            <w:pPr>
              <w:keepNext/>
              <w:jc w:val="center"/>
              <w:rPr>
                <w:rFonts w:ascii="Arial Narrow" w:hAnsi="Arial Narrow"/>
                <w:sz w:val="20"/>
                <w:szCs w:val="18"/>
              </w:rPr>
            </w:pPr>
            <w:r w:rsidRPr="00687C8A">
              <w:rPr>
                <w:rFonts w:ascii="Arial Narrow" w:hAnsi="Arial Narrow"/>
                <w:sz w:val="20"/>
                <w:szCs w:val="18"/>
              </w:rPr>
              <w:t>$</w:t>
            </w:r>
            <w:r w:rsidR="00F26804">
              <w:rPr>
                <w:rFonts w:ascii="Arial Narrow" w:hAnsi="Arial Narrow"/>
                <w:noProof/>
                <w:color w:val="000000"/>
                <w:sz w:val="20"/>
                <w:szCs w:val="18"/>
                <w:highlight w:val="black"/>
              </w:rPr>
              <w:t>'''''''''''''''''''''</w:t>
            </w:r>
          </w:p>
        </w:tc>
        <w:tc>
          <w:tcPr>
            <w:tcW w:w="1015" w:type="pct"/>
            <w:vMerge w:val="restart"/>
            <w:tcBorders>
              <w:top w:val="single" w:sz="4" w:space="0" w:color="auto"/>
              <w:left w:val="nil"/>
            </w:tcBorders>
            <w:vAlign w:val="center"/>
          </w:tcPr>
          <w:p w:rsidR="00687C8A" w:rsidRPr="00591957" w:rsidRDefault="00687C8A" w:rsidP="00687C8A">
            <w:pPr>
              <w:keepNext/>
              <w:rPr>
                <w:rFonts w:ascii="Arial Narrow" w:hAnsi="Arial Narrow"/>
                <w:sz w:val="20"/>
              </w:rPr>
            </w:pPr>
            <w:r w:rsidRPr="00687C8A">
              <w:rPr>
                <w:rFonts w:ascii="Arial Narrow" w:hAnsi="Arial Narrow"/>
                <w:sz w:val="20"/>
              </w:rPr>
              <w:t>ORENCIA®, Bristol-Myers-Squibb Australia Pty Ltd</w:t>
            </w:r>
          </w:p>
        </w:tc>
      </w:tr>
      <w:tr w:rsidR="00687C8A" w:rsidRPr="00413860" w:rsidTr="00DA4FB3">
        <w:trPr>
          <w:cantSplit/>
          <w:trHeight w:val="80"/>
        </w:trPr>
        <w:tc>
          <w:tcPr>
            <w:tcW w:w="1233" w:type="pct"/>
          </w:tcPr>
          <w:p w:rsidR="00687C8A" w:rsidRPr="00687C8A" w:rsidRDefault="00687C8A" w:rsidP="00687C8A">
            <w:pPr>
              <w:keepNext/>
              <w:jc w:val="left"/>
              <w:rPr>
                <w:rFonts w:ascii="Arial Narrow" w:hAnsi="Arial Narrow"/>
                <w:sz w:val="20"/>
                <w:szCs w:val="18"/>
              </w:rPr>
            </w:pPr>
            <w:r w:rsidRPr="00687C8A">
              <w:rPr>
                <w:rFonts w:ascii="Arial Narrow" w:hAnsi="Arial Narrow"/>
                <w:sz w:val="20"/>
                <w:szCs w:val="18"/>
              </w:rPr>
              <w:t>ABATACEPT, si</w:t>
            </w:r>
            <w:r>
              <w:rPr>
                <w:rFonts w:ascii="Arial Narrow" w:hAnsi="Arial Narrow"/>
                <w:sz w:val="20"/>
                <w:szCs w:val="18"/>
              </w:rPr>
              <w:t>ngle dose pre-filled syringe (4)</w:t>
            </w:r>
            <w:r w:rsidRPr="00687C8A">
              <w:rPr>
                <w:rFonts w:ascii="Arial Narrow" w:hAnsi="Arial Narrow"/>
                <w:sz w:val="20"/>
                <w:szCs w:val="18"/>
              </w:rPr>
              <w:t>, 125mg</w:t>
            </w:r>
          </w:p>
        </w:tc>
        <w:tc>
          <w:tcPr>
            <w:tcW w:w="559" w:type="pct"/>
            <w:vAlign w:val="center"/>
          </w:tcPr>
          <w:p w:rsidR="00687C8A" w:rsidRPr="00687C8A" w:rsidRDefault="00687C8A" w:rsidP="00687C8A">
            <w:pPr>
              <w:keepNext/>
              <w:jc w:val="center"/>
              <w:rPr>
                <w:rFonts w:ascii="Arial Narrow" w:hAnsi="Arial Narrow"/>
                <w:sz w:val="20"/>
                <w:szCs w:val="18"/>
              </w:rPr>
            </w:pPr>
            <w:r>
              <w:rPr>
                <w:rFonts w:ascii="Arial Narrow" w:hAnsi="Arial Narrow"/>
                <w:sz w:val="20"/>
                <w:szCs w:val="18"/>
              </w:rPr>
              <w:t>1</w:t>
            </w:r>
          </w:p>
        </w:tc>
        <w:tc>
          <w:tcPr>
            <w:tcW w:w="559" w:type="pct"/>
            <w:vAlign w:val="center"/>
          </w:tcPr>
          <w:p w:rsidR="00687C8A" w:rsidRPr="00687C8A" w:rsidRDefault="00687C8A" w:rsidP="00687C8A">
            <w:pPr>
              <w:keepNext/>
              <w:jc w:val="center"/>
              <w:rPr>
                <w:rFonts w:ascii="Arial Narrow" w:hAnsi="Arial Narrow"/>
                <w:sz w:val="20"/>
                <w:szCs w:val="18"/>
              </w:rPr>
            </w:pPr>
            <w:r>
              <w:rPr>
                <w:rFonts w:ascii="Arial Narrow" w:hAnsi="Arial Narrow"/>
                <w:sz w:val="20"/>
                <w:szCs w:val="18"/>
              </w:rPr>
              <w:t>4</w:t>
            </w:r>
          </w:p>
        </w:tc>
        <w:tc>
          <w:tcPr>
            <w:tcW w:w="560" w:type="pct"/>
            <w:vAlign w:val="center"/>
          </w:tcPr>
          <w:p w:rsidR="00687C8A" w:rsidRPr="00DB0E1A" w:rsidRDefault="00EF5DAF" w:rsidP="00687C8A">
            <w:pPr>
              <w:keepNext/>
              <w:jc w:val="center"/>
              <w:rPr>
                <w:rFonts w:ascii="Arial Narrow" w:hAnsi="Arial Narrow"/>
                <w:i/>
                <w:iCs/>
                <w:sz w:val="20"/>
                <w:szCs w:val="18"/>
              </w:rPr>
            </w:pPr>
            <w:r w:rsidRPr="00DB0E1A">
              <w:rPr>
                <w:rFonts w:ascii="Arial Narrow" w:hAnsi="Arial Narrow"/>
                <w:i/>
                <w:iCs/>
                <w:sz w:val="20"/>
                <w:szCs w:val="18"/>
              </w:rPr>
              <w:t>NR</w:t>
            </w:r>
          </w:p>
        </w:tc>
        <w:tc>
          <w:tcPr>
            <w:tcW w:w="1075" w:type="pct"/>
            <w:vAlign w:val="center"/>
          </w:tcPr>
          <w:p w:rsidR="00687C8A" w:rsidRPr="00687C8A" w:rsidRDefault="00687C8A" w:rsidP="00687C8A">
            <w:pPr>
              <w:keepNext/>
              <w:jc w:val="center"/>
              <w:rPr>
                <w:rFonts w:ascii="Arial Narrow" w:hAnsi="Arial Narrow"/>
                <w:sz w:val="20"/>
                <w:szCs w:val="18"/>
              </w:rPr>
            </w:pPr>
            <w:r w:rsidRPr="00687C8A">
              <w:rPr>
                <w:rFonts w:ascii="Arial Narrow" w:hAnsi="Arial Narrow"/>
                <w:sz w:val="20"/>
                <w:szCs w:val="18"/>
              </w:rPr>
              <w:t>$</w:t>
            </w:r>
            <w:r w:rsidR="00F26804">
              <w:rPr>
                <w:rFonts w:ascii="Arial Narrow" w:hAnsi="Arial Narrow"/>
                <w:noProof/>
                <w:color w:val="000000"/>
                <w:sz w:val="20"/>
                <w:szCs w:val="18"/>
                <w:highlight w:val="black"/>
              </w:rPr>
              <w:t>''''''''''''''''''''</w:t>
            </w:r>
          </w:p>
        </w:tc>
        <w:tc>
          <w:tcPr>
            <w:tcW w:w="1015" w:type="pct"/>
            <w:vMerge/>
            <w:tcBorders>
              <w:top w:val="single" w:sz="4" w:space="0" w:color="auto"/>
              <w:left w:val="nil"/>
            </w:tcBorders>
            <w:vAlign w:val="center"/>
          </w:tcPr>
          <w:p w:rsidR="00687C8A" w:rsidRPr="00591957" w:rsidRDefault="00687C8A" w:rsidP="00687C8A">
            <w:pPr>
              <w:keepNext/>
              <w:rPr>
                <w:rFonts w:ascii="Arial Narrow" w:hAnsi="Arial Narrow"/>
                <w:sz w:val="20"/>
              </w:rPr>
            </w:pPr>
          </w:p>
        </w:tc>
      </w:tr>
      <w:tr w:rsidR="00687C8A" w:rsidRPr="00413860" w:rsidTr="00DA4FB3">
        <w:trPr>
          <w:cantSplit/>
          <w:trHeight w:val="80"/>
        </w:trPr>
        <w:tc>
          <w:tcPr>
            <w:tcW w:w="1233" w:type="pct"/>
          </w:tcPr>
          <w:p w:rsidR="00687C8A" w:rsidRPr="00687C8A" w:rsidRDefault="00687C8A" w:rsidP="00687C8A">
            <w:pPr>
              <w:keepNext/>
              <w:jc w:val="left"/>
              <w:rPr>
                <w:rFonts w:ascii="Arial Narrow" w:hAnsi="Arial Narrow"/>
                <w:sz w:val="20"/>
                <w:szCs w:val="18"/>
              </w:rPr>
            </w:pPr>
            <w:r w:rsidRPr="00687C8A">
              <w:rPr>
                <w:rFonts w:ascii="Arial Narrow" w:hAnsi="Arial Narrow"/>
                <w:sz w:val="20"/>
                <w:szCs w:val="18"/>
              </w:rPr>
              <w:t>ABATA</w:t>
            </w:r>
            <w:r>
              <w:rPr>
                <w:rFonts w:ascii="Arial Narrow" w:hAnsi="Arial Narrow"/>
                <w:sz w:val="20"/>
                <w:szCs w:val="18"/>
              </w:rPr>
              <w:t>CEPT, powder for IV infusion (1)</w:t>
            </w:r>
            <w:r w:rsidRPr="00687C8A">
              <w:rPr>
                <w:rFonts w:ascii="Arial Narrow" w:hAnsi="Arial Narrow"/>
                <w:sz w:val="20"/>
                <w:szCs w:val="18"/>
              </w:rPr>
              <w:t>, 250mg</w:t>
            </w:r>
          </w:p>
        </w:tc>
        <w:tc>
          <w:tcPr>
            <w:tcW w:w="559" w:type="pct"/>
            <w:vAlign w:val="center"/>
          </w:tcPr>
          <w:p w:rsidR="00687C8A" w:rsidRPr="00687C8A" w:rsidRDefault="00687C8A" w:rsidP="00687C8A">
            <w:pPr>
              <w:keepNext/>
              <w:jc w:val="center"/>
              <w:rPr>
                <w:rFonts w:ascii="Arial Narrow" w:hAnsi="Arial Narrow"/>
                <w:sz w:val="20"/>
                <w:szCs w:val="18"/>
              </w:rPr>
            </w:pPr>
            <w:r>
              <w:rPr>
                <w:rFonts w:ascii="Arial Narrow" w:hAnsi="Arial Narrow"/>
                <w:sz w:val="20"/>
                <w:szCs w:val="18"/>
              </w:rPr>
              <w:t>1</w:t>
            </w:r>
          </w:p>
        </w:tc>
        <w:tc>
          <w:tcPr>
            <w:tcW w:w="559" w:type="pct"/>
            <w:vAlign w:val="center"/>
          </w:tcPr>
          <w:p w:rsidR="00687C8A" w:rsidRPr="00687C8A" w:rsidRDefault="00687C8A" w:rsidP="00687C8A">
            <w:pPr>
              <w:keepNext/>
              <w:jc w:val="center"/>
              <w:rPr>
                <w:rFonts w:ascii="Arial Narrow" w:hAnsi="Arial Narrow"/>
                <w:sz w:val="20"/>
                <w:szCs w:val="18"/>
              </w:rPr>
            </w:pPr>
            <w:r>
              <w:rPr>
                <w:rFonts w:ascii="Arial Narrow" w:hAnsi="Arial Narrow"/>
                <w:sz w:val="20"/>
                <w:szCs w:val="18"/>
              </w:rPr>
              <w:t>1</w:t>
            </w:r>
          </w:p>
        </w:tc>
        <w:tc>
          <w:tcPr>
            <w:tcW w:w="560" w:type="pct"/>
            <w:vAlign w:val="center"/>
          </w:tcPr>
          <w:p w:rsidR="00687C8A" w:rsidRPr="00DB0E1A" w:rsidRDefault="00EF5DAF" w:rsidP="00687C8A">
            <w:pPr>
              <w:keepNext/>
              <w:jc w:val="center"/>
              <w:rPr>
                <w:rFonts w:ascii="Arial Narrow" w:hAnsi="Arial Narrow"/>
                <w:i/>
                <w:iCs/>
                <w:sz w:val="20"/>
                <w:szCs w:val="18"/>
              </w:rPr>
            </w:pPr>
            <w:r w:rsidRPr="00DB0E1A">
              <w:rPr>
                <w:rFonts w:ascii="Arial Narrow" w:hAnsi="Arial Narrow"/>
                <w:i/>
                <w:iCs/>
                <w:sz w:val="20"/>
                <w:szCs w:val="18"/>
              </w:rPr>
              <w:t>NR</w:t>
            </w:r>
          </w:p>
        </w:tc>
        <w:tc>
          <w:tcPr>
            <w:tcW w:w="1075" w:type="pct"/>
            <w:vAlign w:val="center"/>
          </w:tcPr>
          <w:p w:rsidR="00687C8A" w:rsidRPr="00687C8A" w:rsidRDefault="00687C8A" w:rsidP="00687C8A">
            <w:pPr>
              <w:keepNext/>
              <w:jc w:val="center"/>
              <w:rPr>
                <w:rFonts w:ascii="Arial Narrow" w:hAnsi="Arial Narrow"/>
                <w:sz w:val="20"/>
                <w:szCs w:val="18"/>
              </w:rPr>
            </w:pPr>
            <w:r w:rsidRPr="00687C8A">
              <w:rPr>
                <w:rFonts w:ascii="Arial Narrow" w:hAnsi="Arial Narrow"/>
                <w:sz w:val="20"/>
                <w:szCs w:val="18"/>
              </w:rPr>
              <w:t>$</w:t>
            </w:r>
            <w:r w:rsidR="00F26804">
              <w:rPr>
                <w:rFonts w:ascii="Arial Narrow" w:hAnsi="Arial Narrow"/>
                <w:noProof/>
                <w:color w:val="000000"/>
                <w:sz w:val="20"/>
                <w:szCs w:val="18"/>
                <w:highlight w:val="black"/>
              </w:rPr>
              <w:t>'''''''''''''''</w:t>
            </w:r>
          </w:p>
        </w:tc>
        <w:tc>
          <w:tcPr>
            <w:tcW w:w="1015" w:type="pct"/>
            <w:vMerge/>
            <w:tcBorders>
              <w:top w:val="single" w:sz="4" w:space="0" w:color="auto"/>
              <w:left w:val="nil"/>
            </w:tcBorders>
            <w:vAlign w:val="center"/>
          </w:tcPr>
          <w:p w:rsidR="00687C8A" w:rsidRPr="00591957" w:rsidRDefault="00687C8A" w:rsidP="00687C8A">
            <w:pPr>
              <w:keepNext/>
              <w:rPr>
                <w:rFonts w:ascii="Arial Narrow" w:hAnsi="Arial Narrow"/>
                <w:sz w:val="20"/>
              </w:rPr>
            </w:pPr>
          </w:p>
        </w:tc>
      </w:tr>
      <w:tr w:rsidR="00687C8A" w:rsidRPr="00A30A33" w:rsidTr="00DA4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33" w:type="pct"/>
            <w:tcBorders>
              <w:top w:val="single" w:sz="4" w:space="0" w:color="auto"/>
              <w:left w:val="single" w:sz="4" w:space="0" w:color="auto"/>
              <w:bottom w:val="single" w:sz="4" w:space="0" w:color="auto"/>
              <w:right w:val="single" w:sz="4" w:space="0" w:color="auto"/>
            </w:tcBorders>
            <w:hideMark/>
          </w:tcPr>
          <w:p w:rsidR="00687C8A" w:rsidRPr="00A30A33" w:rsidRDefault="00687C8A" w:rsidP="00687C8A">
            <w:pPr>
              <w:pStyle w:val="Tabletext"/>
              <w:rPr>
                <w:lang w:eastAsia="en-AU"/>
              </w:rPr>
            </w:pPr>
            <w:r>
              <w:rPr>
                <w:lang w:eastAsia="en-AU"/>
              </w:rPr>
              <w:t>PBS indication:</w:t>
            </w:r>
          </w:p>
        </w:tc>
        <w:tc>
          <w:tcPr>
            <w:tcW w:w="3767" w:type="pct"/>
            <w:gridSpan w:val="5"/>
            <w:tcBorders>
              <w:top w:val="single" w:sz="4" w:space="0" w:color="auto"/>
              <w:left w:val="single" w:sz="4" w:space="0" w:color="auto"/>
              <w:bottom w:val="single" w:sz="4" w:space="0" w:color="auto"/>
              <w:right w:val="single" w:sz="4" w:space="0" w:color="auto"/>
            </w:tcBorders>
          </w:tcPr>
          <w:p w:rsidR="00687C8A" w:rsidRPr="00A30A33" w:rsidRDefault="00687C8A" w:rsidP="00687C8A">
            <w:pPr>
              <w:pStyle w:val="Tabletext"/>
              <w:rPr>
                <w:lang w:eastAsia="en-AU"/>
              </w:rPr>
            </w:pPr>
            <w:r>
              <w:t>Severe active psoriatic arthritis</w:t>
            </w:r>
          </w:p>
        </w:tc>
      </w:tr>
      <w:tr w:rsidR="00687C8A" w:rsidRPr="00A30A33" w:rsidTr="00DA4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33" w:type="pct"/>
            <w:tcBorders>
              <w:top w:val="single" w:sz="4" w:space="0" w:color="auto"/>
              <w:left w:val="single" w:sz="4" w:space="0" w:color="auto"/>
              <w:bottom w:val="single" w:sz="4" w:space="0" w:color="auto"/>
              <w:right w:val="single" w:sz="4" w:space="0" w:color="auto"/>
            </w:tcBorders>
            <w:hideMark/>
          </w:tcPr>
          <w:p w:rsidR="00687C8A" w:rsidRPr="00A30A33" w:rsidRDefault="00687C8A" w:rsidP="00687C8A">
            <w:pPr>
              <w:pStyle w:val="Tabletext"/>
              <w:rPr>
                <w:lang w:eastAsia="en-AU"/>
              </w:rPr>
            </w:pPr>
            <w:r>
              <w:rPr>
                <w:lang w:eastAsia="en-AU"/>
              </w:rPr>
              <w:t>Treatment phase:</w:t>
            </w:r>
          </w:p>
        </w:tc>
        <w:tc>
          <w:tcPr>
            <w:tcW w:w="3767" w:type="pct"/>
            <w:gridSpan w:val="5"/>
            <w:tcBorders>
              <w:top w:val="single" w:sz="4" w:space="0" w:color="auto"/>
              <w:left w:val="single" w:sz="4" w:space="0" w:color="auto"/>
              <w:bottom w:val="single" w:sz="4" w:space="0" w:color="auto"/>
              <w:right w:val="single" w:sz="4" w:space="0" w:color="auto"/>
            </w:tcBorders>
          </w:tcPr>
          <w:p w:rsidR="00687C8A" w:rsidRPr="00A30A33" w:rsidRDefault="00687C8A" w:rsidP="00687C8A">
            <w:pPr>
              <w:pStyle w:val="Tabletext"/>
              <w:rPr>
                <w:lang w:eastAsia="en-AU"/>
              </w:rPr>
            </w:pPr>
            <w:r>
              <w:t>Initial treatment – initial 1 (new patient or patient recommencing treatment after a break of 5 years or more)</w:t>
            </w:r>
          </w:p>
        </w:tc>
      </w:tr>
      <w:tr w:rsidR="00687C8A" w:rsidRPr="00A30A33" w:rsidTr="00DA4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33" w:type="pct"/>
            <w:tcBorders>
              <w:top w:val="single" w:sz="4" w:space="0" w:color="auto"/>
              <w:left w:val="single" w:sz="4" w:space="0" w:color="auto"/>
              <w:bottom w:val="single" w:sz="4" w:space="0" w:color="auto"/>
              <w:right w:val="single" w:sz="4" w:space="0" w:color="auto"/>
            </w:tcBorders>
            <w:hideMark/>
          </w:tcPr>
          <w:p w:rsidR="00687C8A" w:rsidRPr="00A30A33" w:rsidRDefault="00687C8A" w:rsidP="00687C8A">
            <w:pPr>
              <w:pStyle w:val="Tabletext"/>
              <w:rPr>
                <w:lang w:eastAsia="en-AU"/>
              </w:rPr>
            </w:pPr>
            <w:r w:rsidRPr="00A30A33">
              <w:rPr>
                <w:lang w:eastAsia="en-AU"/>
              </w:rPr>
              <w:t>Clinical criteria</w:t>
            </w:r>
            <w:r>
              <w:rPr>
                <w:lang w:eastAsia="en-AU"/>
              </w:rPr>
              <w:t>:</w:t>
            </w:r>
          </w:p>
        </w:tc>
        <w:tc>
          <w:tcPr>
            <w:tcW w:w="3767" w:type="pct"/>
            <w:gridSpan w:val="5"/>
            <w:tcBorders>
              <w:top w:val="single" w:sz="4" w:space="0" w:color="auto"/>
              <w:left w:val="single" w:sz="4" w:space="0" w:color="auto"/>
              <w:bottom w:val="single" w:sz="4" w:space="0" w:color="auto"/>
              <w:right w:val="single" w:sz="4" w:space="0" w:color="auto"/>
            </w:tcBorders>
          </w:tcPr>
          <w:p w:rsidR="00687C8A" w:rsidRPr="00BC7A3A" w:rsidRDefault="00687C8A" w:rsidP="00687C8A">
            <w:pPr>
              <w:pStyle w:val="Tabletext"/>
              <w:rPr>
                <w:rFonts w:cs="Arial"/>
              </w:rPr>
            </w:pPr>
            <w:r w:rsidRPr="00BC7A3A">
              <w:rPr>
                <w:rFonts w:cs="Arial"/>
              </w:rPr>
              <w:t>Patient must have severe active psoriatic arthritis, AND</w:t>
            </w:r>
          </w:p>
          <w:p w:rsidR="00687C8A" w:rsidRPr="00BC7A3A" w:rsidRDefault="00687C8A" w:rsidP="00687C8A">
            <w:pPr>
              <w:pStyle w:val="Tabletext"/>
              <w:rPr>
                <w:rFonts w:cs="Arial"/>
              </w:rPr>
            </w:pPr>
            <w:r w:rsidRPr="00BC7A3A">
              <w:rPr>
                <w:rFonts w:cs="Arial"/>
              </w:rPr>
              <w:t>Patient must have received no prior PBS-subsidised treatment with a biological agent for this condition; OR</w:t>
            </w:r>
          </w:p>
          <w:p w:rsidR="00687C8A" w:rsidRPr="00BC7A3A" w:rsidRDefault="00687C8A" w:rsidP="00687C8A">
            <w:pPr>
              <w:pStyle w:val="Tabletext"/>
              <w:rPr>
                <w:rFonts w:cs="Arial"/>
              </w:rPr>
            </w:pPr>
            <w:r w:rsidRPr="00BC7A3A">
              <w:rPr>
                <w:rFonts w:cs="Arial"/>
              </w:rPr>
              <w:t>Patient must have received no PBS-subsidised treatment with a biological agent for at least 5 years if they have previously received PBS-subsidised treatment with a biological agent for this condition, AND</w:t>
            </w:r>
          </w:p>
          <w:p w:rsidR="00687C8A" w:rsidRPr="00BC7A3A" w:rsidRDefault="00687C8A" w:rsidP="00687C8A">
            <w:pPr>
              <w:pStyle w:val="Tabletext"/>
              <w:rPr>
                <w:rFonts w:cs="Arial"/>
              </w:rPr>
            </w:pPr>
            <w:r w:rsidRPr="00BC7A3A">
              <w:rPr>
                <w:rFonts w:cs="Arial"/>
              </w:rPr>
              <w:t>Patient must have failed to achieve an adequate response to methotrexate at a dose of at least 20 mg weekly for a minimum period of 3 months, AND</w:t>
            </w:r>
          </w:p>
          <w:p w:rsidR="00687C8A" w:rsidRPr="00BC7A3A" w:rsidRDefault="00687C8A" w:rsidP="00687C8A">
            <w:pPr>
              <w:pStyle w:val="Tabletext"/>
              <w:rPr>
                <w:rFonts w:cs="Arial"/>
              </w:rPr>
            </w:pPr>
            <w:r w:rsidRPr="00BC7A3A">
              <w:rPr>
                <w:rFonts w:cs="Arial"/>
              </w:rPr>
              <w:t>Patient must have failed to achieve an adequate response to sulfasalazine at a dose of at least 2 g per day for a minimum period of 3 months; OR</w:t>
            </w:r>
          </w:p>
          <w:p w:rsidR="00687C8A" w:rsidRPr="00BC7A3A" w:rsidRDefault="00687C8A" w:rsidP="00687C8A">
            <w:pPr>
              <w:pStyle w:val="Tabletext"/>
              <w:rPr>
                <w:rFonts w:cs="Arial"/>
              </w:rPr>
            </w:pPr>
            <w:r w:rsidRPr="00BC7A3A">
              <w:rPr>
                <w:rFonts w:cs="Arial"/>
              </w:rPr>
              <w:t xml:space="preserve">Patient must have failed to achieve an adequate response to </w:t>
            </w:r>
            <w:proofErr w:type="spellStart"/>
            <w:r w:rsidRPr="00BC7A3A">
              <w:rPr>
                <w:rFonts w:cs="Arial"/>
              </w:rPr>
              <w:t>leflunomide</w:t>
            </w:r>
            <w:proofErr w:type="spellEnd"/>
            <w:r w:rsidRPr="00BC7A3A">
              <w:rPr>
                <w:rFonts w:cs="Arial"/>
              </w:rPr>
              <w:t xml:space="preserve"> at a dose of up to 20 mg daily for a minimum period of 3 months AND</w:t>
            </w:r>
          </w:p>
          <w:p w:rsidR="00687C8A" w:rsidRPr="00A30A33" w:rsidRDefault="00687C8A" w:rsidP="00687C8A">
            <w:pPr>
              <w:pStyle w:val="Tabletext"/>
              <w:rPr>
                <w:lang w:eastAsia="en-AU"/>
              </w:rPr>
            </w:pPr>
            <w:r w:rsidRPr="00BC7A3A">
              <w:rPr>
                <w:rFonts w:cs="Arial"/>
              </w:rPr>
              <w:t xml:space="preserve">Patient must not receive more than </w:t>
            </w:r>
            <w:r w:rsidRPr="00C8243C">
              <w:rPr>
                <w:rFonts w:cs="Arial"/>
              </w:rPr>
              <w:t>24 weeks of treatment</w:t>
            </w:r>
            <w:r w:rsidRPr="00BC7A3A">
              <w:rPr>
                <w:rFonts w:cs="Arial"/>
              </w:rPr>
              <w:t xml:space="preserve"> under this restriction.</w:t>
            </w:r>
          </w:p>
        </w:tc>
      </w:tr>
      <w:tr w:rsidR="00C701E8" w:rsidRPr="00A30A33" w:rsidTr="00DA4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33" w:type="pct"/>
            <w:tcBorders>
              <w:top w:val="single" w:sz="4" w:space="0" w:color="auto"/>
              <w:left w:val="single" w:sz="4" w:space="0" w:color="auto"/>
              <w:bottom w:val="single" w:sz="4" w:space="0" w:color="auto"/>
              <w:right w:val="single" w:sz="4" w:space="0" w:color="auto"/>
            </w:tcBorders>
          </w:tcPr>
          <w:p w:rsidR="00C701E8" w:rsidRPr="00A30A33" w:rsidRDefault="00C701E8" w:rsidP="00C701E8">
            <w:pPr>
              <w:pStyle w:val="Tabletext"/>
              <w:rPr>
                <w:lang w:eastAsia="en-AU"/>
              </w:rPr>
            </w:pPr>
            <w:r>
              <w:rPr>
                <w:lang w:eastAsia="en-AU"/>
              </w:rPr>
              <w:t>Treatment phase:</w:t>
            </w:r>
          </w:p>
        </w:tc>
        <w:tc>
          <w:tcPr>
            <w:tcW w:w="3767" w:type="pct"/>
            <w:gridSpan w:val="5"/>
            <w:tcBorders>
              <w:top w:val="single" w:sz="4" w:space="0" w:color="auto"/>
              <w:left w:val="single" w:sz="4" w:space="0" w:color="auto"/>
              <w:bottom w:val="single" w:sz="4" w:space="0" w:color="auto"/>
              <w:right w:val="single" w:sz="4" w:space="0" w:color="auto"/>
            </w:tcBorders>
          </w:tcPr>
          <w:p w:rsidR="00C701E8" w:rsidRPr="00BC7A3A" w:rsidRDefault="00C701E8" w:rsidP="00C701E8">
            <w:pPr>
              <w:pStyle w:val="Tabletext"/>
              <w:rPr>
                <w:rFonts w:cs="Arial"/>
              </w:rPr>
            </w:pPr>
            <w:r w:rsidRPr="002A43C8">
              <w:t>Continuing treatment</w:t>
            </w:r>
          </w:p>
        </w:tc>
      </w:tr>
      <w:tr w:rsidR="00C701E8" w:rsidRPr="00A30A33" w:rsidTr="00DA4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33" w:type="pct"/>
            <w:tcBorders>
              <w:top w:val="single" w:sz="4" w:space="0" w:color="auto"/>
              <w:left w:val="single" w:sz="4" w:space="0" w:color="auto"/>
              <w:bottom w:val="single" w:sz="4" w:space="0" w:color="auto"/>
              <w:right w:val="single" w:sz="4" w:space="0" w:color="auto"/>
            </w:tcBorders>
          </w:tcPr>
          <w:p w:rsidR="00C701E8" w:rsidRPr="00A30A33" w:rsidRDefault="00C701E8" w:rsidP="00C701E8">
            <w:pPr>
              <w:pStyle w:val="Tabletext"/>
              <w:rPr>
                <w:lang w:eastAsia="en-AU"/>
              </w:rPr>
            </w:pPr>
            <w:r w:rsidRPr="00A30A33">
              <w:rPr>
                <w:lang w:eastAsia="en-AU"/>
              </w:rPr>
              <w:t>Clinical criteria</w:t>
            </w:r>
            <w:r>
              <w:rPr>
                <w:lang w:eastAsia="en-AU"/>
              </w:rPr>
              <w:t>:</w:t>
            </w:r>
          </w:p>
        </w:tc>
        <w:tc>
          <w:tcPr>
            <w:tcW w:w="3767" w:type="pct"/>
            <w:gridSpan w:val="5"/>
            <w:tcBorders>
              <w:top w:val="single" w:sz="4" w:space="0" w:color="auto"/>
              <w:left w:val="single" w:sz="4" w:space="0" w:color="auto"/>
              <w:bottom w:val="single" w:sz="4" w:space="0" w:color="auto"/>
              <w:right w:val="single" w:sz="4" w:space="0" w:color="auto"/>
            </w:tcBorders>
          </w:tcPr>
          <w:p w:rsidR="00C701E8" w:rsidRDefault="00C701E8" w:rsidP="00C701E8">
            <w:pPr>
              <w:pStyle w:val="Tabletext"/>
            </w:pPr>
            <w:r>
              <w:t>Patient must have a documented history of severe active psoriatic arthritis AND</w:t>
            </w:r>
          </w:p>
          <w:p w:rsidR="00C701E8" w:rsidRDefault="00C701E8" w:rsidP="00C701E8">
            <w:pPr>
              <w:pStyle w:val="Tabletext"/>
            </w:pPr>
            <w:r>
              <w:t>Patient must have received this drug as their most recent course of PBS-subsidised treatment with a biological agent for this condition in the current Treatment Cycle AND</w:t>
            </w:r>
          </w:p>
          <w:p w:rsidR="00C701E8" w:rsidRDefault="00C701E8" w:rsidP="00C701E8">
            <w:pPr>
              <w:pStyle w:val="Tabletext"/>
            </w:pPr>
            <w:r>
              <w:t>Patient must demonstrate, at the time of application, an adequate response to treatment with this drug AND</w:t>
            </w:r>
          </w:p>
          <w:p w:rsidR="00C701E8" w:rsidRPr="00BC7A3A" w:rsidRDefault="00C701E8" w:rsidP="00C701E8">
            <w:pPr>
              <w:pStyle w:val="Tabletext"/>
              <w:rPr>
                <w:rFonts w:cs="Arial"/>
              </w:rPr>
            </w:pPr>
            <w:r>
              <w:t>Patient must not receive more than 24 weeks of treatment per continuing treatment course authorised under this restriction.</w:t>
            </w:r>
          </w:p>
        </w:tc>
      </w:tr>
    </w:tbl>
    <w:p w:rsidR="00E32D4A" w:rsidRDefault="00E32D4A" w:rsidP="00E32D4A">
      <w:pPr>
        <w:pStyle w:val="TableFooter"/>
      </w:pPr>
      <w:r>
        <w:t xml:space="preserve">Source: Table 19, p28 </w:t>
      </w:r>
      <w:r w:rsidRPr="00D13A3E">
        <w:t xml:space="preserve">of the </w:t>
      </w:r>
      <w:r>
        <w:t xml:space="preserve">submission. </w:t>
      </w:r>
    </w:p>
    <w:p w:rsidR="00B60939" w:rsidRDefault="00B60939" w:rsidP="004B1CB4"/>
    <w:p w:rsidR="00E32D4A" w:rsidRPr="00234409" w:rsidRDefault="00685D66" w:rsidP="00C701E8">
      <w:pPr>
        <w:pStyle w:val="ListParagraph"/>
        <w:widowControl/>
        <w:numPr>
          <w:ilvl w:val="1"/>
          <w:numId w:val="3"/>
        </w:numPr>
        <w:rPr>
          <w:iCs/>
        </w:rPr>
      </w:pPr>
      <w:r w:rsidRPr="00234409">
        <w:t>No special pricing arrangements were proposed in the submission.</w:t>
      </w:r>
      <w:r w:rsidR="00C701E8" w:rsidRPr="00234409">
        <w:t xml:space="preserve">  </w:t>
      </w:r>
      <w:r w:rsidR="00E32D4A" w:rsidRPr="00234409">
        <w:rPr>
          <w:iCs/>
        </w:rPr>
        <w:t>Based on the requested quantities and recommended dosing regimens, each pack of the SC formulations would provide for one-month supply of treatment (</w:t>
      </w:r>
      <w:r w:rsidR="00007621" w:rsidRPr="00234409">
        <w:rPr>
          <w:iCs/>
        </w:rPr>
        <w:t xml:space="preserve">i.e. </w:t>
      </w:r>
      <w:r w:rsidR="00E32D4A" w:rsidRPr="00234409">
        <w:rPr>
          <w:iCs/>
        </w:rPr>
        <w:t>125mg once weekly), whereas the number of vials for IV infusion is dependent on the patient weight (i.e. &lt;60kg: 2 vials per dose; 60-100kg: 3 vials per dose; &gt;100kg: 4 vials per dose) and whether the patients is initiating or continuing treatment</w:t>
      </w:r>
      <w:r w:rsidR="001F0CF9" w:rsidRPr="00234409">
        <w:rPr>
          <w:iCs/>
        </w:rPr>
        <w:t xml:space="preserve"> (</w:t>
      </w:r>
      <w:r w:rsidR="00007621" w:rsidRPr="00234409">
        <w:rPr>
          <w:iCs/>
        </w:rPr>
        <w:t xml:space="preserve">i.e. </w:t>
      </w:r>
      <w:r w:rsidR="001F0CF9" w:rsidRPr="00234409">
        <w:rPr>
          <w:iCs/>
        </w:rPr>
        <w:t>administered at Week 0, 2, 4, then every 4 weeks).</w:t>
      </w:r>
    </w:p>
    <w:p w:rsidR="00C11E3F" w:rsidRPr="00234409" w:rsidRDefault="00015A15" w:rsidP="00786C78">
      <w:pPr>
        <w:pStyle w:val="ListParagraph"/>
        <w:widowControl/>
        <w:numPr>
          <w:ilvl w:val="1"/>
          <w:numId w:val="3"/>
        </w:numPr>
        <w:rPr>
          <w:iCs/>
        </w:rPr>
      </w:pPr>
      <w:r w:rsidRPr="00015A15">
        <w:rPr>
          <w:iCs/>
        </w:rPr>
        <w:t xml:space="preserve">The submission did not justify why 24 weeks of initial treatment was requested, or provide a rationale for why </w:t>
      </w:r>
      <w:proofErr w:type="spellStart"/>
      <w:r>
        <w:rPr>
          <w:iCs/>
        </w:rPr>
        <w:t>abatacept</w:t>
      </w:r>
      <w:proofErr w:type="spellEnd"/>
      <w:r w:rsidRPr="00015A15">
        <w:rPr>
          <w:iCs/>
        </w:rPr>
        <w:t xml:space="preserve"> may take longer t</w:t>
      </w:r>
      <w:r>
        <w:rPr>
          <w:iCs/>
        </w:rPr>
        <w:t xml:space="preserve">o work in </w:t>
      </w:r>
      <w:r w:rsidRPr="00015A15">
        <w:rPr>
          <w:iCs/>
        </w:rPr>
        <w:t xml:space="preserve">PsA than RA, for which </w:t>
      </w:r>
      <w:proofErr w:type="spellStart"/>
      <w:r w:rsidRPr="00015A15">
        <w:rPr>
          <w:iCs/>
        </w:rPr>
        <w:t>abatacept</w:t>
      </w:r>
      <w:proofErr w:type="spellEnd"/>
      <w:r w:rsidRPr="00015A15">
        <w:rPr>
          <w:iCs/>
        </w:rPr>
        <w:t xml:space="preserve"> is only PBS listed for a maximum of 16 weeks of initial therapy.  </w:t>
      </w:r>
      <w:r w:rsidR="00301C04" w:rsidRPr="00234409">
        <w:rPr>
          <w:iCs/>
        </w:rPr>
        <w:t xml:space="preserve">Figure 1 presents the proportion of patients who achieved a 50% and 20% improvement in the American College of Rheumatology Criteria (ACR50 and ACR20, respectively) with </w:t>
      </w:r>
      <w:proofErr w:type="spellStart"/>
      <w:r w:rsidR="00301C04" w:rsidRPr="00234409">
        <w:rPr>
          <w:iCs/>
        </w:rPr>
        <w:t>abatacept</w:t>
      </w:r>
      <w:proofErr w:type="spellEnd"/>
      <w:r w:rsidR="00301C04" w:rsidRPr="00234409">
        <w:rPr>
          <w:iCs/>
        </w:rPr>
        <w:t xml:space="preserve"> in </w:t>
      </w:r>
      <w:proofErr w:type="spellStart"/>
      <w:r w:rsidR="00301C04" w:rsidRPr="00234409">
        <w:rPr>
          <w:iCs/>
        </w:rPr>
        <w:t>Mease</w:t>
      </w:r>
      <w:proofErr w:type="spellEnd"/>
      <w:r w:rsidR="00301C04" w:rsidRPr="00234409">
        <w:rPr>
          <w:iCs/>
        </w:rPr>
        <w:t xml:space="preserve"> 2011 and </w:t>
      </w:r>
      <w:proofErr w:type="spellStart"/>
      <w:r w:rsidR="00301C04" w:rsidRPr="00234409">
        <w:rPr>
          <w:iCs/>
        </w:rPr>
        <w:t>Mease</w:t>
      </w:r>
      <w:proofErr w:type="spellEnd"/>
      <w:r w:rsidR="00301C04" w:rsidRPr="00234409">
        <w:rPr>
          <w:iCs/>
        </w:rPr>
        <w:t xml:space="preserve"> 2017.  A similar proportion of patients had achieved an ACR50 and ACR20 response by Week 16 (Day 85) compared with Week 24 (Day 169).  </w:t>
      </w:r>
      <w:r w:rsidRPr="00015A15">
        <w:rPr>
          <w:iCs/>
        </w:rPr>
        <w:t xml:space="preserve">Given the relatively quick time-to-response and relatively flat response rate after Weeks 12-16, the requested restriction may delay patients who do not respond to </w:t>
      </w:r>
      <w:proofErr w:type="spellStart"/>
      <w:r w:rsidRPr="00015A15">
        <w:rPr>
          <w:iCs/>
        </w:rPr>
        <w:t>abatacept</w:t>
      </w:r>
      <w:proofErr w:type="spellEnd"/>
      <w:r w:rsidRPr="00015A15">
        <w:rPr>
          <w:iCs/>
        </w:rPr>
        <w:t xml:space="preserve"> from accessing a potentially more effective therapy by up to 8 weeks.</w:t>
      </w:r>
      <w:r w:rsidRPr="00215E45">
        <w:rPr>
          <w:i/>
          <w:iCs/>
        </w:rPr>
        <w:t xml:space="preserve">  </w:t>
      </w:r>
    </w:p>
    <w:p w:rsidR="004D059E" w:rsidRDefault="004D059E" w:rsidP="004D059E">
      <w:pPr>
        <w:pStyle w:val="ListParagraph"/>
        <w:widowControl/>
        <w:numPr>
          <w:ilvl w:val="1"/>
          <w:numId w:val="3"/>
        </w:numPr>
        <w:rPr>
          <w:iCs/>
        </w:rPr>
      </w:pPr>
      <w:r w:rsidRPr="004D059E">
        <w:rPr>
          <w:iCs/>
        </w:rPr>
        <w:t xml:space="preserve">The PBAC noted that in its Pre-Sub-Committee Response </w:t>
      </w:r>
      <w:r w:rsidR="004971BC">
        <w:rPr>
          <w:iCs/>
        </w:rPr>
        <w:t>(PSCR)</w:t>
      </w:r>
      <w:r w:rsidR="000F4743" w:rsidRPr="004D059E">
        <w:rPr>
          <w:iCs/>
        </w:rPr>
        <w:t xml:space="preserve">, </w:t>
      </w:r>
      <w:r w:rsidRPr="004D059E">
        <w:rPr>
          <w:iCs/>
        </w:rPr>
        <w:t>the sponsor agreed with the evaluation and accepted the proposed change to 16 weeks of initial treatment duration.</w:t>
      </w:r>
    </w:p>
    <w:p w:rsidR="00584E6F" w:rsidRPr="00E32D4A" w:rsidRDefault="00584E6F" w:rsidP="00E32D4A">
      <w:pPr>
        <w:widowControl/>
        <w:rPr>
          <w:rFonts w:ascii="Arial Narrow" w:hAnsi="Arial Narrow"/>
          <w:b/>
          <w:bCs/>
          <w:sz w:val="20"/>
          <w:szCs w:val="14"/>
        </w:rPr>
      </w:pPr>
      <w:r w:rsidRPr="00E32D4A">
        <w:rPr>
          <w:rFonts w:ascii="Arial Narrow" w:hAnsi="Arial Narrow"/>
          <w:b/>
          <w:bCs/>
          <w:sz w:val="20"/>
          <w:szCs w:val="14"/>
        </w:rPr>
        <w:t xml:space="preserve">Figure 1: ACR50 and ACR20 response over 24 weeks in the </w:t>
      </w:r>
      <w:proofErr w:type="spellStart"/>
      <w:r w:rsidRPr="00E32D4A">
        <w:rPr>
          <w:rFonts w:ascii="Arial Narrow" w:hAnsi="Arial Narrow"/>
          <w:b/>
          <w:bCs/>
          <w:sz w:val="20"/>
          <w:szCs w:val="14"/>
        </w:rPr>
        <w:t>abatacept</w:t>
      </w:r>
      <w:proofErr w:type="spellEnd"/>
      <w:r w:rsidRPr="00E32D4A">
        <w:rPr>
          <w:rFonts w:ascii="Arial Narrow" w:hAnsi="Arial Narrow"/>
          <w:b/>
          <w:bCs/>
          <w:sz w:val="20"/>
          <w:szCs w:val="14"/>
        </w:rPr>
        <w:t xml:space="preserve"> trials: </w:t>
      </w:r>
      <w:proofErr w:type="spellStart"/>
      <w:r w:rsidRPr="00E32D4A">
        <w:rPr>
          <w:rFonts w:ascii="Arial Narrow" w:hAnsi="Arial Narrow"/>
          <w:b/>
          <w:bCs/>
          <w:sz w:val="20"/>
          <w:szCs w:val="14"/>
        </w:rPr>
        <w:t>Mease</w:t>
      </w:r>
      <w:proofErr w:type="spellEnd"/>
      <w:r w:rsidRPr="00E32D4A">
        <w:rPr>
          <w:rFonts w:ascii="Arial Narrow" w:hAnsi="Arial Narrow"/>
          <w:b/>
          <w:bCs/>
          <w:sz w:val="20"/>
          <w:szCs w:val="14"/>
        </w:rPr>
        <w:t xml:space="preserve"> 2011 and </w:t>
      </w:r>
      <w:proofErr w:type="spellStart"/>
      <w:r w:rsidRPr="00E32D4A">
        <w:rPr>
          <w:rFonts w:ascii="Arial Narrow" w:hAnsi="Arial Narrow"/>
          <w:b/>
          <w:bCs/>
          <w:sz w:val="20"/>
          <w:szCs w:val="14"/>
        </w:rPr>
        <w:t>Mease</w:t>
      </w:r>
      <w:proofErr w:type="spellEnd"/>
      <w:r w:rsidRPr="00E32D4A">
        <w:rPr>
          <w:rFonts w:ascii="Arial Narrow" w:hAnsi="Arial Narrow"/>
          <w:b/>
          <w:bCs/>
          <w:sz w:val="20"/>
          <w:szCs w:val="14"/>
        </w:rPr>
        <w:t xml:space="preserve">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Caption w:val="Figure 1: ACR50 and ACR20 response over 24 weeks in the abatacept trials: Mease 2011 and Mease 2017"/>
      </w:tblPr>
      <w:tblGrid>
        <w:gridCol w:w="4454"/>
        <w:gridCol w:w="4573"/>
      </w:tblGrid>
      <w:tr w:rsidR="00584E6F" w:rsidRPr="00BB58AC" w:rsidTr="006B74B3">
        <w:trPr>
          <w:tblHeader/>
        </w:trPr>
        <w:tc>
          <w:tcPr>
            <w:tcW w:w="4454" w:type="dxa"/>
            <w:vAlign w:val="center"/>
          </w:tcPr>
          <w:p w:rsidR="00584E6F" w:rsidRPr="00234409" w:rsidRDefault="00584E6F" w:rsidP="00A02014">
            <w:pPr>
              <w:spacing w:before="120" w:after="120"/>
              <w:jc w:val="center"/>
              <w:rPr>
                <w:rFonts w:ascii="Arial Narrow" w:hAnsi="Arial Narrow"/>
                <w:iCs/>
                <w:sz w:val="20"/>
                <w:szCs w:val="18"/>
              </w:rPr>
            </w:pPr>
            <w:proofErr w:type="spellStart"/>
            <w:r w:rsidRPr="00234409">
              <w:rPr>
                <w:rFonts w:ascii="Arial Narrow" w:hAnsi="Arial Narrow"/>
                <w:iCs/>
                <w:sz w:val="20"/>
                <w:szCs w:val="18"/>
              </w:rPr>
              <w:t>Mease</w:t>
            </w:r>
            <w:proofErr w:type="spellEnd"/>
            <w:r w:rsidRPr="00234409">
              <w:rPr>
                <w:rFonts w:ascii="Arial Narrow" w:hAnsi="Arial Narrow"/>
                <w:iCs/>
                <w:sz w:val="20"/>
                <w:szCs w:val="18"/>
              </w:rPr>
              <w:t xml:space="preserve"> 2017</w:t>
            </w:r>
            <w:r w:rsidRPr="00234409">
              <w:rPr>
                <w:rFonts w:ascii="Arial Narrow" w:hAnsi="Arial Narrow"/>
                <w:iCs/>
                <w:sz w:val="20"/>
                <w:szCs w:val="18"/>
                <w:vertAlign w:val="superscript"/>
              </w:rPr>
              <w:t>*</w:t>
            </w:r>
            <w:r w:rsidRPr="00234409">
              <w:rPr>
                <w:rFonts w:ascii="Arial Narrow" w:hAnsi="Arial Narrow"/>
                <w:iCs/>
                <w:sz w:val="20"/>
                <w:szCs w:val="18"/>
              </w:rPr>
              <w:t xml:space="preserve"> (SC formulation, phase III RCT)</w:t>
            </w:r>
          </w:p>
        </w:tc>
        <w:tc>
          <w:tcPr>
            <w:tcW w:w="4573" w:type="dxa"/>
            <w:vAlign w:val="center"/>
          </w:tcPr>
          <w:p w:rsidR="00584E6F" w:rsidRPr="00234409" w:rsidRDefault="00584E6F" w:rsidP="00A02014">
            <w:pPr>
              <w:spacing w:before="120" w:after="120"/>
              <w:jc w:val="center"/>
              <w:rPr>
                <w:rFonts w:ascii="Arial Narrow" w:hAnsi="Arial Narrow"/>
                <w:iCs/>
                <w:sz w:val="20"/>
                <w:szCs w:val="18"/>
              </w:rPr>
            </w:pPr>
            <w:proofErr w:type="spellStart"/>
            <w:r w:rsidRPr="00234409">
              <w:rPr>
                <w:rFonts w:ascii="Arial Narrow" w:hAnsi="Arial Narrow"/>
                <w:iCs/>
                <w:sz w:val="20"/>
                <w:szCs w:val="18"/>
              </w:rPr>
              <w:t>Mease</w:t>
            </w:r>
            <w:proofErr w:type="spellEnd"/>
            <w:r w:rsidRPr="00234409">
              <w:rPr>
                <w:rFonts w:ascii="Arial Narrow" w:hAnsi="Arial Narrow"/>
                <w:iCs/>
                <w:sz w:val="20"/>
                <w:szCs w:val="18"/>
              </w:rPr>
              <w:t xml:space="preserve"> 2011</w:t>
            </w:r>
            <w:r w:rsidR="00CF652A" w:rsidRPr="00234409">
              <w:rPr>
                <w:rFonts w:ascii="Arial Narrow" w:hAnsi="Arial Narrow"/>
                <w:iCs/>
                <w:sz w:val="20"/>
                <w:szCs w:val="18"/>
              </w:rPr>
              <w:t>^</w:t>
            </w:r>
            <w:r w:rsidRPr="00234409">
              <w:rPr>
                <w:rFonts w:ascii="Arial Narrow" w:hAnsi="Arial Narrow"/>
                <w:iCs/>
                <w:sz w:val="20"/>
                <w:szCs w:val="18"/>
              </w:rPr>
              <w:t xml:space="preserve"> (IV form</w:t>
            </w:r>
            <w:bookmarkStart w:id="2" w:name="_GoBack"/>
            <w:bookmarkEnd w:id="2"/>
            <w:r w:rsidRPr="00234409">
              <w:rPr>
                <w:rFonts w:ascii="Arial Narrow" w:hAnsi="Arial Narrow"/>
                <w:iCs/>
                <w:sz w:val="20"/>
                <w:szCs w:val="18"/>
              </w:rPr>
              <w:t>ulation, phase II RCT)</w:t>
            </w:r>
          </w:p>
        </w:tc>
      </w:tr>
      <w:tr w:rsidR="00584E6F" w:rsidRPr="00BB58AC" w:rsidTr="00EB60DE">
        <w:tc>
          <w:tcPr>
            <w:tcW w:w="4454" w:type="dxa"/>
            <w:shd w:val="clear" w:color="auto" w:fill="auto"/>
            <w:vAlign w:val="center"/>
          </w:tcPr>
          <w:p w:rsidR="00584E6F" w:rsidRPr="00F26804" w:rsidRDefault="00F26804" w:rsidP="00A02014">
            <w:pPr>
              <w:widowControl/>
              <w:kinsoku w:val="0"/>
              <w:overflowPunct w:val="0"/>
              <w:autoSpaceDE w:val="0"/>
              <w:autoSpaceDN w:val="0"/>
              <w:adjustRightInd w:val="0"/>
              <w:jc w:val="center"/>
              <w:rPr>
                <w:rFonts w:ascii="Times New Roman" w:hAnsi="Times New Roman" w:cs="Times New Roman"/>
                <w:i/>
                <w:iCs/>
                <w:noProof/>
                <w:snapToGrid/>
                <w:sz w:val="20"/>
                <w:szCs w:val="20"/>
                <w:highlight w:val="black"/>
                <w:lang w:eastAsia="zh-CN"/>
              </w:rPr>
            </w:pPr>
            <w:r>
              <w:rPr>
                <w:rFonts w:ascii="Times New Roman" w:hAnsi="Times New Roman" w:cs="Times New Roman"/>
                <w:i/>
                <w:iCs/>
                <w:noProof/>
                <w:snapToGrid/>
                <w:sz w:val="20"/>
                <w:szCs w:val="20"/>
                <w:lang w:eastAsia="en-AU"/>
              </w:rPr>
              <w:drawing>
                <wp:inline distT="0" distB="0" distL="0" distR="0">
                  <wp:extent cx="2780665" cy="1847850"/>
                  <wp:effectExtent l="0" t="0" r="63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80665" cy="1847850"/>
                          </a:xfrm>
                          <a:prstGeom prst="rect">
                            <a:avLst/>
                          </a:prstGeom>
                        </pic:spPr>
                      </pic:pic>
                    </a:graphicData>
                  </a:graphic>
                </wp:inline>
              </w:drawing>
            </w:r>
          </w:p>
        </w:tc>
        <w:tc>
          <w:tcPr>
            <w:tcW w:w="4573" w:type="dxa"/>
            <w:shd w:val="clear" w:color="auto" w:fill="auto"/>
            <w:vAlign w:val="center"/>
          </w:tcPr>
          <w:p w:rsidR="00584E6F" w:rsidRPr="00BB58AC" w:rsidRDefault="00F26804" w:rsidP="00A02014">
            <w:pPr>
              <w:jc w:val="center"/>
              <w:rPr>
                <w:rFonts w:ascii="Arial Narrow" w:hAnsi="Arial Narrow"/>
                <w:i/>
                <w:iCs/>
                <w:noProof/>
                <w:sz w:val="20"/>
                <w:szCs w:val="18"/>
                <w:lang w:eastAsia="zh-CN"/>
              </w:rPr>
            </w:pPr>
            <w:r>
              <w:rPr>
                <w:rFonts w:ascii="Arial Narrow" w:hAnsi="Arial Narrow" w:cs="Times New Roman"/>
                <w:b/>
                <w:noProof/>
                <w:snapToGrid/>
                <w:sz w:val="20"/>
                <w:szCs w:val="16"/>
                <w:lang w:eastAsia="en-AU"/>
              </w:rPr>
              <w:drawing>
                <wp:inline distT="0" distB="0" distL="0" distR="0" wp14:anchorId="5A42A2CD" wp14:editId="496C7E72">
                  <wp:extent cx="2847340" cy="177101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47340" cy="1771015"/>
                          </a:xfrm>
                          <a:prstGeom prst="rect">
                            <a:avLst/>
                          </a:prstGeom>
                        </pic:spPr>
                      </pic:pic>
                    </a:graphicData>
                  </a:graphic>
                </wp:inline>
              </w:drawing>
            </w:r>
          </w:p>
        </w:tc>
      </w:tr>
      <w:tr w:rsidR="00584E6F" w:rsidRPr="00BB58AC" w:rsidTr="00584E6F">
        <w:tc>
          <w:tcPr>
            <w:tcW w:w="4454" w:type="dxa"/>
            <w:vAlign w:val="bottom"/>
          </w:tcPr>
          <w:p w:rsidR="00584E6F" w:rsidRPr="00BB58AC" w:rsidRDefault="00584E6F" w:rsidP="00A02014">
            <w:pPr>
              <w:widowControl/>
              <w:kinsoku w:val="0"/>
              <w:overflowPunct w:val="0"/>
              <w:autoSpaceDE w:val="0"/>
              <w:autoSpaceDN w:val="0"/>
              <w:adjustRightInd w:val="0"/>
              <w:jc w:val="center"/>
              <w:rPr>
                <w:rFonts w:ascii="Times New Roman" w:hAnsi="Times New Roman" w:cs="Times New Roman"/>
                <w:i/>
                <w:iCs/>
                <w:snapToGrid/>
                <w:sz w:val="20"/>
                <w:szCs w:val="20"/>
                <w:lang w:eastAsia="en-AU"/>
              </w:rPr>
            </w:pPr>
            <w:r w:rsidRPr="00BB58AC">
              <w:rPr>
                <w:rFonts w:ascii="Times New Roman" w:hAnsi="Times New Roman" w:cs="Times New Roman"/>
                <w:i/>
                <w:iCs/>
                <w:noProof/>
                <w:snapToGrid/>
                <w:sz w:val="20"/>
                <w:szCs w:val="20"/>
                <w:lang w:eastAsia="en-AU"/>
              </w:rPr>
              <w:drawing>
                <wp:inline distT="0" distB="0" distL="0" distR="0" wp14:anchorId="70BF0F96" wp14:editId="6CC5D5CB">
                  <wp:extent cx="2647315" cy="1533525"/>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3367" cy="1554409"/>
                          </a:xfrm>
                          <a:prstGeom prst="rect">
                            <a:avLst/>
                          </a:prstGeom>
                          <a:noFill/>
                          <a:ln>
                            <a:noFill/>
                          </a:ln>
                        </pic:spPr>
                      </pic:pic>
                    </a:graphicData>
                  </a:graphic>
                </wp:inline>
              </w:drawing>
            </w:r>
          </w:p>
        </w:tc>
        <w:tc>
          <w:tcPr>
            <w:tcW w:w="4573" w:type="dxa"/>
            <w:vAlign w:val="center"/>
          </w:tcPr>
          <w:p w:rsidR="00584E6F" w:rsidRPr="00BB58AC" w:rsidRDefault="00584E6F" w:rsidP="00A02014">
            <w:pPr>
              <w:jc w:val="center"/>
              <w:rPr>
                <w:rFonts w:ascii="Arial Narrow" w:hAnsi="Arial Narrow"/>
                <w:i/>
                <w:iCs/>
                <w:sz w:val="20"/>
                <w:szCs w:val="18"/>
              </w:rPr>
            </w:pPr>
            <w:r w:rsidRPr="00CD083C">
              <w:rPr>
                <w:rFonts w:ascii="Arial Narrow" w:hAnsi="Arial Narrow"/>
                <w:i/>
                <w:iCs/>
                <w:noProof/>
                <w:sz w:val="20"/>
                <w:szCs w:val="18"/>
                <w:lang w:eastAsia="en-AU"/>
              </w:rPr>
              <w:drawing>
                <wp:inline distT="0" distB="0" distL="0" distR="0" wp14:anchorId="7CA7AC20" wp14:editId="478350AB">
                  <wp:extent cx="2849245" cy="158115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092" cy="1588834"/>
                          </a:xfrm>
                          <a:prstGeom prst="rect">
                            <a:avLst/>
                          </a:prstGeom>
                          <a:noFill/>
                          <a:ln>
                            <a:noFill/>
                          </a:ln>
                        </pic:spPr>
                      </pic:pic>
                    </a:graphicData>
                  </a:graphic>
                </wp:inline>
              </w:drawing>
            </w:r>
          </w:p>
        </w:tc>
      </w:tr>
    </w:tbl>
    <w:p w:rsidR="00CF652A" w:rsidRPr="00234409" w:rsidRDefault="00CF652A" w:rsidP="00CF652A">
      <w:pPr>
        <w:tabs>
          <w:tab w:val="left" w:pos="142"/>
        </w:tabs>
        <w:rPr>
          <w:rFonts w:ascii="Arial Narrow" w:hAnsi="Arial Narrow"/>
          <w:iCs/>
          <w:sz w:val="20"/>
          <w:szCs w:val="18"/>
        </w:rPr>
      </w:pPr>
      <w:r w:rsidRPr="00234409">
        <w:rPr>
          <w:rFonts w:ascii="Arial Narrow" w:hAnsi="Arial Narrow"/>
          <w:iCs/>
          <w:sz w:val="20"/>
          <w:szCs w:val="18"/>
        </w:rPr>
        <w:t>Abbreviations: ACR20/50 = ≥20% /50% improvement on the American College of Rheumatology Criteria</w:t>
      </w:r>
    </w:p>
    <w:p w:rsidR="00584E6F" w:rsidRPr="00234409" w:rsidRDefault="00584E6F" w:rsidP="00584E6F">
      <w:pPr>
        <w:tabs>
          <w:tab w:val="left" w:pos="142"/>
        </w:tabs>
        <w:rPr>
          <w:rFonts w:ascii="Arial Narrow" w:hAnsi="Arial Narrow"/>
          <w:iCs/>
          <w:sz w:val="20"/>
          <w:szCs w:val="18"/>
        </w:rPr>
      </w:pPr>
      <w:r w:rsidRPr="00234409">
        <w:rPr>
          <w:rFonts w:ascii="Arial Narrow" w:hAnsi="Arial Narrow"/>
          <w:iCs/>
          <w:sz w:val="20"/>
          <w:szCs w:val="18"/>
          <w:vertAlign w:val="superscript"/>
        </w:rPr>
        <w:t>*</w:t>
      </w:r>
      <w:r w:rsidR="00685D66" w:rsidRPr="00234409">
        <w:rPr>
          <w:rFonts w:ascii="Arial Narrow" w:hAnsi="Arial Narrow"/>
          <w:iCs/>
          <w:sz w:val="20"/>
          <w:szCs w:val="18"/>
        </w:rPr>
        <w:tab/>
      </w:r>
      <w:proofErr w:type="gramStart"/>
      <w:r w:rsidR="00685D66" w:rsidRPr="00234409">
        <w:rPr>
          <w:rFonts w:ascii="Arial Narrow" w:hAnsi="Arial Narrow"/>
          <w:iCs/>
          <w:sz w:val="20"/>
          <w:szCs w:val="18"/>
        </w:rPr>
        <w:t>early</w:t>
      </w:r>
      <w:proofErr w:type="gramEnd"/>
      <w:r w:rsidR="00685D66" w:rsidRPr="00234409">
        <w:rPr>
          <w:rFonts w:ascii="Arial Narrow" w:hAnsi="Arial Narrow"/>
          <w:iCs/>
          <w:sz w:val="20"/>
          <w:szCs w:val="18"/>
        </w:rPr>
        <w:t xml:space="preserve"> escape patients switched</w:t>
      </w:r>
      <w:r w:rsidRPr="00234409">
        <w:rPr>
          <w:rFonts w:ascii="Arial Narrow" w:hAnsi="Arial Narrow"/>
          <w:iCs/>
          <w:sz w:val="20"/>
          <w:szCs w:val="18"/>
        </w:rPr>
        <w:t xml:space="preserve"> to open-label </w:t>
      </w:r>
      <w:proofErr w:type="spellStart"/>
      <w:r w:rsidRPr="00234409">
        <w:rPr>
          <w:rFonts w:ascii="Arial Narrow" w:hAnsi="Arial Narrow"/>
          <w:iCs/>
          <w:sz w:val="20"/>
          <w:szCs w:val="18"/>
        </w:rPr>
        <w:t>abatacept</w:t>
      </w:r>
      <w:proofErr w:type="spellEnd"/>
      <w:r w:rsidRPr="00234409">
        <w:rPr>
          <w:rFonts w:ascii="Arial Narrow" w:hAnsi="Arial Narrow"/>
          <w:iCs/>
          <w:sz w:val="20"/>
          <w:szCs w:val="18"/>
        </w:rPr>
        <w:t xml:space="preserve"> at Week 16 were imputed as non-responders at Weeks 20/24.</w:t>
      </w:r>
    </w:p>
    <w:p w:rsidR="00CF652A" w:rsidRPr="00234409" w:rsidRDefault="00CF652A" w:rsidP="00CF652A">
      <w:pPr>
        <w:tabs>
          <w:tab w:val="left" w:pos="142"/>
        </w:tabs>
        <w:rPr>
          <w:rFonts w:ascii="Arial Narrow" w:hAnsi="Arial Narrow"/>
          <w:iCs/>
          <w:sz w:val="20"/>
          <w:szCs w:val="18"/>
        </w:rPr>
      </w:pPr>
      <w:r w:rsidRPr="00234409">
        <w:rPr>
          <w:rFonts w:ascii="Arial Narrow" w:hAnsi="Arial Narrow"/>
          <w:iCs/>
          <w:sz w:val="20"/>
          <w:szCs w:val="18"/>
        </w:rPr>
        <w:t>^</w:t>
      </w:r>
      <w:r w:rsidRPr="00234409">
        <w:rPr>
          <w:rFonts w:ascii="Arial Narrow" w:hAnsi="Arial Narrow"/>
          <w:iCs/>
          <w:sz w:val="20"/>
          <w:szCs w:val="18"/>
        </w:rPr>
        <w:tab/>
        <w:t>Note the relevant ABA treatment arm is the ABA 10/10 or ABA 10 (~10mg/kg dose for induction and maintenance).</w:t>
      </w:r>
    </w:p>
    <w:p w:rsidR="00584E6F" w:rsidRDefault="00584E6F" w:rsidP="00584E6F">
      <w:pPr>
        <w:tabs>
          <w:tab w:val="left" w:pos="142"/>
        </w:tabs>
        <w:rPr>
          <w:rFonts w:ascii="Arial Narrow" w:hAnsi="Arial Narrow"/>
          <w:iCs/>
          <w:sz w:val="20"/>
          <w:szCs w:val="18"/>
          <w:lang w:val="fr-FR"/>
        </w:rPr>
      </w:pPr>
      <w:r w:rsidRPr="00234409">
        <w:rPr>
          <w:rFonts w:ascii="Arial Narrow" w:hAnsi="Arial Narrow"/>
          <w:iCs/>
          <w:sz w:val="20"/>
          <w:szCs w:val="18"/>
          <w:lang w:val="fr-FR"/>
        </w:rPr>
        <w:t xml:space="preserve">Source: Figure 7.2.5-1, p98 of IM101332 CSR; Figure 7.3.2-2 in IM101158 CSR; Figure 2, </w:t>
      </w:r>
      <w:proofErr w:type="spellStart"/>
      <w:r w:rsidRPr="00234409">
        <w:rPr>
          <w:rFonts w:ascii="Arial Narrow" w:hAnsi="Arial Narrow"/>
          <w:iCs/>
          <w:sz w:val="20"/>
          <w:szCs w:val="18"/>
          <w:lang w:val="fr-FR"/>
        </w:rPr>
        <w:t>Mease</w:t>
      </w:r>
      <w:proofErr w:type="spellEnd"/>
      <w:r w:rsidRPr="00234409">
        <w:rPr>
          <w:rFonts w:ascii="Arial Narrow" w:hAnsi="Arial Narrow"/>
          <w:iCs/>
          <w:sz w:val="20"/>
          <w:szCs w:val="18"/>
          <w:lang w:val="fr-FR"/>
        </w:rPr>
        <w:t xml:space="preserve"> et al 2017; Figure 1, </w:t>
      </w:r>
      <w:proofErr w:type="spellStart"/>
      <w:r w:rsidRPr="00234409">
        <w:rPr>
          <w:rFonts w:ascii="Arial Narrow" w:hAnsi="Arial Narrow"/>
          <w:iCs/>
          <w:sz w:val="20"/>
          <w:szCs w:val="18"/>
          <w:lang w:val="fr-FR"/>
        </w:rPr>
        <w:t>Mease</w:t>
      </w:r>
      <w:proofErr w:type="spellEnd"/>
      <w:r w:rsidRPr="00234409">
        <w:rPr>
          <w:rFonts w:ascii="Arial Narrow" w:hAnsi="Arial Narrow"/>
          <w:iCs/>
          <w:sz w:val="20"/>
          <w:szCs w:val="18"/>
          <w:lang w:val="fr-FR"/>
        </w:rPr>
        <w:t xml:space="preserve"> et al 2011.</w:t>
      </w:r>
    </w:p>
    <w:p w:rsidR="00D02FB3" w:rsidRDefault="00D02FB3" w:rsidP="00584E6F">
      <w:pPr>
        <w:tabs>
          <w:tab w:val="left" w:pos="142"/>
        </w:tabs>
        <w:rPr>
          <w:rFonts w:ascii="Arial Narrow" w:hAnsi="Arial Narrow"/>
          <w:iCs/>
          <w:sz w:val="20"/>
          <w:szCs w:val="18"/>
          <w:lang w:val="fr-FR"/>
        </w:rPr>
      </w:pPr>
    </w:p>
    <w:p w:rsidR="00D02FB3" w:rsidRPr="00015A15" w:rsidRDefault="00D02FB3" w:rsidP="00B67B6B">
      <w:pPr>
        <w:widowControl/>
        <w:ind w:firstLine="720"/>
        <w:contextualSpacing/>
        <w:rPr>
          <w:rFonts w:asciiTheme="minorHAnsi" w:hAnsiTheme="minorHAnsi" w:cs="Times New Roman"/>
          <w:i/>
          <w:snapToGrid/>
          <w:szCs w:val="24"/>
          <w:lang w:eastAsia="en-AU"/>
        </w:rPr>
      </w:pPr>
      <w:r w:rsidRPr="00015A15">
        <w:rPr>
          <w:rFonts w:asciiTheme="minorHAnsi" w:hAnsiTheme="minorHAnsi" w:cs="Times New Roman"/>
          <w:i/>
          <w:snapToGrid/>
          <w:szCs w:val="24"/>
          <w:lang w:eastAsia="en-AU"/>
        </w:rPr>
        <w:t>For more detail on PBAC’s view, see section 7 PBAC outcome.</w:t>
      </w:r>
    </w:p>
    <w:p w:rsidR="0068508D" w:rsidRDefault="0068508D" w:rsidP="00584E6F">
      <w:pPr>
        <w:widowControl/>
      </w:pPr>
    </w:p>
    <w:p w:rsidR="00B50DB8" w:rsidRPr="00407F2D" w:rsidRDefault="00B50DB8" w:rsidP="00F55365">
      <w:pPr>
        <w:pStyle w:val="PBACHeading1"/>
      </w:pPr>
      <w:bookmarkStart w:id="3" w:name="_Toc503190134"/>
      <w:r w:rsidRPr="00407F2D">
        <w:t>Background</w:t>
      </w:r>
      <w:bookmarkEnd w:id="3"/>
    </w:p>
    <w:p w:rsidR="00706426" w:rsidRDefault="00706426" w:rsidP="00B60939">
      <w:pPr>
        <w:rPr>
          <w:b/>
          <w:i/>
          <w:sz w:val="28"/>
          <w:szCs w:val="28"/>
        </w:rPr>
      </w:pPr>
    </w:p>
    <w:p w:rsidR="00B60939" w:rsidRPr="00234409" w:rsidRDefault="00591957" w:rsidP="00B60939">
      <w:pPr>
        <w:rPr>
          <w:b/>
          <w:sz w:val="28"/>
          <w:szCs w:val="28"/>
        </w:rPr>
      </w:pPr>
      <w:r w:rsidRPr="00234409">
        <w:rPr>
          <w:b/>
          <w:sz w:val="28"/>
          <w:szCs w:val="28"/>
        </w:rPr>
        <w:t>Registration status</w:t>
      </w:r>
    </w:p>
    <w:p w:rsidR="00591957" w:rsidRPr="00882085" w:rsidRDefault="00591957" w:rsidP="00B60939"/>
    <w:p w:rsidR="00B60939" w:rsidRPr="00C27B6A" w:rsidRDefault="00D02FB3" w:rsidP="009A02E6">
      <w:pPr>
        <w:pStyle w:val="ListParagraph"/>
        <w:widowControl/>
        <w:numPr>
          <w:ilvl w:val="1"/>
          <w:numId w:val="3"/>
        </w:numPr>
      </w:pPr>
      <w:r w:rsidRPr="009C415B">
        <w:rPr>
          <w:rFonts w:ascii="Arial" w:hAnsi="Arial"/>
          <w:sz w:val="22"/>
        </w:rPr>
        <w:t xml:space="preserve">TGA status at time of </w:t>
      </w:r>
      <w:r w:rsidR="004343F6">
        <w:rPr>
          <w:rFonts w:ascii="Arial" w:hAnsi="Arial"/>
          <w:sz w:val="22"/>
        </w:rPr>
        <w:t>PBAC</w:t>
      </w:r>
      <w:r w:rsidR="004343F6" w:rsidRPr="009C415B">
        <w:rPr>
          <w:rFonts w:ascii="Arial" w:hAnsi="Arial"/>
          <w:sz w:val="22"/>
        </w:rPr>
        <w:t xml:space="preserve"> </w:t>
      </w:r>
      <w:r w:rsidRPr="009C415B">
        <w:rPr>
          <w:rFonts w:ascii="Arial" w:hAnsi="Arial"/>
          <w:sz w:val="22"/>
        </w:rPr>
        <w:t>advice</w:t>
      </w:r>
      <w:r w:rsidR="009C415B">
        <w:rPr>
          <w:rFonts w:ascii="Arial" w:hAnsi="Arial"/>
          <w:sz w:val="22"/>
        </w:rPr>
        <w:t>.</w:t>
      </w:r>
      <w:r w:rsidRPr="00C27B6A">
        <w:t xml:space="preserve"> </w:t>
      </w:r>
      <w:r w:rsidR="009A02E6" w:rsidRPr="00C27B6A">
        <w:t xml:space="preserve">The submission was made under TGA/PBAC Parallel Process.  </w:t>
      </w:r>
      <w:proofErr w:type="spellStart"/>
      <w:r w:rsidR="001A4375" w:rsidRPr="00C27B6A">
        <w:t>Abatacept</w:t>
      </w:r>
      <w:proofErr w:type="spellEnd"/>
      <w:r w:rsidR="001A4375" w:rsidRPr="00C27B6A">
        <w:t xml:space="preserve"> was approved for registration by the TGA on 10 January 2018 for the </w:t>
      </w:r>
      <w:r w:rsidR="009A02E6" w:rsidRPr="00C27B6A">
        <w:t xml:space="preserve">treatment of active </w:t>
      </w:r>
      <w:proofErr w:type="spellStart"/>
      <w:r w:rsidR="009A02E6" w:rsidRPr="00C27B6A">
        <w:t>PsA</w:t>
      </w:r>
      <w:r w:rsidR="009C7DC1">
        <w:t>.</w:t>
      </w:r>
      <w:proofErr w:type="spellEnd"/>
      <w:r w:rsidR="009A02E6" w:rsidRPr="00C27B6A">
        <w:t xml:space="preserve">  </w:t>
      </w:r>
      <w:proofErr w:type="spellStart"/>
      <w:r w:rsidR="00051CEF" w:rsidRPr="00C27B6A">
        <w:rPr>
          <w:iCs/>
        </w:rPr>
        <w:t>A</w:t>
      </w:r>
      <w:r w:rsidR="006B5817" w:rsidRPr="00C27B6A">
        <w:rPr>
          <w:iCs/>
        </w:rPr>
        <w:t>batacept</w:t>
      </w:r>
      <w:proofErr w:type="spellEnd"/>
      <w:r w:rsidR="006B5817" w:rsidRPr="00C27B6A">
        <w:rPr>
          <w:iCs/>
        </w:rPr>
        <w:t xml:space="preserve"> </w:t>
      </w:r>
      <w:r w:rsidR="009A02E6" w:rsidRPr="00C27B6A">
        <w:rPr>
          <w:iCs/>
        </w:rPr>
        <w:t>was TGA registered for RA in 2007 and JIA in 2009.</w:t>
      </w:r>
      <w:r w:rsidR="00B60939" w:rsidRPr="00C27B6A">
        <w:t xml:space="preserve">  </w:t>
      </w:r>
    </w:p>
    <w:p w:rsidR="00C27B6A" w:rsidRPr="00AE4BF9" w:rsidRDefault="005A692B" w:rsidP="005A692B">
      <w:pPr>
        <w:pStyle w:val="ListParagraph"/>
        <w:widowControl/>
        <w:numPr>
          <w:ilvl w:val="1"/>
          <w:numId w:val="3"/>
        </w:numPr>
      </w:pPr>
      <w:r w:rsidRPr="00AE4BF9">
        <w:rPr>
          <w:iCs/>
        </w:rPr>
        <w:t xml:space="preserve">The evidence to support the IV formulation of </w:t>
      </w:r>
      <w:proofErr w:type="spellStart"/>
      <w:r w:rsidR="006B5817" w:rsidRPr="00AE4BF9">
        <w:rPr>
          <w:iCs/>
        </w:rPr>
        <w:t>abatacept</w:t>
      </w:r>
      <w:proofErr w:type="spellEnd"/>
      <w:r w:rsidRPr="00AE4BF9">
        <w:rPr>
          <w:iCs/>
        </w:rPr>
        <w:t xml:space="preserve"> in PsA was limited as it was only evaluated in a Phase 2b dose ranging trial and only 40 patients were treated with the proposed IV dose.  The TGA delegate accepted that the IV and SC regimens were therapeutically equivalent based on evidence in RA, comparable pharmacokinetics, comparable predicted exposure-response rates, and comparable observed treatment effect.</w:t>
      </w:r>
      <w:r w:rsidRPr="00AE4BF9">
        <w:t xml:space="preserve">  </w:t>
      </w:r>
    </w:p>
    <w:p w:rsidR="005A692B" w:rsidRPr="009C415B" w:rsidRDefault="005A692B" w:rsidP="005A692B">
      <w:pPr>
        <w:pStyle w:val="ListParagraph"/>
        <w:widowControl/>
        <w:numPr>
          <w:ilvl w:val="1"/>
          <w:numId w:val="3"/>
        </w:numPr>
      </w:pPr>
      <w:r w:rsidRPr="00AE4BF9">
        <w:rPr>
          <w:iCs/>
        </w:rPr>
        <w:t>A panel of Australian rheumatologists (Sponsor commissioned) considered that the availability of the IV formulation was important to ensure adequate dosing of patients with a high body mass index (BMI).</w:t>
      </w:r>
    </w:p>
    <w:p w:rsidR="000554F2" w:rsidRPr="000900C9" w:rsidRDefault="003C75C9" w:rsidP="000554F2">
      <w:pPr>
        <w:pStyle w:val="ListParagraph"/>
        <w:widowControl/>
        <w:numPr>
          <w:ilvl w:val="1"/>
          <w:numId w:val="3"/>
        </w:numPr>
        <w:rPr>
          <w:iCs/>
        </w:rPr>
      </w:pPr>
      <w:r w:rsidRPr="000900C9">
        <w:rPr>
          <w:iCs/>
        </w:rPr>
        <w:t xml:space="preserve">The </w:t>
      </w:r>
      <w:r w:rsidR="00243569">
        <w:rPr>
          <w:iCs/>
        </w:rPr>
        <w:t xml:space="preserve">PBAC and </w:t>
      </w:r>
      <w:r w:rsidRPr="000900C9">
        <w:rPr>
          <w:iCs/>
        </w:rPr>
        <w:t xml:space="preserve">ESC noted </w:t>
      </w:r>
      <w:r w:rsidR="00E64F44" w:rsidRPr="000900C9">
        <w:rPr>
          <w:iCs/>
        </w:rPr>
        <w:t>that the TGA evaluation</w:t>
      </w:r>
      <w:r w:rsidR="00CA1D0A" w:rsidRPr="000900C9">
        <w:rPr>
          <w:iCs/>
        </w:rPr>
        <w:t xml:space="preserve"> (TGA Round 2 Clinical Evaluation Report p31)</w:t>
      </w:r>
      <w:r w:rsidR="00E64F44" w:rsidRPr="000900C9">
        <w:rPr>
          <w:iCs/>
        </w:rPr>
        <w:t xml:space="preserve"> reported</w:t>
      </w:r>
      <w:r w:rsidR="00301C04">
        <w:rPr>
          <w:iCs/>
        </w:rPr>
        <w:t>,</w:t>
      </w:r>
      <w:r w:rsidR="00E64F44" w:rsidRPr="000900C9">
        <w:rPr>
          <w:iCs/>
        </w:rPr>
        <w:t xml:space="preserve"> </w:t>
      </w:r>
      <w:r w:rsidR="00301C04">
        <w:rPr>
          <w:iCs/>
        </w:rPr>
        <w:t xml:space="preserve">based on </w:t>
      </w:r>
      <w:r w:rsidR="00612AF0" w:rsidRPr="000900C9">
        <w:rPr>
          <w:iCs/>
        </w:rPr>
        <w:t>a</w:t>
      </w:r>
      <w:r w:rsidRPr="000900C9">
        <w:rPr>
          <w:iCs/>
        </w:rPr>
        <w:t xml:space="preserve"> </w:t>
      </w:r>
      <w:r w:rsidR="00612AF0" w:rsidRPr="000900C9">
        <w:rPr>
          <w:iCs/>
        </w:rPr>
        <w:t xml:space="preserve">population </w:t>
      </w:r>
      <w:r w:rsidR="00E64F44" w:rsidRPr="000900C9">
        <w:rPr>
          <w:iCs/>
        </w:rPr>
        <w:t>p</w:t>
      </w:r>
      <w:r w:rsidR="00612AF0" w:rsidRPr="000900C9">
        <w:rPr>
          <w:iCs/>
        </w:rPr>
        <w:t xml:space="preserve">harmacokinetic </w:t>
      </w:r>
      <w:proofErr w:type="gramStart"/>
      <w:r w:rsidR="00612AF0" w:rsidRPr="000900C9">
        <w:rPr>
          <w:iCs/>
        </w:rPr>
        <w:t>analysis</w:t>
      </w:r>
      <w:r w:rsidR="00301C04">
        <w:rPr>
          <w:iCs/>
        </w:rPr>
        <w:t>,</w:t>
      </w:r>
      <w:r w:rsidR="00E64F44" w:rsidRPr="000900C9">
        <w:rPr>
          <w:iCs/>
        </w:rPr>
        <w:t xml:space="preserve"> </w:t>
      </w:r>
      <w:r w:rsidRPr="000900C9">
        <w:rPr>
          <w:iCs/>
        </w:rPr>
        <w:t>that</w:t>
      </w:r>
      <w:proofErr w:type="gramEnd"/>
      <w:r w:rsidRPr="000900C9">
        <w:rPr>
          <w:iCs/>
        </w:rPr>
        <w:t xml:space="preserve"> either the </w:t>
      </w:r>
      <w:r w:rsidR="00612AF0" w:rsidRPr="000900C9">
        <w:rPr>
          <w:iCs/>
        </w:rPr>
        <w:t xml:space="preserve">SC or IV </w:t>
      </w:r>
      <w:r w:rsidR="0012387E" w:rsidRPr="000900C9">
        <w:rPr>
          <w:iCs/>
        </w:rPr>
        <w:t xml:space="preserve">formulation </w:t>
      </w:r>
      <w:r w:rsidR="00612AF0" w:rsidRPr="000900C9">
        <w:rPr>
          <w:iCs/>
        </w:rPr>
        <w:t>would result in 95% of the Ps</w:t>
      </w:r>
      <w:r w:rsidR="00E64F44" w:rsidRPr="000900C9">
        <w:rPr>
          <w:iCs/>
        </w:rPr>
        <w:t>A</w:t>
      </w:r>
      <w:r w:rsidR="00CA1D0A" w:rsidRPr="000900C9">
        <w:rPr>
          <w:iCs/>
        </w:rPr>
        <w:t xml:space="preserve"> </w:t>
      </w:r>
      <w:r w:rsidR="00E64F44" w:rsidRPr="000900C9">
        <w:rPr>
          <w:iCs/>
        </w:rPr>
        <w:t>population</w:t>
      </w:r>
      <w:r w:rsidR="00612AF0" w:rsidRPr="000900C9">
        <w:rPr>
          <w:iCs/>
        </w:rPr>
        <w:t xml:space="preserve"> achieving therapeutic steady state concentrations. The</w:t>
      </w:r>
      <w:r w:rsidR="00243569">
        <w:rPr>
          <w:iCs/>
        </w:rPr>
        <w:t xml:space="preserve"> PBAC and</w:t>
      </w:r>
      <w:r w:rsidR="00612AF0" w:rsidRPr="000900C9">
        <w:rPr>
          <w:iCs/>
        </w:rPr>
        <w:t xml:space="preserve"> ESC considered </w:t>
      </w:r>
      <w:r w:rsidR="00454E8E" w:rsidRPr="000900C9">
        <w:rPr>
          <w:iCs/>
        </w:rPr>
        <w:t xml:space="preserve">that </w:t>
      </w:r>
      <w:r w:rsidR="00612AF0" w:rsidRPr="000900C9">
        <w:rPr>
          <w:iCs/>
        </w:rPr>
        <w:t xml:space="preserve">the </w:t>
      </w:r>
      <w:r w:rsidR="00CA1D0A" w:rsidRPr="000900C9">
        <w:rPr>
          <w:iCs/>
        </w:rPr>
        <w:t>claim</w:t>
      </w:r>
      <w:r w:rsidR="00612AF0" w:rsidRPr="000900C9">
        <w:rPr>
          <w:iCs/>
        </w:rPr>
        <w:t xml:space="preserve"> provided in the PSCR</w:t>
      </w:r>
      <w:r w:rsidR="00E44754" w:rsidRPr="000900C9">
        <w:rPr>
          <w:iCs/>
        </w:rPr>
        <w:t>,</w:t>
      </w:r>
      <w:r w:rsidR="00612AF0" w:rsidRPr="000900C9">
        <w:rPr>
          <w:iCs/>
        </w:rPr>
        <w:t xml:space="preserve"> in favour of </w:t>
      </w:r>
      <w:r w:rsidR="00454E8E" w:rsidRPr="000900C9">
        <w:rPr>
          <w:iCs/>
        </w:rPr>
        <w:t>a</w:t>
      </w:r>
      <w:r w:rsidR="00D315A0" w:rsidRPr="000900C9">
        <w:rPr>
          <w:iCs/>
        </w:rPr>
        <w:t>nother</w:t>
      </w:r>
      <w:r w:rsidR="00454E8E" w:rsidRPr="000900C9">
        <w:rPr>
          <w:iCs/>
        </w:rPr>
        <w:t xml:space="preserve"> weigh</w:t>
      </w:r>
      <w:r w:rsidR="00E64F44" w:rsidRPr="000900C9">
        <w:rPr>
          <w:iCs/>
        </w:rPr>
        <w:t>t</w:t>
      </w:r>
      <w:r w:rsidR="00454E8E" w:rsidRPr="000900C9">
        <w:rPr>
          <w:iCs/>
        </w:rPr>
        <w:t>-based</w:t>
      </w:r>
      <w:r w:rsidR="00612AF0" w:rsidRPr="000900C9">
        <w:rPr>
          <w:iCs/>
        </w:rPr>
        <w:t xml:space="preserve"> IV</w:t>
      </w:r>
      <w:r w:rsidR="00307963" w:rsidRPr="000900C9">
        <w:rPr>
          <w:iCs/>
        </w:rPr>
        <w:t xml:space="preserve"> </w:t>
      </w:r>
      <w:r w:rsidR="00454E8E" w:rsidRPr="000900C9">
        <w:rPr>
          <w:iCs/>
        </w:rPr>
        <w:t>dosing option for</w:t>
      </w:r>
      <w:r w:rsidR="00612AF0" w:rsidRPr="000900C9">
        <w:rPr>
          <w:iCs/>
        </w:rPr>
        <w:t xml:space="preserve"> patients with high Body Mass Index (BMI)</w:t>
      </w:r>
      <w:r w:rsidR="00E44754" w:rsidRPr="000900C9">
        <w:rPr>
          <w:iCs/>
        </w:rPr>
        <w:t xml:space="preserve">, </w:t>
      </w:r>
      <w:r w:rsidR="00612AF0" w:rsidRPr="000900C9">
        <w:rPr>
          <w:iCs/>
        </w:rPr>
        <w:t xml:space="preserve">to be </w:t>
      </w:r>
      <w:r w:rsidR="00454E8E" w:rsidRPr="000900C9">
        <w:rPr>
          <w:iCs/>
        </w:rPr>
        <w:t xml:space="preserve">not </w:t>
      </w:r>
      <w:r w:rsidR="000554F2" w:rsidRPr="000900C9">
        <w:rPr>
          <w:iCs/>
        </w:rPr>
        <w:t>relevant</w:t>
      </w:r>
      <w:r w:rsidR="00612AF0" w:rsidRPr="000900C9">
        <w:rPr>
          <w:iCs/>
        </w:rPr>
        <w:t xml:space="preserve"> as adequate </w:t>
      </w:r>
      <w:r w:rsidR="00CA1D0A" w:rsidRPr="000900C9">
        <w:rPr>
          <w:iCs/>
        </w:rPr>
        <w:t>concentrations</w:t>
      </w:r>
      <w:r w:rsidR="00612AF0" w:rsidRPr="000900C9">
        <w:rPr>
          <w:iCs/>
        </w:rPr>
        <w:t xml:space="preserve"> can be achieved </w:t>
      </w:r>
      <w:r w:rsidR="00454E8E" w:rsidRPr="000900C9">
        <w:rPr>
          <w:iCs/>
        </w:rPr>
        <w:t>with</w:t>
      </w:r>
      <w:r w:rsidR="00612AF0" w:rsidRPr="000900C9">
        <w:rPr>
          <w:iCs/>
        </w:rPr>
        <w:t xml:space="preserve"> the SC formulation for patients </w:t>
      </w:r>
      <w:r w:rsidR="00CA1D0A" w:rsidRPr="000900C9">
        <w:rPr>
          <w:iCs/>
        </w:rPr>
        <w:t>regardless of body weight</w:t>
      </w:r>
      <w:r w:rsidR="00612AF0" w:rsidRPr="000900C9">
        <w:rPr>
          <w:iCs/>
        </w:rPr>
        <w:t>.</w:t>
      </w:r>
    </w:p>
    <w:p w:rsidR="00352191" w:rsidRDefault="00D02FB3" w:rsidP="00B67B6B">
      <w:pPr>
        <w:widowControl/>
        <w:ind w:firstLine="720"/>
        <w:rPr>
          <w:i/>
          <w:iCs/>
        </w:rPr>
      </w:pPr>
      <w:r w:rsidRPr="00D02FB3">
        <w:rPr>
          <w:i/>
          <w:iCs/>
        </w:rPr>
        <w:t>For more detail on PBAC’s view, see section 7 PBAC outcome.</w:t>
      </w:r>
    </w:p>
    <w:p w:rsidR="00D02FB3" w:rsidRPr="00352191" w:rsidRDefault="00D02FB3" w:rsidP="00352191">
      <w:pPr>
        <w:widowControl/>
        <w:rPr>
          <w:i/>
          <w:iCs/>
        </w:rPr>
      </w:pPr>
    </w:p>
    <w:p w:rsidR="00B50DB8" w:rsidRPr="00407F2D" w:rsidRDefault="00203181" w:rsidP="00F55365">
      <w:pPr>
        <w:pStyle w:val="PBACHeading1"/>
      </w:pPr>
      <w:bookmarkStart w:id="4" w:name="_Toc503190135"/>
      <w:r>
        <w:t xml:space="preserve">Population and </w:t>
      </w:r>
      <w:r w:rsidR="008E0D3C">
        <w:t>d</w:t>
      </w:r>
      <w:r>
        <w:t>isease</w:t>
      </w:r>
      <w:bookmarkEnd w:id="4"/>
    </w:p>
    <w:p w:rsidR="00B60939" w:rsidRPr="00882085" w:rsidRDefault="00B60939" w:rsidP="00B60939"/>
    <w:p w:rsidR="008D721B" w:rsidRDefault="008D721B" w:rsidP="008D721B">
      <w:pPr>
        <w:pStyle w:val="ListParagraph"/>
        <w:widowControl/>
        <w:numPr>
          <w:ilvl w:val="1"/>
          <w:numId w:val="3"/>
        </w:numPr>
      </w:pPr>
      <w:r>
        <w:t>PsA is an inflammatory joint disease associated with psoriasis.  It is an irreversible, progressive and heterogeneous disease which can involve the peripheral joints (arthritis), axial skeleton (spondylitis), insertion of tendons and ligaments into bone (</w:t>
      </w:r>
      <w:proofErr w:type="spellStart"/>
      <w:r>
        <w:t>enthesitis</w:t>
      </w:r>
      <w:proofErr w:type="spellEnd"/>
      <w:r>
        <w:t>), inflammation of whole digits (</w:t>
      </w:r>
      <w:proofErr w:type="spellStart"/>
      <w:r>
        <w:t>dactylitis</w:t>
      </w:r>
      <w:proofErr w:type="spellEnd"/>
      <w:r>
        <w:t>), skin and nails.  Joint damage can lead to marked disability and reduced quality of life.</w:t>
      </w:r>
    </w:p>
    <w:p w:rsidR="00894489" w:rsidRDefault="006B5817" w:rsidP="008D721B">
      <w:pPr>
        <w:pStyle w:val="ListParagraph"/>
        <w:widowControl/>
        <w:numPr>
          <w:ilvl w:val="1"/>
          <w:numId w:val="3"/>
        </w:numPr>
      </w:pPr>
      <w:proofErr w:type="spellStart"/>
      <w:r>
        <w:t>Abatacept</w:t>
      </w:r>
      <w:proofErr w:type="spellEnd"/>
      <w:r w:rsidR="008D721B">
        <w:t xml:space="preserve"> (a “T cell co-stimulation modulator”) is a recombinant human monoclonal antibody which </w:t>
      </w:r>
      <w:r w:rsidR="008D721B" w:rsidRPr="00554EFF">
        <w:t>modulates a key co</w:t>
      </w:r>
      <w:r w:rsidR="008D721B">
        <w:t>-</w:t>
      </w:r>
      <w:r w:rsidR="008D721B" w:rsidRPr="00554EFF">
        <w:t xml:space="preserve">stimulatory signal required for full activation of T lymphocytes expressing CD28. </w:t>
      </w:r>
      <w:r w:rsidR="008D721B">
        <w:t xml:space="preserve"> </w:t>
      </w:r>
      <w:r w:rsidR="008D721B" w:rsidRPr="00554EFF">
        <w:t xml:space="preserve">Activated T lymphocytes contribute to the pathogenesis </w:t>
      </w:r>
      <w:r w:rsidR="008D721B">
        <w:t>in</w:t>
      </w:r>
      <w:r w:rsidR="008D721B" w:rsidRPr="00554EFF">
        <w:t xml:space="preserve"> </w:t>
      </w:r>
      <w:r w:rsidR="008D721B">
        <w:t xml:space="preserve">a number of </w:t>
      </w:r>
      <w:r w:rsidR="008D721B" w:rsidRPr="00554EFF">
        <w:t>autoimmune diseases</w:t>
      </w:r>
      <w:r w:rsidR="008D721B">
        <w:t xml:space="preserve"> including </w:t>
      </w:r>
      <w:proofErr w:type="spellStart"/>
      <w:r w:rsidR="008D721B">
        <w:t>PsA.</w:t>
      </w:r>
      <w:proofErr w:type="spellEnd"/>
    </w:p>
    <w:p w:rsidR="008A7D53" w:rsidRPr="000E2A42" w:rsidRDefault="003877F4" w:rsidP="00444565">
      <w:pPr>
        <w:pStyle w:val="ListParagraph"/>
        <w:widowControl/>
        <w:numPr>
          <w:ilvl w:val="1"/>
          <w:numId w:val="3"/>
        </w:numPr>
      </w:pPr>
      <w:r>
        <w:t>There are currently</w:t>
      </w:r>
      <w:r w:rsidR="00625C33">
        <w:t xml:space="preserve"> seven</w:t>
      </w:r>
      <w:r w:rsidR="008A7D53">
        <w:t xml:space="preserve"> bDMARDs PBS listed</w:t>
      </w:r>
      <w:r w:rsidR="003D728E">
        <w:t xml:space="preserve"> </w:t>
      </w:r>
      <w:r w:rsidR="008A7D53">
        <w:t>for patients with severe active PsA who have failed to achieve an adequate response to non-</w:t>
      </w:r>
      <w:r w:rsidR="004225A6">
        <w:t xml:space="preserve">biologic DMARDs.  </w:t>
      </w:r>
      <w:r w:rsidR="00CA1D0A" w:rsidRPr="000E2A42">
        <w:t>ESC considered that t</w:t>
      </w:r>
      <w:r w:rsidR="004225A6" w:rsidRPr="000E2A42">
        <w:t>he addition</w:t>
      </w:r>
      <w:r w:rsidR="008A7D53" w:rsidRPr="000E2A42">
        <w:t xml:space="preserve"> of </w:t>
      </w:r>
      <w:proofErr w:type="spellStart"/>
      <w:r w:rsidR="006B5817" w:rsidRPr="000E2A42">
        <w:t>abatacept</w:t>
      </w:r>
      <w:proofErr w:type="spellEnd"/>
      <w:r w:rsidR="008A7D53" w:rsidRPr="000E2A42">
        <w:t xml:space="preserve"> to the clinical management algorithm will not</w:t>
      </w:r>
      <w:r w:rsidR="00917CD0" w:rsidRPr="000E2A42">
        <w:t xml:space="preserve"> significantly </w:t>
      </w:r>
      <w:r w:rsidR="008A7D53" w:rsidRPr="000E2A42">
        <w:t>alter current practice, but will allow for an additional option with a different mechanism of action</w:t>
      </w:r>
      <w:r w:rsidR="004225A6" w:rsidRPr="000E2A42">
        <w:t>.</w:t>
      </w:r>
      <w:r w:rsidR="008A7D53" w:rsidRPr="000E2A42">
        <w:t xml:space="preserve"> </w:t>
      </w:r>
      <w:r w:rsidR="004225A6" w:rsidRPr="000E2A42">
        <w:t xml:space="preserve"> </w:t>
      </w:r>
      <w:r w:rsidR="008A7D53" w:rsidRPr="000E2A42">
        <w:t xml:space="preserve">It was anticipated </w:t>
      </w:r>
      <w:r w:rsidR="008A4FCA" w:rsidRPr="000E2A42">
        <w:t xml:space="preserve">by the sponsor </w:t>
      </w:r>
      <w:r w:rsidR="008A7D53" w:rsidRPr="000E2A42">
        <w:t xml:space="preserve">that </w:t>
      </w:r>
      <w:proofErr w:type="spellStart"/>
      <w:r w:rsidR="006B5817" w:rsidRPr="000E2A42">
        <w:t>abatacept</w:t>
      </w:r>
      <w:proofErr w:type="spellEnd"/>
      <w:r w:rsidR="008A7D53" w:rsidRPr="000E2A42">
        <w:t xml:space="preserve"> would predominately be prescribed as 3rd-line therapy after a </w:t>
      </w:r>
      <w:r w:rsidR="008B4EDF" w:rsidRPr="000E2A42">
        <w:t>tumour necrosis factor (</w:t>
      </w:r>
      <w:r w:rsidR="008A7D53" w:rsidRPr="000E2A42">
        <w:t>TNF</w:t>
      </w:r>
      <w:r w:rsidR="008B4EDF" w:rsidRPr="000E2A42">
        <w:t xml:space="preserve">) </w:t>
      </w:r>
      <w:r w:rsidR="008A7D53" w:rsidRPr="000E2A42">
        <w:t xml:space="preserve">α inhibitor </w:t>
      </w:r>
      <w:r w:rsidR="00915D39" w:rsidRPr="000E2A42">
        <w:t>(</w:t>
      </w:r>
      <w:r w:rsidR="008A7D53" w:rsidRPr="000E2A42">
        <w:t>1st-line</w:t>
      </w:r>
      <w:r w:rsidR="00915D39" w:rsidRPr="000E2A42">
        <w:t>)</w:t>
      </w:r>
      <w:r w:rsidR="008A7D53" w:rsidRPr="000E2A42">
        <w:t xml:space="preserve"> and </w:t>
      </w:r>
      <w:r w:rsidR="00243569" w:rsidRPr="000E2A42">
        <w:t xml:space="preserve">secukinumab </w:t>
      </w:r>
      <w:r w:rsidR="00915D39" w:rsidRPr="000E2A42">
        <w:t>(</w:t>
      </w:r>
      <w:r w:rsidR="008A7D53" w:rsidRPr="000E2A42">
        <w:t>2nd-line</w:t>
      </w:r>
      <w:r w:rsidR="00915D39" w:rsidRPr="000E2A42">
        <w:t>)</w:t>
      </w:r>
      <w:r w:rsidR="008A7D53" w:rsidRPr="000E2A42">
        <w:t xml:space="preserve">, or as 2nd-line therapy in patients with comorbidities precluding </w:t>
      </w:r>
      <w:r w:rsidR="00C85AD9" w:rsidRPr="000E2A42">
        <w:t xml:space="preserve">treatment with </w:t>
      </w:r>
      <w:r w:rsidR="000E2A42" w:rsidRPr="000E2A42">
        <w:t>secukinumab</w:t>
      </w:r>
      <w:r w:rsidR="008A7D53" w:rsidRPr="000E2A42">
        <w:t xml:space="preserve"> (e.g. patients with inflammatory bowel disease). </w:t>
      </w:r>
    </w:p>
    <w:p w:rsidR="00D02FB3" w:rsidRPr="0087355E" w:rsidRDefault="00D02FB3" w:rsidP="00B67B6B">
      <w:pPr>
        <w:widowControl/>
        <w:ind w:firstLine="720"/>
        <w:rPr>
          <w:i/>
        </w:rPr>
      </w:pPr>
      <w:r w:rsidRPr="0087355E">
        <w:rPr>
          <w:i/>
        </w:rPr>
        <w:t>For more detail on PBAC’s view, see section 7 PBAC outcome.</w:t>
      </w:r>
    </w:p>
    <w:p w:rsidR="00E55BB5" w:rsidRPr="00882085" w:rsidRDefault="00E55BB5" w:rsidP="00B60939">
      <w:pPr>
        <w:pStyle w:val="Header"/>
      </w:pPr>
    </w:p>
    <w:p w:rsidR="00B50DB8" w:rsidRPr="00407F2D" w:rsidRDefault="00B50DB8" w:rsidP="00F55365">
      <w:pPr>
        <w:pStyle w:val="PBACHeading1"/>
      </w:pPr>
      <w:bookmarkStart w:id="5" w:name="_Toc503190136"/>
      <w:r w:rsidRPr="00407F2D">
        <w:t>Comparator</w:t>
      </w:r>
      <w:bookmarkEnd w:id="5"/>
    </w:p>
    <w:p w:rsidR="00B60939" w:rsidRPr="00882085" w:rsidRDefault="00B60939" w:rsidP="004B1CB4"/>
    <w:p w:rsidR="002F7372" w:rsidRPr="00BE187C" w:rsidRDefault="002F7372" w:rsidP="00444565">
      <w:pPr>
        <w:pStyle w:val="ListParagraph"/>
        <w:widowControl/>
        <w:numPr>
          <w:ilvl w:val="1"/>
          <w:numId w:val="3"/>
        </w:numPr>
      </w:pPr>
      <w:r w:rsidRPr="00BE187C">
        <w:t xml:space="preserve">The submission nominated </w:t>
      </w:r>
      <w:proofErr w:type="spellStart"/>
      <w:r w:rsidR="000E2A42" w:rsidRPr="00BE187C">
        <w:t>certolizumab</w:t>
      </w:r>
      <w:proofErr w:type="spellEnd"/>
      <w:r w:rsidR="000E2A42" w:rsidRPr="00BE187C">
        <w:t>, ustekinumab</w:t>
      </w:r>
      <w:r w:rsidRPr="00BE187C">
        <w:t xml:space="preserve"> and </w:t>
      </w:r>
      <w:r w:rsidR="000E2A42" w:rsidRPr="00BE187C">
        <w:t>secukinumab</w:t>
      </w:r>
      <w:r w:rsidRPr="00BE187C">
        <w:t xml:space="preserve"> as the main comparators.  While any bDMARD listed on the PBS for PsA including etanercept, adalimumab, infliximab</w:t>
      </w:r>
      <w:r w:rsidR="00C7447B" w:rsidRPr="00BE187C">
        <w:t xml:space="preserve"> and</w:t>
      </w:r>
      <w:r w:rsidRPr="00BE187C">
        <w:t xml:space="preserve"> golimumab could be an appropriate comparator, </w:t>
      </w:r>
      <w:r w:rsidR="004240CF" w:rsidRPr="00BE187C">
        <w:t>the nominated comparators</w:t>
      </w:r>
      <w:r w:rsidRPr="00BE187C">
        <w:t xml:space="preserve"> represented </w:t>
      </w:r>
      <w:r w:rsidR="00613ABF" w:rsidRPr="00BE187C">
        <w:t>the</w:t>
      </w:r>
      <w:r w:rsidRPr="00BE187C">
        <w:t xml:space="preserve"> ‘</w:t>
      </w:r>
      <w:r w:rsidR="00C85AD9" w:rsidRPr="00BE187C">
        <w:t>lower</w:t>
      </w:r>
      <w:r w:rsidRPr="00BE187C">
        <w:t xml:space="preserve">-tier’ of alternatives on the PBS.  </w:t>
      </w:r>
    </w:p>
    <w:p w:rsidR="00AE40B8" w:rsidRPr="00BE187C" w:rsidRDefault="00D02FB3" w:rsidP="00B67B6B">
      <w:pPr>
        <w:ind w:firstLine="720"/>
        <w:rPr>
          <w:i/>
        </w:rPr>
      </w:pPr>
      <w:r w:rsidRPr="00BE187C">
        <w:rPr>
          <w:i/>
        </w:rPr>
        <w:t>For more detail on PBAC’s view, see section 7 PBAC outcome.</w:t>
      </w:r>
    </w:p>
    <w:p w:rsidR="00352191" w:rsidRDefault="00352191" w:rsidP="00FB15C3"/>
    <w:p w:rsidR="00B50DB8" w:rsidRPr="00407F2D" w:rsidRDefault="00BD6CF3" w:rsidP="00F55365">
      <w:pPr>
        <w:pStyle w:val="PBACHeading1"/>
      </w:pPr>
      <w:bookmarkStart w:id="6" w:name="_Toc503190137"/>
      <w:r>
        <w:t>C</w:t>
      </w:r>
      <w:r w:rsidR="00B50DB8" w:rsidRPr="00407F2D">
        <w:t>onsideration of the evidence</w:t>
      </w:r>
      <w:bookmarkEnd w:id="6"/>
    </w:p>
    <w:p w:rsidR="00665E7B" w:rsidRPr="00F55365" w:rsidRDefault="00665E7B" w:rsidP="00F55365">
      <w:pPr>
        <w:pStyle w:val="Heading2"/>
      </w:pPr>
      <w:r w:rsidRPr="00F55365">
        <w:t>Sponsor hearing</w:t>
      </w:r>
    </w:p>
    <w:p w:rsidR="00665E7B" w:rsidRDefault="00665E7B" w:rsidP="00F55365">
      <w:pPr>
        <w:pStyle w:val="ListParagraph"/>
        <w:numPr>
          <w:ilvl w:val="1"/>
          <w:numId w:val="3"/>
        </w:numPr>
        <w:spacing w:before="120" w:after="120"/>
        <w:rPr>
          <w:rFonts w:asciiTheme="minorHAnsi" w:hAnsiTheme="minorHAnsi"/>
          <w:bCs/>
          <w:szCs w:val="24"/>
        </w:rPr>
      </w:pPr>
      <w:r w:rsidRPr="00B67B6B">
        <w:rPr>
          <w:rFonts w:asciiTheme="minorHAnsi" w:hAnsiTheme="minorHAnsi"/>
          <w:bCs/>
          <w:szCs w:val="24"/>
        </w:rPr>
        <w:t>The</w:t>
      </w:r>
      <w:r w:rsidR="00B67B6B" w:rsidRPr="00B67B6B">
        <w:rPr>
          <w:rFonts w:asciiTheme="minorHAnsi" w:hAnsiTheme="minorHAnsi"/>
          <w:bCs/>
          <w:szCs w:val="24"/>
        </w:rPr>
        <w:t>re was no hearing for this item</w:t>
      </w:r>
    </w:p>
    <w:p w:rsidR="00B67B6B" w:rsidRPr="00B67B6B" w:rsidRDefault="00B67B6B" w:rsidP="00F55365">
      <w:pPr>
        <w:pStyle w:val="Heading2"/>
      </w:pPr>
      <w:r w:rsidRPr="00B67B6B">
        <w:t>Consumer comments</w:t>
      </w:r>
    </w:p>
    <w:p w:rsidR="00017AFA" w:rsidRPr="00B67B6B" w:rsidRDefault="00B67B6B" w:rsidP="00F55365">
      <w:pPr>
        <w:pStyle w:val="ListParagraph"/>
        <w:numPr>
          <w:ilvl w:val="1"/>
          <w:numId w:val="3"/>
        </w:numPr>
        <w:spacing w:before="120" w:after="120"/>
        <w:rPr>
          <w:rFonts w:asciiTheme="minorHAnsi" w:hAnsiTheme="minorHAnsi"/>
          <w:bCs/>
          <w:szCs w:val="24"/>
        </w:rPr>
      </w:pPr>
      <w:bookmarkStart w:id="7" w:name="_Toc503190138"/>
      <w:r w:rsidRPr="00B67B6B">
        <w:rPr>
          <w:rFonts w:asciiTheme="minorHAnsi" w:hAnsiTheme="minorHAnsi"/>
          <w:bCs/>
          <w:szCs w:val="24"/>
        </w:rPr>
        <w:t xml:space="preserve"> </w:t>
      </w:r>
      <w:r w:rsidR="00017AFA" w:rsidRPr="00B67B6B">
        <w:rPr>
          <w:rFonts w:asciiTheme="minorHAnsi" w:hAnsiTheme="minorHAnsi"/>
          <w:bCs/>
          <w:szCs w:val="24"/>
        </w:rPr>
        <w:t>The PBAC noted and welcomed the input from two organisations, ‘</w:t>
      </w:r>
      <w:proofErr w:type="spellStart"/>
      <w:r w:rsidR="00017AFA" w:rsidRPr="00B67B6B">
        <w:rPr>
          <w:rFonts w:asciiTheme="minorHAnsi" w:hAnsiTheme="minorHAnsi"/>
          <w:bCs/>
          <w:szCs w:val="24"/>
        </w:rPr>
        <w:t>CreakyJoints</w:t>
      </w:r>
      <w:proofErr w:type="spellEnd"/>
      <w:r w:rsidR="00017AFA" w:rsidRPr="00B67B6B">
        <w:rPr>
          <w:rFonts w:asciiTheme="minorHAnsi" w:hAnsiTheme="minorHAnsi"/>
          <w:bCs/>
          <w:szCs w:val="24"/>
        </w:rPr>
        <w:t xml:space="preserve"> Australia’ and ‘Psoriasis Australia’, health Professionals (5), and individuals (11) via the Consumer Comments facility on the PBS website. The comments noted support for the availability of a drug with a new mode of action, for patients who have </w:t>
      </w:r>
      <w:r w:rsidR="00B16066" w:rsidRPr="00B67B6B">
        <w:rPr>
          <w:rFonts w:asciiTheme="minorHAnsi" w:hAnsiTheme="minorHAnsi"/>
          <w:bCs/>
          <w:szCs w:val="24"/>
        </w:rPr>
        <w:t>trialled</w:t>
      </w:r>
      <w:r w:rsidR="00017AFA" w:rsidRPr="00B67B6B">
        <w:rPr>
          <w:rFonts w:asciiTheme="minorHAnsi" w:hAnsiTheme="minorHAnsi"/>
          <w:bCs/>
          <w:szCs w:val="24"/>
        </w:rPr>
        <w:t xml:space="preserve"> and failed other bDMARDs and for patients who are intolerant to the currently available bDMARDs</w:t>
      </w:r>
      <w:r w:rsidR="00B16066" w:rsidRPr="00B67B6B">
        <w:rPr>
          <w:rFonts w:asciiTheme="minorHAnsi" w:hAnsiTheme="minorHAnsi"/>
          <w:bCs/>
          <w:szCs w:val="24"/>
        </w:rPr>
        <w:t>.</w:t>
      </w:r>
      <w:r w:rsidR="00017AFA" w:rsidRPr="00B67B6B">
        <w:rPr>
          <w:rFonts w:asciiTheme="minorHAnsi" w:hAnsiTheme="minorHAnsi"/>
          <w:bCs/>
          <w:szCs w:val="24"/>
        </w:rPr>
        <w:t xml:space="preserve"> </w:t>
      </w:r>
      <w:r w:rsidR="00B16066" w:rsidRPr="00B67B6B">
        <w:rPr>
          <w:rFonts w:asciiTheme="minorHAnsi" w:hAnsiTheme="minorHAnsi"/>
          <w:bCs/>
          <w:szCs w:val="24"/>
        </w:rPr>
        <w:t>T</w:t>
      </w:r>
      <w:r w:rsidR="00017AFA" w:rsidRPr="00B67B6B">
        <w:rPr>
          <w:rFonts w:asciiTheme="minorHAnsi" w:hAnsiTheme="minorHAnsi"/>
          <w:bCs/>
          <w:szCs w:val="24"/>
        </w:rPr>
        <w:t xml:space="preserve">he potential benefits of treatment with </w:t>
      </w:r>
      <w:proofErr w:type="spellStart"/>
      <w:r w:rsidR="00017AFA" w:rsidRPr="00B67B6B">
        <w:rPr>
          <w:rFonts w:asciiTheme="minorHAnsi" w:hAnsiTheme="minorHAnsi"/>
          <w:bCs/>
          <w:szCs w:val="24"/>
        </w:rPr>
        <w:t>abatacept</w:t>
      </w:r>
      <w:proofErr w:type="spellEnd"/>
      <w:r w:rsidR="00B16066" w:rsidRPr="00B67B6B">
        <w:rPr>
          <w:rFonts w:asciiTheme="minorHAnsi" w:hAnsiTheme="minorHAnsi"/>
          <w:bCs/>
          <w:szCs w:val="24"/>
        </w:rPr>
        <w:t xml:space="preserve"> were noted to</w:t>
      </w:r>
      <w:r w:rsidR="00017AFA" w:rsidRPr="00B67B6B">
        <w:rPr>
          <w:rFonts w:asciiTheme="minorHAnsi" w:hAnsiTheme="minorHAnsi"/>
          <w:bCs/>
          <w:szCs w:val="24"/>
        </w:rPr>
        <w:t xml:space="preserve"> includ</w:t>
      </w:r>
      <w:r w:rsidR="00B16066" w:rsidRPr="00B67B6B">
        <w:rPr>
          <w:rFonts w:asciiTheme="minorHAnsi" w:hAnsiTheme="minorHAnsi"/>
          <w:bCs/>
          <w:szCs w:val="24"/>
        </w:rPr>
        <w:t>e</w:t>
      </w:r>
      <w:r w:rsidR="00017AFA" w:rsidRPr="00B67B6B">
        <w:rPr>
          <w:rFonts w:asciiTheme="minorHAnsi" w:hAnsiTheme="minorHAnsi"/>
          <w:bCs/>
          <w:szCs w:val="24"/>
        </w:rPr>
        <w:t xml:space="preserve"> the ability to return to work, fewer side effects an</w:t>
      </w:r>
      <w:r w:rsidRPr="00B67B6B">
        <w:rPr>
          <w:rFonts w:asciiTheme="minorHAnsi" w:hAnsiTheme="minorHAnsi"/>
          <w:bCs/>
          <w:szCs w:val="24"/>
        </w:rPr>
        <w:t>d quality of life improvement.</w:t>
      </w:r>
    </w:p>
    <w:p w:rsidR="00B60939" w:rsidRPr="00B67B6B" w:rsidRDefault="00B60939" w:rsidP="00F55365">
      <w:pPr>
        <w:pStyle w:val="Heading2"/>
      </w:pPr>
      <w:r w:rsidRPr="00B67B6B">
        <w:t>Clinical trials</w:t>
      </w:r>
      <w:bookmarkEnd w:id="7"/>
    </w:p>
    <w:p w:rsidR="00F55365" w:rsidRPr="00DA4FB3" w:rsidRDefault="00A73134" w:rsidP="00DA4FB3">
      <w:pPr>
        <w:pStyle w:val="ListParagraph"/>
        <w:widowControl/>
        <w:numPr>
          <w:ilvl w:val="1"/>
          <w:numId w:val="3"/>
        </w:numPr>
        <w:jc w:val="left"/>
        <w:rPr>
          <w:rFonts w:cs="Calibri"/>
          <w:snapToGrid/>
          <w:szCs w:val="24"/>
          <w:lang w:val="en-US" w:eastAsia="en-AU"/>
        </w:rPr>
      </w:pPr>
      <w:r w:rsidRPr="00DA4FB3">
        <w:rPr>
          <w:rFonts w:cs="Calibri"/>
          <w:snapToGrid/>
          <w:szCs w:val="24"/>
          <w:lang w:val="en-US" w:eastAsia="en-AU"/>
        </w:rPr>
        <w:t xml:space="preserve">The submission is based on </w:t>
      </w:r>
      <w:r w:rsidR="00365ED2" w:rsidRPr="00DA4FB3">
        <w:rPr>
          <w:rFonts w:cs="Calibri"/>
          <w:snapToGrid/>
          <w:szCs w:val="24"/>
          <w:lang w:val="en-US" w:eastAsia="en-AU"/>
        </w:rPr>
        <w:t xml:space="preserve">six placebo-controlled trials comparing </w:t>
      </w:r>
      <w:proofErr w:type="spellStart"/>
      <w:r w:rsidR="006B5817" w:rsidRPr="00DA4FB3">
        <w:rPr>
          <w:rFonts w:cs="Calibri"/>
          <w:snapToGrid/>
          <w:szCs w:val="24"/>
          <w:lang w:val="en-US" w:eastAsia="en-AU"/>
        </w:rPr>
        <w:t>abatacept</w:t>
      </w:r>
      <w:proofErr w:type="spellEnd"/>
      <w:r w:rsidR="00365ED2" w:rsidRPr="00DA4FB3">
        <w:rPr>
          <w:rFonts w:cs="Calibri"/>
          <w:snapToGrid/>
          <w:szCs w:val="24"/>
          <w:lang w:val="en-US" w:eastAsia="en-AU"/>
        </w:rPr>
        <w:t xml:space="preserve"> or one of the nominated comparators (</w:t>
      </w:r>
      <w:proofErr w:type="spellStart"/>
      <w:r w:rsidR="00F56059" w:rsidRPr="00DA4FB3">
        <w:rPr>
          <w:rFonts w:cs="Calibri"/>
          <w:snapToGrid/>
          <w:szCs w:val="24"/>
          <w:lang w:val="en-US" w:eastAsia="en-AU"/>
        </w:rPr>
        <w:t>certolizumab</w:t>
      </w:r>
      <w:proofErr w:type="spellEnd"/>
      <w:r w:rsidR="00F56059" w:rsidRPr="00DA4FB3">
        <w:rPr>
          <w:rFonts w:cs="Calibri"/>
          <w:snapToGrid/>
          <w:szCs w:val="24"/>
          <w:lang w:val="en-US" w:eastAsia="en-AU"/>
        </w:rPr>
        <w:t xml:space="preserve">, </w:t>
      </w:r>
      <w:proofErr w:type="spellStart"/>
      <w:r w:rsidR="00F56059" w:rsidRPr="00DA4FB3">
        <w:rPr>
          <w:rFonts w:cs="Calibri"/>
          <w:snapToGrid/>
          <w:szCs w:val="24"/>
          <w:lang w:val="en-US" w:eastAsia="en-AU"/>
        </w:rPr>
        <w:t>usetekinumab</w:t>
      </w:r>
      <w:proofErr w:type="spellEnd"/>
      <w:r w:rsidR="00F56059" w:rsidRPr="00DA4FB3">
        <w:rPr>
          <w:rFonts w:cs="Calibri"/>
          <w:snapToGrid/>
          <w:szCs w:val="24"/>
          <w:lang w:val="en-US" w:eastAsia="en-AU"/>
        </w:rPr>
        <w:t xml:space="preserve">, </w:t>
      </w:r>
      <w:proofErr w:type="spellStart"/>
      <w:r w:rsidR="00F56059" w:rsidRPr="00DA4FB3">
        <w:rPr>
          <w:rFonts w:cs="Calibri"/>
          <w:snapToGrid/>
          <w:szCs w:val="24"/>
          <w:lang w:val="en-US" w:eastAsia="en-AU"/>
        </w:rPr>
        <w:t>secukinumab</w:t>
      </w:r>
      <w:proofErr w:type="spellEnd"/>
      <w:r w:rsidR="00365ED2" w:rsidRPr="00DA4FB3">
        <w:rPr>
          <w:rFonts w:cs="Calibri"/>
          <w:snapToGrid/>
          <w:szCs w:val="24"/>
          <w:lang w:val="en-US" w:eastAsia="en-AU"/>
        </w:rPr>
        <w:t xml:space="preserve">) to placebo. </w:t>
      </w:r>
      <w:r w:rsidRPr="00DA4FB3">
        <w:rPr>
          <w:rFonts w:cs="Calibri"/>
          <w:snapToGrid/>
          <w:szCs w:val="24"/>
          <w:lang w:val="en-US" w:eastAsia="en-AU"/>
        </w:rPr>
        <w:t>Details of the trials presented in the submission are provided in the table below.</w:t>
      </w:r>
    </w:p>
    <w:p w:rsidR="008E0D3C" w:rsidRPr="00234409" w:rsidRDefault="008E0D3C" w:rsidP="008E0D3C">
      <w:pPr>
        <w:rPr>
          <w:rStyle w:val="CommentReference"/>
        </w:rPr>
      </w:pPr>
      <w:r w:rsidRPr="00234409">
        <w:rPr>
          <w:rStyle w:val="CommentReference"/>
        </w:rPr>
        <w:t>T</w:t>
      </w:r>
      <w:r w:rsidR="00365ED2" w:rsidRPr="00234409">
        <w:rPr>
          <w:rStyle w:val="CommentReference"/>
        </w:rPr>
        <w:t>able 2</w:t>
      </w:r>
      <w:r w:rsidRPr="00234409">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7"/>
        <w:gridCol w:w="5570"/>
        <w:gridCol w:w="2376"/>
      </w:tblGrid>
      <w:tr w:rsidR="00365ED2" w:rsidRPr="00234409" w:rsidTr="00A02014">
        <w:trPr>
          <w:tblHeader/>
        </w:trPr>
        <w:tc>
          <w:tcPr>
            <w:tcW w:w="626" w:type="pct"/>
            <w:vAlign w:val="center"/>
          </w:tcPr>
          <w:p w:rsidR="00365ED2" w:rsidRPr="00234409" w:rsidRDefault="00365ED2" w:rsidP="00A02014">
            <w:pPr>
              <w:pStyle w:val="Tabletext"/>
              <w:rPr>
                <w:b/>
              </w:rPr>
            </w:pPr>
            <w:r w:rsidRPr="00234409">
              <w:rPr>
                <w:b/>
              </w:rPr>
              <w:t>Trial ID</w:t>
            </w:r>
          </w:p>
        </w:tc>
        <w:tc>
          <w:tcPr>
            <w:tcW w:w="3066" w:type="pct"/>
            <w:vAlign w:val="center"/>
          </w:tcPr>
          <w:p w:rsidR="00365ED2" w:rsidRPr="00234409" w:rsidRDefault="00365ED2" w:rsidP="00A02014">
            <w:pPr>
              <w:pStyle w:val="Tabletext"/>
              <w:jc w:val="center"/>
              <w:rPr>
                <w:b/>
              </w:rPr>
            </w:pPr>
            <w:r w:rsidRPr="00234409">
              <w:rPr>
                <w:b/>
              </w:rPr>
              <w:t>Protocol title/ Publication title</w:t>
            </w:r>
          </w:p>
        </w:tc>
        <w:tc>
          <w:tcPr>
            <w:tcW w:w="1308" w:type="pct"/>
            <w:vAlign w:val="center"/>
          </w:tcPr>
          <w:p w:rsidR="00365ED2" w:rsidRPr="00234409" w:rsidRDefault="00365ED2" w:rsidP="00A02014">
            <w:pPr>
              <w:pStyle w:val="Tabletext"/>
              <w:jc w:val="center"/>
              <w:rPr>
                <w:b/>
              </w:rPr>
            </w:pPr>
            <w:r w:rsidRPr="00234409">
              <w:rPr>
                <w:b/>
              </w:rPr>
              <w:t>Publication citation</w:t>
            </w:r>
          </w:p>
        </w:tc>
      </w:tr>
      <w:tr w:rsidR="00365ED2" w:rsidRPr="00234409" w:rsidTr="00A02014">
        <w:tc>
          <w:tcPr>
            <w:tcW w:w="5000" w:type="pct"/>
            <w:gridSpan w:val="3"/>
            <w:vAlign w:val="center"/>
          </w:tcPr>
          <w:p w:rsidR="00365ED2" w:rsidRPr="00234409" w:rsidRDefault="00365ED2" w:rsidP="00A02014">
            <w:pPr>
              <w:pStyle w:val="Tabletext"/>
              <w:rPr>
                <w:b/>
                <w:bCs/>
                <w:szCs w:val="18"/>
              </w:rPr>
            </w:pPr>
            <w:proofErr w:type="spellStart"/>
            <w:r w:rsidRPr="00234409">
              <w:rPr>
                <w:b/>
                <w:bCs/>
                <w:szCs w:val="18"/>
              </w:rPr>
              <w:t>Abatacept</w:t>
            </w:r>
            <w:proofErr w:type="spellEnd"/>
            <w:r w:rsidRPr="00234409">
              <w:rPr>
                <w:b/>
                <w:bCs/>
                <w:szCs w:val="18"/>
              </w:rPr>
              <w:t xml:space="preserve"> versus placebo</w:t>
            </w:r>
          </w:p>
        </w:tc>
      </w:tr>
      <w:tr w:rsidR="00365ED2" w:rsidRPr="00234409" w:rsidTr="00A02014">
        <w:tc>
          <w:tcPr>
            <w:tcW w:w="626" w:type="pct"/>
            <w:vMerge w:val="restart"/>
            <w:vAlign w:val="center"/>
          </w:tcPr>
          <w:p w:rsidR="00365ED2" w:rsidRPr="00234409" w:rsidRDefault="00365ED2" w:rsidP="00A02014">
            <w:pPr>
              <w:pStyle w:val="Tabletext"/>
              <w:rPr>
                <w:rFonts w:ascii="Times" w:hAnsi="Times"/>
              </w:rPr>
            </w:pPr>
            <w:proofErr w:type="spellStart"/>
            <w:r w:rsidRPr="00234409">
              <w:t>Mease</w:t>
            </w:r>
            <w:proofErr w:type="spellEnd"/>
            <w:r w:rsidRPr="00234409">
              <w:t xml:space="preserve"> 2011</w:t>
            </w:r>
          </w:p>
        </w:tc>
        <w:tc>
          <w:tcPr>
            <w:tcW w:w="3066" w:type="pct"/>
            <w:tcBorders>
              <w:bottom w:val="nil"/>
            </w:tcBorders>
            <w:vAlign w:val="center"/>
          </w:tcPr>
          <w:p w:rsidR="00365ED2" w:rsidRPr="00234409" w:rsidRDefault="00365ED2" w:rsidP="00A02014">
            <w:pPr>
              <w:pStyle w:val="Tabletext"/>
              <w:rPr>
                <w:szCs w:val="18"/>
              </w:rPr>
            </w:pPr>
            <w:r w:rsidRPr="00234409">
              <w:rPr>
                <w:szCs w:val="18"/>
              </w:rPr>
              <w:t>A Phase IIB, Multi-Dose, Multi-</w:t>
            </w:r>
            <w:r w:rsidR="00844FD4" w:rsidRPr="00234409">
              <w:rPr>
                <w:szCs w:val="18"/>
              </w:rPr>
              <w:t>Centre</w:t>
            </w:r>
            <w:r w:rsidRPr="00234409">
              <w:rPr>
                <w:szCs w:val="18"/>
              </w:rPr>
              <w:t xml:space="preserve">, Randomized, Double-Blind, Placebo-Controlled Study to Evaluate the Efficacy and Safety of </w:t>
            </w:r>
            <w:proofErr w:type="spellStart"/>
            <w:r w:rsidRPr="00234409">
              <w:rPr>
                <w:szCs w:val="18"/>
              </w:rPr>
              <w:t>Abatacept</w:t>
            </w:r>
            <w:proofErr w:type="spellEnd"/>
            <w:r w:rsidRPr="00234409">
              <w:rPr>
                <w:szCs w:val="18"/>
              </w:rPr>
              <w:t xml:space="preserve"> Versus Placebo in the Treatment of Psoriatic Arthritis</w:t>
            </w:r>
          </w:p>
        </w:tc>
        <w:tc>
          <w:tcPr>
            <w:tcW w:w="1308" w:type="pct"/>
            <w:tcBorders>
              <w:bottom w:val="nil"/>
            </w:tcBorders>
            <w:vAlign w:val="center"/>
          </w:tcPr>
          <w:p w:rsidR="00365ED2" w:rsidRPr="00234409" w:rsidRDefault="00365ED2" w:rsidP="00A02014">
            <w:pPr>
              <w:pStyle w:val="Tabletext"/>
              <w:rPr>
                <w:rFonts w:ascii="Times" w:hAnsi="Times"/>
              </w:rPr>
            </w:pPr>
            <w:r w:rsidRPr="00234409">
              <w:rPr>
                <w:szCs w:val="18"/>
              </w:rPr>
              <w:t>Final Clinical Study Report for Study IM101158 (6-month). November 2009.</w:t>
            </w:r>
          </w:p>
        </w:tc>
      </w:tr>
      <w:tr w:rsidR="00365ED2" w:rsidRPr="00234409" w:rsidTr="00A02014">
        <w:trPr>
          <w:trHeight w:val="698"/>
        </w:trPr>
        <w:tc>
          <w:tcPr>
            <w:tcW w:w="626" w:type="pct"/>
            <w:vMerge/>
            <w:tcBorders>
              <w:bottom w:val="nil"/>
            </w:tcBorders>
            <w:vAlign w:val="center"/>
          </w:tcPr>
          <w:p w:rsidR="00365ED2" w:rsidRPr="00234409" w:rsidRDefault="00365ED2" w:rsidP="00A02014">
            <w:pPr>
              <w:pStyle w:val="Tabletext"/>
            </w:pPr>
          </w:p>
        </w:tc>
        <w:tc>
          <w:tcPr>
            <w:tcW w:w="3066" w:type="pct"/>
            <w:tcBorders>
              <w:top w:val="nil"/>
              <w:bottom w:val="nil"/>
            </w:tcBorders>
            <w:vAlign w:val="center"/>
          </w:tcPr>
          <w:p w:rsidR="00365ED2" w:rsidRPr="00234409" w:rsidRDefault="00365ED2" w:rsidP="00A02014">
            <w:pPr>
              <w:pStyle w:val="Tabletext"/>
              <w:rPr>
                <w:szCs w:val="18"/>
                <w:lang w:eastAsia="en-AU"/>
              </w:rPr>
            </w:pPr>
            <w:proofErr w:type="spellStart"/>
            <w:r w:rsidRPr="00234409">
              <w:rPr>
                <w:szCs w:val="18"/>
                <w:lang w:eastAsia="en-AU"/>
              </w:rPr>
              <w:t>Mease</w:t>
            </w:r>
            <w:proofErr w:type="spellEnd"/>
            <w:r w:rsidRPr="00234409">
              <w:rPr>
                <w:szCs w:val="18"/>
                <w:lang w:eastAsia="en-AU"/>
              </w:rPr>
              <w:t xml:space="preserve"> P, Genovese MC, </w:t>
            </w:r>
            <w:proofErr w:type="spellStart"/>
            <w:r w:rsidRPr="00234409">
              <w:rPr>
                <w:szCs w:val="18"/>
                <w:lang w:eastAsia="en-AU"/>
              </w:rPr>
              <w:t>Gladstein</w:t>
            </w:r>
            <w:proofErr w:type="spellEnd"/>
            <w:r w:rsidRPr="00234409">
              <w:rPr>
                <w:szCs w:val="18"/>
                <w:lang w:eastAsia="en-AU"/>
              </w:rPr>
              <w:t xml:space="preserve"> G, et al. </w:t>
            </w:r>
            <w:proofErr w:type="spellStart"/>
            <w:r w:rsidRPr="00234409">
              <w:rPr>
                <w:szCs w:val="18"/>
                <w:lang w:eastAsia="en-AU"/>
              </w:rPr>
              <w:t>Abatacept</w:t>
            </w:r>
            <w:proofErr w:type="spellEnd"/>
            <w:r w:rsidRPr="00234409">
              <w:rPr>
                <w:szCs w:val="18"/>
                <w:lang w:eastAsia="en-AU"/>
              </w:rPr>
              <w:t xml:space="preserve"> in the treatment of patients with psoriatic arthritis: Results of a six-month, </w:t>
            </w:r>
            <w:r w:rsidR="00844FD4" w:rsidRPr="00234409">
              <w:rPr>
                <w:szCs w:val="18"/>
                <w:lang w:eastAsia="en-AU"/>
              </w:rPr>
              <w:t>multicentre</w:t>
            </w:r>
            <w:r w:rsidRPr="00234409">
              <w:rPr>
                <w:szCs w:val="18"/>
                <w:lang w:eastAsia="en-AU"/>
              </w:rPr>
              <w:t xml:space="preserve">, randomized, double-blind, placebo-controlled, phase II trial. </w:t>
            </w:r>
          </w:p>
        </w:tc>
        <w:tc>
          <w:tcPr>
            <w:tcW w:w="1308" w:type="pct"/>
            <w:tcBorders>
              <w:top w:val="nil"/>
              <w:bottom w:val="nil"/>
            </w:tcBorders>
            <w:vAlign w:val="center"/>
          </w:tcPr>
          <w:p w:rsidR="00365ED2" w:rsidRPr="00234409" w:rsidRDefault="00365ED2" w:rsidP="00A02014">
            <w:pPr>
              <w:pStyle w:val="Tabletext"/>
              <w:rPr>
                <w:szCs w:val="18"/>
                <w:lang w:eastAsia="en-AU"/>
              </w:rPr>
            </w:pPr>
            <w:r w:rsidRPr="00234409">
              <w:rPr>
                <w:iCs/>
                <w:szCs w:val="18"/>
                <w:lang w:eastAsia="en-AU"/>
              </w:rPr>
              <w:t>Arthritis and Rheumatism</w:t>
            </w:r>
            <w:r w:rsidRPr="00234409">
              <w:rPr>
                <w:szCs w:val="18"/>
                <w:lang w:eastAsia="en-AU"/>
              </w:rPr>
              <w:t>. 2011; 63(4):939-48.</w:t>
            </w:r>
          </w:p>
        </w:tc>
      </w:tr>
      <w:tr w:rsidR="00365ED2" w:rsidRPr="00234409" w:rsidTr="00A02014">
        <w:tc>
          <w:tcPr>
            <w:tcW w:w="626" w:type="pct"/>
            <w:vMerge w:val="restart"/>
            <w:vAlign w:val="center"/>
          </w:tcPr>
          <w:p w:rsidR="00365ED2" w:rsidRPr="00234409" w:rsidRDefault="00365ED2" w:rsidP="00A02014">
            <w:pPr>
              <w:pStyle w:val="Tabletext"/>
              <w:rPr>
                <w:rFonts w:ascii="Times" w:hAnsi="Times"/>
              </w:rPr>
            </w:pPr>
            <w:proofErr w:type="spellStart"/>
            <w:r w:rsidRPr="00234409">
              <w:t>Mease</w:t>
            </w:r>
            <w:proofErr w:type="spellEnd"/>
            <w:r w:rsidRPr="00234409">
              <w:t xml:space="preserve"> 2017 (ASTRAEA)</w:t>
            </w:r>
          </w:p>
        </w:tc>
        <w:tc>
          <w:tcPr>
            <w:tcW w:w="3066" w:type="pct"/>
            <w:tcBorders>
              <w:bottom w:val="nil"/>
            </w:tcBorders>
            <w:vAlign w:val="center"/>
          </w:tcPr>
          <w:p w:rsidR="00365ED2" w:rsidRPr="00234409" w:rsidRDefault="00365ED2" w:rsidP="00A02014">
            <w:pPr>
              <w:pStyle w:val="Tabletext"/>
              <w:rPr>
                <w:szCs w:val="18"/>
              </w:rPr>
            </w:pPr>
            <w:r w:rsidRPr="00234409">
              <w:rPr>
                <w:szCs w:val="18"/>
              </w:rPr>
              <w:t xml:space="preserve">A Phase 3 Randomised Placebo Controlled Study to Evaluate the Efficacy and Safety of </w:t>
            </w:r>
            <w:proofErr w:type="spellStart"/>
            <w:r w:rsidRPr="00234409">
              <w:rPr>
                <w:szCs w:val="18"/>
              </w:rPr>
              <w:t>Abatacept</w:t>
            </w:r>
            <w:proofErr w:type="spellEnd"/>
            <w:r w:rsidRPr="00234409">
              <w:rPr>
                <w:szCs w:val="18"/>
              </w:rPr>
              <w:t xml:space="preserve"> </w:t>
            </w:r>
            <w:r w:rsidR="00844FD4" w:rsidRPr="00234409">
              <w:rPr>
                <w:szCs w:val="18"/>
              </w:rPr>
              <w:t>Subcutaneous</w:t>
            </w:r>
            <w:r w:rsidRPr="00234409">
              <w:rPr>
                <w:szCs w:val="18"/>
              </w:rPr>
              <w:t xml:space="preserve"> Injection in Adults with Active Psoriatic Arthritis.</w:t>
            </w:r>
          </w:p>
        </w:tc>
        <w:tc>
          <w:tcPr>
            <w:tcW w:w="1308" w:type="pct"/>
            <w:tcBorders>
              <w:bottom w:val="nil"/>
            </w:tcBorders>
            <w:vAlign w:val="center"/>
          </w:tcPr>
          <w:p w:rsidR="00365ED2" w:rsidRPr="00234409" w:rsidRDefault="00365ED2" w:rsidP="00A02014">
            <w:pPr>
              <w:pStyle w:val="Tabletext"/>
            </w:pPr>
            <w:r w:rsidRPr="00234409">
              <w:t>Final Clinical Study Report for Study IM101-332. August 2016</w:t>
            </w:r>
          </w:p>
        </w:tc>
      </w:tr>
      <w:tr w:rsidR="00365ED2" w:rsidRPr="00234409" w:rsidTr="00A02014">
        <w:trPr>
          <w:trHeight w:val="918"/>
        </w:trPr>
        <w:tc>
          <w:tcPr>
            <w:tcW w:w="626" w:type="pct"/>
            <w:vMerge/>
            <w:tcBorders>
              <w:bottom w:val="single" w:sz="4" w:space="0" w:color="auto"/>
            </w:tcBorders>
            <w:vAlign w:val="center"/>
          </w:tcPr>
          <w:p w:rsidR="00365ED2" w:rsidRPr="00234409" w:rsidRDefault="00365ED2" w:rsidP="00A02014">
            <w:pPr>
              <w:pStyle w:val="Tabletext"/>
            </w:pPr>
          </w:p>
        </w:tc>
        <w:tc>
          <w:tcPr>
            <w:tcW w:w="3066" w:type="pct"/>
            <w:tcBorders>
              <w:top w:val="nil"/>
              <w:bottom w:val="single" w:sz="4" w:space="0" w:color="auto"/>
            </w:tcBorders>
            <w:vAlign w:val="center"/>
          </w:tcPr>
          <w:p w:rsidR="00365ED2" w:rsidRPr="00234409" w:rsidRDefault="00365ED2" w:rsidP="00A02014">
            <w:pPr>
              <w:pStyle w:val="Tabletext"/>
              <w:rPr>
                <w:szCs w:val="18"/>
              </w:rPr>
            </w:pPr>
            <w:r w:rsidRPr="00234409">
              <w:rPr>
                <w:szCs w:val="18"/>
                <w:lang w:val="de-DE"/>
              </w:rPr>
              <w:t xml:space="preserve">Mease PJ, Gottlieb AB, van der Heijde D, et al. </w:t>
            </w:r>
            <w:r w:rsidRPr="00234409">
              <w:rPr>
                <w:szCs w:val="18"/>
              </w:rPr>
              <w:t xml:space="preserve">Efficacy and safety of </w:t>
            </w:r>
            <w:proofErr w:type="spellStart"/>
            <w:r w:rsidRPr="00234409">
              <w:rPr>
                <w:szCs w:val="18"/>
              </w:rPr>
              <w:t>abatacept</w:t>
            </w:r>
            <w:proofErr w:type="spellEnd"/>
            <w:r w:rsidRPr="00234409">
              <w:rPr>
                <w:szCs w:val="18"/>
              </w:rPr>
              <w:t xml:space="preserve">, a T-cell modulator, in a randomised, double-blind, placebo-controlled, phase III study in psoriatic arthritis. </w:t>
            </w:r>
          </w:p>
        </w:tc>
        <w:tc>
          <w:tcPr>
            <w:tcW w:w="1308" w:type="pct"/>
            <w:tcBorders>
              <w:top w:val="nil"/>
              <w:bottom w:val="single" w:sz="4" w:space="0" w:color="auto"/>
            </w:tcBorders>
            <w:vAlign w:val="center"/>
          </w:tcPr>
          <w:p w:rsidR="00365ED2" w:rsidRPr="00234409" w:rsidRDefault="00365ED2" w:rsidP="00A02014">
            <w:pPr>
              <w:pStyle w:val="Tabletext"/>
            </w:pPr>
            <w:r w:rsidRPr="00234409">
              <w:rPr>
                <w:iCs/>
                <w:szCs w:val="18"/>
              </w:rPr>
              <w:t>Annals of the rheumatic diseases</w:t>
            </w:r>
            <w:r w:rsidRPr="00234409">
              <w:rPr>
                <w:szCs w:val="18"/>
              </w:rPr>
              <w:t>. 2017; 76(9):1550-8.</w:t>
            </w:r>
          </w:p>
        </w:tc>
      </w:tr>
      <w:tr w:rsidR="00365ED2" w:rsidRPr="00234409" w:rsidTr="00A02014">
        <w:tc>
          <w:tcPr>
            <w:tcW w:w="5000" w:type="pct"/>
            <w:gridSpan w:val="3"/>
            <w:tcBorders>
              <w:bottom w:val="single" w:sz="4" w:space="0" w:color="auto"/>
            </w:tcBorders>
            <w:vAlign w:val="center"/>
          </w:tcPr>
          <w:p w:rsidR="00365ED2" w:rsidRPr="00234409" w:rsidRDefault="00365ED2" w:rsidP="00A02014">
            <w:pPr>
              <w:pStyle w:val="Tabletext"/>
              <w:rPr>
                <w:b/>
                <w:bCs/>
              </w:rPr>
            </w:pPr>
            <w:proofErr w:type="spellStart"/>
            <w:r w:rsidRPr="00234409">
              <w:rPr>
                <w:b/>
                <w:bCs/>
              </w:rPr>
              <w:t>Certolizumab</w:t>
            </w:r>
            <w:proofErr w:type="spellEnd"/>
            <w:r w:rsidRPr="00234409">
              <w:rPr>
                <w:b/>
                <w:bCs/>
              </w:rPr>
              <w:t xml:space="preserve"> versus placebo</w:t>
            </w:r>
          </w:p>
        </w:tc>
      </w:tr>
      <w:tr w:rsidR="00365ED2" w:rsidRPr="00234409" w:rsidTr="00A02014">
        <w:tc>
          <w:tcPr>
            <w:tcW w:w="626" w:type="pct"/>
            <w:tcBorders>
              <w:top w:val="single" w:sz="4" w:space="0" w:color="auto"/>
              <w:bottom w:val="single" w:sz="4" w:space="0" w:color="auto"/>
            </w:tcBorders>
            <w:vAlign w:val="center"/>
          </w:tcPr>
          <w:p w:rsidR="00365ED2" w:rsidRPr="00234409" w:rsidRDefault="00365ED2" w:rsidP="00A02014">
            <w:pPr>
              <w:pStyle w:val="Tabletext"/>
            </w:pPr>
            <w:r w:rsidRPr="00234409">
              <w:t>RAPID-PsA</w:t>
            </w:r>
          </w:p>
        </w:tc>
        <w:tc>
          <w:tcPr>
            <w:tcW w:w="3066" w:type="pct"/>
            <w:tcBorders>
              <w:top w:val="single" w:sz="4" w:space="0" w:color="auto"/>
              <w:bottom w:val="single" w:sz="4" w:space="0" w:color="auto"/>
            </w:tcBorders>
            <w:vAlign w:val="center"/>
          </w:tcPr>
          <w:p w:rsidR="00365ED2" w:rsidRPr="00234409" w:rsidRDefault="00365ED2" w:rsidP="00A02014">
            <w:pPr>
              <w:pStyle w:val="Tabletext"/>
            </w:pPr>
            <w:proofErr w:type="spellStart"/>
            <w:r w:rsidRPr="00234409">
              <w:t>Mease</w:t>
            </w:r>
            <w:proofErr w:type="spellEnd"/>
            <w:r w:rsidRPr="00234409">
              <w:t xml:space="preserve"> PJ, Fleischmann R, </w:t>
            </w:r>
            <w:proofErr w:type="spellStart"/>
            <w:r w:rsidRPr="00234409">
              <w:t>Deodhar</w:t>
            </w:r>
            <w:proofErr w:type="spellEnd"/>
            <w:r w:rsidRPr="00234409">
              <w:t xml:space="preserve"> AA, </w:t>
            </w:r>
            <w:proofErr w:type="spellStart"/>
            <w:r w:rsidRPr="00234409">
              <w:t>Wollenhaupt</w:t>
            </w:r>
            <w:proofErr w:type="spellEnd"/>
            <w:r w:rsidRPr="00234409">
              <w:t xml:space="preserve"> J, </w:t>
            </w:r>
            <w:proofErr w:type="spellStart"/>
            <w:r w:rsidRPr="00234409">
              <w:t>Khraishi</w:t>
            </w:r>
            <w:proofErr w:type="spellEnd"/>
            <w:r w:rsidRPr="00234409">
              <w:t xml:space="preserve"> M, </w:t>
            </w:r>
            <w:proofErr w:type="spellStart"/>
            <w:r w:rsidRPr="00234409">
              <w:t>Kielar</w:t>
            </w:r>
            <w:proofErr w:type="spellEnd"/>
            <w:r w:rsidRPr="00234409">
              <w:t xml:space="preserve"> D, et al. Effect of </w:t>
            </w:r>
            <w:proofErr w:type="spellStart"/>
            <w:r w:rsidRPr="00234409">
              <w:t>certolizumab</w:t>
            </w:r>
            <w:proofErr w:type="spellEnd"/>
            <w:r w:rsidRPr="00234409">
              <w:t xml:space="preserve"> </w:t>
            </w:r>
            <w:proofErr w:type="spellStart"/>
            <w:r w:rsidRPr="00234409">
              <w:t>pegol</w:t>
            </w:r>
            <w:proofErr w:type="spellEnd"/>
            <w:r w:rsidRPr="00234409">
              <w:t xml:space="preserve"> on signs and symptoms in patients with psoriatic arthritis: 24-week results of a Phase 3 double-blind randomised placebo-controlled study (RAPID-PsA). </w:t>
            </w:r>
          </w:p>
        </w:tc>
        <w:tc>
          <w:tcPr>
            <w:tcW w:w="1308" w:type="pct"/>
            <w:tcBorders>
              <w:top w:val="single" w:sz="4" w:space="0" w:color="auto"/>
              <w:bottom w:val="single" w:sz="4" w:space="0" w:color="auto"/>
            </w:tcBorders>
            <w:vAlign w:val="center"/>
          </w:tcPr>
          <w:p w:rsidR="00365ED2" w:rsidRPr="00234409" w:rsidRDefault="00365ED2" w:rsidP="00A02014">
            <w:pPr>
              <w:pStyle w:val="Tabletext"/>
            </w:pPr>
            <w:r w:rsidRPr="00234409">
              <w:rPr>
                <w:iCs/>
              </w:rPr>
              <w:t>Annals of the Rheumatic Diseases</w:t>
            </w:r>
            <w:r w:rsidRPr="00234409">
              <w:t>. 2014</w:t>
            </w:r>
            <w:proofErr w:type="gramStart"/>
            <w:r w:rsidRPr="00234409">
              <w:t>;73</w:t>
            </w:r>
            <w:proofErr w:type="gramEnd"/>
            <w:r w:rsidRPr="00234409">
              <w:t>(1):48-55.</w:t>
            </w:r>
          </w:p>
        </w:tc>
      </w:tr>
      <w:tr w:rsidR="00365ED2" w:rsidRPr="00234409" w:rsidTr="00A02014">
        <w:tc>
          <w:tcPr>
            <w:tcW w:w="5000" w:type="pct"/>
            <w:gridSpan w:val="3"/>
            <w:tcBorders>
              <w:top w:val="single" w:sz="4" w:space="0" w:color="auto"/>
              <w:bottom w:val="single" w:sz="4" w:space="0" w:color="auto"/>
            </w:tcBorders>
            <w:vAlign w:val="center"/>
          </w:tcPr>
          <w:p w:rsidR="00365ED2" w:rsidRPr="00234409" w:rsidRDefault="00365ED2" w:rsidP="00A02014">
            <w:pPr>
              <w:pStyle w:val="Tabletext"/>
              <w:rPr>
                <w:b/>
                <w:bCs/>
              </w:rPr>
            </w:pPr>
            <w:r w:rsidRPr="00234409">
              <w:rPr>
                <w:b/>
                <w:bCs/>
              </w:rPr>
              <w:t>Ustekinumab versus placebo</w:t>
            </w:r>
          </w:p>
        </w:tc>
      </w:tr>
      <w:tr w:rsidR="00365ED2" w:rsidRPr="00234409" w:rsidTr="00A02014">
        <w:tc>
          <w:tcPr>
            <w:tcW w:w="626" w:type="pct"/>
            <w:tcBorders>
              <w:top w:val="single" w:sz="4" w:space="0" w:color="auto"/>
              <w:bottom w:val="single" w:sz="4" w:space="0" w:color="auto"/>
            </w:tcBorders>
            <w:vAlign w:val="center"/>
          </w:tcPr>
          <w:p w:rsidR="00365ED2" w:rsidRPr="00234409" w:rsidRDefault="00365ED2" w:rsidP="00A02014">
            <w:pPr>
              <w:pStyle w:val="Tabletext"/>
            </w:pPr>
            <w:r w:rsidRPr="00234409">
              <w:t>PSUMMIT 1</w:t>
            </w:r>
          </w:p>
        </w:tc>
        <w:tc>
          <w:tcPr>
            <w:tcW w:w="3066" w:type="pct"/>
            <w:tcBorders>
              <w:top w:val="single" w:sz="4" w:space="0" w:color="auto"/>
              <w:bottom w:val="single" w:sz="4" w:space="0" w:color="auto"/>
            </w:tcBorders>
            <w:vAlign w:val="center"/>
          </w:tcPr>
          <w:p w:rsidR="00365ED2" w:rsidRPr="00234409" w:rsidRDefault="00365ED2" w:rsidP="00A02014">
            <w:pPr>
              <w:pStyle w:val="Tabletext"/>
            </w:pPr>
            <w:proofErr w:type="spellStart"/>
            <w:r w:rsidRPr="00234409">
              <w:t>McInnes</w:t>
            </w:r>
            <w:proofErr w:type="spellEnd"/>
            <w:r w:rsidRPr="00234409">
              <w:t xml:space="preserve"> IB, </w:t>
            </w:r>
            <w:proofErr w:type="spellStart"/>
            <w:r w:rsidRPr="00234409">
              <w:t>Kavanaugh</w:t>
            </w:r>
            <w:proofErr w:type="spellEnd"/>
            <w:r w:rsidRPr="00234409">
              <w:t xml:space="preserve"> A, Gottlieb AB, </w:t>
            </w:r>
            <w:proofErr w:type="spellStart"/>
            <w:r w:rsidRPr="00234409">
              <w:t>Puig</w:t>
            </w:r>
            <w:proofErr w:type="spellEnd"/>
            <w:r w:rsidRPr="00234409">
              <w:t xml:space="preserve"> L, Rahman P, </w:t>
            </w:r>
            <w:proofErr w:type="spellStart"/>
            <w:r w:rsidRPr="00234409">
              <w:t>Ritchlin</w:t>
            </w:r>
            <w:proofErr w:type="spellEnd"/>
            <w:r w:rsidRPr="00234409">
              <w:t xml:space="preserve"> C, et al. Efficacy and safety of ustekinumab in patients with active psoriatic arthritis: 1 year results of the phase 3, multicentre, double-blind, placebo-controlled PSUMMIT 1 trial. </w:t>
            </w:r>
          </w:p>
        </w:tc>
        <w:tc>
          <w:tcPr>
            <w:tcW w:w="1308" w:type="pct"/>
            <w:tcBorders>
              <w:top w:val="single" w:sz="4" w:space="0" w:color="auto"/>
              <w:bottom w:val="single" w:sz="4" w:space="0" w:color="auto"/>
            </w:tcBorders>
            <w:vAlign w:val="center"/>
          </w:tcPr>
          <w:p w:rsidR="00365ED2" w:rsidRPr="00234409" w:rsidRDefault="00365ED2" w:rsidP="00A02014">
            <w:pPr>
              <w:pStyle w:val="Tabletext"/>
            </w:pPr>
            <w:r w:rsidRPr="00234409">
              <w:rPr>
                <w:iCs/>
              </w:rPr>
              <w:t>The Lancet.</w:t>
            </w:r>
            <w:r w:rsidRPr="00234409">
              <w:t xml:space="preserve"> 2013</w:t>
            </w:r>
            <w:proofErr w:type="gramStart"/>
            <w:r w:rsidRPr="00234409">
              <w:t>;382</w:t>
            </w:r>
            <w:proofErr w:type="gramEnd"/>
            <w:r w:rsidRPr="00234409">
              <w:t>(9894):780-9.</w:t>
            </w:r>
          </w:p>
        </w:tc>
      </w:tr>
      <w:tr w:rsidR="00365ED2" w:rsidRPr="00234409" w:rsidTr="00A02014">
        <w:tc>
          <w:tcPr>
            <w:tcW w:w="626" w:type="pct"/>
            <w:tcBorders>
              <w:top w:val="single" w:sz="4" w:space="0" w:color="auto"/>
              <w:bottom w:val="single" w:sz="4" w:space="0" w:color="auto"/>
            </w:tcBorders>
            <w:vAlign w:val="center"/>
          </w:tcPr>
          <w:p w:rsidR="00365ED2" w:rsidRPr="00234409" w:rsidRDefault="00365ED2" w:rsidP="00A02014">
            <w:pPr>
              <w:pStyle w:val="Tabletext"/>
            </w:pPr>
            <w:r w:rsidRPr="00234409">
              <w:t>PSUMMIT 2</w:t>
            </w:r>
          </w:p>
        </w:tc>
        <w:tc>
          <w:tcPr>
            <w:tcW w:w="3066" w:type="pct"/>
            <w:tcBorders>
              <w:top w:val="single" w:sz="4" w:space="0" w:color="auto"/>
              <w:bottom w:val="single" w:sz="4" w:space="0" w:color="auto"/>
            </w:tcBorders>
            <w:vAlign w:val="center"/>
          </w:tcPr>
          <w:p w:rsidR="00365ED2" w:rsidRPr="00234409" w:rsidRDefault="00365ED2" w:rsidP="00A02014">
            <w:pPr>
              <w:pStyle w:val="Tabletext"/>
            </w:pPr>
            <w:proofErr w:type="spellStart"/>
            <w:r w:rsidRPr="00234409">
              <w:t>Ritchlin</w:t>
            </w:r>
            <w:proofErr w:type="spellEnd"/>
            <w:r w:rsidRPr="00234409">
              <w:t xml:space="preserve"> C, Rahman P, </w:t>
            </w:r>
            <w:proofErr w:type="spellStart"/>
            <w:r w:rsidRPr="00234409">
              <w:t>Kavanaugh</w:t>
            </w:r>
            <w:proofErr w:type="spellEnd"/>
            <w:r w:rsidRPr="00234409">
              <w:t xml:space="preserve"> A, </w:t>
            </w:r>
            <w:proofErr w:type="spellStart"/>
            <w:r w:rsidRPr="00234409">
              <w:t>McInnes</w:t>
            </w:r>
            <w:proofErr w:type="spellEnd"/>
            <w:r w:rsidRPr="00234409">
              <w:t xml:space="preserve"> IB, </w:t>
            </w:r>
            <w:proofErr w:type="spellStart"/>
            <w:r w:rsidRPr="00234409">
              <w:t>Puig</w:t>
            </w:r>
            <w:proofErr w:type="spellEnd"/>
            <w:r w:rsidRPr="00234409">
              <w:t xml:space="preserve"> L, Li S, et al. Efficacy and safety of the anti-IL-12/23 p40 monoclonal antibody, ustekinumab, in patients with active psoriatic arthritis despite conventional non-biological and biological anti-tumour necrosis factor therapy: 6-month and 1-year results of the phase 3, multicentre, double-blind, placebo controlled, randomised PSUMMIT 2 trial. </w:t>
            </w:r>
          </w:p>
        </w:tc>
        <w:tc>
          <w:tcPr>
            <w:tcW w:w="1308" w:type="pct"/>
            <w:tcBorders>
              <w:top w:val="single" w:sz="4" w:space="0" w:color="auto"/>
              <w:bottom w:val="single" w:sz="4" w:space="0" w:color="auto"/>
            </w:tcBorders>
            <w:vAlign w:val="center"/>
          </w:tcPr>
          <w:p w:rsidR="00365ED2" w:rsidRPr="00234409" w:rsidRDefault="00365ED2" w:rsidP="00A02014">
            <w:pPr>
              <w:pStyle w:val="Tabletext"/>
            </w:pPr>
            <w:r w:rsidRPr="00234409">
              <w:rPr>
                <w:iCs/>
              </w:rPr>
              <w:t>Annals of the Rheumatic Diseases.</w:t>
            </w:r>
            <w:r w:rsidRPr="00234409">
              <w:t xml:space="preserve"> 2014</w:t>
            </w:r>
            <w:proofErr w:type="gramStart"/>
            <w:r w:rsidRPr="00234409">
              <w:t>;73</w:t>
            </w:r>
            <w:proofErr w:type="gramEnd"/>
            <w:r w:rsidRPr="00234409">
              <w:t>(6):990-9.</w:t>
            </w:r>
          </w:p>
        </w:tc>
      </w:tr>
      <w:tr w:rsidR="00365ED2" w:rsidRPr="00234409" w:rsidTr="00A02014">
        <w:tc>
          <w:tcPr>
            <w:tcW w:w="5000" w:type="pct"/>
            <w:gridSpan w:val="3"/>
            <w:tcBorders>
              <w:top w:val="single" w:sz="4" w:space="0" w:color="auto"/>
              <w:bottom w:val="single" w:sz="4" w:space="0" w:color="auto"/>
            </w:tcBorders>
            <w:vAlign w:val="center"/>
          </w:tcPr>
          <w:p w:rsidR="00365ED2" w:rsidRPr="00234409" w:rsidRDefault="00365ED2" w:rsidP="00A02014">
            <w:pPr>
              <w:pStyle w:val="Tabletext"/>
              <w:rPr>
                <w:b/>
                <w:bCs/>
              </w:rPr>
            </w:pPr>
            <w:r w:rsidRPr="00234409">
              <w:rPr>
                <w:b/>
                <w:bCs/>
              </w:rPr>
              <w:t>Secukinumab versus placebo</w:t>
            </w:r>
          </w:p>
        </w:tc>
      </w:tr>
      <w:tr w:rsidR="00365ED2" w:rsidRPr="00234409" w:rsidTr="00A02014">
        <w:tc>
          <w:tcPr>
            <w:tcW w:w="626" w:type="pct"/>
            <w:tcBorders>
              <w:top w:val="single" w:sz="4" w:space="0" w:color="auto"/>
              <w:bottom w:val="single" w:sz="4" w:space="0" w:color="auto"/>
            </w:tcBorders>
            <w:vAlign w:val="center"/>
          </w:tcPr>
          <w:p w:rsidR="00365ED2" w:rsidRPr="00234409" w:rsidRDefault="00365ED2" w:rsidP="00A02014">
            <w:pPr>
              <w:pStyle w:val="Tabletext"/>
            </w:pPr>
            <w:r w:rsidRPr="00234409">
              <w:t>FUTURE 2</w:t>
            </w:r>
          </w:p>
        </w:tc>
        <w:tc>
          <w:tcPr>
            <w:tcW w:w="3066" w:type="pct"/>
            <w:tcBorders>
              <w:top w:val="single" w:sz="4" w:space="0" w:color="auto"/>
              <w:bottom w:val="single" w:sz="4" w:space="0" w:color="auto"/>
            </w:tcBorders>
            <w:vAlign w:val="center"/>
          </w:tcPr>
          <w:p w:rsidR="00365ED2" w:rsidRPr="00234409" w:rsidRDefault="00365ED2" w:rsidP="00A02014">
            <w:pPr>
              <w:pStyle w:val="Tabletext"/>
            </w:pPr>
            <w:proofErr w:type="spellStart"/>
            <w:r w:rsidRPr="00234409">
              <w:t>McInnes</w:t>
            </w:r>
            <w:proofErr w:type="spellEnd"/>
            <w:r w:rsidRPr="00234409">
              <w:t xml:space="preserve"> IB, </w:t>
            </w:r>
            <w:proofErr w:type="spellStart"/>
            <w:r w:rsidRPr="00234409">
              <w:t>Mease</w:t>
            </w:r>
            <w:proofErr w:type="spellEnd"/>
            <w:r w:rsidRPr="00234409">
              <w:t xml:space="preserve"> PJ, Kirkham B, </w:t>
            </w:r>
            <w:proofErr w:type="spellStart"/>
            <w:r w:rsidRPr="00234409">
              <w:t>Kavanaugh</w:t>
            </w:r>
            <w:proofErr w:type="spellEnd"/>
            <w:r w:rsidRPr="00234409">
              <w:t xml:space="preserve"> A, </w:t>
            </w:r>
            <w:proofErr w:type="spellStart"/>
            <w:r w:rsidRPr="00234409">
              <w:t>Ritchlin</w:t>
            </w:r>
            <w:proofErr w:type="spellEnd"/>
            <w:r w:rsidRPr="00234409">
              <w:t xml:space="preserve"> CT, Rahman P, et al. Secukinumab, a human anti-interleukin-17A monoclonal antibody, in patients with psoriatic arthritis (FUTURE 2): A randomised, double-blind, placebo-controlled, phase 3 trial.</w:t>
            </w:r>
          </w:p>
        </w:tc>
        <w:tc>
          <w:tcPr>
            <w:tcW w:w="1308" w:type="pct"/>
            <w:tcBorders>
              <w:top w:val="single" w:sz="4" w:space="0" w:color="auto"/>
              <w:bottom w:val="single" w:sz="4" w:space="0" w:color="auto"/>
            </w:tcBorders>
            <w:vAlign w:val="center"/>
          </w:tcPr>
          <w:p w:rsidR="00365ED2" w:rsidRPr="00234409" w:rsidRDefault="00365ED2" w:rsidP="00A02014">
            <w:pPr>
              <w:pStyle w:val="Tabletext"/>
            </w:pPr>
            <w:r w:rsidRPr="00234409">
              <w:rPr>
                <w:iCs/>
              </w:rPr>
              <w:t>The Lancet.</w:t>
            </w:r>
            <w:r w:rsidRPr="00234409">
              <w:t xml:space="preserve"> 2015</w:t>
            </w:r>
            <w:proofErr w:type="gramStart"/>
            <w:r w:rsidRPr="00234409">
              <w:t>;386</w:t>
            </w:r>
            <w:proofErr w:type="gramEnd"/>
            <w:r w:rsidRPr="00234409">
              <w:t>(9999):1137-46.</w:t>
            </w:r>
          </w:p>
        </w:tc>
      </w:tr>
    </w:tbl>
    <w:p w:rsidR="008E0D3C" w:rsidRPr="00234409" w:rsidRDefault="008E0D3C" w:rsidP="00365ED2">
      <w:pPr>
        <w:pStyle w:val="TableFooter"/>
        <w:rPr>
          <w:sz w:val="20"/>
        </w:rPr>
      </w:pPr>
      <w:r w:rsidRPr="00234409">
        <w:t xml:space="preserve">Source: </w:t>
      </w:r>
      <w:r w:rsidR="00365ED2" w:rsidRPr="00234409">
        <w:t>Tables 21-22, p33 and pp37-37 of the submission.</w:t>
      </w:r>
    </w:p>
    <w:p w:rsidR="00862502" w:rsidRPr="00234409" w:rsidRDefault="00862502" w:rsidP="008F120A">
      <w:pPr>
        <w:widowControl/>
      </w:pPr>
    </w:p>
    <w:p w:rsidR="007F1017" w:rsidRPr="00825BEA" w:rsidRDefault="008F120A" w:rsidP="00176EA4">
      <w:pPr>
        <w:pStyle w:val="ListParagraph"/>
        <w:widowControl/>
        <w:numPr>
          <w:ilvl w:val="1"/>
          <w:numId w:val="3"/>
        </w:numPr>
      </w:pPr>
      <w:r w:rsidRPr="00234409">
        <w:t>The key features</w:t>
      </w:r>
      <w:r w:rsidR="00F32B52" w:rsidRPr="00234409">
        <w:t xml:space="preserve"> of the direct randomised trial</w:t>
      </w:r>
      <w:r w:rsidRPr="00234409">
        <w:t xml:space="preserve">s are summarised in the table below. </w:t>
      </w:r>
      <w:r w:rsidR="004100B4" w:rsidRPr="00234409">
        <w:t xml:space="preserve"> </w:t>
      </w:r>
      <w:r w:rsidR="004100B4" w:rsidRPr="00234409">
        <w:rPr>
          <w:iCs/>
        </w:rPr>
        <w:t xml:space="preserve">Four trials randomised patients to one or more arms of active treatment </w:t>
      </w:r>
      <w:r w:rsidR="009903B5">
        <w:rPr>
          <w:iCs/>
        </w:rPr>
        <w:t>using</w:t>
      </w:r>
      <w:r w:rsidR="009903B5" w:rsidRPr="00234409">
        <w:rPr>
          <w:iCs/>
        </w:rPr>
        <w:t xml:space="preserve"> </w:t>
      </w:r>
      <w:r w:rsidR="004100B4" w:rsidRPr="00234409">
        <w:rPr>
          <w:iCs/>
        </w:rPr>
        <w:t xml:space="preserve">dose regimens which are not </w:t>
      </w:r>
      <w:proofErr w:type="gramStart"/>
      <w:r w:rsidR="004100B4" w:rsidRPr="00234409">
        <w:rPr>
          <w:iCs/>
        </w:rPr>
        <w:t>relevant/approved</w:t>
      </w:r>
      <w:proofErr w:type="gramEnd"/>
      <w:r w:rsidR="004100B4" w:rsidRPr="00234409">
        <w:rPr>
          <w:iCs/>
        </w:rPr>
        <w:t xml:space="preserve"> in the Australian setting</w:t>
      </w:r>
      <w:r w:rsidR="00176EA4" w:rsidRPr="00234409">
        <w:rPr>
          <w:iCs/>
        </w:rPr>
        <w:t>; data from th</w:t>
      </w:r>
      <w:r w:rsidR="009903B5">
        <w:rPr>
          <w:iCs/>
        </w:rPr>
        <w:t>e</w:t>
      </w:r>
      <w:r w:rsidR="00176EA4" w:rsidRPr="00234409">
        <w:rPr>
          <w:iCs/>
        </w:rPr>
        <w:t xml:space="preserve">se arms were </w:t>
      </w:r>
      <w:r w:rsidR="009C4B44" w:rsidRPr="00234409">
        <w:rPr>
          <w:iCs/>
        </w:rPr>
        <w:t>appropriately</w:t>
      </w:r>
      <w:r w:rsidR="004100B4" w:rsidRPr="00234409">
        <w:rPr>
          <w:iCs/>
        </w:rPr>
        <w:t xml:space="preserve"> excluded</w:t>
      </w:r>
      <w:r w:rsidR="00176EA4" w:rsidRPr="00234409">
        <w:rPr>
          <w:iCs/>
        </w:rPr>
        <w:t xml:space="preserve"> in the submission</w:t>
      </w:r>
      <w:r w:rsidR="004100B4">
        <w:rPr>
          <w:i/>
          <w:iCs/>
        </w:rPr>
        <w:t>.</w:t>
      </w:r>
    </w:p>
    <w:p w:rsidR="00825BEA" w:rsidRDefault="00825BEA" w:rsidP="00825BEA">
      <w:pPr>
        <w:widowControl/>
      </w:pPr>
    </w:p>
    <w:p w:rsidR="007F1017" w:rsidRDefault="00F32B52" w:rsidP="00352191">
      <w:pPr>
        <w:keepNext/>
        <w:rPr>
          <w:rStyle w:val="CommentReference"/>
        </w:rPr>
      </w:pPr>
      <w:r>
        <w:rPr>
          <w:rStyle w:val="CommentReference"/>
        </w:rPr>
        <w:t>Table 3</w:t>
      </w:r>
      <w:r w:rsidR="007F1017" w:rsidRPr="00E2771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8"/>
        <w:gridCol w:w="392"/>
        <w:gridCol w:w="2994"/>
        <w:gridCol w:w="1713"/>
        <w:gridCol w:w="712"/>
        <w:gridCol w:w="901"/>
        <w:gridCol w:w="1333"/>
      </w:tblGrid>
      <w:tr w:rsidR="00F32B52" w:rsidRPr="00C742FD" w:rsidTr="00F32B52">
        <w:tc>
          <w:tcPr>
            <w:tcW w:w="571" w:type="pct"/>
            <w:shd w:val="clear" w:color="auto" w:fill="auto"/>
            <w:vAlign w:val="center"/>
          </w:tcPr>
          <w:p w:rsidR="00F32B52" w:rsidRPr="00C742FD" w:rsidRDefault="00F32B52" w:rsidP="00352191">
            <w:pPr>
              <w:pStyle w:val="Tabletext"/>
              <w:keepNext/>
              <w:rPr>
                <w:b/>
              </w:rPr>
            </w:pPr>
            <w:r w:rsidRPr="00C742FD">
              <w:rPr>
                <w:b/>
              </w:rPr>
              <w:t>Trial</w:t>
            </w:r>
          </w:p>
        </w:tc>
        <w:tc>
          <w:tcPr>
            <w:tcW w:w="216" w:type="pct"/>
            <w:shd w:val="clear" w:color="auto" w:fill="auto"/>
            <w:vAlign w:val="center"/>
          </w:tcPr>
          <w:p w:rsidR="00F32B52" w:rsidRPr="00C742FD" w:rsidRDefault="00F32B52" w:rsidP="00352191">
            <w:pPr>
              <w:pStyle w:val="Tabletext"/>
              <w:keepNext/>
              <w:jc w:val="center"/>
              <w:rPr>
                <w:b/>
              </w:rPr>
            </w:pPr>
            <w:r w:rsidRPr="00C742FD">
              <w:rPr>
                <w:b/>
              </w:rPr>
              <w:t>N</w:t>
            </w:r>
          </w:p>
        </w:tc>
        <w:tc>
          <w:tcPr>
            <w:tcW w:w="1648" w:type="pct"/>
            <w:shd w:val="clear" w:color="auto" w:fill="auto"/>
            <w:vAlign w:val="center"/>
          </w:tcPr>
          <w:p w:rsidR="00F32B52" w:rsidRPr="00C742FD" w:rsidRDefault="00F32B52" w:rsidP="00352191">
            <w:pPr>
              <w:pStyle w:val="Tabletext"/>
              <w:keepNext/>
              <w:jc w:val="center"/>
              <w:rPr>
                <w:b/>
              </w:rPr>
            </w:pPr>
            <w:r w:rsidRPr="00C742FD">
              <w:rPr>
                <w:b/>
              </w:rPr>
              <w:t>Design / duration</w:t>
            </w:r>
          </w:p>
        </w:tc>
        <w:tc>
          <w:tcPr>
            <w:tcW w:w="943" w:type="pct"/>
            <w:vAlign w:val="center"/>
          </w:tcPr>
          <w:p w:rsidR="00F32B52" w:rsidRPr="00C742FD" w:rsidRDefault="00F32B52" w:rsidP="00352191">
            <w:pPr>
              <w:pStyle w:val="Tabletext"/>
              <w:keepNext/>
              <w:jc w:val="center"/>
              <w:rPr>
                <w:b/>
              </w:rPr>
            </w:pPr>
            <w:r>
              <w:rPr>
                <w:b/>
              </w:rPr>
              <w:t>Relevant comparison</w:t>
            </w:r>
          </w:p>
        </w:tc>
        <w:tc>
          <w:tcPr>
            <w:tcW w:w="392" w:type="pct"/>
            <w:shd w:val="clear" w:color="auto" w:fill="auto"/>
            <w:vAlign w:val="center"/>
          </w:tcPr>
          <w:p w:rsidR="00F32B52" w:rsidRPr="00C742FD" w:rsidRDefault="00F32B52" w:rsidP="00352191">
            <w:pPr>
              <w:pStyle w:val="Tabletext"/>
              <w:keepNext/>
              <w:jc w:val="center"/>
              <w:rPr>
                <w:b/>
              </w:rPr>
            </w:pPr>
            <w:r w:rsidRPr="00C742FD">
              <w:rPr>
                <w:b/>
              </w:rPr>
              <w:t>Risk of bias</w:t>
            </w:r>
          </w:p>
        </w:tc>
        <w:tc>
          <w:tcPr>
            <w:tcW w:w="496" w:type="pct"/>
            <w:shd w:val="clear" w:color="auto" w:fill="auto"/>
            <w:vAlign w:val="center"/>
          </w:tcPr>
          <w:p w:rsidR="00F32B52" w:rsidRPr="00C742FD" w:rsidRDefault="00F32B52" w:rsidP="00352191">
            <w:pPr>
              <w:pStyle w:val="Tabletext"/>
              <w:keepNext/>
              <w:jc w:val="center"/>
              <w:rPr>
                <w:b/>
              </w:rPr>
            </w:pPr>
            <w:r w:rsidRPr="00C742FD">
              <w:rPr>
                <w:b/>
              </w:rPr>
              <w:t>Patient population</w:t>
            </w:r>
          </w:p>
        </w:tc>
        <w:tc>
          <w:tcPr>
            <w:tcW w:w="734" w:type="pct"/>
            <w:shd w:val="clear" w:color="auto" w:fill="auto"/>
            <w:vAlign w:val="center"/>
          </w:tcPr>
          <w:p w:rsidR="00F32B52" w:rsidRPr="00C742FD" w:rsidRDefault="00F32B52" w:rsidP="00352191">
            <w:pPr>
              <w:pStyle w:val="Tabletext"/>
              <w:keepNext/>
              <w:jc w:val="center"/>
              <w:rPr>
                <w:b/>
              </w:rPr>
            </w:pPr>
            <w:r w:rsidRPr="00C742FD">
              <w:rPr>
                <w:b/>
              </w:rPr>
              <w:t>Key outcomes</w:t>
            </w:r>
          </w:p>
        </w:tc>
      </w:tr>
      <w:tr w:rsidR="00F32B52" w:rsidRPr="00C742FD" w:rsidTr="00A02014">
        <w:tc>
          <w:tcPr>
            <w:tcW w:w="5000" w:type="pct"/>
            <w:gridSpan w:val="7"/>
            <w:vAlign w:val="center"/>
          </w:tcPr>
          <w:p w:rsidR="00F32B52" w:rsidRPr="00C742FD" w:rsidRDefault="00F32B52" w:rsidP="00352191">
            <w:pPr>
              <w:pStyle w:val="Tabletext"/>
              <w:keepNext/>
              <w:rPr>
                <w:b/>
              </w:rPr>
            </w:pPr>
            <w:proofErr w:type="spellStart"/>
            <w:r w:rsidRPr="00C742FD">
              <w:rPr>
                <w:b/>
              </w:rPr>
              <w:t>Abatacept</w:t>
            </w:r>
            <w:proofErr w:type="spellEnd"/>
            <w:r w:rsidRPr="00C742FD">
              <w:rPr>
                <w:b/>
              </w:rPr>
              <w:t xml:space="preserve"> versus placebo</w:t>
            </w:r>
          </w:p>
        </w:tc>
      </w:tr>
      <w:tr w:rsidR="00F32B52" w:rsidRPr="00C742FD" w:rsidTr="00F32B52">
        <w:tc>
          <w:tcPr>
            <w:tcW w:w="571" w:type="pct"/>
            <w:shd w:val="clear" w:color="auto" w:fill="auto"/>
            <w:vAlign w:val="center"/>
          </w:tcPr>
          <w:p w:rsidR="00F32B52" w:rsidRPr="009B1E73" w:rsidRDefault="00F32B52" w:rsidP="00352191">
            <w:pPr>
              <w:pStyle w:val="Tabletext"/>
              <w:keepNext/>
            </w:pPr>
            <w:proofErr w:type="spellStart"/>
            <w:r w:rsidRPr="009B1E73">
              <w:t>Mease</w:t>
            </w:r>
            <w:proofErr w:type="spellEnd"/>
            <w:r w:rsidRPr="009B1E73">
              <w:t xml:space="preserve"> 2011</w:t>
            </w:r>
          </w:p>
        </w:tc>
        <w:tc>
          <w:tcPr>
            <w:tcW w:w="216" w:type="pct"/>
            <w:shd w:val="clear" w:color="auto" w:fill="auto"/>
            <w:vAlign w:val="center"/>
          </w:tcPr>
          <w:p w:rsidR="00F32B52" w:rsidRPr="00C742FD" w:rsidRDefault="00F32B52" w:rsidP="00352191">
            <w:pPr>
              <w:pStyle w:val="Tabletext"/>
              <w:keepNext/>
              <w:jc w:val="center"/>
              <w:rPr>
                <w:i/>
                <w:iCs/>
              </w:rPr>
            </w:pPr>
            <w:r w:rsidRPr="00C742FD">
              <w:rPr>
                <w:i/>
                <w:iCs/>
              </w:rPr>
              <w:t>82</w:t>
            </w:r>
            <w:r w:rsidRPr="00C742FD">
              <w:rPr>
                <w:i/>
                <w:iCs/>
                <w:vertAlign w:val="superscript"/>
              </w:rPr>
              <w:t>a</w:t>
            </w:r>
          </w:p>
        </w:tc>
        <w:tc>
          <w:tcPr>
            <w:tcW w:w="1648" w:type="pct"/>
            <w:shd w:val="clear" w:color="auto" w:fill="auto"/>
            <w:vAlign w:val="center"/>
          </w:tcPr>
          <w:p w:rsidR="00F32B52" w:rsidRPr="00C742FD" w:rsidRDefault="00F32B52" w:rsidP="00352191">
            <w:pPr>
              <w:pStyle w:val="Tabletext"/>
              <w:keepNext/>
              <w:jc w:val="center"/>
            </w:pPr>
            <w:r w:rsidRPr="00C742FD">
              <w:t>Phase 2b, MC, R, BD; 24wks.</w:t>
            </w:r>
          </w:p>
        </w:tc>
        <w:tc>
          <w:tcPr>
            <w:tcW w:w="943" w:type="pct"/>
            <w:vAlign w:val="center"/>
          </w:tcPr>
          <w:p w:rsidR="00F32B52" w:rsidRPr="00C742FD" w:rsidRDefault="00F32B52" w:rsidP="00352191">
            <w:pPr>
              <w:pStyle w:val="Tabletext"/>
              <w:keepNext/>
              <w:jc w:val="center"/>
            </w:pPr>
            <w:r>
              <w:t>ABA 10mg/</w:t>
            </w:r>
            <w:proofErr w:type="spellStart"/>
            <w:r>
              <w:t>kg</w:t>
            </w:r>
            <w:r>
              <w:rPr>
                <w:vertAlign w:val="superscript"/>
              </w:rPr>
              <w:t>b</w:t>
            </w:r>
            <w:proofErr w:type="spellEnd"/>
            <w:r>
              <w:t xml:space="preserve"> IV wk0, 2, 4, q4w; vs PBO</w:t>
            </w:r>
          </w:p>
        </w:tc>
        <w:tc>
          <w:tcPr>
            <w:tcW w:w="392" w:type="pct"/>
            <w:shd w:val="clear" w:color="auto" w:fill="auto"/>
            <w:vAlign w:val="center"/>
          </w:tcPr>
          <w:p w:rsidR="00F32B52" w:rsidRPr="00C742FD" w:rsidRDefault="00F32B52" w:rsidP="00352191">
            <w:pPr>
              <w:pStyle w:val="Tabletext"/>
              <w:keepNext/>
              <w:jc w:val="center"/>
            </w:pPr>
            <w:r w:rsidRPr="00C742FD">
              <w:t>Low</w:t>
            </w:r>
          </w:p>
        </w:tc>
        <w:tc>
          <w:tcPr>
            <w:tcW w:w="496" w:type="pct"/>
            <w:shd w:val="clear" w:color="auto" w:fill="auto"/>
            <w:vAlign w:val="center"/>
          </w:tcPr>
          <w:p w:rsidR="00F32B52" w:rsidRPr="00C742FD" w:rsidRDefault="00F32B52" w:rsidP="00352191">
            <w:pPr>
              <w:pStyle w:val="Tabletext"/>
              <w:keepNext/>
              <w:jc w:val="center"/>
            </w:pPr>
            <w:r w:rsidRPr="00C742FD">
              <w:t>Active PsA</w:t>
            </w:r>
          </w:p>
        </w:tc>
        <w:tc>
          <w:tcPr>
            <w:tcW w:w="734" w:type="pct"/>
            <w:shd w:val="clear" w:color="auto" w:fill="auto"/>
            <w:vAlign w:val="center"/>
          </w:tcPr>
          <w:p w:rsidR="00F32B52" w:rsidRPr="00C742FD" w:rsidRDefault="00F32B52" w:rsidP="00352191">
            <w:pPr>
              <w:pStyle w:val="Tabletext"/>
              <w:keepNext/>
              <w:jc w:val="center"/>
            </w:pPr>
            <w:r>
              <w:t xml:space="preserve">1°: </w:t>
            </w:r>
            <w:r w:rsidRPr="00C742FD">
              <w:t>ACR20</w:t>
            </w:r>
            <w:r>
              <w:t xml:space="preserve"> wk24;</w:t>
            </w:r>
            <w:r w:rsidRPr="00C742FD">
              <w:t xml:space="preserve"> </w:t>
            </w:r>
            <w:r>
              <w:t xml:space="preserve">2°: </w:t>
            </w:r>
            <w:r w:rsidRPr="00C742FD">
              <w:t>ACR50</w:t>
            </w:r>
          </w:p>
        </w:tc>
      </w:tr>
      <w:tr w:rsidR="00F32B52" w:rsidRPr="00C742FD" w:rsidTr="00F32B52">
        <w:tc>
          <w:tcPr>
            <w:tcW w:w="571" w:type="pct"/>
            <w:shd w:val="clear" w:color="auto" w:fill="auto"/>
            <w:vAlign w:val="center"/>
          </w:tcPr>
          <w:p w:rsidR="00F32B52" w:rsidRPr="009B1E73" w:rsidRDefault="00F32B52" w:rsidP="00352191">
            <w:pPr>
              <w:pStyle w:val="Tabletext"/>
              <w:keepNext/>
            </w:pPr>
            <w:proofErr w:type="spellStart"/>
            <w:r w:rsidRPr="009B1E73">
              <w:t>Mease</w:t>
            </w:r>
            <w:proofErr w:type="spellEnd"/>
            <w:r w:rsidRPr="009B1E73">
              <w:t xml:space="preserve"> 2017</w:t>
            </w:r>
          </w:p>
        </w:tc>
        <w:tc>
          <w:tcPr>
            <w:tcW w:w="216" w:type="pct"/>
            <w:shd w:val="clear" w:color="auto" w:fill="auto"/>
            <w:vAlign w:val="center"/>
          </w:tcPr>
          <w:p w:rsidR="00F32B52" w:rsidRPr="00C742FD" w:rsidRDefault="00F32B52" w:rsidP="00352191">
            <w:pPr>
              <w:pStyle w:val="Tabletext"/>
              <w:keepNext/>
              <w:jc w:val="center"/>
            </w:pPr>
            <w:r w:rsidRPr="00C742FD">
              <w:t>424</w:t>
            </w:r>
          </w:p>
        </w:tc>
        <w:tc>
          <w:tcPr>
            <w:tcW w:w="1648" w:type="pct"/>
            <w:shd w:val="clear" w:color="auto" w:fill="auto"/>
            <w:vAlign w:val="center"/>
          </w:tcPr>
          <w:p w:rsidR="00F32B52" w:rsidRPr="002D1115" w:rsidRDefault="00F32B52" w:rsidP="00352191">
            <w:pPr>
              <w:pStyle w:val="Tabletext"/>
              <w:keepNext/>
              <w:jc w:val="center"/>
            </w:pPr>
            <w:r w:rsidRPr="00C742FD">
              <w:t xml:space="preserve">Phase 3, MC, R, BD for 24wks; EE to OL </w:t>
            </w:r>
            <w:r>
              <w:t>active</w:t>
            </w:r>
            <w:r w:rsidRPr="00C742FD">
              <w:t xml:space="preserve"> at wk16 if </w:t>
            </w:r>
            <w:r>
              <w:t>‘non-</w:t>
            </w:r>
            <w:proofErr w:type="spellStart"/>
            <w:r>
              <w:t>responder’</w:t>
            </w:r>
            <w:r>
              <w:rPr>
                <w:vertAlign w:val="superscript"/>
              </w:rPr>
              <w:t>c</w:t>
            </w:r>
            <w:proofErr w:type="spellEnd"/>
            <w:r>
              <w:t>; OL from 24-52wks.</w:t>
            </w:r>
          </w:p>
        </w:tc>
        <w:tc>
          <w:tcPr>
            <w:tcW w:w="943" w:type="pct"/>
            <w:vAlign w:val="center"/>
          </w:tcPr>
          <w:p w:rsidR="00F32B52" w:rsidRPr="00C742FD" w:rsidRDefault="00F32B52" w:rsidP="00352191">
            <w:pPr>
              <w:pStyle w:val="Tabletext"/>
              <w:keepNext/>
              <w:jc w:val="center"/>
            </w:pPr>
            <w:r>
              <w:t>ABA 125mg SC q1w; vs PBO</w:t>
            </w:r>
          </w:p>
        </w:tc>
        <w:tc>
          <w:tcPr>
            <w:tcW w:w="392" w:type="pct"/>
            <w:shd w:val="clear" w:color="auto" w:fill="auto"/>
            <w:vAlign w:val="center"/>
          </w:tcPr>
          <w:p w:rsidR="00F32B52" w:rsidRPr="00C742FD" w:rsidRDefault="00F32B52" w:rsidP="00352191">
            <w:pPr>
              <w:pStyle w:val="Tabletext"/>
              <w:keepNext/>
              <w:jc w:val="center"/>
            </w:pPr>
            <w:r w:rsidRPr="00C742FD">
              <w:t>Low</w:t>
            </w:r>
          </w:p>
        </w:tc>
        <w:tc>
          <w:tcPr>
            <w:tcW w:w="496" w:type="pct"/>
            <w:shd w:val="clear" w:color="auto" w:fill="auto"/>
            <w:vAlign w:val="center"/>
          </w:tcPr>
          <w:p w:rsidR="00F32B52" w:rsidRPr="00C742FD" w:rsidRDefault="00F32B52" w:rsidP="00352191">
            <w:pPr>
              <w:pStyle w:val="Tabletext"/>
              <w:keepNext/>
              <w:jc w:val="center"/>
            </w:pPr>
            <w:r w:rsidRPr="00C742FD">
              <w:t>Active PsA</w:t>
            </w:r>
          </w:p>
        </w:tc>
        <w:tc>
          <w:tcPr>
            <w:tcW w:w="734" w:type="pct"/>
            <w:shd w:val="clear" w:color="auto" w:fill="auto"/>
            <w:vAlign w:val="center"/>
          </w:tcPr>
          <w:p w:rsidR="00F32B52" w:rsidRPr="00C742FD" w:rsidRDefault="00F32B52" w:rsidP="00352191">
            <w:pPr>
              <w:pStyle w:val="Tabletext"/>
              <w:keepNext/>
              <w:jc w:val="center"/>
            </w:pPr>
            <w:r>
              <w:t xml:space="preserve">1°: </w:t>
            </w:r>
            <w:r w:rsidRPr="00C742FD">
              <w:t>ACR20</w:t>
            </w:r>
            <w:r>
              <w:t xml:space="preserve"> wk24;</w:t>
            </w:r>
            <w:r w:rsidRPr="00C742FD">
              <w:t xml:space="preserve"> </w:t>
            </w:r>
            <w:r>
              <w:t xml:space="preserve">2°: </w:t>
            </w:r>
            <w:r w:rsidRPr="00C742FD">
              <w:t>ACR50</w:t>
            </w:r>
          </w:p>
        </w:tc>
      </w:tr>
      <w:tr w:rsidR="00F32B52" w:rsidRPr="00C742FD" w:rsidTr="00A02014">
        <w:tc>
          <w:tcPr>
            <w:tcW w:w="5000" w:type="pct"/>
            <w:gridSpan w:val="7"/>
          </w:tcPr>
          <w:p w:rsidR="00F32B52" w:rsidRPr="00C742FD" w:rsidRDefault="00F32B52" w:rsidP="00352191">
            <w:pPr>
              <w:pStyle w:val="Tabletext"/>
              <w:keepNext/>
              <w:rPr>
                <w:b/>
                <w:bCs/>
              </w:rPr>
            </w:pPr>
            <w:proofErr w:type="spellStart"/>
            <w:r w:rsidRPr="00C742FD">
              <w:rPr>
                <w:b/>
                <w:bCs/>
              </w:rPr>
              <w:t>Certolizumab</w:t>
            </w:r>
            <w:proofErr w:type="spellEnd"/>
            <w:r w:rsidRPr="00C742FD">
              <w:rPr>
                <w:b/>
                <w:bCs/>
              </w:rPr>
              <w:t xml:space="preserve"> versus placebo</w:t>
            </w:r>
          </w:p>
        </w:tc>
      </w:tr>
      <w:tr w:rsidR="00F32B52" w:rsidRPr="00C742FD" w:rsidTr="00F32B52">
        <w:tc>
          <w:tcPr>
            <w:tcW w:w="571" w:type="pct"/>
            <w:shd w:val="clear" w:color="auto" w:fill="auto"/>
            <w:vAlign w:val="center"/>
          </w:tcPr>
          <w:p w:rsidR="00F32B52" w:rsidRPr="00C742FD" w:rsidRDefault="00F32B52" w:rsidP="00352191">
            <w:pPr>
              <w:pStyle w:val="Tabletext"/>
              <w:keepNext/>
            </w:pPr>
            <w:r w:rsidRPr="00C742FD">
              <w:t>RAPID-PsA</w:t>
            </w:r>
          </w:p>
        </w:tc>
        <w:tc>
          <w:tcPr>
            <w:tcW w:w="216" w:type="pct"/>
            <w:shd w:val="clear" w:color="auto" w:fill="auto"/>
            <w:vAlign w:val="center"/>
          </w:tcPr>
          <w:p w:rsidR="00F32B52" w:rsidRPr="00C742FD" w:rsidRDefault="00F32B52" w:rsidP="00352191">
            <w:pPr>
              <w:pStyle w:val="Tabletext"/>
              <w:keepNext/>
              <w:jc w:val="center"/>
            </w:pPr>
            <w:r w:rsidRPr="00C742FD">
              <w:t>409</w:t>
            </w:r>
          </w:p>
        </w:tc>
        <w:tc>
          <w:tcPr>
            <w:tcW w:w="1648" w:type="pct"/>
            <w:shd w:val="clear" w:color="auto" w:fill="auto"/>
            <w:vAlign w:val="center"/>
          </w:tcPr>
          <w:p w:rsidR="00F32B52" w:rsidRPr="00C742FD" w:rsidRDefault="00F32B52" w:rsidP="00352191">
            <w:pPr>
              <w:pStyle w:val="Tabletext"/>
              <w:keepNext/>
              <w:jc w:val="center"/>
            </w:pPr>
            <w:r w:rsidRPr="00C742FD">
              <w:t xml:space="preserve">Phase 3, MC, R, BD for 24wks; PBO crossover at wk16 if </w:t>
            </w:r>
            <w:r>
              <w:t>‘non-</w:t>
            </w:r>
            <w:proofErr w:type="spellStart"/>
            <w:r>
              <w:t>responder’</w:t>
            </w:r>
            <w:r>
              <w:rPr>
                <w:vertAlign w:val="superscript"/>
              </w:rPr>
              <w:t>d</w:t>
            </w:r>
            <w:proofErr w:type="spellEnd"/>
            <w:r w:rsidRPr="00C742FD">
              <w:t>,</w:t>
            </w:r>
            <w:r>
              <w:t xml:space="preserve"> or</w:t>
            </w:r>
            <w:r w:rsidRPr="00C742FD">
              <w:t xml:space="preserve"> wk24</w:t>
            </w:r>
            <w:r>
              <w:t xml:space="preserve"> for responders</w:t>
            </w:r>
            <w:r w:rsidRPr="00C742FD">
              <w:t xml:space="preserve">; dose-blind </w:t>
            </w:r>
            <w:r>
              <w:t>from</w:t>
            </w:r>
            <w:r w:rsidRPr="00C742FD">
              <w:t xml:space="preserve"> </w:t>
            </w:r>
            <w:r>
              <w:t>24-4</w:t>
            </w:r>
            <w:r w:rsidRPr="00C742FD">
              <w:t>8</w:t>
            </w:r>
            <w:r>
              <w:t>wks</w:t>
            </w:r>
            <w:r w:rsidRPr="00C742FD">
              <w:t>; OL from 48-216wks.</w:t>
            </w:r>
          </w:p>
        </w:tc>
        <w:tc>
          <w:tcPr>
            <w:tcW w:w="943" w:type="pct"/>
            <w:vAlign w:val="center"/>
          </w:tcPr>
          <w:p w:rsidR="00F32B52" w:rsidRPr="00C742FD" w:rsidRDefault="00F32B52" w:rsidP="00352191">
            <w:pPr>
              <w:pStyle w:val="Tabletext"/>
              <w:keepNext/>
              <w:jc w:val="center"/>
            </w:pPr>
            <w:r>
              <w:t>CZP 400mg SC wk0, 2, 4, 200mg q2w or 400mg q4w; vs PBO</w:t>
            </w:r>
          </w:p>
        </w:tc>
        <w:tc>
          <w:tcPr>
            <w:tcW w:w="392" w:type="pct"/>
            <w:shd w:val="clear" w:color="auto" w:fill="auto"/>
            <w:vAlign w:val="center"/>
          </w:tcPr>
          <w:p w:rsidR="00F32B52" w:rsidRPr="00C742FD" w:rsidRDefault="00F32B52" w:rsidP="00352191">
            <w:pPr>
              <w:pStyle w:val="Tabletext"/>
              <w:keepNext/>
              <w:jc w:val="center"/>
            </w:pPr>
            <w:r w:rsidRPr="00C742FD">
              <w:t>Low</w:t>
            </w:r>
          </w:p>
        </w:tc>
        <w:tc>
          <w:tcPr>
            <w:tcW w:w="496" w:type="pct"/>
            <w:shd w:val="clear" w:color="auto" w:fill="auto"/>
            <w:vAlign w:val="center"/>
          </w:tcPr>
          <w:p w:rsidR="00F32B52" w:rsidRPr="00C742FD" w:rsidRDefault="00F32B52" w:rsidP="00352191">
            <w:pPr>
              <w:pStyle w:val="Tabletext"/>
              <w:keepNext/>
              <w:jc w:val="center"/>
            </w:pPr>
            <w:r w:rsidRPr="00C742FD">
              <w:t>Active PsA</w:t>
            </w:r>
          </w:p>
        </w:tc>
        <w:tc>
          <w:tcPr>
            <w:tcW w:w="734" w:type="pct"/>
            <w:shd w:val="clear" w:color="auto" w:fill="auto"/>
            <w:vAlign w:val="center"/>
          </w:tcPr>
          <w:p w:rsidR="00F32B52" w:rsidRPr="00C742FD" w:rsidRDefault="00F32B52" w:rsidP="00352191">
            <w:pPr>
              <w:pStyle w:val="Tabletext"/>
              <w:keepNext/>
              <w:jc w:val="center"/>
            </w:pPr>
            <w:r>
              <w:t xml:space="preserve">1°: </w:t>
            </w:r>
            <w:r w:rsidRPr="00C742FD">
              <w:t>ACR20</w:t>
            </w:r>
            <w:r>
              <w:t xml:space="preserve"> wk12 &amp; </w:t>
            </w:r>
            <w:proofErr w:type="spellStart"/>
            <w:r>
              <w:t>ΔmTSS</w:t>
            </w:r>
            <w:proofErr w:type="spellEnd"/>
            <w:r>
              <w:t xml:space="preserve"> wk24;</w:t>
            </w:r>
            <w:r w:rsidRPr="00C742FD">
              <w:t xml:space="preserve"> </w:t>
            </w:r>
            <w:r>
              <w:t xml:space="preserve"> 2°: </w:t>
            </w:r>
            <w:r w:rsidRPr="00C742FD">
              <w:t>ACR50</w:t>
            </w:r>
          </w:p>
        </w:tc>
      </w:tr>
      <w:tr w:rsidR="00F32B52" w:rsidRPr="00C742FD" w:rsidTr="00A02014">
        <w:tc>
          <w:tcPr>
            <w:tcW w:w="5000" w:type="pct"/>
            <w:gridSpan w:val="7"/>
          </w:tcPr>
          <w:p w:rsidR="00F32B52" w:rsidRPr="00C742FD" w:rsidRDefault="00F32B52" w:rsidP="00352191">
            <w:pPr>
              <w:pStyle w:val="Tabletext"/>
              <w:keepNext/>
              <w:rPr>
                <w:b/>
                <w:bCs/>
              </w:rPr>
            </w:pPr>
            <w:r w:rsidRPr="00C742FD">
              <w:rPr>
                <w:b/>
                <w:bCs/>
              </w:rPr>
              <w:t>Ustekinumab versus placebo</w:t>
            </w:r>
          </w:p>
        </w:tc>
      </w:tr>
      <w:tr w:rsidR="00F32B52" w:rsidRPr="00C742FD" w:rsidTr="00F32B52">
        <w:tc>
          <w:tcPr>
            <w:tcW w:w="571" w:type="pct"/>
            <w:shd w:val="clear" w:color="auto" w:fill="auto"/>
            <w:vAlign w:val="center"/>
          </w:tcPr>
          <w:p w:rsidR="00F32B52" w:rsidRPr="00C742FD" w:rsidRDefault="00F32B52" w:rsidP="00352191">
            <w:pPr>
              <w:pStyle w:val="Tabletext"/>
              <w:keepNext/>
            </w:pPr>
            <w:r w:rsidRPr="00C742FD">
              <w:t>PSUMMIT 1</w:t>
            </w:r>
          </w:p>
        </w:tc>
        <w:tc>
          <w:tcPr>
            <w:tcW w:w="216" w:type="pct"/>
            <w:shd w:val="clear" w:color="auto" w:fill="auto"/>
            <w:vAlign w:val="center"/>
          </w:tcPr>
          <w:p w:rsidR="00F32B52" w:rsidRPr="00C742FD" w:rsidRDefault="00F32B52" w:rsidP="00352191">
            <w:pPr>
              <w:pStyle w:val="Tabletext"/>
              <w:keepNext/>
              <w:jc w:val="center"/>
              <w:rPr>
                <w:i/>
                <w:iCs/>
                <w:vertAlign w:val="superscript"/>
              </w:rPr>
            </w:pPr>
            <w:r w:rsidRPr="00C742FD">
              <w:rPr>
                <w:i/>
                <w:iCs/>
              </w:rPr>
              <w:t>411</w:t>
            </w:r>
            <w:r w:rsidRPr="00C742FD">
              <w:rPr>
                <w:i/>
                <w:iCs/>
                <w:vertAlign w:val="superscript"/>
              </w:rPr>
              <w:t>a</w:t>
            </w:r>
          </w:p>
        </w:tc>
        <w:tc>
          <w:tcPr>
            <w:tcW w:w="1648" w:type="pct"/>
            <w:shd w:val="clear" w:color="auto" w:fill="auto"/>
            <w:vAlign w:val="center"/>
          </w:tcPr>
          <w:p w:rsidR="00F32B52" w:rsidRPr="00C742FD" w:rsidRDefault="00F32B52" w:rsidP="00352191">
            <w:pPr>
              <w:pStyle w:val="Tabletext"/>
              <w:keepNext/>
              <w:jc w:val="center"/>
            </w:pPr>
            <w:r w:rsidRPr="00C742FD">
              <w:t xml:space="preserve">Phase 3, MC, R, BD for 24wks; PBO crossover </w:t>
            </w:r>
            <w:r>
              <w:t xml:space="preserve">or active dose </w:t>
            </w:r>
            <w:r w:rsidRPr="00C742FD">
              <w:t>escalation</w:t>
            </w:r>
            <w:r>
              <w:t xml:space="preserve"> </w:t>
            </w:r>
            <w:r w:rsidRPr="00C742FD">
              <w:t xml:space="preserve">at wk16 if </w:t>
            </w:r>
            <w:r>
              <w:t>‘non-</w:t>
            </w:r>
            <w:proofErr w:type="spellStart"/>
            <w:r>
              <w:t>responder’</w:t>
            </w:r>
            <w:r>
              <w:rPr>
                <w:vertAlign w:val="superscript"/>
              </w:rPr>
              <w:t>e</w:t>
            </w:r>
            <w:proofErr w:type="spellEnd"/>
            <w:r>
              <w:t>, or wk24 for PBO responders; OL from 24-108wks.</w:t>
            </w:r>
          </w:p>
        </w:tc>
        <w:tc>
          <w:tcPr>
            <w:tcW w:w="943" w:type="pct"/>
            <w:vAlign w:val="center"/>
          </w:tcPr>
          <w:p w:rsidR="00F32B52" w:rsidRPr="00C742FD" w:rsidRDefault="00F32B52" w:rsidP="00352191">
            <w:pPr>
              <w:pStyle w:val="Tabletext"/>
              <w:keepNext/>
              <w:jc w:val="center"/>
            </w:pPr>
            <w:r>
              <w:t>UST 45mg SC wk0, 4, q12w; vs PBO</w:t>
            </w:r>
          </w:p>
        </w:tc>
        <w:tc>
          <w:tcPr>
            <w:tcW w:w="392" w:type="pct"/>
            <w:shd w:val="clear" w:color="auto" w:fill="auto"/>
            <w:vAlign w:val="center"/>
          </w:tcPr>
          <w:p w:rsidR="00F32B52" w:rsidRPr="00C742FD" w:rsidRDefault="00F32B52" w:rsidP="00352191">
            <w:pPr>
              <w:pStyle w:val="Tabletext"/>
              <w:keepNext/>
              <w:jc w:val="center"/>
            </w:pPr>
            <w:r w:rsidRPr="00C742FD">
              <w:t>Low</w:t>
            </w:r>
          </w:p>
        </w:tc>
        <w:tc>
          <w:tcPr>
            <w:tcW w:w="496" w:type="pct"/>
            <w:shd w:val="clear" w:color="auto" w:fill="auto"/>
            <w:vAlign w:val="center"/>
          </w:tcPr>
          <w:p w:rsidR="00F32B52" w:rsidRPr="00A9292A" w:rsidRDefault="00F32B52" w:rsidP="00352191">
            <w:pPr>
              <w:pStyle w:val="Tabletext"/>
              <w:keepNext/>
              <w:jc w:val="center"/>
              <w:rPr>
                <w:lang w:val="fr-FR"/>
              </w:rPr>
            </w:pPr>
            <w:r w:rsidRPr="00A9292A">
              <w:rPr>
                <w:lang w:val="fr-FR"/>
              </w:rPr>
              <w:t xml:space="preserve">Active </w:t>
            </w:r>
            <w:proofErr w:type="spellStart"/>
            <w:r w:rsidRPr="00A9292A">
              <w:rPr>
                <w:lang w:val="fr-FR"/>
              </w:rPr>
              <w:t>PsA</w:t>
            </w:r>
            <w:proofErr w:type="spellEnd"/>
            <w:r w:rsidRPr="00A9292A">
              <w:rPr>
                <w:lang w:val="fr-FR"/>
              </w:rPr>
              <w:t xml:space="preserve">, </w:t>
            </w:r>
          </w:p>
          <w:p w:rsidR="00F32B52" w:rsidRPr="00A9292A" w:rsidRDefault="00F32B52" w:rsidP="00352191">
            <w:pPr>
              <w:pStyle w:val="Tabletext"/>
              <w:keepNext/>
              <w:jc w:val="center"/>
              <w:rPr>
                <w:lang w:val="fr-FR"/>
              </w:rPr>
            </w:pPr>
            <w:r>
              <w:rPr>
                <w:lang w:val="fr-FR"/>
              </w:rPr>
              <w:t>(</w:t>
            </w:r>
            <w:r w:rsidRPr="00A9292A">
              <w:rPr>
                <w:lang w:val="fr-FR"/>
              </w:rPr>
              <w:t>TNF-</w:t>
            </w:r>
            <w:r w:rsidRPr="00C742FD">
              <w:t>α</w:t>
            </w:r>
            <w:r w:rsidRPr="00A9292A">
              <w:rPr>
                <w:lang w:val="fr-FR"/>
              </w:rPr>
              <w:t xml:space="preserve"> naïve</w:t>
            </w:r>
            <w:r>
              <w:rPr>
                <w:lang w:val="fr-FR"/>
              </w:rPr>
              <w:t>)</w:t>
            </w:r>
          </w:p>
        </w:tc>
        <w:tc>
          <w:tcPr>
            <w:tcW w:w="734" w:type="pct"/>
            <w:shd w:val="clear" w:color="auto" w:fill="auto"/>
            <w:vAlign w:val="center"/>
          </w:tcPr>
          <w:p w:rsidR="00F32B52" w:rsidRPr="00C742FD" w:rsidRDefault="00F32B52" w:rsidP="00352191">
            <w:pPr>
              <w:pStyle w:val="Tabletext"/>
              <w:keepNext/>
              <w:jc w:val="center"/>
            </w:pPr>
            <w:r>
              <w:t xml:space="preserve">1°: </w:t>
            </w:r>
            <w:r w:rsidRPr="00C742FD">
              <w:t>ACR20</w:t>
            </w:r>
            <w:r>
              <w:t xml:space="preserve"> wk24;</w:t>
            </w:r>
            <w:r w:rsidRPr="00C742FD">
              <w:t xml:space="preserve"> </w:t>
            </w:r>
            <w:r>
              <w:t xml:space="preserve">2°: </w:t>
            </w:r>
            <w:r w:rsidRPr="00C742FD">
              <w:t>ACR50</w:t>
            </w:r>
          </w:p>
        </w:tc>
      </w:tr>
      <w:tr w:rsidR="00F32B52" w:rsidRPr="00C742FD" w:rsidTr="00F32B52">
        <w:tc>
          <w:tcPr>
            <w:tcW w:w="571" w:type="pct"/>
            <w:shd w:val="clear" w:color="auto" w:fill="auto"/>
            <w:vAlign w:val="center"/>
          </w:tcPr>
          <w:p w:rsidR="00F32B52" w:rsidRPr="00C742FD" w:rsidRDefault="00F32B52" w:rsidP="00352191">
            <w:pPr>
              <w:pStyle w:val="Tabletext"/>
              <w:keepNext/>
            </w:pPr>
            <w:r w:rsidRPr="00C742FD">
              <w:t>PSUMMIT 2</w:t>
            </w:r>
          </w:p>
        </w:tc>
        <w:tc>
          <w:tcPr>
            <w:tcW w:w="216" w:type="pct"/>
            <w:shd w:val="clear" w:color="auto" w:fill="auto"/>
            <w:vAlign w:val="center"/>
          </w:tcPr>
          <w:p w:rsidR="00F32B52" w:rsidRPr="00C742FD" w:rsidRDefault="00F32B52" w:rsidP="00352191">
            <w:pPr>
              <w:pStyle w:val="Tabletext"/>
              <w:keepNext/>
              <w:jc w:val="center"/>
              <w:rPr>
                <w:i/>
                <w:iCs/>
                <w:vertAlign w:val="superscript"/>
              </w:rPr>
            </w:pPr>
            <w:r w:rsidRPr="00C742FD">
              <w:rPr>
                <w:i/>
                <w:iCs/>
              </w:rPr>
              <w:t>207</w:t>
            </w:r>
            <w:r w:rsidRPr="00C742FD">
              <w:rPr>
                <w:i/>
                <w:iCs/>
                <w:vertAlign w:val="superscript"/>
              </w:rPr>
              <w:t>a</w:t>
            </w:r>
          </w:p>
        </w:tc>
        <w:tc>
          <w:tcPr>
            <w:tcW w:w="1648" w:type="pct"/>
            <w:shd w:val="clear" w:color="auto" w:fill="auto"/>
            <w:vAlign w:val="center"/>
          </w:tcPr>
          <w:p w:rsidR="00F32B52" w:rsidRPr="00C742FD" w:rsidRDefault="00F32B52" w:rsidP="00352191">
            <w:pPr>
              <w:pStyle w:val="Tabletext"/>
              <w:keepNext/>
              <w:jc w:val="center"/>
            </w:pPr>
            <w:r w:rsidRPr="00C742FD">
              <w:t xml:space="preserve">Phase 3, MC, R, BD for 24wks; PBO crossover </w:t>
            </w:r>
            <w:r>
              <w:t xml:space="preserve">or active dose </w:t>
            </w:r>
            <w:r w:rsidRPr="00C742FD">
              <w:t>escalation</w:t>
            </w:r>
            <w:r>
              <w:t xml:space="preserve"> </w:t>
            </w:r>
            <w:r w:rsidRPr="00C742FD">
              <w:t xml:space="preserve">at wk16 if </w:t>
            </w:r>
            <w:r>
              <w:t>‘non-</w:t>
            </w:r>
            <w:proofErr w:type="spellStart"/>
            <w:r>
              <w:t>responder’</w:t>
            </w:r>
            <w:r>
              <w:rPr>
                <w:vertAlign w:val="superscript"/>
              </w:rPr>
              <w:t>e</w:t>
            </w:r>
            <w:proofErr w:type="spellEnd"/>
            <w:r>
              <w:t>, or wk24 for PBO responders; OL from 24-60wks.</w:t>
            </w:r>
          </w:p>
        </w:tc>
        <w:tc>
          <w:tcPr>
            <w:tcW w:w="943" w:type="pct"/>
            <w:vAlign w:val="center"/>
          </w:tcPr>
          <w:p w:rsidR="00F32B52" w:rsidRDefault="00F32B52" w:rsidP="00352191">
            <w:pPr>
              <w:pStyle w:val="Tabletext"/>
              <w:keepNext/>
              <w:jc w:val="center"/>
            </w:pPr>
            <w:r>
              <w:t>UST 45mg SC wk0, 4, q12w; vs PBO</w:t>
            </w:r>
          </w:p>
        </w:tc>
        <w:tc>
          <w:tcPr>
            <w:tcW w:w="392" w:type="pct"/>
            <w:shd w:val="clear" w:color="auto" w:fill="auto"/>
            <w:vAlign w:val="center"/>
          </w:tcPr>
          <w:p w:rsidR="00F32B52" w:rsidRPr="00C742FD" w:rsidRDefault="00F32B52" w:rsidP="00352191">
            <w:pPr>
              <w:pStyle w:val="Tabletext"/>
              <w:keepNext/>
              <w:jc w:val="center"/>
            </w:pPr>
            <w:r>
              <w:t>Low</w:t>
            </w:r>
          </w:p>
        </w:tc>
        <w:tc>
          <w:tcPr>
            <w:tcW w:w="496" w:type="pct"/>
            <w:shd w:val="clear" w:color="auto" w:fill="auto"/>
            <w:vAlign w:val="center"/>
          </w:tcPr>
          <w:p w:rsidR="00F32B52" w:rsidRPr="00C742FD" w:rsidRDefault="00F32B52" w:rsidP="00352191">
            <w:pPr>
              <w:pStyle w:val="Tabletext"/>
              <w:keepNext/>
              <w:jc w:val="center"/>
            </w:pPr>
            <w:r w:rsidRPr="00C742FD">
              <w:t>Active PsA</w:t>
            </w:r>
          </w:p>
        </w:tc>
        <w:tc>
          <w:tcPr>
            <w:tcW w:w="734" w:type="pct"/>
            <w:shd w:val="clear" w:color="auto" w:fill="auto"/>
            <w:vAlign w:val="center"/>
          </w:tcPr>
          <w:p w:rsidR="00F32B52" w:rsidRPr="00C742FD" w:rsidRDefault="00F32B52" w:rsidP="00352191">
            <w:pPr>
              <w:pStyle w:val="Tabletext"/>
              <w:keepNext/>
              <w:jc w:val="center"/>
            </w:pPr>
            <w:r>
              <w:t xml:space="preserve">1°: </w:t>
            </w:r>
            <w:r w:rsidRPr="00C742FD">
              <w:t>ACR20</w:t>
            </w:r>
            <w:r>
              <w:t xml:space="preserve"> wk24;</w:t>
            </w:r>
            <w:r w:rsidRPr="00C742FD">
              <w:t xml:space="preserve"> </w:t>
            </w:r>
            <w:r>
              <w:t xml:space="preserve">2°: </w:t>
            </w:r>
            <w:r w:rsidRPr="00C742FD">
              <w:t>ACR50</w:t>
            </w:r>
          </w:p>
        </w:tc>
      </w:tr>
      <w:tr w:rsidR="00F32B52" w:rsidRPr="00C742FD" w:rsidTr="00F32B52">
        <w:tc>
          <w:tcPr>
            <w:tcW w:w="5000" w:type="pct"/>
            <w:gridSpan w:val="7"/>
          </w:tcPr>
          <w:p w:rsidR="00F32B52" w:rsidRPr="00C742FD" w:rsidRDefault="00F32B52" w:rsidP="00352191">
            <w:pPr>
              <w:pStyle w:val="Tabletext"/>
              <w:keepNext/>
              <w:rPr>
                <w:b/>
                <w:bCs/>
              </w:rPr>
            </w:pPr>
            <w:r w:rsidRPr="00C742FD">
              <w:rPr>
                <w:b/>
                <w:bCs/>
              </w:rPr>
              <w:t>Secukinumab versus placebo</w:t>
            </w:r>
          </w:p>
        </w:tc>
      </w:tr>
      <w:tr w:rsidR="00F32B52" w:rsidRPr="00C742FD" w:rsidTr="00F32B52">
        <w:tc>
          <w:tcPr>
            <w:tcW w:w="571" w:type="pct"/>
            <w:shd w:val="clear" w:color="auto" w:fill="auto"/>
            <w:vAlign w:val="center"/>
          </w:tcPr>
          <w:p w:rsidR="00F32B52" w:rsidRPr="00C742FD" w:rsidRDefault="00F32B52" w:rsidP="00352191">
            <w:pPr>
              <w:pStyle w:val="Tabletext"/>
              <w:keepNext/>
            </w:pPr>
            <w:r w:rsidRPr="00C742FD">
              <w:t>FUTURE 2</w:t>
            </w:r>
          </w:p>
        </w:tc>
        <w:tc>
          <w:tcPr>
            <w:tcW w:w="216" w:type="pct"/>
            <w:shd w:val="clear" w:color="auto" w:fill="auto"/>
            <w:vAlign w:val="center"/>
          </w:tcPr>
          <w:p w:rsidR="00F32B52" w:rsidRPr="00F51C70" w:rsidRDefault="00F32B52" w:rsidP="00352191">
            <w:pPr>
              <w:pStyle w:val="Tabletext"/>
              <w:keepNext/>
              <w:jc w:val="center"/>
              <w:rPr>
                <w:i/>
                <w:iCs/>
                <w:vertAlign w:val="superscript"/>
              </w:rPr>
            </w:pPr>
            <w:r>
              <w:rPr>
                <w:i/>
                <w:iCs/>
              </w:rPr>
              <w:t>298</w:t>
            </w:r>
            <w:r>
              <w:rPr>
                <w:i/>
                <w:iCs/>
                <w:vertAlign w:val="superscript"/>
              </w:rPr>
              <w:t>a</w:t>
            </w:r>
          </w:p>
        </w:tc>
        <w:tc>
          <w:tcPr>
            <w:tcW w:w="1648" w:type="pct"/>
            <w:shd w:val="clear" w:color="auto" w:fill="auto"/>
            <w:vAlign w:val="center"/>
          </w:tcPr>
          <w:p w:rsidR="00F32B52" w:rsidRPr="00C742FD" w:rsidRDefault="00F32B52" w:rsidP="00352191">
            <w:pPr>
              <w:pStyle w:val="Tabletext"/>
              <w:keepNext/>
              <w:jc w:val="center"/>
            </w:pPr>
            <w:r w:rsidRPr="00C742FD">
              <w:t xml:space="preserve">Phase 3, MC, R, BD for 24wks; PBO crossover at wk16 if </w:t>
            </w:r>
            <w:r>
              <w:t>‘non-</w:t>
            </w:r>
            <w:proofErr w:type="spellStart"/>
            <w:r>
              <w:t>responder’</w:t>
            </w:r>
            <w:r>
              <w:rPr>
                <w:vertAlign w:val="superscript"/>
              </w:rPr>
              <w:t>f</w:t>
            </w:r>
            <w:proofErr w:type="spellEnd"/>
            <w:r>
              <w:t>, or wk24 for responders; OL from 24-256wks.</w:t>
            </w:r>
          </w:p>
        </w:tc>
        <w:tc>
          <w:tcPr>
            <w:tcW w:w="943" w:type="pct"/>
            <w:vAlign w:val="center"/>
          </w:tcPr>
          <w:p w:rsidR="00F32B52" w:rsidRPr="00C742FD" w:rsidRDefault="00F32B52" w:rsidP="00352191">
            <w:pPr>
              <w:pStyle w:val="Tabletext"/>
              <w:keepNext/>
              <w:jc w:val="center"/>
            </w:pPr>
            <w:r>
              <w:t>SEC 150mg or 300mg wk0, 1, 2, 3, 4, q4w; vs PBO</w:t>
            </w:r>
          </w:p>
        </w:tc>
        <w:tc>
          <w:tcPr>
            <w:tcW w:w="392" w:type="pct"/>
            <w:shd w:val="clear" w:color="auto" w:fill="auto"/>
            <w:vAlign w:val="center"/>
          </w:tcPr>
          <w:p w:rsidR="00F32B52" w:rsidRPr="00C742FD" w:rsidRDefault="00F32B52" w:rsidP="00352191">
            <w:pPr>
              <w:pStyle w:val="Tabletext"/>
              <w:keepNext/>
              <w:jc w:val="center"/>
            </w:pPr>
            <w:r>
              <w:t>Low</w:t>
            </w:r>
          </w:p>
        </w:tc>
        <w:tc>
          <w:tcPr>
            <w:tcW w:w="496" w:type="pct"/>
            <w:shd w:val="clear" w:color="auto" w:fill="auto"/>
            <w:vAlign w:val="center"/>
          </w:tcPr>
          <w:p w:rsidR="00F32B52" w:rsidRPr="00C742FD" w:rsidRDefault="00F32B52" w:rsidP="00352191">
            <w:pPr>
              <w:pStyle w:val="Tabletext"/>
              <w:keepNext/>
              <w:jc w:val="center"/>
            </w:pPr>
            <w:r w:rsidRPr="00C742FD">
              <w:t>Active PsA</w:t>
            </w:r>
          </w:p>
        </w:tc>
        <w:tc>
          <w:tcPr>
            <w:tcW w:w="734" w:type="pct"/>
            <w:shd w:val="clear" w:color="auto" w:fill="auto"/>
            <w:vAlign w:val="center"/>
          </w:tcPr>
          <w:p w:rsidR="00F32B52" w:rsidRPr="00C742FD" w:rsidRDefault="00F32B52" w:rsidP="00352191">
            <w:pPr>
              <w:pStyle w:val="Tabletext"/>
              <w:keepNext/>
              <w:jc w:val="center"/>
            </w:pPr>
            <w:r>
              <w:t xml:space="preserve">1°: </w:t>
            </w:r>
            <w:r w:rsidRPr="00C742FD">
              <w:t>ACR20</w:t>
            </w:r>
            <w:r>
              <w:t xml:space="preserve"> wk24;</w:t>
            </w:r>
            <w:r w:rsidRPr="00C742FD">
              <w:t xml:space="preserve"> </w:t>
            </w:r>
            <w:r>
              <w:t xml:space="preserve">2°: </w:t>
            </w:r>
            <w:r w:rsidRPr="00C742FD">
              <w:t>ACR50</w:t>
            </w:r>
          </w:p>
        </w:tc>
      </w:tr>
    </w:tbl>
    <w:p w:rsidR="00A63D6A" w:rsidRDefault="00A63D6A" w:rsidP="00A63D6A">
      <w:pPr>
        <w:tabs>
          <w:tab w:val="left" w:pos="142"/>
        </w:tabs>
        <w:rPr>
          <w:rFonts w:ascii="Arial Narrow" w:hAnsi="Arial Narrow"/>
          <w:sz w:val="18"/>
          <w:szCs w:val="16"/>
        </w:rPr>
      </w:pPr>
      <w:r>
        <w:rPr>
          <w:rFonts w:ascii="Arial Narrow" w:hAnsi="Arial Narrow"/>
          <w:sz w:val="18"/>
          <w:szCs w:val="16"/>
        </w:rPr>
        <w:t xml:space="preserve">Abbreviations: EE = early escape; OL=open label; PBO = placebo; R = randomised; BD = double blind; MC = multicentre; </w:t>
      </w:r>
      <w:proofErr w:type="spellStart"/>
      <w:r>
        <w:rPr>
          <w:rFonts w:ascii="Arial Narrow" w:hAnsi="Arial Narrow"/>
          <w:sz w:val="18"/>
          <w:szCs w:val="16"/>
        </w:rPr>
        <w:t>mTSS</w:t>
      </w:r>
      <w:proofErr w:type="spellEnd"/>
      <w:r>
        <w:rPr>
          <w:rFonts w:ascii="Arial Narrow" w:hAnsi="Arial Narrow"/>
          <w:sz w:val="18"/>
          <w:szCs w:val="16"/>
        </w:rPr>
        <w:t xml:space="preserve">=modified total sharp score; </w:t>
      </w:r>
      <w:r w:rsidRPr="00F32B52">
        <w:rPr>
          <w:rFonts w:ascii="Arial Narrow" w:hAnsi="Arial Narrow"/>
          <w:sz w:val="18"/>
          <w:szCs w:val="16"/>
        </w:rPr>
        <w:t>ACR20/50 = ≥20% /50% improvement on the American College of Rheumatology Criteria</w:t>
      </w:r>
      <w:r w:rsidR="00176EA4">
        <w:rPr>
          <w:rFonts w:ascii="Arial Narrow" w:hAnsi="Arial Narrow"/>
          <w:sz w:val="18"/>
          <w:szCs w:val="16"/>
        </w:rPr>
        <w:t>; PsA= Psoriatic Arthritis</w:t>
      </w:r>
    </w:p>
    <w:p w:rsidR="00F32B52" w:rsidRDefault="00F32B52" w:rsidP="00F32B52">
      <w:pPr>
        <w:tabs>
          <w:tab w:val="left" w:pos="142"/>
        </w:tabs>
        <w:rPr>
          <w:rFonts w:ascii="Arial Narrow" w:hAnsi="Arial Narrow"/>
          <w:sz w:val="18"/>
          <w:szCs w:val="16"/>
        </w:rPr>
      </w:pPr>
      <w:proofErr w:type="spellStart"/>
      <w:proofErr w:type="gramStart"/>
      <w:r w:rsidRPr="00EF748F">
        <w:rPr>
          <w:rFonts w:ascii="Arial Narrow" w:hAnsi="Arial Narrow"/>
          <w:sz w:val="18"/>
          <w:szCs w:val="16"/>
          <w:vertAlign w:val="superscript"/>
        </w:rPr>
        <w:t>a</w:t>
      </w:r>
      <w:proofErr w:type="spellEnd"/>
      <w:proofErr w:type="gramEnd"/>
      <w:r>
        <w:rPr>
          <w:rFonts w:ascii="Arial Narrow" w:hAnsi="Arial Narrow"/>
          <w:sz w:val="18"/>
          <w:szCs w:val="16"/>
        </w:rPr>
        <w:tab/>
        <w:t>excluding patients randomised to arms which were not relevant to the submission.</w:t>
      </w:r>
    </w:p>
    <w:p w:rsidR="00F32B52" w:rsidRPr="003327BE" w:rsidRDefault="00F32B52" w:rsidP="00F32B52">
      <w:pPr>
        <w:tabs>
          <w:tab w:val="left" w:pos="142"/>
        </w:tabs>
        <w:rPr>
          <w:rFonts w:ascii="Arial Narrow" w:hAnsi="Arial Narrow"/>
          <w:sz w:val="18"/>
          <w:szCs w:val="16"/>
        </w:rPr>
      </w:pPr>
      <w:proofErr w:type="gramStart"/>
      <w:r>
        <w:rPr>
          <w:rFonts w:ascii="Arial Narrow" w:hAnsi="Arial Narrow"/>
          <w:sz w:val="18"/>
          <w:szCs w:val="16"/>
          <w:vertAlign w:val="superscript"/>
        </w:rPr>
        <w:t>b</w:t>
      </w:r>
      <w:proofErr w:type="gramEnd"/>
      <w:r>
        <w:rPr>
          <w:rFonts w:ascii="Arial Narrow" w:hAnsi="Arial Narrow"/>
          <w:sz w:val="18"/>
          <w:szCs w:val="16"/>
        </w:rPr>
        <w:tab/>
        <w:t xml:space="preserve">patients received a weight tiered dosing regimen approximated to 10mg/kg: &lt;60kg=500mg, 60-100kg=750mg, &gt;100kg=1g. </w:t>
      </w:r>
    </w:p>
    <w:p w:rsidR="00F32B52" w:rsidRDefault="00F32B52" w:rsidP="00F32B52">
      <w:pPr>
        <w:tabs>
          <w:tab w:val="left" w:pos="142"/>
        </w:tabs>
        <w:rPr>
          <w:rFonts w:ascii="Arial Narrow" w:hAnsi="Arial Narrow"/>
          <w:sz w:val="18"/>
          <w:szCs w:val="16"/>
        </w:rPr>
      </w:pPr>
      <w:proofErr w:type="gramStart"/>
      <w:r>
        <w:rPr>
          <w:rFonts w:ascii="Arial Narrow" w:hAnsi="Arial Narrow"/>
          <w:sz w:val="18"/>
          <w:szCs w:val="16"/>
          <w:vertAlign w:val="superscript"/>
        </w:rPr>
        <w:t>c</w:t>
      </w:r>
      <w:proofErr w:type="gramEnd"/>
      <w:r>
        <w:rPr>
          <w:rFonts w:ascii="Arial Narrow" w:hAnsi="Arial Narrow"/>
          <w:sz w:val="18"/>
          <w:szCs w:val="16"/>
        </w:rPr>
        <w:tab/>
        <w:t>patients (on ABA or PBO) with &lt;20% improvement in swollen and</w:t>
      </w:r>
      <w:r w:rsidRPr="00105173">
        <w:rPr>
          <w:rFonts w:ascii="Arial Narrow" w:hAnsi="Arial Narrow"/>
          <w:sz w:val="18"/>
          <w:szCs w:val="16"/>
        </w:rPr>
        <w:t xml:space="preserve"> tender joint count</w:t>
      </w:r>
      <w:r>
        <w:rPr>
          <w:rFonts w:ascii="Arial Narrow" w:hAnsi="Arial Narrow"/>
          <w:sz w:val="18"/>
          <w:szCs w:val="16"/>
        </w:rPr>
        <w:t xml:space="preserve"> at week 16 from baseline commenced OL ABA</w:t>
      </w:r>
    </w:p>
    <w:p w:rsidR="00F32B52" w:rsidRDefault="00F32B52" w:rsidP="00F32B52">
      <w:pPr>
        <w:tabs>
          <w:tab w:val="left" w:pos="142"/>
        </w:tabs>
        <w:ind w:left="135" w:hanging="135"/>
        <w:rPr>
          <w:rFonts w:ascii="Arial Narrow" w:hAnsi="Arial Narrow"/>
          <w:sz w:val="18"/>
          <w:szCs w:val="16"/>
        </w:rPr>
      </w:pPr>
      <w:r>
        <w:rPr>
          <w:rFonts w:ascii="Arial Narrow" w:hAnsi="Arial Narrow"/>
          <w:sz w:val="18"/>
          <w:szCs w:val="16"/>
          <w:vertAlign w:val="superscript"/>
        </w:rPr>
        <w:t>d</w:t>
      </w:r>
      <w:r>
        <w:rPr>
          <w:rFonts w:ascii="Arial Narrow" w:hAnsi="Arial Narrow"/>
          <w:sz w:val="18"/>
          <w:szCs w:val="16"/>
        </w:rPr>
        <w:tab/>
        <w:t>patients on PBO with &lt;10% improvement in swollen and</w:t>
      </w:r>
      <w:r w:rsidRPr="00105173">
        <w:rPr>
          <w:rFonts w:ascii="Arial Narrow" w:hAnsi="Arial Narrow"/>
          <w:sz w:val="18"/>
          <w:szCs w:val="16"/>
        </w:rPr>
        <w:t xml:space="preserve"> tender joint count</w:t>
      </w:r>
      <w:r>
        <w:rPr>
          <w:rFonts w:ascii="Arial Narrow" w:hAnsi="Arial Narrow"/>
          <w:sz w:val="18"/>
          <w:szCs w:val="16"/>
        </w:rPr>
        <w:t xml:space="preserve"> at week 16 from baseline were re-randomised to CZP 200mg q2w or 400mg q4w after the loading doses; all PBO patients were re-randomised at week 24.</w:t>
      </w:r>
    </w:p>
    <w:p w:rsidR="00F32B52" w:rsidRDefault="00F32B52" w:rsidP="00F32B52">
      <w:pPr>
        <w:tabs>
          <w:tab w:val="left" w:pos="142"/>
        </w:tabs>
        <w:ind w:left="135" w:hanging="135"/>
        <w:rPr>
          <w:rFonts w:ascii="Arial Narrow" w:hAnsi="Arial Narrow"/>
          <w:sz w:val="18"/>
          <w:szCs w:val="16"/>
        </w:rPr>
      </w:pPr>
      <w:proofErr w:type="gramStart"/>
      <w:r>
        <w:rPr>
          <w:rFonts w:ascii="Arial Narrow" w:hAnsi="Arial Narrow"/>
          <w:sz w:val="18"/>
          <w:szCs w:val="16"/>
          <w:vertAlign w:val="superscript"/>
        </w:rPr>
        <w:t>e</w:t>
      </w:r>
      <w:proofErr w:type="gramEnd"/>
      <w:r>
        <w:rPr>
          <w:rFonts w:ascii="Arial Narrow" w:hAnsi="Arial Narrow"/>
          <w:sz w:val="18"/>
          <w:szCs w:val="16"/>
        </w:rPr>
        <w:tab/>
        <w:t>patients on PBO or UST 45mg with &lt; 5% improvement in swollen and tender joint count at week 16 from baseline were initiated on UST 45mg and UST 90mg respectively; all PBO patients commenced UST 45mg at week 24.</w:t>
      </w:r>
    </w:p>
    <w:p w:rsidR="00F32B52" w:rsidRDefault="00F32B52" w:rsidP="00F32B52">
      <w:pPr>
        <w:tabs>
          <w:tab w:val="left" w:pos="142"/>
        </w:tabs>
        <w:ind w:left="135" w:hanging="135"/>
        <w:rPr>
          <w:rFonts w:ascii="Arial Narrow" w:hAnsi="Arial Narrow"/>
          <w:sz w:val="18"/>
          <w:szCs w:val="16"/>
        </w:rPr>
      </w:pPr>
      <w:proofErr w:type="gramStart"/>
      <w:r>
        <w:rPr>
          <w:rFonts w:ascii="Arial Narrow" w:hAnsi="Arial Narrow"/>
          <w:sz w:val="18"/>
          <w:szCs w:val="16"/>
          <w:vertAlign w:val="superscript"/>
        </w:rPr>
        <w:t>f</w:t>
      </w:r>
      <w:proofErr w:type="gramEnd"/>
      <w:r>
        <w:rPr>
          <w:rFonts w:ascii="Arial Narrow" w:hAnsi="Arial Narrow"/>
          <w:sz w:val="18"/>
          <w:szCs w:val="16"/>
        </w:rPr>
        <w:tab/>
        <w:t>patients on PBO with &lt;20% improvement in swollen and tender joint count at week 16 from baseline were re-randomised to SEC 300mg or 150mg.</w:t>
      </w:r>
    </w:p>
    <w:p w:rsidR="00F32B52" w:rsidRPr="009A7F3A" w:rsidRDefault="00F32B52" w:rsidP="00F32B52">
      <w:pPr>
        <w:rPr>
          <w:rFonts w:ascii="Arial Narrow" w:hAnsi="Arial Narrow"/>
          <w:sz w:val="18"/>
          <w:szCs w:val="16"/>
        </w:rPr>
      </w:pPr>
      <w:r w:rsidRPr="009A7F3A">
        <w:rPr>
          <w:rFonts w:ascii="Arial Narrow" w:hAnsi="Arial Narrow"/>
          <w:sz w:val="18"/>
          <w:szCs w:val="16"/>
        </w:rPr>
        <w:t xml:space="preserve">Source: </w:t>
      </w:r>
      <w:r>
        <w:rPr>
          <w:rFonts w:ascii="Arial Narrow" w:hAnsi="Arial Narrow"/>
          <w:sz w:val="18"/>
          <w:szCs w:val="16"/>
        </w:rPr>
        <w:t>compiled during the evaluation from the trial publications</w:t>
      </w:r>
    </w:p>
    <w:p w:rsidR="007F1017" w:rsidRPr="00234409" w:rsidRDefault="007F1017" w:rsidP="007F1017"/>
    <w:p w:rsidR="002B6D60" w:rsidRPr="00234409" w:rsidRDefault="005908E2" w:rsidP="00176EA4">
      <w:pPr>
        <w:pStyle w:val="ListParagraph"/>
        <w:widowControl/>
        <w:numPr>
          <w:ilvl w:val="1"/>
          <w:numId w:val="3"/>
        </w:numPr>
      </w:pPr>
      <w:r w:rsidRPr="00234409">
        <w:rPr>
          <w:iCs/>
          <w:color w:val="000000" w:themeColor="text1"/>
        </w:rPr>
        <w:t xml:space="preserve">The overall </w:t>
      </w:r>
      <w:r w:rsidRPr="00234409">
        <w:rPr>
          <w:iCs/>
        </w:rPr>
        <w:t xml:space="preserve">risk of bias of the included trials was considered low, </w:t>
      </w:r>
      <w:r w:rsidR="00176EA4" w:rsidRPr="00234409">
        <w:rPr>
          <w:iCs/>
        </w:rPr>
        <w:t xml:space="preserve">although </w:t>
      </w:r>
      <w:r w:rsidRPr="00234409">
        <w:rPr>
          <w:iCs/>
        </w:rPr>
        <w:t>there were much higher rates of discontinuation for patients treated with placebo compared with active t</w:t>
      </w:r>
      <w:r w:rsidR="00C97FE3" w:rsidRPr="00234409">
        <w:rPr>
          <w:iCs/>
        </w:rPr>
        <w:t xml:space="preserve">reatment across the trials.  The potential that prescribers and patients could determine the assignment of groups </w:t>
      </w:r>
      <w:r w:rsidRPr="00234409">
        <w:rPr>
          <w:iCs/>
        </w:rPr>
        <w:t xml:space="preserve">may </w:t>
      </w:r>
      <w:r w:rsidR="00C97FE3" w:rsidRPr="00234409">
        <w:rPr>
          <w:iCs/>
        </w:rPr>
        <w:t xml:space="preserve">have </w:t>
      </w:r>
      <w:r w:rsidRPr="00234409">
        <w:rPr>
          <w:iCs/>
        </w:rPr>
        <w:t>impact</w:t>
      </w:r>
      <w:r w:rsidR="00C97FE3" w:rsidRPr="00234409">
        <w:rPr>
          <w:iCs/>
        </w:rPr>
        <w:t>ed</w:t>
      </w:r>
      <w:r w:rsidRPr="00234409">
        <w:rPr>
          <w:iCs/>
        </w:rPr>
        <w:t xml:space="preserve"> on some outcomes</w:t>
      </w:r>
      <w:r w:rsidR="00C97FE3" w:rsidRPr="00234409">
        <w:rPr>
          <w:iCs/>
        </w:rPr>
        <w:t>, but any bias would likely be comparable across trials.</w:t>
      </w:r>
    </w:p>
    <w:p w:rsidR="00B60939" w:rsidRPr="00234409" w:rsidRDefault="002B6D60" w:rsidP="00B60939">
      <w:pPr>
        <w:pStyle w:val="ListParagraph"/>
        <w:widowControl/>
        <w:numPr>
          <w:ilvl w:val="1"/>
          <w:numId w:val="3"/>
        </w:numPr>
      </w:pPr>
      <w:r w:rsidRPr="00234409">
        <w:rPr>
          <w:iCs/>
        </w:rPr>
        <w:t xml:space="preserve">All trials had a double-blind phase of 24 weeks, however most </w:t>
      </w:r>
      <w:r w:rsidR="00176EA4" w:rsidRPr="00234409">
        <w:rPr>
          <w:iCs/>
        </w:rPr>
        <w:t>required</w:t>
      </w:r>
      <w:r w:rsidRPr="00234409">
        <w:rPr>
          <w:iCs/>
        </w:rPr>
        <w:t xml:space="preserve"> patients </w:t>
      </w:r>
      <w:r w:rsidR="00176EA4" w:rsidRPr="00234409">
        <w:rPr>
          <w:iCs/>
        </w:rPr>
        <w:t xml:space="preserve">who did not meet minimum response criteria after Week 16 </w:t>
      </w:r>
      <w:r w:rsidR="002218F2" w:rsidRPr="00234409">
        <w:rPr>
          <w:iCs/>
        </w:rPr>
        <w:t xml:space="preserve">in the placebo arm or both placebo and active arms </w:t>
      </w:r>
      <w:r w:rsidR="00176EA4" w:rsidRPr="00234409">
        <w:rPr>
          <w:iCs/>
        </w:rPr>
        <w:t>to c</w:t>
      </w:r>
      <w:r w:rsidR="002218F2" w:rsidRPr="00234409">
        <w:rPr>
          <w:iCs/>
        </w:rPr>
        <w:t xml:space="preserve">ommence </w:t>
      </w:r>
      <w:r w:rsidR="00176EA4" w:rsidRPr="00234409">
        <w:rPr>
          <w:iCs/>
        </w:rPr>
        <w:t>open-label active treatment</w:t>
      </w:r>
      <w:r w:rsidRPr="00234409">
        <w:rPr>
          <w:iCs/>
        </w:rPr>
        <w:t xml:space="preserve">.  The criteria for ‘early escape’ differed across the </w:t>
      </w:r>
      <w:r w:rsidR="00613ABF" w:rsidRPr="00234409">
        <w:rPr>
          <w:iCs/>
        </w:rPr>
        <w:t>trials which were</w:t>
      </w:r>
      <w:r w:rsidRPr="00234409">
        <w:rPr>
          <w:iCs/>
        </w:rPr>
        <w:t xml:space="preserve"> argued</w:t>
      </w:r>
      <w:r w:rsidR="00801913" w:rsidRPr="00234409">
        <w:rPr>
          <w:iCs/>
        </w:rPr>
        <w:t xml:space="preserve"> to</w:t>
      </w:r>
      <w:r w:rsidRPr="00234409">
        <w:rPr>
          <w:iCs/>
        </w:rPr>
        <w:t xml:space="preserve"> bias against </w:t>
      </w:r>
      <w:proofErr w:type="spellStart"/>
      <w:r w:rsidR="006B5817" w:rsidRPr="00234409">
        <w:rPr>
          <w:iCs/>
        </w:rPr>
        <w:t>abatacept</w:t>
      </w:r>
      <w:proofErr w:type="spellEnd"/>
      <w:r w:rsidRPr="00234409">
        <w:rPr>
          <w:iCs/>
        </w:rPr>
        <w:t xml:space="preserve"> in the indirect comparisons conducted at Week 24.  Given the criteria </w:t>
      </w:r>
      <w:r w:rsidR="009903B5">
        <w:rPr>
          <w:iCs/>
        </w:rPr>
        <w:t>were</w:t>
      </w:r>
      <w:r w:rsidR="009903B5" w:rsidRPr="00234409">
        <w:rPr>
          <w:iCs/>
        </w:rPr>
        <w:t xml:space="preserve"> </w:t>
      </w:r>
      <w:r w:rsidRPr="00234409">
        <w:rPr>
          <w:iCs/>
        </w:rPr>
        <w:t xml:space="preserve">easier to fulfil in </w:t>
      </w:r>
      <w:proofErr w:type="spellStart"/>
      <w:r w:rsidRPr="00234409">
        <w:rPr>
          <w:iCs/>
        </w:rPr>
        <w:t>Mease</w:t>
      </w:r>
      <w:proofErr w:type="spellEnd"/>
      <w:r w:rsidRPr="00234409">
        <w:rPr>
          <w:iCs/>
        </w:rPr>
        <w:t xml:space="preserve"> 2017</w:t>
      </w:r>
      <w:r w:rsidR="009903B5">
        <w:rPr>
          <w:iCs/>
        </w:rPr>
        <w:t>,</w:t>
      </w:r>
      <w:r w:rsidRPr="00234409">
        <w:rPr>
          <w:iCs/>
        </w:rPr>
        <w:t xml:space="preserve"> and since it was also applied to the active treatment arm, </w:t>
      </w:r>
      <w:r w:rsidR="00444565" w:rsidRPr="00234409">
        <w:rPr>
          <w:iCs/>
        </w:rPr>
        <w:t xml:space="preserve">it was argued that </w:t>
      </w:r>
      <w:r w:rsidRPr="00234409">
        <w:rPr>
          <w:iCs/>
        </w:rPr>
        <w:t xml:space="preserve">fewer patients </w:t>
      </w:r>
      <w:r w:rsidR="00801913" w:rsidRPr="00234409">
        <w:rPr>
          <w:iCs/>
        </w:rPr>
        <w:t xml:space="preserve">on </w:t>
      </w:r>
      <w:proofErr w:type="spellStart"/>
      <w:r w:rsidR="006B5817" w:rsidRPr="00234409">
        <w:rPr>
          <w:iCs/>
        </w:rPr>
        <w:t>abatacept</w:t>
      </w:r>
      <w:proofErr w:type="spellEnd"/>
      <w:r w:rsidR="00801913" w:rsidRPr="00234409">
        <w:rPr>
          <w:iCs/>
        </w:rPr>
        <w:t xml:space="preserve"> </w:t>
      </w:r>
      <w:r w:rsidRPr="00234409">
        <w:rPr>
          <w:iCs/>
        </w:rPr>
        <w:t>would have had the opportunity to demo</w:t>
      </w:r>
      <w:r w:rsidR="00801913" w:rsidRPr="00234409">
        <w:rPr>
          <w:iCs/>
        </w:rPr>
        <w:t>nstrate a response by Week 24.</w:t>
      </w:r>
    </w:p>
    <w:p w:rsidR="00B60939" w:rsidRPr="00AB1DCC" w:rsidRDefault="00B60939" w:rsidP="00F55365">
      <w:pPr>
        <w:pStyle w:val="Heading2"/>
      </w:pPr>
      <w:bookmarkStart w:id="8" w:name="_Toc503190139"/>
      <w:r w:rsidRPr="00AB1DCC">
        <w:t>Comparative effectiveness</w:t>
      </w:r>
      <w:bookmarkEnd w:id="8"/>
    </w:p>
    <w:p w:rsidR="00A02014" w:rsidRPr="00234409" w:rsidRDefault="00652B3F" w:rsidP="002218F2">
      <w:pPr>
        <w:pStyle w:val="ListParagraph"/>
        <w:widowControl/>
        <w:numPr>
          <w:ilvl w:val="1"/>
          <w:numId w:val="3"/>
        </w:numPr>
        <w:rPr>
          <w:iCs/>
        </w:rPr>
      </w:pPr>
      <w:r w:rsidRPr="00234409">
        <w:rPr>
          <w:rFonts w:cs="Calibri"/>
          <w:iCs/>
          <w:snapToGrid/>
          <w:szCs w:val="24"/>
          <w:lang w:val="en-US" w:eastAsia="en-AU"/>
        </w:rPr>
        <w:t>O</w:t>
      </w:r>
      <w:r w:rsidR="00C047F7" w:rsidRPr="00234409">
        <w:rPr>
          <w:rFonts w:cs="Calibri"/>
          <w:iCs/>
          <w:snapToGrid/>
          <w:szCs w:val="24"/>
          <w:lang w:val="en-US" w:eastAsia="en-AU"/>
        </w:rPr>
        <w:t>n the PBS</w:t>
      </w:r>
      <w:r w:rsidRPr="00234409">
        <w:rPr>
          <w:rFonts w:cs="Calibri"/>
          <w:iCs/>
          <w:snapToGrid/>
          <w:szCs w:val="24"/>
          <w:lang w:val="en-US" w:eastAsia="en-AU"/>
        </w:rPr>
        <w:t>, response</w:t>
      </w:r>
      <w:r w:rsidR="00C047F7" w:rsidRPr="00234409">
        <w:rPr>
          <w:rFonts w:cs="Calibri"/>
          <w:iCs/>
          <w:snapToGrid/>
          <w:szCs w:val="24"/>
          <w:lang w:val="en-US" w:eastAsia="en-AU"/>
        </w:rPr>
        <w:t xml:space="preserve"> to </w:t>
      </w:r>
      <w:proofErr w:type="spellStart"/>
      <w:r w:rsidR="00C047F7" w:rsidRPr="00234409">
        <w:rPr>
          <w:rFonts w:cs="Calibri"/>
          <w:iCs/>
          <w:snapToGrid/>
          <w:szCs w:val="24"/>
          <w:lang w:val="en-US" w:eastAsia="en-AU"/>
        </w:rPr>
        <w:t>bDMARD</w:t>
      </w:r>
      <w:proofErr w:type="spellEnd"/>
      <w:r w:rsidR="00C047F7" w:rsidRPr="00234409">
        <w:rPr>
          <w:rFonts w:cs="Calibri"/>
          <w:iCs/>
          <w:snapToGrid/>
          <w:szCs w:val="24"/>
          <w:lang w:val="en-US" w:eastAsia="en-AU"/>
        </w:rPr>
        <w:t xml:space="preserve"> therapy</w:t>
      </w:r>
      <w:r w:rsidR="00A02014" w:rsidRPr="00234409">
        <w:rPr>
          <w:rFonts w:cs="Calibri"/>
          <w:iCs/>
          <w:snapToGrid/>
          <w:szCs w:val="24"/>
          <w:lang w:val="en-US" w:eastAsia="en-AU"/>
        </w:rPr>
        <w:t xml:space="preserve"> for </w:t>
      </w:r>
      <w:proofErr w:type="spellStart"/>
      <w:r w:rsidR="00A02014" w:rsidRPr="00234409">
        <w:rPr>
          <w:rFonts w:cs="Calibri"/>
          <w:iCs/>
          <w:snapToGrid/>
          <w:szCs w:val="24"/>
          <w:lang w:val="en-US" w:eastAsia="en-AU"/>
        </w:rPr>
        <w:t>PsA</w:t>
      </w:r>
      <w:proofErr w:type="spellEnd"/>
      <w:r w:rsidR="00A02014" w:rsidRPr="00234409">
        <w:rPr>
          <w:rFonts w:cs="Calibri"/>
          <w:iCs/>
          <w:snapToGrid/>
          <w:szCs w:val="24"/>
          <w:lang w:val="en-US" w:eastAsia="en-AU"/>
        </w:rPr>
        <w:t xml:space="preserve"> is currently determined by criteria</w:t>
      </w:r>
      <w:r w:rsidR="00F22E4C" w:rsidRPr="00234409">
        <w:rPr>
          <w:rFonts w:cs="Calibri"/>
          <w:iCs/>
          <w:snapToGrid/>
          <w:szCs w:val="24"/>
          <w:lang w:val="en-US" w:eastAsia="en-AU"/>
        </w:rPr>
        <w:t xml:space="preserve"> similar to the ACR50 and ACR20 response criteria, assessed at various time points depending on the individual </w:t>
      </w:r>
      <w:proofErr w:type="spellStart"/>
      <w:r w:rsidR="00F22E4C" w:rsidRPr="00234409">
        <w:rPr>
          <w:rFonts w:cs="Calibri"/>
          <w:iCs/>
          <w:snapToGrid/>
          <w:szCs w:val="24"/>
          <w:lang w:val="en-US" w:eastAsia="en-AU"/>
        </w:rPr>
        <w:t>bDMARD</w:t>
      </w:r>
      <w:proofErr w:type="spellEnd"/>
      <w:r w:rsidR="00F22E4C" w:rsidRPr="00234409">
        <w:rPr>
          <w:rFonts w:cs="Calibri"/>
          <w:iCs/>
          <w:snapToGrid/>
          <w:szCs w:val="24"/>
          <w:lang w:val="en-US" w:eastAsia="en-AU"/>
        </w:rPr>
        <w:t xml:space="preserve"> </w:t>
      </w:r>
      <w:r w:rsidRPr="00234409">
        <w:rPr>
          <w:rFonts w:cs="Calibri"/>
          <w:iCs/>
          <w:snapToGrid/>
          <w:szCs w:val="24"/>
          <w:lang w:val="en-US" w:eastAsia="en-AU"/>
        </w:rPr>
        <w:t>(i.e. Week 12</w:t>
      </w:r>
      <w:r w:rsidR="00B06C0B" w:rsidRPr="00234409">
        <w:rPr>
          <w:rFonts w:cs="Calibri"/>
          <w:iCs/>
          <w:snapToGrid/>
          <w:szCs w:val="24"/>
          <w:lang w:val="en-US" w:eastAsia="en-AU"/>
        </w:rPr>
        <w:t>-16</w:t>
      </w:r>
      <w:r w:rsidRPr="00234409">
        <w:rPr>
          <w:rFonts w:cs="Calibri"/>
          <w:iCs/>
          <w:snapToGrid/>
          <w:szCs w:val="24"/>
          <w:lang w:val="en-US" w:eastAsia="en-AU"/>
        </w:rPr>
        <w:t xml:space="preserve"> for </w:t>
      </w:r>
      <w:proofErr w:type="spellStart"/>
      <w:r w:rsidR="00973D9A">
        <w:rPr>
          <w:rFonts w:cs="Calibri"/>
          <w:iCs/>
          <w:snapToGrid/>
          <w:szCs w:val="24"/>
          <w:lang w:val="en-US" w:eastAsia="en-AU"/>
        </w:rPr>
        <w:t>secukinumab</w:t>
      </w:r>
      <w:proofErr w:type="spellEnd"/>
      <w:r w:rsidRPr="00234409">
        <w:rPr>
          <w:rFonts w:cs="Calibri"/>
          <w:iCs/>
          <w:snapToGrid/>
          <w:szCs w:val="24"/>
          <w:lang w:val="en-US" w:eastAsia="en-AU"/>
        </w:rPr>
        <w:t>, Week 12-</w:t>
      </w:r>
      <w:r w:rsidR="00B06C0B" w:rsidRPr="00234409">
        <w:rPr>
          <w:rFonts w:cs="Calibri"/>
          <w:iCs/>
          <w:snapToGrid/>
          <w:szCs w:val="24"/>
          <w:lang w:val="en-US" w:eastAsia="en-AU"/>
        </w:rPr>
        <w:t>18/20</w:t>
      </w:r>
      <w:r w:rsidRPr="00234409">
        <w:rPr>
          <w:rFonts w:cs="Calibri"/>
          <w:iCs/>
          <w:snapToGrid/>
          <w:szCs w:val="24"/>
          <w:lang w:val="en-US" w:eastAsia="en-AU"/>
        </w:rPr>
        <w:t xml:space="preserve"> for </w:t>
      </w:r>
      <w:proofErr w:type="spellStart"/>
      <w:r w:rsidR="00973D9A">
        <w:rPr>
          <w:rFonts w:cs="Calibri"/>
          <w:iCs/>
          <w:snapToGrid/>
          <w:szCs w:val="24"/>
          <w:lang w:val="en-US" w:eastAsia="en-AU"/>
        </w:rPr>
        <w:t>certolizumab</w:t>
      </w:r>
      <w:proofErr w:type="spellEnd"/>
      <w:r w:rsidRPr="00234409">
        <w:rPr>
          <w:rFonts w:cs="Calibri"/>
          <w:iCs/>
          <w:snapToGrid/>
          <w:szCs w:val="24"/>
          <w:lang w:val="en-US" w:eastAsia="en-AU"/>
        </w:rPr>
        <w:t xml:space="preserve"> depending on the dose, and </w:t>
      </w:r>
      <w:r w:rsidR="00B06C0B" w:rsidRPr="00234409">
        <w:rPr>
          <w:rFonts w:cs="Calibri"/>
          <w:iCs/>
          <w:snapToGrid/>
          <w:szCs w:val="24"/>
          <w:lang w:val="en-US" w:eastAsia="en-AU"/>
        </w:rPr>
        <w:t>~</w:t>
      </w:r>
      <w:r w:rsidRPr="00234409">
        <w:rPr>
          <w:rFonts w:cs="Calibri"/>
          <w:iCs/>
          <w:snapToGrid/>
          <w:szCs w:val="24"/>
          <w:lang w:val="en-US" w:eastAsia="en-AU"/>
        </w:rPr>
        <w:t>Week 12-2</w:t>
      </w:r>
      <w:r w:rsidR="00B06C0B" w:rsidRPr="00234409">
        <w:rPr>
          <w:rFonts w:cs="Calibri"/>
          <w:iCs/>
          <w:snapToGrid/>
          <w:szCs w:val="24"/>
          <w:lang w:val="en-US" w:eastAsia="en-AU"/>
        </w:rPr>
        <w:t>8</w:t>
      </w:r>
      <w:r w:rsidRPr="00234409">
        <w:rPr>
          <w:rFonts w:cs="Calibri"/>
          <w:iCs/>
          <w:snapToGrid/>
          <w:szCs w:val="24"/>
          <w:lang w:val="en-US" w:eastAsia="en-AU"/>
        </w:rPr>
        <w:t xml:space="preserve"> for </w:t>
      </w:r>
      <w:proofErr w:type="spellStart"/>
      <w:r w:rsidR="00973D9A">
        <w:rPr>
          <w:rFonts w:cs="Calibri"/>
          <w:iCs/>
          <w:snapToGrid/>
          <w:szCs w:val="24"/>
          <w:lang w:val="en-US" w:eastAsia="en-AU"/>
        </w:rPr>
        <w:t>ustekinumba</w:t>
      </w:r>
      <w:proofErr w:type="spellEnd"/>
      <w:r w:rsidRPr="00234409">
        <w:rPr>
          <w:rFonts w:cs="Calibri"/>
          <w:iCs/>
          <w:snapToGrid/>
          <w:szCs w:val="24"/>
          <w:lang w:val="en-US" w:eastAsia="en-AU"/>
        </w:rPr>
        <w:t>).</w:t>
      </w:r>
      <w:r w:rsidR="00A02014" w:rsidRPr="00234409">
        <w:rPr>
          <w:rFonts w:cs="Calibri"/>
          <w:iCs/>
          <w:snapToGrid/>
          <w:szCs w:val="24"/>
          <w:lang w:val="en-US" w:eastAsia="en-AU"/>
        </w:rPr>
        <w:t xml:space="preserve">  </w:t>
      </w:r>
      <w:r w:rsidR="00A02014" w:rsidRPr="00234409">
        <w:rPr>
          <w:iCs/>
        </w:rPr>
        <w:t>ACR20 was the primary outcome in all of the included trials, assessed at Week 12 in RAPID-PsA and Week 24 in the other</w:t>
      </w:r>
      <w:r w:rsidR="002218F2" w:rsidRPr="00234409">
        <w:rPr>
          <w:iCs/>
        </w:rPr>
        <w:t xml:space="preserve"> trials</w:t>
      </w:r>
      <w:r w:rsidR="00A02014" w:rsidRPr="00234409">
        <w:rPr>
          <w:iCs/>
        </w:rPr>
        <w:t xml:space="preserve">.  ACR50 </w:t>
      </w:r>
      <w:r w:rsidR="002218F2" w:rsidRPr="00234409">
        <w:rPr>
          <w:iCs/>
        </w:rPr>
        <w:t xml:space="preserve">and </w:t>
      </w:r>
      <w:r w:rsidR="00A02014" w:rsidRPr="00234409">
        <w:rPr>
          <w:iCs/>
        </w:rPr>
        <w:t xml:space="preserve">ACR20 at </w:t>
      </w:r>
      <w:r w:rsidR="0075368C" w:rsidRPr="00234409">
        <w:rPr>
          <w:iCs/>
        </w:rPr>
        <w:t>var</w:t>
      </w:r>
      <w:r w:rsidR="00A02014" w:rsidRPr="00234409">
        <w:rPr>
          <w:iCs/>
        </w:rPr>
        <w:t>ious time</w:t>
      </w:r>
      <w:r w:rsidR="0075368C" w:rsidRPr="00234409">
        <w:rPr>
          <w:iCs/>
        </w:rPr>
        <w:t>s</w:t>
      </w:r>
      <w:r w:rsidR="00A02014" w:rsidRPr="00234409">
        <w:rPr>
          <w:iCs/>
        </w:rPr>
        <w:t xml:space="preserve"> were</w:t>
      </w:r>
      <w:r w:rsidR="002218F2" w:rsidRPr="00234409">
        <w:rPr>
          <w:iCs/>
        </w:rPr>
        <w:t xml:space="preserve"> either</w:t>
      </w:r>
      <w:r w:rsidR="00A02014" w:rsidRPr="00234409">
        <w:rPr>
          <w:iCs/>
        </w:rPr>
        <w:t xml:space="preserve"> secondary or exploratory outcomes.</w:t>
      </w:r>
      <w:r w:rsidR="00A02014" w:rsidRPr="00234409">
        <w:rPr>
          <w:rFonts w:cs="Calibri"/>
          <w:iCs/>
          <w:snapToGrid/>
          <w:szCs w:val="24"/>
          <w:lang w:val="en-US" w:eastAsia="en-AU"/>
        </w:rPr>
        <w:t xml:space="preserve"> </w:t>
      </w:r>
    </w:p>
    <w:p w:rsidR="00B06C0B" w:rsidRPr="00234409" w:rsidRDefault="00B06C0B" w:rsidP="00B06C0B">
      <w:pPr>
        <w:pStyle w:val="ListParagraph"/>
        <w:widowControl/>
        <w:numPr>
          <w:ilvl w:val="1"/>
          <w:numId w:val="3"/>
        </w:numPr>
      </w:pPr>
      <w:r w:rsidRPr="00234409">
        <w:rPr>
          <w:rFonts w:cs="Calibri"/>
          <w:iCs/>
          <w:snapToGrid/>
          <w:szCs w:val="24"/>
          <w:lang w:val="en-US" w:eastAsia="en-AU"/>
        </w:rPr>
        <w:t xml:space="preserve">The </w:t>
      </w:r>
      <w:r w:rsidRPr="00234409">
        <w:rPr>
          <w:iCs/>
        </w:rPr>
        <w:t xml:space="preserve">PBAC has previously considered that: </w:t>
      </w:r>
      <w:proofErr w:type="spellStart"/>
      <w:r w:rsidRPr="00234409">
        <w:rPr>
          <w:iCs/>
        </w:rPr>
        <w:t>i</w:t>
      </w:r>
      <w:proofErr w:type="spellEnd"/>
      <w:r w:rsidRPr="00234409">
        <w:rPr>
          <w:iCs/>
        </w:rPr>
        <w:t xml:space="preserve">) joint response (rather than skin response) was the most important outcome in PsA; ii) “ACR50 was the outcome of most interest … [given] it is more stringent than ACR20 and reflects to a greater degree the criteria for the current PBS eligibility for continuing treatment with a bDMARD”; and iii) it is appropriate to determine the price of the bDMARDs based on the ACR50 outcome alone (see Ustekinumab PSD, November 2014).  </w:t>
      </w:r>
      <w:r w:rsidR="00785884" w:rsidRPr="00234409">
        <w:rPr>
          <w:iCs/>
        </w:rPr>
        <w:t xml:space="preserve">However, </w:t>
      </w:r>
      <w:r w:rsidRPr="00234409">
        <w:rPr>
          <w:iCs/>
        </w:rPr>
        <w:t xml:space="preserve">ACR20 has also been used to support non-inferiority in past decisions (see </w:t>
      </w:r>
      <w:proofErr w:type="spellStart"/>
      <w:r w:rsidRPr="00234409">
        <w:rPr>
          <w:iCs/>
        </w:rPr>
        <w:t>Certolizumab</w:t>
      </w:r>
      <w:proofErr w:type="spellEnd"/>
      <w:r w:rsidRPr="00234409">
        <w:rPr>
          <w:iCs/>
        </w:rPr>
        <w:t xml:space="preserve"> PSD, November 2014; Secukinumab PSD, March 2016).</w:t>
      </w:r>
    </w:p>
    <w:p w:rsidR="00785884" w:rsidRPr="00234409" w:rsidRDefault="00785884" w:rsidP="00C26BFB">
      <w:pPr>
        <w:pStyle w:val="ListParagraph"/>
        <w:widowControl/>
        <w:numPr>
          <w:ilvl w:val="1"/>
          <w:numId w:val="3"/>
        </w:numPr>
      </w:pPr>
      <w:r w:rsidRPr="00234409">
        <w:t xml:space="preserve">Non-inferiority margins for ACR50 and ACR20 were nominated based on the PBAC’s consideration of </w:t>
      </w:r>
      <w:r w:rsidR="009903B5">
        <w:t>s</w:t>
      </w:r>
      <w:r w:rsidR="009903B5" w:rsidRPr="00234409">
        <w:t xml:space="preserve">ecukinumab </w:t>
      </w:r>
      <w:r w:rsidRPr="00234409">
        <w:t xml:space="preserve">(see Secukinumab PSD March 2016).  For non-inferiority to be demonstrated, there must not be a statistically significant difference in the indirect comparisons, and the </w:t>
      </w:r>
      <w:r w:rsidRPr="00234409">
        <w:rPr>
          <w:iCs/>
        </w:rPr>
        <w:t>lower</w:t>
      </w:r>
      <w:r w:rsidRPr="00234409">
        <w:t xml:space="preserve"> bound of the 95% confidence interval (CI) around the relative risk (RR) must exceed 0.29 for ACR50 and 0.46 for ACR20.  </w:t>
      </w:r>
    </w:p>
    <w:p w:rsidR="00DE1CA1" w:rsidRPr="00234409" w:rsidRDefault="00DE1CA1" w:rsidP="00DE1CA1">
      <w:pPr>
        <w:pStyle w:val="ListParagraph"/>
        <w:widowControl/>
        <w:numPr>
          <w:ilvl w:val="1"/>
          <w:numId w:val="3"/>
        </w:numPr>
        <w:rPr>
          <w:iCs/>
        </w:rPr>
      </w:pPr>
      <w:r w:rsidRPr="00234409">
        <w:rPr>
          <w:iCs/>
        </w:rPr>
        <w:t xml:space="preserve">The trial results for ACR50 and ACR20 at Week 24 indicated that the biologics were more effective than placebo at producing a response with one key </w:t>
      </w:r>
      <w:r w:rsidRPr="00AE4BF9">
        <w:rPr>
          <w:iCs/>
        </w:rPr>
        <w:t>exception.</w:t>
      </w:r>
      <w:r w:rsidRPr="00234409">
        <w:rPr>
          <w:iCs/>
        </w:rPr>
        <w:t xml:space="preserve">  Although numerically higher, the proportion of patients who achieved an ACR50 response on </w:t>
      </w:r>
      <w:proofErr w:type="spellStart"/>
      <w:r w:rsidR="005A5A63" w:rsidRPr="00234409">
        <w:rPr>
          <w:iCs/>
        </w:rPr>
        <w:t>abatacept</w:t>
      </w:r>
      <w:proofErr w:type="spellEnd"/>
      <w:r w:rsidRPr="00234409">
        <w:rPr>
          <w:iCs/>
        </w:rPr>
        <w:t xml:space="preserve"> was not statistically significantly different to placebo in </w:t>
      </w:r>
      <w:proofErr w:type="spellStart"/>
      <w:r w:rsidRPr="00234409">
        <w:rPr>
          <w:iCs/>
        </w:rPr>
        <w:t>Mease</w:t>
      </w:r>
      <w:proofErr w:type="spellEnd"/>
      <w:r w:rsidRPr="00234409">
        <w:rPr>
          <w:iCs/>
        </w:rPr>
        <w:t xml:space="preserve"> 2017.  The failure of this secondary endpoint may in part be due to the high proportion of early escape patients subsequently classified as non-responders (36% on </w:t>
      </w:r>
      <w:proofErr w:type="spellStart"/>
      <w:r w:rsidR="005A5A63" w:rsidRPr="00234409">
        <w:rPr>
          <w:iCs/>
        </w:rPr>
        <w:t>abatacept</w:t>
      </w:r>
      <w:proofErr w:type="spellEnd"/>
      <w:r w:rsidRPr="00234409">
        <w:rPr>
          <w:iCs/>
        </w:rPr>
        <w:t xml:space="preserve"> and 42% on placebo).</w:t>
      </w:r>
    </w:p>
    <w:p w:rsidR="00C26BFB" w:rsidRPr="00234409" w:rsidRDefault="00A02014" w:rsidP="00687726">
      <w:pPr>
        <w:pStyle w:val="ListParagraph"/>
        <w:widowControl/>
        <w:numPr>
          <w:ilvl w:val="1"/>
          <w:numId w:val="3"/>
        </w:numPr>
        <w:rPr>
          <w:iCs/>
        </w:rPr>
      </w:pPr>
      <w:r w:rsidRPr="00234409">
        <w:t xml:space="preserve">The submission presented </w:t>
      </w:r>
      <w:r w:rsidR="00820741" w:rsidRPr="00234409">
        <w:t xml:space="preserve">a series of </w:t>
      </w:r>
      <w:r w:rsidRPr="00234409">
        <w:t xml:space="preserve">indirect comparisons </w:t>
      </w:r>
      <w:r w:rsidR="00020614" w:rsidRPr="00234409">
        <w:t>for</w:t>
      </w:r>
      <w:r w:rsidR="00820741" w:rsidRPr="00234409">
        <w:t xml:space="preserve"> several outcomes</w:t>
      </w:r>
      <w:r w:rsidR="00C26BFB" w:rsidRPr="00234409">
        <w:t xml:space="preserve"> including ACR50 and ACR20 at Week 24</w:t>
      </w:r>
      <w:r w:rsidR="0075368C" w:rsidRPr="00234409">
        <w:t xml:space="preserve">, summarised in Table </w:t>
      </w:r>
      <w:r w:rsidR="006F1A21" w:rsidRPr="00234409">
        <w:t>4</w:t>
      </w:r>
      <w:r w:rsidR="0075368C" w:rsidRPr="00234409">
        <w:t xml:space="preserve">.  </w:t>
      </w:r>
      <w:r w:rsidR="00E1750C" w:rsidRPr="00234409">
        <w:rPr>
          <w:iCs/>
        </w:rPr>
        <w:t>No justification was provided in the submission for conducting the indirect comparisons at Week 24, but it may be related to the timing of the primary endpoint (in most trials) or end of the double-blind phase (in all trials).</w:t>
      </w:r>
    </w:p>
    <w:p w:rsidR="00820741" w:rsidRPr="004D18F6" w:rsidRDefault="00820741" w:rsidP="00825BEA">
      <w:pPr>
        <w:keepNext/>
        <w:widowControl/>
        <w:rPr>
          <w:rFonts w:ascii="Arial Narrow" w:hAnsi="Arial Narrow"/>
          <w:b/>
          <w:bCs/>
          <w:color w:val="000000" w:themeColor="text1"/>
          <w:sz w:val="20"/>
          <w:szCs w:val="18"/>
        </w:rPr>
      </w:pPr>
      <w:r w:rsidRPr="00B16FFA">
        <w:rPr>
          <w:rFonts w:ascii="Arial Narrow" w:hAnsi="Arial Narrow"/>
          <w:b/>
          <w:bCs/>
          <w:color w:val="000000" w:themeColor="text1"/>
          <w:sz w:val="20"/>
          <w:szCs w:val="18"/>
        </w:rPr>
        <w:t xml:space="preserve">Table </w:t>
      </w:r>
      <w:r w:rsidR="006F1A21" w:rsidRPr="00B16FFA">
        <w:rPr>
          <w:rFonts w:ascii="Arial Narrow" w:hAnsi="Arial Narrow"/>
          <w:b/>
          <w:bCs/>
          <w:color w:val="000000" w:themeColor="text1"/>
          <w:sz w:val="20"/>
          <w:szCs w:val="18"/>
        </w:rPr>
        <w:t>4</w:t>
      </w:r>
      <w:r w:rsidRPr="00B16FFA">
        <w:rPr>
          <w:rFonts w:ascii="Arial Narrow" w:hAnsi="Arial Narrow"/>
          <w:b/>
          <w:bCs/>
          <w:color w:val="000000" w:themeColor="text1"/>
          <w:sz w:val="20"/>
          <w:szCs w:val="18"/>
        </w:rPr>
        <w:t>: Summary of indirect comparisons for outcomes at 24 weeks</w:t>
      </w:r>
    </w:p>
    <w:tbl>
      <w:tblPr>
        <w:tblStyle w:val="TableGrid"/>
        <w:tblW w:w="0" w:type="auto"/>
        <w:tblCellMar>
          <w:left w:w="28" w:type="dxa"/>
          <w:right w:w="28" w:type="dxa"/>
        </w:tblCellMar>
        <w:tblLook w:val="04A0" w:firstRow="1" w:lastRow="0" w:firstColumn="1" w:lastColumn="0" w:noHBand="0" w:noVBand="1"/>
        <w:tblCaption w:val="Table 4: Summary of indirect comparisons for outcomes at 24 weeks"/>
      </w:tblPr>
      <w:tblGrid>
        <w:gridCol w:w="3681"/>
        <w:gridCol w:w="2668"/>
        <w:gridCol w:w="2668"/>
      </w:tblGrid>
      <w:tr w:rsidR="0075368C" w:rsidRPr="00234409" w:rsidTr="006B74B3">
        <w:trPr>
          <w:tblHeader/>
        </w:trPr>
        <w:tc>
          <w:tcPr>
            <w:tcW w:w="3681" w:type="dxa"/>
            <w:tcBorders>
              <w:bottom w:val="single" w:sz="4" w:space="0" w:color="auto"/>
            </w:tcBorders>
            <w:vAlign w:val="center"/>
          </w:tcPr>
          <w:p w:rsidR="0075368C" w:rsidRPr="00234409" w:rsidRDefault="0075368C" w:rsidP="00825BEA">
            <w:pPr>
              <w:keepNext/>
              <w:jc w:val="left"/>
              <w:rPr>
                <w:rFonts w:ascii="Arial Narrow" w:hAnsi="Arial Narrow"/>
                <w:b/>
                <w:bCs/>
                <w:sz w:val="20"/>
                <w:szCs w:val="20"/>
              </w:rPr>
            </w:pPr>
            <w:r w:rsidRPr="00234409">
              <w:rPr>
                <w:rFonts w:ascii="Arial Narrow" w:hAnsi="Arial Narrow"/>
                <w:b/>
                <w:bCs/>
                <w:sz w:val="20"/>
                <w:szCs w:val="20"/>
              </w:rPr>
              <w:t>Outcome and indirect comparison</w:t>
            </w:r>
          </w:p>
        </w:tc>
        <w:tc>
          <w:tcPr>
            <w:tcW w:w="2668" w:type="dxa"/>
            <w:tcBorders>
              <w:bottom w:val="single" w:sz="4" w:space="0" w:color="auto"/>
            </w:tcBorders>
            <w:vAlign w:val="center"/>
          </w:tcPr>
          <w:p w:rsidR="0075368C" w:rsidRPr="00234409" w:rsidRDefault="0075368C" w:rsidP="00825BEA">
            <w:pPr>
              <w:keepNext/>
              <w:jc w:val="center"/>
              <w:rPr>
                <w:rFonts w:ascii="Arial Narrow" w:hAnsi="Arial Narrow"/>
                <w:b/>
                <w:bCs/>
                <w:sz w:val="20"/>
                <w:szCs w:val="20"/>
              </w:rPr>
            </w:pPr>
            <w:r w:rsidRPr="00234409">
              <w:rPr>
                <w:rFonts w:ascii="Arial Narrow" w:hAnsi="Arial Narrow"/>
                <w:b/>
                <w:bCs/>
                <w:sz w:val="20"/>
                <w:szCs w:val="20"/>
              </w:rPr>
              <w:t>RR (95%CI)</w:t>
            </w:r>
          </w:p>
        </w:tc>
        <w:tc>
          <w:tcPr>
            <w:tcW w:w="2668" w:type="dxa"/>
            <w:tcBorders>
              <w:bottom w:val="single" w:sz="4" w:space="0" w:color="auto"/>
            </w:tcBorders>
            <w:vAlign w:val="center"/>
          </w:tcPr>
          <w:p w:rsidR="0075368C" w:rsidRPr="00234409" w:rsidRDefault="0075368C" w:rsidP="00825BEA">
            <w:pPr>
              <w:keepNext/>
              <w:jc w:val="center"/>
              <w:rPr>
                <w:rFonts w:ascii="Arial Narrow" w:hAnsi="Arial Narrow"/>
                <w:b/>
                <w:bCs/>
                <w:sz w:val="20"/>
                <w:szCs w:val="20"/>
              </w:rPr>
            </w:pPr>
            <w:r w:rsidRPr="00234409">
              <w:rPr>
                <w:rFonts w:ascii="Arial Narrow" w:hAnsi="Arial Narrow"/>
                <w:b/>
                <w:bCs/>
                <w:sz w:val="20"/>
                <w:szCs w:val="20"/>
              </w:rPr>
              <w:t>RD (95%CI)</w:t>
            </w:r>
          </w:p>
        </w:tc>
      </w:tr>
      <w:tr w:rsidR="00820741" w:rsidRPr="00234409" w:rsidTr="00154D67">
        <w:tc>
          <w:tcPr>
            <w:tcW w:w="9017" w:type="dxa"/>
            <w:gridSpan w:val="3"/>
            <w:vAlign w:val="center"/>
          </w:tcPr>
          <w:p w:rsidR="00820741" w:rsidRPr="00234409" w:rsidRDefault="00820741" w:rsidP="00825BEA">
            <w:pPr>
              <w:keepNext/>
              <w:jc w:val="left"/>
              <w:rPr>
                <w:rFonts w:ascii="Arial Narrow" w:hAnsi="Arial Narrow"/>
                <w:b/>
                <w:bCs/>
                <w:sz w:val="20"/>
                <w:szCs w:val="20"/>
              </w:rPr>
            </w:pPr>
            <w:r w:rsidRPr="00234409">
              <w:rPr>
                <w:rFonts w:ascii="Arial Narrow" w:hAnsi="Arial Narrow"/>
                <w:b/>
                <w:bCs/>
                <w:sz w:val="20"/>
                <w:szCs w:val="20"/>
              </w:rPr>
              <w:t>ACR50 (ITT, 24 Weeks)</w:t>
            </w:r>
          </w:p>
        </w:tc>
      </w:tr>
      <w:tr w:rsidR="0075368C" w:rsidRPr="00234409" w:rsidTr="0075368C">
        <w:tc>
          <w:tcPr>
            <w:tcW w:w="3681" w:type="dxa"/>
            <w:vAlign w:val="center"/>
          </w:tcPr>
          <w:p w:rsidR="0075368C" w:rsidRPr="00234409" w:rsidRDefault="0075368C" w:rsidP="00825BEA">
            <w:pPr>
              <w:keepNext/>
              <w:jc w:val="left"/>
              <w:rPr>
                <w:rFonts w:ascii="Arial Narrow" w:hAnsi="Arial Narrow"/>
                <w:sz w:val="20"/>
                <w:szCs w:val="20"/>
              </w:rPr>
            </w:pPr>
            <w:r w:rsidRPr="00234409">
              <w:rPr>
                <w:rFonts w:ascii="Arial Narrow" w:hAnsi="Arial Narrow"/>
                <w:sz w:val="20"/>
                <w:szCs w:val="20"/>
              </w:rPr>
              <w:t>ABA (meta-analysis) vs CZP (pooled)</w:t>
            </w:r>
          </w:p>
        </w:tc>
        <w:tc>
          <w:tcPr>
            <w:tcW w:w="2668" w:type="dxa"/>
            <w:vAlign w:val="center"/>
          </w:tcPr>
          <w:p w:rsidR="0075368C" w:rsidRPr="00234409" w:rsidRDefault="0075368C" w:rsidP="00825BEA">
            <w:pPr>
              <w:keepNext/>
              <w:jc w:val="center"/>
              <w:rPr>
                <w:rFonts w:ascii="Arial Narrow" w:hAnsi="Arial Narrow"/>
                <w:iCs/>
                <w:sz w:val="20"/>
                <w:szCs w:val="20"/>
              </w:rPr>
            </w:pPr>
            <w:r w:rsidRPr="00234409">
              <w:rPr>
                <w:rFonts w:ascii="Arial Narrow" w:hAnsi="Arial Narrow"/>
                <w:iCs/>
                <w:sz w:val="20"/>
                <w:szCs w:val="20"/>
              </w:rPr>
              <w:t>0.94 (0.14, 6.30)</w:t>
            </w:r>
          </w:p>
        </w:tc>
        <w:tc>
          <w:tcPr>
            <w:tcW w:w="2668" w:type="dxa"/>
            <w:vAlign w:val="center"/>
          </w:tcPr>
          <w:p w:rsidR="0075368C" w:rsidRPr="00234409" w:rsidRDefault="0075368C" w:rsidP="00825BEA">
            <w:pPr>
              <w:keepNext/>
              <w:jc w:val="center"/>
              <w:rPr>
                <w:rFonts w:ascii="Arial Narrow" w:hAnsi="Arial Narrow"/>
                <w:sz w:val="20"/>
                <w:szCs w:val="20"/>
              </w:rPr>
            </w:pPr>
            <w:r w:rsidRPr="00234409">
              <w:rPr>
                <w:rFonts w:ascii="Arial Narrow" w:hAnsi="Arial Narrow"/>
                <w:sz w:val="20"/>
                <w:szCs w:val="20"/>
              </w:rPr>
              <w:t>-0.16 (-0.33,0.01)</w:t>
            </w:r>
          </w:p>
        </w:tc>
      </w:tr>
      <w:tr w:rsidR="0075368C" w:rsidRPr="00234409" w:rsidTr="0075368C">
        <w:tc>
          <w:tcPr>
            <w:tcW w:w="3681" w:type="dxa"/>
            <w:vAlign w:val="center"/>
          </w:tcPr>
          <w:p w:rsidR="0075368C" w:rsidRPr="00234409" w:rsidRDefault="0075368C" w:rsidP="00825BEA">
            <w:pPr>
              <w:keepNext/>
              <w:jc w:val="left"/>
              <w:rPr>
                <w:rFonts w:ascii="Arial Narrow" w:hAnsi="Arial Narrow"/>
                <w:sz w:val="20"/>
                <w:szCs w:val="20"/>
              </w:rPr>
            </w:pPr>
            <w:r w:rsidRPr="00234409">
              <w:rPr>
                <w:rFonts w:ascii="Arial Narrow" w:hAnsi="Arial Narrow"/>
                <w:sz w:val="20"/>
                <w:szCs w:val="20"/>
              </w:rPr>
              <w:t>ABA (meta-analysis) vs UST (meta-analysis)</w:t>
            </w:r>
          </w:p>
        </w:tc>
        <w:tc>
          <w:tcPr>
            <w:tcW w:w="2668" w:type="dxa"/>
            <w:vAlign w:val="center"/>
          </w:tcPr>
          <w:p w:rsidR="0075368C" w:rsidRPr="00234409" w:rsidRDefault="0075368C" w:rsidP="00825BEA">
            <w:pPr>
              <w:keepNext/>
              <w:jc w:val="center"/>
              <w:rPr>
                <w:rFonts w:ascii="Arial Narrow" w:hAnsi="Arial Narrow"/>
                <w:iCs/>
                <w:sz w:val="20"/>
                <w:szCs w:val="20"/>
              </w:rPr>
            </w:pPr>
            <w:r w:rsidRPr="00234409">
              <w:rPr>
                <w:rFonts w:ascii="Arial Narrow" w:hAnsi="Arial Narrow"/>
                <w:iCs/>
                <w:sz w:val="20"/>
                <w:szCs w:val="20"/>
              </w:rPr>
              <w:t>1.14 (0.17, 7.57)</w:t>
            </w:r>
          </w:p>
        </w:tc>
        <w:tc>
          <w:tcPr>
            <w:tcW w:w="2668" w:type="dxa"/>
            <w:vAlign w:val="center"/>
          </w:tcPr>
          <w:p w:rsidR="0075368C" w:rsidRPr="00234409" w:rsidRDefault="0075368C" w:rsidP="00825BEA">
            <w:pPr>
              <w:keepNext/>
              <w:jc w:val="center"/>
              <w:rPr>
                <w:rFonts w:ascii="Arial Narrow" w:hAnsi="Arial Narrow"/>
                <w:sz w:val="20"/>
                <w:szCs w:val="20"/>
              </w:rPr>
            </w:pPr>
            <w:r w:rsidRPr="00234409">
              <w:rPr>
                <w:rFonts w:ascii="Arial Narrow" w:hAnsi="Arial Narrow"/>
                <w:iCs/>
                <w:sz w:val="20"/>
                <w:szCs w:val="20"/>
              </w:rPr>
              <w:t>0 (-0.16,0.16)</w:t>
            </w:r>
          </w:p>
        </w:tc>
      </w:tr>
      <w:tr w:rsidR="0075368C" w:rsidRPr="00234409" w:rsidTr="0075368C">
        <w:tc>
          <w:tcPr>
            <w:tcW w:w="3681" w:type="dxa"/>
            <w:vAlign w:val="center"/>
          </w:tcPr>
          <w:p w:rsidR="0075368C" w:rsidRPr="00234409" w:rsidRDefault="0075368C" w:rsidP="00825BEA">
            <w:pPr>
              <w:keepNext/>
              <w:jc w:val="left"/>
              <w:rPr>
                <w:rFonts w:ascii="Arial Narrow" w:hAnsi="Arial Narrow"/>
                <w:sz w:val="20"/>
                <w:szCs w:val="20"/>
              </w:rPr>
            </w:pPr>
            <w:r w:rsidRPr="00234409">
              <w:rPr>
                <w:rFonts w:ascii="Arial Narrow" w:hAnsi="Arial Narrow"/>
                <w:sz w:val="20"/>
                <w:szCs w:val="20"/>
              </w:rPr>
              <w:t>ABA (meta-analysis) vs SEC (pooled)</w:t>
            </w:r>
          </w:p>
        </w:tc>
        <w:tc>
          <w:tcPr>
            <w:tcW w:w="2668" w:type="dxa"/>
            <w:vAlign w:val="center"/>
          </w:tcPr>
          <w:p w:rsidR="0075368C" w:rsidRPr="00234409" w:rsidRDefault="0075368C" w:rsidP="00825BEA">
            <w:pPr>
              <w:keepNext/>
              <w:jc w:val="center"/>
              <w:rPr>
                <w:rFonts w:ascii="Arial Narrow" w:hAnsi="Arial Narrow"/>
                <w:iCs/>
                <w:sz w:val="20"/>
                <w:szCs w:val="20"/>
              </w:rPr>
            </w:pPr>
            <w:r w:rsidRPr="00234409">
              <w:rPr>
                <w:rFonts w:ascii="Arial Narrow" w:hAnsi="Arial Narrow"/>
                <w:iCs/>
                <w:sz w:val="20"/>
                <w:szCs w:val="20"/>
              </w:rPr>
              <w:t>0.65 (0.09, 4.76)</w:t>
            </w:r>
          </w:p>
        </w:tc>
        <w:tc>
          <w:tcPr>
            <w:tcW w:w="2668" w:type="dxa"/>
            <w:vAlign w:val="center"/>
          </w:tcPr>
          <w:p w:rsidR="0075368C" w:rsidRPr="00234409" w:rsidRDefault="0075368C" w:rsidP="00825BEA">
            <w:pPr>
              <w:keepNext/>
              <w:jc w:val="center"/>
              <w:rPr>
                <w:rFonts w:ascii="Arial Narrow" w:hAnsi="Arial Narrow"/>
                <w:sz w:val="20"/>
                <w:szCs w:val="20"/>
              </w:rPr>
            </w:pPr>
            <w:r w:rsidRPr="00234409">
              <w:rPr>
                <w:rFonts w:ascii="Arial Narrow" w:hAnsi="Arial Narrow"/>
                <w:iCs/>
                <w:sz w:val="20"/>
                <w:szCs w:val="20"/>
              </w:rPr>
              <w:t>-0.14 (-0.32,0.04)</w:t>
            </w:r>
          </w:p>
        </w:tc>
      </w:tr>
      <w:tr w:rsidR="00820741" w:rsidRPr="00234409" w:rsidTr="00154D67">
        <w:tc>
          <w:tcPr>
            <w:tcW w:w="9017" w:type="dxa"/>
            <w:gridSpan w:val="3"/>
            <w:vAlign w:val="center"/>
          </w:tcPr>
          <w:p w:rsidR="00820741" w:rsidRPr="00234409" w:rsidRDefault="00820741" w:rsidP="00825BEA">
            <w:pPr>
              <w:keepNext/>
              <w:jc w:val="left"/>
              <w:rPr>
                <w:rFonts w:ascii="Arial Narrow" w:hAnsi="Arial Narrow"/>
                <w:sz w:val="20"/>
                <w:szCs w:val="20"/>
              </w:rPr>
            </w:pPr>
            <w:r w:rsidRPr="00234409">
              <w:rPr>
                <w:rFonts w:ascii="Arial Narrow" w:hAnsi="Arial Narrow"/>
                <w:b/>
                <w:bCs/>
                <w:sz w:val="20"/>
                <w:szCs w:val="20"/>
              </w:rPr>
              <w:t>ACR20 (ITT, 24 Weeks)</w:t>
            </w:r>
          </w:p>
        </w:tc>
      </w:tr>
      <w:tr w:rsidR="0075368C" w:rsidRPr="00234409" w:rsidTr="0075368C">
        <w:tc>
          <w:tcPr>
            <w:tcW w:w="3681" w:type="dxa"/>
            <w:vAlign w:val="center"/>
          </w:tcPr>
          <w:p w:rsidR="0075368C" w:rsidRPr="00234409" w:rsidRDefault="0075368C" w:rsidP="00825BEA">
            <w:pPr>
              <w:keepNext/>
              <w:jc w:val="left"/>
              <w:rPr>
                <w:rFonts w:ascii="Arial Narrow" w:hAnsi="Arial Narrow"/>
                <w:sz w:val="20"/>
                <w:szCs w:val="20"/>
              </w:rPr>
            </w:pPr>
            <w:r w:rsidRPr="00234409">
              <w:rPr>
                <w:rFonts w:ascii="Arial Narrow" w:hAnsi="Arial Narrow"/>
                <w:sz w:val="20"/>
                <w:szCs w:val="20"/>
              </w:rPr>
              <w:t>ABA (meta-analysis) vs CZP (pooled)</w:t>
            </w:r>
          </w:p>
        </w:tc>
        <w:tc>
          <w:tcPr>
            <w:tcW w:w="2668" w:type="dxa"/>
            <w:vAlign w:val="center"/>
          </w:tcPr>
          <w:p w:rsidR="0075368C" w:rsidRPr="00234409" w:rsidRDefault="0075368C" w:rsidP="00825BEA">
            <w:pPr>
              <w:keepNext/>
              <w:jc w:val="center"/>
              <w:rPr>
                <w:rFonts w:ascii="Arial Narrow" w:hAnsi="Arial Narrow"/>
                <w:iCs/>
                <w:sz w:val="20"/>
                <w:szCs w:val="20"/>
              </w:rPr>
            </w:pPr>
            <w:r w:rsidRPr="00234409">
              <w:rPr>
                <w:rFonts w:ascii="Arial Narrow" w:hAnsi="Arial Narrow"/>
                <w:iCs/>
                <w:sz w:val="20"/>
                <w:szCs w:val="20"/>
              </w:rPr>
              <w:t>0.73 (0.48,1.12)</w:t>
            </w:r>
          </w:p>
        </w:tc>
        <w:tc>
          <w:tcPr>
            <w:tcW w:w="2668" w:type="dxa"/>
            <w:vAlign w:val="center"/>
          </w:tcPr>
          <w:p w:rsidR="0075368C" w:rsidRPr="00234409" w:rsidRDefault="0075368C" w:rsidP="00825BEA">
            <w:pPr>
              <w:keepNext/>
              <w:jc w:val="center"/>
              <w:rPr>
                <w:rFonts w:ascii="Arial Narrow" w:hAnsi="Arial Narrow"/>
                <w:sz w:val="20"/>
                <w:szCs w:val="20"/>
              </w:rPr>
            </w:pPr>
            <w:r w:rsidRPr="00234409">
              <w:rPr>
                <w:rFonts w:ascii="Arial Narrow" w:hAnsi="Arial Narrow"/>
                <w:b/>
                <w:bCs/>
                <w:sz w:val="20"/>
                <w:szCs w:val="20"/>
              </w:rPr>
              <w:t>-0.18 (-0.31,-0.05)</w:t>
            </w:r>
          </w:p>
        </w:tc>
      </w:tr>
      <w:tr w:rsidR="0075368C" w:rsidRPr="00234409" w:rsidTr="0075368C">
        <w:tc>
          <w:tcPr>
            <w:tcW w:w="3681" w:type="dxa"/>
            <w:vAlign w:val="center"/>
          </w:tcPr>
          <w:p w:rsidR="0075368C" w:rsidRPr="00234409" w:rsidRDefault="0075368C" w:rsidP="00825BEA">
            <w:pPr>
              <w:keepNext/>
              <w:jc w:val="left"/>
              <w:rPr>
                <w:rFonts w:ascii="Arial Narrow" w:hAnsi="Arial Narrow"/>
                <w:sz w:val="20"/>
                <w:szCs w:val="20"/>
              </w:rPr>
            </w:pPr>
            <w:r w:rsidRPr="00234409">
              <w:rPr>
                <w:rFonts w:ascii="Arial Narrow" w:hAnsi="Arial Narrow"/>
                <w:sz w:val="20"/>
                <w:szCs w:val="20"/>
              </w:rPr>
              <w:t>ABA (meta-analysis) vs UST (meta-analysis)</w:t>
            </w:r>
          </w:p>
        </w:tc>
        <w:tc>
          <w:tcPr>
            <w:tcW w:w="2668" w:type="dxa"/>
            <w:vAlign w:val="center"/>
          </w:tcPr>
          <w:p w:rsidR="0075368C" w:rsidRPr="00234409" w:rsidRDefault="0075368C" w:rsidP="00825BEA">
            <w:pPr>
              <w:keepNext/>
              <w:jc w:val="center"/>
              <w:rPr>
                <w:rFonts w:ascii="Arial Narrow" w:hAnsi="Arial Narrow"/>
                <w:iCs/>
                <w:sz w:val="20"/>
                <w:szCs w:val="20"/>
              </w:rPr>
            </w:pPr>
            <w:r w:rsidRPr="00234409">
              <w:rPr>
                <w:rFonts w:ascii="Arial Narrow" w:hAnsi="Arial Narrow"/>
                <w:iCs/>
                <w:sz w:val="20"/>
                <w:szCs w:val="20"/>
              </w:rPr>
              <w:t>0.96 (0.66, 1.39)</w:t>
            </w:r>
          </w:p>
        </w:tc>
        <w:tc>
          <w:tcPr>
            <w:tcW w:w="2668" w:type="dxa"/>
            <w:vAlign w:val="center"/>
          </w:tcPr>
          <w:p w:rsidR="0075368C" w:rsidRPr="00234409" w:rsidRDefault="0075368C" w:rsidP="00825BEA">
            <w:pPr>
              <w:keepNext/>
              <w:jc w:val="center"/>
              <w:rPr>
                <w:rFonts w:ascii="Arial Narrow" w:hAnsi="Arial Narrow"/>
                <w:sz w:val="20"/>
                <w:szCs w:val="20"/>
              </w:rPr>
            </w:pPr>
            <w:r w:rsidRPr="00234409">
              <w:rPr>
                <w:rFonts w:ascii="Arial Narrow" w:hAnsi="Arial Narrow"/>
                <w:iCs/>
                <w:sz w:val="20"/>
                <w:szCs w:val="20"/>
              </w:rPr>
              <w:t>-0.02 (-0.13,0.09)</w:t>
            </w:r>
          </w:p>
        </w:tc>
      </w:tr>
      <w:tr w:rsidR="0075368C" w:rsidRPr="00234409" w:rsidTr="0075368C">
        <w:tc>
          <w:tcPr>
            <w:tcW w:w="3681" w:type="dxa"/>
            <w:vAlign w:val="center"/>
          </w:tcPr>
          <w:p w:rsidR="0075368C" w:rsidRPr="00234409" w:rsidRDefault="0075368C" w:rsidP="00825BEA">
            <w:pPr>
              <w:keepNext/>
              <w:jc w:val="left"/>
              <w:rPr>
                <w:rFonts w:ascii="Arial Narrow" w:hAnsi="Arial Narrow"/>
                <w:sz w:val="20"/>
                <w:szCs w:val="20"/>
              </w:rPr>
            </w:pPr>
            <w:r w:rsidRPr="00234409">
              <w:rPr>
                <w:rFonts w:ascii="Arial Narrow" w:hAnsi="Arial Narrow"/>
                <w:sz w:val="20"/>
                <w:szCs w:val="20"/>
              </w:rPr>
              <w:t>ABA (meta-analysis) vs SEC (pooled)</w:t>
            </w:r>
          </w:p>
        </w:tc>
        <w:tc>
          <w:tcPr>
            <w:tcW w:w="2668" w:type="dxa"/>
            <w:vAlign w:val="center"/>
          </w:tcPr>
          <w:p w:rsidR="0075368C" w:rsidRPr="00234409" w:rsidRDefault="0075368C" w:rsidP="00825BEA">
            <w:pPr>
              <w:keepNext/>
              <w:jc w:val="center"/>
              <w:rPr>
                <w:rFonts w:ascii="Arial Narrow" w:hAnsi="Arial Narrow"/>
                <w:iCs/>
                <w:sz w:val="20"/>
                <w:szCs w:val="20"/>
              </w:rPr>
            </w:pPr>
            <w:r w:rsidRPr="00234409">
              <w:rPr>
                <w:rFonts w:ascii="Arial Narrow" w:hAnsi="Arial Narrow"/>
                <w:b/>
                <w:bCs/>
                <w:iCs/>
                <w:sz w:val="20"/>
                <w:szCs w:val="20"/>
              </w:rPr>
              <w:t>0.55 (0.31,0.95)</w:t>
            </w:r>
          </w:p>
        </w:tc>
        <w:tc>
          <w:tcPr>
            <w:tcW w:w="2668" w:type="dxa"/>
            <w:vAlign w:val="center"/>
          </w:tcPr>
          <w:p w:rsidR="0075368C" w:rsidRPr="00234409" w:rsidRDefault="0075368C" w:rsidP="00825BEA">
            <w:pPr>
              <w:keepNext/>
              <w:jc w:val="center"/>
              <w:rPr>
                <w:rFonts w:ascii="Arial Narrow" w:hAnsi="Arial Narrow"/>
                <w:sz w:val="20"/>
                <w:szCs w:val="20"/>
              </w:rPr>
            </w:pPr>
            <w:r w:rsidRPr="00234409">
              <w:rPr>
                <w:rFonts w:ascii="Arial Narrow" w:hAnsi="Arial Narrow"/>
                <w:b/>
                <w:bCs/>
                <w:sz w:val="20"/>
                <w:szCs w:val="20"/>
              </w:rPr>
              <w:t>-0.18 (-0.31,-0.05)</w:t>
            </w:r>
          </w:p>
        </w:tc>
      </w:tr>
    </w:tbl>
    <w:p w:rsidR="000170DB" w:rsidRPr="00234409" w:rsidRDefault="000170DB" w:rsidP="00825BEA">
      <w:pPr>
        <w:keepNext/>
        <w:rPr>
          <w:rFonts w:ascii="Arial Narrow" w:hAnsi="Arial Narrow"/>
          <w:sz w:val="18"/>
          <w:szCs w:val="18"/>
        </w:rPr>
      </w:pPr>
      <w:r w:rsidRPr="00234409">
        <w:rPr>
          <w:rFonts w:ascii="Arial Narrow" w:hAnsi="Arial Narrow"/>
          <w:iCs/>
          <w:color w:val="000000" w:themeColor="text1"/>
          <w:sz w:val="18"/>
          <w:szCs w:val="16"/>
        </w:rPr>
        <w:t xml:space="preserve">Abbreviations: ABA = </w:t>
      </w:r>
      <w:proofErr w:type="spellStart"/>
      <w:r w:rsidRPr="00234409">
        <w:rPr>
          <w:rFonts w:ascii="Arial Narrow" w:hAnsi="Arial Narrow"/>
          <w:iCs/>
          <w:color w:val="000000" w:themeColor="text1"/>
          <w:sz w:val="18"/>
          <w:szCs w:val="16"/>
        </w:rPr>
        <w:t>abatacept</w:t>
      </w:r>
      <w:proofErr w:type="spellEnd"/>
      <w:r w:rsidRPr="00234409">
        <w:rPr>
          <w:rFonts w:ascii="Arial Narrow" w:hAnsi="Arial Narrow"/>
          <w:iCs/>
          <w:color w:val="000000" w:themeColor="text1"/>
          <w:sz w:val="18"/>
          <w:szCs w:val="16"/>
        </w:rPr>
        <w:t xml:space="preserve">; CZP = </w:t>
      </w:r>
      <w:proofErr w:type="spellStart"/>
      <w:r w:rsidRPr="00234409">
        <w:rPr>
          <w:rFonts w:ascii="Arial Narrow" w:hAnsi="Arial Narrow"/>
          <w:iCs/>
          <w:color w:val="000000" w:themeColor="text1"/>
          <w:sz w:val="18"/>
          <w:szCs w:val="16"/>
        </w:rPr>
        <w:t>certolizumab</w:t>
      </w:r>
      <w:proofErr w:type="spellEnd"/>
      <w:r w:rsidRPr="00234409">
        <w:rPr>
          <w:rFonts w:ascii="Arial Narrow" w:hAnsi="Arial Narrow"/>
          <w:iCs/>
          <w:color w:val="000000" w:themeColor="text1"/>
          <w:sz w:val="18"/>
          <w:szCs w:val="16"/>
        </w:rPr>
        <w:t xml:space="preserve"> </w:t>
      </w:r>
      <w:proofErr w:type="spellStart"/>
      <w:r w:rsidRPr="00234409">
        <w:rPr>
          <w:rFonts w:ascii="Arial Narrow" w:hAnsi="Arial Narrow"/>
          <w:iCs/>
          <w:color w:val="000000" w:themeColor="text1"/>
          <w:sz w:val="18"/>
          <w:szCs w:val="16"/>
        </w:rPr>
        <w:t>pegol</w:t>
      </w:r>
      <w:proofErr w:type="spellEnd"/>
      <w:r w:rsidRPr="00234409">
        <w:rPr>
          <w:rFonts w:ascii="Arial Narrow" w:hAnsi="Arial Narrow"/>
          <w:iCs/>
          <w:color w:val="000000" w:themeColor="text1"/>
          <w:sz w:val="18"/>
          <w:szCs w:val="16"/>
        </w:rPr>
        <w:t>; UST = ustekinumab; SEC = secukinumab;</w:t>
      </w:r>
    </w:p>
    <w:p w:rsidR="00820741" w:rsidRPr="00234409" w:rsidRDefault="00820741" w:rsidP="00825BEA">
      <w:pPr>
        <w:keepNext/>
        <w:rPr>
          <w:rFonts w:ascii="Arial Narrow" w:hAnsi="Arial Narrow"/>
          <w:sz w:val="18"/>
          <w:szCs w:val="18"/>
        </w:rPr>
      </w:pPr>
      <w:r w:rsidRPr="00234409">
        <w:rPr>
          <w:rFonts w:ascii="Arial Narrow" w:hAnsi="Arial Narrow"/>
          <w:sz w:val="18"/>
          <w:szCs w:val="18"/>
        </w:rPr>
        <w:t>Source: Tables 48-49, pp110-112 of the submission;</w:t>
      </w:r>
    </w:p>
    <w:p w:rsidR="00820741" w:rsidRPr="00234409" w:rsidRDefault="00820741" w:rsidP="00825BEA">
      <w:pPr>
        <w:keepNext/>
        <w:rPr>
          <w:rFonts w:ascii="Arial Narrow" w:hAnsi="Arial Narrow"/>
          <w:iCs/>
          <w:sz w:val="18"/>
          <w:szCs w:val="18"/>
        </w:rPr>
      </w:pPr>
      <w:r w:rsidRPr="00234409">
        <w:rPr>
          <w:rFonts w:ascii="Arial Narrow" w:hAnsi="Arial Narrow"/>
          <w:iCs/>
          <w:sz w:val="18"/>
          <w:szCs w:val="18"/>
        </w:rPr>
        <w:t>Bolded values reached statistical significance p&lt;0.05</w:t>
      </w:r>
      <w:r w:rsidR="000170DB" w:rsidRPr="00234409">
        <w:rPr>
          <w:rFonts w:ascii="Arial Narrow" w:hAnsi="Arial Narrow"/>
          <w:iCs/>
          <w:sz w:val="18"/>
          <w:szCs w:val="18"/>
        </w:rPr>
        <w:t xml:space="preserve">; </w:t>
      </w:r>
      <w:r w:rsidRPr="00234409">
        <w:rPr>
          <w:rFonts w:ascii="Arial Narrow" w:hAnsi="Arial Narrow"/>
          <w:iCs/>
          <w:sz w:val="18"/>
          <w:szCs w:val="18"/>
        </w:rPr>
        <w:t>Italics indicates estimates corrected or performed during the evaluation.</w:t>
      </w:r>
    </w:p>
    <w:p w:rsidR="00820741" w:rsidRPr="00687726" w:rsidRDefault="00820741" w:rsidP="00820741">
      <w:pPr>
        <w:widowControl/>
      </w:pPr>
    </w:p>
    <w:p w:rsidR="00155995" w:rsidRPr="00F03270" w:rsidRDefault="00C94F6E" w:rsidP="0009257C">
      <w:pPr>
        <w:pStyle w:val="ListParagraph"/>
        <w:widowControl/>
        <w:numPr>
          <w:ilvl w:val="1"/>
          <w:numId w:val="3"/>
        </w:numPr>
      </w:pPr>
      <w:bookmarkStart w:id="9" w:name="_Toc341702043"/>
      <w:bookmarkStart w:id="10" w:name="_Toc380742621"/>
      <w:bookmarkStart w:id="11" w:name="_Toc380746188"/>
      <w:bookmarkStart w:id="12" w:name="_Toc380746314"/>
      <w:bookmarkStart w:id="13" w:name="_Toc380746595"/>
      <w:r w:rsidRPr="00234409">
        <w:rPr>
          <w:rFonts w:cs="Calibri"/>
          <w:iCs/>
        </w:rPr>
        <w:t xml:space="preserve">For the ITT population </w:t>
      </w:r>
      <w:r w:rsidR="00155995" w:rsidRPr="00234409">
        <w:rPr>
          <w:rFonts w:cs="Calibri"/>
          <w:iCs/>
        </w:rPr>
        <w:t xml:space="preserve">at Week 24, non-inferiority could not be concluded between </w:t>
      </w:r>
      <w:proofErr w:type="spellStart"/>
      <w:r w:rsidR="005A5A63" w:rsidRPr="00234409">
        <w:rPr>
          <w:rFonts w:cs="Calibri"/>
          <w:iCs/>
        </w:rPr>
        <w:t>abatacept</w:t>
      </w:r>
      <w:proofErr w:type="spellEnd"/>
      <w:r w:rsidR="00155995" w:rsidRPr="00234409">
        <w:rPr>
          <w:rFonts w:cs="Calibri"/>
          <w:iCs/>
        </w:rPr>
        <w:t xml:space="preserve"> and any of the comparators for </w:t>
      </w:r>
      <w:proofErr w:type="gramStart"/>
      <w:r w:rsidR="00155995" w:rsidRPr="00234409">
        <w:rPr>
          <w:rFonts w:cs="Calibri"/>
          <w:iCs/>
        </w:rPr>
        <w:t>ACR50,</w:t>
      </w:r>
      <w:proofErr w:type="gramEnd"/>
      <w:r w:rsidR="00155995" w:rsidRPr="00234409">
        <w:rPr>
          <w:rFonts w:cs="Calibri"/>
          <w:iCs/>
        </w:rPr>
        <w:t xml:space="preserve"> or </w:t>
      </w:r>
      <w:r w:rsidR="0009257C" w:rsidRPr="00234409">
        <w:rPr>
          <w:rFonts w:cs="Calibri"/>
          <w:iCs/>
        </w:rPr>
        <w:t xml:space="preserve">between </w:t>
      </w:r>
      <w:proofErr w:type="spellStart"/>
      <w:r w:rsidR="005A5A63" w:rsidRPr="00234409">
        <w:rPr>
          <w:rFonts w:cs="Calibri"/>
          <w:iCs/>
        </w:rPr>
        <w:t>abatacept</w:t>
      </w:r>
      <w:proofErr w:type="spellEnd"/>
      <w:r w:rsidR="00155995" w:rsidRPr="00234409">
        <w:rPr>
          <w:rFonts w:cs="Calibri"/>
          <w:iCs/>
        </w:rPr>
        <w:t xml:space="preserve"> and </w:t>
      </w:r>
      <w:r w:rsidR="009903B5">
        <w:t>s</w:t>
      </w:r>
      <w:r w:rsidR="009903B5" w:rsidRPr="00234409">
        <w:t xml:space="preserve">ecukinumab </w:t>
      </w:r>
      <w:r w:rsidR="00155995" w:rsidRPr="00234409">
        <w:rPr>
          <w:rFonts w:cs="Calibri"/>
          <w:iCs/>
        </w:rPr>
        <w:t xml:space="preserve">for ACR20.  </w:t>
      </w:r>
      <w:r w:rsidR="00155995" w:rsidRPr="00234409">
        <w:rPr>
          <w:iCs/>
        </w:rPr>
        <w:t xml:space="preserve">The lower 95%CI of the RR estimates of ACR20 for </w:t>
      </w:r>
      <w:proofErr w:type="spellStart"/>
      <w:r w:rsidR="00973D9A">
        <w:rPr>
          <w:iCs/>
        </w:rPr>
        <w:t>abatacept</w:t>
      </w:r>
      <w:proofErr w:type="spellEnd"/>
      <w:r w:rsidR="00155995" w:rsidRPr="00234409">
        <w:rPr>
          <w:iCs/>
        </w:rPr>
        <w:t xml:space="preserve"> versus </w:t>
      </w:r>
      <w:proofErr w:type="spellStart"/>
      <w:r w:rsidR="00973D9A">
        <w:rPr>
          <w:iCs/>
        </w:rPr>
        <w:t>certolizumab</w:t>
      </w:r>
      <w:proofErr w:type="spellEnd"/>
      <w:r w:rsidR="00155995" w:rsidRPr="00234409">
        <w:rPr>
          <w:iCs/>
        </w:rPr>
        <w:t xml:space="preserve"> (</w:t>
      </w:r>
      <w:r w:rsidR="00155995" w:rsidRPr="00F03270">
        <w:rPr>
          <w:iCs/>
        </w:rPr>
        <w:t xml:space="preserve">0.48) and </w:t>
      </w:r>
      <w:r w:rsidR="00973D9A" w:rsidRPr="00F03270">
        <w:rPr>
          <w:iCs/>
        </w:rPr>
        <w:t>ustekinumab</w:t>
      </w:r>
      <w:r w:rsidR="00155995" w:rsidRPr="00F03270">
        <w:rPr>
          <w:iCs/>
        </w:rPr>
        <w:t xml:space="preserve"> (0.66) were higher than the nominated threshold of 0.46.</w:t>
      </w:r>
    </w:p>
    <w:p w:rsidR="00155995" w:rsidRPr="00234409" w:rsidRDefault="00155995" w:rsidP="004B3C3B">
      <w:pPr>
        <w:pStyle w:val="ListParagraph"/>
        <w:widowControl/>
        <w:numPr>
          <w:ilvl w:val="1"/>
          <w:numId w:val="3"/>
        </w:numPr>
      </w:pPr>
      <w:r w:rsidRPr="00234409">
        <w:rPr>
          <w:rFonts w:cs="Calibri"/>
          <w:iCs/>
        </w:rPr>
        <w:t xml:space="preserve">However, </w:t>
      </w:r>
      <w:r w:rsidRPr="00234409">
        <w:rPr>
          <w:iCs/>
        </w:rPr>
        <w:t xml:space="preserve">comparisons at Week 24 may not be informative to the PBAC for a number of reasons: </w:t>
      </w:r>
      <w:proofErr w:type="spellStart"/>
      <w:r w:rsidRPr="00234409">
        <w:rPr>
          <w:iCs/>
        </w:rPr>
        <w:t>i</w:t>
      </w:r>
      <w:proofErr w:type="spellEnd"/>
      <w:r w:rsidRPr="00234409">
        <w:rPr>
          <w:iCs/>
        </w:rPr>
        <w:t xml:space="preserve">) it is not consistent with the time point when patient response to initial therapy is assessed on the PBS for the nominated comparators, with the exception of </w:t>
      </w:r>
      <w:r w:rsidR="00973D9A">
        <w:rPr>
          <w:iCs/>
        </w:rPr>
        <w:t>ustekinumab</w:t>
      </w:r>
      <w:r w:rsidR="0009257C" w:rsidRPr="00234409">
        <w:rPr>
          <w:iCs/>
        </w:rPr>
        <w:t>;</w:t>
      </w:r>
      <w:r w:rsidRPr="00234409">
        <w:rPr>
          <w:iCs/>
        </w:rPr>
        <w:t xml:space="preserve"> ii) it is not consistent with the time point on which previous PBAC decisions and non-inferiority margins have been based (Week 12 for </w:t>
      </w:r>
      <w:proofErr w:type="spellStart"/>
      <w:r w:rsidR="00973D9A">
        <w:rPr>
          <w:iCs/>
        </w:rPr>
        <w:t>certolizumab</w:t>
      </w:r>
      <w:proofErr w:type="spellEnd"/>
      <w:r w:rsidRPr="00234409">
        <w:rPr>
          <w:iCs/>
        </w:rPr>
        <w:t xml:space="preserve"> and </w:t>
      </w:r>
      <w:r w:rsidR="00973D9A">
        <w:rPr>
          <w:iCs/>
        </w:rPr>
        <w:t>secukinumab</w:t>
      </w:r>
      <w:r w:rsidRPr="00234409">
        <w:rPr>
          <w:iCs/>
        </w:rPr>
        <w:t xml:space="preserve">, and Week 24 for </w:t>
      </w:r>
      <w:r w:rsidR="00973D9A">
        <w:rPr>
          <w:iCs/>
        </w:rPr>
        <w:t>ustekinumab</w:t>
      </w:r>
      <w:r w:rsidRPr="00234409">
        <w:rPr>
          <w:iCs/>
        </w:rPr>
        <w:t>; see Secukinumab PSD March 2016)</w:t>
      </w:r>
      <w:r w:rsidR="0009257C" w:rsidRPr="00234409">
        <w:rPr>
          <w:iCs/>
        </w:rPr>
        <w:t>;</w:t>
      </w:r>
      <w:r w:rsidRPr="00234409">
        <w:rPr>
          <w:iCs/>
        </w:rPr>
        <w:t xml:space="preserve"> iii) the requested PBS listing of </w:t>
      </w:r>
      <w:proofErr w:type="spellStart"/>
      <w:r w:rsidR="005A5A63" w:rsidRPr="00234409">
        <w:rPr>
          <w:iCs/>
        </w:rPr>
        <w:t>abatacept</w:t>
      </w:r>
      <w:proofErr w:type="spellEnd"/>
      <w:r w:rsidRPr="00234409">
        <w:rPr>
          <w:iCs/>
        </w:rPr>
        <w:t xml:space="preserve"> would permit a maximum of 24 weeks of initial therapy with assessment of response conducted between 12 and 20 weeks given response must be assessed </w:t>
      </w:r>
      <w:r w:rsidR="0009257C" w:rsidRPr="00234409">
        <w:rPr>
          <w:iCs/>
        </w:rPr>
        <w:t xml:space="preserve">after a minimum of 12 weeks and </w:t>
      </w:r>
      <w:r w:rsidRPr="00234409">
        <w:rPr>
          <w:iCs/>
        </w:rPr>
        <w:t xml:space="preserve">no later than 4 weeks from the cessation of the treatment course on the PBS; and iv) the requested maximum 24 weeks of initial </w:t>
      </w:r>
      <w:proofErr w:type="spellStart"/>
      <w:r w:rsidR="005A5A63" w:rsidRPr="00234409">
        <w:rPr>
          <w:iCs/>
        </w:rPr>
        <w:t>abatacept</w:t>
      </w:r>
      <w:proofErr w:type="spellEnd"/>
      <w:r w:rsidRPr="00234409">
        <w:rPr>
          <w:iCs/>
        </w:rPr>
        <w:t xml:space="preserve"> therapy may not be supported by the clinical evidence given the relatively flat time-to-response curves after Weeks 12-16 </w:t>
      </w:r>
      <w:r w:rsidRPr="00D71294">
        <w:rPr>
          <w:iCs/>
        </w:rPr>
        <w:t>(see Figure 1).</w:t>
      </w:r>
    </w:p>
    <w:p w:rsidR="00155995" w:rsidRPr="00234409" w:rsidRDefault="00155995" w:rsidP="00155995">
      <w:pPr>
        <w:pStyle w:val="ListParagraph"/>
        <w:widowControl/>
        <w:numPr>
          <w:ilvl w:val="1"/>
          <w:numId w:val="3"/>
        </w:numPr>
        <w:rPr>
          <w:iCs/>
        </w:rPr>
      </w:pPr>
      <w:r w:rsidRPr="00234409">
        <w:rPr>
          <w:iCs/>
        </w:rPr>
        <w:t xml:space="preserve">Therefore, </w:t>
      </w:r>
      <w:r w:rsidR="00C94F6E" w:rsidRPr="00234409">
        <w:rPr>
          <w:iCs/>
        </w:rPr>
        <w:t xml:space="preserve">indirect </w:t>
      </w:r>
      <w:r w:rsidRPr="00234409">
        <w:rPr>
          <w:iCs/>
        </w:rPr>
        <w:t xml:space="preserve">comparisons of ACR50 and ACR20 between </w:t>
      </w:r>
      <w:proofErr w:type="spellStart"/>
      <w:r w:rsidR="005A5A63" w:rsidRPr="00234409">
        <w:rPr>
          <w:iCs/>
        </w:rPr>
        <w:t>abatacept</w:t>
      </w:r>
      <w:proofErr w:type="spellEnd"/>
      <w:r w:rsidRPr="00234409">
        <w:rPr>
          <w:iCs/>
        </w:rPr>
        <w:t xml:space="preserve"> (Week 12) and </w:t>
      </w:r>
      <w:proofErr w:type="spellStart"/>
      <w:r w:rsidR="00973D9A">
        <w:rPr>
          <w:iCs/>
        </w:rPr>
        <w:t>certolizumab</w:t>
      </w:r>
      <w:proofErr w:type="spellEnd"/>
      <w:r w:rsidRPr="00234409">
        <w:rPr>
          <w:iCs/>
        </w:rPr>
        <w:t xml:space="preserve"> (Week 12), </w:t>
      </w:r>
      <w:r w:rsidR="00973D9A">
        <w:rPr>
          <w:iCs/>
        </w:rPr>
        <w:t>ustekinumab</w:t>
      </w:r>
      <w:r w:rsidRPr="00234409">
        <w:rPr>
          <w:iCs/>
        </w:rPr>
        <w:t xml:space="preserve"> (Week 24) and </w:t>
      </w:r>
      <w:r w:rsidR="00973D9A">
        <w:rPr>
          <w:iCs/>
        </w:rPr>
        <w:t>secukinumab</w:t>
      </w:r>
      <w:r w:rsidRPr="00234409">
        <w:rPr>
          <w:iCs/>
        </w:rPr>
        <w:t xml:space="preserve"> (Week 12) were conducted during the evaluation, summarised in Tables 5 and 6.  Comparisons in anti-</w:t>
      </w:r>
      <w:r w:rsidRPr="00234409">
        <w:rPr>
          <w:rFonts w:cs="Calibri"/>
          <w:iCs/>
        </w:rPr>
        <w:t xml:space="preserve">TNFα experienced patients were also presented by the submission given </w:t>
      </w:r>
      <w:proofErr w:type="spellStart"/>
      <w:r w:rsidR="005A5A63" w:rsidRPr="00234409">
        <w:rPr>
          <w:rFonts w:cs="Calibri"/>
          <w:iCs/>
        </w:rPr>
        <w:t>abatacept</w:t>
      </w:r>
      <w:proofErr w:type="spellEnd"/>
      <w:r w:rsidRPr="00234409">
        <w:rPr>
          <w:rFonts w:cs="Calibri"/>
          <w:iCs/>
        </w:rPr>
        <w:t xml:space="preserve"> was most likely to be used as second- or third-line therapy.  However, the submission did not </w:t>
      </w:r>
      <w:r w:rsidRPr="00234409">
        <w:t>test for potential effect under-powering and/or point-estimate imprecision in the subgroup, and the requested restriction does not preclude anti-TNF</w:t>
      </w:r>
      <w:r w:rsidRPr="00234409">
        <w:rPr>
          <w:rFonts w:cs="Calibri"/>
          <w:iCs/>
        </w:rPr>
        <w:t>α naïve patients from receiving treatment</w:t>
      </w:r>
      <w:r w:rsidRPr="00234409">
        <w:t>.</w:t>
      </w:r>
    </w:p>
    <w:p w:rsidR="00155995" w:rsidRPr="00234409" w:rsidRDefault="00C94F6E" w:rsidP="00B16FFA">
      <w:pPr>
        <w:pStyle w:val="ListParagraph"/>
        <w:widowControl/>
        <w:numPr>
          <w:ilvl w:val="1"/>
          <w:numId w:val="3"/>
        </w:numPr>
      </w:pPr>
      <w:r w:rsidRPr="00234409">
        <w:rPr>
          <w:rFonts w:cs="Calibri"/>
          <w:iCs/>
        </w:rPr>
        <w:t xml:space="preserve">For the ITT population </w:t>
      </w:r>
      <w:r w:rsidR="00155995" w:rsidRPr="00234409">
        <w:rPr>
          <w:rFonts w:cs="Calibri"/>
          <w:iCs/>
        </w:rPr>
        <w:t xml:space="preserve">at Week 12/24, non-inferiority could not be concluded between </w:t>
      </w:r>
      <w:proofErr w:type="spellStart"/>
      <w:r w:rsidR="005A5A63" w:rsidRPr="00234409">
        <w:rPr>
          <w:rFonts w:cs="Calibri"/>
          <w:iCs/>
        </w:rPr>
        <w:t>abatacept</w:t>
      </w:r>
      <w:proofErr w:type="spellEnd"/>
      <w:r w:rsidR="00155995" w:rsidRPr="00234409">
        <w:rPr>
          <w:rFonts w:cs="Calibri"/>
          <w:iCs/>
        </w:rPr>
        <w:t xml:space="preserve"> and </w:t>
      </w:r>
      <w:r w:rsidR="00391E03">
        <w:rPr>
          <w:iCs/>
        </w:rPr>
        <w:t>secukinumab</w:t>
      </w:r>
      <w:r w:rsidR="00391E03" w:rsidRPr="00234409">
        <w:rPr>
          <w:iCs/>
        </w:rPr>
        <w:t xml:space="preserve"> </w:t>
      </w:r>
      <w:r w:rsidR="00155995" w:rsidRPr="00234409">
        <w:rPr>
          <w:rFonts w:cs="Calibri"/>
          <w:iCs/>
        </w:rPr>
        <w:t xml:space="preserve">for </w:t>
      </w:r>
      <w:proofErr w:type="gramStart"/>
      <w:r w:rsidR="00155995" w:rsidRPr="00234409">
        <w:rPr>
          <w:rFonts w:cs="Calibri"/>
          <w:iCs/>
        </w:rPr>
        <w:t>ACR50,</w:t>
      </w:r>
      <w:proofErr w:type="gramEnd"/>
      <w:r w:rsidR="00155995" w:rsidRPr="00234409">
        <w:rPr>
          <w:rFonts w:cs="Calibri"/>
          <w:iCs/>
        </w:rPr>
        <w:t xml:space="preserve"> or </w:t>
      </w:r>
      <w:r w:rsidR="008B4EDF" w:rsidRPr="00234409">
        <w:rPr>
          <w:rFonts w:cs="Calibri"/>
          <w:iCs/>
        </w:rPr>
        <w:t xml:space="preserve">between </w:t>
      </w:r>
      <w:proofErr w:type="spellStart"/>
      <w:r w:rsidR="005A5A63" w:rsidRPr="00234409">
        <w:rPr>
          <w:rFonts w:cs="Calibri"/>
          <w:iCs/>
        </w:rPr>
        <w:t>abatacept</w:t>
      </w:r>
      <w:proofErr w:type="spellEnd"/>
      <w:r w:rsidR="00155995" w:rsidRPr="00234409">
        <w:rPr>
          <w:rFonts w:cs="Calibri"/>
          <w:iCs/>
        </w:rPr>
        <w:t xml:space="preserve"> and any of the comparators for ACR20.  </w:t>
      </w:r>
      <w:r w:rsidR="00155995" w:rsidRPr="00234409">
        <w:rPr>
          <w:iCs/>
        </w:rPr>
        <w:t xml:space="preserve">The lower 95%CI of the RR estimates of ACR50 for </w:t>
      </w:r>
      <w:proofErr w:type="spellStart"/>
      <w:r w:rsidR="005A5A63" w:rsidRPr="00234409">
        <w:rPr>
          <w:iCs/>
        </w:rPr>
        <w:t>abatacept</w:t>
      </w:r>
      <w:proofErr w:type="spellEnd"/>
      <w:r w:rsidR="00155995" w:rsidRPr="00234409">
        <w:rPr>
          <w:iCs/>
        </w:rPr>
        <w:t xml:space="preserve"> versus </w:t>
      </w:r>
      <w:proofErr w:type="spellStart"/>
      <w:r w:rsidR="00973D9A">
        <w:rPr>
          <w:iCs/>
        </w:rPr>
        <w:t>certolizumab</w:t>
      </w:r>
      <w:proofErr w:type="spellEnd"/>
      <w:r w:rsidR="00155995" w:rsidRPr="00234409">
        <w:rPr>
          <w:iCs/>
        </w:rPr>
        <w:t xml:space="preserve"> </w:t>
      </w:r>
      <w:r w:rsidR="00155995" w:rsidRPr="00F03270">
        <w:rPr>
          <w:iCs/>
        </w:rPr>
        <w:t xml:space="preserve">(0.35) and </w:t>
      </w:r>
      <w:r w:rsidR="00973D9A" w:rsidRPr="00F03270">
        <w:rPr>
          <w:iCs/>
        </w:rPr>
        <w:t>ustekinumab</w:t>
      </w:r>
      <w:r w:rsidR="00155995" w:rsidRPr="00F03270">
        <w:rPr>
          <w:iCs/>
        </w:rPr>
        <w:t xml:space="preserve"> (0.41) were higher than the nominated threshold of 0.29.</w:t>
      </w:r>
      <w:r w:rsidRPr="00F03270">
        <w:rPr>
          <w:iCs/>
        </w:rPr>
        <w:t xml:space="preserve">  These results</w:t>
      </w:r>
      <w:r w:rsidRPr="00234409">
        <w:rPr>
          <w:iCs/>
        </w:rPr>
        <w:t xml:space="preserve"> for ACR50 however were contradicted by the results of indirect comparisons using the RD statistic, which indicated significantly lower proportions of patients attained an ACR50 response with </w:t>
      </w:r>
      <w:proofErr w:type="spellStart"/>
      <w:r w:rsidR="005A5A63" w:rsidRPr="00234409">
        <w:rPr>
          <w:iCs/>
        </w:rPr>
        <w:t>abatacept</w:t>
      </w:r>
      <w:proofErr w:type="spellEnd"/>
      <w:r w:rsidR="005A5A63" w:rsidRPr="00234409">
        <w:rPr>
          <w:iCs/>
        </w:rPr>
        <w:t xml:space="preserve"> </w:t>
      </w:r>
      <w:r w:rsidRPr="00234409">
        <w:rPr>
          <w:iCs/>
        </w:rPr>
        <w:t xml:space="preserve">compared to </w:t>
      </w:r>
      <w:proofErr w:type="spellStart"/>
      <w:r w:rsidR="00973D9A">
        <w:rPr>
          <w:iCs/>
        </w:rPr>
        <w:t>certolizumab</w:t>
      </w:r>
      <w:proofErr w:type="spellEnd"/>
      <w:r w:rsidRPr="00234409">
        <w:rPr>
          <w:iCs/>
        </w:rPr>
        <w:t xml:space="preserve"> (RD(95%CI): </w:t>
      </w:r>
      <w:r w:rsidRPr="00F03270">
        <w:rPr>
          <w:iCs/>
        </w:rPr>
        <w:t>0.13 (-0.23, -0.03)).</w:t>
      </w:r>
    </w:p>
    <w:p w:rsidR="00155995" w:rsidRPr="00BB18E5" w:rsidRDefault="00155995" w:rsidP="00155995">
      <w:pPr>
        <w:widowControl/>
        <w:rPr>
          <w:rFonts w:ascii="Arial Narrow" w:hAnsi="Arial Narrow"/>
          <w:b/>
          <w:bCs/>
          <w:i/>
          <w:iCs/>
          <w:color w:val="000000" w:themeColor="text1"/>
          <w:sz w:val="20"/>
          <w:szCs w:val="18"/>
        </w:rPr>
      </w:pPr>
      <w:r>
        <w:rPr>
          <w:rFonts w:ascii="Arial Narrow" w:hAnsi="Arial Narrow"/>
          <w:b/>
          <w:bCs/>
          <w:i/>
          <w:iCs/>
          <w:color w:val="000000" w:themeColor="text1"/>
          <w:sz w:val="20"/>
          <w:szCs w:val="18"/>
        </w:rPr>
        <w:t>Table 5</w:t>
      </w:r>
      <w:r w:rsidRPr="00BB18E5">
        <w:rPr>
          <w:rFonts w:ascii="Arial Narrow" w:hAnsi="Arial Narrow"/>
          <w:b/>
          <w:bCs/>
          <w:i/>
          <w:iCs/>
          <w:color w:val="000000" w:themeColor="text1"/>
          <w:sz w:val="20"/>
          <w:szCs w:val="18"/>
        </w:rPr>
        <w:t xml:space="preserve">: ACR50 response at 12 or 24 weeks across the trials, in the ITT and TNF-α experienced </w:t>
      </w:r>
      <w:proofErr w:type="gramStart"/>
      <w:r w:rsidRPr="00BB18E5">
        <w:rPr>
          <w:rFonts w:ascii="Arial Narrow" w:hAnsi="Arial Narrow"/>
          <w:b/>
          <w:bCs/>
          <w:i/>
          <w:iCs/>
          <w:color w:val="000000" w:themeColor="text1"/>
          <w:sz w:val="20"/>
          <w:szCs w:val="18"/>
        </w:rPr>
        <w:t>populations</w:t>
      </w:r>
      <w:proofErr w:type="gramEnd"/>
    </w:p>
    <w:tbl>
      <w:tblPr>
        <w:tblStyle w:val="TableGrid"/>
        <w:tblW w:w="0" w:type="auto"/>
        <w:tblCellMar>
          <w:left w:w="28" w:type="dxa"/>
          <w:right w:w="28" w:type="dxa"/>
        </w:tblCellMar>
        <w:tblLook w:val="04A0" w:firstRow="1" w:lastRow="0" w:firstColumn="1" w:lastColumn="0" w:noHBand="0" w:noVBand="1"/>
        <w:tblCaption w:val="Table 5: ACR50 response at 12 or 24 weeks across the trials, in the ITT and TNF-α experienced populations"/>
      </w:tblPr>
      <w:tblGrid>
        <w:gridCol w:w="1425"/>
        <w:gridCol w:w="903"/>
        <w:gridCol w:w="922"/>
        <w:gridCol w:w="1372"/>
        <w:gridCol w:w="1201"/>
        <w:gridCol w:w="1387"/>
        <w:gridCol w:w="1119"/>
        <w:gridCol w:w="688"/>
      </w:tblGrid>
      <w:tr w:rsidR="00155995" w:rsidRPr="004F34A8" w:rsidTr="006B74B3">
        <w:trPr>
          <w:tblHeader/>
        </w:trPr>
        <w:tc>
          <w:tcPr>
            <w:tcW w:w="1425" w:type="dxa"/>
            <w:vAlign w:val="center"/>
          </w:tcPr>
          <w:p w:rsidR="00155995" w:rsidRPr="004F34A8" w:rsidRDefault="00155995" w:rsidP="00FC26CD">
            <w:pPr>
              <w:jc w:val="left"/>
              <w:rPr>
                <w:rFonts w:ascii="Arial Narrow" w:hAnsi="Arial Narrow"/>
                <w:b/>
                <w:bCs/>
                <w:i/>
                <w:iCs/>
                <w:sz w:val="18"/>
                <w:szCs w:val="18"/>
              </w:rPr>
            </w:pPr>
            <w:r w:rsidRPr="004F34A8">
              <w:rPr>
                <w:rFonts w:ascii="Arial Narrow" w:hAnsi="Arial Narrow"/>
                <w:b/>
                <w:bCs/>
                <w:i/>
                <w:iCs/>
                <w:sz w:val="18"/>
                <w:szCs w:val="18"/>
              </w:rPr>
              <w:t>Trial</w:t>
            </w:r>
          </w:p>
        </w:tc>
        <w:tc>
          <w:tcPr>
            <w:tcW w:w="903" w:type="dxa"/>
            <w:vAlign w:val="center"/>
          </w:tcPr>
          <w:p w:rsidR="00155995" w:rsidRPr="004F34A8" w:rsidRDefault="00155995" w:rsidP="00FC26CD">
            <w:pPr>
              <w:jc w:val="center"/>
              <w:rPr>
                <w:rFonts w:ascii="Arial Narrow" w:hAnsi="Arial Narrow"/>
                <w:b/>
                <w:bCs/>
                <w:i/>
                <w:iCs/>
                <w:sz w:val="18"/>
                <w:szCs w:val="18"/>
              </w:rPr>
            </w:pPr>
            <w:r w:rsidRPr="004F34A8">
              <w:rPr>
                <w:rFonts w:ascii="Arial Narrow" w:hAnsi="Arial Narrow"/>
                <w:b/>
                <w:bCs/>
                <w:i/>
                <w:iCs/>
                <w:sz w:val="18"/>
                <w:szCs w:val="18"/>
              </w:rPr>
              <w:t>Drug</w:t>
            </w:r>
          </w:p>
          <w:p w:rsidR="00155995" w:rsidRPr="004F34A8" w:rsidRDefault="00155995" w:rsidP="00FC26CD">
            <w:pPr>
              <w:jc w:val="center"/>
              <w:rPr>
                <w:rFonts w:ascii="Arial Narrow" w:hAnsi="Arial Narrow"/>
                <w:b/>
                <w:bCs/>
                <w:i/>
                <w:iCs/>
                <w:sz w:val="18"/>
                <w:szCs w:val="18"/>
              </w:rPr>
            </w:pPr>
            <w:proofErr w:type="gramStart"/>
            <w:r w:rsidRPr="004F34A8">
              <w:rPr>
                <w:rFonts w:ascii="Arial Narrow" w:hAnsi="Arial Narrow"/>
                <w:b/>
                <w:bCs/>
                <w:i/>
                <w:iCs/>
                <w:sz w:val="18"/>
                <w:szCs w:val="18"/>
              </w:rPr>
              <w:t>n/N</w:t>
            </w:r>
            <w:proofErr w:type="gramEnd"/>
            <w:r w:rsidRPr="004F34A8">
              <w:rPr>
                <w:rFonts w:ascii="Arial Narrow" w:hAnsi="Arial Narrow"/>
                <w:b/>
                <w:bCs/>
                <w:i/>
                <w:iCs/>
                <w:sz w:val="18"/>
                <w:szCs w:val="18"/>
              </w:rPr>
              <w:t xml:space="preserve"> (%)</w:t>
            </w:r>
          </w:p>
        </w:tc>
        <w:tc>
          <w:tcPr>
            <w:tcW w:w="922" w:type="dxa"/>
            <w:vAlign w:val="center"/>
          </w:tcPr>
          <w:p w:rsidR="00155995" w:rsidRPr="004F34A8" w:rsidRDefault="00155995" w:rsidP="00FC26CD">
            <w:pPr>
              <w:jc w:val="center"/>
              <w:rPr>
                <w:rFonts w:ascii="Arial Narrow" w:hAnsi="Arial Narrow"/>
                <w:b/>
                <w:bCs/>
                <w:i/>
                <w:iCs/>
                <w:sz w:val="18"/>
                <w:szCs w:val="18"/>
              </w:rPr>
            </w:pPr>
            <w:r w:rsidRPr="004F34A8">
              <w:rPr>
                <w:rFonts w:ascii="Arial Narrow" w:hAnsi="Arial Narrow"/>
                <w:b/>
                <w:bCs/>
                <w:i/>
                <w:iCs/>
                <w:sz w:val="18"/>
                <w:szCs w:val="18"/>
              </w:rPr>
              <w:t xml:space="preserve">Placebo </w:t>
            </w:r>
          </w:p>
          <w:p w:rsidR="00155995" w:rsidRPr="004F34A8" w:rsidRDefault="00155995" w:rsidP="00FC26CD">
            <w:pPr>
              <w:jc w:val="center"/>
              <w:rPr>
                <w:rFonts w:ascii="Arial Narrow" w:hAnsi="Arial Narrow"/>
                <w:b/>
                <w:bCs/>
                <w:i/>
                <w:iCs/>
                <w:sz w:val="18"/>
                <w:szCs w:val="18"/>
              </w:rPr>
            </w:pPr>
            <w:proofErr w:type="gramStart"/>
            <w:r w:rsidRPr="004F34A8">
              <w:rPr>
                <w:rFonts w:ascii="Arial Narrow" w:hAnsi="Arial Narrow"/>
                <w:b/>
                <w:bCs/>
                <w:i/>
                <w:iCs/>
                <w:sz w:val="18"/>
                <w:szCs w:val="18"/>
              </w:rPr>
              <w:t>n/N</w:t>
            </w:r>
            <w:proofErr w:type="gramEnd"/>
            <w:r w:rsidRPr="004F34A8">
              <w:rPr>
                <w:rFonts w:ascii="Arial Narrow" w:hAnsi="Arial Narrow"/>
                <w:b/>
                <w:bCs/>
                <w:i/>
                <w:iCs/>
                <w:sz w:val="18"/>
                <w:szCs w:val="18"/>
              </w:rPr>
              <w:t xml:space="preserve"> (%)</w:t>
            </w:r>
          </w:p>
        </w:tc>
        <w:tc>
          <w:tcPr>
            <w:tcW w:w="2573" w:type="dxa"/>
            <w:gridSpan w:val="2"/>
            <w:vAlign w:val="center"/>
          </w:tcPr>
          <w:p w:rsidR="00155995" w:rsidRPr="004F34A8" w:rsidRDefault="00155995" w:rsidP="00FC26CD">
            <w:pPr>
              <w:jc w:val="center"/>
              <w:rPr>
                <w:rFonts w:ascii="Arial Narrow" w:hAnsi="Arial Narrow"/>
                <w:b/>
                <w:bCs/>
                <w:i/>
                <w:iCs/>
                <w:sz w:val="18"/>
                <w:szCs w:val="18"/>
              </w:rPr>
            </w:pPr>
            <w:r w:rsidRPr="004F34A8">
              <w:rPr>
                <w:rFonts w:ascii="Arial Narrow" w:hAnsi="Arial Narrow"/>
                <w:b/>
                <w:bCs/>
                <w:i/>
                <w:iCs/>
                <w:sz w:val="18"/>
                <w:szCs w:val="18"/>
              </w:rPr>
              <w:t>RR (95%CI)</w:t>
            </w:r>
          </w:p>
        </w:tc>
        <w:tc>
          <w:tcPr>
            <w:tcW w:w="2506" w:type="dxa"/>
            <w:gridSpan w:val="2"/>
            <w:vAlign w:val="center"/>
          </w:tcPr>
          <w:p w:rsidR="00155995" w:rsidRPr="004F34A8" w:rsidRDefault="00155995" w:rsidP="00FC26CD">
            <w:pPr>
              <w:jc w:val="center"/>
              <w:rPr>
                <w:rFonts w:ascii="Arial Narrow" w:hAnsi="Arial Narrow"/>
                <w:b/>
                <w:bCs/>
                <w:i/>
                <w:iCs/>
                <w:sz w:val="18"/>
                <w:szCs w:val="18"/>
              </w:rPr>
            </w:pPr>
            <w:r w:rsidRPr="004F34A8">
              <w:rPr>
                <w:rFonts w:ascii="Arial Narrow" w:hAnsi="Arial Narrow"/>
                <w:b/>
                <w:bCs/>
                <w:i/>
                <w:iCs/>
                <w:sz w:val="18"/>
                <w:szCs w:val="18"/>
              </w:rPr>
              <w:t>RD (95%CI)</w:t>
            </w:r>
          </w:p>
        </w:tc>
        <w:tc>
          <w:tcPr>
            <w:tcW w:w="688" w:type="dxa"/>
            <w:tcBorders>
              <w:bottom w:val="single" w:sz="4" w:space="0" w:color="auto"/>
            </w:tcBorders>
            <w:vAlign w:val="center"/>
          </w:tcPr>
          <w:p w:rsidR="00155995" w:rsidRPr="004F34A8" w:rsidRDefault="00155995" w:rsidP="00FC26CD">
            <w:pPr>
              <w:jc w:val="center"/>
              <w:rPr>
                <w:rFonts w:ascii="Arial Narrow" w:hAnsi="Arial Narrow"/>
                <w:b/>
                <w:bCs/>
                <w:i/>
                <w:iCs/>
                <w:sz w:val="18"/>
                <w:szCs w:val="18"/>
              </w:rPr>
            </w:pPr>
            <w:r w:rsidRPr="004F34A8">
              <w:rPr>
                <w:rFonts w:ascii="Arial Narrow" w:hAnsi="Arial Narrow"/>
                <w:b/>
                <w:bCs/>
                <w:i/>
                <w:iCs/>
                <w:sz w:val="18"/>
                <w:szCs w:val="18"/>
              </w:rPr>
              <w:t xml:space="preserve">NNT </w:t>
            </w:r>
          </w:p>
          <w:p w:rsidR="00155995" w:rsidRPr="004F34A8" w:rsidRDefault="00155995" w:rsidP="00FC26CD">
            <w:pPr>
              <w:jc w:val="center"/>
              <w:rPr>
                <w:rFonts w:ascii="Arial Narrow" w:hAnsi="Arial Narrow"/>
                <w:b/>
                <w:bCs/>
                <w:i/>
                <w:iCs/>
                <w:sz w:val="18"/>
                <w:szCs w:val="18"/>
              </w:rPr>
            </w:pPr>
            <w:r w:rsidRPr="004F34A8">
              <w:rPr>
                <w:rFonts w:ascii="Arial Narrow" w:hAnsi="Arial Narrow"/>
                <w:b/>
                <w:bCs/>
                <w:i/>
                <w:iCs/>
                <w:sz w:val="18"/>
                <w:szCs w:val="18"/>
              </w:rPr>
              <w:t>(95%CI)</w:t>
            </w:r>
          </w:p>
        </w:tc>
      </w:tr>
      <w:tr w:rsidR="00155995" w:rsidRPr="004F34A8" w:rsidTr="00FC26CD">
        <w:tc>
          <w:tcPr>
            <w:tcW w:w="3250" w:type="dxa"/>
            <w:gridSpan w:val="3"/>
            <w:vAlign w:val="center"/>
          </w:tcPr>
          <w:p w:rsidR="00155995" w:rsidRPr="004F34A8" w:rsidRDefault="00155995" w:rsidP="00FC26CD">
            <w:pPr>
              <w:jc w:val="left"/>
              <w:rPr>
                <w:rFonts w:ascii="Arial Narrow" w:hAnsi="Arial Narrow"/>
                <w:b/>
                <w:bCs/>
                <w:i/>
                <w:iCs/>
                <w:sz w:val="18"/>
                <w:szCs w:val="18"/>
              </w:rPr>
            </w:pPr>
            <w:r w:rsidRPr="004F34A8">
              <w:rPr>
                <w:rFonts w:ascii="Arial Narrow" w:hAnsi="Arial Narrow"/>
                <w:b/>
                <w:bCs/>
                <w:i/>
                <w:iCs/>
                <w:sz w:val="18"/>
                <w:szCs w:val="18"/>
              </w:rPr>
              <w:t>ABA (ITT, 12 weeks)</w:t>
            </w:r>
          </w:p>
        </w:tc>
        <w:tc>
          <w:tcPr>
            <w:tcW w:w="1372" w:type="dxa"/>
            <w:vMerge w:val="restart"/>
            <w:tcBorders>
              <w:right w:val="nil"/>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noProof/>
                <w:snapToGrid/>
                <w:sz w:val="18"/>
                <w:szCs w:val="18"/>
                <w:lang w:eastAsia="en-AU"/>
              </w:rPr>
              <w:drawing>
                <wp:inline distT="0" distB="0" distL="0" distR="0" wp14:anchorId="0848ED0B" wp14:editId="4606A0BF">
                  <wp:extent cx="742950" cy="6162675"/>
                  <wp:effectExtent l="0" t="0" r="0" b="9525"/>
                  <wp:docPr id="13" name="Picture 13" title="RR (95%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atacept Mar 2018 Table 2.5.1 RR v2 revised.png"/>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765927" cy="6353267"/>
                          </a:xfrm>
                          <a:prstGeom prst="rect">
                            <a:avLst/>
                          </a:prstGeom>
                          <a:ln>
                            <a:noFill/>
                          </a:ln>
                          <a:extLst>
                            <a:ext uri="{53640926-AAD7-44D8-BBD7-CCE9431645EC}">
                              <a14:shadowObscured xmlns:a14="http://schemas.microsoft.com/office/drawing/2010/main"/>
                            </a:ext>
                          </a:extLst>
                        </pic:spPr>
                      </pic:pic>
                    </a:graphicData>
                  </a:graphic>
                </wp:inline>
              </w:drawing>
            </w:r>
          </w:p>
        </w:tc>
        <w:tc>
          <w:tcPr>
            <w:tcW w:w="1201" w:type="dxa"/>
            <w:tcBorders>
              <w:left w:val="nil"/>
              <w:bottom w:val="nil"/>
            </w:tcBorders>
            <w:vAlign w:val="center"/>
          </w:tcPr>
          <w:p w:rsidR="00155995" w:rsidRPr="004F34A8" w:rsidRDefault="00155995" w:rsidP="00FC26CD">
            <w:pPr>
              <w:jc w:val="center"/>
              <w:rPr>
                <w:rFonts w:ascii="Arial Narrow" w:hAnsi="Arial Narrow"/>
                <w:i/>
                <w:iCs/>
                <w:sz w:val="16"/>
                <w:szCs w:val="16"/>
              </w:rPr>
            </w:pPr>
          </w:p>
        </w:tc>
        <w:tc>
          <w:tcPr>
            <w:tcW w:w="1387" w:type="dxa"/>
            <w:vMerge w:val="restart"/>
            <w:tcBorders>
              <w:right w:val="nil"/>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noProof/>
                <w:snapToGrid/>
                <w:sz w:val="18"/>
                <w:szCs w:val="18"/>
                <w:lang w:eastAsia="en-AU"/>
              </w:rPr>
              <w:drawing>
                <wp:inline distT="0" distB="0" distL="0" distR="0" wp14:anchorId="3D336D34" wp14:editId="381B91CF">
                  <wp:extent cx="751840" cy="6181725"/>
                  <wp:effectExtent l="0" t="0" r="0" b="9525"/>
                  <wp:docPr id="16" name="Picture 16" title="RD (95%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atacept Mar 2018 Table 2.5.1 RD v2.png"/>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751840" cy="6181725"/>
                          </a:xfrm>
                          <a:prstGeom prst="rect">
                            <a:avLst/>
                          </a:prstGeom>
                          <a:ln>
                            <a:noFill/>
                          </a:ln>
                          <a:extLst>
                            <a:ext uri="{53640926-AAD7-44D8-BBD7-CCE9431645EC}">
                              <a14:shadowObscured xmlns:a14="http://schemas.microsoft.com/office/drawing/2010/main"/>
                            </a:ext>
                          </a:extLst>
                        </pic:spPr>
                      </pic:pic>
                    </a:graphicData>
                  </a:graphic>
                </wp:inline>
              </w:drawing>
            </w:r>
          </w:p>
        </w:tc>
        <w:tc>
          <w:tcPr>
            <w:tcW w:w="1119" w:type="dxa"/>
            <w:tcBorders>
              <w:left w:val="nil"/>
              <w:bottom w:val="nil"/>
              <w:right w:val="single" w:sz="4" w:space="0" w:color="auto"/>
            </w:tcBorders>
            <w:vAlign w:val="center"/>
          </w:tcPr>
          <w:p w:rsidR="00155995" w:rsidRPr="004F34A8" w:rsidRDefault="00155995" w:rsidP="00FC26CD">
            <w:pPr>
              <w:jc w:val="center"/>
              <w:rPr>
                <w:rFonts w:ascii="Arial Narrow" w:hAnsi="Arial Narrow"/>
                <w:i/>
                <w:iCs/>
                <w:sz w:val="16"/>
                <w:szCs w:val="16"/>
              </w:rPr>
            </w:pPr>
          </w:p>
        </w:tc>
        <w:tc>
          <w:tcPr>
            <w:tcW w:w="688" w:type="dxa"/>
            <w:tcBorders>
              <w:top w:val="single" w:sz="4" w:space="0" w:color="auto"/>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tcPr>
          <w:p w:rsidR="00155995" w:rsidRPr="00C51A98" w:rsidRDefault="00155995" w:rsidP="00FC26CD">
            <w:pPr>
              <w:rPr>
                <w:rFonts w:ascii="Arial Narrow" w:hAnsi="Arial Narrow"/>
                <w:i/>
                <w:iCs/>
                <w:sz w:val="18"/>
                <w:szCs w:val="18"/>
              </w:rPr>
            </w:pPr>
            <w:proofErr w:type="spellStart"/>
            <w:r w:rsidRPr="00C51A98">
              <w:rPr>
                <w:rFonts w:ascii="Arial Narrow" w:hAnsi="Arial Narrow"/>
                <w:i/>
                <w:iCs/>
                <w:sz w:val="18"/>
                <w:szCs w:val="18"/>
              </w:rPr>
              <w:t>Mease</w:t>
            </w:r>
            <w:proofErr w:type="spellEnd"/>
            <w:r w:rsidRPr="00C51A98">
              <w:rPr>
                <w:rFonts w:ascii="Arial Narrow" w:hAnsi="Arial Narrow"/>
                <w:i/>
                <w:iCs/>
                <w:sz w:val="18"/>
                <w:szCs w:val="18"/>
              </w:rPr>
              <w:t xml:space="preserve"> 2011 (IV)</w:t>
            </w:r>
          </w:p>
        </w:tc>
        <w:tc>
          <w:tcPr>
            <w:tcW w:w="903" w:type="dxa"/>
            <w:vAlign w:val="center"/>
          </w:tcPr>
          <w:p w:rsidR="00155995" w:rsidRPr="00C51A98" w:rsidRDefault="00155995" w:rsidP="00FC26CD">
            <w:pPr>
              <w:jc w:val="center"/>
              <w:rPr>
                <w:rFonts w:ascii="Arial Narrow" w:hAnsi="Arial Narrow"/>
                <w:i/>
                <w:iCs/>
                <w:sz w:val="18"/>
                <w:szCs w:val="18"/>
              </w:rPr>
            </w:pPr>
            <w:r w:rsidRPr="00C51A98">
              <w:rPr>
                <w:rFonts w:ascii="Arial Narrow" w:hAnsi="Arial Narrow"/>
                <w:i/>
                <w:iCs/>
                <w:sz w:val="18"/>
                <w:szCs w:val="18"/>
              </w:rPr>
              <w:t>NR</w:t>
            </w:r>
          </w:p>
        </w:tc>
        <w:tc>
          <w:tcPr>
            <w:tcW w:w="922" w:type="dxa"/>
            <w:vAlign w:val="center"/>
          </w:tcPr>
          <w:p w:rsidR="00155995" w:rsidRPr="00C51A98" w:rsidRDefault="00155995" w:rsidP="00FC26CD">
            <w:pPr>
              <w:jc w:val="center"/>
              <w:rPr>
                <w:rFonts w:ascii="Arial Narrow" w:hAnsi="Arial Narrow"/>
                <w:i/>
                <w:iCs/>
                <w:sz w:val="18"/>
                <w:szCs w:val="18"/>
              </w:rPr>
            </w:pPr>
            <w:r w:rsidRPr="00C51A98">
              <w:rPr>
                <w:rFonts w:ascii="Arial Narrow" w:hAnsi="Arial Narrow"/>
                <w:i/>
                <w:iCs/>
                <w:sz w:val="18"/>
                <w:szCs w:val="18"/>
              </w:rPr>
              <w:t>NR</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tcPr>
          <w:p w:rsidR="00155995" w:rsidRPr="00C51A98" w:rsidRDefault="00155995" w:rsidP="00FC26CD">
            <w:pPr>
              <w:rPr>
                <w:rFonts w:ascii="Arial Narrow" w:hAnsi="Arial Narrow"/>
                <w:i/>
                <w:iCs/>
                <w:sz w:val="18"/>
                <w:szCs w:val="18"/>
              </w:rPr>
            </w:pPr>
            <w:proofErr w:type="spellStart"/>
            <w:r w:rsidRPr="00C51A98">
              <w:rPr>
                <w:rFonts w:ascii="Arial Narrow" w:hAnsi="Arial Narrow"/>
                <w:i/>
                <w:iCs/>
                <w:sz w:val="18"/>
                <w:szCs w:val="18"/>
              </w:rPr>
              <w:t>Mease</w:t>
            </w:r>
            <w:proofErr w:type="spellEnd"/>
            <w:r w:rsidRPr="00C51A98">
              <w:rPr>
                <w:rFonts w:ascii="Arial Narrow" w:hAnsi="Arial Narrow"/>
                <w:i/>
                <w:iCs/>
                <w:sz w:val="18"/>
                <w:szCs w:val="18"/>
              </w:rPr>
              <w:t xml:space="preserve"> 2017 (SC)</w:t>
            </w:r>
          </w:p>
        </w:tc>
        <w:tc>
          <w:tcPr>
            <w:tcW w:w="903" w:type="dxa"/>
            <w:vAlign w:val="center"/>
          </w:tcPr>
          <w:p w:rsidR="00155995" w:rsidRPr="00C51A98" w:rsidRDefault="00155995" w:rsidP="00FC26CD">
            <w:pPr>
              <w:jc w:val="center"/>
              <w:rPr>
                <w:rFonts w:ascii="Arial Narrow" w:hAnsi="Arial Narrow"/>
                <w:i/>
                <w:iCs/>
                <w:sz w:val="18"/>
                <w:szCs w:val="18"/>
              </w:rPr>
            </w:pPr>
            <w:r w:rsidRPr="00C51A98">
              <w:rPr>
                <w:rFonts w:ascii="Arial Narrow" w:hAnsi="Arial Narrow"/>
                <w:i/>
                <w:iCs/>
                <w:sz w:val="18"/>
                <w:szCs w:val="18"/>
              </w:rPr>
              <w:t>39/213 (18)</w:t>
            </w:r>
          </w:p>
        </w:tc>
        <w:tc>
          <w:tcPr>
            <w:tcW w:w="922" w:type="dxa"/>
            <w:vAlign w:val="center"/>
          </w:tcPr>
          <w:p w:rsidR="00155995" w:rsidRPr="00C51A98" w:rsidRDefault="00155995" w:rsidP="00FC26CD">
            <w:pPr>
              <w:jc w:val="center"/>
              <w:rPr>
                <w:rFonts w:ascii="Arial Narrow" w:hAnsi="Arial Narrow"/>
                <w:i/>
                <w:iCs/>
                <w:sz w:val="18"/>
                <w:szCs w:val="18"/>
              </w:rPr>
            </w:pPr>
            <w:r w:rsidRPr="00C51A98">
              <w:rPr>
                <w:rFonts w:ascii="Arial Narrow" w:hAnsi="Arial Narrow"/>
                <w:i/>
                <w:iCs/>
                <w:sz w:val="18"/>
                <w:szCs w:val="18"/>
              </w:rPr>
              <w:t>17/211 (8)</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2.27 (1.33, 3.89)</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0.10 (0.04, 0.17)</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10 (6,25)</w:t>
            </w:r>
          </w:p>
        </w:tc>
      </w:tr>
      <w:tr w:rsidR="00155995" w:rsidRPr="004F34A8" w:rsidTr="00FC26CD">
        <w:tc>
          <w:tcPr>
            <w:tcW w:w="1425" w:type="dxa"/>
            <w:vAlign w:val="center"/>
          </w:tcPr>
          <w:p w:rsidR="00155995" w:rsidRPr="00C51A98" w:rsidRDefault="00155995" w:rsidP="00FC26CD">
            <w:pPr>
              <w:jc w:val="right"/>
              <w:rPr>
                <w:rFonts w:ascii="Arial Narrow" w:hAnsi="Arial Narrow"/>
                <w:i/>
                <w:iCs/>
                <w:sz w:val="18"/>
                <w:szCs w:val="18"/>
              </w:rPr>
            </w:pPr>
            <w:r>
              <w:rPr>
                <w:rFonts w:ascii="Arial Narrow" w:hAnsi="Arial Narrow"/>
                <w:i/>
                <w:iCs/>
                <w:sz w:val="18"/>
                <w:szCs w:val="18"/>
              </w:rPr>
              <w:t>Meta-analysis</w:t>
            </w:r>
          </w:p>
        </w:tc>
        <w:tc>
          <w:tcPr>
            <w:tcW w:w="903" w:type="dxa"/>
            <w:vAlign w:val="center"/>
          </w:tcPr>
          <w:p w:rsidR="00155995" w:rsidRPr="00C51A98" w:rsidRDefault="00155995" w:rsidP="00FC26CD">
            <w:pPr>
              <w:jc w:val="center"/>
              <w:rPr>
                <w:rFonts w:ascii="Arial Narrow" w:hAnsi="Arial Narrow"/>
                <w:i/>
                <w:iCs/>
                <w:sz w:val="18"/>
                <w:szCs w:val="18"/>
              </w:rPr>
            </w:pPr>
            <w:r>
              <w:rPr>
                <w:rFonts w:ascii="Arial Narrow" w:hAnsi="Arial Narrow"/>
                <w:i/>
                <w:iCs/>
                <w:sz w:val="18"/>
                <w:szCs w:val="18"/>
              </w:rPr>
              <w:t>-</w:t>
            </w:r>
          </w:p>
        </w:tc>
        <w:tc>
          <w:tcPr>
            <w:tcW w:w="922" w:type="dxa"/>
            <w:vAlign w:val="center"/>
          </w:tcPr>
          <w:p w:rsidR="00155995" w:rsidRPr="00C51A98" w:rsidRDefault="00155995" w:rsidP="00FC26CD">
            <w:pPr>
              <w:jc w:val="center"/>
              <w:rPr>
                <w:rFonts w:ascii="Arial Narrow" w:hAnsi="Arial Narrow"/>
                <w:i/>
                <w:iCs/>
                <w:sz w:val="18"/>
                <w:szCs w:val="18"/>
              </w:rPr>
            </w:pPr>
            <w:r>
              <w:rPr>
                <w:rFonts w:ascii="Arial Narrow" w:hAnsi="Arial Narrow"/>
                <w:i/>
                <w:iCs/>
                <w:sz w:val="18"/>
                <w:szCs w:val="18"/>
              </w:rPr>
              <w:t>-</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r w:rsidRPr="007714FC">
              <w:rPr>
                <w:rFonts w:ascii="Arial Narrow" w:hAnsi="Arial Narrow"/>
                <w:i/>
                <w:iCs/>
                <w:sz w:val="16"/>
                <w:szCs w:val="16"/>
              </w:rPr>
              <w:t>-</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3250" w:type="dxa"/>
            <w:gridSpan w:val="3"/>
            <w:vAlign w:val="center"/>
          </w:tcPr>
          <w:p w:rsidR="00155995" w:rsidRPr="00C51A98" w:rsidRDefault="00155995" w:rsidP="00FC26CD">
            <w:pPr>
              <w:jc w:val="left"/>
              <w:rPr>
                <w:rFonts w:ascii="Arial Narrow" w:hAnsi="Arial Narrow"/>
                <w:i/>
                <w:iCs/>
                <w:sz w:val="18"/>
                <w:szCs w:val="18"/>
              </w:rPr>
            </w:pPr>
            <w:r w:rsidRPr="00C51A98">
              <w:rPr>
                <w:rFonts w:ascii="Arial Narrow" w:hAnsi="Arial Narrow"/>
                <w:b/>
                <w:bCs/>
                <w:i/>
                <w:iCs/>
                <w:sz w:val="18"/>
                <w:szCs w:val="18"/>
              </w:rPr>
              <w:t>ABA (</w:t>
            </w:r>
            <w:r w:rsidRPr="00C51A98">
              <w:rPr>
                <w:rFonts w:ascii="Arial Narrow" w:hAnsi="Arial Narrow"/>
                <w:b/>
                <w:bCs/>
                <w:i/>
                <w:iCs/>
                <w:color w:val="FF0000"/>
                <w:sz w:val="18"/>
                <w:szCs w:val="18"/>
              </w:rPr>
              <w:t>TNF-α experienced</w:t>
            </w:r>
            <w:r w:rsidRPr="00C51A98">
              <w:rPr>
                <w:rFonts w:ascii="Arial Narrow" w:hAnsi="Arial Narrow"/>
                <w:b/>
                <w:bCs/>
                <w:i/>
                <w:iCs/>
                <w:sz w:val="18"/>
                <w:szCs w:val="18"/>
              </w:rPr>
              <w:t>, 12 weeks)</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tcPr>
          <w:p w:rsidR="00155995" w:rsidRPr="00C51A98" w:rsidRDefault="00155995" w:rsidP="00FC26CD">
            <w:pPr>
              <w:jc w:val="left"/>
              <w:rPr>
                <w:rFonts w:ascii="Arial Narrow" w:hAnsi="Arial Narrow"/>
                <w:i/>
                <w:iCs/>
                <w:sz w:val="18"/>
                <w:szCs w:val="18"/>
              </w:rPr>
            </w:pPr>
            <w:proofErr w:type="spellStart"/>
            <w:r w:rsidRPr="00C51A98">
              <w:rPr>
                <w:rFonts w:ascii="Arial Narrow" w:hAnsi="Arial Narrow"/>
                <w:i/>
                <w:iCs/>
                <w:sz w:val="18"/>
                <w:szCs w:val="18"/>
              </w:rPr>
              <w:t>Mease</w:t>
            </w:r>
            <w:proofErr w:type="spellEnd"/>
            <w:r w:rsidRPr="00C51A98">
              <w:rPr>
                <w:rFonts w:ascii="Arial Narrow" w:hAnsi="Arial Narrow"/>
                <w:i/>
                <w:iCs/>
                <w:sz w:val="18"/>
                <w:szCs w:val="18"/>
              </w:rPr>
              <w:t xml:space="preserve"> 2011 (IV)</w:t>
            </w:r>
          </w:p>
        </w:tc>
        <w:tc>
          <w:tcPr>
            <w:tcW w:w="903" w:type="dxa"/>
            <w:vAlign w:val="center"/>
          </w:tcPr>
          <w:p w:rsidR="00155995" w:rsidRPr="00C51A98" w:rsidRDefault="00155995" w:rsidP="00FC26CD">
            <w:pPr>
              <w:jc w:val="center"/>
              <w:rPr>
                <w:rFonts w:ascii="Arial Narrow" w:hAnsi="Arial Narrow"/>
                <w:i/>
                <w:iCs/>
                <w:sz w:val="18"/>
                <w:szCs w:val="18"/>
              </w:rPr>
            </w:pPr>
            <w:r w:rsidRPr="00C51A98">
              <w:rPr>
                <w:rFonts w:ascii="Arial Narrow" w:hAnsi="Arial Narrow"/>
                <w:i/>
                <w:iCs/>
                <w:sz w:val="18"/>
                <w:szCs w:val="18"/>
              </w:rPr>
              <w:t>NR</w:t>
            </w:r>
          </w:p>
        </w:tc>
        <w:tc>
          <w:tcPr>
            <w:tcW w:w="922" w:type="dxa"/>
            <w:vAlign w:val="center"/>
          </w:tcPr>
          <w:p w:rsidR="00155995" w:rsidRPr="00C51A98" w:rsidRDefault="00155995" w:rsidP="00FC26CD">
            <w:pPr>
              <w:jc w:val="center"/>
              <w:rPr>
                <w:rFonts w:ascii="Arial Narrow" w:hAnsi="Arial Narrow"/>
                <w:i/>
                <w:iCs/>
                <w:sz w:val="18"/>
                <w:szCs w:val="18"/>
              </w:rPr>
            </w:pPr>
            <w:r w:rsidRPr="00C51A98">
              <w:rPr>
                <w:rFonts w:ascii="Arial Narrow" w:hAnsi="Arial Narrow"/>
                <w:i/>
                <w:iCs/>
                <w:sz w:val="18"/>
                <w:szCs w:val="18"/>
              </w:rPr>
              <w:t>NR</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tcPr>
          <w:p w:rsidR="00155995" w:rsidRPr="00C51A98" w:rsidRDefault="00155995" w:rsidP="00FC26CD">
            <w:pPr>
              <w:jc w:val="left"/>
              <w:rPr>
                <w:rFonts w:ascii="Arial Narrow" w:hAnsi="Arial Narrow"/>
                <w:i/>
                <w:iCs/>
                <w:sz w:val="18"/>
                <w:szCs w:val="18"/>
              </w:rPr>
            </w:pPr>
            <w:proofErr w:type="spellStart"/>
            <w:r w:rsidRPr="00C51A98">
              <w:rPr>
                <w:rFonts w:ascii="Arial Narrow" w:hAnsi="Arial Narrow"/>
                <w:i/>
                <w:iCs/>
                <w:sz w:val="18"/>
                <w:szCs w:val="18"/>
              </w:rPr>
              <w:t>Mease</w:t>
            </w:r>
            <w:proofErr w:type="spellEnd"/>
            <w:r w:rsidRPr="00C51A98">
              <w:rPr>
                <w:rFonts w:ascii="Arial Narrow" w:hAnsi="Arial Narrow"/>
                <w:i/>
                <w:iCs/>
                <w:sz w:val="18"/>
                <w:szCs w:val="18"/>
              </w:rPr>
              <w:t xml:space="preserve"> 2017 (SC)</w:t>
            </w:r>
          </w:p>
        </w:tc>
        <w:tc>
          <w:tcPr>
            <w:tcW w:w="903" w:type="dxa"/>
            <w:vAlign w:val="center"/>
          </w:tcPr>
          <w:p w:rsidR="00155995" w:rsidRPr="00C51A98" w:rsidRDefault="00155995" w:rsidP="00FC26CD">
            <w:pPr>
              <w:jc w:val="center"/>
              <w:rPr>
                <w:rFonts w:ascii="Arial Narrow" w:hAnsi="Arial Narrow"/>
                <w:i/>
                <w:iCs/>
                <w:sz w:val="18"/>
                <w:szCs w:val="18"/>
              </w:rPr>
            </w:pPr>
            <w:r w:rsidRPr="00C51A98">
              <w:rPr>
                <w:rFonts w:ascii="Arial Narrow" w:hAnsi="Arial Narrow"/>
                <w:i/>
                <w:iCs/>
                <w:sz w:val="18"/>
                <w:szCs w:val="18"/>
              </w:rPr>
              <w:t>21/129 (16)</w:t>
            </w:r>
          </w:p>
        </w:tc>
        <w:tc>
          <w:tcPr>
            <w:tcW w:w="922" w:type="dxa"/>
            <w:vAlign w:val="center"/>
          </w:tcPr>
          <w:p w:rsidR="00155995" w:rsidRPr="00C51A98" w:rsidRDefault="00155995" w:rsidP="00FC26CD">
            <w:pPr>
              <w:jc w:val="center"/>
              <w:rPr>
                <w:rFonts w:ascii="Arial Narrow" w:hAnsi="Arial Narrow"/>
                <w:i/>
                <w:iCs/>
                <w:sz w:val="18"/>
                <w:szCs w:val="18"/>
              </w:rPr>
            </w:pPr>
            <w:r w:rsidRPr="00C51A98">
              <w:rPr>
                <w:rFonts w:ascii="Arial Narrow" w:hAnsi="Arial Narrow"/>
                <w:i/>
                <w:iCs/>
                <w:sz w:val="18"/>
                <w:szCs w:val="18"/>
              </w:rPr>
              <w:t>8/130 (6)</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2.65 (1.22, 5.75)</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0.10 (0.03, 0.18)</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10 (6,25)</w:t>
            </w:r>
          </w:p>
        </w:tc>
      </w:tr>
      <w:tr w:rsidR="00155995" w:rsidRPr="004F34A8" w:rsidTr="00FC26CD">
        <w:tc>
          <w:tcPr>
            <w:tcW w:w="1425" w:type="dxa"/>
            <w:vAlign w:val="center"/>
          </w:tcPr>
          <w:p w:rsidR="00155995" w:rsidRDefault="00155995" w:rsidP="00FC26CD">
            <w:pPr>
              <w:jc w:val="right"/>
              <w:rPr>
                <w:rFonts w:ascii="Arial Narrow" w:hAnsi="Arial Narrow"/>
                <w:i/>
                <w:iCs/>
                <w:sz w:val="18"/>
                <w:szCs w:val="18"/>
              </w:rPr>
            </w:pPr>
            <w:r>
              <w:rPr>
                <w:rFonts w:ascii="Arial Narrow" w:hAnsi="Arial Narrow"/>
                <w:i/>
                <w:iCs/>
                <w:sz w:val="18"/>
                <w:szCs w:val="18"/>
              </w:rPr>
              <w:t>Meta-analysis</w:t>
            </w:r>
          </w:p>
        </w:tc>
        <w:tc>
          <w:tcPr>
            <w:tcW w:w="903" w:type="dxa"/>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w:t>
            </w:r>
          </w:p>
        </w:tc>
        <w:tc>
          <w:tcPr>
            <w:tcW w:w="922" w:type="dxa"/>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3250" w:type="dxa"/>
            <w:gridSpan w:val="3"/>
            <w:vAlign w:val="center"/>
          </w:tcPr>
          <w:p w:rsidR="00155995" w:rsidRPr="004F34A8" w:rsidRDefault="00155995" w:rsidP="00FC26CD">
            <w:pPr>
              <w:jc w:val="left"/>
              <w:rPr>
                <w:rFonts w:ascii="Arial Narrow" w:hAnsi="Arial Narrow"/>
                <w:b/>
                <w:bCs/>
                <w:i/>
                <w:iCs/>
                <w:sz w:val="18"/>
                <w:szCs w:val="18"/>
              </w:rPr>
            </w:pPr>
            <w:r w:rsidRPr="004F34A8">
              <w:rPr>
                <w:rFonts w:ascii="Arial Narrow" w:hAnsi="Arial Narrow"/>
                <w:b/>
                <w:bCs/>
                <w:i/>
                <w:iCs/>
                <w:sz w:val="18"/>
                <w:szCs w:val="18"/>
              </w:rPr>
              <w:t>CZP (ITT, 12 weeks)</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i/>
                <w:iCs/>
                <w:sz w:val="16"/>
                <w:szCs w:val="16"/>
              </w:rPr>
            </w:pP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i/>
                <w:iCs/>
                <w:sz w:val="16"/>
                <w:szCs w:val="16"/>
              </w:rPr>
            </w:pP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tcPr>
          <w:p w:rsidR="00155995" w:rsidRPr="004F34A8" w:rsidRDefault="00155995" w:rsidP="00FC26CD">
            <w:pPr>
              <w:rPr>
                <w:rFonts w:ascii="Arial Narrow" w:hAnsi="Arial Narrow"/>
                <w:i/>
                <w:iCs/>
                <w:sz w:val="18"/>
                <w:szCs w:val="18"/>
              </w:rPr>
            </w:pPr>
            <w:r w:rsidRPr="004F34A8">
              <w:rPr>
                <w:rFonts w:ascii="Arial Narrow" w:hAnsi="Arial Narrow"/>
                <w:i/>
                <w:iCs/>
                <w:sz w:val="18"/>
                <w:szCs w:val="18"/>
              </w:rPr>
              <w:t>RAPID-PsA 200mg</w:t>
            </w:r>
          </w:p>
        </w:tc>
        <w:tc>
          <w:tcPr>
            <w:tcW w:w="903" w:type="dxa"/>
            <w:vAlign w:val="center"/>
          </w:tcPr>
          <w:p w:rsidR="00155995" w:rsidRPr="004F34A8" w:rsidRDefault="00155995" w:rsidP="00FC26CD">
            <w:pPr>
              <w:jc w:val="center"/>
              <w:rPr>
                <w:rFonts w:ascii="Arial Narrow" w:hAnsi="Arial Narrow"/>
                <w:i/>
                <w:iCs/>
                <w:sz w:val="18"/>
                <w:szCs w:val="18"/>
              </w:rPr>
            </w:pPr>
            <w:r w:rsidRPr="004F34A8">
              <w:rPr>
                <w:rFonts w:ascii="Arial Narrow" w:hAnsi="Arial Narrow"/>
                <w:i/>
                <w:iCs/>
                <w:sz w:val="18"/>
                <w:szCs w:val="18"/>
              </w:rPr>
              <w:t>50/138 (36)</w:t>
            </w:r>
          </w:p>
        </w:tc>
        <w:tc>
          <w:tcPr>
            <w:tcW w:w="922" w:type="dxa"/>
            <w:vAlign w:val="center"/>
          </w:tcPr>
          <w:p w:rsidR="00155995" w:rsidRPr="004F34A8" w:rsidRDefault="00155995" w:rsidP="00FC26CD">
            <w:pPr>
              <w:jc w:val="center"/>
              <w:rPr>
                <w:rFonts w:ascii="Arial Narrow" w:hAnsi="Arial Narrow"/>
                <w:i/>
                <w:iCs/>
                <w:sz w:val="18"/>
                <w:szCs w:val="18"/>
              </w:rPr>
            </w:pPr>
            <w:r w:rsidRPr="004F34A8">
              <w:rPr>
                <w:rFonts w:ascii="Arial Narrow" w:hAnsi="Arial Narrow"/>
                <w:i/>
                <w:iCs/>
                <w:sz w:val="18"/>
                <w:szCs w:val="18"/>
              </w:rPr>
              <w:t>15/136 (11)</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3.29 (1.94, 5.56)</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0.25 (0.16, 0.35)</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4 (3,6)</w:t>
            </w:r>
          </w:p>
        </w:tc>
      </w:tr>
      <w:tr w:rsidR="00155995" w:rsidRPr="004F34A8" w:rsidTr="00FC26CD">
        <w:tc>
          <w:tcPr>
            <w:tcW w:w="1425" w:type="dxa"/>
          </w:tcPr>
          <w:p w:rsidR="00155995" w:rsidRPr="004F34A8" w:rsidRDefault="00155995" w:rsidP="00FC26CD">
            <w:pPr>
              <w:rPr>
                <w:rFonts w:ascii="Arial Narrow" w:hAnsi="Arial Narrow"/>
                <w:i/>
                <w:iCs/>
                <w:sz w:val="18"/>
                <w:szCs w:val="18"/>
              </w:rPr>
            </w:pPr>
            <w:r w:rsidRPr="004F34A8">
              <w:rPr>
                <w:rFonts w:ascii="Arial Narrow" w:hAnsi="Arial Narrow"/>
                <w:i/>
                <w:iCs/>
                <w:sz w:val="18"/>
                <w:szCs w:val="18"/>
              </w:rPr>
              <w:t>RAPID-PsA 400mg</w:t>
            </w:r>
          </w:p>
        </w:tc>
        <w:tc>
          <w:tcPr>
            <w:tcW w:w="903" w:type="dxa"/>
            <w:vAlign w:val="center"/>
          </w:tcPr>
          <w:p w:rsidR="00155995" w:rsidRPr="004F34A8" w:rsidRDefault="00155995" w:rsidP="00FC26CD">
            <w:pPr>
              <w:jc w:val="center"/>
              <w:rPr>
                <w:rFonts w:ascii="Arial Narrow" w:hAnsi="Arial Narrow"/>
                <w:i/>
                <w:iCs/>
                <w:sz w:val="18"/>
                <w:szCs w:val="18"/>
              </w:rPr>
            </w:pPr>
            <w:r w:rsidRPr="004F34A8">
              <w:rPr>
                <w:rFonts w:ascii="Arial Narrow" w:hAnsi="Arial Narrow"/>
                <w:i/>
                <w:iCs/>
                <w:sz w:val="18"/>
                <w:szCs w:val="18"/>
              </w:rPr>
              <w:t>44/135 (33)</w:t>
            </w:r>
          </w:p>
        </w:tc>
        <w:tc>
          <w:tcPr>
            <w:tcW w:w="922" w:type="dxa"/>
            <w:vAlign w:val="center"/>
          </w:tcPr>
          <w:p w:rsidR="00155995" w:rsidRPr="004F34A8" w:rsidRDefault="00155995" w:rsidP="00FC26CD">
            <w:pPr>
              <w:jc w:val="center"/>
              <w:rPr>
                <w:rFonts w:ascii="Arial Narrow" w:hAnsi="Arial Narrow"/>
                <w:i/>
                <w:iCs/>
                <w:sz w:val="18"/>
                <w:szCs w:val="18"/>
              </w:rPr>
            </w:pPr>
            <w:r w:rsidRPr="004F34A8">
              <w:rPr>
                <w:rFonts w:ascii="Arial Narrow" w:hAnsi="Arial Narrow"/>
                <w:i/>
                <w:iCs/>
                <w:sz w:val="18"/>
                <w:szCs w:val="18"/>
              </w:rPr>
              <w:t>15/136 (11)</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2.96 (1.73, 5.05)</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0.22 (0.12, 0.31)</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5 (3,8)</w:t>
            </w:r>
          </w:p>
        </w:tc>
      </w:tr>
      <w:tr w:rsidR="00155995" w:rsidRPr="004F34A8" w:rsidTr="00FC26CD">
        <w:tc>
          <w:tcPr>
            <w:tcW w:w="1425" w:type="dxa"/>
            <w:vAlign w:val="center"/>
          </w:tcPr>
          <w:p w:rsidR="00155995" w:rsidRPr="004F34A8" w:rsidRDefault="00155995" w:rsidP="00FC26CD">
            <w:pPr>
              <w:jc w:val="right"/>
              <w:rPr>
                <w:rFonts w:ascii="Arial Narrow" w:hAnsi="Arial Narrow"/>
                <w:i/>
                <w:iCs/>
                <w:sz w:val="18"/>
                <w:szCs w:val="18"/>
              </w:rPr>
            </w:pPr>
            <w:r w:rsidRPr="004F34A8">
              <w:rPr>
                <w:rFonts w:ascii="Arial Narrow" w:hAnsi="Arial Narrow"/>
                <w:i/>
                <w:iCs/>
                <w:sz w:val="18"/>
                <w:szCs w:val="18"/>
              </w:rPr>
              <w:t>Pooled</w:t>
            </w:r>
          </w:p>
        </w:tc>
        <w:tc>
          <w:tcPr>
            <w:tcW w:w="903" w:type="dxa"/>
            <w:vAlign w:val="center"/>
          </w:tcPr>
          <w:p w:rsidR="00155995" w:rsidRPr="004F34A8" w:rsidRDefault="00155995" w:rsidP="00FC26CD">
            <w:pPr>
              <w:jc w:val="center"/>
              <w:rPr>
                <w:rFonts w:ascii="Arial Narrow" w:hAnsi="Arial Narrow"/>
                <w:i/>
                <w:iCs/>
                <w:sz w:val="18"/>
                <w:szCs w:val="18"/>
              </w:rPr>
            </w:pPr>
            <w:r w:rsidRPr="004F34A8">
              <w:rPr>
                <w:rFonts w:ascii="Arial Narrow" w:hAnsi="Arial Narrow"/>
                <w:i/>
                <w:iCs/>
                <w:sz w:val="18"/>
                <w:szCs w:val="18"/>
              </w:rPr>
              <w:t>94/273 (34)</w:t>
            </w:r>
          </w:p>
        </w:tc>
        <w:tc>
          <w:tcPr>
            <w:tcW w:w="922" w:type="dxa"/>
            <w:vAlign w:val="center"/>
          </w:tcPr>
          <w:p w:rsidR="00155995" w:rsidRPr="004F34A8" w:rsidRDefault="00155995" w:rsidP="00FC26CD">
            <w:pPr>
              <w:jc w:val="center"/>
              <w:rPr>
                <w:rFonts w:ascii="Arial Narrow" w:hAnsi="Arial Narrow"/>
                <w:i/>
                <w:iCs/>
                <w:sz w:val="18"/>
                <w:szCs w:val="18"/>
              </w:rPr>
            </w:pPr>
            <w:r w:rsidRPr="004F34A8">
              <w:rPr>
                <w:rFonts w:ascii="Arial Narrow" w:hAnsi="Arial Narrow"/>
                <w:i/>
                <w:iCs/>
                <w:sz w:val="18"/>
                <w:szCs w:val="18"/>
              </w:rPr>
              <w:t>15/136 (11)</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3.12 (1.88, 5.17)</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0.23 (0.16, 0.31)</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4 (3,6)</w:t>
            </w:r>
          </w:p>
        </w:tc>
      </w:tr>
      <w:tr w:rsidR="00155995" w:rsidRPr="004F34A8" w:rsidTr="00FC26CD">
        <w:tc>
          <w:tcPr>
            <w:tcW w:w="3250" w:type="dxa"/>
            <w:gridSpan w:val="3"/>
            <w:vAlign w:val="center"/>
          </w:tcPr>
          <w:p w:rsidR="00155995" w:rsidRPr="004F34A8" w:rsidRDefault="00155995" w:rsidP="00FC26CD">
            <w:pPr>
              <w:jc w:val="left"/>
              <w:rPr>
                <w:rFonts w:ascii="Arial Narrow" w:hAnsi="Arial Narrow"/>
                <w:i/>
                <w:iCs/>
                <w:sz w:val="18"/>
                <w:szCs w:val="18"/>
              </w:rPr>
            </w:pPr>
            <w:r>
              <w:rPr>
                <w:rFonts w:ascii="Arial Narrow" w:hAnsi="Arial Narrow"/>
                <w:b/>
                <w:bCs/>
                <w:i/>
                <w:iCs/>
                <w:sz w:val="18"/>
                <w:szCs w:val="18"/>
              </w:rPr>
              <w:t>CZP</w:t>
            </w:r>
            <w:r w:rsidRPr="00BD711E">
              <w:rPr>
                <w:rFonts w:ascii="Arial Narrow" w:hAnsi="Arial Narrow"/>
                <w:b/>
                <w:bCs/>
                <w:i/>
                <w:iCs/>
                <w:sz w:val="18"/>
                <w:szCs w:val="18"/>
              </w:rPr>
              <w:t xml:space="preserve"> (</w:t>
            </w:r>
            <w:r w:rsidRPr="00BD711E">
              <w:rPr>
                <w:rFonts w:ascii="Arial Narrow" w:hAnsi="Arial Narrow"/>
                <w:b/>
                <w:bCs/>
                <w:i/>
                <w:iCs/>
                <w:color w:val="FF0000"/>
                <w:sz w:val="18"/>
                <w:szCs w:val="18"/>
              </w:rPr>
              <w:t>TNF-α experienced</w:t>
            </w:r>
            <w:r w:rsidRPr="00BD711E">
              <w:rPr>
                <w:rFonts w:ascii="Arial Narrow" w:hAnsi="Arial Narrow"/>
                <w:b/>
                <w:bCs/>
                <w:i/>
                <w:iCs/>
                <w:sz w:val="18"/>
                <w:szCs w:val="18"/>
              </w:rPr>
              <w:t>, 12 weeks)</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Default="00155995" w:rsidP="00FC26CD">
            <w:pPr>
              <w:jc w:val="center"/>
              <w:rPr>
                <w:rFonts w:ascii="Arial Narrow" w:hAnsi="Arial Narrow"/>
                <w:b/>
                <w:bCs/>
                <w:i/>
                <w:iCs/>
                <w:sz w:val="16"/>
                <w:szCs w:val="16"/>
              </w:rPr>
            </w:pP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vAlign w:val="center"/>
          </w:tcPr>
          <w:p w:rsidR="00155995" w:rsidRPr="004F34A8" w:rsidRDefault="00155995" w:rsidP="00FC26CD">
            <w:pPr>
              <w:jc w:val="left"/>
              <w:rPr>
                <w:rFonts w:ascii="Arial Narrow" w:hAnsi="Arial Narrow"/>
                <w:i/>
                <w:iCs/>
                <w:sz w:val="18"/>
                <w:szCs w:val="18"/>
              </w:rPr>
            </w:pPr>
            <w:r w:rsidRPr="004F34A8">
              <w:rPr>
                <w:rFonts w:ascii="Arial Narrow" w:hAnsi="Arial Narrow"/>
                <w:i/>
                <w:iCs/>
                <w:sz w:val="18"/>
                <w:szCs w:val="18"/>
              </w:rPr>
              <w:t>RAPID-PsA 200mg</w:t>
            </w:r>
          </w:p>
        </w:tc>
        <w:tc>
          <w:tcPr>
            <w:tcW w:w="903" w:type="dxa"/>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NR</w:t>
            </w:r>
          </w:p>
        </w:tc>
        <w:tc>
          <w:tcPr>
            <w:tcW w:w="922" w:type="dxa"/>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NR</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vAlign w:val="center"/>
          </w:tcPr>
          <w:p w:rsidR="00155995" w:rsidRPr="004F34A8" w:rsidRDefault="00155995" w:rsidP="00FC26CD">
            <w:pPr>
              <w:jc w:val="left"/>
              <w:rPr>
                <w:rFonts w:ascii="Arial Narrow" w:hAnsi="Arial Narrow"/>
                <w:i/>
                <w:iCs/>
                <w:sz w:val="18"/>
                <w:szCs w:val="18"/>
              </w:rPr>
            </w:pPr>
            <w:r w:rsidRPr="004F34A8">
              <w:rPr>
                <w:rFonts w:ascii="Arial Narrow" w:hAnsi="Arial Narrow"/>
                <w:i/>
                <w:iCs/>
                <w:sz w:val="18"/>
                <w:szCs w:val="18"/>
              </w:rPr>
              <w:t>RAPID-PsA 400mg</w:t>
            </w:r>
          </w:p>
        </w:tc>
        <w:tc>
          <w:tcPr>
            <w:tcW w:w="903" w:type="dxa"/>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NR</w:t>
            </w:r>
          </w:p>
        </w:tc>
        <w:tc>
          <w:tcPr>
            <w:tcW w:w="922" w:type="dxa"/>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NR</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vAlign w:val="center"/>
          </w:tcPr>
          <w:p w:rsidR="00155995" w:rsidRPr="004F34A8" w:rsidRDefault="00155995" w:rsidP="00FC26CD">
            <w:pPr>
              <w:jc w:val="right"/>
              <w:rPr>
                <w:rFonts w:ascii="Arial Narrow" w:hAnsi="Arial Narrow"/>
                <w:i/>
                <w:iCs/>
                <w:sz w:val="18"/>
                <w:szCs w:val="18"/>
              </w:rPr>
            </w:pPr>
            <w:r w:rsidRPr="004F34A8">
              <w:rPr>
                <w:rFonts w:ascii="Arial Narrow" w:hAnsi="Arial Narrow"/>
                <w:i/>
                <w:iCs/>
                <w:sz w:val="18"/>
                <w:szCs w:val="18"/>
              </w:rPr>
              <w:t>Pooled</w:t>
            </w:r>
          </w:p>
        </w:tc>
        <w:tc>
          <w:tcPr>
            <w:tcW w:w="903" w:type="dxa"/>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20/54 (37)</w:t>
            </w:r>
          </w:p>
        </w:tc>
        <w:tc>
          <w:tcPr>
            <w:tcW w:w="922" w:type="dxa"/>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1/36 (3)</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13.33 (1.87,95.00)</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0.34 (0.20 0.48)</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3 (2,5)</w:t>
            </w:r>
          </w:p>
        </w:tc>
      </w:tr>
      <w:tr w:rsidR="00155995" w:rsidRPr="004F34A8" w:rsidTr="00FC26CD">
        <w:tc>
          <w:tcPr>
            <w:tcW w:w="3250" w:type="dxa"/>
            <w:gridSpan w:val="3"/>
            <w:vAlign w:val="center"/>
          </w:tcPr>
          <w:p w:rsidR="00155995" w:rsidRPr="004F34A8" w:rsidRDefault="00155995" w:rsidP="00FC26CD">
            <w:pPr>
              <w:jc w:val="left"/>
              <w:rPr>
                <w:rFonts w:ascii="Arial Narrow" w:hAnsi="Arial Narrow"/>
                <w:b/>
                <w:bCs/>
                <w:i/>
                <w:iCs/>
                <w:sz w:val="18"/>
                <w:szCs w:val="18"/>
              </w:rPr>
            </w:pPr>
            <w:r w:rsidRPr="004F34A8">
              <w:rPr>
                <w:rFonts w:ascii="Arial Narrow" w:hAnsi="Arial Narrow"/>
                <w:b/>
                <w:bCs/>
                <w:i/>
                <w:iCs/>
                <w:sz w:val="18"/>
                <w:szCs w:val="18"/>
              </w:rPr>
              <w:t xml:space="preserve">UST (ITT, </w:t>
            </w:r>
            <w:r w:rsidRPr="00125AB8">
              <w:rPr>
                <w:rFonts w:ascii="Arial Narrow" w:hAnsi="Arial Narrow"/>
                <w:b/>
                <w:bCs/>
                <w:i/>
                <w:iCs/>
                <w:sz w:val="18"/>
                <w:szCs w:val="18"/>
                <w:u w:val="single"/>
              </w:rPr>
              <w:t>24</w:t>
            </w:r>
            <w:r w:rsidRPr="004F34A8">
              <w:rPr>
                <w:rFonts w:ascii="Arial Narrow" w:hAnsi="Arial Narrow"/>
                <w:b/>
                <w:bCs/>
                <w:i/>
                <w:iCs/>
                <w:sz w:val="18"/>
                <w:szCs w:val="18"/>
              </w:rPr>
              <w:t xml:space="preserve"> weeks)</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i/>
                <w:iCs/>
                <w:sz w:val="16"/>
                <w:szCs w:val="16"/>
              </w:rPr>
            </w:pP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i/>
                <w:iCs/>
                <w:sz w:val="16"/>
                <w:szCs w:val="16"/>
              </w:rPr>
            </w:pP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tcPr>
          <w:p w:rsidR="00155995" w:rsidRPr="004F34A8" w:rsidRDefault="00155995" w:rsidP="00FC26CD">
            <w:pPr>
              <w:rPr>
                <w:rFonts w:ascii="Arial Narrow" w:hAnsi="Arial Narrow"/>
                <w:i/>
                <w:iCs/>
                <w:sz w:val="18"/>
                <w:szCs w:val="18"/>
              </w:rPr>
            </w:pPr>
            <w:r w:rsidRPr="004F34A8">
              <w:rPr>
                <w:rFonts w:ascii="Arial Narrow" w:hAnsi="Arial Narrow"/>
                <w:i/>
                <w:iCs/>
                <w:sz w:val="18"/>
                <w:szCs w:val="18"/>
              </w:rPr>
              <w:t>PSUMMIT-1 45mg</w:t>
            </w:r>
          </w:p>
        </w:tc>
        <w:tc>
          <w:tcPr>
            <w:tcW w:w="903" w:type="dxa"/>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51/205 (25)</w:t>
            </w:r>
          </w:p>
        </w:tc>
        <w:tc>
          <w:tcPr>
            <w:tcW w:w="922" w:type="dxa"/>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18/206 (9)</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2.85 (1.72, 4.70)</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0.16 (0.09, 0.23)</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6 (4,11)</w:t>
            </w:r>
          </w:p>
        </w:tc>
      </w:tr>
      <w:tr w:rsidR="00155995" w:rsidRPr="004F34A8" w:rsidTr="00FC26CD">
        <w:tc>
          <w:tcPr>
            <w:tcW w:w="1425" w:type="dxa"/>
          </w:tcPr>
          <w:p w:rsidR="00155995" w:rsidRPr="004F34A8" w:rsidRDefault="00155995" w:rsidP="00FC26CD">
            <w:pPr>
              <w:rPr>
                <w:rFonts w:ascii="Arial Narrow" w:hAnsi="Arial Narrow"/>
                <w:i/>
                <w:iCs/>
                <w:sz w:val="18"/>
                <w:szCs w:val="18"/>
              </w:rPr>
            </w:pPr>
            <w:r w:rsidRPr="004F34A8">
              <w:rPr>
                <w:rFonts w:ascii="Arial Narrow" w:hAnsi="Arial Narrow"/>
                <w:i/>
                <w:iCs/>
                <w:sz w:val="18"/>
                <w:szCs w:val="18"/>
              </w:rPr>
              <w:t>PSUMMIT-2 45mg</w:t>
            </w:r>
          </w:p>
        </w:tc>
        <w:tc>
          <w:tcPr>
            <w:tcW w:w="903" w:type="dxa"/>
            <w:vAlign w:val="center"/>
          </w:tcPr>
          <w:p w:rsidR="00155995" w:rsidRPr="004F34A8" w:rsidRDefault="00155995" w:rsidP="00FC26CD">
            <w:pPr>
              <w:jc w:val="center"/>
              <w:rPr>
                <w:rFonts w:ascii="Arial Narrow" w:hAnsi="Arial Narrow"/>
                <w:i/>
                <w:iCs/>
                <w:sz w:val="18"/>
                <w:szCs w:val="18"/>
              </w:rPr>
            </w:pPr>
            <w:r>
              <w:rPr>
                <w:rFonts w:ascii="Arial Narrow" w:hAnsi="Arial Narrow"/>
                <w:sz w:val="18"/>
                <w:szCs w:val="18"/>
              </w:rPr>
              <w:t>18/103 (18)</w:t>
            </w:r>
          </w:p>
        </w:tc>
        <w:tc>
          <w:tcPr>
            <w:tcW w:w="922" w:type="dxa"/>
            <w:vAlign w:val="center"/>
          </w:tcPr>
          <w:p w:rsidR="00155995" w:rsidRPr="004F34A8" w:rsidRDefault="00155995" w:rsidP="00FC26CD">
            <w:pPr>
              <w:jc w:val="center"/>
              <w:rPr>
                <w:rFonts w:ascii="Arial Narrow" w:hAnsi="Arial Narrow"/>
                <w:i/>
                <w:iCs/>
                <w:sz w:val="18"/>
                <w:szCs w:val="18"/>
              </w:rPr>
            </w:pPr>
            <w:r>
              <w:rPr>
                <w:rFonts w:ascii="Arial Narrow" w:hAnsi="Arial Narrow"/>
                <w:sz w:val="18"/>
                <w:szCs w:val="18"/>
              </w:rPr>
              <w:t>7/104 (7)</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2.60 (1.13, 5.95)</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0.11 (0.02, 0.20)</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9 (5,50)</w:t>
            </w:r>
          </w:p>
        </w:tc>
      </w:tr>
      <w:tr w:rsidR="00155995" w:rsidRPr="004F34A8" w:rsidTr="00FC26CD">
        <w:tc>
          <w:tcPr>
            <w:tcW w:w="1425" w:type="dxa"/>
            <w:vAlign w:val="center"/>
          </w:tcPr>
          <w:p w:rsidR="00155995" w:rsidRPr="004F34A8" w:rsidRDefault="00155995" w:rsidP="00FC26CD">
            <w:pPr>
              <w:jc w:val="right"/>
              <w:rPr>
                <w:rFonts w:ascii="Arial Narrow" w:hAnsi="Arial Narrow"/>
                <w:i/>
                <w:iCs/>
                <w:sz w:val="18"/>
                <w:szCs w:val="18"/>
              </w:rPr>
            </w:pPr>
            <w:r>
              <w:rPr>
                <w:rFonts w:ascii="Arial Narrow" w:hAnsi="Arial Narrow"/>
                <w:i/>
                <w:iCs/>
                <w:sz w:val="18"/>
                <w:szCs w:val="18"/>
              </w:rPr>
              <w:t>Meta-analysis</w:t>
            </w:r>
          </w:p>
        </w:tc>
        <w:tc>
          <w:tcPr>
            <w:tcW w:w="903" w:type="dxa"/>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69/308 (22)</w:t>
            </w:r>
          </w:p>
        </w:tc>
        <w:tc>
          <w:tcPr>
            <w:tcW w:w="922" w:type="dxa"/>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25/310 (8)</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2.78 (1.81, 4.27)</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0.14 (0.09, 0.20)</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7 (5,11)</w:t>
            </w:r>
          </w:p>
        </w:tc>
      </w:tr>
      <w:tr w:rsidR="00155995" w:rsidRPr="004F34A8" w:rsidTr="00FC26CD">
        <w:tc>
          <w:tcPr>
            <w:tcW w:w="3250" w:type="dxa"/>
            <w:gridSpan w:val="3"/>
            <w:vAlign w:val="center"/>
          </w:tcPr>
          <w:p w:rsidR="00155995" w:rsidRDefault="00155995" w:rsidP="00FC26CD">
            <w:pPr>
              <w:jc w:val="left"/>
              <w:rPr>
                <w:rFonts w:ascii="Arial Narrow" w:hAnsi="Arial Narrow"/>
                <w:i/>
                <w:iCs/>
                <w:sz w:val="18"/>
                <w:szCs w:val="18"/>
              </w:rPr>
            </w:pPr>
            <w:r w:rsidRPr="004F34A8">
              <w:rPr>
                <w:rFonts w:ascii="Arial Narrow" w:hAnsi="Arial Narrow"/>
                <w:b/>
                <w:bCs/>
                <w:i/>
                <w:iCs/>
                <w:sz w:val="18"/>
                <w:szCs w:val="18"/>
              </w:rPr>
              <w:t xml:space="preserve">UST </w:t>
            </w:r>
            <w:r>
              <w:rPr>
                <w:rFonts w:ascii="Arial Narrow" w:hAnsi="Arial Narrow"/>
                <w:b/>
                <w:bCs/>
                <w:i/>
                <w:iCs/>
                <w:sz w:val="18"/>
                <w:szCs w:val="18"/>
              </w:rPr>
              <w:t>(</w:t>
            </w:r>
            <w:r w:rsidRPr="00BD711E">
              <w:rPr>
                <w:rFonts w:ascii="Arial Narrow" w:hAnsi="Arial Narrow"/>
                <w:b/>
                <w:bCs/>
                <w:i/>
                <w:iCs/>
                <w:color w:val="FF0000"/>
                <w:sz w:val="18"/>
                <w:szCs w:val="18"/>
              </w:rPr>
              <w:t>TNF-α experienced</w:t>
            </w:r>
            <w:r w:rsidRPr="004F34A8">
              <w:rPr>
                <w:rFonts w:ascii="Arial Narrow" w:hAnsi="Arial Narrow"/>
                <w:b/>
                <w:bCs/>
                <w:i/>
                <w:iCs/>
                <w:sz w:val="18"/>
                <w:szCs w:val="18"/>
              </w:rPr>
              <w:t xml:space="preserve">, </w:t>
            </w:r>
            <w:r w:rsidRPr="00125AB8">
              <w:rPr>
                <w:rFonts w:ascii="Arial Narrow" w:hAnsi="Arial Narrow"/>
                <w:b/>
                <w:bCs/>
                <w:i/>
                <w:iCs/>
                <w:sz w:val="18"/>
                <w:szCs w:val="18"/>
                <w:u w:val="single"/>
              </w:rPr>
              <w:t>24</w:t>
            </w:r>
            <w:r w:rsidRPr="004F34A8">
              <w:rPr>
                <w:rFonts w:ascii="Arial Narrow" w:hAnsi="Arial Narrow"/>
                <w:b/>
                <w:bCs/>
                <w:i/>
                <w:iCs/>
                <w:sz w:val="18"/>
                <w:szCs w:val="18"/>
              </w:rPr>
              <w:t xml:space="preserve"> weeks)</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Default="00155995" w:rsidP="00FC26CD">
            <w:pPr>
              <w:jc w:val="center"/>
              <w:rPr>
                <w:rFonts w:ascii="Arial Narrow" w:hAnsi="Arial Narrow"/>
                <w:b/>
                <w:bCs/>
                <w:i/>
                <w:iCs/>
                <w:sz w:val="16"/>
                <w:szCs w:val="16"/>
              </w:rPr>
            </w:pP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vAlign w:val="center"/>
          </w:tcPr>
          <w:p w:rsidR="00155995" w:rsidRDefault="00155995" w:rsidP="00FC26CD">
            <w:pPr>
              <w:jc w:val="left"/>
              <w:rPr>
                <w:rFonts w:ascii="Arial Narrow" w:hAnsi="Arial Narrow"/>
                <w:i/>
                <w:iCs/>
                <w:sz w:val="18"/>
                <w:szCs w:val="18"/>
              </w:rPr>
            </w:pPr>
            <w:r w:rsidRPr="004F34A8">
              <w:rPr>
                <w:rFonts w:ascii="Arial Narrow" w:hAnsi="Arial Narrow"/>
                <w:i/>
                <w:iCs/>
                <w:sz w:val="18"/>
                <w:szCs w:val="18"/>
              </w:rPr>
              <w:t>PSUMMIT-2 45mg</w:t>
            </w:r>
          </w:p>
        </w:tc>
        <w:tc>
          <w:tcPr>
            <w:tcW w:w="903" w:type="dxa"/>
            <w:vAlign w:val="center"/>
          </w:tcPr>
          <w:p w:rsidR="00155995" w:rsidRDefault="00155995" w:rsidP="00FC26CD">
            <w:pPr>
              <w:jc w:val="center"/>
              <w:rPr>
                <w:rFonts w:ascii="Arial Narrow" w:hAnsi="Arial Narrow"/>
                <w:i/>
                <w:iCs/>
                <w:sz w:val="18"/>
                <w:szCs w:val="18"/>
              </w:rPr>
            </w:pPr>
            <w:r>
              <w:rPr>
                <w:rFonts w:ascii="Arial Narrow" w:hAnsi="Arial Narrow"/>
                <w:i/>
                <w:iCs/>
                <w:sz w:val="18"/>
                <w:szCs w:val="18"/>
              </w:rPr>
              <w:t>9/60 (15)</w:t>
            </w:r>
          </w:p>
        </w:tc>
        <w:tc>
          <w:tcPr>
            <w:tcW w:w="922" w:type="dxa"/>
            <w:vAlign w:val="center"/>
          </w:tcPr>
          <w:p w:rsidR="00155995" w:rsidRDefault="00155995" w:rsidP="00FC26CD">
            <w:pPr>
              <w:jc w:val="center"/>
              <w:rPr>
                <w:rFonts w:ascii="Arial Narrow" w:hAnsi="Arial Narrow"/>
                <w:i/>
                <w:iCs/>
                <w:sz w:val="18"/>
                <w:szCs w:val="18"/>
              </w:rPr>
            </w:pPr>
            <w:r>
              <w:rPr>
                <w:rFonts w:ascii="Arial Narrow" w:hAnsi="Arial Narrow"/>
                <w:i/>
                <w:iCs/>
                <w:sz w:val="18"/>
                <w:szCs w:val="18"/>
              </w:rPr>
              <w:t>4/62 (6)</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361DD" w:rsidRDefault="00155995" w:rsidP="00FC26CD">
            <w:pPr>
              <w:jc w:val="center"/>
              <w:rPr>
                <w:rFonts w:ascii="Arial Narrow" w:hAnsi="Arial Narrow"/>
                <w:i/>
                <w:iCs/>
                <w:sz w:val="16"/>
                <w:szCs w:val="16"/>
              </w:rPr>
            </w:pPr>
            <w:r w:rsidRPr="004361DD">
              <w:rPr>
                <w:rFonts w:ascii="Arial Narrow" w:hAnsi="Arial Narrow"/>
                <w:i/>
                <w:iCs/>
                <w:sz w:val="16"/>
                <w:szCs w:val="16"/>
              </w:rPr>
              <w:t>2.33 (0.76, 7.15)</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361DD" w:rsidRDefault="00155995" w:rsidP="00FC26CD">
            <w:pPr>
              <w:jc w:val="center"/>
              <w:rPr>
                <w:rFonts w:ascii="Arial Narrow" w:hAnsi="Arial Narrow"/>
                <w:i/>
                <w:iCs/>
                <w:sz w:val="16"/>
                <w:szCs w:val="16"/>
              </w:rPr>
            </w:pPr>
            <w:r w:rsidRPr="004361DD">
              <w:rPr>
                <w:rFonts w:ascii="Arial Narrow" w:hAnsi="Arial Narrow"/>
                <w:i/>
                <w:iCs/>
                <w:sz w:val="16"/>
                <w:szCs w:val="16"/>
              </w:rPr>
              <w:t>0.09 (-0.02, 0.19)</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4F34A8" w:rsidTr="00FC26CD">
        <w:tc>
          <w:tcPr>
            <w:tcW w:w="3250" w:type="dxa"/>
            <w:gridSpan w:val="3"/>
            <w:vAlign w:val="center"/>
          </w:tcPr>
          <w:p w:rsidR="00155995" w:rsidRPr="004F34A8" w:rsidRDefault="00155995" w:rsidP="00FC26CD">
            <w:pPr>
              <w:jc w:val="left"/>
              <w:rPr>
                <w:rFonts w:ascii="Arial Narrow" w:hAnsi="Arial Narrow"/>
                <w:i/>
                <w:iCs/>
                <w:sz w:val="18"/>
                <w:szCs w:val="18"/>
              </w:rPr>
            </w:pPr>
            <w:r w:rsidRPr="004F34A8">
              <w:rPr>
                <w:rFonts w:ascii="Arial Narrow" w:hAnsi="Arial Narrow"/>
                <w:b/>
                <w:bCs/>
                <w:i/>
                <w:iCs/>
                <w:sz w:val="18"/>
                <w:szCs w:val="18"/>
              </w:rPr>
              <w:t>SEC (ITT, 12 weeks)</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i/>
                <w:iCs/>
                <w:sz w:val="16"/>
                <w:szCs w:val="16"/>
              </w:rPr>
            </w:pP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i/>
                <w:iCs/>
                <w:sz w:val="16"/>
                <w:szCs w:val="16"/>
              </w:rPr>
            </w:pP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tcPr>
          <w:p w:rsidR="00155995" w:rsidRPr="004F34A8" w:rsidRDefault="00155995" w:rsidP="00FC26CD">
            <w:pPr>
              <w:rPr>
                <w:rFonts w:ascii="Arial Narrow" w:hAnsi="Arial Narrow"/>
                <w:i/>
                <w:iCs/>
                <w:sz w:val="18"/>
                <w:szCs w:val="18"/>
              </w:rPr>
            </w:pPr>
            <w:r w:rsidRPr="004F34A8">
              <w:rPr>
                <w:rFonts w:ascii="Arial Narrow" w:hAnsi="Arial Narrow"/>
                <w:i/>
                <w:iCs/>
                <w:sz w:val="18"/>
                <w:szCs w:val="18"/>
              </w:rPr>
              <w:t>FUTURE-2 150mg</w:t>
            </w:r>
          </w:p>
        </w:tc>
        <w:tc>
          <w:tcPr>
            <w:tcW w:w="903" w:type="dxa"/>
            <w:vAlign w:val="center"/>
          </w:tcPr>
          <w:p w:rsidR="00155995" w:rsidRPr="004F34A8" w:rsidRDefault="00155995" w:rsidP="00FC26CD">
            <w:pPr>
              <w:jc w:val="center"/>
              <w:rPr>
                <w:rFonts w:ascii="Arial Narrow" w:hAnsi="Arial Narrow"/>
                <w:i/>
                <w:iCs/>
                <w:sz w:val="18"/>
                <w:szCs w:val="18"/>
              </w:rPr>
            </w:pPr>
            <w:r w:rsidRPr="004F34A8">
              <w:rPr>
                <w:rFonts w:ascii="Arial Narrow" w:hAnsi="Arial Narrow"/>
                <w:i/>
                <w:iCs/>
                <w:sz w:val="18"/>
                <w:szCs w:val="18"/>
              </w:rPr>
              <w:t>32/100 (32)</w:t>
            </w:r>
          </w:p>
        </w:tc>
        <w:tc>
          <w:tcPr>
            <w:tcW w:w="922" w:type="dxa"/>
            <w:vAlign w:val="center"/>
          </w:tcPr>
          <w:p w:rsidR="00155995" w:rsidRPr="004F34A8" w:rsidRDefault="00155995" w:rsidP="00FC26CD">
            <w:pPr>
              <w:jc w:val="center"/>
              <w:rPr>
                <w:rFonts w:ascii="Arial Narrow" w:hAnsi="Arial Narrow"/>
                <w:i/>
                <w:iCs/>
                <w:sz w:val="18"/>
                <w:szCs w:val="18"/>
              </w:rPr>
            </w:pPr>
            <w:r w:rsidRPr="004F34A8">
              <w:rPr>
                <w:rFonts w:ascii="Arial Narrow" w:hAnsi="Arial Narrow"/>
                <w:i/>
                <w:iCs/>
                <w:sz w:val="18"/>
                <w:szCs w:val="18"/>
              </w:rPr>
              <w:t>5/98 (5)</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6.27 (2.55, 15.43)</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0.27 (0.17, 0.37)</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4 (3,6)</w:t>
            </w:r>
          </w:p>
        </w:tc>
      </w:tr>
      <w:tr w:rsidR="00155995" w:rsidRPr="004F34A8" w:rsidTr="00FC26CD">
        <w:tc>
          <w:tcPr>
            <w:tcW w:w="1425" w:type="dxa"/>
          </w:tcPr>
          <w:p w:rsidR="00155995" w:rsidRPr="004F34A8" w:rsidRDefault="00155995" w:rsidP="00FC26CD">
            <w:pPr>
              <w:rPr>
                <w:rFonts w:ascii="Arial Narrow" w:hAnsi="Arial Narrow"/>
                <w:i/>
                <w:iCs/>
                <w:sz w:val="18"/>
                <w:szCs w:val="18"/>
              </w:rPr>
            </w:pPr>
            <w:r w:rsidRPr="004F34A8">
              <w:rPr>
                <w:rFonts w:ascii="Arial Narrow" w:hAnsi="Arial Narrow"/>
                <w:i/>
                <w:iCs/>
                <w:sz w:val="18"/>
                <w:szCs w:val="18"/>
              </w:rPr>
              <w:t>FUTURE-2 300mg</w:t>
            </w:r>
          </w:p>
        </w:tc>
        <w:tc>
          <w:tcPr>
            <w:tcW w:w="903" w:type="dxa"/>
            <w:vAlign w:val="center"/>
          </w:tcPr>
          <w:p w:rsidR="00155995" w:rsidRPr="004F34A8" w:rsidRDefault="00155995" w:rsidP="00FC26CD">
            <w:pPr>
              <w:jc w:val="center"/>
              <w:rPr>
                <w:rFonts w:ascii="Arial Narrow" w:hAnsi="Arial Narrow"/>
                <w:i/>
                <w:iCs/>
                <w:sz w:val="18"/>
                <w:szCs w:val="18"/>
              </w:rPr>
            </w:pPr>
            <w:r w:rsidRPr="004F34A8">
              <w:rPr>
                <w:rFonts w:ascii="Arial Narrow" w:hAnsi="Arial Narrow"/>
                <w:i/>
                <w:iCs/>
                <w:sz w:val="18"/>
                <w:szCs w:val="18"/>
              </w:rPr>
              <w:t>30/100 (30)</w:t>
            </w:r>
          </w:p>
        </w:tc>
        <w:tc>
          <w:tcPr>
            <w:tcW w:w="922" w:type="dxa"/>
            <w:vAlign w:val="center"/>
          </w:tcPr>
          <w:p w:rsidR="00155995" w:rsidRPr="004F34A8" w:rsidRDefault="00155995" w:rsidP="00FC26CD">
            <w:pPr>
              <w:jc w:val="center"/>
              <w:rPr>
                <w:rFonts w:ascii="Arial Narrow" w:hAnsi="Arial Narrow"/>
                <w:i/>
                <w:iCs/>
                <w:sz w:val="18"/>
                <w:szCs w:val="18"/>
              </w:rPr>
            </w:pPr>
            <w:r w:rsidRPr="004F34A8">
              <w:rPr>
                <w:rFonts w:ascii="Arial Narrow" w:hAnsi="Arial Narrow"/>
                <w:i/>
                <w:iCs/>
                <w:sz w:val="18"/>
                <w:szCs w:val="18"/>
              </w:rPr>
              <w:t>5/98 (5)</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5.88 (2.38, 14.53)</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0.25 (0.15, 0.35)</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4 (3,7)</w:t>
            </w:r>
          </w:p>
        </w:tc>
      </w:tr>
      <w:tr w:rsidR="00155995" w:rsidRPr="004F34A8" w:rsidTr="00FC26CD">
        <w:tc>
          <w:tcPr>
            <w:tcW w:w="1425" w:type="dxa"/>
            <w:vAlign w:val="center"/>
          </w:tcPr>
          <w:p w:rsidR="00155995" w:rsidRPr="004F34A8" w:rsidRDefault="00155995" w:rsidP="00FC26CD">
            <w:pPr>
              <w:jc w:val="right"/>
              <w:rPr>
                <w:rFonts w:ascii="Arial Narrow" w:hAnsi="Arial Narrow"/>
                <w:i/>
                <w:iCs/>
                <w:sz w:val="18"/>
                <w:szCs w:val="18"/>
              </w:rPr>
            </w:pPr>
            <w:r w:rsidRPr="004F34A8">
              <w:rPr>
                <w:rFonts w:ascii="Arial Narrow" w:hAnsi="Arial Narrow"/>
                <w:i/>
                <w:iCs/>
                <w:sz w:val="18"/>
                <w:szCs w:val="18"/>
              </w:rPr>
              <w:t>Pooled</w:t>
            </w:r>
          </w:p>
        </w:tc>
        <w:tc>
          <w:tcPr>
            <w:tcW w:w="903" w:type="dxa"/>
            <w:vAlign w:val="center"/>
          </w:tcPr>
          <w:p w:rsidR="00155995" w:rsidRPr="004F34A8" w:rsidRDefault="00155995" w:rsidP="00FC26CD">
            <w:pPr>
              <w:jc w:val="center"/>
              <w:rPr>
                <w:rFonts w:ascii="Arial Narrow" w:hAnsi="Arial Narrow"/>
                <w:i/>
                <w:iCs/>
                <w:sz w:val="18"/>
                <w:szCs w:val="18"/>
              </w:rPr>
            </w:pPr>
            <w:r w:rsidRPr="004F34A8">
              <w:rPr>
                <w:rFonts w:ascii="Arial Narrow" w:hAnsi="Arial Narrow"/>
                <w:i/>
                <w:iCs/>
                <w:sz w:val="18"/>
                <w:szCs w:val="18"/>
              </w:rPr>
              <w:t>62/200 (31)</w:t>
            </w:r>
          </w:p>
        </w:tc>
        <w:tc>
          <w:tcPr>
            <w:tcW w:w="922" w:type="dxa"/>
            <w:vAlign w:val="center"/>
          </w:tcPr>
          <w:p w:rsidR="00155995" w:rsidRPr="004F34A8" w:rsidRDefault="00155995" w:rsidP="00FC26CD">
            <w:pPr>
              <w:jc w:val="center"/>
              <w:rPr>
                <w:rFonts w:ascii="Arial Narrow" w:hAnsi="Arial Narrow"/>
                <w:i/>
                <w:iCs/>
                <w:sz w:val="18"/>
                <w:szCs w:val="18"/>
              </w:rPr>
            </w:pPr>
            <w:r w:rsidRPr="004F34A8">
              <w:rPr>
                <w:rFonts w:ascii="Arial Narrow" w:hAnsi="Arial Narrow"/>
                <w:i/>
                <w:iCs/>
                <w:sz w:val="18"/>
                <w:szCs w:val="18"/>
              </w:rPr>
              <w:t>5/98 (5)</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6.08 (2.52, 14.63)</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0.26 (0.18, 0.34)</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4 (3,6)</w:t>
            </w:r>
          </w:p>
        </w:tc>
      </w:tr>
      <w:tr w:rsidR="00155995" w:rsidRPr="004F34A8" w:rsidTr="00FC26CD">
        <w:tc>
          <w:tcPr>
            <w:tcW w:w="3250" w:type="dxa"/>
            <w:gridSpan w:val="3"/>
            <w:vAlign w:val="center"/>
          </w:tcPr>
          <w:p w:rsidR="00155995" w:rsidRPr="004F34A8" w:rsidRDefault="00155995" w:rsidP="00FC26CD">
            <w:pPr>
              <w:jc w:val="left"/>
              <w:rPr>
                <w:rFonts w:ascii="Arial Narrow" w:hAnsi="Arial Narrow"/>
                <w:i/>
                <w:iCs/>
                <w:sz w:val="18"/>
                <w:szCs w:val="18"/>
              </w:rPr>
            </w:pPr>
            <w:r>
              <w:rPr>
                <w:rFonts w:ascii="Arial Narrow" w:hAnsi="Arial Narrow"/>
                <w:b/>
                <w:bCs/>
                <w:i/>
                <w:iCs/>
                <w:sz w:val="18"/>
                <w:szCs w:val="18"/>
              </w:rPr>
              <w:t>SEC</w:t>
            </w:r>
            <w:r w:rsidRPr="004F34A8">
              <w:rPr>
                <w:rFonts w:ascii="Arial Narrow" w:hAnsi="Arial Narrow"/>
                <w:b/>
                <w:bCs/>
                <w:i/>
                <w:iCs/>
                <w:sz w:val="18"/>
                <w:szCs w:val="18"/>
              </w:rPr>
              <w:t xml:space="preserve"> </w:t>
            </w:r>
            <w:r>
              <w:rPr>
                <w:rFonts w:ascii="Arial Narrow" w:hAnsi="Arial Narrow"/>
                <w:b/>
                <w:bCs/>
                <w:i/>
                <w:iCs/>
                <w:sz w:val="18"/>
                <w:szCs w:val="18"/>
              </w:rPr>
              <w:t>(</w:t>
            </w:r>
            <w:r w:rsidRPr="00BD711E">
              <w:rPr>
                <w:rFonts w:ascii="Arial Narrow" w:hAnsi="Arial Narrow"/>
                <w:b/>
                <w:bCs/>
                <w:i/>
                <w:iCs/>
                <w:color w:val="FF0000"/>
                <w:sz w:val="18"/>
                <w:szCs w:val="18"/>
              </w:rPr>
              <w:t>TNF-α experienced</w:t>
            </w:r>
            <w:r w:rsidRPr="004F34A8">
              <w:rPr>
                <w:rFonts w:ascii="Arial Narrow" w:hAnsi="Arial Narrow"/>
                <w:b/>
                <w:bCs/>
                <w:i/>
                <w:iCs/>
                <w:sz w:val="18"/>
                <w:szCs w:val="18"/>
              </w:rPr>
              <w:t xml:space="preserve">, </w:t>
            </w:r>
            <w:r>
              <w:rPr>
                <w:rFonts w:ascii="Arial Narrow" w:hAnsi="Arial Narrow"/>
                <w:b/>
                <w:bCs/>
                <w:i/>
                <w:iCs/>
                <w:sz w:val="18"/>
                <w:szCs w:val="18"/>
                <w:u w:val="single"/>
              </w:rPr>
              <w:t>12</w:t>
            </w:r>
            <w:r w:rsidRPr="004F34A8">
              <w:rPr>
                <w:rFonts w:ascii="Arial Narrow" w:hAnsi="Arial Narrow"/>
                <w:b/>
                <w:bCs/>
                <w:i/>
                <w:iCs/>
                <w:sz w:val="18"/>
                <w:szCs w:val="18"/>
              </w:rPr>
              <w:t xml:space="preserve"> weeks)</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Default="00155995" w:rsidP="00FC26CD">
            <w:pPr>
              <w:jc w:val="center"/>
              <w:rPr>
                <w:rFonts w:ascii="Arial Narrow" w:hAnsi="Arial Narrow"/>
                <w:b/>
                <w:bCs/>
                <w:i/>
                <w:iCs/>
                <w:sz w:val="16"/>
                <w:szCs w:val="16"/>
              </w:rPr>
            </w:pP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tcPr>
          <w:p w:rsidR="00155995" w:rsidRPr="0055256F" w:rsidRDefault="00155995" w:rsidP="00FC26CD">
            <w:pPr>
              <w:jc w:val="right"/>
              <w:rPr>
                <w:rFonts w:ascii="Arial Narrow" w:hAnsi="Arial Narrow"/>
                <w:i/>
                <w:iCs/>
                <w:sz w:val="18"/>
                <w:szCs w:val="18"/>
              </w:rPr>
            </w:pPr>
            <w:r w:rsidRPr="0055256F">
              <w:rPr>
                <w:rFonts w:ascii="Arial Narrow" w:hAnsi="Arial Narrow"/>
                <w:i/>
                <w:iCs/>
                <w:sz w:val="18"/>
                <w:szCs w:val="18"/>
              </w:rPr>
              <w:t>FUTURE-2 150mg</w:t>
            </w:r>
          </w:p>
        </w:tc>
        <w:tc>
          <w:tcPr>
            <w:tcW w:w="903" w:type="dxa"/>
            <w:vAlign w:val="center"/>
          </w:tcPr>
          <w:p w:rsidR="00155995" w:rsidRPr="0055256F" w:rsidRDefault="00155995" w:rsidP="00FC26CD">
            <w:pPr>
              <w:jc w:val="center"/>
              <w:rPr>
                <w:rFonts w:ascii="Arial Narrow" w:hAnsi="Arial Narrow"/>
                <w:i/>
                <w:iCs/>
                <w:sz w:val="18"/>
                <w:szCs w:val="18"/>
              </w:rPr>
            </w:pPr>
            <w:r>
              <w:rPr>
                <w:rFonts w:ascii="Arial Narrow" w:hAnsi="Arial Narrow"/>
                <w:i/>
                <w:iCs/>
                <w:sz w:val="18"/>
                <w:szCs w:val="18"/>
              </w:rPr>
              <w:t>NR</w:t>
            </w:r>
          </w:p>
        </w:tc>
        <w:tc>
          <w:tcPr>
            <w:tcW w:w="922" w:type="dxa"/>
            <w:vAlign w:val="center"/>
          </w:tcPr>
          <w:p w:rsidR="00155995" w:rsidRPr="0055256F" w:rsidRDefault="00155995" w:rsidP="00FC26CD">
            <w:pPr>
              <w:jc w:val="center"/>
              <w:rPr>
                <w:rFonts w:ascii="Arial Narrow" w:hAnsi="Arial Narrow"/>
                <w:i/>
                <w:iCs/>
                <w:sz w:val="18"/>
                <w:szCs w:val="18"/>
              </w:rPr>
            </w:pPr>
            <w:r>
              <w:rPr>
                <w:rFonts w:ascii="Arial Narrow" w:hAnsi="Arial Narrow"/>
                <w:i/>
                <w:iCs/>
                <w:sz w:val="18"/>
                <w:szCs w:val="18"/>
              </w:rPr>
              <w:t>NR</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tcPr>
          <w:p w:rsidR="00155995" w:rsidRPr="0055256F" w:rsidRDefault="00155995" w:rsidP="00FC26CD">
            <w:pPr>
              <w:jc w:val="right"/>
              <w:rPr>
                <w:rFonts w:ascii="Arial Narrow" w:hAnsi="Arial Narrow"/>
                <w:i/>
                <w:iCs/>
                <w:sz w:val="18"/>
                <w:szCs w:val="18"/>
              </w:rPr>
            </w:pPr>
            <w:r w:rsidRPr="0055256F">
              <w:rPr>
                <w:rFonts w:ascii="Arial Narrow" w:hAnsi="Arial Narrow"/>
                <w:i/>
                <w:iCs/>
                <w:sz w:val="18"/>
                <w:szCs w:val="18"/>
              </w:rPr>
              <w:t>FUTURE-2 300mg</w:t>
            </w:r>
          </w:p>
        </w:tc>
        <w:tc>
          <w:tcPr>
            <w:tcW w:w="903" w:type="dxa"/>
            <w:vAlign w:val="center"/>
          </w:tcPr>
          <w:p w:rsidR="00155995" w:rsidRPr="0055256F" w:rsidRDefault="00155995" w:rsidP="00FC26CD">
            <w:pPr>
              <w:jc w:val="center"/>
              <w:rPr>
                <w:rFonts w:ascii="Arial Narrow" w:hAnsi="Arial Narrow"/>
                <w:i/>
                <w:iCs/>
                <w:sz w:val="18"/>
                <w:szCs w:val="18"/>
              </w:rPr>
            </w:pPr>
            <w:r>
              <w:rPr>
                <w:rFonts w:ascii="Arial Narrow" w:hAnsi="Arial Narrow"/>
                <w:i/>
                <w:iCs/>
                <w:sz w:val="18"/>
                <w:szCs w:val="18"/>
              </w:rPr>
              <w:t>NR</w:t>
            </w:r>
          </w:p>
        </w:tc>
        <w:tc>
          <w:tcPr>
            <w:tcW w:w="922" w:type="dxa"/>
            <w:vAlign w:val="center"/>
          </w:tcPr>
          <w:p w:rsidR="00155995" w:rsidRPr="0055256F" w:rsidRDefault="00155995" w:rsidP="00FC26CD">
            <w:pPr>
              <w:jc w:val="center"/>
              <w:rPr>
                <w:rFonts w:ascii="Arial Narrow" w:hAnsi="Arial Narrow"/>
                <w:i/>
                <w:iCs/>
                <w:sz w:val="18"/>
                <w:szCs w:val="18"/>
              </w:rPr>
            </w:pPr>
            <w:r>
              <w:rPr>
                <w:rFonts w:ascii="Arial Narrow" w:hAnsi="Arial Narrow"/>
                <w:i/>
                <w:iCs/>
                <w:sz w:val="18"/>
                <w:szCs w:val="18"/>
              </w:rPr>
              <w:t>NR</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vAlign w:val="center"/>
          </w:tcPr>
          <w:p w:rsidR="00155995" w:rsidRPr="0055256F" w:rsidRDefault="00155995" w:rsidP="00FC26CD">
            <w:pPr>
              <w:jc w:val="right"/>
              <w:rPr>
                <w:rFonts w:ascii="Arial Narrow" w:hAnsi="Arial Narrow"/>
                <w:i/>
                <w:iCs/>
                <w:sz w:val="18"/>
                <w:szCs w:val="18"/>
              </w:rPr>
            </w:pPr>
            <w:r w:rsidRPr="0055256F">
              <w:rPr>
                <w:rFonts w:ascii="Arial Narrow" w:hAnsi="Arial Narrow"/>
                <w:i/>
                <w:iCs/>
                <w:sz w:val="18"/>
                <w:szCs w:val="18"/>
              </w:rPr>
              <w:t>Pooled</w:t>
            </w:r>
          </w:p>
        </w:tc>
        <w:tc>
          <w:tcPr>
            <w:tcW w:w="903" w:type="dxa"/>
            <w:vAlign w:val="center"/>
          </w:tcPr>
          <w:p w:rsidR="00155995" w:rsidRPr="0055256F" w:rsidRDefault="00155995" w:rsidP="00FC26CD">
            <w:pPr>
              <w:jc w:val="center"/>
              <w:rPr>
                <w:rFonts w:ascii="Arial Narrow" w:hAnsi="Arial Narrow"/>
                <w:i/>
                <w:iCs/>
                <w:sz w:val="18"/>
                <w:szCs w:val="18"/>
              </w:rPr>
            </w:pPr>
            <w:r>
              <w:rPr>
                <w:rFonts w:ascii="Arial Narrow" w:hAnsi="Arial Narrow"/>
                <w:i/>
                <w:iCs/>
                <w:sz w:val="18"/>
                <w:szCs w:val="18"/>
              </w:rPr>
              <w:t>NR</w:t>
            </w:r>
          </w:p>
        </w:tc>
        <w:tc>
          <w:tcPr>
            <w:tcW w:w="922" w:type="dxa"/>
            <w:vAlign w:val="center"/>
          </w:tcPr>
          <w:p w:rsidR="00155995" w:rsidRPr="0055256F" w:rsidRDefault="00155995" w:rsidP="00FC26CD">
            <w:pPr>
              <w:jc w:val="center"/>
              <w:rPr>
                <w:rFonts w:ascii="Arial Narrow" w:hAnsi="Arial Narrow"/>
                <w:i/>
                <w:iCs/>
                <w:sz w:val="18"/>
                <w:szCs w:val="18"/>
              </w:rPr>
            </w:pPr>
            <w:r>
              <w:rPr>
                <w:rFonts w:ascii="Arial Narrow" w:hAnsi="Arial Narrow"/>
                <w:i/>
                <w:iCs/>
                <w:sz w:val="18"/>
                <w:szCs w:val="18"/>
              </w:rPr>
              <w:t>NR</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7714FC" w:rsidRDefault="00155995" w:rsidP="00FC26CD">
            <w:pPr>
              <w:jc w:val="center"/>
              <w:rPr>
                <w:rFonts w:ascii="Arial Narrow" w:hAnsi="Arial Narrow"/>
                <w:i/>
                <w:iCs/>
                <w:sz w:val="16"/>
                <w:szCs w:val="16"/>
              </w:rPr>
            </w:pPr>
            <w:r w:rsidRPr="007714FC">
              <w:rPr>
                <w:rFonts w:ascii="Arial Narrow" w:hAnsi="Arial Narrow"/>
                <w:i/>
                <w:iCs/>
                <w:sz w:val="16"/>
                <w:szCs w:val="16"/>
              </w:rPr>
              <w:t>-</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3250" w:type="dxa"/>
            <w:gridSpan w:val="3"/>
            <w:vAlign w:val="center"/>
          </w:tcPr>
          <w:p w:rsidR="00155995" w:rsidRPr="003C5845" w:rsidRDefault="00155995" w:rsidP="00FC26CD">
            <w:pPr>
              <w:jc w:val="left"/>
              <w:rPr>
                <w:rFonts w:ascii="Arial Narrow" w:hAnsi="Arial Narrow"/>
                <w:b/>
                <w:bCs/>
                <w:i/>
                <w:iCs/>
                <w:sz w:val="18"/>
                <w:szCs w:val="18"/>
              </w:rPr>
            </w:pPr>
            <w:r>
              <w:rPr>
                <w:rFonts w:ascii="Arial Narrow" w:hAnsi="Arial Narrow"/>
                <w:b/>
                <w:bCs/>
                <w:i/>
                <w:iCs/>
                <w:sz w:val="18"/>
                <w:szCs w:val="18"/>
              </w:rPr>
              <w:t xml:space="preserve">All - </w:t>
            </w:r>
            <w:r w:rsidRPr="003C5845">
              <w:rPr>
                <w:rFonts w:ascii="Arial Narrow" w:hAnsi="Arial Narrow"/>
                <w:b/>
                <w:bCs/>
                <w:i/>
                <w:iCs/>
                <w:sz w:val="18"/>
                <w:szCs w:val="18"/>
              </w:rPr>
              <w:t>CZP,UST,SEC (IT</w:t>
            </w:r>
            <w:r>
              <w:rPr>
                <w:rFonts w:ascii="Arial Narrow" w:hAnsi="Arial Narrow"/>
                <w:b/>
                <w:bCs/>
                <w:i/>
                <w:iCs/>
                <w:sz w:val="18"/>
                <w:szCs w:val="18"/>
              </w:rPr>
              <w:t>T</w:t>
            </w:r>
            <w:r w:rsidRPr="003C5845">
              <w:rPr>
                <w:rFonts w:ascii="Arial Narrow" w:hAnsi="Arial Narrow"/>
                <w:b/>
                <w:bCs/>
                <w:i/>
                <w:iCs/>
                <w:sz w:val="18"/>
                <w:szCs w:val="18"/>
              </w:rPr>
              <w:t>)</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7714FC" w:rsidRDefault="00155995" w:rsidP="00FC26CD">
            <w:pPr>
              <w:jc w:val="center"/>
              <w:rPr>
                <w:rFonts w:ascii="Arial Narrow" w:hAnsi="Arial Narrow"/>
                <w:i/>
                <w:iCs/>
                <w:sz w:val="16"/>
                <w:szCs w:val="16"/>
              </w:rPr>
            </w:pP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7714FC" w:rsidRDefault="00155995" w:rsidP="00FC26CD">
            <w:pPr>
              <w:jc w:val="center"/>
              <w:rPr>
                <w:rFonts w:ascii="Arial Narrow" w:hAnsi="Arial Narrow"/>
                <w:i/>
                <w:iCs/>
                <w:sz w:val="16"/>
                <w:szCs w:val="16"/>
              </w:rPr>
            </w:pP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vAlign w:val="center"/>
          </w:tcPr>
          <w:p w:rsidR="00155995" w:rsidRPr="0055256F" w:rsidRDefault="00155995" w:rsidP="00FC26CD">
            <w:pPr>
              <w:jc w:val="right"/>
              <w:rPr>
                <w:rFonts w:ascii="Arial Narrow" w:hAnsi="Arial Narrow"/>
                <w:i/>
                <w:iCs/>
                <w:sz w:val="18"/>
                <w:szCs w:val="18"/>
              </w:rPr>
            </w:pPr>
            <w:r>
              <w:rPr>
                <w:rFonts w:ascii="Arial Narrow" w:hAnsi="Arial Narrow"/>
                <w:i/>
                <w:iCs/>
                <w:sz w:val="18"/>
                <w:szCs w:val="18"/>
              </w:rPr>
              <w:t>Meta-analysis</w:t>
            </w:r>
          </w:p>
        </w:tc>
        <w:tc>
          <w:tcPr>
            <w:tcW w:w="903" w:type="dxa"/>
            <w:vAlign w:val="center"/>
          </w:tcPr>
          <w:p w:rsidR="00155995" w:rsidRDefault="00155995" w:rsidP="00FC26CD">
            <w:pPr>
              <w:jc w:val="center"/>
              <w:rPr>
                <w:rFonts w:ascii="Arial Narrow" w:hAnsi="Arial Narrow"/>
                <w:i/>
                <w:iCs/>
                <w:sz w:val="18"/>
                <w:szCs w:val="18"/>
              </w:rPr>
            </w:pPr>
            <w:r>
              <w:rPr>
                <w:rFonts w:ascii="Arial Narrow" w:hAnsi="Arial Narrow"/>
                <w:i/>
                <w:iCs/>
                <w:sz w:val="18"/>
                <w:szCs w:val="18"/>
              </w:rPr>
              <w:t>225/781 (29)</w:t>
            </w:r>
          </w:p>
        </w:tc>
        <w:tc>
          <w:tcPr>
            <w:tcW w:w="922" w:type="dxa"/>
            <w:vAlign w:val="center"/>
          </w:tcPr>
          <w:p w:rsidR="00155995" w:rsidRDefault="00155995" w:rsidP="00FC26CD">
            <w:pPr>
              <w:jc w:val="center"/>
              <w:rPr>
                <w:rFonts w:ascii="Arial Narrow" w:hAnsi="Arial Narrow"/>
                <w:i/>
                <w:iCs/>
                <w:sz w:val="18"/>
                <w:szCs w:val="18"/>
              </w:rPr>
            </w:pPr>
            <w:r>
              <w:rPr>
                <w:rFonts w:ascii="Arial Narrow" w:hAnsi="Arial Narrow"/>
                <w:i/>
                <w:iCs/>
                <w:sz w:val="18"/>
                <w:szCs w:val="18"/>
              </w:rPr>
              <w:t>45/544 (8)</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2E02A7" w:rsidRDefault="00155995" w:rsidP="00FC26CD">
            <w:pPr>
              <w:jc w:val="center"/>
              <w:rPr>
                <w:rFonts w:ascii="Arial Narrow" w:hAnsi="Arial Narrow"/>
                <w:b/>
                <w:bCs/>
                <w:i/>
                <w:iCs/>
                <w:sz w:val="16"/>
                <w:szCs w:val="16"/>
              </w:rPr>
            </w:pPr>
            <w:r>
              <w:rPr>
                <w:rFonts w:ascii="Arial Narrow" w:hAnsi="Arial Narrow"/>
                <w:b/>
                <w:bCs/>
                <w:i/>
                <w:iCs/>
                <w:sz w:val="16"/>
                <w:szCs w:val="16"/>
              </w:rPr>
              <w:t>3.19 (2.35, 4.33)</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2E02A7" w:rsidRDefault="00155995" w:rsidP="00FC26CD">
            <w:pPr>
              <w:jc w:val="center"/>
              <w:rPr>
                <w:rFonts w:ascii="Arial Narrow" w:hAnsi="Arial Narrow"/>
                <w:b/>
                <w:bCs/>
                <w:i/>
                <w:iCs/>
                <w:sz w:val="16"/>
                <w:szCs w:val="16"/>
              </w:rPr>
            </w:pPr>
            <w:r>
              <w:rPr>
                <w:rFonts w:ascii="Arial Narrow" w:hAnsi="Arial Narrow"/>
                <w:b/>
                <w:bCs/>
                <w:i/>
                <w:iCs/>
                <w:sz w:val="16"/>
                <w:szCs w:val="16"/>
              </w:rPr>
              <w:t>0.19 (0.13, 0.26)</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5 (4,8)</w:t>
            </w:r>
          </w:p>
        </w:tc>
      </w:tr>
      <w:tr w:rsidR="00155995" w:rsidRPr="004F34A8" w:rsidTr="00FC26CD">
        <w:tc>
          <w:tcPr>
            <w:tcW w:w="3250" w:type="dxa"/>
            <w:gridSpan w:val="3"/>
            <w:vAlign w:val="center"/>
          </w:tcPr>
          <w:p w:rsidR="00155995" w:rsidRDefault="00155995" w:rsidP="00FC26CD">
            <w:pPr>
              <w:jc w:val="left"/>
              <w:rPr>
                <w:rFonts w:ascii="Arial Narrow" w:hAnsi="Arial Narrow"/>
                <w:i/>
                <w:iCs/>
                <w:sz w:val="18"/>
                <w:szCs w:val="18"/>
              </w:rPr>
            </w:pPr>
            <w:r>
              <w:rPr>
                <w:rFonts w:ascii="Arial Narrow" w:hAnsi="Arial Narrow"/>
                <w:b/>
                <w:bCs/>
                <w:i/>
                <w:iCs/>
                <w:sz w:val="18"/>
                <w:szCs w:val="18"/>
              </w:rPr>
              <w:t xml:space="preserve">All - </w:t>
            </w:r>
            <w:r w:rsidRPr="003C5845">
              <w:rPr>
                <w:rFonts w:ascii="Arial Narrow" w:hAnsi="Arial Narrow"/>
                <w:b/>
                <w:bCs/>
                <w:i/>
                <w:iCs/>
                <w:sz w:val="18"/>
                <w:szCs w:val="18"/>
              </w:rPr>
              <w:t>CZP,</w:t>
            </w:r>
            <w:r>
              <w:rPr>
                <w:rFonts w:ascii="Arial Narrow" w:hAnsi="Arial Narrow"/>
                <w:b/>
                <w:bCs/>
                <w:i/>
                <w:iCs/>
                <w:sz w:val="18"/>
                <w:szCs w:val="18"/>
              </w:rPr>
              <w:t>UST</w:t>
            </w:r>
            <w:r w:rsidRPr="003C5845">
              <w:rPr>
                <w:rFonts w:ascii="Arial Narrow" w:hAnsi="Arial Narrow"/>
                <w:b/>
                <w:bCs/>
                <w:i/>
                <w:iCs/>
                <w:sz w:val="18"/>
                <w:szCs w:val="18"/>
              </w:rPr>
              <w:t xml:space="preserve"> (</w:t>
            </w:r>
            <w:r w:rsidRPr="00BD711E">
              <w:rPr>
                <w:rFonts w:ascii="Arial Narrow" w:hAnsi="Arial Narrow"/>
                <w:b/>
                <w:bCs/>
                <w:i/>
                <w:iCs/>
                <w:color w:val="FF0000"/>
                <w:sz w:val="18"/>
                <w:szCs w:val="18"/>
              </w:rPr>
              <w:t>TNF-α experienced</w:t>
            </w:r>
            <w:r w:rsidRPr="003C5845">
              <w:rPr>
                <w:rFonts w:ascii="Arial Narrow" w:hAnsi="Arial Narrow"/>
                <w:b/>
                <w:bCs/>
                <w:i/>
                <w:iCs/>
                <w:sz w:val="18"/>
                <w:szCs w:val="18"/>
              </w:rPr>
              <w:t>)</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7714FC" w:rsidRDefault="00155995" w:rsidP="00FC26CD">
            <w:pPr>
              <w:jc w:val="center"/>
              <w:rPr>
                <w:rFonts w:ascii="Arial Narrow" w:hAnsi="Arial Narrow"/>
                <w:i/>
                <w:iCs/>
                <w:sz w:val="16"/>
                <w:szCs w:val="16"/>
              </w:rPr>
            </w:pP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7714FC" w:rsidRDefault="00155995" w:rsidP="00FC26CD">
            <w:pPr>
              <w:jc w:val="center"/>
              <w:rPr>
                <w:rFonts w:ascii="Arial Narrow" w:hAnsi="Arial Narrow"/>
                <w:i/>
                <w:iCs/>
                <w:sz w:val="16"/>
                <w:szCs w:val="16"/>
              </w:rPr>
            </w:pP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1425" w:type="dxa"/>
            <w:vAlign w:val="center"/>
          </w:tcPr>
          <w:p w:rsidR="00155995" w:rsidRPr="0055256F" w:rsidRDefault="00155995" w:rsidP="00FC26CD">
            <w:pPr>
              <w:jc w:val="right"/>
              <w:rPr>
                <w:rFonts w:ascii="Arial Narrow" w:hAnsi="Arial Narrow"/>
                <w:i/>
                <w:iCs/>
                <w:sz w:val="18"/>
                <w:szCs w:val="18"/>
              </w:rPr>
            </w:pPr>
            <w:r>
              <w:rPr>
                <w:rFonts w:ascii="Arial Narrow" w:hAnsi="Arial Narrow"/>
                <w:i/>
                <w:iCs/>
                <w:sz w:val="18"/>
                <w:szCs w:val="18"/>
              </w:rPr>
              <w:t>Meta-analysis</w:t>
            </w:r>
          </w:p>
        </w:tc>
        <w:tc>
          <w:tcPr>
            <w:tcW w:w="903" w:type="dxa"/>
            <w:vAlign w:val="center"/>
          </w:tcPr>
          <w:p w:rsidR="00155995" w:rsidRDefault="00155995" w:rsidP="00FC26CD">
            <w:pPr>
              <w:jc w:val="center"/>
              <w:rPr>
                <w:rFonts w:ascii="Arial Narrow" w:hAnsi="Arial Narrow"/>
                <w:i/>
                <w:iCs/>
                <w:sz w:val="18"/>
                <w:szCs w:val="18"/>
              </w:rPr>
            </w:pPr>
            <w:r>
              <w:rPr>
                <w:rFonts w:ascii="Arial Narrow" w:hAnsi="Arial Narrow"/>
                <w:i/>
                <w:iCs/>
                <w:sz w:val="18"/>
                <w:szCs w:val="18"/>
              </w:rPr>
              <w:t>29/114 (25)</w:t>
            </w:r>
          </w:p>
        </w:tc>
        <w:tc>
          <w:tcPr>
            <w:tcW w:w="922" w:type="dxa"/>
            <w:vAlign w:val="center"/>
          </w:tcPr>
          <w:p w:rsidR="00155995" w:rsidRDefault="00155995" w:rsidP="00FC26CD">
            <w:pPr>
              <w:jc w:val="center"/>
              <w:rPr>
                <w:rFonts w:ascii="Arial Narrow" w:hAnsi="Arial Narrow"/>
                <w:i/>
                <w:iCs/>
                <w:sz w:val="18"/>
                <w:szCs w:val="18"/>
              </w:rPr>
            </w:pPr>
            <w:r>
              <w:rPr>
                <w:rFonts w:ascii="Arial Narrow" w:hAnsi="Arial Narrow"/>
                <w:i/>
                <w:iCs/>
                <w:sz w:val="18"/>
                <w:szCs w:val="18"/>
              </w:rPr>
              <w:t>5/98 (5)</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19367D" w:rsidRDefault="00155995" w:rsidP="00FC26CD">
            <w:pPr>
              <w:jc w:val="center"/>
              <w:rPr>
                <w:rFonts w:ascii="Arial Narrow" w:hAnsi="Arial Narrow"/>
                <w:i/>
                <w:iCs/>
                <w:sz w:val="16"/>
                <w:szCs w:val="16"/>
              </w:rPr>
            </w:pPr>
            <w:r w:rsidRPr="0019367D">
              <w:rPr>
                <w:rFonts w:ascii="Arial Narrow" w:hAnsi="Arial Narrow"/>
                <w:i/>
                <w:iCs/>
                <w:sz w:val="16"/>
                <w:szCs w:val="16"/>
              </w:rPr>
              <w:t>4.72 (0.76, 29.20)</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19367D" w:rsidRDefault="00155995" w:rsidP="00FC26CD">
            <w:pPr>
              <w:jc w:val="center"/>
              <w:rPr>
                <w:rFonts w:ascii="Arial Narrow" w:hAnsi="Arial Narrow"/>
                <w:i/>
                <w:iCs/>
                <w:sz w:val="16"/>
                <w:szCs w:val="16"/>
              </w:rPr>
            </w:pPr>
            <w:r w:rsidRPr="0019367D">
              <w:rPr>
                <w:rFonts w:ascii="Arial Narrow" w:hAnsi="Arial Narrow"/>
                <w:i/>
                <w:iCs/>
                <w:sz w:val="16"/>
                <w:szCs w:val="16"/>
              </w:rPr>
              <w:t>0.21 (-0.04, 0.46)</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4F34A8" w:rsidTr="00FC26CD">
        <w:tc>
          <w:tcPr>
            <w:tcW w:w="3250" w:type="dxa"/>
            <w:gridSpan w:val="3"/>
            <w:vAlign w:val="center"/>
          </w:tcPr>
          <w:p w:rsidR="00155995" w:rsidRPr="004F34A8" w:rsidRDefault="00155995" w:rsidP="00FC26CD">
            <w:pPr>
              <w:jc w:val="left"/>
              <w:rPr>
                <w:rFonts w:ascii="Arial Narrow" w:hAnsi="Arial Narrow"/>
                <w:b/>
                <w:bCs/>
                <w:i/>
                <w:iCs/>
                <w:sz w:val="18"/>
                <w:szCs w:val="18"/>
              </w:rPr>
            </w:pPr>
            <w:r w:rsidRPr="004F34A8">
              <w:rPr>
                <w:rFonts w:ascii="Arial Narrow" w:hAnsi="Arial Narrow"/>
                <w:b/>
                <w:bCs/>
                <w:i/>
                <w:iCs/>
                <w:sz w:val="18"/>
                <w:szCs w:val="18"/>
              </w:rPr>
              <w:t>Indirect comparisons</w:t>
            </w:r>
            <w:r>
              <w:rPr>
                <w:rFonts w:ascii="Arial Narrow" w:hAnsi="Arial Narrow"/>
                <w:b/>
                <w:bCs/>
                <w:i/>
                <w:iCs/>
                <w:sz w:val="18"/>
                <w:szCs w:val="18"/>
              </w:rPr>
              <w:t>, ITT</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i/>
                <w:iCs/>
                <w:sz w:val="16"/>
                <w:szCs w:val="16"/>
              </w:rPr>
            </w:pP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i/>
                <w:iCs/>
                <w:sz w:val="16"/>
                <w:szCs w:val="16"/>
              </w:rPr>
            </w:pP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3250" w:type="dxa"/>
            <w:gridSpan w:val="3"/>
            <w:vAlign w:val="center"/>
          </w:tcPr>
          <w:p w:rsidR="00155995" w:rsidRPr="004F34A8" w:rsidRDefault="00155995" w:rsidP="00FC26CD">
            <w:pPr>
              <w:jc w:val="left"/>
              <w:rPr>
                <w:rFonts w:ascii="Arial Narrow" w:hAnsi="Arial Narrow"/>
                <w:i/>
                <w:iCs/>
                <w:sz w:val="18"/>
                <w:szCs w:val="18"/>
              </w:rPr>
            </w:pPr>
            <w:r w:rsidRPr="004F34A8">
              <w:rPr>
                <w:rFonts w:ascii="Arial Narrow" w:hAnsi="Arial Narrow"/>
                <w:i/>
                <w:iCs/>
                <w:sz w:val="18"/>
                <w:szCs w:val="18"/>
              </w:rPr>
              <w:t xml:space="preserve">ABA </w:t>
            </w:r>
            <w:r>
              <w:rPr>
                <w:rFonts w:ascii="Arial Narrow" w:hAnsi="Arial Narrow"/>
                <w:i/>
                <w:iCs/>
                <w:sz w:val="18"/>
                <w:szCs w:val="18"/>
              </w:rPr>
              <w:t>(</w:t>
            </w:r>
            <w:proofErr w:type="spellStart"/>
            <w:r>
              <w:rPr>
                <w:rFonts w:ascii="Arial Narrow" w:hAnsi="Arial Narrow"/>
                <w:i/>
                <w:iCs/>
                <w:sz w:val="18"/>
                <w:szCs w:val="18"/>
              </w:rPr>
              <w:t>Mease</w:t>
            </w:r>
            <w:proofErr w:type="spellEnd"/>
            <w:r>
              <w:rPr>
                <w:rFonts w:ascii="Arial Narrow" w:hAnsi="Arial Narrow"/>
                <w:i/>
                <w:iCs/>
                <w:sz w:val="18"/>
                <w:szCs w:val="18"/>
              </w:rPr>
              <w:t xml:space="preserve"> 2017) </w:t>
            </w:r>
            <w:r w:rsidRPr="004F34A8">
              <w:rPr>
                <w:rFonts w:ascii="Arial Narrow" w:hAnsi="Arial Narrow"/>
                <w:i/>
                <w:iCs/>
                <w:sz w:val="18"/>
                <w:szCs w:val="18"/>
              </w:rPr>
              <w:t>vs CZP (pooled)</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i/>
                <w:iCs/>
                <w:sz w:val="16"/>
                <w:szCs w:val="16"/>
              </w:rPr>
            </w:pPr>
            <w:r>
              <w:rPr>
                <w:rFonts w:ascii="Arial Narrow" w:hAnsi="Arial Narrow"/>
                <w:i/>
                <w:iCs/>
                <w:sz w:val="16"/>
                <w:szCs w:val="16"/>
              </w:rPr>
              <w:t>0.73 (0.35, 1.52)</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-0.13 (-0.23,-0.03)</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4F34A8" w:rsidTr="00FC26CD">
        <w:tc>
          <w:tcPr>
            <w:tcW w:w="3250" w:type="dxa"/>
            <w:gridSpan w:val="3"/>
            <w:vAlign w:val="center"/>
          </w:tcPr>
          <w:p w:rsidR="00155995" w:rsidRPr="004F34A8" w:rsidRDefault="00155995" w:rsidP="00FC26CD">
            <w:pPr>
              <w:jc w:val="left"/>
              <w:rPr>
                <w:rFonts w:ascii="Arial Narrow" w:hAnsi="Arial Narrow"/>
                <w:i/>
                <w:iCs/>
                <w:sz w:val="18"/>
                <w:szCs w:val="18"/>
              </w:rPr>
            </w:pPr>
            <w:r w:rsidRPr="004F34A8">
              <w:rPr>
                <w:rFonts w:ascii="Arial Narrow" w:hAnsi="Arial Narrow"/>
                <w:i/>
                <w:iCs/>
                <w:sz w:val="18"/>
                <w:szCs w:val="18"/>
              </w:rPr>
              <w:t>ABA</w:t>
            </w:r>
            <w:r>
              <w:rPr>
                <w:rFonts w:ascii="Arial Narrow" w:hAnsi="Arial Narrow"/>
                <w:i/>
                <w:iCs/>
                <w:sz w:val="18"/>
                <w:szCs w:val="18"/>
              </w:rPr>
              <w:t xml:space="preserve"> (</w:t>
            </w:r>
            <w:proofErr w:type="spellStart"/>
            <w:r>
              <w:rPr>
                <w:rFonts w:ascii="Arial Narrow" w:hAnsi="Arial Narrow"/>
                <w:i/>
                <w:iCs/>
                <w:sz w:val="18"/>
                <w:szCs w:val="18"/>
              </w:rPr>
              <w:t>Mease</w:t>
            </w:r>
            <w:proofErr w:type="spellEnd"/>
            <w:r>
              <w:rPr>
                <w:rFonts w:ascii="Arial Narrow" w:hAnsi="Arial Narrow"/>
                <w:i/>
                <w:iCs/>
                <w:sz w:val="18"/>
                <w:szCs w:val="18"/>
              </w:rPr>
              <w:t xml:space="preserve"> 2017)</w:t>
            </w:r>
            <w:r w:rsidRPr="004F34A8">
              <w:rPr>
                <w:rFonts w:ascii="Arial Narrow" w:hAnsi="Arial Narrow"/>
                <w:i/>
                <w:iCs/>
                <w:sz w:val="18"/>
                <w:szCs w:val="18"/>
              </w:rPr>
              <w:t xml:space="preserve"> vs UST (</w:t>
            </w:r>
            <w:r>
              <w:rPr>
                <w:rFonts w:ascii="Arial Narrow" w:hAnsi="Arial Narrow"/>
                <w:i/>
                <w:iCs/>
                <w:sz w:val="18"/>
                <w:szCs w:val="18"/>
              </w:rPr>
              <w:t>meta-analysis</w:t>
            </w:r>
            <w:r w:rsidRPr="004F34A8">
              <w:rPr>
                <w:rFonts w:ascii="Arial Narrow" w:hAnsi="Arial Narrow"/>
                <w:i/>
                <w:iCs/>
                <w:sz w:val="18"/>
                <w:szCs w:val="18"/>
              </w:rPr>
              <w:t>)</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i/>
                <w:iCs/>
                <w:sz w:val="16"/>
                <w:szCs w:val="16"/>
              </w:rPr>
            </w:pPr>
            <w:r>
              <w:rPr>
                <w:rFonts w:ascii="Arial Narrow" w:hAnsi="Arial Narrow"/>
                <w:i/>
                <w:iCs/>
                <w:sz w:val="16"/>
                <w:szCs w:val="16"/>
              </w:rPr>
              <w:t>0.82 (0.41, 1.62)</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i/>
                <w:iCs/>
                <w:sz w:val="16"/>
                <w:szCs w:val="16"/>
              </w:rPr>
            </w:pPr>
            <w:r>
              <w:rPr>
                <w:rFonts w:ascii="Arial Narrow" w:hAnsi="Arial Narrow"/>
                <w:i/>
                <w:iCs/>
                <w:sz w:val="16"/>
                <w:szCs w:val="16"/>
              </w:rPr>
              <w:t>-0.04 (-0.13,0.05)</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4F34A8" w:rsidTr="00FC26CD">
        <w:tc>
          <w:tcPr>
            <w:tcW w:w="3250" w:type="dxa"/>
            <w:gridSpan w:val="3"/>
            <w:tcBorders>
              <w:bottom w:val="single" w:sz="4" w:space="0" w:color="auto"/>
            </w:tcBorders>
            <w:vAlign w:val="center"/>
          </w:tcPr>
          <w:p w:rsidR="00155995" w:rsidRPr="004F34A8" w:rsidRDefault="00155995" w:rsidP="00FC26CD">
            <w:pPr>
              <w:jc w:val="left"/>
              <w:rPr>
                <w:rFonts w:ascii="Arial Narrow" w:hAnsi="Arial Narrow"/>
                <w:i/>
                <w:iCs/>
                <w:sz w:val="18"/>
                <w:szCs w:val="18"/>
              </w:rPr>
            </w:pPr>
            <w:r w:rsidRPr="004F34A8">
              <w:rPr>
                <w:rFonts w:ascii="Arial Narrow" w:hAnsi="Arial Narrow"/>
                <w:i/>
                <w:iCs/>
                <w:sz w:val="18"/>
                <w:szCs w:val="18"/>
              </w:rPr>
              <w:t>ABA</w:t>
            </w:r>
            <w:r>
              <w:rPr>
                <w:rFonts w:ascii="Arial Narrow" w:hAnsi="Arial Narrow"/>
                <w:i/>
                <w:iCs/>
                <w:sz w:val="18"/>
                <w:szCs w:val="18"/>
              </w:rPr>
              <w:t xml:space="preserve"> (</w:t>
            </w:r>
            <w:proofErr w:type="spellStart"/>
            <w:r>
              <w:rPr>
                <w:rFonts w:ascii="Arial Narrow" w:hAnsi="Arial Narrow"/>
                <w:i/>
                <w:iCs/>
                <w:sz w:val="18"/>
                <w:szCs w:val="18"/>
              </w:rPr>
              <w:t>Mease</w:t>
            </w:r>
            <w:proofErr w:type="spellEnd"/>
            <w:r>
              <w:rPr>
                <w:rFonts w:ascii="Arial Narrow" w:hAnsi="Arial Narrow"/>
                <w:i/>
                <w:iCs/>
                <w:sz w:val="18"/>
                <w:szCs w:val="18"/>
              </w:rPr>
              <w:t xml:space="preserve"> 2017)</w:t>
            </w:r>
            <w:r w:rsidRPr="004F34A8">
              <w:rPr>
                <w:rFonts w:ascii="Arial Narrow" w:hAnsi="Arial Narrow"/>
                <w:i/>
                <w:iCs/>
                <w:sz w:val="18"/>
                <w:szCs w:val="18"/>
              </w:rPr>
              <w:t xml:space="preserve"> vs SEC (pooled)</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2B54A9" w:rsidRDefault="00155995" w:rsidP="00FC26CD">
            <w:pPr>
              <w:jc w:val="center"/>
              <w:rPr>
                <w:rFonts w:ascii="Arial Narrow" w:hAnsi="Arial Narrow"/>
                <w:i/>
                <w:iCs/>
                <w:sz w:val="16"/>
                <w:szCs w:val="16"/>
              </w:rPr>
            </w:pPr>
            <w:r w:rsidRPr="002B54A9">
              <w:rPr>
                <w:rFonts w:ascii="Arial Narrow" w:hAnsi="Arial Narrow"/>
                <w:i/>
                <w:iCs/>
                <w:sz w:val="16"/>
                <w:szCs w:val="16"/>
              </w:rPr>
              <w:t>0.37 (0.13, 1.05)</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-0.16 (-0.26,-0.06)</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4F34A8" w:rsidTr="00FC26CD">
        <w:tc>
          <w:tcPr>
            <w:tcW w:w="3250" w:type="dxa"/>
            <w:gridSpan w:val="3"/>
            <w:tcBorders>
              <w:bottom w:val="single" w:sz="4" w:space="0" w:color="auto"/>
            </w:tcBorders>
            <w:vAlign w:val="center"/>
          </w:tcPr>
          <w:p w:rsidR="00155995" w:rsidRPr="004F34A8" w:rsidRDefault="00155995" w:rsidP="00FC26CD">
            <w:pPr>
              <w:jc w:val="left"/>
              <w:rPr>
                <w:rFonts w:ascii="Arial Narrow" w:hAnsi="Arial Narrow"/>
                <w:i/>
                <w:iCs/>
                <w:sz w:val="18"/>
                <w:szCs w:val="18"/>
              </w:rPr>
            </w:pPr>
            <w:r w:rsidRPr="004F34A8">
              <w:rPr>
                <w:rFonts w:ascii="Arial Narrow" w:hAnsi="Arial Narrow"/>
                <w:i/>
                <w:iCs/>
                <w:sz w:val="18"/>
                <w:szCs w:val="18"/>
              </w:rPr>
              <w:t>ABA</w:t>
            </w:r>
            <w:r>
              <w:rPr>
                <w:rFonts w:ascii="Arial Narrow" w:hAnsi="Arial Narrow"/>
                <w:i/>
                <w:iCs/>
                <w:sz w:val="18"/>
                <w:szCs w:val="18"/>
              </w:rPr>
              <w:t xml:space="preserve"> (</w:t>
            </w:r>
            <w:proofErr w:type="spellStart"/>
            <w:r>
              <w:rPr>
                <w:rFonts w:ascii="Arial Narrow" w:hAnsi="Arial Narrow"/>
                <w:i/>
                <w:iCs/>
                <w:sz w:val="18"/>
                <w:szCs w:val="18"/>
              </w:rPr>
              <w:t>Mease</w:t>
            </w:r>
            <w:proofErr w:type="spellEnd"/>
            <w:r>
              <w:rPr>
                <w:rFonts w:ascii="Arial Narrow" w:hAnsi="Arial Narrow"/>
                <w:i/>
                <w:iCs/>
                <w:sz w:val="18"/>
                <w:szCs w:val="18"/>
              </w:rPr>
              <w:t xml:space="preserve"> 2017)</w:t>
            </w:r>
            <w:r w:rsidRPr="004F34A8">
              <w:rPr>
                <w:rFonts w:ascii="Arial Narrow" w:hAnsi="Arial Narrow"/>
                <w:i/>
                <w:iCs/>
                <w:sz w:val="18"/>
                <w:szCs w:val="18"/>
              </w:rPr>
              <w:t xml:space="preserve"> vs </w:t>
            </w:r>
            <w:r>
              <w:rPr>
                <w:rFonts w:ascii="Arial Narrow" w:hAnsi="Arial Narrow"/>
                <w:i/>
                <w:iCs/>
                <w:sz w:val="18"/>
                <w:szCs w:val="18"/>
              </w:rPr>
              <w:t>All (meta-analysis)</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2B54A9" w:rsidRDefault="00155995" w:rsidP="00FC26CD">
            <w:pPr>
              <w:jc w:val="center"/>
              <w:rPr>
                <w:rFonts w:ascii="Arial Narrow" w:hAnsi="Arial Narrow"/>
                <w:i/>
                <w:iCs/>
                <w:sz w:val="16"/>
                <w:szCs w:val="16"/>
              </w:rPr>
            </w:pPr>
            <w:r>
              <w:rPr>
                <w:rFonts w:ascii="Arial Narrow" w:hAnsi="Arial Narrow"/>
                <w:i/>
                <w:iCs/>
                <w:sz w:val="16"/>
                <w:szCs w:val="16"/>
              </w:rPr>
              <w:t>0.71 (0.38, 1.32)</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6E2DB9" w:rsidRDefault="00155995" w:rsidP="00FC26CD">
            <w:pPr>
              <w:jc w:val="center"/>
              <w:rPr>
                <w:rFonts w:ascii="Arial Narrow" w:hAnsi="Arial Narrow"/>
                <w:i/>
                <w:iCs/>
                <w:sz w:val="16"/>
                <w:szCs w:val="16"/>
              </w:rPr>
            </w:pPr>
            <w:r w:rsidRPr="006E2DB9">
              <w:rPr>
                <w:rFonts w:ascii="Arial Narrow" w:hAnsi="Arial Narrow"/>
                <w:i/>
                <w:iCs/>
                <w:sz w:val="16"/>
                <w:szCs w:val="16"/>
              </w:rPr>
              <w:t>-0.09 (-0.18, 0.00)</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4F34A8" w:rsidTr="00FC26CD">
        <w:tc>
          <w:tcPr>
            <w:tcW w:w="3250" w:type="dxa"/>
            <w:gridSpan w:val="3"/>
            <w:tcBorders>
              <w:bottom w:val="single" w:sz="4" w:space="0" w:color="auto"/>
            </w:tcBorders>
            <w:vAlign w:val="center"/>
          </w:tcPr>
          <w:p w:rsidR="00155995" w:rsidRPr="004F34A8" w:rsidRDefault="00155995" w:rsidP="00FC26CD">
            <w:pPr>
              <w:jc w:val="left"/>
              <w:rPr>
                <w:rFonts w:ascii="Arial Narrow" w:hAnsi="Arial Narrow"/>
                <w:i/>
                <w:iCs/>
                <w:sz w:val="18"/>
                <w:szCs w:val="18"/>
              </w:rPr>
            </w:pPr>
            <w:r w:rsidRPr="004F34A8">
              <w:rPr>
                <w:rFonts w:ascii="Arial Narrow" w:hAnsi="Arial Narrow"/>
                <w:b/>
                <w:bCs/>
                <w:i/>
                <w:iCs/>
                <w:sz w:val="18"/>
                <w:szCs w:val="18"/>
              </w:rPr>
              <w:t>Indirect comparisons</w:t>
            </w:r>
            <w:r>
              <w:rPr>
                <w:rFonts w:ascii="Arial Narrow" w:hAnsi="Arial Narrow"/>
                <w:b/>
                <w:bCs/>
                <w:i/>
                <w:iCs/>
                <w:sz w:val="18"/>
                <w:szCs w:val="18"/>
              </w:rPr>
              <w:t>,</w:t>
            </w:r>
            <w:r w:rsidRPr="00BD711E">
              <w:rPr>
                <w:rFonts w:ascii="Arial Narrow" w:hAnsi="Arial Narrow"/>
                <w:b/>
                <w:bCs/>
                <w:i/>
                <w:iCs/>
                <w:color w:val="FF0000"/>
                <w:sz w:val="18"/>
                <w:szCs w:val="18"/>
              </w:rPr>
              <w:t xml:space="preserve"> TNF-α experienced</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4F34A8" w:rsidRDefault="00155995" w:rsidP="00FC26CD">
            <w:pPr>
              <w:jc w:val="center"/>
              <w:rPr>
                <w:rFonts w:ascii="Arial Narrow" w:hAnsi="Arial Narrow"/>
                <w:b/>
                <w:bCs/>
                <w:i/>
                <w:iCs/>
                <w:sz w:val="16"/>
                <w:szCs w:val="16"/>
              </w:rPr>
            </w:pP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3250" w:type="dxa"/>
            <w:gridSpan w:val="3"/>
            <w:tcBorders>
              <w:bottom w:val="single" w:sz="4" w:space="0" w:color="auto"/>
            </w:tcBorders>
            <w:vAlign w:val="center"/>
          </w:tcPr>
          <w:p w:rsidR="00155995" w:rsidRPr="004F34A8" w:rsidRDefault="00155995" w:rsidP="00FC26CD">
            <w:pPr>
              <w:jc w:val="left"/>
              <w:rPr>
                <w:rFonts w:ascii="Arial Narrow" w:hAnsi="Arial Narrow"/>
                <w:i/>
                <w:iCs/>
                <w:sz w:val="18"/>
                <w:szCs w:val="18"/>
              </w:rPr>
            </w:pPr>
            <w:r w:rsidRPr="004F34A8">
              <w:rPr>
                <w:rFonts w:ascii="Arial Narrow" w:hAnsi="Arial Narrow"/>
                <w:i/>
                <w:iCs/>
                <w:sz w:val="18"/>
                <w:szCs w:val="18"/>
              </w:rPr>
              <w:t>ABA</w:t>
            </w:r>
            <w:r>
              <w:rPr>
                <w:rFonts w:ascii="Arial Narrow" w:hAnsi="Arial Narrow"/>
                <w:i/>
                <w:iCs/>
                <w:sz w:val="18"/>
                <w:szCs w:val="18"/>
              </w:rPr>
              <w:t xml:space="preserve"> (</w:t>
            </w:r>
            <w:proofErr w:type="spellStart"/>
            <w:r>
              <w:rPr>
                <w:rFonts w:ascii="Arial Narrow" w:hAnsi="Arial Narrow"/>
                <w:i/>
                <w:iCs/>
                <w:sz w:val="18"/>
                <w:szCs w:val="18"/>
              </w:rPr>
              <w:t>Mease</w:t>
            </w:r>
            <w:proofErr w:type="spellEnd"/>
            <w:r>
              <w:rPr>
                <w:rFonts w:ascii="Arial Narrow" w:hAnsi="Arial Narrow"/>
                <w:i/>
                <w:iCs/>
                <w:sz w:val="18"/>
                <w:szCs w:val="18"/>
              </w:rPr>
              <w:t xml:space="preserve"> 2017)</w:t>
            </w:r>
            <w:r w:rsidRPr="004F34A8">
              <w:rPr>
                <w:rFonts w:ascii="Arial Narrow" w:hAnsi="Arial Narrow"/>
                <w:i/>
                <w:iCs/>
                <w:sz w:val="18"/>
                <w:szCs w:val="18"/>
              </w:rPr>
              <w:t xml:space="preserve"> vs CZP (pooled)</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2B54A9" w:rsidRDefault="00155995" w:rsidP="00FC26CD">
            <w:pPr>
              <w:jc w:val="center"/>
              <w:rPr>
                <w:rFonts w:ascii="Arial Narrow" w:hAnsi="Arial Narrow"/>
                <w:i/>
                <w:iCs/>
                <w:sz w:val="16"/>
                <w:szCs w:val="16"/>
              </w:rPr>
            </w:pPr>
            <w:r w:rsidRPr="002B54A9">
              <w:rPr>
                <w:rFonts w:ascii="Arial Narrow" w:hAnsi="Arial Narrow"/>
                <w:i/>
                <w:iCs/>
                <w:sz w:val="16"/>
                <w:szCs w:val="16"/>
              </w:rPr>
              <w:t>0.20 (0.02, 1.64)</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4F34A8" w:rsidRDefault="00155995" w:rsidP="00FC26CD">
            <w:pPr>
              <w:jc w:val="center"/>
              <w:rPr>
                <w:rFonts w:ascii="Arial Narrow" w:hAnsi="Arial Narrow"/>
                <w:b/>
                <w:bCs/>
                <w:i/>
                <w:iCs/>
                <w:sz w:val="16"/>
                <w:szCs w:val="16"/>
              </w:rPr>
            </w:pPr>
            <w:r>
              <w:rPr>
                <w:rFonts w:ascii="Arial Narrow" w:hAnsi="Arial Narrow"/>
                <w:b/>
                <w:bCs/>
                <w:i/>
                <w:iCs/>
                <w:sz w:val="16"/>
                <w:szCs w:val="16"/>
              </w:rPr>
              <w:t>-0.24 (-0.40,-0.08)</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4F34A8" w:rsidTr="00FC26CD">
        <w:tc>
          <w:tcPr>
            <w:tcW w:w="3250" w:type="dxa"/>
            <w:gridSpan w:val="3"/>
            <w:tcBorders>
              <w:bottom w:val="single" w:sz="4" w:space="0" w:color="auto"/>
            </w:tcBorders>
            <w:vAlign w:val="center"/>
          </w:tcPr>
          <w:p w:rsidR="00155995" w:rsidRPr="004F34A8" w:rsidRDefault="00155995" w:rsidP="00FC26CD">
            <w:pPr>
              <w:jc w:val="left"/>
              <w:rPr>
                <w:rFonts w:ascii="Arial Narrow" w:hAnsi="Arial Narrow"/>
                <w:i/>
                <w:iCs/>
                <w:sz w:val="18"/>
                <w:szCs w:val="18"/>
              </w:rPr>
            </w:pPr>
            <w:r w:rsidRPr="004F34A8">
              <w:rPr>
                <w:rFonts w:ascii="Arial Narrow" w:hAnsi="Arial Narrow"/>
                <w:i/>
                <w:iCs/>
                <w:sz w:val="18"/>
                <w:szCs w:val="18"/>
              </w:rPr>
              <w:t>ABA</w:t>
            </w:r>
            <w:r>
              <w:rPr>
                <w:rFonts w:ascii="Arial Narrow" w:hAnsi="Arial Narrow"/>
                <w:i/>
                <w:iCs/>
                <w:sz w:val="18"/>
                <w:szCs w:val="18"/>
              </w:rPr>
              <w:t xml:space="preserve"> (</w:t>
            </w:r>
            <w:proofErr w:type="spellStart"/>
            <w:r>
              <w:rPr>
                <w:rFonts w:ascii="Arial Narrow" w:hAnsi="Arial Narrow"/>
                <w:i/>
                <w:iCs/>
                <w:sz w:val="18"/>
                <w:szCs w:val="18"/>
              </w:rPr>
              <w:t>Mease</w:t>
            </w:r>
            <w:proofErr w:type="spellEnd"/>
            <w:r>
              <w:rPr>
                <w:rFonts w:ascii="Arial Narrow" w:hAnsi="Arial Narrow"/>
                <w:i/>
                <w:iCs/>
                <w:sz w:val="18"/>
                <w:szCs w:val="18"/>
              </w:rPr>
              <w:t xml:space="preserve"> 2017) vs UST (PSUMMIT 2)</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2B54A9" w:rsidRDefault="00155995" w:rsidP="00FC26CD">
            <w:pPr>
              <w:jc w:val="center"/>
              <w:rPr>
                <w:rFonts w:ascii="Arial Narrow" w:hAnsi="Arial Narrow"/>
                <w:i/>
                <w:iCs/>
                <w:sz w:val="16"/>
                <w:szCs w:val="16"/>
              </w:rPr>
            </w:pPr>
            <w:r w:rsidRPr="002B54A9">
              <w:rPr>
                <w:rFonts w:ascii="Arial Narrow" w:hAnsi="Arial Narrow"/>
                <w:i/>
                <w:iCs/>
                <w:sz w:val="16"/>
                <w:szCs w:val="16"/>
              </w:rPr>
              <w:t>1.14 (0.29, 4.44)</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2B54A9" w:rsidRDefault="00155995" w:rsidP="00FC26CD">
            <w:pPr>
              <w:jc w:val="center"/>
              <w:rPr>
                <w:rFonts w:ascii="Arial Narrow" w:hAnsi="Arial Narrow"/>
                <w:i/>
                <w:iCs/>
                <w:sz w:val="16"/>
                <w:szCs w:val="16"/>
              </w:rPr>
            </w:pPr>
            <w:r w:rsidRPr="002B54A9">
              <w:rPr>
                <w:rFonts w:ascii="Arial Narrow" w:hAnsi="Arial Narrow"/>
                <w:i/>
                <w:iCs/>
                <w:sz w:val="16"/>
                <w:szCs w:val="16"/>
              </w:rPr>
              <w:t>0.01 (-0.12, 0.14)</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4F34A8" w:rsidTr="00FC26CD">
        <w:tc>
          <w:tcPr>
            <w:tcW w:w="3250" w:type="dxa"/>
            <w:gridSpan w:val="3"/>
            <w:tcBorders>
              <w:bottom w:val="single" w:sz="4" w:space="0" w:color="auto"/>
            </w:tcBorders>
            <w:vAlign w:val="center"/>
          </w:tcPr>
          <w:p w:rsidR="00155995" w:rsidRPr="004F34A8" w:rsidRDefault="00155995" w:rsidP="00FC26CD">
            <w:pPr>
              <w:jc w:val="left"/>
              <w:rPr>
                <w:rFonts w:ascii="Arial Narrow" w:hAnsi="Arial Narrow"/>
                <w:i/>
                <w:iCs/>
                <w:sz w:val="18"/>
                <w:szCs w:val="18"/>
              </w:rPr>
            </w:pPr>
            <w:r w:rsidRPr="004F34A8">
              <w:rPr>
                <w:rFonts w:ascii="Arial Narrow" w:hAnsi="Arial Narrow"/>
                <w:i/>
                <w:iCs/>
                <w:sz w:val="18"/>
                <w:szCs w:val="18"/>
              </w:rPr>
              <w:t>ABA</w:t>
            </w:r>
            <w:r>
              <w:rPr>
                <w:rFonts w:ascii="Arial Narrow" w:hAnsi="Arial Narrow"/>
                <w:i/>
                <w:iCs/>
                <w:sz w:val="18"/>
                <w:szCs w:val="18"/>
              </w:rPr>
              <w:t xml:space="preserve"> (</w:t>
            </w:r>
            <w:proofErr w:type="spellStart"/>
            <w:r>
              <w:rPr>
                <w:rFonts w:ascii="Arial Narrow" w:hAnsi="Arial Narrow"/>
                <w:i/>
                <w:iCs/>
                <w:sz w:val="18"/>
                <w:szCs w:val="18"/>
              </w:rPr>
              <w:t>Mease</w:t>
            </w:r>
            <w:proofErr w:type="spellEnd"/>
            <w:r>
              <w:rPr>
                <w:rFonts w:ascii="Arial Narrow" w:hAnsi="Arial Narrow"/>
                <w:i/>
                <w:iCs/>
                <w:sz w:val="18"/>
                <w:szCs w:val="18"/>
              </w:rPr>
              <w:t xml:space="preserve"> 2017) vs SEC</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Pr="002B54A9" w:rsidRDefault="00155995" w:rsidP="00FC26CD">
            <w:pPr>
              <w:jc w:val="center"/>
              <w:rPr>
                <w:rFonts w:ascii="Arial Narrow" w:hAnsi="Arial Narrow"/>
                <w:i/>
                <w:iCs/>
                <w:sz w:val="16"/>
                <w:szCs w:val="16"/>
              </w:rPr>
            </w:pPr>
            <w:r>
              <w:rPr>
                <w:rFonts w:ascii="Arial Narrow" w:hAnsi="Arial Narrow"/>
                <w:i/>
                <w:iCs/>
                <w:sz w:val="16"/>
                <w:szCs w:val="16"/>
              </w:rPr>
              <w:t>-</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Pr="002B54A9" w:rsidRDefault="00155995" w:rsidP="00FC26CD">
            <w:pPr>
              <w:jc w:val="center"/>
              <w:rPr>
                <w:rFonts w:ascii="Arial Narrow" w:hAnsi="Arial Narrow"/>
                <w:i/>
                <w:iCs/>
                <w:sz w:val="16"/>
                <w:szCs w:val="16"/>
              </w:rPr>
            </w:pPr>
            <w:r>
              <w:rPr>
                <w:rFonts w:ascii="Arial Narrow" w:hAnsi="Arial Narrow"/>
                <w:i/>
                <w:iCs/>
                <w:sz w:val="16"/>
                <w:szCs w:val="16"/>
              </w:rPr>
              <w:t>-</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p>
        </w:tc>
      </w:tr>
      <w:tr w:rsidR="00155995" w:rsidRPr="004F34A8" w:rsidTr="00FC26CD">
        <w:tc>
          <w:tcPr>
            <w:tcW w:w="3250" w:type="dxa"/>
            <w:gridSpan w:val="3"/>
            <w:tcBorders>
              <w:bottom w:val="single" w:sz="4" w:space="0" w:color="auto"/>
            </w:tcBorders>
            <w:vAlign w:val="center"/>
          </w:tcPr>
          <w:p w:rsidR="00155995" w:rsidRPr="004F34A8" w:rsidRDefault="00155995" w:rsidP="00FC26CD">
            <w:pPr>
              <w:jc w:val="left"/>
              <w:rPr>
                <w:rFonts w:ascii="Arial Narrow" w:hAnsi="Arial Narrow"/>
                <w:i/>
                <w:iCs/>
                <w:sz w:val="18"/>
                <w:szCs w:val="18"/>
              </w:rPr>
            </w:pPr>
            <w:r w:rsidRPr="004F34A8">
              <w:rPr>
                <w:rFonts w:ascii="Arial Narrow" w:hAnsi="Arial Narrow"/>
                <w:i/>
                <w:iCs/>
                <w:sz w:val="18"/>
                <w:szCs w:val="18"/>
              </w:rPr>
              <w:t>ABA</w:t>
            </w:r>
            <w:r>
              <w:rPr>
                <w:rFonts w:ascii="Arial Narrow" w:hAnsi="Arial Narrow"/>
                <w:i/>
                <w:iCs/>
                <w:sz w:val="18"/>
                <w:szCs w:val="18"/>
              </w:rPr>
              <w:t xml:space="preserve"> (</w:t>
            </w:r>
            <w:proofErr w:type="spellStart"/>
            <w:r>
              <w:rPr>
                <w:rFonts w:ascii="Arial Narrow" w:hAnsi="Arial Narrow"/>
                <w:i/>
                <w:iCs/>
                <w:sz w:val="18"/>
                <w:szCs w:val="18"/>
              </w:rPr>
              <w:t>Mease</w:t>
            </w:r>
            <w:proofErr w:type="spellEnd"/>
            <w:r>
              <w:rPr>
                <w:rFonts w:ascii="Arial Narrow" w:hAnsi="Arial Narrow"/>
                <w:i/>
                <w:iCs/>
                <w:sz w:val="18"/>
                <w:szCs w:val="18"/>
              </w:rPr>
              <w:t xml:space="preserve"> 2017)</w:t>
            </w:r>
            <w:r w:rsidRPr="004F34A8">
              <w:rPr>
                <w:rFonts w:ascii="Arial Narrow" w:hAnsi="Arial Narrow"/>
                <w:i/>
                <w:iCs/>
                <w:sz w:val="18"/>
                <w:szCs w:val="18"/>
              </w:rPr>
              <w:t xml:space="preserve"> vs </w:t>
            </w:r>
            <w:r>
              <w:rPr>
                <w:rFonts w:ascii="Arial Narrow" w:hAnsi="Arial Narrow"/>
                <w:i/>
                <w:iCs/>
                <w:sz w:val="18"/>
                <w:szCs w:val="18"/>
              </w:rPr>
              <w:t>All (meta-analysis)</w:t>
            </w: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bottom w:val="nil"/>
            </w:tcBorders>
            <w:vAlign w:val="center"/>
          </w:tcPr>
          <w:p w:rsidR="00155995" w:rsidRDefault="00155995" w:rsidP="00FC26CD">
            <w:pPr>
              <w:jc w:val="center"/>
              <w:rPr>
                <w:rFonts w:ascii="Arial Narrow" w:hAnsi="Arial Narrow"/>
                <w:i/>
                <w:iCs/>
                <w:sz w:val="16"/>
                <w:szCs w:val="16"/>
              </w:rPr>
            </w:pPr>
            <w:r>
              <w:rPr>
                <w:rFonts w:ascii="Arial Narrow" w:hAnsi="Arial Narrow"/>
                <w:i/>
                <w:iCs/>
                <w:sz w:val="16"/>
                <w:szCs w:val="16"/>
              </w:rPr>
              <w:t>0.56 (0.08, 4.08)</w:t>
            </w: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bottom w:val="nil"/>
              <w:right w:val="single" w:sz="4" w:space="0" w:color="auto"/>
            </w:tcBorders>
            <w:vAlign w:val="center"/>
          </w:tcPr>
          <w:p w:rsidR="00155995" w:rsidRDefault="00155995" w:rsidP="00FC26CD">
            <w:pPr>
              <w:jc w:val="center"/>
              <w:rPr>
                <w:rFonts w:ascii="Arial Narrow" w:hAnsi="Arial Narrow"/>
                <w:i/>
                <w:iCs/>
                <w:sz w:val="16"/>
                <w:szCs w:val="16"/>
              </w:rPr>
            </w:pPr>
            <w:r>
              <w:rPr>
                <w:rFonts w:ascii="Arial Narrow" w:hAnsi="Arial Narrow"/>
                <w:i/>
                <w:iCs/>
                <w:sz w:val="16"/>
                <w:szCs w:val="16"/>
              </w:rPr>
              <w:t>-0.11 (-0.37,0.15)</w:t>
            </w:r>
          </w:p>
        </w:tc>
        <w:tc>
          <w:tcPr>
            <w:tcW w:w="688" w:type="dxa"/>
            <w:tcBorders>
              <w:top w:val="nil"/>
              <w:left w:val="single" w:sz="4" w:space="0" w:color="auto"/>
              <w:bottom w:val="nil"/>
              <w:right w:val="single" w:sz="4" w:space="0" w:color="auto"/>
            </w:tcBorders>
            <w:vAlign w:val="center"/>
          </w:tcPr>
          <w:p w:rsidR="00155995" w:rsidRPr="004F34A8"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4F34A8" w:rsidTr="00FC26CD">
        <w:tc>
          <w:tcPr>
            <w:tcW w:w="3250" w:type="dxa"/>
            <w:gridSpan w:val="3"/>
            <w:tcBorders>
              <w:left w:val="nil"/>
              <w:bottom w:val="nil"/>
            </w:tcBorders>
          </w:tcPr>
          <w:p w:rsidR="00155995" w:rsidRPr="004F34A8" w:rsidRDefault="00155995" w:rsidP="00FC26CD">
            <w:pPr>
              <w:jc w:val="center"/>
              <w:rPr>
                <w:rFonts w:ascii="Arial Narrow" w:hAnsi="Arial Narrow"/>
                <w:i/>
                <w:iCs/>
                <w:sz w:val="18"/>
                <w:szCs w:val="18"/>
              </w:rPr>
            </w:pPr>
          </w:p>
        </w:tc>
        <w:tc>
          <w:tcPr>
            <w:tcW w:w="1372"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201" w:type="dxa"/>
            <w:tcBorders>
              <w:top w:val="nil"/>
              <w:left w:val="nil"/>
            </w:tcBorders>
            <w:vAlign w:val="center"/>
          </w:tcPr>
          <w:p w:rsidR="00155995" w:rsidRPr="004F34A8" w:rsidRDefault="00155995" w:rsidP="00FC26CD">
            <w:pPr>
              <w:jc w:val="center"/>
              <w:rPr>
                <w:rFonts w:ascii="Arial Narrow" w:hAnsi="Arial Narrow"/>
                <w:i/>
                <w:iCs/>
                <w:sz w:val="16"/>
                <w:szCs w:val="16"/>
              </w:rPr>
            </w:pPr>
          </w:p>
        </w:tc>
        <w:tc>
          <w:tcPr>
            <w:tcW w:w="1387" w:type="dxa"/>
            <w:vMerge/>
            <w:tcBorders>
              <w:right w:val="nil"/>
            </w:tcBorders>
            <w:vAlign w:val="center"/>
          </w:tcPr>
          <w:p w:rsidR="00155995" w:rsidRPr="004F34A8" w:rsidRDefault="00155995" w:rsidP="00FC26CD">
            <w:pPr>
              <w:jc w:val="center"/>
              <w:rPr>
                <w:rFonts w:ascii="Arial Narrow" w:hAnsi="Arial Narrow"/>
                <w:i/>
                <w:iCs/>
                <w:sz w:val="18"/>
                <w:szCs w:val="18"/>
              </w:rPr>
            </w:pPr>
          </w:p>
        </w:tc>
        <w:tc>
          <w:tcPr>
            <w:tcW w:w="1119" w:type="dxa"/>
            <w:tcBorders>
              <w:top w:val="nil"/>
              <w:left w:val="nil"/>
              <w:right w:val="single" w:sz="4" w:space="0" w:color="auto"/>
            </w:tcBorders>
            <w:vAlign w:val="center"/>
          </w:tcPr>
          <w:p w:rsidR="00155995" w:rsidRPr="004F34A8" w:rsidRDefault="00155995" w:rsidP="00FC26CD">
            <w:pPr>
              <w:jc w:val="center"/>
              <w:rPr>
                <w:rFonts w:ascii="Arial Narrow" w:hAnsi="Arial Narrow"/>
                <w:i/>
                <w:iCs/>
                <w:sz w:val="16"/>
                <w:szCs w:val="16"/>
              </w:rPr>
            </w:pPr>
          </w:p>
        </w:tc>
        <w:tc>
          <w:tcPr>
            <w:tcW w:w="688" w:type="dxa"/>
            <w:tcBorders>
              <w:top w:val="nil"/>
              <w:left w:val="single" w:sz="4" w:space="0" w:color="auto"/>
              <w:bottom w:val="single" w:sz="4" w:space="0" w:color="auto"/>
              <w:right w:val="single" w:sz="4" w:space="0" w:color="auto"/>
            </w:tcBorders>
            <w:vAlign w:val="center"/>
          </w:tcPr>
          <w:p w:rsidR="00155995" w:rsidRPr="004F34A8" w:rsidRDefault="00155995" w:rsidP="00FC26CD">
            <w:pPr>
              <w:jc w:val="center"/>
              <w:rPr>
                <w:rFonts w:ascii="Arial Narrow" w:hAnsi="Arial Narrow"/>
                <w:i/>
                <w:iCs/>
                <w:sz w:val="18"/>
                <w:szCs w:val="18"/>
              </w:rPr>
            </w:pPr>
          </w:p>
        </w:tc>
      </w:tr>
    </w:tbl>
    <w:p w:rsidR="00B051E4" w:rsidRDefault="00B051E4" w:rsidP="00155995">
      <w:pPr>
        <w:widowControl/>
        <w:rPr>
          <w:rFonts w:ascii="Arial Narrow" w:hAnsi="Arial Narrow"/>
          <w:i/>
          <w:iCs/>
          <w:color w:val="000000" w:themeColor="text1"/>
          <w:sz w:val="18"/>
          <w:szCs w:val="16"/>
        </w:rPr>
      </w:pPr>
      <w:r>
        <w:rPr>
          <w:rFonts w:ascii="Arial Narrow" w:hAnsi="Arial Narrow"/>
          <w:i/>
          <w:iCs/>
          <w:color w:val="000000" w:themeColor="text1"/>
          <w:sz w:val="18"/>
          <w:szCs w:val="16"/>
        </w:rPr>
        <w:t xml:space="preserve">Abbreviations: ABA = </w:t>
      </w:r>
      <w:proofErr w:type="spellStart"/>
      <w:r>
        <w:rPr>
          <w:rFonts w:ascii="Arial Narrow" w:hAnsi="Arial Narrow"/>
          <w:i/>
          <w:iCs/>
          <w:color w:val="000000" w:themeColor="text1"/>
          <w:sz w:val="18"/>
          <w:szCs w:val="16"/>
        </w:rPr>
        <w:t>abatacept</w:t>
      </w:r>
      <w:proofErr w:type="spellEnd"/>
      <w:r>
        <w:rPr>
          <w:rFonts w:ascii="Arial Narrow" w:hAnsi="Arial Narrow"/>
          <w:i/>
          <w:iCs/>
          <w:color w:val="000000" w:themeColor="text1"/>
          <w:sz w:val="18"/>
          <w:szCs w:val="16"/>
        </w:rPr>
        <w:t xml:space="preserve">; CZP = </w:t>
      </w:r>
      <w:proofErr w:type="spellStart"/>
      <w:r>
        <w:rPr>
          <w:rFonts w:ascii="Arial Narrow" w:hAnsi="Arial Narrow"/>
          <w:i/>
          <w:iCs/>
          <w:color w:val="000000" w:themeColor="text1"/>
          <w:sz w:val="18"/>
          <w:szCs w:val="16"/>
        </w:rPr>
        <w:t>certolizumab</w:t>
      </w:r>
      <w:proofErr w:type="spellEnd"/>
      <w:r>
        <w:rPr>
          <w:rFonts w:ascii="Arial Narrow" w:hAnsi="Arial Narrow"/>
          <w:i/>
          <w:iCs/>
          <w:color w:val="000000" w:themeColor="text1"/>
          <w:sz w:val="18"/>
          <w:szCs w:val="16"/>
        </w:rPr>
        <w:t xml:space="preserve"> </w:t>
      </w:r>
      <w:proofErr w:type="spellStart"/>
      <w:r>
        <w:rPr>
          <w:rFonts w:ascii="Arial Narrow" w:hAnsi="Arial Narrow"/>
          <w:i/>
          <w:iCs/>
          <w:color w:val="000000" w:themeColor="text1"/>
          <w:sz w:val="18"/>
          <w:szCs w:val="16"/>
        </w:rPr>
        <w:t>pegol</w:t>
      </w:r>
      <w:proofErr w:type="spellEnd"/>
      <w:r>
        <w:rPr>
          <w:rFonts w:ascii="Arial Narrow" w:hAnsi="Arial Narrow"/>
          <w:i/>
          <w:iCs/>
          <w:color w:val="000000" w:themeColor="text1"/>
          <w:sz w:val="18"/>
          <w:szCs w:val="16"/>
        </w:rPr>
        <w:t xml:space="preserve">; UST = ustekinumab; SEC = secukinumab; TNFα = </w:t>
      </w:r>
      <w:r w:rsidRPr="00BA76A0">
        <w:rPr>
          <w:rFonts w:ascii="Arial Narrow" w:hAnsi="Arial Narrow"/>
          <w:i/>
          <w:iCs/>
          <w:sz w:val="18"/>
          <w:szCs w:val="18"/>
        </w:rPr>
        <w:t>tumour necrosis factor</w:t>
      </w:r>
      <w:r>
        <w:rPr>
          <w:rFonts w:ascii="Arial Narrow" w:hAnsi="Arial Narrow"/>
          <w:i/>
          <w:iCs/>
          <w:sz w:val="18"/>
          <w:szCs w:val="18"/>
        </w:rPr>
        <w:t xml:space="preserve"> alpha; NR = not reported</w:t>
      </w:r>
    </w:p>
    <w:p w:rsidR="00155995" w:rsidRPr="00BB18E5" w:rsidRDefault="00155995" w:rsidP="00155995">
      <w:pPr>
        <w:widowControl/>
        <w:rPr>
          <w:rFonts w:ascii="Arial Narrow" w:hAnsi="Arial Narrow"/>
          <w:i/>
          <w:iCs/>
          <w:color w:val="000000" w:themeColor="text1"/>
          <w:sz w:val="18"/>
          <w:szCs w:val="16"/>
        </w:rPr>
      </w:pPr>
      <w:r w:rsidRPr="00BB18E5">
        <w:rPr>
          <w:rFonts w:ascii="Arial Narrow" w:hAnsi="Arial Narrow"/>
          <w:i/>
          <w:iCs/>
          <w:color w:val="000000" w:themeColor="text1"/>
          <w:sz w:val="18"/>
          <w:szCs w:val="16"/>
        </w:rPr>
        <w:t xml:space="preserve">Source: constructed during the evaluation based on trial publications. ABA results from p174 of “Round 2 Clinical Evaluation Report – </w:t>
      </w:r>
      <w:proofErr w:type="spellStart"/>
      <w:r w:rsidRPr="00BB18E5">
        <w:rPr>
          <w:rFonts w:ascii="Arial Narrow" w:hAnsi="Arial Narrow"/>
          <w:i/>
          <w:iCs/>
          <w:color w:val="000000" w:themeColor="text1"/>
          <w:sz w:val="18"/>
          <w:szCs w:val="16"/>
        </w:rPr>
        <w:t>abatacept</w:t>
      </w:r>
      <w:proofErr w:type="spellEnd"/>
      <w:r w:rsidRPr="00BB18E5">
        <w:rPr>
          <w:rFonts w:ascii="Arial Narrow" w:hAnsi="Arial Narrow"/>
          <w:i/>
          <w:iCs/>
          <w:color w:val="000000" w:themeColor="text1"/>
          <w:sz w:val="18"/>
          <w:szCs w:val="16"/>
        </w:rPr>
        <w:t xml:space="preserve">”; CZP results from Figures 2 and 3, </w:t>
      </w:r>
      <w:proofErr w:type="spellStart"/>
      <w:r w:rsidRPr="00BB18E5">
        <w:rPr>
          <w:rFonts w:ascii="Arial Narrow" w:hAnsi="Arial Narrow"/>
          <w:i/>
          <w:iCs/>
          <w:color w:val="000000" w:themeColor="text1"/>
          <w:sz w:val="18"/>
          <w:szCs w:val="16"/>
        </w:rPr>
        <w:t>Mease</w:t>
      </w:r>
      <w:proofErr w:type="spellEnd"/>
      <w:r w:rsidRPr="00BB18E5">
        <w:rPr>
          <w:rFonts w:ascii="Arial Narrow" w:hAnsi="Arial Narrow"/>
          <w:i/>
          <w:iCs/>
          <w:color w:val="000000" w:themeColor="text1"/>
          <w:sz w:val="18"/>
          <w:szCs w:val="16"/>
        </w:rPr>
        <w:t xml:space="preserve"> et al 2014; SEC results from Figure 2, </w:t>
      </w:r>
      <w:proofErr w:type="spellStart"/>
      <w:r w:rsidRPr="00BB18E5">
        <w:rPr>
          <w:rFonts w:ascii="Arial Narrow" w:hAnsi="Arial Narrow"/>
          <w:i/>
          <w:iCs/>
          <w:color w:val="000000" w:themeColor="text1"/>
          <w:sz w:val="18"/>
          <w:szCs w:val="16"/>
        </w:rPr>
        <w:t>McInnes</w:t>
      </w:r>
      <w:proofErr w:type="spellEnd"/>
      <w:r w:rsidRPr="00BB18E5">
        <w:rPr>
          <w:rFonts w:ascii="Arial Narrow" w:hAnsi="Arial Narrow"/>
          <w:i/>
          <w:iCs/>
          <w:color w:val="000000" w:themeColor="text1"/>
          <w:sz w:val="18"/>
          <w:szCs w:val="16"/>
        </w:rPr>
        <w:t xml:space="preserve"> et al 2015;</w:t>
      </w:r>
    </w:p>
    <w:p w:rsidR="00155995" w:rsidRPr="00BB18E5" w:rsidRDefault="00155995" w:rsidP="000170DB">
      <w:pPr>
        <w:widowControl/>
        <w:rPr>
          <w:rFonts w:ascii="Arial Narrow" w:hAnsi="Arial Narrow"/>
          <w:i/>
          <w:iCs/>
          <w:color w:val="000000" w:themeColor="text1"/>
          <w:sz w:val="18"/>
          <w:szCs w:val="16"/>
        </w:rPr>
      </w:pPr>
      <w:r w:rsidRPr="00BB18E5">
        <w:rPr>
          <w:rFonts w:ascii="Arial Narrow" w:hAnsi="Arial Narrow"/>
          <w:i/>
          <w:iCs/>
          <w:color w:val="000000" w:themeColor="text1"/>
          <w:sz w:val="18"/>
          <w:szCs w:val="16"/>
        </w:rPr>
        <w:t>Bolded values reached statistical significance p&lt;0.05</w:t>
      </w:r>
      <w:r w:rsidR="000170DB">
        <w:rPr>
          <w:rFonts w:ascii="Arial Narrow" w:hAnsi="Arial Narrow"/>
          <w:i/>
          <w:iCs/>
          <w:color w:val="000000" w:themeColor="text1"/>
          <w:sz w:val="18"/>
          <w:szCs w:val="16"/>
        </w:rPr>
        <w:t xml:space="preserve">; </w:t>
      </w:r>
      <w:r w:rsidRPr="00BB18E5">
        <w:rPr>
          <w:rFonts w:ascii="Arial Narrow" w:hAnsi="Arial Narrow"/>
          <w:i/>
          <w:iCs/>
          <w:color w:val="000000" w:themeColor="text1"/>
          <w:sz w:val="18"/>
          <w:szCs w:val="16"/>
        </w:rPr>
        <w:t>Italics indicates estimates corrected or performed during the evaluation.</w:t>
      </w:r>
    </w:p>
    <w:p w:rsidR="00D4078B" w:rsidRDefault="00D4078B" w:rsidP="00155995">
      <w:pPr>
        <w:widowControl/>
        <w:rPr>
          <w:color w:val="3366FF"/>
        </w:rPr>
        <w:sectPr w:rsidR="00D4078B" w:rsidSect="00E21358">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pPr>
    </w:p>
    <w:p w:rsidR="00155995" w:rsidRPr="00BB18E5" w:rsidRDefault="00155995" w:rsidP="00155995">
      <w:pPr>
        <w:widowControl/>
        <w:rPr>
          <w:rFonts w:ascii="Arial Narrow" w:hAnsi="Arial Narrow"/>
          <w:b/>
          <w:bCs/>
          <w:i/>
          <w:iCs/>
          <w:color w:val="000000" w:themeColor="text1"/>
          <w:sz w:val="20"/>
          <w:szCs w:val="18"/>
        </w:rPr>
      </w:pPr>
      <w:r>
        <w:rPr>
          <w:rFonts w:ascii="Arial Narrow" w:hAnsi="Arial Narrow"/>
          <w:b/>
          <w:bCs/>
          <w:i/>
          <w:iCs/>
          <w:color w:val="000000" w:themeColor="text1"/>
          <w:sz w:val="20"/>
          <w:szCs w:val="18"/>
        </w:rPr>
        <w:t>Table 6</w:t>
      </w:r>
      <w:r w:rsidRPr="00BB18E5">
        <w:rPr>
          <w:rFonts w:ascii="Arial Narrow" w:hAnsi="Arial Narrow"/>
          <w:b/>
          <w:bCs/>
          <w:i/>
          <w:iCs/>
          <w:color w:val="000000" w:themeColor="text1"/>
          <w:sz w:val="20"/>
          <w:szCs w:val="18"/>
        </w:rPr>
        <w:t xml:space="preserve">: ACR20 response at 12 or 24 weeks across the trials, in the ITT and TNF-α experienced </w:t>
      </w:r>
      <w:proofErr w:type="gramStart"/>
      <w:r w:rsidRPr="00BB18E5">
        <w:rPr>
          <w:rFonts w:ascii="Arial Narrow" w:hAnsi="Arial Narrow"/>
          <w:b/>
          <w:bCs/>
          <w:i/>
          <w:iCs/>
          <w:color w:val="000000" w:themeColor="text1"/>
          <w:sz w:val="20"/>
          <w:szCs w:val="18"/>
        </w:rPr>
        <w:t>populations</w:t>
      </w:r>
      <w:proofErr w:type="gramEnd"/>
    </w:p>
    <w:tbl>
      <w:tblPr>
        <w:tblStyle w:val="TableGrid"/>
        <w:tblW w:w="0" w:type="auto"/>
        <w:tblCellMar>
          <w:left w:w="28" w:type="dxa"/>
          <w:right w:w="28" w:type="dxa"/>
        </w:tblCellMar>
        <w:tblLook w:val="04A0" w:firstRow="1" w:lastRow="0" w:firstColumn="1" w:lastColumn="0" w:noHBand="0" w:noVBand="1"/>
        <w:tblCaption w:val="Table 6: ACR20 response at 12 or 24 weeks across the trials, in the ITT and TNF-α experienced populations"/>
      </w:tblPr>
      <w:tblGrid>
        <w:gridCol w:w="1432"/>
        <w:gridCol w:w="919"/>
        <w:gridCol w:w="917"/>
        <w:gridCol w:w="1400"/>
        <w:gridCol w:w="1122"/>
        <w:gridCol w:w="1411"/>
        <w:gridCol w:w="1126"/>
        <w:gridCol w:w="690"/>
      </w:tblGrid>
      <w:tr w:rsidR="00155995" w:rsidRPr="00A06D36" w:rsidTr="006B74B3">
        <w:trPr>
          <w:tblHeader/>
        </w:trPr>
        <w:tc>
          <w:tcPr>
            <w:tcW w:w="1432" w:type="dxa"/>
            <w:vAlign w:val="center"/>
          </w:tcPr>
          <w:p w:rsidR="00155995" w:rsidRPr="00A06D36" w:rsidRDefault="00155995" w:rsidP="00FC26CD">
            <w:pPr>
              <w:jc w:val="left"/>
              <w:rPr>
                <w:rFonts w:ascii="Arial Narrow" w:hAnsi="Arial Narrow"/>
                <w:b/>
                <w:bCs/>
                <w:i/>
                <w:iCs/>
                <w:sz w:val="18"/>
                <w:szCs w:val="18"/>
              </w:rPr>
            </w:pPr>
            <w:r w:rsidRPr="00A06D36">
              <w:rPr>
                <w:rFonts w:ascii="Arial Narrow" w:hAnsi="Arial Narrow"/>
                <w:b/>
                <w:bCs/>
                <w:i/>
                <w:iCs/>
                <w:sz w:val="18"/>
                <w:szCs w:val="18"/>
              </w:rPr>
              <w:t>Trial</w:t>
            </w:r>
          </w:p>
        </w:tc>
        <w:tc>
          <w:tcPr>
            <w:tcW w:w="919" w:type="dxa"/>
            <w:vAlign w:val="center"/>
          </w:tcPr>
          <w:p w:rsidR="00155995" w:rsidRPr="00A06D36" w:rsidRDefault="00155995" w:rsidP="00FC26CD">
            <w:pPr>
              <w:jc w:val="center"/>
              <w:rPr>
                <w:rFonts w:ascii="Arial Narrow" w:hAnsi="Arial Narrow"/>
                <w:b/>
                <w:bCs/>
                <w:i/>
                <w:iCs/>
                <w:sz w:val="18"/>
                <w:szCs w:val="18"/>
              </w:rPr>
            </w:pPr>
            <w:r w:rsidRPr="00A06D36">
              <w:rPr>
                <w:rFonts w:ascii="Arial Narrow" w:hAnsi="Arial Narrow"/>
                <w:b/>
                <w:bCs/>
                <w:i/>
                <w:iCs/>
                <w:sz w:val="18"/>
                <w:szCs w:val="18"/>
              </w:rPr>
              <w:t>Drug</w:t>
            </w:r>
          </w:p>
          <w:p w:rsidR="00155995" w:rsidRPr="00A06D36" w:rsidRDefault="00155995" w:rsidP="00FC26CD">
            <w:pPr>
              <w:jc w:val="center"/>
              <w:rPr>
                <w:rFonts w:ascii="Arial Narrow" w:hAnsi="Arial Narrow"/>
                <w:b/>
                <w:bCs/>
                <w:i/>
                <w:iCs/>
                <w:sz w:val="18"/>
                <w:szCs w:val="18"/>
              </w:rPr>
            </w:pPr>
            <w:proofErr w:type="gramStart"/>
            <w:r w:rsidRPr="00A06D36">
              <w:rPr>
                <w:rFonts w:ascii="Arial Narrow" w:hAnsi="Arial Narrow"/>
                <w:b/>
                <w:bCs/>
                <w:i/>
                <w:iCs/>
                <w:sz w:val="18"/>
                <w:szCs w:val="18"/>
              </w:rPr>
              <w:t>n/N</w:t>
            </w:r>
            <w:proofErr w:type="gramEnd"/>
            <w:r w:rsidRPr="00A06D36">
              <w:rPr>
                <w:rFonts w:ascii="Arial Narrow" w:hAnsi="Arial Narrow"/>
                <w:b/>
                <w:bCs/>
                <w:i/>
                <w:iCs/>
                <w:sz w:val="18"/>
                <w:szCs w:val="18"/>
              </w:rPr>
              <w:t xml:space="preserve"> (%)</w:t>
            </w:r>
          </w:p>
        </w:tc>
        <w:tc>
          <w:tcPr>
            <w:tcW w:w="917" w:type="dxa"/>
            <w:vAlign w:val="center"/>
          </w:tcPr>
          <w:p w:rsidR="00155995" w:rsidRPr="00A06D36" w:rsidRDefault="00155995" w:rsidP="00FC26CD">
            <w:pPr>
              <w:jc w:val="center"/>
              <w:rPr>
                <w:rFonts w:ascii="Arial Narrow" w:hAnsi="Arial Narrow"/>
                <w:b/>
                <w:bCs/>
                <w:i/>
                <w:iCs/>
                <w:sz w:val="18"/>
                <w:szCs w:val="18"/>
              </w:rPr>
            </w:pPr>
            <w:r w:rsidRPr="00A06D36">
              <w:rPr>
                <w:rFonts w:ascii="Arial Narrow" w:hAnsi="Arial Narrow"/>
                <w:b/>
                <w:bCs/>
                <w:i/>
                <w:iCs/>
                <w:sz w:val="18"/>
                <w:szCs w:val="18"/>
              </w:rPr>
              <w:t xml:space="preserve">Placebo </w:t>
            </w:r>
          </w:p>
          <w:p w:rsidR="00155995" w:rsidRPr="00A06D36" w:rsidRDefault="00155995" w:rsidP="00FC26CD">
            <w:pPr>
              <w:jc w:val="center"/>
              <w:rPr>
                <w:rFonts w:ascii="Arial Narrow" w:hAnsi="Arial Narrow"/>
                <w:b/>
                <w:bCs/>
                <w:i/>
                <w:iCs/>
                <w:sz w:val="18"/>
                <w:szCs w:val="18"/>
              </w:rPr>
            </w:pPr>
            <w:proofErr w:type="gramStart"/>
            <w:r w:rsidRPr="00A06D36">
              <w:rPr>
                <w:rFonts w:ascii="Arial Narrow" w:hAnsi="Arial Narrow"/>
                <w:b/>
                <w:bCs/>
                <w:i/>
                <w:iCs/>
                <w:sz w:val="18"/>
                <w:szCs w:val="18"/>
              </w:rPr>
              <w:t>n/N</w:t>
            </w:r>
            <w:proofErr w:type="gramEnd"/>
            <w:r w:rsidRPr="00A06D36">
              <w:rPr>
                <w:rFonts w:ascii="Arial Narrow" w:hAnsi="Arial Narrow"/>
                <w:b/>
                <w:bCs/>
                <w:i/>
                <w:iCs/>
                <w:sz w:val="18"/>
                <w:szCs w:val="18"/>
              </w:rPr>
              <w:t xml:space="preserve"> (%)</w:t>
            </w:r>
          </w:p>
        </w:tc>
        <w:tc>
          <w:tcPr>
            <w:tcW w:w="2522" w:type="dxa"/>
            <w:gridSpan w:val="2"/>
            <w:vAlign w:val="center"/>
          </w:tcPr>
          <w:p w:rsidR="00155995" w:rsidRPr="00A06D36" w:rsidRDefault="00155995" w:rsidP="00FC26CD">
            <w:pPr>
              <w:jc w:val="center"/>
              <w:rPr>
                <w:rFonts w:ascii="Arial Narrow" w:hAnsi="Arial Narrow"/>
                <w:b/>
                <w:bCs/>
                <w:i/>
                <w:iCs/>
                <w:sz w:val="18"/>
                <w:szCs w:val="18"/>
              </w:rPr>
            </w:pPr>
            <w:r w:rsidRPr="00A06D36">
              <w:rPr>
                <w:rFonts w:ascii="Arial Narrow" w:hAnsi="Arial Narrow"/>
                <w:b/>
                <w:bCs/>
                <w:i/>
                <w:iCs/>
                <w:sz w:val="18"/>
                <w:szCs w:val="18"/>
              </w:rPr>
              <w:t>RR (95%CI)</w:t>
            </w:r>
          </w:p>
        </w:tc>
        <w:tc>
          <w:tcPr>
            <w:tcW w:w="2537" w:type="dxa"/>
            <w:gridSpan w:val="2"/>
            <w:vAlign w:val="center"/>
          </w:tcPr>
          <w:p w:rsidR="00155995" w:rsidRPr="00A06D36" w:rsidRDefault="00155995" w:rsidP="00FC26CD">
            <w:pPr>
              <w:jc w:val="center"/>
              <w:rPr>
                <w:rFonts w:ascii="Arial Narrow" w:hAnsi="Arial Narrow"/>
                <w:b/>
                <w:bCs/>
                <w:i/>
                <w:iCs/>
                <w:sz w:val="18"/>
                <w:szCs w:val="18"/>
              </w:rPr>
            </w:pPr>
            <w:r w:rsidRPr="00A06D36">
              <w:rPr>
                <w:rFonts w:ascii="Arial Narrow" w:hAnsi="Arial Narrow"/>
                <w:b/>
                <w:bCs/>
                <w:i/>
                <w:iCs/>
                <w:sz w:val="18"/>
                <w:szCs w:val="18"/>
              </w:rPr>
              <w:t>RD (95%CI)</w:t>
            </w:r>
          </w:p>
        </w:tc>
        <w:tc>
          <w:tcPr>
            <w:tcW w:w="690" w:type="dxa"/>
            <w:tcBorders>
              <w:bottom w:val="single" w:sz="4" w:space="0" w:color="auto"/>
            </w:tcBorders>
            <w:vAlign w:val="center"/>
          </w:tcPr>
          <w:p w:rsidR="00155995" w:rsidRPr="00A06D36" w:rsidRDefault="00155995" w:rsidP="00FC26CD">
            <w:pPr>
              <w:jc w:val="center"/>
              <w:rPr>
                <w:rFonts w:ascii="Arial Narrow" w:hAnsi="Arial Narrow"/>
                <w:b/>
                <w:bCs/>
                <w:i/>
                <w:iCs/>
                <w:sz w:val="18"/>
                <w:szCs w:val="18"/>
              </w:rPr>
            </w:pPr>
            <w:r w:rsidRPr="00A06D36">
              <w:rPr>
                <w:rFonts w:ascii="Arial Narrow" w:hAnsi="Arial Narrow"/>
                <w:b/>
                <w:bCs/>
                <w:i/>
                <w:iCs/>
                <w:sz w:val="18"/>
                <w:szCs w:val="18"/>
              </w:rPr>
              <w:t xml:space="preserve">NNT </w:t>
            </w:r>
          </w:p>
          <w:p w:rsidR="00155995" w:rsidRPr="00A06D36" w:rsidRDefault="00155995" w:rsidP="00FC26CD">
            <w:pPr>
              <w:jc w:val="center"/>
              <w:rPr>
                <w:rFonts w:ascii="Arial Narrow" w:hAnsi="Arial Narrow"/>
                <w:b/>
                <w:bCs/>
                <w:i/>
                <w:iCs/>
                <w:sz w:val="18"/>
                <w:szCs w:val="18"/>
              </w:rPr>
            </w:pPr>
            <w:r w:rsidRPr="00A06D36">
              <w:rPr>
                <w:rFonts w:ascii="Arial Narrow" w:hAnsi="Arial Narrow"/>
                <w:b/>
                <w:bCs/>
                <w:i/>
                <w:iCs/>
                <w:sz w:val="18"/>
                <w:szCs w:val="18"/>
              </w:rPr>
              <w:t>(95%CI)</w:t>
            </w:r>
          </w:p>
        </w:tc>
      </w:tr>
      <w:tr w:rsidR="00155995" w:rsidRPr="00A06D36" w:rsidTr="00B051E4">
        <w:tc>
          <w:tcPr>
            <w:tcW w:w="3268" w:type="dxa"/>
            <w:gridSpan w:val="3"/>
            <w:vAlign w:val="center"/>
          </w:tcPr>
          <w:p w:rsidR="00155995" w:rsidRPr="00A06D36" w:rsidRDefault="00155995" w:rsidP="00FC26CD">
            <w:pPr>
              <w:jc w:val="left"/>
              <w:rPr>
                <w:rFonts w:ascii="Arial Narrow" w:hAnsi="Arial Narrow"/>
                <w:b/>
                <w:bCs/>
                <w:i/>
                <w:iCs/>
                <w:sz w:val="18"/>
                <w:szCs w:val="18"/>
              </w:rPr>
            </w:pPr>
            <w:r>
              <w:rPr>
                <w:rFonts w:ascii="Arial Narrow" w:hAnsi="Arial Narrow"/>
                <w:b/>
                <w:bCs/>
                <w:i/>
                <w:iCs/>
                <w:sz w:val="18"/>
                <w:szCs w:val="18"/>
              </w:rPr>
              <w:t>ABA (ITT, 12 weeks)</w:t>
            </w:r>
          </w:p>
        </w:tc>
        <w:tc>
          <w:tcPr>
            <w:tcW w:w="1400" w:type="dxa"/>
            <w:vMerge w:val="restart"/>
            <w:tcBorders>
              <w:right w:val="nil"/>
            </w:tcBorders>
            <w:vAlign w:val="center"/>
          </w:tcPr>
          <w:p w:rsidR="00155995" w:rsidRPr="00A06D36" w:rsidRDefault="00155995" w:rsidP="00FC26CD">
            <w:pPr>
              <w:jc w:val="center"/>
              <w:rPr>
                <w:rFonts w:ascii="Arial Narrow" w:hAnsi="Arial Narrow"/>
                <w:i/>
                <w:iCs/>
                <w:sz w:val="18"/>
                <w:szCs w:val="18"/>
              </w:rPr>
            </w:pPr>
            <w:r>
              <w:rPr>
                <w:noProof/>
                <w:snapToGrid/>
                <w:lang w:eastAsia="en-AU"/>
              </w:rPr>
              <w:drawing>
                <wp:inline distT="0" distB="0" distL="0" distR="0" wp14:anchorId="5BD9A996" wp14:editId="71FD25C1">
                  <wp:extent cx="790575" cy="6162478"/>
                  <wp:effectExtent l="0" t="0" r="0" b="0"/>
                  <wp:docPr id="11" name="Picture 11" title="RR (95%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02182" cy="6252951"/>
                          </a:xfrm>
                          <a:prstGeom prst="rect">
                            <a:avLst/>
                          </a:prstGeom>
                        </pic:spPr>
                      </pic:pic>
                    </a:graphicData>
                  </a:graphic>
                </wp:inline>
              </w:drawing>
            </w:r>
          </w:p>
        </w:tc>
        <w:tc>
          <w:tcPr>
            <w:tcW w:w="1122" w:type="dxa"/>
            <w:tcBorders>
              <w:left w:val="nil"/>
              <w:bottom w:val="nil"/>
            </w:tcBorders>
            <w:vAlign w:val="center"/>
          </w:tcPr>
          <w:p w:rsidR="00155995" w:rsidRPr="00A06D36" w:rsidRDefault="00155995" w:rsidP="00FC26CD">
            <w:pPr>
              <w:jc w:val="center"/>
              <w:rPr>
                <w:rFonts w:ascii="Arial Narrow" w:hAnsi="Arial Narrow"/>
                <w:i/>
                <w:iCs/>
                <w:sz w:val="16"/>
                <w:szCs w:val="16"/>
              </w:rPr>
            </w:pPr>
          </w:p>
        </w:tc>
        <w:tc>
          <w:tcPr>
            <w:tcW w:w="1411" w:type="dxa"/>
            <w:vMerge w:val="restart"/>
            <w:tcBorders>
              <w:right w:val="nil"/>
            </w:tcBorders>
            <w:vAlign w:val="center"/>
          </w:tcPr>
          <w:p w:rsidR="00155995" w:rsidRPr="00A06D36" w:rsidRDefault="00155995" w:rsidP="00FC26CD">
            <w:pPr>
              <w:jc w:val="center"/>
              <w:rPr>
                <w:rFonts w:ascii="Arial Narrow" w:hAnsi="Arial Narrow"/>
                <w:i/>
                <w:iCs/>
                <w:sz w:val="18"/>
                <w:szCs w:val="18"/>
              </w:rPr>
            </w:pPr>
            <w:r>
              <w:rPr>
                <w:noProof/>
                <w:snapToGrid/>
                <w:lang w:eastAsia="en-AU"/>
              </w:rPr>
              <w:drawing>
                <wp:inline distT="0" distB="0" distL="0" distR="0" wp14:anchorId="1B4E4C59" wp14:editId="65FF0C33">
                  <wp:extent cx="860425" cy="6171565"/>
                  <wp:effectExtent l="0" t="0" r="0" b="635"/>
                  <wp:docPr id="12" name="Picture 12" title="RD (95%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2542" cy="6330203"/>
                          </a:xfrm>
                          <a:prstGeom prst="rect">
                            <a:avLst/>
                          </a:prstGeom>
                        </pic:spPr>
                      </pic:pic>
                    </a:graphicData>
                  </a:graphic>
                </wp:inline>
              </w:drawing>
            </w:r>
          </w:p>
        </w:tc>
        <w:tc>
          <w:tcPr>
            <w:tcW w:w="1126" w:type="dxa"/>
            <w:tcBorders>
              <w:left w:val="nil"/>
              <w:bottom w:val="nil"/>
            </w:tcBorders>
            <w:vAlign w:val="center"/>
          </w:tcPr>
          <w:p w:rsidR="00155995" w:rsidRPr="00A06D36" w:rsidRDefault="00155995" w:rsidP="00FC26CD">
            <w:pPr>
              <w:jc w:val="center"/>
              <w:rPr>
                <w:rFonts w:ascii="Arial Narrow" w:hAnsi="Arial Narrow"/>
                <w:i/>
                <w:iCs/>
                <w:sz w:val="16"/>
                <w:szCs w:val="16"/>
              </w:rPr>
            </w:pPr>
          </w:p>
        </w:tc>
        <w:tc>
          <w:tcPr>
            <w:tcW w:w="690" w:type="dxa"/>
            <w:tcBorders>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1432" w:type="dxa"/>
          </w:tcPr>
          <w:p w:rsidR="00155995" w:rsidRPr="00A06D36" w:rsidRDefault="00155995" w:rsidP="00FC26CD">
            <w:pPr>
              <w:rPr>
                <w:rFonts w:ascii="Arial Narrow" w:hAnsi="Arial Narrow"/>
                <w:i/>
                <w:iCs/>
                <w:sz w:val="18"/>
                <w:szCs w:val="18"/>
              </w:rPr>
            </w:pPr>
            <w:proofErr w:type="spellStart"/>
            <w:r w:rsidRPr="00C51A98">
              <w:rPr>
                <w:rFonts w:ascii="Arial Narrow" w:hAnsi="Arial Narrow"/>
                <w:i/>
                <w:iCs/>
                <w:sz w:val="18"/>
                <w:szCs w:val="18"/>
              </w:rPr>
              <w:t>Mease</w:t>
            </w:r>
            <w:proofErr w:type="spellEnd"/>
            <w:r w:rsidRPr="00C51A98">
              <w:rPr>
                <w:rFonts w:ascii="Arial Narrow" w:hAnsi="Arial Narrow"/>
                <w:i/>
                <w:iCs/>
                <w:sz w:val="18"/>
                <w:szCs w:val="18"/>
              </w:rPr>
              <w:t xml:space="preserve"> 2011 (IV)</w:t>
            </w:r>
          </w:p>
        </w:tc>
        <w:tc>
          <w:tcPr>
            <w:tcW w:w="919" w:type="dxa"/>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19/40 (48)</w:t>
            </w:r>
          </w:p>
        </w:tc>
        <w:tc>
          <w:tcPr>
            <w:tcW w:w="917" w:type="dxa"/>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12/42 (29)</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974777" w:rsidRDefault="00155995" w:rsidP="00FC26CD">
            <w:pPr>
              <w:jc w:val="center"/>
              <w:rPr>
                <w:rFonts w:ascii="Arial Narrow" w:hAnsi="Arial Narrow"/>
                <w:i/>
                <w:iCs/>
                <w:sz w:val="16"/>
                <w:szCs w:val="16"/>
              </w:rPr>
            </w:pPr>
            <w:r w:rsidRPr="00974777">
              <w:rPr>
                <w:rFonts w:ascii="Arial Narrow" w:hAnsi="Arial Narrow"/>
                <w:i/>
                <w:iCs/>
                <w:sz w:val="16"/>
                <w:szCs w:val="16"/>
              </w:rPr>
              <w:t>1.66 (0.93, 2.97)</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BD5043" w:rsidRDefault="00155995" w:rsidP="00FC26CD">
            <w:pPr>
              <w:jc w:val="center"/>
              <w:rPr>
                <w:rFonts w:ascii="Arial Narrow" w:hAnsi="Arial Narrow"/>
                <w:i/>
                <w:iCs/>
                <w:sz w:val="16"/>
                <w:szCs w:val="16"/>
              </w:rPr>
            </w:pPr>
            <w:r w:rsidRPr="00BD5043">
              <w:rPr>
                <w:rFonts w:ascii="Arial Narrow" w:hAnsi="Arial Narrow"/>
                <w:i/>
                <w:iCs/>
                <w:sz w:val="16"/>
                <w:szCs w:val="16"/>
              </w:rPr>
              <w:t>0.19 (-0.02,0.40)</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A06D36" w:rsidTr="00B051E4">
        <w:tc>
          <w:tcPr>
            <w:tcW w:w="1432" w:type="dxa"/>
          </w:tcPr>
          <w:p w:rsidR="00155995" w:rsidRPr="00A06D36" w:rsidRDefault="00155995" w:rsidP="00FC26CD">
            <w:pPr>
              <w:rPr>
                <w:rFonts w:ascii="Arial Narrow" w:hAnsi="Arial Narrow"/>
                <w:i/>
                <w:iCs/>
                <w:sz w:val="18"/>
                <w:szCs w:val="18"/>
              </w:rPr>
            </w:pPr>
            <w:proofErr w:type="spellStart"/>
            <w:r w:rsidRPr="00C51A98">
              <w:rPr>
                <w:rFonts w:ascii="Arial Narrow" w:hAnsi="Arial Narrow"/>
                <w:i/>
                <w:iCs/>
                <w:sz w:val="18"/>
                <w:szCs w:val="18"/>
              </w:rPr>
              <w:t>Mease</w:t>
            </w:r>
            <w:proofErr w:type="spellEnd"/>
            <w:r w:rsidRPr="00C51A98">
              <w:rPr>
                <w:rFonts w:ascii="Arial Narrow" w:hAnsi="Arial Narrow"/>
                <w:i/>
                <w:iCs/>
                <w:sz w:val="18"/>
                <w:szCs w:val="18"/>
              </w:rPr>
              <w:t xml:space="preserve"> 2017 (SC)</w:t>
            </w:r>
          </w:p>
        </w:tc>
        <w:tc>
          <w:tcPr>
            <w:tcW w:w="919" w:type="dxa"/>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81/213 (38)</w:t>
            </w:r>
          </w:p>
        </w:tc>
        <w:tc>
          <w:tcPr>
            <w:tcW w:w="917" w:type="dxa"/>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61/211 (29)</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400057" w:rsidRDefault="00155995" w:rsidP="00FC26CD">
            <w:pPr>
              <w:jc w:val="center"/>
              <w:rPr>
                <w:rFonts w:ascii="Arial Narrow" w:hAnsi="Arial Narrow"/>
                <w:b/>
                <w:bCs/>
                <w:i/>
                <w:iCs/>
                <w:sz w:val="16"/>
                <w:szCs w:val="16"/>
              </w:rPr>
            </w:pPr>
            <w:r w:rsidRPr="00400057">
              <w:rPr>
                <w:rFonts w:ascii="Arial Narrow" w:hAnsi="Arial Narrow"/>
                <w:b/>
                <w:bCs/>
                <w:i/>
                <w:iCs/>
                <w:sz w:val="16"/>
                <w:szCs w:val="16"/>
              </w:rPr>
              <w:t>1.32 (1.00, 1.73)</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400057" w:rsidRDefault="00155995" w:rsidP="00FC26CD">
            <w:pPr>
              <w:jc w:val="center"/>
              <w:rPr>
                <w:rFonts w:ascii="Arial Narrow" w:hAnsi="Arial Narrow"/>
                <w:b/>
                <w:bCs/>
                <w:i/>
                <w:iCs/>
                <w:sz w:val="16"/>
                <w:szCs w:val="16"/>
              </w:rPr>
            </w:pPr>
            <w:r w:rsidRPr="00400057">
              <w:rPr>
                <w:rFonts w:ascii="Arial Narrow" w:hAnsi="Arial Narrow"/>
                <w:b/>
                <w:bCs/>
                <w:i/>
                <w:iCs/>
                <w:sz w:val="16"/>
                <w:szCs w:val="16"/>
              </w:rPr>
              <w:t>0.09 (0.00,0.18)</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A06D36" w:rsidTr="00B051E4">
        <w:tc>
          <w:tcPr>
            <w:tcW w:w="1432" w:type="dxa"/>
            <w:vAlign w:val="center"/>
          </w:tcPr>
          <w:p w:rsidR="00155995" w:rsidRPr="00A06D36" w:rsidRDefault="00155995" w:rsidP="00FC26CD">
            <w:pPr>
              <w:jc w:val="right"/>
              <w:rPr>
                <w:rFonts w:ascii="Arial Narrow" w:hAnsi="Arial Narrow"/>
                <w:i/>
                <w:iCs/>
                <w:sz w:val="18"/>
                <w:szCs w:val="18"/>
              </w:rPr>
            </w:pPr>
            <w:r>
              <w:rPr>
                <w:rFonts w:ascii="Arial Narrow" w:hAnsi="Arial Narrow"/>
                <w:sz w:val="18"/>
                <w:szCs w:val="18"/>
              </w:rPr>
              <w:t>Meta-analysis</w:t>
            </w:r>
          </w:p>
        </w:tc>
        <w:tc>
          <w:tcPr>
            <w:tcW w:w="919" w:type="dxa"/>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100/253 (40)</w:t>
            </w:r>
          </w:p>
        </w:tc>
        <w:tc>
          <w:tcPr>
            <w:tcW w:w="917" w:type="dxa"/>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73/253 (29)</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1.37 (1.07, 1.76)</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0.11 (0.02,0.19)</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9 (5,50)</w:t>
            </w:r>
          </w:p>
        </w:tc>
      </w:tr>
      <w:tr w:rsidR="00155995" w:rsidRPr="00A06D36" w:rsidTr="00B051E4">
        <w:tc>
          <w:tcPr>
            <w:tcW w:w="3268" w:type="dxa"/>
            <w:gridSpan w:val="3"/>
            <w:vAlign w:val="center"/>
          </w:tcPr>
          <w:p w:rsidR="00155995" w:rsidRDefault="00155995" w:rsidP="00FC26CD">
            <w:pPr>
              <w:jc w:val="left"/>
              <w:rPr>
                <w:rFonts w:ascii="Arial Narrow" w:hAnsi="Arial Narrow"/>
                <w:i/>
                <w:iCs/>
                <w:sz w:val="18"/>
                <w:szCs w:val="18"/>
              </w:rPr>
            </w:pPr>
            <w:r w:rsidRPr="00BD711E">
              <w:rPr>
                <w:rFonts w:ascii="Arial Narrow" w:hAnsi="Arial Narrow"/>
                <w:b/>
                <w:bCs/>
                <w:i/>
                <w:iCs/>
                <w:sz w:val="18"/>
                <w:szCs w:val="18"/>
              </w:rPr>
              <w:t>ABA (</w:t>
            </w:r>
            <w:r w:rsidRPr="00BD711E">
              <w:rPr>
                <w:rFonts w:ascii="Arial Narrow" w:hAnsi="Arial Narrow"/>
                <w:b/>
                <w:bCs/>
                <w:i/>
                <w:iCs/>
                <w:color w:val="FF0000"/>
                <w:sz w:val="18"/>
                <w:szCs w:val="18"/>
              </w:rPr>
              <w:t>TNF-α experienced</w:t>
            </w:r>
            <w:r w:rsidRPr="00BD711E">
              <w:rPr>
                <w:rFonts w:ascii="Arial Narrow" w:hAnsi="Arial Narrow"/>
                <w:b/>
                <w:bCs/>
                <w:i/>
                <w:iCs/>
                <w:sz w:val="18"/>
                <w:szCs w:val="18"/>
              </w:rPr>
              <w:t>, 12 weeks)</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1432" w:type="dxa"/>
          </w:tcPr>
          <w:p w:rsidR="00155995" w:rsidRPr="00FF69E1" w:rsidRDefault="00155995" w:rsidP="00FC26CD">
            <w:pPr>
              <w:jc w:val="left"/>
              <w:rPr>
                <w:rFonts w:ascii="Arial Narrow" w:hAnsi="Arial Narrow"/>
                <w:sz w:val="18"/>
                <w:szCs w:val="18"/>
              </w:rPr>
            </w:pPr>
            <w:proofErr w:type="spellStart"/>
            <w:r w:rsidRPr="00FF69E1">
              <w:rPr>
                <w:rFonts w:ascii="Arial Narrow" w:hAnsi="Arial Narrow"/>
                <w:i/>
                <w:iCs/>
                <w:sz w:val="18"/>
                <w:szCs w:val="18"/>
              </w:rPr>
              <w:t>Mease</w:t>
            </w:r>
            <w:proofErr w:type="spellEnd"/>
            <w:r w:rsidRPr="00FF69E1">
              <w:rPr>
                <w:rFonts w:ascii="Arial Narrow" w:hAnsi="Arial Narrow"/>
                <w:i/>
                <w:iCs/>
                <w:sz w:val="18"/>
                <w:szCs w:val="18"/>
              </w:rPr>
              <w:t xml:space="preserve"> 2011 (IV)</w:t>
            </w:r>
          </w:p>
        </w:tc>
        <w:tc>
          <w:tcPr>
            <w:tcW w:w="919" w:type="dxa"/>
            <w:vAlign w:val="center"/>
          </w:tcPr>
          <w:p w:rsidR="00155995" w:rsidRPr="00FF69E1" w:rsidRDefault="00155995" w:rsidP="00FC26CD">
            <w:pPr>
              <w:jc w:val="center"/>
              <w:rPr>
                <w:rFonts w:ascii="Arial Narrow" w:hAnsi="Arial Narrow"/>
                <w:i/>
                <w:iCs/>
                <w:sz w:val="18"/>
                <w:szCs w:val="18"/>
              </w:rPr>
            </w:pPr>
            <w:r w:rsidRPr="00FF69E1">
              <w:rPr>
                <w:rFonts w:ascii="Arial Narrow" w:hAnsi="Arial Narrow"/>
                <w:i/>
                <w:iCs/>
                <w:sz w:val="18"/>
                <w:szCs w:val="18"/>
              </w:rPr>
              <w:t>NR</w:t>
            </w:r>
          </w:p>
        </w:tc>
        <w:tc>
          <w:tcPr>
            <w:tcW w:w="917" w:type="dxa"/>
            <w:vAlign w:val="center"/>
          </w:tcPr>
          <w:p w:rsidR="00155995" w:rsidRPr="00FF69E1" w:rsidRDefault="00155995" w:rsidP="00FC26CD">
            <w:pPr>
              <w:jc w:val="center"/>
              <w:rPr>
                <w:rFonts w:ascii="Arial Narrow" w:hAnsi="Arial Narrow"/>
                <w:i/>
                <w:iCs/>
                <w:sz w:val="18"/>
                <w:szCs w:val="18"/>
              </w:rPr>
            </w:pPr>
            <w:r w:rsidRPr="00FF69E1">
              <w:rPr>
                <w:rFonts w:ascii="Arial Narrow" w:hAnsi="Arial Narrow"/>
                <w:i/>
                <w:iCs/>
                <w:sz w:val="18"/>
                <w:szCs w:val="18"/>
              </w:rPr>
              <w:t>NR</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1432" w:type="dxa"/>
          </w:tcPr>
          <w:p w:rsidR="00155995" w:rsidRPr="00FF69E1" w:rsidRDefault="00155995" w:rsidP="00FC26CD">
            <w:pPr>
              <w:jc w:val="left"/>
              <w:rPr>
                <w:rFonts w:ascii="Arial Narrow" w:hAnsi="Arial Narrow"/>
                <w:sz w:val="18"/>
                <w:szCs w:val="18"/>
              </w:rPr>
            </w:pPr>
            <w:proofErr w:type="spellStart"/>
            <w:r w:rsidRPr="00FF69E1">
              <w:rPr>
                <w:rFonts w:ascii="Arial Narrow" w:hAnsi="Arial Narrow"/>
                <w:i/>
                <w:iCs/>
                <w:sz w:val="18"/>
                <w:szCs w:val="18"/>
              </w:rPr>
              <w:t>Mease</w:t>
            </w:r>
            <w:proofErr w:type="spellEnd"/>
            <w:r w:rsidRPr="00FF69E1">
              <w:rPr>
                <w:rFonts w:ascii="Arial Narrow" w:hAnsi="Arial Narrow"/>
                <w:i/>
                <w:iCs/>
                <w:sz w:val="18"/>
                <w:szCs w:val="18"/>
              </w:rPr>
              <w:t xml:space="preserve"> 2017 (SC)</w:t>
            </w:r>
          </w:p>
        </w:tc>
        <w:tc>
          <w:tcPr>
            <w:tcW w:w="919" w:type="dxa"/>
            <w:vAlign w:val="center"/>
          </w:tcPr>
          <w:p w:rsidR="00155995" w:rsidRPr="00FF69E1" w:rsidRDefault="00155995" w:rsidP="00FC26CD">
            <w:pPr>
              <w:jc w:val="center"/>
              <w:rPr>
                <w:rFonts w:ascii="Arial Narrow" w:hAnsi="Arial Narrow"/>
                <w:i/>
                <w:iCs/>
                <w:sz w:val="18"/>
                <w:szCs w:val="18"/>
              </w:rPr>
            </w:pPr>
            <w:r w:rsidRPr="00FF69E1">
              <w:rPr>
                <w:rFonts w:ascii="Arial Narrow" w:hAnsi="Arial Narrow"/>
                <w:i/>
                <w:iCs/>
                <w:sz w:val="18"/>
                <w:szCs w:val="18"/>
              </w:rPr>
              <w:t>47/129 (36)</w:t>
            </w:r>
          </w:p>
        </w:tc>
        <w:tc>
          <w:tcPr>
            <w:tcW w:w="917" w:type="dxa"/>
            <w:vAlign w:val="center"/>
          </w:tcPr>
          <w:p w:rsidR="00155995" w:rsidRPr="00FF69E1" w:rsidRDefault="00155995" w:rsidP="00FC26CD">
            <w:pPr>
              <w:jc w:val="center"/>
              <w:rPr>
                <w:rFonts w:ascii="Arial Narrow" w:hAnsi="Arial Narrow"/>
                <w:i/>
                <w:iCs/>
                <w:sz w:val="18"/>
                <w:szCs w:val="18"/>
              </w:rPr>
            </w:pPr>
            <w:r w:rsidRPr="00FF69E1">
              <w:rPr>
                <w:rFonts w:ascii="Arial Narrow" w:hAnsi="Arial Narrow"/>
                <w:i/>
                <w:iCs/>
                <w:sz w:val="18"/>
                <w:szCs w:val="18"/>
              </w:rPr>
              <w:t>37/130 (28)</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1E1812" w:rsidRDefault="00155995" w:rsidP="00FC26CD">
            <w:pPr>
              <w:jc w:val="center"/>
              <w:rPr>
                <w:rFonts w:ascii="Arial Narrow" w:hAnsi="Arial Narrow"/>
                <w:i/>
                <w:iCs/>
                <w:sz w:val="16"/>
                <w:szCs w:val="16"/>
              </w:rPr>
            </w:pPr>
            <w:r w:rsidRPr="001E1812">
              <w:rPr>
                <w:rFonts w:ascii="Arial Narrow" w:hAnsi="Arial Narrow"/>
                <w:i/>
                <w:iCs/>
                <w:sz w:val="16"/>
                <w:szCs w:val="16"/>
              </w:rPr>
              <w:t>1.28 (0.90, 1.83)</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1E1812" w:rsidRDefault="00155995" w:rsidP="00FC26CD">
            <w:pPr>
              <w:jc w:val="center"/>
              <w:rPr>
                <w:rFonts w:ascii="Arial Narrow" w:hAnsi="Arial Narrow"/>
                <w:i/>
                <w:iCs/>
                <w:sz w:val="16"/>
                <w:szCs w:val="16"/>
              </w:rPr>
            </w:pPr>
            <w:r w:rsidRPr="001E1812">
              <w:rPr>
                <w:rFonts w:ascii="Arial Narrow" w:hAnsi="Arial Narrow"/>
                <w:i/>
                <w:iCs/>
                <w:sz w:val="16"/>
                <w:szCs w:val="16"/>
              </w:rPr>
              <w:t>0.08 (-0.03, 0.19)</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A06D36" w:rsidTr="00B051E4">
        <w:tc>
          <w:tcPr>
            <w:tcW w:w="1432" w:type="dxa"/>
            <w:vAlign w:val="center"/>
          </w:tcPr>
          <w:p w:rsidR="00155995" w:rsidRPr="00FF69E1" w:rsidRDefault="00155995" w:rsidP="00FC26CD">
            <w:pPr>
              <w:jc w:val="right"/>
              <w:rPr>
                <w:rFonts w:ascii="Arial Narrow" w:hAnsi="Arial Narrow"/>
                <w:sz w:val="18"/>
                <w:szCs w:val="18"/>
              </w:rPr>
            </w:pPr>
            <w:r w:rsidRPr="00FF69E1">
              <w:rPr>
                <w:rFonts w:ascii="Arial Narrow" w:hAnsi="Arial Narrow"/>
                <w:sz w:val="18"/>
                <w:szCs w:val="18"/>
              </w:rPr>
              <w:t>Meta-analysis</w:t>
            </w:r>
          </w:p>
        </w:tc>
        <w:tc>
          <w:tcPr>
            <w:tcW w:w="919" w:type="dxa"/>
            <w:vAlign w:val="center"/>
          </w:tcPr>
          <w:p w:rsidR="00155995" w:rsidRPr="00FF69E1" w:rsidRDefault="00155995" w:rsidP="00FC26CD">
            <w:pPr>
              <w:jc w:val="center"/>
              <w:rPr>
                <w:rFonts w:ascii="Arial Narrow" w:hAnsi="Arial Narrow"/>
                <w:i/>
                <w:iCs/>
                <w:sz w:val="18"/>
                <w:szCs w:val="18"/>
              </w:rPr>
            </w:pPr>
            <w:r w:rsidRPr="00FF69E1">
              <w:rPr>
                <w:rFonts w:ascii="Arial Narrow" w:hAnsi="Arial Narrow"/>
                <w:i/>
                <w:iCs/>
                <w:sz w:val="18"/>
                <w:szCs w:val="18"/>
              </w:rPr>
              <w:t>-</w:t>
            </w:r>
          </w:p>
        </w:tc>
        <w:tc>
          <w:tcPr>
            <w:tcW w:w="917" w:type="dxa"/>
            <w:vAlign w:val="center"/>
          </w:tcPr>
          <w:p w:rsidR="00155995" w:rsidRPr="00FF69E1" w:rsidRDefault="00155995" w:rsidP="00FC26CD">
            <w:pPr>
              <w:jc w:val="center"/>
              <w:rPr>
                <w:rFonts w:ascii="Arial Narrow" w:hAnsi="Arial Narrow"/>
                <w:i/>
                <w:iCs/>
                <w:sz w:val="18"/>
                <w:szCs w:val="18"/>
              </w:rPr>
            </w:pPr>
            <w:r w:rsidRPr="00FF69E1">
              <w:rPr>
                <w:rFonts w:ascii="Arial Narrow" w:hAnsi="Arial Narrow"/>
                <w:i/>
                <w:iCs/>
                <w:sz w:val="18"/>
                <w:szCs w:val="18"/>
              </w:rPr>
              <w:t>-</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3268" w:type="dxa"/>
            <w:gridSpan w:val="3"/>
            <w:vAlign w:val="center"/>
          </w:tcPr>
          <w:p w:rsidR="00155995" w:rsidRPr="00A06D36" w:rsidRDefault="00155995" w:rsidP="00FC26CD">
            <w:pPr>
              <w:jc w:val="left"/>
              <w:rPr>
                <w:rFonts w:ascii="Arial Narrow" w:hAnsi="Arial Narrow"/>
                <w:b/>
                <w:bCs/>
                <w:i/>
                <w:iCs/>
                <w:sz w:val="18"/>
                <w:szCs w:val="18"/>
              </w:rPr>
            </w:pPr>
            <w:r w:rsidRPr="00A06D36">
              <w:rPr>
                <w:rFonts w:ascii="Arial Narrow" w:hAnsi="Arial Narrow"/>
                <w:b/>
                <w:bCs/>
                <w:i/>
                <w:iCs/>
                <w:sz w:val="18"/>
                <w:szCs w:val="18"/>
              </w:rPr>
              <w:t xml:space="preserve">CZP </w:t>
            </w:r>
            <w:r>
              <w:rPr>
                <w:rFonts w:ascii="Arial Narrow" w:hAnsi="Arial Narrow"/>
                <w:b/>
                <w:bCs/>
                <w:i/>
                <w:iCs/>
                <w:sz w:val="18"/>
                <w:szCs w:val="18"/>
              </w:rPr>
              <w:t>(ITT, 12 weeks)</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i/>
                <w:iCs/>
                <w:sz w:val="16"/>
                <w:szCs w:val="16"/>
              </w:rPr>
            </w:pP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i/>
                <w:iCs/>
                <w:sz w:val="16"/>
                <w:szCs w:val="16"/>
              </w:rPr>
            </w:pP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1432" w:type="dxa"/>
          </w:tcPr>
          <w:p w:rsidR="00155995" w:rsidRPr="00A06D36" w:rsidRDefault="00155995" w:rsidP="00FC26CD">
            <w:pPr>
              <w:rPr>
                <w:rFonts w:ascii="Arial Narrow" w:hAnsi="Arial Narrow"/>
                <w:i/>
                <w:iCs/>
                <w:sz w:val="18"/>
                <w:szCs w:val="18"/>
              </w:rPr>
            </w:pPr>
            <w:r w:rsidRPr="00A06D36">
              <w:rPr>
                <w:rFonts w:ascii="Arial Narrow" w:hAnsi="Arial Narrow"/>
                <w:i/>
                <w:iCs/>
                <w:sz w:val="18"/>
                <w:szCs w:val="18"/>
              </w:rPr>
              <w:t>RAPID-PsA 200mg</w:t>
            </w:r>
          </w:p>
        </w:tc>
        <w:tc>
          <w:tcPr>
            <w:tcW w:w="919" w:type="dxa"/>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80/138 (58)</w:t>
            </w:r>
          </w:p>
        </w:tc>
        <w:tc>
          <w:tcPr>
            <w:tcW w:w="917" w:type="dxa"/>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33/136 (24)</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2.39 (1.72, 3.32)</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0.34 (0.23, 0.45)</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3 (2,4)</w:t>
            </w:r>
          </w:p>
        </w:tc>
      </w:tr>
      <w:tr w:rsidR="00155995" w:rsidRPr="00A06D36" w:rsidTr="00B051E4">
        <w:tc>
          <w:tcPr>
            <w:tcW w:w="1432" w:type="dxa"/>
          </w:tcPr>
          <w:p w:rsidR="00155995" w:rsidRPr="00A06D36" w:rsidRDefault="00155995" w:rsidP="00FC26CD">
            <w:pPr>
              <w:rPr>
                <w:rFonts w:ascii="Arial Narrow" w:hAnsi="Arial Narrow"/>
                <w:i/>
                <w:iCs/>
                <w:sz w:val="18"/>
                <w:szCs w:val="18"/>
              </w:rPr>
            </w:pPr>
            <w:r w:rsidRPr="00A06D36">
              <w:rPr>
                <w:rFonts w:ascii="Arial Narrow" w:hAnsi="Arial Narrow"/>
                <w:i/>
                <w:iCs/>
                <w:sz w:val="18"/>
                <w:szCs w:val="18"/>
              </w:rPr>
              <w:t>RAPID-PsA 400mg</w:t>
            </w:r>
          </w:p>
        </w:tc>
        <w:tc>
          <w:tcPr>
            <w:tcW w:w="919" w:type="dxa"/>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70/135 (52)</w:t>
            </w:r>
          </w:p>
        </w:tc>
        <w:tc>
          <w:tcPr>
            <w:tcW w:w="917" w:type="dxa"/>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33/136 (24)</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2.14 (1.52, 3.00)</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0.28 (0.16, 0.39)</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4 (3,6)</w:t>
            </w:r>
          </w:p>
        </w:tc>
      </w:tr>
      <w:tr w:rsidR="00155995" w:rsidRPr="00A06D36" w:rsidTr="00B051E4">
        <w:tc>
          <w:tcPr>
            <w:tcW w:w="1432" w:type="dxa"/>
            <w:vAlign w:val="center"/>
          </w:tcPr>
          <w:p w:rsidR="00155995" w:rsidRPr="00A06D36" w:rsidRDefault="00155995" w:rsidP="00FC26CD">
            <w:pPr>
              <w:jc w:val="right"/>
              <w:rPr>
                <w:rFonts w:ascii="Arial Narrow" w:hAnsi="Arial Narrow"/>
                <w:i/>
                <w:iCs/>
                <w:sz w:val="18"/>
                <w:szCs w:val="18"/>
              </w:rPr>
            </w:pPr>
            <w:r w:rsidRPr="00A06D36">
              <w:rPr>
                <w:rFonts w:ascii="Arial Narrow" w:hAnsi="Arial Narrow"/>
                <w:i/>
                <w:iCs/>
                <w:sz w:val="18"/>
                <w:szCs w:val="18"/>
              </w:rPr>
              <w:t>Pooled</w:t>
            </w:r>
          </w:p>
        </w:tc>
        <w:tc>
          <w:tcPr>
            <w:tcW w:w="919" w:type="dxa"/>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150/273 (55)</w:t>
            </w:r>
          </w:p>
        </w:tc>
        <w:tc>
          <w:tcPr>
            <w:tcW w:w="917" w:type="dxa"/>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33/136 (24)</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2.26 (1.65, 3.11)</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0.31 (0.21, 0.40)</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3 (3,5)</w:t>
            </w:r>
          </w:p>
        </w:tc>
      </w:tr>
      <w:tr w:rsidR="00155995" w:rsidRPr="00A06D36" w:rsidTr="00B051E4">
        <w:tc>
          <w:tcPr>
            <w:tcW w:w="3268" w:type="dxa"/>
            <w:gridSpan w:val="3"/>
            <w:vAlign w:val="center"/>
          </w:tcPr>
          <w:p w:rsidR="00155995" w:rsidRDefault="00155995" w:rsidP="00FC26CD">
            <w:pPr>
              <w:jc w:val="left"/>
              <w:rPr>
                <w:rFonts w:ascii="Arial Narrow" w:hAnsi="Arial Narrow"/>
                <w:i/>
                <w:iCs/>
                <w:sz w:val="18"/>
                <w:szCs w:val="18"/>
              </w:rPr>
            </w:pPr>
            <w:r>
              <w:rPr>
                <w:rFonts w:ascii="Arial Narrow" w:hAnsi="Arial Narrow"/>
                <w:b/>
                <w:bCs/>
                <w:i/>
                <w:iCs/>
                <w:sz w:val="18"/>
                <w:szCs w:val="18"/>
              </w:rPr>
              <w:t>CZP</w:t>
            </w:r>
            <w:r w:rsidRPr="00BD711E">
              <w:rPr>
                <w:rFonts w:ascii="Arial Narrow" w:hAnsi="Arial Narrow"/>
                <w:b/>
                <w:bCs/>
                <w:i/>
                <w:iCs/>
                <w:sz w:val="18"/>
                <w:szCs w:val="18"/>
              </w:rPr>
              <w:t xml:space="preserve"> (</w:t>
            </w:r>
            <w:r w:rsidRPr="00BD711E">
              <w:rPr>
                <w:rFonts w:ascii="Arial Narrow" w:hAnsi="Arial Narrow"/>
                <w:b/>
                <w:bCs/>
                <w:i/>
                <w:iCs/>
                <w:color w:val="FF0000"/>
                <w:sz w:val="18"/>
                <w:szCs w:val="18"/>
              </w:rPr>
              <w:t>TNF-α experienced</w:t>
            </w:r>
            <w:r w:rsidRPr="00BD711E">
              <w:rPr>
                <w:rFonts w:ascii="Arial Narrow" w:hAnsi="Arial Narrow"/>
                <w:b/>
                <w:bCs/>
                <w:i/>
                <w:iCs/>
                <w:sz w:val="18"/>
                <w:szCs w:val="18"/>
              </w:rPr>
              <w:t>, 12 weeks)</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1432" w:type="dxa"/>
            <w:vAlign w:val="center"/>
          </w:tcPr>
          <w:p w:rsidR="00155995" w:rsidRPr="00A06D36" w:rsidRDefault="00155995" w:rsidP="00FC26CD">
            <w:pPr>
              <w:jc w:val="left"/>
              <w:rPr>
                <w:rFonts w:ascii="Arial Narrow" w:hAnsi="Arial Narrow"/>
                <w:i/>
                <w:iCs/>
                <w:sz w:val="18"/>
                <w:szCs w:val="18"/>
              </w:rPr>
            </w:pPr>
            <w:r w:rsidRPr="00A06D36">
              <w:rPr>
                <w:rFonts w:ascii="Arial Narrow" w:hAnsi="Arial Narrow"/>
                <w:i/>
                <w:iCs/>
                <w:sz w:val="18"/>
                <w:szCs w:val="18"/>
              </w:rPr>
              <w:t>RAPID-PsA 200mg</w:t>
            </w:r>
          </w:p>
        </w:tc>
        <w:tc>
          <w:tcPr>
            <w:tcW w:w="919" w:type="dxa"/>
            <w:vAlign w:val="center"/>
          </w:tcPr>
          <w:p w:rsidR="00155995" w:rsidRDefault="00155995" w:rsidP="00FC26CD">
            <w:pPr>
              <w:jc w:val="center"/>
              <w:rPr>
                <w:rFonts w:ascii="Arial Narrow" w:hAnsi="Arial Narrow"/>
                <w:i/>
                <w:iCs/>
                <w:sz w:val="18"/>
                <w:szCs w:val="18"/>
              </w:rPr>
            </w:pPr>
            <w:r w:rsidRPr="00BD711E">
              <w:rPr>
                <w:rFonts w:ascii="Arial Narrow" w:hAnsi="Arial Narrow"/>
                <w:i/>
                <w:iCs/>
                <w:sz w:val="18"/>
                <w:szCs w:val="18"/>
              </w:rPr>
              <w:t>14/31 (45)</w:t>
            </w:r>
          </w:p>
        </w:tc>
        <w:tc>
          <w:tcPr>
            <w:tcW w:w="917" w:type="dxa"/>
            <w:vAlign w:val="center"/>
          </w:tcPr>
          <w:p w:rsidR="00155995" w:rsidRDefault="00155995" w:rsidP="00FC26CD">
            <w:pPr>
              <w:jc w:val="center"/>
              <w:rPr>
                <w:rFonts w:ascii="Arial Narrow" w:hAnsi="Arial Narrow"/>
                <w:i/>
                <w:iCs/>
                <w:sz w:val="18"/>
                <w:szCs w:val="18"/>
              </w:rPr>
            </w:pPr>
            <w:r w:rsidRPr="00BD711E">
              <w:rPr>
                <w:rFonts w:ascii="Arial Narrow" w:hAnsi="Arial Narrow"/>
                <w:i/>
                <w:iCs/>
                <w:sz w:val="18"/>
                <w:szCs w:val="18"/>
              </w:rPr>
              <w:t>4/26 (15)</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2.94 (1.10, 7.83)</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0.30 (0.07, 0.52)</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3 (0,14)</w:t>
            </w:r>
          </w:p>
        </w:tc>
      </w:tr>
      <w:tr w:rsidR="00155995" w:rsidRPr="00A06D36" w:rsidTr="00B051E4">
        <w:tc>
          <w:tcPr>
            <w:tcW w:w="1432" w:type="dxa"/>
            <w:vAlign w:val="center"/>
          </w:tcPr>
          <w:p w:rsidR="00155995" w:rsidRPr="00A06D36" w:rsidRDefault="00155995" w:rsidP="00FC26CD">
            <w:pPr>
              <w:jc w:val="left"/>
              <w:rPr>
                <w:rFonts w:ascii="Arial Narrow" w:hAnsi="Arial Narrow"/>
                <w:i/>
                <w:iCs/>
                <w:sz w:val="18"/>
                <w:szCs w:val="18"/>
              </w:rPr>
            </w:pPr>
            <w:r w:rsidRPr="00A06D36">
              <w:rPr>
                <w:rFonts w:ascii="Arial Narrow" w:hAnsi="Arial Narrow"/>
                <w:i/>
                <w:iCs/>
                <w:sz w:val="18"/>
                <w:szCs w:val="18"/>
              </w:rPr>
              <w:t>RAPID-PsA 400mg</w:t>
            </w:r>
          </w:p>
        </w:tc>
        <w:tc>
          <w:tcPr>
            <w:tcW w:w="919" w:type="dxa"/>
            <w:vAlign w:val="center"/>
          </w:tcPr>
          <w:p w:rsidR="00155995" w:rsidRDefault="00155995" w:rsidP="00FC26CD">
            <w:pPr>
              <w:jc w:val="center"/>
              <w:rPr>
                <w:rFonts w:ascii="Arial Narrow" w:hAnsi="Arial Narrow"/>
                <w:i/>
                <w:iCs/>
                <w:sz w:val="18"/>
                <w:szCs w:val="18"/>
              </w:rPr>
            </w:pPr>
            <w:r w:rsidRPr="00BD711E">
              <w:rPr>
                <w:rFonts w:ascii="Arial Narrow" w:hAnsi="Arial Narrow"/>
                <w:i/>
                <w:iCs/>
                <w:sz w:val="18"/>
                <w:szCs w:val="18"/>
              </w:rPr>
              <w:t>15/23 (65)</w:t>
            </w:r>
          </w:p>
        </w:tc>
        <w:tc>
          <w:tcPr>
            <w:tcW w:w="917" w:type="dxa"/>
            <w:vAlign w:val="center"/>
          </w:tcPr>
          <w:p w:rsidR="00155995" w:rsidRDefault="00155995" w:rsidP="00FC26CD">
            <w:pPr>
              <w:jc w:val="center"/>
              <w:rPr>
                <w:rFonts w:ascii="Arial Narrow" w:hAnsi="Arial Narrow"/>
                <w:i/>
                <w:iCs/>
                <w:sz w:val="18"/>
                <w:szCs w:val="18"/>
              </w:rPr>
            </w:pPr>
            <w:r w:rsidRPr="00BD711E">
              <w:rPr>
                <w:rFonts w:ascii="Arial Narrow" w:hAnsi="Arial Narrow"/>
                <w:i/>
                <w:iCs/>
                <w:sz w:val="18"/>
                <w:szCs w:val="18"/>
              </w:rPr>
              <w:t>4/26 (15)</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4.24 (1.64, 10.96)</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0.50 (0.26, 0.74)</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2 (1,4)</w:t>
            </w:r>
          </w:p>
        </w:tc>
      </w:tr>
      <w:tr w:rsidR="00155995" w:rsidRPr="00A06D36" w:rsidTr="00B051E4">
        <w:tc>
          <w:tcPr>
            <w:tcW w:w="1432" w:type="dxa"/>
            <w:vAlign w:val="center"/>
          </w:tcPr>
          <w:p w:rsidR="00155995" w:rsidRPr="00A06D36" w:rsidRDefault="00155995" w:rsidP="00FC26CD">
            <w:pPr>
              <w:jc w:val="right"/>
              <w:rPr>
                <w:rFonts w:ascii="Arial Narrow" w:hAnsi="Arial Narrow"/>
                <w:i/>
                <w:iCs/>
                <w:sz w:val="18"/>
                <w:szCs w:val="18"/>
              </w:rPr>
            </w:pPr>
            <w:r w:rsidRPr="00A06D36">
              <w:rPr>
                <w:rFonts w:ascii="Arial Narrow" w:hAnsi="Arial Narrow"/>
                <w:i/>
                <w:iCs/>
                <w:sz w:val="18"/>
                <w:szCs w:val="18"/>
              </w:rPr>
              <w:t>Pooled</w:t>
            </w:r>
          </w:p>
        </w:tc>
        <w:tc>
          <w:tcPr>
            <w:tcW w:w="919" w:type="dxa"/>
            <w:vAlign w:val="center"/>
          </w:tcPr>
          <w:p w:rsidR="00155995" w:rsidRDefault="00155995" w:rsidP="00FC26CD">
            <w:pPr>
              <w:jc w:val="center"/>
              <w:rPr>
                <w:rFonts w:ascii="Arial Narrow" w:hAnsi="Arial Narrow"/>
                <w:i/>
                <w:iCs/>
                <w:sz w:val="18"/>
                <w:szCs w:val="18"/>
              </w:rPr>
            </w:pPr>
            <w:r>
              <w:rPr>
                <w:rFonts w:ascii="Arial Narrow" w:hAnsi="Arial Narrow"/>
                <w:i/>
                <w:iCs/>
                <w:sz w:val="18"/>
                <w:szCs w:val="18"/>
              </w:rPr>
              <w:t>29/54 (54)</w:t>
            </w:r>
          </w:p>
        </w:tc>
        <w:tc>
          <w:tcPr>
            <w:tcW w:w="917" w:type="dxa"/>
            <w:vAlign w:val="center"/>
          </w:tcPr>
          <w:p w:rsidR="00155995" w:rsidRDefault="00155995" w:rsidP="00FC26CD">
            <w:pPr>
              <w:jc w:val="center"/>
              <w:rPr>
                <w:rFonts w:ascii="Arial Narrow" w:hAnsi="Arial Narrow"/>
                <w:i/>
                <w:iCs/>
                <w:sz w:val="18"/>
                <w:szCs w:val="18"/>
              </w:rPr>
            </w:pPr>
            <w:r w:rsidRPr="00BD711E">
              <w:rPr>
                <w:rFonts w:ascii="Arial Narrow" w:hAnsi="Arial Narrow"/>
                <w:i/>
                <w:iCs/>
                <w:sz w:val="18"/>
                <w:szCs w:val="18"/>
              </w:rPr>
              <w:t>4/26 (15)</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3.49 (1.37, 8.89)</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0.38 (0.19, 0.58)</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3 (2,5)</w:t>
            </w:r>
          </w:p>
        </w:tc>
      </w:tr>
      <w:tr w:rsidR="00155995" w:rsidRPr="00A06D36" w:rsidTr="00B051E4">
        <w:tc>
          <w:tcPr>
            <w:tcW w:w="3268" w:type="dxa"/>
            <w:gridSpan w:val="3"/>
            <w:vAlign w:val="center"/>
          </w:tcPr>
          <w:p w:rsidR="00155995" w:rsidRPr="00A06D36" w:rsidRDefault="00155995" w:rsidP="00FC26CD">
            <w:pPr>
              <w:jc w:val="left"/>
              <w:rPr>
                <w:rFonts w:ascii="Arial Narrow" w:hAnsi="Arial Narrow"/>
                <w:b/>
                <w:bCs/>
                <w:i/>
                <w:iCs/>
                <w:sz w:val="18"/>
                <w:szCs w:val="18"/>
              </w:rPr>
            </w:pPr>
            <w:r w:rsidRPr="00A06D36">
              <w:rPr>
                <w:rFonts w:ascii="Arial Narrow" w:hAnsi="Arial Narrow"/>
                <w:b/>
                <w:bCs/>
                <w:i/>
                <w:iCs/>
                <w:sz w:val="18"/>
                <w:szCs w:val="18"/>
              </w:rPr>
              <w:t xml:space="preserve">UST </w:t>
            </w:r>
            <w:r>
              <w:rPr>
                <w:rFonts w:ascii="Arial Narrow" w:hAnsi="Arial Narrow"/>
                <w:b/>
                <w:bCs/>
                <w:i/>
                <w:iCs/>
                <w:sz w:val="18"/>
                <w:szCs w:val="18"/>
              </w:rPr>
              <w:t xml:space="preserve">(ITT, </w:t>
            </w:r>
            <w:r w:rsidRPr="00E51955">
              <w:rPr>
                <w:rFonts w:ascii="Arial Narrow" w:hAnsi="Arial Narrow"/>
                <w:b/>
                <w:bCs/>
                <w:i/>
                <w:iCs/>
                <w:sz w:val="18"/>
                <w:szCs w:val="18"/>
                <w:u w:val="single"/>
              </w:rPr>
              <w:t>24</w:t>
            </w:r>
            <w:r>
              <w:rPr>
                <w:rFonts w:ascii="Arial Narrow" w:hAnsi="Arial Narrow"/>
                <w:b/>
                <w:bCs/>
                <w:i/>
                <w:iCs/>
                <w:sz w:val="18"/>
                <w:szCs w:val="18"/>
              </w:rPr>
              <w:t xml:space="preserve"> weeks)</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i/>
                <w:iCs/>
                <w:sz w:val="16"/>
                <w:szCs w:val="16"/>
              </w:rPr>
            </w:pP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i/>
                <w:iCs/>
                <w:sz w:val="16"/>
                <w:szCs w:val="16"/>
              </w:rPr>
            </w:pP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1432" w:type="dxa"/>
          </w:tcPr>
          <w:p w:rsidR="00155995" w:rsidRPr="00A06D36" w:rsidRDefault="00155995" w:rsidP="00FC26CD">
            <w:pPr>
              <w:rPr>
                <w:rFonts w:ascii="Arial Narrow" w:hAnsi="Arial Narrow"/>
                <w:i/>
                <w:iCs/>
                <w:sz w:val="18"/>
                <w:szCs w:val="18"/>
              </w:rPr>
            </w:pPr>
            <w:r w:rsidRPr="00A06D36">
              <w:rPr>
                <w:rFonts w:ascii="Arial Narrow" w:hAnsi="Arial Narrow"/>
                <w:i/>
                <w:iCs/>
                <w:sz w:val="18"/>
                <w:szCs w:val="18"/>
              </w:rPr>
              <w:t>PSUMMIT-1 45mg</w:t>
            </w:r>
          </w:p>
        </w:tc>
        <w:tc>
          <w:tcPr>
            <w:tcW w:w="919" w:type="dxa"/>
            <w:vAlign w:val="center"/>
          </w:tcPr>
          <w:p w:rsidR="00155995" w:rsidRPr="00A06D36" w:rsidRDefault="00155995" w:rsidP="00FC26CD">
            <w:pPr>
              <w:jc w:val="center"/>
              <w:rPr>
                <w:rFonts w:ascii="Arial Narrow" w:hAnsi="Arial Narrow"/>
                <w:i/>
                <w:iCs/>
                <w:sz w:val="18"/>
                <w:szCs w:val="18"/>
              </w:rPr>
            </w:pPr>
            <w:r w:rsidRPr="005D1E04">
              <w:rPr>
                <w:rFonts w:ascii="Arial Narrow" w:hAnsi="Arial Narrow"/>
                <w:i/>
                <w:iCs/>
                <w:sz w:val="18"/>
                <w:szCs w:val="18"/>
              </w:rPr>
              <w:t>87/205 (42)</w:t>
            </w:r>
          </w:p>
        </w:tc>
        <w:tc>
          <w:tcPr>
            <w:tcW w:w="917" w:type="dxa"/>
            <w:vAlign w:val="center"/>
          </w:tcPr>
          <w:p w:rsidR="00155995" w:rsidRPr="00A06D36" w:rsidRDefault="00155995" w:rsidP="00FC26CD">
            <w:pPr>
              <w:jc w:val="center"/>
              <w:rPr>
                <w:rFonts w:ascii="Arial Narrow" w:hAnsi="Arial Narrow"/>
                <w:i/>
                <w:iCs/>
                <w:sz w:val="18"/>
                <w:szCs w:val="18"/>
              </w:rPr>
            </w:pPr>
            <w:r w:rsidRPr="005D1E04">
              <w:rPr>
                <w:rFonts w:ascii="Arial Narrow" w:hAnsi="Arial Narrow"/>
                <w:i/>
                <w:iCs/>
                <w:sz w:val="18"/>
                <w:szCs w:val="18"/>
              </w:rPr>
              <w:t>47/206 (23)</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1.86 (1.38, 2.50)</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0.20 (0.11, 0.28)</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4 (4,9)</w:t>
            </w:r>
          </w:p>
        </w:tc>
      </w:tr>
      <w:tr w:rsidR="00155995" w:rsidRPr="00A06D36" w:rsidTr="00B051E4">
        <w:tc>
          <w:tcPr>
            <w:tcW w:w="1432" w:type="dxa"/>
          </w:tcPr>
          <w:p w:rsidR="00155995" w:rsidRPr="00A06D36" w:rsidRDefault="00155995" w:rsidP="00FC26CD">
            <w:pPr>
              <w:rPr>
                <w:rFonts w:ascii="Arial Narrow" w:hAnsi="Arial Narrow"/>
                <w:i/>
                <w:iCs/>
                <w:sz w:val="18"/>
                <w:szCs w:val="18"/>
              </w:rPr>
            </w:pPr>
            <w:r w:rsidRPr="00A06D36">
              <w:rPr>
                <w:rFonts w:ascii="Arial Narrow" w:hAnsi="Arial Narrow"/>
                <w:i/>
                <w:iCs/>
                <w:sz w:val="18"/>
                <w:szCs w:val="18"/>
              </w:rPr>
              <w:t>PSUMMIT-2 45mg</w:t>
            </w:r>
          </w:p>
        </w:tc>
        <w:tc>
          <w:tcPr>
            <w:tcW w:w="919" w:type="dxa"/>
            <w:vAlign w:val="center"/>
          </w:tcPr>
          <w:p w:rsidR="00155995" w:rsidRPr="00A06D36" w:rsidRDefault="00155995" w:rsidP="00FC26CD">
            <w:pPr>
              <w:jc w:val="center"/>
              <w:rPr>
                <w:rFonts w:ascii="Arial Narrow" w:hAnsi="Arial Narrow"/>
                <w:i/>
                <w:iCs/>
                <w:sz w:val="18"/>
                <w:szCs w:val="18"/>
              </w:rPr>
            </w:pPr>
            <w:r w:rsidRPr="005D1E04">
              <w:rPr>
                <w:rFonts w:ascii="Arial Narrow" w:hAnsi="Arial Narrow"/>
                <w:sz w:val="18"/>
                <w:szCs w:val="18"/>
              </w:rPr>
              <w:t>45/103 (44)</w:t>
            </w:r>
          </w:p>
        </w:tc>
        <w:tc>
          <w:tcPr>
            <w:tcW w:w="917" w:type="dxa"/>
            <w:vAlign w:val="center"/>
          </w:tcPr>
          <w:p w:rsidR="00155995" w:rsidRPr="00A06D36" w:rsidRDefault="00155995" w:rsidP="00FC26CD">
            <w:pPr>
              <w:jc w:val="center"/>
              <w:rPr>
                <w:rFonts w:ascii="Arial Narrow" w:hAnsi="Arial Narrow"/>
                <w:i/>
                <w:iCs/>
                <w:sz w:val="18"/>
                <w:szCs w:val="18"/>
              </w:rPr>
            </w:pPr>
            <w:r w:rsidRPr="005D1E04">
              <w:rPr>
                <w:rFonts w:ascii="Arial Narrow" w:hAnsi="Arial Narrow"/>
                <w:sz w:val="18"/>
                <w:szCs w:val="18"/>
              </w:rPr>
              <w:t>21/104 (20)</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2.16 (1.39, 3.36)</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0.23 (0.11, 0.36)</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4 (3,9)</w:t>
            </w:r>
          </w:p>
        </w:tc>
      </w:tr>
      <w:tr w:rsidR="00155995" w:rsidRPr="00A06D36" w:rsidTr="00B051E4">
        <w:tc>
          <w:tcPr>
            <w:tcW w:w="1432" w:type="dxa"/>
            <w:vAlign w:val="center"/>
          </w:tcPr>
          <w:p w:rsidR="00155995" w:rsidRPr="00A06D36" w:rsidRDefault="00155995" w:rsidP="00FC26CD">
            <w:pPr>
              <w:jc w:val="right"/>
              <w:rPr>
                <w:rFonts w:ascii="Arial Narrow" w:hAnsi="Arial Narrow"/>
                <w:i/>
                <w:iCs/>
                <w:sz w:val="18"/>
                <w:szCs w:val="18"/>
              </w:rPr>
            </w:pPr>
            <w:r>
              <w:rPr>
                <w:rFonts w:ascii="Arial Narrow" w:hAnsi="Arial Narrow"/>
                <w:sz w:val="18"/>
                <w:szCs w:val="18"/>
              </w:rPr>
              <w:t>Meta-analysis</w:t>
            </w:r>
          </w:p>
        </w:tc>
        <w:tc>
          <w:tcPr>
            <w:tcW w:w="919" w:type="dxa"/>
            <w:vAlign w:val="center"/>
          </w:tcPr>
          <w:p w:rsidR="00155995" w:rsidRPr="00A06D36" w:rsidRDefault="00155995" w:rsidP="00FC26CD">
            <w:pPr>
              <w:jc w:val="center"/>
              <w:rPr>
                <w:rFonts w:ascii="Arial Narrow" w:hAnsi="Arial Narrow"/>
                <w:i/>
                <w:iCs/>
                <w:sz w:val="18"/>
                <w:szCs w:val="18"/>
              </w:rPr>
            </w:pPr>
            <w:r w:rsidRPr="005D1E04">
              <w:rPr>
                <w:rFonts w:ascii="Arial Narrow" w:hAnsi="Arial Narrow"/>
                <w:i/>
                <w:iCs/>
                <w:sz w:val="18"/>
                <w:szCs w:val="18"/>
              </w:rPr>
              <w:t>132/308(43)</w:t>
            </w:r>
          </w:p>
        </w:tc>
        <w:tc>
          <w:tcPr>
            <w:tcW w:w="917" w:type="dxa"/>
            <w:vAlign w:val="center"/>
          </w:tcPr>
          <w:p w:rsidR="00155995" w:rsidRPr="00A06D36" w:rsidRDefault="00155995" w:rsidP="00FC26CD">
            <w:pPr>
              <w:jc w:val="center"/>
              <w:rPr>
                <w:rFonts w:ascii="Arial Narrow" w:hAnsi="Arial Narrow"/>
                <w:i/>
                <w:iCs/>
                <w:sz w:val="18"/>
                <w:szCs w:val="18"/>
              </w:rPr>
            </w:pPr>
            <w:r w:rsidRPr="005D1E04">
              <w:rPr>
                <w:rFonts w:ascii="Arial Narrow" w:hAnsi="Arial Narrow"/>
                <w:i/>
                <w:iCs/>
                <w:sz w:val="18"/>
                <w:szCs w:val="18"/>
              </w:rPr>
              <w:t>68/310 (22)</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1.95 (1.52, 2.50)</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0.21 (0.14, 0.28)</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5 (4,7)</w:t>
            </w:r>
          </w:p>
        </w:tc>
      </w:tr>
      <w:tr w:rsidR="00155995" w:rsidRPr="00A06D36" w:rsidTr="00B051E4">
        <w:tc>
          <w:tcPr>
            <w:tcW w:w="3268" w:type="dxa"/>
            <w:gridSpan w:val="3"/>
            <w:vAlign w:val="center"/>
          </w:tcPr>
          <w:p w:rsidR="00155995" w:rsidRPr="005D1E04" w:rsidRDefault="00155995" w:rsidP="00FC26CD">
            <w:pPr>
              <w:jc w:val="left"/>
              <w:rPr>
                <w:rFonts w:ascii="Arial Narrow" w:hAnsi="Arial Narrow"/>
                <w:i/>
                <w:iCs/>
                <w:sz w:val="18"/>
                <w:szCs w:val="18"/>
              </w:rPr>
            </w:pPr>
            <w:r>
              <w:rPr>
                <w:rFonts w:ascii="Arial Narrow" w:hAnsi="Arial Narrow"/>
                <w:b/>
                <w:bCs/>
                <w:i/>
                <w:iCs/>
                <w:sz w:val="18"/>
                <w:szCs w:val="18"/>
              </w:rPr>
              <w:t>UST</w:t>
            </w:r>
            <w:r w:rsidRPr="00BD711E">
              <w:rPr>
                <w:rFonts w:ascii="Arial Narrow" w:hAnsi="Arial Narrow"/>
                <w:b/>
                <w:bCs/>
                <w:i/>
                <w:iCs/>
                <w:sz w:val="18"/>
                <w:szCs w:val="18"/>
              </w:rPr>
              <w:t xml:space="preserve"> (</w:t>
            </w:r>
            <w:r w:rsidRPr="00BD711E">
              <w:rPr>
                <w:rFonts w:ascii="Arial Narrow" w:hAnsi="Arial Narrow"/>
                <w:b/>
                <w:bCs/>
                <w:i/>
                <w:iCs/>
                <w:color w:val="FF0000"/>
                <w:sz w:val="18"/>
                <w:szCs w:val="18"/>
              </w:rPr>
              <w:t>TNF-α experienced</w:t>
            </w:r>
            <w:r>
              <w:rPr>
                <w:rFonts w:ascii="Arial Narrow" w:hAnsi="Arial Narrow"/>
                <w:b/>
                <w:bCs/>
                <w:i/>
                <w:iCs/>
                <w:sz w:val="18"/>
                <w:szCs w:val="18"/>
              </w:rPr>
              <w:t xml:space="preserve">, </w:t>
            </w:r>
            <w:r w:rsidRPr="002436D9">
              <w:rPr>
                <w:rFonts w:ascii="Arial Narrow" w:hAnsi="Arial Narrow"/>
                <w:b/>
                <w:bCs/>
                <w:i/>
                <w:iCs/>
                <w:sz w:val="18"/>
                <w:szCs w:val="18"/>
                <w:u w:val="single"/>
              </w:rPr>
              <w:t>24</w:t>
            </w:r>
            <w:r w:rsidRPr="00BD711E">
              <w:rPr>
                <w:rFonts w:ascii="Arial Narrow" w:hAnsi="Arial Narrow"/>
                <w:b/>
                <w:bCs/>
                <w:i/>
                <w:iCs/>
                <w:sz w:val="18"/>
                <w:szCs w:val="18"/>
              </w:rPr>
              <w:t xml:space="preserve"> weeks)</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1432" w:type="dxa"/>
            <w:vAlign w:val="center"/>
          </w:tcPr>
          <w:p w:rsidR="00155995" w:rsidRDefault="00155995" w:rsidP="00FC26CD">
            <w:pPr>
              <w:jc w:val="left"/>
              <w:rPr>
                <w:rFonts w:ascii="Arial Narrow" w:hAnsi="Arial Narrow"/>
                <w:sz w:val="18"/>
                <w:szCs w:val="18"/>
              </w:rPr>
            </w:pPr>
            <w:r w:rsidRPr="00A06D36">
              <w:rPr>
                <w:rFonts w:ascii="Arial Narrow" w:hAnsi="Arial Narrow"/>
                <w:i/>
                <w:iCs/>
                <w:sz w:val="18"/>
                <w:szCs w:val="18"/>
              </w:rPr>
              <w:t>PSUMMIT-2 45mg</w:t>
            </w:r>
          </w:p>
        </w:tc>
        <w:tc>
          <w:tcPr>
            <w:tcW w:w="919" w:type="dxa"/>
            <w:vAlign w:val="center"/>
          </w:tcPr>
          <w:p w:rsidR="00155995" w:rsidRPr="005D1E04" w:rsidRDefault="00155995" w:rsidP="00FC26CD">
            <w:pPr>
              <w:jc w:val="center"/>
              <w:rPr>
                <w:rFonts w:ascii="Arial Narrow" w:hAnsi="Arial Narrow"/>
                <w:i/>
                <w:iCs/>
                <w:sz w:val="18"/>
                <w:szCs w:val="18"/>
              </w:rPr>
            </w:pPr>
            <w:r w:rsidRPr="00BD711E">
              <w:rPr>
                <w:rFonts w:ascii="Arial Narrow" w:hAnsi="Arial Narrow"/>
                <w:i/>
                <w:iCs/>
                <w:sz w:val="18"/>
                <w:szCs w:val="18"/>
              </w:rPr>
              <w:t>22/60 (37)</w:t>
            </w:r>
          </w:p>
        </w:tc>
        <w:tc>
          <w:tcPr>
            <w:tcW w:w="917" w:type="dxa"/>
            <w:vAlign w:val="center"/>
          </w:tcPr>
          <w:p w:rsidR="00155995" w:rsidRPr="005D1E04" w:rsidRDefault="00155995" w:rsidP="00FC26CD">
            <w:pPr>
              <w:jc w:val="center"/>
              <w:rPr>
                <w:rFonts w:ascii="Arial Narrow" w:hAnsi="Arial Narrow"/>
                <w:i/>
                <w:iCs/>
                <w:sz w:val="18"/>
                <w:szCs w:val="18"/>
              </w:rPr>
            </w:pPr>
            <w:r w:rsidRPr="00BD711E">
              <w:rPr>
                <w:rFonts w:ascii="Arial Narrow" w:hAnsi="Arial Narrow"/>
                <w:i/>
                <w:iCs/>
                <w:sz w:val="18"/>
                <w:szCs w:val="18"/>
              </w:rPr>
              <w:t>9/62 (15)</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2.53 (1.27, 5.03)</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0.22 (0.07, 0.37)</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5 (3,14)</w:t>
            </w:r>
          </w:p>
        </w:tc>
      </w:tr>
      <w:tr w:rsidR="00155995" w:rsidRPr="00A06D36" w:rsidTr="00B051E4">
        <w:tc>
          <w:tcPr>
            <w:tcW w:w="3268" w:type="dxa"/>
            <w:gridSpan w:val="3"/>
            <w:vAlign w:val="center"/>
          </w:tcPr>
          <w:p w:rsidR="00155995" w:rsidRPr="00A06D36" w:rsidRDefault="00155995" w:rsidP="00FC26CD">
            <w:pPr>
              <w:jc w:val="left"/>
              <w:rPr>
                <w:rFonts w:ascii="Arial Narrow" w:hAnsi="Arial Narrow"/>
                <w:i/>
                <w:iCs/>
                <w:sz w:val="18"/>
                <w:szCs w:val="18"/>
              </w:rPr>
            </w:pPr>
            <w:r w:rsidRPr="00A06D36">
              <w:rPr>
                <w:rFonts w:ascii="Arial Narrow" w:hAnsi="Arial Narrow"/>
                <w:b/>
                <w:bCs/>
                <w:i/>
                <w:iCs/>
                <w:sz w:val="18"/>
                <w:szCs w:val="18"/>
              </w:rPr>
              <w:t xml:space="preserve">SEC </w:t>
            </w:r>
            <w:r>
              <w:rPr>
                <w:rFonts w:ascii="Arial Narrow" w:hAnsi="Arial Narrow"/>
                <w:b/>
                <w:bCs/>
                <w:i/>
                <w:iCs/>
                <w:sz w:val="18"/>
                <w:szCs w:val="18"/>
              </w:rPr>
              <w:t>(ITT, 12 weeks)</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i/>
                <w:iCs/>
                <w:sz w:val="16"/>
                <w:szCs w:val="16"/>
              </w:rPr>
            </w:pP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i/>
                <w:iCs/>
                <w:sz w:val="16"/>
                <w:szCs w:val="16"/>
              </w:rPr>
            </w:pP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1432" w:type="dxa"/>
          </w:tcPr>
          <w:p w:rsidR="00155995" w:rsidRPr="00A06D36" w:rsidRDefault="00155995" w:rsidP="00FC26CD">
            <w:pPr>
              <w:rPr>
                <w:rFonts w:ascii="Arial Narrow" w:hAnsi="Arial Narrow"/>
                <w:i/>
                <w:iCs/>
                <w:sz w:val="18"/>
                <w:szCs w:val="18"/>
              </w:rPr>
            </w:pPr>
            <w:r w:rsidRPr="00A06D36">
              <w:rPr>
                <w:rFonts w:ascii="Arial Narrow" w:hAnsi="Arial Narrow"/>
                <w:i/>
                <w:iCs/>
                <w:sz w:val="18"/>
                <w:szCs w:val="18"/>
              </w:rPr>
              <w:t>FUTURE-2 150mg</w:t>
            </w:r>
          </w:p>
        </w:tc>
        <w:tc>
          <w:tcPr>
            <w:tcW w:w="919" w:type="dxa"/>
            <w:vAlign w:val="center"/>
          </w:tcPr>
          <w:p w:rsidR="00155995" w:rsidRPr="00141195" w:rsidRDefault="00155995" w:rsidP="00FC26CD">
            <w:pPr>
              <w:jc w:val="center"/>
              <w:rPr>
                <w:rFonts w:ascii="Arial Narrow" w:hAnsi="Arial Narrow"/>
                <w:i/>
                <w:iCs/>
                <w:sz w:val="18"/>
                <w:szCs w:val="18"/>
              </w:rPr>
            </w:pPr>
            <w:r w:rsidRPr="00141195">
              <w:rPr>
                <w:rFonts w:ascii="Arial Narrow" w:hAnsi="Arial Narrow"/>
                <w:i/>
                <w:iCs/>
                <w:sz w:val="18"/>
                <w:szCs w:val="18"/>
              </w:rPr>
              <w:t>56/100 (56)</w:t>
            </w:r>
          </w:p>
        </w:tc>
        <w:tc>
          <w:tcPr>
            <w:tcW w:w="917" w:type="dxa"/>
            <w:vAlign w:val="center"/>
          </w:tcPr>
          <w:p w:rsidR="00155995" w:rsidRPr="00141195" w:rsidRDefault="00155995" w:rsidP="00FC26CD">
            <w:pPr>
              <w:jc w:val="center"/>
              <w:rPr>
                <w:rFonts w:ascii="Arial Narrow" w:hAnsi="Arial Narrow"/>
                <w:i/>
                <w:iCs/>
                <w:sz w:val="18"/>
                <w:szCs w:val="18"/>
              </w:rPr>
            </w:pPr>
            <w:r w:rsidRPr="00141195">
              <w:rPr>
                <w:rFonts w:ascii="Arial Narrow" w:hAnsi="Arial Narrow"/>
                <w:i/>
                <w:iCs/>
                <w:sz w:val="18"/>
                <w:szCs w:val="18"/>
              </w:rPr>
              <w:t>25/98 (26)</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2.20 (1.50, 3.21)</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0.30 (0.17, 0.43)</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3 (2,6)</w:t>
            </w:r>
          </w:p>
        </w:tc>
      </w:tr>
      <w:tr w:rsidR="00155995" w:rsidRPr="00A06D36" w:rsidTr="00B051E4">
        <w:tc>
          <w:tcPr>
            <w:tcW w:w="1432" w:type="dxa"/>
          </w:tcPr>
          <w:p w:rsidR="00155995" w:rsidRPr="00A06D36" w:rsidRDefault="00155995" w:rsidP="00FC26CD">
            <w:pPr>
              <w:rPr>
                <w:rFonts w:ascii="Arial Narrow" w:hAnsi="Arial Narrow"/>
                <w:i/>
                <w:iCs/>
                <w:sz w:val="18"/>
                <w:szCs w:val="18"/>
              </w:rPr>
            </w:pPr>
            <w:r w:rsidRPr="00A06D36">
              <w:rPr>
                <w:rFonts w:ascii="Arial Narrow" w:hAnsi="Arial Narrow"/>
                <w:i/>
                <w:iCs/>
                <w:sz w:val="18"/>
                <w:szCs w:val="18"/>
              </w:rPr>
              <w:t>FUTURE-2 300mg</w:t>
            </w:r>
          </w:p>
        </w:tc>
        <w:tc>
          <w:tcPr>
            <w:tcW w:w="919" w:type="dxa"/>
            <w:vAlign w:val="center"/>
          </w:tcPr>
          <w:p w:rsidR="00155995" w:rsidRPr="00141195" w:rsidRDefault="00155995" w:rsidP="00FC26CD">
            <w:pPr>
              <w:jc w:val="center"/>
              <w:rPr>
                <w:rFonts w:ascii="Arial Narrow" w:hAnsi="Arial Narrow"/>
                <w:i/>
                <w:iCs/>
                <w:sz w:val="18"/>
                <w:szCs w:val="18"/>
              </w:rPr>
            </w:pPr>
            <w:r w:rsidRPr="00141195">
              <w:rPr>
                <w:rFonts w:ascii="Arial Narrow" w:hAnsi="Arial Narrow"/>
                <w:i/>
                <w:iCs/>
                <w:sz w:val="18"/>
                <w:szCs w:val="18"/>
              </w:rPr>
              <w:t>57/100 (57)</w:t>
            </w:r>
          </w:p>
        </w:tc>
        <w:tc>
          <w:tcPr>
            <w:tcW w:w="917" w:type="dxa"/>
            <w:vAlign w:val="center"/>
          </w:tcPr>
          <w:p w:rsidR="00155995" w:rsidRPr="00141195" w:rsidRDefault="00155995" w:rsidP="00FC26CD">
            <w:pPr>
              <w:jc w:val="center"/>
              <w:rPr>
                <w:rFonts w:ascii="Arial Narrow" w:hAnsi="Arial Narrow"/>
                <w:i/>
                <w:iCs/>
                <w:sz w:val="18"/>
                <w:szCs w:val="18"/>
              </w:rPr>
            </w:pPr>
            <w:r w:rsidRPr="00141195">
              <w:rPr>
                <w:rFonts w:ascii="Arial Narrow" w:hAnsi="Arial Narrow"/>
                <w:i/>
                <w:iCs/>
                <w:sz w:val="18"/>
                <w:szCs w:val="18"/>
              </w:rPr>
              <w:t>25/98 (26)</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2.23 (1.53, 3.26)</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0.31 (0.19, 0.44)</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3 (2,5)</w:t>
            </w:r>
          </w:p>
        </w:tc>
      </w:tr>
      <w:tr w:rsidR="00155995" w:rsidRPr="00A06D36" w:rsidTr="00B051E4">
        <w:tc>
          <w:tcPr>
            <w:tcW w:w="1432" w:type="dxa"/>
            <w:vAlign w:val="center"/>
          </w:tcPr>
          <w:p w:rsidR="00155995" w:rsidRPr="00A06D36" w:rsidRDefault="00155995" w:rsidP="00FC26CD">
            <w:pPr>
              <w:jc w:val="right"/>
              <w:rPr>
                <w:rFonts w:ascii="Arial Narrow" w:hAnsi="Arial Narrow"/>
                <w:i/>
                <w:iCs/>
                <w:sz w:val="18"/>
                <w:szCs w:val="18"/>
              </w:rPr>
            </w:pPr>
            <w:r w:rsidRPr="00A06D36">
              <w:rPr>
                <w:rFonts w:ascii="Arial Narrow" w:hAnsi="Arial Narrow"/>
                <w:i/>
                <w:iCs/>
                <w:sz w:val="18"/>
                <w:szCs w:val="18"/>
              </w:rPr>
              <w:t>Pooled</w:t>
            </w:r>
          </w:p>
        </w:tc>
        <w:tc>
          <w:tcPr>
            <w:tcW w:w="919" w:type="dxa"/>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113/200 (57)</w:t>
            </w:r>
          </w:p>
        </w:tc>
        <w:tc>
          <w:tcPr>
            <w:tcW w:w="917" w:type="dxa"/>
            <w:vAlign w:val="center"/>
          </w:tcPr>
          <w:p w:rsidR="00155995" w:rsidRPr="00A06D36" w:rsidRDefault="00155995" w:rsidP="00FC26CD">
            <w:pPr>
              <w:jc w:val="center"/>
              <w:rPr>
                <w:rFonts w:ascii="Arial Narrow" w:hAnsi="Arial Narrow"/>
                <w:i/>
                <w:iCs/>
                <w:sz w:val="18"/>
                <w:szCs w:val="18"/>
              </w:rPr>
            </w:pPr>
            <w:r w:rsidRPr="00141195">
              <w:rPr>
                <w:rFonts w:ascii="Arial Narrow" w:hAnsi="Arial Narrow"/>
                <w:i/>
                <w:iCs/>
                <w:sz w:val="18"/>
                <w:szCs w:val="18"/>
              </w:rPr>
              <w:t>25/98 (26)</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2.21 (1.55, 3.17)</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0.31 (0.20, 0.42)</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3 (2,5)</w:t>
            </w:r>
          </w:p>
        </w:tc>
      </w:tr>
      <w:tr w:rsidR="00155995" w:rsidRPr="00A06D36" w:rsidTr="00B051E4">
        <w:tc>
          <w:tcPr>
            <w:tcW w:w="3268" w:type="dxa"/>
            <w:gridSpan w:val="3"/>
            <w:vAlign w:val="center"/>
          </w:tcPr>
          <w:p w:rsidR="00155995" w:rsidRPr="00141195" w:rsidRDefault="00155995" w:rsidP="00FC26CD">
            <w:pPr>
              <w:jc w:val="left"/>
              <w:rPr>
                <w:rFonts w:ascii="Arial Narrow" w:hAnsi="Arial Narrow"/>
                <w:i/>
                <w:iCs/>
                <w:sz w:val="18"/>
                <w:szCs w:val="18"/>
              </w:rPr>
            </w:pPr>
            <w:r>
              <w:rPr>
                <w:rFonts w:ascii="Arial Narrow" w:hAnsi="Arial Narrow"/>
                <w:b/>
                <w:bCs/>
                <w:i/>
                <w:iCs/>
                <w:sz w:val="18"/>
                <w:szCs w:val="18"/>
              </w:rPr>
              <w:t>SEC</w:t>
            </w:r>
            <w:r w:rsidRPr="004F34A8">
              <w:rPr>
                <w:rFonts w:ascii="Arial Narrow" w:hAnsi="Arial Narrow"/>
                <w:b/>
                <w:bCs/>
                <w:i/>
                <w:iCs/>
                <w:sz w:val="18"/>
                <w:szCs w:val="18"/>
              </w:rPr>
              <w:t xml:space="preserve"> </w:t>
            </w:r>
            <w:r>
              <w:rPr>
                <w:rFonts w:ascii="Arial Narrow" w:hAnsi="Arial Narrow"/>
                <w:b/>
                <w:bCs/>
                <w:i/>
                <w:iCs/>
                <w:sz w:val="18"/>
                <w:szCs w:val="18"/>
              </w:rPr>
              <w:t>(</w:t>
            </w:r>
            <w:r w:rsidRPr="00BD711E">
              <w:rPr>
                <w:rFonts w:ascii="Arial Narrow" w:hAnsi="Arial Narrow"/>
                <w:b/>
                <w:bCs/>
                <w:i/>
                <w:iCs/>
                <w:color w:val="FF0000"/>
                <w:sz w:val="18"/>
                <w:szCs w:val="18"/>
              </w:rPr>
              <w:t>TNF-α experienced</w:t>
            </w:r>
            <w:r w:rsidRPr="004F34A8">
              <w:rPr>
                <w:rFonts w:ascii="Arial Narrow" w:hAnsi="Arial Narrow"/>
                <w:b/>
                <w:bCs/>
                <w:i/>
                <w:iCs/>
                <w:sz w:val="18"/>
                <w:szCs w:val="18"/>
              </w:rPr>
              <w:t xml:space="preserve">, </w:t>
            </w:r>
            <w:r>
              <w:rPr>
                <w:rFonts w:ascii="Arial Narrow" w:hAnsi="Arial Narrow"/>
                <w:b/>
                <w:bCs/>
                <w:i/>
                <w:iCs/>
                <w:sz w:val="18"/>
                <w:szCs w:val="18"/>
                <w:u w:val="single"/>
              </w:rPr>
              <w:t>12</w:t>
            </w:r>
            <w:r w:rsidRPr="004F34A8">
              <w:rPr>
                <w:rFonts w:ascii="Arial Narrow" w:hAnsi="Arial Narrow"/>
                <w:b/>
                <w:bCs/>
                <w:i/>
                <w:iCs/>
                <w:sz w:val="18"/>
                <w:szCs w:val="18"/>
              </w:rPr>
              <w:t xml:space="preserve"> weeks)</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1432" w:type="dxa"/>
          </w:tcPr>
          <w:p w:rsidR="00155995" w:rsidRPr="00A06D36" w:rsidRDefault="00155995" w:rsidP="00FC26CD">
            <w:pPr>
              <w:jc w:val="right"/>
              <w:rPr>
                <w:rFonts w:ascii="Arial Narrow" w:hAnsi="Arial Narrow"/>
                <w:i/>
                <w:iCs/>
                <w:sz w:val="18"/>
                <w:szCs w:val="18"/>
              </w:rPr>
            </w:pPr>
            <w:r w:rsidRPr="00A06D36">
              <w:rPr>
                <w:rFonts w:ascii="Arial Narrow" w:hAnsi="Arial Narrow"/>
                <w:i/>
                <w:iCs/>
                <w:sz w:val="18"/>
                <w:szCs w:val="18"/>
              </w:rPr>
              <w:t>FUTURE-2 150mg</w:t>
            </w:r>
          </w:p>
        </w:tc>
        <w:tc>
          <w:tcPr>
            <w:tcW w:w="919" w:type="dxa"/>
            <w:vAlign w:val="center"/>
          </w:tcPr>
          <w:p w:rsidR="00155995" w:rsidRDefault="00155995" w:rsidP="00FC26CD">
            <w:pPr>
              <w:jc w:val="center"/>
              <w:rPr>
                <w:rFonts w:ascii="Arial Narrow" w:hAnsi="Arial Narrow"/>
                <w:i/>
                <w:iCs/>
                <w:sz w:val="18"/>
                <w:szCs w:val="18"/>
              </w:rPr>
            </w:pPr>
            <w:r>
              <w:rPr>
                <w:rFonts w:ascii="Arial Narrow" w:hAnsi="Arial Narrow"/>
                <w:i/>
                <w:iCs/>
                <w:sz w:val="18"/>
                <w:szCs w:val="18"/>
              </w:rPr>
              <w:t>NR</w:t>
            </w:r>
          </w:p>
        </w:tc>
        <w:tc>
          <w:tcPr>
            <w:tcW w:w="917" w:type="dxa"/>
            <w:vAlign w:val="center"/>
          </w:tcPr>
          <w:p w:rsidR="00155995" w:rsidRPr="00141195" w:rsidRDefault="00155995" w:rsidP="00FC26CD">
            <w:pPr>
              <w:jc w:val="center"/>
              <w:rPr>
                <w:rFonts w:ascii="Arial Narrow" w:hAnsi="Arial Narrow"/>
                <w:i/>
                <w:iCs/>
                <w:sz w:val="18"/>
                <w:szCs w:val="18"/>
              </w:rPr>
            </w:pPr>
            <w:r>
              <w:rPr>
                <w:rFonts w:ascii="Arial Narrow" w:hAnsi="Arial Narrow"/>
                <w:i/>
                <w:iCs/>
                <w:sz w:val="18"/>
                <w:szCs w:val="18"/>
              </w:rPr>
              <w:t>NR</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1432" w:type="dxa"/>
          </w:tcPr>
          <w:p w:rsidR="00155995" w:rsidRPr="00A06D36" w:rsidRDefault="00155995" w:rsidP="00FC26CD">
            <w:pPr>
              <w:jc w:val="right"/>
              <w:rPr>
                <w:rFonts w:ascii="Arial Narrow" w:hAnsi="Arial Narrow"/>
                <w:i/>
                <w:iCs/>
                <w:sz w:val="18"/>
                <w:szCs w:val="18"/>
              </w:rPr>
            </w:pPr>
            <w:r w:rsidRPr="00A06D36">
              <w:rPr>
                <w:rFonts w:ascii="Arial Narrow" w:hAnsi="Arial Narrow"/>
                <w:i/>
                <w:iCs/>
                <w:sz w:val="18"/>
                <w:szCs w:val="18"/>
              </w:rPr>
              <w:t>FUTURE-2 300mg</w:t>
            </w:r>
          </w:p>
        </w:tc>
        <w:tc>
          <w:tcPr>
            <w:tcW w:w="919" w:type="dxa"/>
            <w:vAlign w:val="center"/>
          </w:tcPr>
          <w:p w:rsidR="00155995" w:rsidRDefault="00155995" w:rsidP="00FC26CD">
            <w:pPr>
              <w:jc w:val="center"/>
              <w:rPr>
                <w:rFonts w:ascii="Arial Narrow" w:hAnsi="Arial Narrow"/>
                <w:i/>
                <w:iCs/>
                <w:sz w:val="18"/>
                <w:szCs w:val="18"/>
              </w:rPr>
            </w:pPr>
            <w:r>
              <w:rPr>
                <w:rFonts w:ascii="Arial Narrow" w:hAnsi="Arial Narrow"/>
                <w:i/>
                <w:iCs/>
                <w:sz w:val="18"/>
                <w:szCs w:val="18"/>
              </w:rPr>
              <w:t>NR</w:t>
            </w:r>
          </w:p>
        </w:tc>
        <w:tc>
          <w:tcPr>
            <w:tcW w:w="917" w:type="dxa"/>
            <w:vAlign w:val="center"/>
          </w:tcPr>
          <w:p w:rsidR="00155995" w:rsidRPr="00141195" w:rsidRDefault="00155995" w:rsidP="00FC26CD">
            <w:pPr>
              <w:jc w:val="center"/>
              <w:rPr>
                <w:rFonts w:ascii="Arial Narrow" w:hAnsi="Arial Narrow"/>
                <w:i/>
                <w:iCs/>
                <w:sz w:val="18"/>
                <w:szCs w:val="18"/>
              </w:rPr>
            </w:pPr>
            <w:r>
              <w:rPr>
                <w:rFonts w:ascii="Arial Narrow" w:hAnsi="Arial Narrow"/>
                <w:i/>
                <w:iCs/>
                <w:sz w:val="18"/>
                <w:szCs w:val="18"/>
              </w:rPr>
              <w:t>NR</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1432" w:type="dxa"/>
            <w:vAlign w:val="center"/>
          </w:tcPr>
          <w:p w:rsidR="00155995" w:rsidRPr="00A06D36" w:rsidRDefault="00155995" w:rsidP="00FC26CD">
            <w:pPr>
              <w:jc w:val="right"/>
              <w:rPr>
                <w:rFonts w:ascii="Arial Narrow" w:hAnsi="Arial Narrow"/>
                <w:i/>
                <w:iCs/>
                <w:sz w:val="18"/>
                <w:szCs w:val="18"/>
              </w:rPr>
            </w:pPr>
            <w:r w:rsidRPr="00A06D36">
              <w:rPr>
                <w:rFonts w:ascii="Arial Narrow" w:hAnsi="Arial Narrow"/>
                <w:i/>
                <w:iCs/>
                <w:sz w:val="18"/>
                <w:szCs w:val="18"/>
              </w:rPr>
              <w:t>Pooled</w:t>
            </w:r>
          </w:p>
        </w:tc>
        <w:tc>
          <w:tcPr>
            <w:tcW w:w="919" w:type="dxa"/>
            <w:vAlign w:val="center"/>
          </w:tcPr>
          <w:p w:rsidR="00155995" w:rsidRDefault="00155995" w:rsidP="00FC26CD">
            <w:pPr>
              <w:jc w:val="center"/>
              <w:rPr>
                <w:rFonts w:ascii="Arial Narrow" w:hAnsi="Arial Narrow"/>
                <w:i/>
                <w:iCs/>
                <w:sz w:val="18"/>
                <w:szCs w:val="18"/>
              </w:rPr>
            </w:pPr>
            <w:r>
              <w:rPr>
                <w:rFonts w:ascii="Arial Narrow" w:hAnsi="Arial Narrow"/>
                <w:i/>
                <w:iCs/>
                <w:sz w:val="18"/>
                <w:szCs w:val="18"/>
              </w:rPr>
              <w:t>NR</w:t>
            </w:r>
          </w:p>
        </w:tc>
        <w:tc>
          <w:tcPr>
            <w:tcW w:w="917" w:type="dxa"/>
            <w:vAlign w:val="center"/>
          </w:tcPr>
          <w:p w:rsidR="00155995" w:rsidRPr="00141195" w:rsidRDefault="00155995" w:rsidP="00FC26CD">
            <w:pPr>
              <w:jc w:val="center"/>
              <w:rPr>
                <w:rFonts w:ascii="Arial Narrow" w:hAnsi="Arial Narrow"/>
                <w:i/>
                <w:iCs/>
                <w:sz w:val="18"/>
                <w:szCs w:val="18"/>
              </w:rPr>
            </w:pPr>
            <w:r>
              <w:rPr>
                <w:rFonts w:ascii="Arial Narrow" w:hAnsi="Arial Narrow"/>
                <w:i/>
                <w:iCs/>
                <w:sz w:val="18"/>
                <w:szCs w:val="18"/>
              </w:rPr>
              <w:t>NR</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3268" w:type="dxa"/>
            <w:gridSpan w:val="3"/>
            <w:vAlign w:val="center"/>
          </w:tcPr>
          <w:p w:rsidR="00155995" w:rsidRDefault="00155995" w:rsidP="00FC26CD">
            <w:pPr>
              <w:jc w:val="left"/>
              <w:rPr>
                <w:rFonts w:ascii="Arial Narrow" w:hAnsi="Arial Narrow"/>
                <w:i/>
                <w:iCs/>
                <w:sz w:val="18"/>
                <w:szCs w:val="18"/>
              </w:rPr>
            </w:pPr>
            <w:r>
              <w:rPr>
                <w:rFonts w:ascii="Arial Narrow" w:hAnsi="Arial Narrow"/>
                <w:b/>
                <w:bCs/>
                <w:i/>
                <w:iCs/>
                <w:sz w:val="18"/>
                <w:szCs w:val="18"/>
              </w:rPr>
              <w:t xml:space="preserve">All - </w:t>
            </w:r>
            <w:r w:rsidRPr="003C5845">
              <w:rPr>
                <w:rFonts w:ascii="Arial Narrow" w:hAnsi="Arial Narrow"/>
                <w:b/>
                <w:bCs/>
                <w:i/>
                <w:iCs/>
                <w:sz w:val="18"/>
                <w:szCs w:val="18"/>
              </w:rPr>
              <w:t>CZP,UST,SEC (IT</w:t>
            </w:r>
            <w:r>
              <w:rPr>
                <w:rFonts w:ascii="Arial Narrow" w:hAnsi="Arial Narrow"/>
                <w:b/>
                <w:bCs/>
                <w:i/>
                <w:iCs/>
                <w:sz w:val="18"/>
                <w:szCs w:val="18"/>
              </w:rPr>
              <w:t>T</w:t>
            </w:r>
            <w:r w:rsidRPr="003C5845">
              <w:rPr>
                <w:rFonts w:ascii="Arial Narrow" w:hAnsi="Arial Narrow"/>
                <w:b/>
                <w:bCs/>
                <w:i/>
                <w:iCs/>
                <w:sz w:val="18"/>
                <w:szCs w:val="18"/>
              </w:rPr>
              <w:t>)</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1432" w:type="dxa"/>
            <w:vAlign w:val="center"/>
          </w:tcPr>
          <w:p w:rsidR="00155995" w:rsidRPr="00F0304F" w:rsidRDefault="00155995" w:rsidP="00FC26CD">
            <w:pPr>
              <w:jc w:val="right"/>
              <w:rPr>
                <w:rFonts w:ascii="Arial Narrow" w:hAnsi="Arial Narrow"/>
                <w:i/>
                <w:iCs/>
                <w:sz w:val="18"/>
                <w:szCs w:val="18"/>
              </w:rPr>
            </w:pPr>
            <w:r w:rsidRPr="00F0304F">
              <w:rPr>
                <w:rFonts w:ascii="Arial Narrow" w:hAnsi="Arial Narrow"/>
                <w:i/>
                <w:iCs/>
                <w:sz w:val="18"/>
                <w:szCs w:val="18"/>
              </w:rPr>
              <w:t>Meta-analysis</w:t>
            </w:r>
          </w:p>
        </w:tc>
        <w:tc>
          <w:tcPr>
            <w:tcW w:w="919" w:type="dxa"/>
            <w:vAlign w:val="center"/>
          </w:tcPr>
          <w:p w:rsidR="00155995" w:rsidRPr="00F0304F" w:rsidRDefault="00155995" w:rsidP="00FC26CD">
            <w:pPr>
              <w:jc w:val="center"/>
              <w:rPr>
                <w:rFonts w:ascii="Arial Narrow" w:hAnsi="Arial Narrow"/>
                <w:i/>
                <w:iCs/>
                <w:sz w:val="18"/>
                <w:szCs w:val="18"/>
              </w:rPr>
            </w:pPr>
            <w:r>
              <w:rPr>
                <w:rFonts w:ascii="Arial Narrow" w:hAnsi="Arial Narrow"/>
                <w:i/>
                <w:iCs/>
                <w:sz w:val="18"/>
                <w:szCs w:val="18"/>
              </w:rPr>
              <w:t>395/781 (51)</w:t>
            </w:r>
          </w:p>
        </w:tc>
        <w:tc>
          <w:tcPr>
            <w:tcW w:w="917" w:type="dxa"/>
            <w:vAlign w:val="center"/>
          </w:tcPr>
          <w:p w:rsidR="00155995" w:rsidRPr="00F0304F" w:rsidRDefault="00155995" w:rsidP="00FC26CD">
            <w:pPr>
              <w:jc w:val="center"/>
              <w:rPr>
                <w:rFonts w:ascii="Arial Narrow" w:hAnsi="Arial Narrow"/>
                <w:i/>
                <w:iCs/>
                <w:sz w:val="18"/>
                <w:szCs w:val="18"/>
              </w:rPr>
            </w:pPr>
            <w:r>
              <w:rPr>
                <w:rFonts w:ascii="Arial Narrow" w:hAnsi="Arial Narrow"/>
                <w:i/>
                <w:iCs/>
                <w:sz w:val="18"/>
                <w:szCs w:val="18"/>
              </w:rPr>
              <w:t>126/544 (23)</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2.10 (1.77, 2.49)</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0.26 (0.20, 0.32)</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4 (3,5)</w:t>
            </w:r>
          </w:p>
        </w:tc>
      </w:tr>
      <w:tr w:rsidR="00155995" w:rsidRPr="00A06D36" w:rsidTr="00B051E4">
        <w:tc>
          <w:tcPr>
            <w:tcW w:w="3268" w:type="dxa"/>
            <w:gridSpan w:val="3"/>
            <w:vAlign w:val="center"/>
          </w:tcPr>
          <w:p w:rsidR="00155995" w:rsidRDefault="00155995" w:rsidP="00FC26CD">
            <w:pPr>
              <w:jc w:val="left"/>
              <w:rPr>
                <w:rFonts w:ascii="Arial Narrow" w:hAnsi="Arial Narrow"/>
                <w:i/>
                <w:iCs/>
                <w:sz w:val="18"/>
                <w:szCs w:val="18"/>
              </w:rPr>
            </w:pPr>
            <w:r>
              <w:rPr>
                <w:rFonts w:ascii="Arial Narrow" w:hAnsi="Arial Narrow"/>
                <w:b/>
                <w:bCs/>
                <w:i/>
                <w:iCs/>
                <w:sz w:val="18"/>
                <w:szCs w:val="18"/>
              </w:rPr>
              <w:t xml:space="preserve">All - </w:t>
            </w:r>
            <w:r w:rsidRPr="003C5845">
              <w:rPr>
                <w:rFonts w:ascii="Arial Narrow" w:hAnsi="Arial Narrow"/>
                <w:b/>
                <w:bCs/>
                <w:i/>
                <w:iCs/>
                <w:sz w:val="18"/>
                <w:szCs w:val="18"/>
              </w:rPr>
              <w:t>CZP,</w:t>
            </w:r>
            <w:r>
              <w:rPr>
                <w:rFonts w:ascii="Arial Narrow" w:hAnsi="Arial Narrow"/>
                <w:b/>
                <w:bCs/>
                <w:i/>
                <w:iCs/>
                <w:sz w:val="18"/>
                <w:szCs w:val="18"/>
              </w:rPr>
              <w:t>UST</w:t>
            </w:r>
            <w:r w:rsidRPr="003C5845">
              <w:rPr>
                <w:rFonts w:ascii="Arial Narrow" w:hAnsi="Arial Narrow"/>
                <w:b/>
                <w:bCs/>
                <w:i/>
                <w:iCs/>
                <w:sz w:val="18"/>
                <w:szCs w:val="18"/>
              </w:rPr>
              <w:t xml:space="preserve"> (</w:t>
            </w:r>
            <w:r w:rsidRPr="00BD711E">
              <w:rPr>
                <w:rFonts w:ascii="Arial Narrow" w:hAnsi="Arial Narrow"/>
                <w:b/>
                <w:bCs/>
                <w:i/>
                <w:iCs/>
                <w:color w:val="FF0000"/>
                <w:sz w:val="18"/>
                <w:szCs w:val="18"/>
              </w:rPr>
              <w:t>TNF-α experienced</w:t>
            </w:r>
            <w:r w:rsidRPr="003C5845">
              <w:rPr>
                <w:rFonts w:ascii="Arial Narrow" w:hAnsi="Arial Narrow"/>
                <w:b/>
                <w:bCs/>
                <w:i/>
                <w:iCs/>
                <w:sz w:val="18"/>
                <w:szCs w:val="18"/>
              </w:rPr>
              <w:t>)</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1432" w:type="dxa"/>
            <w:vAlign w:val="center"/>
          </w:tcPr>
          <w:p w:rsidR="00155995" w:rsidRPr="00F0304F" w:rsidRDefault="00155995" w:rsidP="00FC26CD">
            <w:pPr>
              <w:jc w:val="right"/>
              <w:rPr>
                <w:rFonts w:ascii="Arial Narrow" w:hAnsi="Arial Narrow"/>
                <w:i/>
                <w:iCs/>
                <w:sz w:val="18"/>
                <w:szCs w:val="18"/>
              </w:rPr>
            </w:pPr>
            <w:r w:rsidRPr="00F0304F">
              <w:rPr>
                <w:rFonts w:ascii="Arial Narrow" w:hAnsi="Arial Narrow"/>
                <w:i/>
                <w:iCs/>
                <w:sz w:val="18"/>
                <w:szCs w:val="18"/>
              </w:rPr>
              <w:t>Meta-analysis</w:t>
            </w:r>
          </w:p>
        </w:tc>
        <w:tc>
          <w:tcPr>
            <w:tcW w:w="919" w:type="dxa"/>
            <w:vAlign w:val="center"/>
          </w:tcPr>
          <w:p w:rsidR="00155995" w:rsidRPr="00F0304F" w:rsidRDefault="00155995" w:rsidP="00FC26CD">
            <w:pPr>
              <w:jc w:val="center"/>
              <w:rPr>
                <w:rFonts w:ascii="Arial Narrow" w:hAnsi="Arial Narrow"/>
                <w:i/>
                <w:iCs/>
                <w:sz w:val="18"/>
                <w:szCs w:val="18"/>
              </w:rPr>
            </w:pPr>
            <w:r>
              <w:rPr>
                <w:rFonts w:ascii="Arial Narrow" w:hAnsi="Arial Narrow"/>
                <w:i/>
                <w:iCs/>
                <w:sz w:val="18"/>
                <w:szCs w:val="18"/>
              </w:rPr>
              <w:t>51/114 (45)</w:t>
            </w:r>
          </w:p>
        </w:tc>
        <w:tc>
          <w:tcPr>
            <w:tcW w:w="917" w:type="dxa"/>
            <w:vAlign w:val="center"/>
          </w:tcPr>
          <w:p w:rsidR="00155995" w:rsidRPr="00F0304F" w:rsidRDefault="00155995" w:rsidP="00FC26CD">
            <w:pPr>
              <w:jc w:val="center"/>
              <w:rPr>
                <w:rFonts w:ascii="Arial Narrow" w:hAnsi="Arial Narrow"/>
                <w:i/>
                <w:iCs/>
                <w:sz w:val="18"/>
                <w:szCs w:val="18"/>
              </w:rPr>
            </w:pPr>
            <w:r>
              <w:rPr>
                <w:rFonts w:ascii="Arial Narrow" w:hAnsi="Arial Narrow"/>
                <w:i/>
                <w:iCs/>
                <w:sz w:val="18"/>
                <w:szCs w:val="18"/>
              </w:rPr>
              <w:t>13/88 (15)</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2.83 (1.63, 4.93)</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0.29 (0.13, 0.45)</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3 (2,8)</w:t>
            </w:r>
          </w:p>
        </w:tc>
      </w:tr>
      <w:tr w:rsidR="00155995" w:rsidRPr="00A06D36" w:rsidTr="00B051E4">
        <w:tc>
          <w:tcPr>
            <w:tcW w:w="3268" w:type="dxa"/>
            <w:gridSpan w:val="3"/>
            <w:vAlign w:val="center"/>
          </w:tcPr>
          <w:p w:rsidR="00155995" w:rsidRPr="00A06D36" w:rsidRDefault="00155995" w:rsidP="00FC26CD">
            <w:pPr>
              <w:jc w:val="left"/>
              <w:rPr>
                <w:rFonts w:ascii="Arial Narrow" w:hAnsi="Arial Narrow"/>
                <w:b/>
                <w:bCs/>
                <w:i/>
                <w:iCs/>
                <w:sz w:val="18"/>
                <w:szCs w:val="18"/>
              </w:rPr>
            </w:pPr>
            <w:r w:rsidRPr="00A06D36">
              <w:rPr>
                <w:rFonts w:ascii="Arial Narrow" w:hAnsi="Arial Narrow"/>
                <w:b/>
                <w:bCs/>
                <w:i/>
                <w:iCs/>
                <w:sz w:val="18"/>
                <w:szCs w:val="18"/>
              </w:rPr>
              <w:t>Indirect comparisons</w:t>
            </w:r>
            <w:r>
              <w:rPr>
                <w:rFonts w:ascii="Arial Narrow" w:hAnsi="Arial Narrow"/>
                <w:b/>
                <w:bCs/>
                <w:i/>
                <w:iCs/>
                <w:sz w:val="18"/>
                <w:szCs w:val="18"/>
              </w:rPr>
              <w:t>, ITT</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i/>
                <w:iCs/>
                <w:sz w:val="16"/>
                <w:szCs w:val="16"/>
              </w:rPr>
            </w:pP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i/>
                <w:iCs/>
                <w:sz w:val="16"/>
                <w:szCs w:val="16"/>
              </w:rPr>
            </w:pP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3268" w:type="dxa"/>
            <w:gridSpan w:val="3"/>
            <w:vAlign w:val="center"/>
          </w:tcPr>
          <w:p w:rsidR="00155995" w:rsidRPr="005D5B68" w:rsidRDefault="00155995" w:rsidP="00FC26CD">
            <w:pPr>
              <w:ind w:left="142"/>
              <w:jc w:val="left"/>
              <w:rPr>
                <w:rFonts w:ascii="Arial Narrow" w:hAnsi="Arial Narrow"/>
                <w:i/>
                <w:iCs/>
                <w:sz w:val="18"/>
                <w:szCs w:val="18"/>
              </w:rPr>
            </w:pPr>
            <w:r w:rsidRPr="005D5B68">
              <w:rPr>
                <w:rFonts w:ascii="Arial Narrow" w:hAnsi="Arial Narrow"/>
                <w:i/>
                <w:iCs/>
                <w:sz w:val="18"/>
                <w:szCs w:val="18"/>
              </w:rPr>
              <w:t>ABA (meta-analysis) vs CZP (pooled)</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6279E0" w:rsidRDefault="00155995" w:rsidP="00FC26CD">
            <w:pPr>
              <w:jc w:val="center"/>
              <w:rPr>
                <w:rFonts w:ascii="Arial Narrow" w:hAnsi="Arial Narrow"/>
                <w:b/>
                <w:bCs/>
                <w:i/>
                <w:iCs/>
                <w:sz w:val="16"/>
                <w:szCs w:val="16"/>
              </w:rPr>
            </w:pPr>
            <w:r w:rsidRPr="006279E0">
              <w:rPr>
                <w:rFonts w:ascii="Arial Narrow" w:hAnsi="Arial Narrow"/>
                <w:b/>
                <w:bCs/>
                <w:i/>
                <w:iCs/>
                <w:sz w:val="16"/>
                <w:szCs w:val="16"/>
              </w:rPr>
              <w:t>0.61 (0.41, 0.91)</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-0.20 (-0.33,-0.07)</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A06D36" w:rsidTr="00B051E4">
        <w:tc>
          <w:tcPr>
            <w:tcW w:w="3268" w:type="dxa"/>
            <w:gridSpan w:val="3"/>
            <w:vAlign w:val="center"/>
          </w:tcPr>
          <w:p w:rsidR="00155995" w:rsidRPr="005D5B68" w:rsidRDefault="00155995" w:rsidP="00FC26CD">
            <w:pPr>
              <w:ind w:left="142"/>
              <w:jc w:val="left"/>
              <w:rPr>
                <w:rFonts w:ascii="Arial Narrow" w:hAnsi="Arial Narrow"/>
                <w:i/>
                <w:iCs/>
                <w:sz w:val="18"/>
                <w:szCs w:val="18"/>
              </w:rPr>
            </w:pPr>
            <w:r w:rsidRPr="005D5B68">
              <w:rPr>
                <w:rFonts w:ascii="Arial Narrow" w:hAnsi="Arial Narrow"/>
                <w:i/>
                <w:iCs/>
                <w:sz w:val="18"/>
                <w:szCs w:val="18"/>
              </w:rPr>
              <w:t>ABA (meta-analysis) vs UST (meta-analysis)</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3B236B" w:rsidRDefault="00155995" w:rsidP="00FC26CD">
            <w:pPr>
              <w:jc w:val="center"/>
              <w:rPr>
                <w:rFonts w:ascii="Arial Narrow" w:hAnsi="Arial Narrow"/>
                <w:b/>
                <w:bCs/>
                <w:i/>
                <w:iCs/>
                <w:sz w:val="16"/>
                <w:szCs w:val="16"/>
              </w:rPr>
            </w:pPr>
            <w:r w:rsidRPr="003B236B">
              <w:rPr>
                <w:rFonts w:ascii="Arial Narrow" w:hAnsi="Arial Narrow"/>
                <w:b/>
                <w:bCs/>
                <w:i/>
                <w:iCs/>
                <w:sz w:val="16"/>
                <w:szCs w:val="16"/>
              </w:rPr>
              <w:t>0.70 (0.49, 1.00)</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i/>
                <w:iCs/>
                <w:sz w:val="16"/>
                <w:szCs w:val="16"/>
              </w:rPr>
            </w:pPr>
            <w:r>
              <w:rPr>
                <w:rFonts w:ascii="Arial Narrow" w:hAnsi="Arial Narrow"/>
                <w:i/>
                <w:iCs/>
                <w:sz w:val="16"/>
                <w:szCs w:val="16"/>
              </w:rPr>
              <w:t>-0.10 (-0.21,0.01)</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A06D36" w:rsidTr="00B051E4">
        <w:tc>
          <w:tcPr>
            <w:tcW w:w="3268" w:type="dxa"/>
            <w:gridSpan w:val="3"/>
            <w:tcBorders>
              <w:bottom w:val="single" w:sz="4" w:space="0" w:color="auto"/>
            </w:tcBorders>
            <w:vAlign w:val="center"/>
          </w:tcPr>
          <w:p w:rsidR="00155995" w:rsidRPr="005D5B68" w:rsidRDefault="00155995" w:rsidP="00FC26CD">
            <w:pPr>
              <w:ind w:left="142"/>
              <w:jc w:val="left"/>
              <w:rPr>
                <w:rFonts w:ascii="Arial Narrow" w:hAnsi="Arial Narrow"/>
                <w:i/>
                <w:iCs/>
                <w:sz w:val="18"/>
                <w:szCs w:val="18"/>
              </w:rPr>
            </w:pPr>
            <w:r w:rsidRPr="005D5B68">
              <w:rPr>
                <w:rFonts w:ascii="Arial Narrow" w:hAnsi="Arial Narrow"/>
                <w:i/>
                <w:iCs/>
                <w:sz w:val="18"/>
                <w:szCs w:val="18"/>
              </w:rPr>
              <w:t>ABA (meta-analysis) vs SEC (pooled)</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0.62 (0.40, 0.96)</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A06D36" w:rsidRDefault="00155995" w:rsidP="00FC26CD">
            <w:pPr>
              <w:jc w:val="center"/>
              <w:rPr>
                <w:rFonts w:ascii="Arial Narrow" w:hAnsi="Arial Narrow"/>
                <w:b/>
                <w:bCs/>
                <w:i/>
                <w:iCs/>
                <w:sz w:val="16"/>
                <w:szCs w:val="16"/>
              </w:rPr>
            </w:pPr>
            <w:r>
              <w:rPr>
                <w:rFonts w:ascii="Arial Narrow" w:hAnsi="Arial Narrow"/>
                <w:b/>
                <w:bCs/>
                <w:i/>
                <w:iCs/>
                <w:sz w:val="16"/>
                <w:szCs w:val="16"/>
              </w:rPr>
              <w:t>-0.20 (-0.34,-0.06)</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A06D36" w:rsidTr="00B051E4">
        <w:tc>
          <w:tcPr>
            <w:tcW w:w="3268" w:type="dxa"/>
            <w:gridSpan w:val="3"/>
            <w:tcBorders>
              <w:bottom w:val="single" w:sz="4" w:space="0" w:color="auto"/>
            </w:tcBorders>
            <w:vAlign w:val="center"/>
          </w:tcPr>
          <w:p w:rsidR="00155995" w:rsidRPr="00A06D36" w:rsidRDefault="00155995" w:rsidP="00FC26CD">
            <w:pPr>
              <w:ind w:left="142"/>
              <w:jc w:val="left"/>
              <w:rPr>
                <w:rFonts w:ascii="Arial Narrow" w:hAnsi="Arial Narrow"/>
                <w:i/>
                <w:iCs/>
                <w:sz w:val="18"/>
                <w:szCs w:val="18"/>
              </w:rPr>
            </w:pPr>
            <w:r w:rsidRPr="004F34A8">
              <w:rPr>
                <w:rFonts w:ascii="Arial Narrow" w:hAnsi="Arial Narrow"/>
                <w:i/>
                <w:iCs/>
                <w:sz w:val="18"/>
                <w:szCs w:val="18"/>
              </w:rPr>
              <w:t>ABA</w:t>
            </w:r>
            <w:r>
              <w:rPr>
                <w:rFonts w:ascii="Arial Narrow" w:hAnsi="Arial Narrow"/>
                <w:i/>
                <w:iCs/>
                <w:sz w:val="18"/>
                <w:szCs w:val="18"/>
              </w:rPr>
              <w:t xml:space="preserve"> (meta-analysis)</w:t>
            </w:r>
            <w:r w:rsidRPr="004F34A8">
              <w:rPr>
                <w:rFonts w:ascii="Arial Narrow" w:hAnsi="Arial Narrow"/>
                <w:i/>
                <w:iCs/>
                <w:sz w:val="18"/>
                <w:szCs w:val="18"/>
              </w:rPr>
              <w:t xml:space="preserve"> v </w:t>
            </w:r>
            <w:r>
              <w:rPr>
                <w:rFonts w:ascii="Arial Narrow" w:hAnsi="Arial Narrow"/>
                <w:i/>
                <w:iCs/>
                <w:sz w:val="18"/>
                <w:szCs w:val="18"/>
              </w:rPr>
              <w:t>All (meta-analysis)</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0.65 (0.48, 0.88)</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-0.15 (-0.25,-0.05)</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A06D36" w:rsidTr="00B051E4">
        <w:tc>
          <w:tcPr>
            <w:tcW w:w="3268" w:type="dxa"/>
            <w:gridSpan w:val="3"/>
            <w:tcBorders>
              <w:bottom w:val="single" w:sz="4" w:space="0" w:color="auto"/>
            </w:tcBorders>
            <w:vAlign w:val="center"/>
          </w:tcPr>
          <w:p w:rsidR="00155995" w:rsidRPr="00A06D36" w:rsidRDefault="00155995" w:rsidP="00FC26CD">
            <w:pPr>
              <w:jc w:val="left"/>
              <w:rPr>
                <w:rFonts w:ascii="Arial Narrow" w:hAnsi="Arial Narrow"/>
                <w:i/>
                <w:iCs/>
                <w:sz w:val="18"/>
                <w:szCs w:val="18"/>
              </w:rPr>
            </w:pPr>
            <w:r w:rsidRPr="00A06D36">
              <w:rPr>
                <w:rFonts w:ascii="Arial Narrow" w:hAnsi="Arial Narrow"/>
                <w:b/>
                <w:bCs/>
                <w:i/>
                <w:iCs/>
                <w:sz w:val="18"/>
                <w:szCs w:val="18"/>
              </w:rPr>
              <w:t>Indirect comparisons</w:t>
            </w:r>
            <w:r>
              <w:rPr>
                <w:rFonts w:ascii="Arial Narrow" w:hAnsi="Arial Narrow"/>
                <w:b/>
                <w:bCs/>
                <w:i/>
                <w:iCs/>
                <w:sz w:val="18"/>
                <w:szCs w:val="18"/>
              </w:rPr>
              <w:t xml:space="preserve">, </w:t>
            </w:r>
            <w:r w:rsidRPr="00BD711E">
              <w:rPr>
                <w:rFonts w:ascii="Arial Narrow" w:hAnsi="Arial Narrow"/>
                <w:b/>
                <w:bCs/>
                <w:i/>
                <w:iCs/>
                <w:color w:val="FF0000"/>
                <w:sz w:val="18"/>
                <w:szCs w:val="18"/>
              </w:rPr>
              <w:t>TNF-α experienced</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3268" w:type="dxa"/>
            <w:gridSpan w:val="3"/>
            <w:tcBorders>
              <w:bottom w:val="single" w:sz="4" w:space="0" w:color="auto"/>
            </w:tcBorders>
            <w:vAlign w:val="center"/>
          </w:tcPr>
          <w:p w:rsidR="00155995" w:rsidRPr="00A06D36" w:rsidRDefault="00155995" w:rsidP="00FC26CD">
            <w:pPr>
              <w:ind w:left="142"/>
              <w:jc w:val="left"/>
              <w:rPr>
                <w:rFonts w:ascii="Arial Narrow" w:hAnsi="Arial Narrow"/>
                <w:i/>
                <w:iCs/>
                <w:sz w:val="18"/>
                <w:szCs w:val="18"/>
              </w:rPr>
            </w:pPr>
            <w:r w:rsidRPr="00A06D36">
              <w:rPr>
                <w:rFonts w:ascii="Arial Narrow" w:hAnsi="Arial Narrow"/>
                <w:i/>
                <w:iCs/>
                <w:sz w:val="18"/>
                <w:szCs w:val="18"/>
              </w:rPr>
              <w:t>ABA (</w:t>
            </w:r>
            <w:proofErr w:type="spellStart"/>
            <w:r>
              <w:rPr>
                <w:rFonts w:ascii="Arial Narrow" w:hAnsi="Arial Narrow"/>
                <w:i/>
                <w:iCs/>
                <w:sz w:val="18"/>
                <w:szCs w:val="18"/>
              </w:rPr>
              <w:t>Mease</w:t>
            </w:r>
            <w:proofErr w:type="spellEnd"/>
            <w:r>
              <w:rPr>
                <w:rFonts w:ascii="Arial Narrow" w:hAnsi="Arial Narrow"/>
                <w:i/>
                <w:iCs/>
                <w:sz w:val="18"/>
                <w:szCs w:val="18"/>
              </w:rPr>
              <w:t xml:space="preserve"> 2017</w:t>
            </w:r>
            <w:r w:rsidRPr="00A06D36">
              <w:rPr>
                <w:rFonts w:ascii="Arial Narrow" w:hAnsi="Arial Narrow"/>
                <w:i/>
                <w:iCs/>
                <w:sz w:val="18"/>
                <w:szCs w:val="18"/>
              </w:rPr>
              <w:t>) vs CZP (pooled)</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0.37 (0.14, 1.00)</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Default="00155995" w:rsidP="00FC26CD">
            <w:pPr>
              <w:jc w:val="center"/>
              <w:rPr>
                <w:rFonts w:ascii="Arial Narrow" w:hAnsi="Arial Narrow"/>
                <w:b/>
                <w:bCs/>
                <w:i/>
                <w:iCs/>
                <w:sz w:val="16"/>
                <w:szCs w:val="16"/>
              </w:rPr>
            </w:pPr>
            <w:r>
              <w:rPr>
                <w:rFonts w:ascii="Arial Narrow" w:hAnsi="Arial Narrow"/>
                <w:b/>
                <w:bCs/>
                <w:i/>
                <w:iCs/>
                <w:sz w:val="16"/>
                <w:szCs w:val="16"/>
              </w:rPr>
              <w:t>-0.30 (-0.52,-0.08)</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A06D36" w:rsidTr="00B051E4">
        <w:tc>
          <w:tcPr>
            <w:tcW w:w="3268" w:type="dxa"/>
            <w:gridSpan w:val="3"/>
            <w:tcBorders>
              <w:bottom w:val="single" w:sz="4" w:space="0" w:color="auto"/>
            </w:tcBorders>
            <w:vAlign w:val="center"/>
          </w:tcPr>
          <w:p w:rsidR="00155995" w:rsidRPr="00A06D36" w:rsidRDefault="00155995" w:rsidP="00FC26CD">
            <w:pPr>
              <w:ind w:left="142"/>
              <w:jc w:val="left"/>
              <w:rPr>
                <w:rFonts w:ascii="Arial Narrow" w:hAnsi="Arial Narrow"/>
                <w:i/>
                <w:iCs/>
                <w:sz w:val="18"/>
                <w:szCs w:val="18"/>
              </w:rPr>
            </w:pPr>
            <w:r>
              <w:rPr>
                <w:rFonts w:ascii="Arial Narrow" w:hAnsi="Arial Narrow"/>
                <w:i/>
                <w:iCs/>
                <w:sz w:val="18"/>
                <w:szCs w:val="18"/>
              </w:rPr>
              <w:t>ABA (</w:t>
            </w:r>
            <w:proofErr w:type="spellStart"/>
            <w:r>
              <w:rPr>
                <w:rFonts w:ascii="Arial Narrow" w:hAnsi="Arial Narrow"/>
                <w:i/>
                <w:iCs/>
                <w:sz w:val="18"/>
                <w:szCs w:val="18"/>
              </w:rPr>
              <w:t>Mease</w:t>
            </w:r>
            <w:proofErr w:type="spellEnd"/>
            <w:r>
              <w:rPr>
                <w:rFonts w:ascii="Arial Narrow" w:hAnsi="Arial Narrow"/>
                <w:i/>
                <w:iCs/>
                <w:sz w:val="18"/>
                <w:szCs w:val="18"/>
              </w:rPr>
              <w:t xml:space="preserve"> 2017) vs UST (PSUMMIT 2)</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200A77" w:rsidRDefault="00155995" w:rsidP="00FC26CD">
            <w:pPr>
              <w:jc w:val="center"/>
              <w:rPr>
                <w:rFonts w:ascii="Arial Narrow" w:hAnsi="Arial Narrow"/>
                <w:i/>
                <w:iCs/>
                <w:sz w:val="16"/>
                <w:szCs w:val="16"/>
              </w:rPr>
            </w:pPr>
            <w:r w:rsidRPr="00200A77">
              <w:rPr>
                <w:rFonts w:ascii="Arial Narrow" w:hAnsi="Arial Narrow"/>
                <w:i/>
                <w:iCs/>
                <w:sz w:val="16"/>
                <w:szCs w:val="16"/>
              </w:rPr>
              <w:t>0.51 (0.23, 1.10)</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200A77" w:rsidRDefault="00155995" w:rsidP="00FC26CD">
            <w:pPr>
              <w:jc w:val="center"/>
              <w:rPr>
                <w:rFonts w:ascii="Arial Narrow" w:hAnsi="Arial Narrow"/>
                <w:i/>
                <w:iCs/>
                <w:sz w:val="16"/>
                <w:szCs w:val="16"/>
              </w:rPr>
            </w:pPr>
            <w:r w:rsidRPr="00200A77">
              <w:rPr>
                <w:rFonts w:ascii="Arial Narrow" w:hAnsi="Arial Narrow"/>
                <w:i/>
                <w:iCs/>
                <w:sz w:val="16"/>
                <w:szCs w:val="16"/>
              </w:rPr>
              <w:t>-0.14 (-0.33, 0.05)</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A06D36" w:rsidTr="00B051E4">
        <w:tc>
          <w:tcPr>
            <w:tcW w:w="3268" w:type="dxa"/>
            <w:gridSpan w:val="3"/>
            <w:tcBorders>
              <w:bottom w:val="single" w:sz="4" w:space="0" w:color="auto"/>
            </w:tcBorders>
            <w:vAlign w:val="center"/>
          </w:tcPr>
          <w:p w:rsidR="00155995" w:rsidRDefault="00155995" w:rsidP="00FC26CD">
            <w:pPr>
              <w:ind w:left="142"/>
              <w:jc w:val="left"/>
              <w:rPr>
                <w:rFonts w:ascii="Arial Narrow" w:hAnsi="Arial Narrow"/>
                <w:i/>
                <w:iCs/>
                <w:sz w:val="18"/>
                <w:szCs w:val="18"/>
              </w:rPr>
            </w:pPr>
            <w:r>
              <w:rPr>
                <w:rFonts w:ascii="Arial Narrow" w:hAnsi="Arial Narrow"/>
                <w:i/>
                <w:iCs/>
                <w:sz w:val="18"/>
                <w:szCs w:val="18"/>
              </w:rPr>
              <w:t>ABA (</w:t>
            </w:r>
            <w:proofErr w:type="spellStart"/>
            <w:r>
              <w:rPr>
                <w:rFonts w:ascii="Arial Narrow" w:hAnsi="Arial Narrow"/>
                <w:i/>
                <w:iCs/>
                <w:sz w:val="18"/>
                <w:szCs w:val="18"/>
              </w:rPr>
              <w:t>Mease</w:t>
            </w:r>
            <w:proofErr w:type="spellEnd"/>
            <w:r>
              <w:rPr>
                <w:rFonts w:ascii="Arial Narrow" w:hAnsi="Arial Narrow"/>
                <w:i/>
                <w:iCs/>
                <w:sz w:val="18"/>
                <w:szCs w:val="18"/>
              </w:rPr>
              <w:t xml:space="preserve"> 2017) vs SEC</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200A77" w:rsidRDefault="00155995" w:rsidP="00FC26CD">
            <w:pPr>
              <w:jc w:val="center"/>
              <w:rPr>
                <w:rFonts w:ascii="Arial Narrow" w:hAnsi="Arial Narrow"/>
                <w:i/>
                <w:iCs/>
                <w:sz w:val="16"/>
                <w:szCs w:val="16"/>
              </w:rPr>
            </w:pPr>
            <w:r>
              <w:rPr>
                <w:rFonts w:ascii="Arial Narrow" w:hAnsi="Arial Narrow"/>
                <w:i/>
                <w:iCs/>
                <w:sz w:val="16"/>
                <w:szCs w:val="16"/>
              </w:rPr>
              <w:t>-</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200A77" w:rsidRDefault="00155995" w:rsidP="00FC26CD">
            <w:pPr>
              <w:jc w:val="center"/>
              <w:rPr>
                <w:rFonts w:ascii="Arial Narrow" w:hAnsi="Arial Narrow"/>
                <w:i/>
                <w:iCs/>
                <w:sz w:val="16"/>
                <w:szCs w:val="16"/>
              </w:rPr>
            </w:pPr>
            <w:r>
              <w:rPr>
                <w:rFonts w:ascii="Arial Narrow" w:hAnsi="Arial Narrow"/>
                <w:i/>
                <w:iCs/>
                <w:sz w:val="16"/>
                <w:szCs w:val="16"/>
              </w:rPr>
              <w:t>-</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p>
        </w:tc>
      </w:tr>
      <w:tr w:rsidR="00155995" w:rsidRPr="00A06D36" w:rsidTr="00B051E4">
        <w:tc>
          <w:tcPr>
            <w:tcW w:w="3268" w:type="dxa"/>
            <w:gridSpan w:val="3"/>
            <w:tcBorders>
              <w:bottom w:val="single" w:sz="4" w:space="0" w:color="auto"/>
            </w:tcBorders>
            <w:vAlign w:val="center"/>
          </w:tcPr>
          <w:p w:rsidR="00155995" w:rsidRDefault="00155995" w:rsidP="00FC26CD">
            <w:pPr>
              <w:ind w:left="142"/>
              <w:jc w:val="left"/>
              <w:rPr>
                <w:rFonts w:ascii="Arial Narrow" w:hAnsi="Arial Narrow"/>
                <w:i/>
                <w:iCs/>
                <w:sz w:val="18"/>
                <w:szCs w:val="18"/>
              </w:rPr>
            </w:pPr>
            <w:r w:rsidRPr="004F34A8">
              <w:rPr>
                <w:rFonts w:ascii="Arial Narrow" w:hAnsi="Arial Narrow"/>
                <w:i/>
                <w:iCs/>
                <w:sz w:val="18"/>
                <w:szCs w:val="18"/>
              </w:rPr>
              <w:t>ABA</w:t>
            </w:r>
            <w:r>
              <w:rPr>
                <w:rFonts w:ascii="Arial Narrow" w:hAnsi="Arial Narrow"/>
                <w:i/>
                <w:iCs/>
                <w:sz w:val="18"/>
                <w:szCs w:val="18"/>
              </w:rPr>
              <w:t xml:space="preserve"> (</w:t>
            </w:r>
            <w:proofErr w:type="spellStart"/>
            <w:r>
              <w:rPr>
                <w:rFonts w:ascii="Arial Narrow" w:hAnsi="Arial Narrow"/>
                <w:i/>
                <w:iCs/>
                <w:sz w:val="18"/>
                <w:szCs w:val="18"/>
              </w:rPr>
              <w:t>Mease</w:t>
            </w:r>
            <w:proofErr w:type="spellEnd"/>
            <w:r>
              <w:rPr>
                <w:rFonts w:ascii="Arial Narrow" w:hAnsi="Arial Narrow"/>
                <w:i/>
                <w:iCs/>
                <w:sz w:val="18"/>
                <w:szCs w:val="18"/>
              </w:rPr>
              <w:t xml:space="preserve"> 2017)</w:t>
            </w:r>
            <w:r w:rsidRPr="004F34A8">
              <w:rPr>
                <w:rFonts w:ascii="Arial Narrow" w:hAnsi="Arial Narrow"/>
                <w:i/>
                <w:iCs/>
                <w:sz w:val="18"/>
                <w:szCs w:val="18"/>
              </w:rPr>
              <w:t xml:space="preserve"> v </w:t>
            </w:r>
            <w:r>
              <w:rPr>
                <w:rFonts w:ascii="Arial Narrow" w:hAnsi="Arial Narrow"/>
                <w:i/>
                <w:iCs/>
                <w:sz w:val="18"/>
                <w:szCs w:val="18"/>
              </w:rPr>
              <w:t>All (meta-analysis)</w:t>
            </w: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bottom w:val="nil"/>
            </w:tcBorders>
            <w:vAlign w:val="center"/>
          </w:tcPr>
          <w:p w:rsidR="00155995" w:rsidRPr="007E3325" w:rsidRDefault="00155995" w:rsidP="00FC26CD">
            <w:pPr>
              <w:jc w:val="center"/>
              <w:rPr>
                <w:rFonts w:ascii="Arial Narrow" w:hAnsi="Arial Narrow"/>
                <w:b/>
                <w:bCs/>
                <w:i/>
                <w:iCs/>
                <w:sz w:val="16"/>
                <w:szCs w:val="16"/>
              </w:rPr>
            </w:pPr>
            <w:r>
              <w:rPr>
                <w:rFonts w:ascii="Arial Narrow" w:hAnsi="Arial Narrow"/>
                <w:b/>
                <w:bCs/>
                <w:i/>
                <w:iCs/>
                <w:sz w:val="16"/>
                <w:szCs w:val="16"/>
              </w:rPr>
              <w:t>0.45 (0.23, 0.87)</w:t>
            </w: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bottom w:val="nil"/>
            </w:tcBorders>
            <w:vAlign w:val="center"/>
          </w:tcPr>
          <w:p w:rsidR="00155995" w:rsidRPr="004E3A18" w:rsidRDefault="00155995" w:rsidP="00FC26CD">
            <w:pPr>
              <w:jc w:val="center"/>
              <w:rPr>
                <w:rFonts w:ascii="Arial Narrow" w:hAnsi="Arial Narrow"/>
                <w:b/>
                <w:bCs/>
                <w:i/>
                <w:iCs/>
                <w:sz w:val="16"/>
                <w:szCs w:val="16"/>
              </w:rPr>
            </w:pPr>
            <w:r>
              <w:rPr>
                <w:rFonts w:ascii="Arial Narrow" w:hAnsi="Arial Narrow"/>
                <w:b/>
                <w:bCs/>
                <w:i/>
                <w:iCs/>
                <w:sz w:val="16"/>
                <w:szCs w:val="16"/>
              </w:rPr>
              <w:t>-0.21 (-0.40,-0.02)</w:t>
            </w:r>
          </w:p>
        </w:tc>
        <w:tc>
          <w:tcPr>
            <w:tcW w:w="690" w:type="dxa"/>
            <w:tcBorders>
              <w:top w:val="nil"/>
              <w:bottom w:val="nil"/>
            </w:tcBorders>
            <w:vAlign w:val="center"/>
          </w:tcPr>
          <w:p w:rsidR="00155995" w:rsidRPr="00A06D36" w:rsidRDefault="00155995" w:rsidP="00FC26CD">
            <w:pPr>
              <w:jc w:val="center"/>
              <w:rPr>
                <w:rFonts w:ascii="Arial Narrow" w:hAnsi="Arial Narrow"/>
                <w:i/>
                <w:iCs/>
                <w:sz w:val="18"/>
                <w:szCs w:val="18"/>
              </w:rPr>
            </w:pPr>
            <w:r>
              <w:rPr>
                <w:rFonts w:ascii="Arial Narrow" w:hAnsi="Arial Narrow"/>
                <w:i/>
                <w:iCs/>
                <w:sz w:val="18"/>
                <w:szCs w:val="18"/>
              </w:rPr>
              <w:t>NA</w:t>
            </w:r>
          </w:p>
        </w:tc>
      </w:tr>
      <w:tr w:rsidR="00155995" w:rsidRPr="00A06D36" w:rsidTr="00B051E4">
        <w:tc>
          <w:tcPr>
            <w:tcW w:w="3268" w:type="dxa"/>
            <w:gridSpan w:val="3"/>
            <w:tcBorders>
              <w:left w:val="nil"/>
              <w:bottom w:val="nil"/>
            </w:tcBorders>
          </w:tcPr>
          <w:p w:rsidR="00155995" w:rsidRPr="00A06D36" w:rsidRDefault="00155995" w:rsidP="00FC26CD">
            <w:pPr>
              <w:jc w:val="center"/>
              <w:rPr>
                <w:rFonts w:ascii="Arial Narrow" w:hAnsi="Arial Narrow"/>
                <w:i/>
                <w:iCs/>
                <w:sz w:val="18"/>
                <w:szCs w:val="18"/>
              </w:rPr>
            </w:pPr>
          </w:p>
        </w:tc>
        <w:tc>
          <w:tcPr>
            <w:tcW w:w="1400"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2" w:type="dxa"/>
            <w:tcBorders>
              <w:top w:val="nil"/>
              <w:left w:val="nil"/>
            </w:tcBorders>
            <w:vAlign w:val="center"/>
          </w:tcPr>
          <w:p w:rsidR="00155995" w:rsidRPr="00A06D36" w:rsidRDefault="00155995" w:rsidP="00FC26CD">
            <w:pPr>
              <w:jc w:val="center"/>
              <w:rPr>
                <w:rFonts w:ascii="Arial Narrow" w:hAnsi="Arial Narrow"/>
                <w:i/>
                <w:iCs/>
                <w:sz w:val="16"/>
                <w:szCs w:val="16"/>
              </w:rPr>
            </w:pPr>
          </w:p>
        </w:tc>
        <w:tc>
          <w:tcPr>
            <w:tcW w:w="1411" w:type="dxa"/>
            <w:vMerge/>
            <w:tcBorders>
              <w:right w:val="nil"/>
            </w:tcBorders>
            <w:vAlign w:val="center"/>
          </w:tcPr>
          <w:p w:rsidR="00155995" w:rsidRPr="00A06D36" w:rsidRDefault="00155995" w:rsidP="00FC26CD">
            <w:pPr>
              <w:jc w:val="center"/>
              <w:rPr>
                <w:rFonts w:ascii="Arial Narrow" w:hAnsi="Arial Narrow"/>
                <w:i/>
                <w:iCs/>
                <w:sz w:val="18"/>
                <w:szCs w:val="18"/>
              </w:rPr>
            </w:pPr>
          </w:p>
        </w:tc>
        <w:tc>
          <w:tcPr>
            <w:tcW w:w="1126" w:type="dxa"/>
            <w:tcBorders>
              <w:top w:val="nil"/>
              <w:left w:val="nil"/>
            </w:tcBorders>
            <w:vAlign w:val="center"/>
          </w:tcPr>
          <w:p w:rsidR="00155995" w:rsidRPr="00A06D36" w:rsidRDefault="00155995" w:rsidP="00FC26CD">
            <w:pPr>
              <w:jc w:val="center"/>
              <w:rPr>
                <w:rFonts w:ascii="Arial Narrow" w:hAnsi="Arial Narrow"/>
                <w:i/>
                <w:iCs/>
                <w:sz w:val="16"/>
                <w:szCs w:val="16"/>
              </w:rPr>
            </w:pPr>
          </w:p>
        </w:tc>
        <w:tc>
          <w:tcPr>
            <w:tcW w:w="690" w:type="dxa"/>
            <w:tcBorders>
              <w:top w:val="nil"/>
            </w:tcBorders>
            <w:vAlign w:val="center"/>
          </w:tcPr>
          <w:p w:rsidR="00155995" w:rsidRPr="00A06D36" w:rsidRDefault="00155995" w:rsidP="00FC26CD">
            <w:pPr>
              <w:jc w:val="center"/>
              <w:rPr>
                <w:rFonts w:ascii="Arial Narrow" w:hAnsi="Arial Narrow"/>
                <w:i/>
                <w:iCs/>
                <w:sz w:val="18"/>
                <w:szCs w:val="18"/>
              </w:rPr>
            </w:pPr>
          </w:p>
        </w:tc>
      </w:tr>
    </w:tbl>
    <w:p w:rsidR="00B051E4" w:rsidRDefault="00B051E4" w:rsidP="00B051E4">
      <w:pPr>
        <w:widowControl/>
        <w:rPr>
          <w:rFonts w:ascii="Arial Narrow" w:hAnsi="Arial Narrow"/>
          <w:i/>
          <w:iCs/>
          <w:color w:val="000000" w:themeColor="text1"/>
          <w:sz w:val="18"/>
          <w:szCs w:val="16"/>
        </w:rPr>
      </w:pPr>
      <w:r>
        <w:rPr>
          <w:rFonts w:ascii="Arial Narrow" w:hAnsi="Arial Narrow"/>
          <w:i/>
          <w:iCs/>
          <w:color w:val="000000" w:themeColor="text1"/>
          <w:sz w:val="18"/>
          <w:szCs w:val="16"/>
        </w:rPr>
        <w:t xml:space="preserve">Abbreviations: ABA = </w:t>
      </w:r>
      <w:proofErr w:type="spellStart"/>
      <w:r>
        <w:rPr>
          <w:rFonts w:ascii="Arial Narrow" w:hAnsi="Arial Narrow"/>
          <w:i/>
          <w:iCs/>
          <w:color w:val="000000" w:themeColor="text1"/>
          <w:sz w:val="18"/>
          <w:szCs w:val="16"/>
        </w:rPr>
        <w:t>abatacept</w:t>
      </w:r>
      <w:proofErr w:type="spellEnd"/>
      <w:r>
        <w:rPr>
          <w:rFonts w:ascii="Arial Narrow" w:hAnsi="Arial Narrow"/>
          <w:i/>
          <w:iCs/>
          <w:color w:val="000000" w:themeColor="text1"/>
          <w:sz w:val="18"/>
          <w:szCs w:val="16"/>
        </w:rPr>
        <w:t xml:space="preserve">; CZP = </w:t>
      </w:r>
      <w:proofErr w:type="spellStart"/>
      <w:r>
        <w:rPr>
          <w:rFonts w:ascii="Arial Narrow" w:hAnsi="Arial Narrow"/>
          <w:i/>
          <w:iCs/>
          <w:color w:val="000000" w:themeColor="text1"/>
          <w:sz w:val="18"/>
          <w:szCs w:val="16"/>
        </w:rPr>
        <w:t>certolizumab</w:t>
      </w:r>
      <w:proofErr w:type="spellEnd"/>
      <w:r>
        <w:rPr>
          <w:rFonts w:ascii="Arial Narrow" w:hAnsi="Arial Narrow"/>
          <w:i/>
          <w:iCs/>
          <w:color w:val="000000" w:themeColor="text1"/>
          <w:sz w:val="18"/>
          <w:szCs w:val="16"/>
        </w:rPr>
        <w:t xml:space="preserve"> </w:t>
      </w:r>
      <w:proofErr w:type="spellStart"/>
      <w:r>
        <w:rPr>
          <w:rFonts w:ascii="Arial Narrow" w:hAnsi="Arial Narrow"/>
          <w:i/>
          <w:iCs/>
          <w:color w:val="000000" w:themeColor="text1"/>
          <w:sz w:val="18"/>
          <w:szCs w:val="16"/>
        </w:rPr>
        <w:t>pegol</w:t>
      </w:r>
      <w:proofErr w:type="spellEnd"/>
      <w:r>
        <w:rPr>
          <w:rFonts w:ascii="Arial Narrow" w:hAnsi="Arial Narrow"/>
          <w:i/>
          <w:iCs/>
          <w:color w:val="000000" w:themeColor="text1"/>
          <w:sz w:val="18"/>
          <w:szCs w:val="16"/>
        </w:rPr>
        <w:t xml:space="preserve">; UST = ustekinumab; SEC = secukinumab; TNFα = </w:t>
      </w:r>
      <w:r w:rsidRPr="00BA76A0">
        <w:rPr>
          <w:rFonts w:ascii="Arial Narrow" w:hAnsi="Arial Narrow"/>
          <w:i/>
          <w:iCs/>
          <w:sz w:val="18"/>
          <w:szCs w:val="18"/>
        </w:rPr>
        <w:t>tumour necrosis factor</w:t>
      </w:r>
      <w:r>
        <w:rPr>
          <w:rFonts w:ascii="Arial Narrow" w:hAnsi="Arial Narrow"/>
          <w:i/>
          <w:iCs/>
          <w:sz w:val="18"/>
          <w:szCs w:val="18"/>
        </w:rPr>
        <w:t xml:space="preserve"> alpha; NR = not reported</w:t>
      </w:r>
    </w:p>
    <w:p w:rsidR="00155995" w:rsidRPr="000170DB" w:rsidRDefault="00155995" w:rsidP="00155995">
      <w:pPr>
        <w:widowControl/>
        <w:rPr>
          <w:rFonts w:ascii="Arial Narrow" w:hAnsi="Arial Narrow"/>
          <w:i/>
          <w:iCs/>
          <w:color w:val="000000" w:themeColor="text1"/>
          <w:sz w:val="18"/>
          <w:szCs w:val="18"/>
        </w:rPr>
      </w:pPr>
      <w:r w:rsidRPr="000170DB">
        <w:rPr>
          <w:rFonts w:ascii="Arial Narrow" w:hAnsi="Arial Narrow"/>
          <w:i/>
          <w:iCs/>
          <w:color w:val="000000" w:themeColor="text1"/>
          <w:sz w:val="18"/>
          <w:szCs w:val="18"/>
        </w:rPr>
        <w:t xml:space="preserve">Source: constructed during the evaluation based on trial publications. ABA results from p27 “IM101158 CSR” (i.e. M-2011) and p152 of “Round 2 Clinical Evaluation Report – </w:t>
      </w:r>
      <w:proofErr w:type="spellStart"/>
      <w:r w:rsidRPr="000170DB">
        <w:rPr>
          <w:rFonts w:ascii="Arial Narrow" w:hAnsi="Arial Narrow"/>
          <w:i/>
          <w:iCs/>
          <w:color w:val="000000" w:themeColor="text1"/>
          <w:sz w:val="18"/>
          <w:szCs w:val="18"/>
        </w:rPr>
        <w:t>abatacept</w:t>
      </w:r>
      <w:proofErr w:type="spellEnd"/>
      <w:r w:rsidRPr="000170DB">
        <w:rPr>
          <w:rFonts w:ascii="Arial Narrow" w:hAnsi="Arial Narrow"/>
          <w:i/>
          <w:iCs/>
          <w:color w:val="000000" w:themeColor="text1"/>
          <w:sz w:val="18"/>
          <w:szCs w:val="18"/>
        </w:rPr>
        <w:t xml:space="preserve">”; CZP results from Figures 2 and 3, </w:t>
      </w:r>
      <w:proofErr w:type="spellStart"/>
      <w:r w:rsidRPr="000170DB">
        <w:rPr>
          <w:rFonts w:ascii="Arial Narrow" w:hAnsi="Arial Narrow"/>
          <w:i/>
          <w:iCs/>
          <w:color w:val="000000" w:themeColor="text1"/>
          <w:sz w:val="18"/>
          <w:szCs w:val="18"/>
        </w:rPr>
        <w:t>Mease</w:t>
      </w:r>
      <w:proofErr w:type="spellEnd"/>
      <w:r w:rsidRPr="000170DB">
        <w:rPr>
          <w:rFonts w:ascii="Arial Narrow" w:hAnsi="Arial Narrow"/>
          <w:i/>
          <w:iCs/>
          <w:color w:val="000000" w:themeColor="text1"/>
          <w:sz w:val="18"/>
          <w:szCs w:val="18"/>
        </w:rPr>
        <w:t xml:space="preserve"> et al 2014 and Table 10, p 31 of “EMA/CHMP/601513/2013” reference; SEC results from Figure 2, </w:t>
      </w:r>
      <w:proofErr w:type="spellStart"/>
      <w:r w:rsidRPr="000170DB">
        <w:rPr>
          <w:rFonts w:ascii="Arial Narrow" w:hAnsi="Arial Narrow"/>
          <w:i/>
          <w:iCs/>
          <w:color w:val="000000" w:themeColor="text1"/>
          <w:sz w:val="18"/>
          <w:szCs w:val="18"/>
        </w:rPr>
        <w:t>McInnes</w:t>
      </w:r>
      <w:proofErr w:type="spellEnd"/>
      <w:r w:rsidRPr="000170DB">
        <w:rPr>
          <w:rFonts w:ascii="Arial Narrow" w:hAnsi="Arial Narrow"/>
          <w:i/>
          <w:iCs/>
          <w:color w:val="000000" w:themeColor="text1"/>
          <w:sz w:val="18"/>
          <w:szCs w:val="18"/>
        </w:rPr>
        <w:t xml:space="preserve"> et al 2015;</w:t>
      </w:r>
    </w:p>
    <w:p w:rsidR="00D4078B" w:rsidRPr="000170DB" w:rsidRDefault="00155995" w:rsidP="000170DB">
      <w:pPr>
        <w:widowControl/>
        <w:rPr>
          <w:rFonts w:ascii="Arial Narrow" w:hAnsi="Arial Narrow"/>
          <w:i/>
          <w:iCs/>
          <w:color w:val="000000" w:themeColor="text1"/>
          <w:sz w:val="18"/>
          <w:szCs w:val="18"/>
        </w:rPr>
        <w:sectPr w:rsidR="00D4078B" w:rsidRPr="000170DB" w:rsidSect="00E21358">
          <w:pgSz w:w="11907" w:h="16840" w:code="9"/>
          <w:pgMar w:top="1440" w:right="1440" w:bottom="1440" w:left="1440" w:header="1440" w:footer="1440" w:gutter="0"/>
          <w:cols w:space="708"/>
          <w:docGrid w:linePitch="360"/>
        </w:sectPr>
      </w:pPr>
      <w:r w:rsidRPr="000170DB">
        <w:rPr>
          <w:rFonts w:ascii="Arial Narrow" w:hAnsi="Arial Narrow"/>
          <w:i/>
          <w:iCs/>
          <w:color w:val="000000" w:themeColor="text1"/>
          <w:sz w:val="18"/>
          <w:szCs w:val="18"/>
        </w:rPr>
        <w:t>Bolded values reached statistical significance p&lt;0.05</w:t>
      </w:r>
      <w:r w:rsidR="000170DB" w:rsidRPr="000170DB">
        <w:rPr>
          <w:rFonts w:ascii="Arial Narrow" w:hAnsi="Arial Narrow"/>
          <w:i/>
          <w:iCs/>
          <w:color w:val="000000" w:themeColor="text1"/>
          <w:sz w:val="18"/>
          <w:szCs w:val="18"/>
        </w:rPr>
        <w:t xml:space="preserve">; </w:t>
      </w:r>
      <w:r w:rsidRPr="000170DB">
        <w:rPr>
          <w:rFonts w:ascii="Arial Narrow" w:hAnsi="Arial Narrow"/>
          <w:i/>
          <w:iCs/>
          <w:color w:val="000000" w:themeColor="text1"/>
          <w:sz w:val="18"/>
          <w:szCs w:val="18"/>
        </w:rPr>
        <w:t>Italics indicates estimates corrected or performed during the evaluation.</w:t>
      </w:r>
    </w:p>
    <w:p w:rsidR="00C31235" w:rsidRPr="00234409" w:rsidRDefault="00C31235" w:rsidP="00155995">
      <w:pPr>
        <w:pStyle w:val="ListParagraph"/>
        <w:widowControl/>
        <w:numPr>
          <w:ilvl w:val="1"/>
          <w:numId w:val="3"/>
        </w:numPr>
        <w:spacing w:after="0"/>
        <w:rPr>
          <w:iCs/>
        </w:rPr>
      </w:pPr>
      <w:r w:rsidRPr="00234409">
        <w:rPr>
          <w:iCs/>
        </w:rPr>
        <w:t>Given several sources of heterogeneity across the trials, the findings of the indirect comparisons should be interpreted with ca</w:t>
      </w:r>
      <w:r w:rsidR="008B4EDF" w:rsidRPr="00234409">
        <w:rPr>
          <w:iCs/>
        </w:rPr>
        <w:t>ution;</w:t>
      </w:r>
      <w:r w:rsidRPr="00234409">
        <w:rPr>
          <w:iCs/>
        </w:rPr>
        <w:t xml:space="preserve"> </w:t>
      </w:r>
      <w:r w:rsidR="008B4EDF" w:rsidRPr="00234409">
        <w:rPr>
          <w:iCs/>
        </w:rPr>
        <w:t>however,</w:t>
      </w:r>
      <w:r w:rsidRPr="00234409">
        <w:rPr>
          <w:iCs/>
        </w:rPr>
        <w:t xml:space="preserve"> </w:t>
      </w:r>
      <w:r w:rsidRPr="001F16EF">
        <w:rPr>
          <w:iCs/>
        </w:rPr>
        <w:t>the</w:t>
      </w:r>
      <w:r w:rsidR="000554F2" w:rsidRPr="001F16EF">
        <w:rPr>
          <w:iCs/>
        </w:rPr>
        <w:t xml:space="preserve"> </w:t>
      </w:r>
      <w:r w:rsidR="001F16EF" w:rsidRPr="001F16EF">
        <w:rPr>
          <w:iCs/>
        </w:rPr>
        <w:t>PBAC and</w:t>
      </w:r>
      <w:r w:rsidR="001F16EF">
        <w:rPr>
          <w:iCs/>
        </w:rPr>
        <w:t xml:space="preserve"> </w:t>
      </w:r>
      <w:r w:rsidR="000554F2" w:rsidRPr="001F16EF">
        <w:rPr>
          <w:iCs/>
        </w:rPr>
        <w:t>ESC noted the</w:t>
      </w:r>
      <w:r w:rsidRPr="001F16EF">
        <w:rPr>
          <w:iCs/>
        </w:rPr>
        <w:t xml:space="preserve"> biases are u</w:t>
      </w:r>
      <w:r w:rsidR="008B4EDF" w:rsidRPr="001F16EF">
        <w:rPr>
          <w:iCs/>
        </w:rPr>
        <w:t>nlikely to be significant in this</w:t>
      </w:r>
      <w:r w:rsidRPr="001F16EF">
        <w:rPr>
          <w:iCs/>
        </w:rPr>
        <w:t xml:space="preserve"> case, because:</w:t>
      </w:r>
    </w:p>
    <w:p w:rsidR="00155995" w:rsidRPr="00234409" w:rsidRDefault="00155995" w:rsidP="00155995">
      <w:pPr>
        <w:pStyle w:val="ListParagraph"/>
        <w:numPr>
          <w:ilvl w:val="0"/>
          <w:numId w:val="29"/>
        </w:numPr>
        <w:spacing w:after="0"/>
        <w:ind w:left="993" w:hanging="357"/>
        <w:rPr>
          <w:iCs/>
        </w:rPr>
      </w:pPr>
      <w:r w:rsidRPr="00234409">
        <w:rPr>
          <w:iCs/>
        </w:rPr>
        <w:t xml:space="preserve">Despite differences in early escape rules (at Week 16), those differences are largely not relevant to the indirect comparisons at Week 12/24 and may actually bias against </w:t>
      </w:r>
      <w:r w:rsidR="00973D9A">
        <w:rPr>
          <w:iCs/>
        </w:rPr>
        <w:t>ustekinumab</w:t>
      </w:r>
      <w:r w:rsidRPr="00234409">
        <w:rPr>
          <w:iCs/>
        </w:rPr>
        <w:t>;</w:t>
      </w:r>
    </w:p>
    <w:p w:rsidR="00155995" w:rsidRPr="00234409" w:rsidRDefault="00155995" w:rsidP="00155995">
      <w:pPr>
        <w:pStyle w:val="ListParagraph"/>
        <w:numPr>
          <w:ilvl w:val="0"/>
          <w:numId w:val="29"/>
        </w:numPr>
        <w:spacing w:after="0"/>
        <w:ind w:left="993" w:hanging="357"/>
        <w:rPr>
          <w:iCs/>
        </w:rPr>
      </w:pPr>
      <w:r w:rsidRPr="00234409">
        <w:rPr>
          <w:iCs/>
        </w:rPr>
        <w:t>Despite a higher proportion of patients who had trialled prior anti-TNF</w:t>
      </w:r>
      <w:r w:rsidRPr="00234409">
        <w:rPr>
          <w:rFonts w:cs="Calibri"/>
          <w:iCs/>
        </w:rPr>
        <w:t>α</w:t>
      </w:r>
      <w:r w:rsidRPr="00234409">
        <w:rPr>
          <w:iCs/>
        </w:rPr>
        <w:t xml:space="preserve"> therapy in the </w:t>
      </w:r>
      <w:proofErr w:type="spellStart"/>
      <w:r w:rsidR="00164B1C" w:rsidRPr="00234409">
        <w:rPr>
          <w:iCs/>
        </w:rPr>
        <w:t>abatacept</w:t>
      </w:r>
      <w:proofErr w:type="spellEnd"/>
      <w:r w:rsidRPr="00234409">
        <w:rPr>
          <w:iCs/>
        </w:rPr>
        <w:t xml:space="preserve"> trials (~</w:t>
      </w:r>
      <w:r w:rsidRPr="00F03270">
        <w:rPr>
          <w:iCs/>
        </w:rPr>
        <w:t>56% pooled) compared to comparators (</w:t>
      </w:r>
      <w:proofErr w:type="spellStart"/>
      <w:r w:rsidR="00973D9A" w:rsidRPr="00F03270">
        <w:rPr>
          <w:iCs/>
        </w:rPr>
        <w:t>certolizumab</w:t>
      </w:r>
      <w:proofErr w:type="spellEnd"/>
      <w:r w:rsidRPr="00F03270">
        <w:rPr>
          <w:iCs/>
        </w:rPr>
        <w:t xml:space="preserve">: ~20% pooled, </w:t>
      </w:r>
      <w:r w:rsidR="00973D9A" w:rsidRPr="00F03270">
        <w:rPr>
          <w:iCs/>
        </w:rPr>
        <w:t>ustekinumab</w:t>
      </w:r>
      <w:r w:rsidRPr="00F03270">
        <w:rPr>
          <w:iCs/>
        </w:rPr>
        <w:t xml:space="preserve">: ~20% pooled, </w:t>
      </w:r>
      <w:r w:rsidR="00973D9A" w:rsidRPr="00F03270">
        <w:rPr>
          <w:iCs/>
        </w:rPr>
        <w:t>secukinumab</w:t>
      </w:r>
      <w:r w:rsidRPr="00F03270">
        <w:rPr>
          <w:iCs/>
        </w:rPr>
        <w:t>: 35%</w:t>
      </w:r>
      <w:r w:rsidRPr="00234409">
        <w:rPr>
          <w:iCs/>
        </w:rPr>
        <w:t xml:space="preserve"> pooled), the overall findings were relatively comparable in the anti-TNF</w:t>
      </w:r>
      <w:r w:rsidRPr="00234409">
        <w:rPr>
          <w:rFonts w:cs="Calibri"/>
          <w:iCs/>
        </w:rPr>
        <w:t>α</w:t>
      </w:r>
      <w:r w:rsidRPr="00234409">
        <w:rPr>
          <w:iCs/>
        </w:rPr>
        <w:t xml:space="preserve"> experienced subgroup.</w:t>
      </w:r>
    </w:p>
    <w:p w:rsidR="00155995" w:rsidRPr="00234409" w:rsidRDefault="00155995" w:rsidP="005C414C">
      <w:pPr>
        <w:pStyle w:val="ListParagraph"/>
        <w:numPr>
          <w:ilvl w:val="0"/>
          <w:numId w:val="29"/>
        </w:numPr>
        <w:spacing w:after="0"/>
        <w:ind w:left="993" w:hanging="357"/>
        <w:rPr>
          <w:iCs/>
        </w:rPr>
      </w:pPr>
      <w:r w:rsidRPr="00234409">
        <w:rPr>
          <w:iCs/>
        </w:rPr>
        <w:t>Despite some variation in placebo response rates across trials</w:t>
      </w:r>
      <w:r w:rsidR="006645A6" w:rsidRPr="00234409">
        <w:rPr>
          <w:iCs/>
        </w:rPr>
        <w:t xml:space="preserve"> and a higher rate in the </w:t>
      </w:r>
      <w:proofErr w:type="spellStart"/>
      <w:r w:rsidR="00164B1C" w:rsidRPr="00234409">
        <w:rPr>
          <w:iCs/>
        </w:rPr>
        <w:t>abatacept</w:t>
      </w:r>
      <w:proofErr w:type="spellEnd"/>
      <w:r w:rsidR="006645A6" w:rsidRPr="00234409">
        <w:rPr>
          <w:iCs/>
        </w:rPr>
        <w:t xml:space="preserve"> trials for ACR20,</w:t>
      </w:r>
      <w:r w:rsidRPr="00234409">
        <w:rPr>
          <w:iCs/>
        </w:rPr>
        <w:t xml:space="preserve"> the differences were not substantial: 5% to 11% for ACR50 (ITT) and 22% to 29% for ACR20 (ITT).  They were also relatively more comparable than the older trials of the other ‘</w:t>
      </w:r>
      <w:r w:rsidR="006645A6" w:rsidRPr="00234409">
        <w:rPr>
          <w:iCs/>
        </w:rPr>
        <w:t>higher</w:t>
      </w:r>
      <w:r w:rsidRPr="00234409">
        <w:rPr>
          <w:iCs/>
        </w:rPr>
        <w:t>-tier’ bDMARDs (</w:t>
      </w:r>
      <w:r w:rsidR="00973D9A">
        <w:rPr>
          <w:iCs/>
        </w:rPr>
        <w:t>etanercept</w:t>
      </w:r>
      <w:r w:rsidRPr="00234409">
        <w:rPr>
          <w:iCs/>
        </w:rPr>
        <w:t xml:space="preserve">, </w:t>
      </w:r>
      <w:r w:rsidR="00973D9A">
        <w:rPr>
          <w:iCs/>
        </w:rPr>
        <w:t>adalimumab</w:t>
      </w:r>
      <w:r w:rsidRPr="00234409">
        <w:rPr>
          <w:iCs/>
        </w:rPr>
        <w:t xml:space="preserve">, </w:t>
      </w:r>
      <w:r w:rsidR="00973D9A">
        <w:rPr>
          <w:iCs/>
        </w:rPr>
        <w:t>infliximab</w:t>
      </w:r>
      <w:r w:rsidRPr="00234409">
        <w:rPr>
          <w:iCs/>
        </w:rPr>
        <w:t xml:space="preserve">, </w:t>
      </w:r>
      <w:r w:rsidR="00973D9A">
        <w:rPr>
          <w:iCs/>
        </w:rPr>
        <w:t>golimumab</w:t>
      </w:r>
      <w:r w:rsidRPr="00234409">
        <w:rPr>
          <w:iCs/>
        </w:rPr>
        <w:t>).  The PBAC ha</w:t>
      </w:r>
      <w:r w:rsidR="005C414C" w:rsidRPr="00234409">
        <w:rPr>
          <w:iCs/>
        </w:rPr>
        <w:t>d</w:t>
      </w:r>
      <w:r w:rsidRPr="00234409">
        <w:rPr>
          <w:iCs/>
        </w:rPr>
        <w:t xml:space="preserve"> previously considered that differences in the placebo response rates between all of these trials “were reasonably offset by the use of the Bucher method to adjust the indirect comparison for event rate differences in the common reference” (see Secukinumab PSD, March 2016).</w:t>
      </w:r>
    </w:p>
    <w:p w:rsidR="00155995" w:rsidRPr="00AB1DCC" w:rsidRDefault="00155995" w:rsidP="00F55365">
      <w:pPr>
        <w:pStyle w:val="Heading2"/>
      </w:pPr>
      <w:bookmarkStart w:id="14" w:name="_Toc503190140"/>
      <w:r w:rsidRPr="00AB1DCC">
        <w:t>Comparative harms</w:t>
      </w:r>
      <w:bookmarkEnd w:id="14"/>
    </w:p>
    <w:p w:rsidR="00155995" w:rsidRDefault="00155995" w:rsidP="00155995">
      <w:pPr>
        <w:pStyle w:val="ListParagraph"/>
        <w:widowControl/>
        <w:numPr>
          <w:ilvl w:val="1"/>
          <w:numId w:val="3"/>
        </w:numPr>
      </w:pPr>
      <w:r>
        <w:t>The submission presented a</w:t>
      </w:r>
      <w:r w:rsidRPr="00722EDF">
        <w:t xml:space="preserve">n informal comparison of </w:t>
      </w:r>
      <w:r w:rsidR="00083B06" w:rsidRPr="001F16EF">
        <w:t xml:space="preserve">limited available </w:t>
      </w:r>
      <w:r w:rsidRPr="001F16EF">
        <w:t>safety</w:t>
      </w:r>
      <w:r w:rsidRPr="00722EDF">
        <w:t xml:space="preserve"> data for </w:t>
      </w:r>
      <w:proofErr w:type="spellStart"/>
      <w:r w:rsidR="00C8692E">
        <w:t>abatacept</w:t>
      </w:r>
      <w:proofErr w:type="spellEnd"/>
      <w:r w:rsidR="00C8692E" w:rsidRPr="00722EDF">
        <w:t xml:space="preserve"> </w:t>
      </w:r>
      <w:r w:rsidRPr="00722EDF">
        <w:t xml:space="preserve">and the nominated comparators.  The percentage of adverse events and serious adverse events on active treatment ranged from </w:t>
      </w:r>
      <w:r w:rsidRPr="00F03270">
        <w:t>48% to 77.5% and 0% to 9.6%, respectively; infection ranged from 22.9% to 43.5%.</w:t>
      </w:r>
      <w:r w:rsidRPr="00722EDF">
        <w:t xml:space="preserve">  No deaths were reported for </w:t>
      </w:r>
      <w:proofErr w:type="spellStart"/>
      <w:r w:rsidR="00C8692E">
        <w:t>abatacept</w:t>
      </w:r>
      <w:proofErr w:type="spellEnd"/>
      <w:r w:rsidRPr="00722EDF">
        <w:t xml:space="preserve"> or </w:t>
      </w:r>
      <w:r w:rsidR="00973D9A">
        <w:t>secukinumab</w:t>
      </w:r>
      <w:r w:rsidRPr="00722EDF">
        <w:t xml:space="preserve"> (not reported by </w:t>
      </w:r>
      <w:r w:rsidR="00973D9A">
        <w:t>ustekinumab</w:t>
      </w:r>
      <w:r w:rsidRPr="00722EDF">
        <w:t xml:space="preserve"> trials); 2 deaths were reported for </w:t>
      </w:r>
      <w:proofErr w:type="spellStart"/>
      <w:r w:rsidR="00973D9A">
        <w:t>certolizumab</w:t>
      </w:r>
      <w:proofErr w:type="spellEnd"/>
      <w:r w:rsidRPr="00722EDF">
        <w:t xml:space="preserve"> due to myocardial</w:t>
      </w:r>
      <w:r>
        <w:t xml:space="preserve"> infarction and unknown cause. </w:t>
      </w:r>
    </w:p>
    <w:p w:rsidR="00155995" w:rsidRPr="00234409" w:rsidRDefault="00155995" w:rsidP="00155995">
      <w:pPr>
        <w:pStyle w:val="ListParagraph"/>
        <w:widowControl/>
        <w:numPr>
          <w:ilvl w:val="1"/>
          <w:numId w:val="3"/>
        </w:numPr>
      </w:pPr>
      <w:r w:rsidRPr="00234409">
        <w:rPr>
          <w:iCs/>
        </w:rPr>
        <w:t xml:space="preserve">The exchangeability of the trials </w:t>
      </w:r>
      <w:r w:rsidR="00E07790" w:rsidRPr="00234409">
        <w:rPr>
          <w:iCs/>
        </w:rPr>
        <w:t xml:space="preserve">in terms of safety outcomes </w:t>
      </w:r>
      <w:r w:rsidRPr="00234409">
        <w:rPr>
          <w:iCs/>
        </w:rPr>
        <w:t xml:space="preserve">was unclear given differences in the time points and handling of ‘early escape’ patients across the trials.  For example, safety data in </w:t>
      </w:r>
      <w:proofErr w:type="spellStart"/>
      <w:r w:rsidRPr="00234409">
        <w:rPr>
          <w:iCs/>
        </w:rPr>
        <w:t>Mease</w:t>
      </w:r>
      <w:proofErr w:type="spellEnd"/>
      <w:r w:rsidRPr="00234409">
        <w:rPr>
          <w:iCs/>
        </w:rPr>
        <w:t xml:space="preserve"> 2017 was reported for up to 56 days after the last dose in the double-blind phase or first-dose in the open-label phase (whichever came first); FUTURE-2 was based on the first 16 weeks before early escape; whereas RAPID-PsA and the PSUMMIT trials were based on 24 weeks without adjustment for exposure.  Placebo event rates for any AEs ranged from 53.1% to 71.4% across the trials.</w:t>
      </w:r>
    </w:p>
    <w:p w:rsidR="00155995" w:rsidRPr="003C3884" w:rsidRDefault="00155995" w:rsidP="00155995">
      <w:pPr>
        <w:pStyle w:val="ListParagraph"/>
        <w:widowControl/>
        <w:numPr>
          <w:ilvl w:val="1"/>
          <w:numId w:val="3"/>
        </w:numPr>
      </w:pPr>
      <w:r w:rsidRPr="00234409">
        <w:rPr>
          <w:iCs/>
        </w:rPr>
        <w:t>In the 13</w:t>
      </w:r>
      <w:r w:rsidRPr="00234409">
        <w:rPr>
          <w:iCs/>
          <w:vertAlign w:val="superscript"/>
        </w:rPr>
        <w:t>th</w:t>
      </w:r>
      <w:r w:rsidRPr="00234409">
        <w:rPr>
          <w:iCs/>
        </w:rPr>
        <w:t xml:space="preserve"> </w:t>
      </w:r>
      <w:r w:rsidR="000A11D2" w:rsidRPr="00234409">
        <w:rPr>
          <w:iCs/>
        </w:rPr>
        <w:t>Periodic Benefit-Risk Evaluation Report (</w:t>
      </w:r>
      <w:r w:rsidRPr="00234409">
        <w:rPr>
          <w:iCs/>
        </w:rPr>
        <w:t>PBRER</w:t>
      </w:r>
      <w:r w:rsidR="000A11D2" w:rsidRPr="00234409">
        <w:rPr>
          <w:iCs/>
        </w:rPr>
        <w:t>)</w:t>
      </w:r>
      <w:r w:rsidRPr="00234409">
        <w:rPr>
          <w:iCs/>
        </w:rPr>
        <w:t xml:space="preserve"> (22</w:t>
      </w:r>
      <w:r w:rsidRPr="00234409">
        <w:rPr>
          <w:iCs/>
          <w:vertAlign w:val="superscript"/>
        </w:rPr>
        <w:t>nd</w:t>
      </w:r>
      <w:r w:rsidRPr="00234409">
        <w:rPr>
          <w:iCs/>
        </w:rPr>
        <w:t xml:space="preserve"> Dec 2015), the important identified risks for </w:t>
      </w:r>
      <w:proofErr w:type="spellStart"/>
      <w:r w:rsidR="002864B1" w:rsidRPr="00234409">
        <w:rPr>
          <w:iCs/>
        </w:rPr>
        <w:t>abatacept</w:t>
      </w:r>
      <w:proofErr w:type="spellEnd"/>
      <w:r w:rsidR="002864B1" w:rsidRPr="00234409">
        <w:rPr>
          <w:iCs/>
        </w:rPr>
        <w:t xml:space="preserve"> </w:t>
      </w:r>
      <w:r w:rsidRPr="003C3884">
        <w:rPr>
          <w:iCs/>
        </w:rPr>
        <w:t>were infections and infestations including tuberculous, and infusion (IV formulation) or injection (SC formulation) related reactions.</w:t>
      </w:r>
    </w:p>
    <w:p w:rsidR="00D02FB3" w:rsidRPr="006718B1" w:rsidRDefault="00D02FB3" w:rsidP="00B67B6B">
      <w:pPr>
        <w:widowControl/>
        <w:ind w:firstLine="720"/>
        <w:rPr>
          <w:i/>
        </w:rPr>
      </w:pPr>
      <w:r w:rsidRPr="006718B1">
        <w:rPr>
          <w:i/>
        </w:rPr>
        <w:t>For more detail on PBAC’s view, see section 7 PBAC outcome.</w:t>
      </w:r>
    </w:p>
    <w:p w:rsidR="00155995" w:rsidRPr="00AB1DCC" w:rsidRDefault="00155995" w:rsidP="00F55365">
      <w:pPr>
        <w:pStyle w:val="Heading2"/>
      </w:pPr>
      <w:bookmarkStart w:id="15" w:name="_Toc503190141"/>
      <w:r w:rsidRPr="00AB1DCC">
        <w:t>Benefits/harms</w:t>
      </w:r>
      <w:bookmarkEnd w:id="15"/>
    </w:p>
    <w:p w:rsidR="004328B7" w:rsidRPr="00234409" w:rsidRDefault="004328B7" w:rsidP="004328B7">
      <w:pPr>
        <w:pStyle w:val="ListParagraph"/>
        <w:widowControl/>
        <w:numPr>
          <w:ilvl w:val="1"/>
          <w:numId w:val="3"/>
        </w:numPr>
        <w:rPr>
          <w:iCs/>
          <w:szCs w:val="24"/>
        </w:rPr>
      </w:pPr>
      <w:r w:rsidRPr="00234409">
        <w:rPr>
          <w:iCs/>
          <w:szCs w:val="24"/>
        </w:rPr>
        <w:t xml:space="preserve">Given that the </w:t>
      </w:r>
      <w:r w:rsidRPr="00234409">
        <w:rPr>
          <w:iCs/>
        </w:rPr>
        <w:t>submission</w:t>
      </w:r>
      <w:r w:rsidRPr="00234409">
        <w:rPr>
          <w:iCs/>
          <w:szCs w:val="24"/>
        </w:rPr>
        <w:t xml:space="preserve"> provided no statistical comparisons of safety outcomes, a benefits and harms summary cannot be provided.  Summaries of benefits are provided in the ‘Comparative effectiveness’ section above.</w:t>
      </w:r>
    </w:p>
    <w:p w:rsidR="00D02FB3" w:rsidRPr="00764AB6" w:rsidRDefault="00D02FB3" w:rsidP="00B67B6B">
      <w:pPr>
        <w:ind w:firstLine="720"/>
        <w:rPr>
          <w:i/>
        </w:rPr>
      </w:pPr>
      <w:r w:rsidRPr="00764AB6">
        <w:rPr>
          <w:i/>
        </w:rPr>
        <w:t>For more detail on PBAC’s view, see section 7 PBAC outcome.</w:t>
      </w:r>
    </w:p>
    <w:p w:rsidR="00155995" w:rsidRPr="00AB1DCC" w:rsidRDefault="00155995" w:rsidP="00F55365">
      <w:pPr>
        <w:pStyle w:val="Heading2"/>
      </w:pPr>
      <w:bookmarkStart w:id="16" w:name="_Toc503190142"/>
      <w:r w:rsidRPr="00AB1DCC">
        <w:t>Clinical claim</w:t>
      </w:r>
      <w:bookmarkEnd w:id="16"/>
    </w:p>
    <w:p w:rsidR="00B16FFA" w:rsidRPr="00234409" w:rsidRDefault="00B16FFA" w:rsidP="005C414C">
      <w:pPr>
        <w:pStyle w:val="ListParagraph"/>
        <w:widowControl/>
        <w:numPr>
          <w:ilvl w:val="1"/>
          <w:numId w:val="3"/>
        </w:numPr>
        <w:rPr>
          <w:iCs/>
        </w:rPr>
      </w:pPr>
      <w:r w:rsidRPr="00234409">
        <w:t xml:space="preserve">The submission described </w:t>
      </w:r>
      <w:proofErr w:type="spellStart"/>
      <w:r w:rsidR="002864B1" w:rsidRPr="00234409">
        <w:t>abatacept</w:t>
      </w:r>
      <w:proofErr w:type="spellEnd"/>
      <w:r w:rsidRPr="00234409">
        <w:t xml:space="preserve"> as non-inferior in terms of effectiveness and non-inferior in terms of safety compared with</w:t>
      </w:r>
      <w:r w:rsidR="001F16EF">
        <w:t xml:space="preserve"> </w:t>
      </w:r>
      <w:proofErr w:type="spellStart"/>
      <w:r w:rsidR="001F16EF">
        <w:t>certolizumab</w:t>
      </w:r>
      <w:proofErr w:type="spellEnd"/>
      <w:r w:rsidR="001F16EF">
        <w:t>, ustekinumab and secukinumab</w:t>
      </w:r>
      <w:r w:rsidRPr="00234409">
        <w:t xml:space="preserve">.  </w:t>
      </w:r>
      <w:r w:rsidRPr="00234409">
        <w:rPr>
          <w:iCs/>
        </w:rPr>
        <w:t xml:space="preserve">The basis for this claim was unclear.  </w:t>
      </w:r>
      <w:r w:rsidRPr="00234409">
        <w:t xml:space="preserve">The submission acknowledged </w:t>
      </w:r>
      <w:proofErr w:type="spellStart"/>
      <w:r w:rsidR="002864B1" w:rsidRPr="00234409">
        <w:t>abatacept</w:t>
      </w:r>
      <w:proofErr w:type="spellEnd"/>
      <w:r w:rsidRPr="00234409">
        <w:t xml:space="preserve"> to be numerically worse than the nominated comparators in terms of key patient relevant outcomes ACR50 and ACR20, as well as PASI75.  However, the submission appeared to argue that the trial results </w:t>
      </w:r>
      <w:r w:rsidR="008B2800">
        <w:t>were</w:t>
      </w:r>
      <w:r w:rsidR="008B2800" w:rsidRPr="00234409">
        <w:t xml:space="preserve"> </w:t>
      </w:r>
      <w:r w:rsidRPr="00234409">
        <w:t xml:space="preserve">biased against </w:t>
      </w:r>
      <w:proofErr w:type="spellStart"/>
      <w:r w:rsidR="002864B1" w:rsidRPr="00234409">
        <w:t>abatacept</w:t>
      </w:r>
      <w:proofErr w:type="spellEnd"/>
      <w:r w:rsidRPr="00234409">
        <w:t xml:space="preserve"> and given, the </w:t>
      </w:r>
      <w:r w:rsidRPr="00234409">
        <w:rPr>
          <w:iCs/>
          <w:szCs w:val="24"/>
        </w:rPr>
        <w:t>results</w:t>
      </w:r>
      <w:r w:rsidRPr="00234409">
        <w:t xml:space="preserve"> for HAQ-DI, SF-36 PCS and SF-36 MCS were not statistically significantly different in the indirect comparisons, on balance non-inferiority was still supported.</w:t>
      </w:r>
      <w:r w:rsidR="005C414C" w:rsidRPr="00234409">
        <w:t xml:space="preserve">  </w:t>
      </w:r>
      <w:r w:rsidR="00B0008A">
        <w:rPr>
          <w:iCs/>
        </w:rPr>
        <w:t>B</w:t>
      </w:r>
      <w:r w:rsidRPr="00234409">
        <w:rPr>
          <w:iCs/>
        </w:rPr>
        <w:t xml:space="preserve">ased on the evidence, </w:t>
      </w:r>
      <w:proofErr w:type="spellStart"/>
      <w:r w:rsidR="002864B1" w:rsidRPr="00234409">
        <w:rPr>
          <w:iCs/>
        </w:rPr>
        <w:t>abatacept</w:t>
      </w:r>
      <w:proofErr w:type="spellEnd"/>
      <w:r w:rsidRPr="00234409">
        <w:rPr>
          <w:iCs/>
        </w:rPr>
        <w:t xml:space="preserve"> appeared to be inferior to </w:t>
      </w:r>
      <w:proofErr w:type="spellStart"/>
      <w:r w:rsidR="002A1C40">
        <w:t>certolizumab</w:t>
      </w:r>
      <w:proofErr w:type="spellEnd"/>
      <w:r w:rsidRPr="00234409">
        <w:rPr>
          <w:iCs/>
        </w:rPr>
        <w:t xml:space="preserve">, </w:t>
      </w:r>
      <w:r w:rsidR="002A1C40">
        <w:t xml:space="preserve">ustekinumab </w:t>
      </w:r>
      <w:r w:rsidRPr="00234409">
        <w:rPr>
          <w:iCs/>
        </w:rPr>
        <w:t xml:space="preserve">and </w:t>
      </w:r>
      <w:r w:rsidR="007951E0">
        <w:rPr>
          <w:iCs/>
        </w:rPr>
        <w:t>secukinumab</w:t>
      </w:r>
      <w:r w:rsidR="007951E0" w:rsidRPr="00234409">
        <w:rPr>
          <w:iCs/>
        </w:rPr>
        <w:t xml:space="preserve"> </w:t>
      </w:r>
      <w:r w:rsidRPr="00234409">
        <w:rPr>
          <w:iCs/>
        </w:rPr>
        <w:t xml:space="preserve">for </w:t>
      </w:r>
      <w:r w:rsidR="005C414C" w:rsidRPr="00234409">
        <w:rPr>
          <w:iCs/>
        </w:rPr>
        <w:t>effectiveness:</w:t>
      </w:r>
    </w:p>
    <w:p w:rsidR="00B16FFA" w:rsidRPr="00234409" w:rsidRDefault="00B16FFA" w:rsidP="00B16FFA">
      <w:pPr>
        <w:pStyle w:val="Commentitalics"/>
        <w:numPr>
          <w:ilvl w:val="0"/>
          <w:numId w:val="34"/>
        </w:numPr>
        <w:ind w:left="1134"/>
        <w:rPr>
          <w:i w:val="0"/>
        </w:rPr>
      </w:pPr>
      <w:r w:rsidRPr="00234409">
        <w:rPr>
          <w:i w:val="0"/>
        </w:rPr>
        <w:t xml:space="preserve">the results of the indirect comparisons (at either the Week 12/24 or Week 24 only) showed that </w:t>
      </w:r>
      <w:proofErr w:type="spellStart"/>
      <w:r w:rsidR="002864B1" w:rsidRPr="00234409">
        <w:rPr>
          <w:i w:val="0"/>
        </w:rPr>
        <w:t>abatacept</w:t>
      </w:r>
      <w:proofErr w:type="spellEnd"/>
      <w:r w:rsidRPr="00234409">
        <w:rPr>
          <w:i w:val="0"/>
        </w:rPr>
        <w:t xml:space="preserve"> was numerically and statistically significantly </w:t>
      </w:r>
      <w:r w:rsidRPr="00234409">
        <w:rPr>
          <w:i w:val="0"/>
          <w:iCs/>
        </w:rPr>
        <w:t>inferior to all of the nominated comparators in terms of the patient relevant outcomes ACR50 and ACR20 (ITT population);</w:t>
      </w:r>
    </w:p>
    <w:p w:rsidR="00B16FFA" w:rsidRPr="00234409" w:rsidRDefault="00B16FFA" w:rsidP="00B16FFA">
      <w:pPr>
        <w:pStyle w:val="Commentitalics"/>
        <w:numPr>
          <w:ilvl w:val="0"/>
          <w:numId w:val="34"/>
        </w:numPr>
        <w:ind w:left="1134"/>
        <w:rPr>
          <w:i w:val="0"/>
        </w:rPr>
      </w:pPr>
      <w:r w:rsidRPr="00234409">
        <w:rPr>
          <w:i w:val="0"/>
          <w:iCs/>
        </w:rPr>
        <w:t xml:space="preserve">when the non-inferiority margins were applied to the RR statistics (calculated during the evaluation) at Week 12/24 (ITT population), non-inferiority could not be concluded between </w:t>
      </w:r>
      <w:proofErr w:type="spellStart"/>
      <w:r w:rsidR="002864B1" w:rsidRPr="00234409">
        <w:rPr>
          <w:i w:val="0"/>
          <w:iCs/>
        </w:rPr>
        <w:t>abatacept</w:t>
      </w:r>
      <w:proofErr w:type="spellEnd"/>
      <w:r w:rsidRPr="00234409">
        <w:rPr>
          <w:i w:val="0"/>
          <w:iCs/>
        </w:rPr>
        <w:t xml:space="preserve"> and </w:t>
      </w:r>
      <w:r w:rsidR="00973D9A">
        <w:rPr>
          <w:i w:val="0"/>
          <w:iCs/>
        </w:rPr>
        <w:t>secukinumab</w:t>
      </w:r>
      <w:r w:rsidRPr="00234409">
        <w:rPr>
          <w:i w:val="0"/>
          <w:iCs/>
        </w:rPr>
        <w:t xml:space="preserve"> for ACR50 or any of the comparators (</w:t>
      </w:r>
      <w:proofErr w:type="spellStart"/>
      <w:r w:rsidR="00973D9A">
        <w:rPr>
          <w:i w:val="0"/>
          <w:iCs/>
        </w:rPr>
        <w:t>certolizumab</w:t>
      </w:r>
      <w:proofErr w:type="spellEnd"/>
      <w:r w:rsidR="00973D9A">
        <w:rPr>
          <w:i w:val="0"/>
          <w:iCs/>
        </w:rPr>
        <w:t>, ustekinumab and secukinumab</w:t>
      </w:r>
      <w:r w:rsidRPr="00234409">
        <w:rPr>
          <w:i w:val="0"/>
          <w:iCs/>
        </w:rPr>
        <w:t>) for ACR20;</w:t>
      </w:r>
    </w:p>
    <w:p w:rsidR="00B16FFA" w:rsidRPr="00234409" w:rsidRDefault="00B16FFA" w:rsidP="00B16FFA">
      <w:pPr>
        <w:pStyle w:val="Commentitalics"/>
        <w:numPr>
          <w:ilvl w:val="0"/>
          <w:numId w:val="34"/>
        </w:numPr>
        <w:ind w:left="1134"/>
        <w:rPr>
          <w:i w:val="0"/>
          <w:iCs/>
        </w:rPr>
      </w:pPr>
      <w:r w:rsidRPr="00234409">
        <w:rPr>
          <w:i w:val="0"/>
          <w:iCs/>
        </w:rPr>
        <w:t xml:space="preserve">when the non-inferiority margins were applied to the RR statistics (calculated during the evaluation) at Week 24 (ITT population), non-inferiority could not be concluded between </w:t>
      </w:r>
      <w:proofErr w:type="spellStart"/>
      <w:r w:rsidR="002864B1" w:rsidRPr="00234409">
        <w:rPr>
          <w:i w:val="0"/>
          <w:iCs/>
        </w:rPr>
        <w:t>abatacept</w:t>
      </w:r>
      <w:proofErr w:type="spellEnd"/>
      <w:r w:rsidRPr="00234409">
        <w:rPr>
          <w:i w:val="0"/>
          <w:iCs/>
        </w:rPr>
        <w:t xml:space="preserve"> and any of the comparators (</w:t>
      </w:r>
      <w:proofErr w:type="spellStart"/>
      <w:r w:rsidR="00973D9A">
        <w:rPr>
          <w:i w:val="0"/>
          <w:iCs/>
        </w:rPr>
        <w:t>certolizumab</w:t>
      </w:r>
      <w:proofErr w:type="spellEnd"/>
      <w:r w:rsidR="00973D9A">
        <w:rPr>
          <w:i w:val="0"/>
          <w:iCs/>
        </w:rPr>
        <w:t>, ustekinumab and secukinumab</w:t>
      </w:r>
      <w:r w:rsidRPr="00234409">
        <w:rPr>
          <w:i w:val="0"/>
          <w:iCs/>
        </w:rPr>
        <w:t xml:space="preserve">) for ACR50 or </w:t>
      </w:r>
      <w:r w:rsidR="00973D9A">
        <w:rPr>
          <w:i w:val="0"/>
          <w:iCs/>
        </w:rPr>
        <w:t>secukinumab</w:t>
      </w:r>
      <w:r w:rsidRPr="00234409">
        <w:rPr>
          <w:i w:val="0"/>
          <w:iCs/>
        </w:rPr>
        <w:t xml:space="preserve"> for ACR20;</w:t>
      </w:r>
    </w:p>
    <w:p w:rsidR="00B16FFA" w:rsidRPr="00234409" w:rsidRDefault="00B16FFA" w:rsidP="008B4EDF">
      <w:pPr>
        <w:pStyle w:val="Commentitalics"/>
        <w:numPr>
          <w:ilvl w:val="0"/>
          <w:numId w:val="34"/>
        </w:numPr>
        <w:ind w:left="1134"/>
        <w:rPr>
          <w:i w:val="0"/>
        </w:rPr>
      </w:pPr>
      <w:proofErr w:type="gramStart"/>
      <w:r w:rsidRPr="00234409">
        <w:rPr>
          <w:rFonts w:cs="Calibri"/>
          <w:i w:val="0"/>
        </w:rPr>
        <w:t>the</w:t>
      </w:r>
      <w:proofErr w:type="gramEnd"/>
      <w:r w:rsidRPr="00234409">
        <w:rPr>
          <w:rFonts w:cs="Calibri"/>
          <w:i w:val="0"/>
        </w:rPr>
        <w:t xml:space="preserve"> proportion of patients who achieved an ACR50 response at Week 24 (key secondary outcome) on </w:t>
      </w:r>
      <w:proofErr w:type="spellStart"/>
      <w:r w:rsidR="002864B1" w:rsidRPr="00234409">
        <w:rPr>
          <w:rFonts w:cs="Calibri"/>
          <w:i w:val="0"/>
        </w:rPr>
        <w:t>abatacept</w:t>
      </w:r>
      <w:proofErr w:type="spellEnd"/>
      <w:r w:rsidRPr="00234409">
        <w:rPr>
          <w:rFonts w:cs="Calibri"/>
          <w:i w:val="0"/>
        </w:rPr>
        <w:t xml:space="preserve"> was not statistically significantly different to placebo in the </w:t>
      </w:r>
      <w:r w:rsidR="008B4EDF" w:rsidRPr="00234409">
        <w:rPr>
          <w:rFonts w:cs="Calibri"/>
          <w:i w:val="0"/>
        </w:rPr>
        <w:t>phase 3</w:t>
      </w:r>
      <w:r w:rsidRPr="00234409">
        <w:rPr>
          <w:rFonts w:cs="Calibri"/>
          <w:i w:val="0"/>
        </w:rPr>
        <w:t xml:space="preserve"> </w:t>
      </w:r>
      <w:proofErr w:type="spellStart"/>
      <w:r w:rsidR="002864B1" w:rsidRPr="00234409">
        <w:rPr>
          <w:rFonts w:cs="Calibri"/>
          <w:i w:val="0"/>
        </w:rPr>
        <w:t>abatacept</w:t>
      </w:r>
      <w:proofErr w:type="spellEnd"/>
      <w:r w:rsidRPr="00234409">
        <w:rPr>
          <w:rFonts w:cs="Calibri"/>
          <w:i w:val="0"/>
        </w:rPr>
        <w:t xml:space="preserve"> trial </w:t>
      </w:r>
      <w:proofErr w:type="spellStart"/>
      <w:r w:rsidRPr="00234409">
        <w:rPr>
          <w:rFonts w:cs="Calibri"/>
          <w:i w:val="0"/>
        </w:rPr>
        <w:t>Mease</w:t>
      </w:r>
      <w:proofErr w:type="spellEnd"/>
      <w:r w:rsidRPr="00234409">
        <w:rPr>
          <w:rFonts w:cs="Calibri"/>
          <w:i w:val="0"/>
        </w:rPr>
        <w:t xml:space="preserve"> 2017 (ITT population).  </w:t>
      </w:r>
    </w:p>
    <w:p w:rsidR="00B16FFA" w:rsidRPr="00234409" w:rsidRDefault="002864B1" w:rsidP="00B16FFA">
      <w:pPr>
        <w:pStyle w:val="Commentitalics"/>
        <w:numPr>
          <w:ilvl w:val="0"/>
          <w:numId w:val="34"/>
        </w:numPr>
        <w:ind w:left="1134"/>
        <w:rPr>
          <w:i w:val="0"/>
          <w:iCs/>
        </w:rPr>
      </w:pPr>
      <w:proofErr w:type="spellStart"/>
      <w:r w:rsidRPr="00234409">
        <w:rPr>
          <w:i w:val="0"/>
          <w:iCs/>
        </w:rPr>
        <w:t>abatacept</w:t>
      </w:r>
      <w:proofErr w:type="spellEnd"/>
      <w:r w:rsidR="00B16FFA" w:rsidRPr="00234409">
        <w:rPr>
          <w:i w:val="0"/>
          <w:iCs/>
        </w:rPr>
        <w:t xml:space="preserve"> was statistically significantly inferior (depending on statistic used) to all of the nominated comparators (</w:t>
      </w:r>
      <w:proofErr w:type="spellStart"/>
      <w:r w:rsidR="00973D9A">
        <w:rPr>
          <w:i w:val="0"/>
          <w:iCs/>
        </w:rPr>
        <w:t>certolizumab</w:t>
      </w:r>
      <w:proofErr w:type="spellEnd"/>
      <w:r w:rsidR="00973D9A">
        <w:rPr>
          <w:i w:val="0"/>
          <w:iCs/>
        </w:rPr>
        <w:t>, ustekinumab and secukinumab</w:t>
      </w:r>
      <w:r w:rsidR="00B16FFA" w:rsidRPr="00234409">
        <w:rPr>
          <w:i w:val="0"/>
          <w:iCs/>
        </w:rPr>
        <w:t>) in terms of PASI75 at 24 weeks (psoriasis &gt;3% BSA); and</w:t>
      </w:r>
    </w:p>
    <w:p w:rsidR="00B16FFA" w:rsidRPr="00234409" w:rsidRDefault="00B16FFA" w:rsidP="00B16FFA">
      <w:pPr>
        <w:pStyle w:val="Commentitalics"/>
        <w:numPr>
          <w:ilvl w:val="0"/>
          <w:numId w:val="34"/>
        </w:numPr>
        <w:ind w:left="1134"/>
        <w:rPr>
          <w:i w:val="0"/>
          <w:iCs/>
        </w:rPr>
      </w:pPr>
      <w:r w:rsidRPr="00234409">
        <w:rPr>
          <w:i w:val="0"/>
          <w:iCs/>
        </w:rPr>
        <w:t>Statistical non-significance of underpowered secondary outcomes (HAQ-DI and SF-36) cannot be interpreted as evidence of non-inferiority.</w:t>
      </w:r>
    </w:p>
    <w:p w:rsidR="00B16FFA" w:rsidRPr="00234409" w:rsidRDefault="00B16FFA" w:rsidP="00B16FFA"/>
    <w:p w:rsidR="00B16FFA" w:rsidRDefault="00B16FFA" w:rsidP="005C414C">
      <w:pPr>
        <w:pStyle w:val="ListParagraph"/>
        <w:widowControl/>
        <w:numPr>
          <w:ilvl w:val="1"/>
          <w:numId w:val="3"/>
        </w:numPr>
        <w:rPr>
          <w:iCs/>
        </w:rPr>
      </w:pPr>
      <w:r w:rsidRPr="00234409">
        <w:rPr>
          <w:iCs/>
        </w:rPr>
        <w:t xml:space="preserve">While not robustly demonstrated given the lack of statistical comparison, a clinical claim of non-inferior safety may be reasonable, </w:t>
      </w:r>
      <w:r w:rsidR="00B0008A">
        <w:rPr>
          <w:iCs/>
        </w:rPr>
        <w:t>and consistent with that previously accepted by</w:t>
      </w:r>
      <w:r w:rsidRPr="00234409">
        <w:rPr>
          <w:iCs/>
        </w:rPr>
        <w:t xml:space="preserve"> the PBAC </w:t>
      </w:r>
      <w:r w:rsidR="00B0008A">
        <w:rPr>
          <w:iCs/>
        </w:rPr>
        <w:t>for comparisons</w:t>
      </w:r>
      <w:r w:rsidRPr="00234409">
        <w:rPr>
          <w:iCs/>
        </w:rPr>
        <w:t xml:space="preserve"> versus </w:t>
      </w:r>
      <w:r w:rsidR="00973D9A">
        <w:rPr>
          <w:iCs/>
        </w:rPr>
        <w:t>infliximab</w:t>
      </w:r>
      <w:r w:rsidRPr="00234409">
        <w:rPr>
          <w:iCs/>
        </w:rPr>
        <w:t xml:space="preserve">, </w:t>
      </w:r>
      <w:r w:rsidR="00973D9A">
        <w:rPr>
          <w:iCs/>
        </w:rPr>
        <w:t>etanercept</w:t>
      </w:r>
      <w:r w:rsidRPr="00234409">
        <w:rPr>
          <w:iCs/>
        </w:rPr>
        <w:t xml:space="preserve"> and </w:t>
      </w:r>
      <w:r w:rsidR="00973D9A">
        <w:rPr>
          <w:iCs/>
        </w:rPr>
        <w:t>adalimumab</w:t>
      </w:r>
      <w:r w:rsidRPr="00234409">
        <w:rPr>
          <w:iCs/>
        </w:rPr>
        <w:t xml:space="preserve"> in either RA or JIA.</w:t>
      </w:r>
    </w:p>
    <w:p w:rsidR="00B16FFA" w:rsidRPr="00792852" w:rsidRDefault="00B23D0A" w:rsidP="00660C60">
      <w:pPr>
        <w:pStyle w:val="ListParagraph"/>
        <w:widowControl/>
        <w:numPr>
          <w:ilvl w:val="1"/>
          <w:numId w:val="3"/>
        </w:numPr>
        <w:rPr>
          <w:iCs/>
        </w:rPr>
      </w:pPr>
      <w:r w:rsidRPr="00792852">
        <w:rPr>
          <w:iCs/>
        </w:rPr>
        <w:t>The</w:t>
      </w:r>
      <w:r w:rsidR="003C4BDF">
        <w:rPr>
          <w:iCs/>
        </w:rPr>
        <w:t xml:space="preserve"> </w:t>
      </w:r>
      <w:r w:rsidR="00660C60" w:rsidRPr="00660C60">
        <w:rPr>
          <w:iCs/>
        </w:rPr>
        <w:t xml:space="preserve">PBAC agreed with the </w:t>
      </w:r>
      <w:r w:rsidRPr="00792852">
        <w:rPr>
          <w:iCs/>
        </w:rPr>
        <w:t xml:space="preserve">ESC that based on the evidence provided, the submission did not demonstrate non-inferiority between </w:t>
      </w:r>
      <w:proofErr w:type="spellStart"/>
      <w:r w:rsidRPr="00792852">
        <w:rPr>
          <w:iCs/>
        </w:rPr>
        <w:t>abatacept</w:t>
      </w:r>
      <w:proofErr w:type="spellEnd"/>
      <w:r w:rsidRPr="00792852">
        <w:rPr>
          <w:iCs/>
        </w:rPr>
        <w:t xml:space="preserve"> and the nominated comparators (</w:t>
      </w:r>
      <w:proofErr w:type="spellStart"/>
      <w:proofErr w:type="gramStart"/>
      <w:r w:rsidR="00806BAF">
        <w:rPr>
          <w:iCs/>
        </w:rPr>
        <w:t>certolizumab</w:t>
      </w:r>
      <w:proofErr w:type="spellEnd"/>
      <w:r w:rsidR="00806BAF">
        <w:rPr>
          <w:iCs/>
        </w:rPr>
        <w:t xml:space="preserve"> </w:t>
      </w:r>
      <w:r w:rsidRPr="00792852">
        <w:rPr>
          <w:iCs/>
        </w:rPr>
        <w:t>,</w:t>
      </w:r>
      <w:proofErr w:type="gramEnd"/>
      <w:r w:rsidRPr="00792852">
        <w:rPr>
          <w:iCs/>
        </w:rPr>
        <w:t xml:space="preserve"> </w:t>
      </w:r>
      <w:r w:rsidR="00806BAF">
        <w:rPr>
          <w:iCs/>
        </w:rPr>
        <w:t>ustekinumab</w:t>
      </w:r>
      <w:r w:rsidRPr="00792852">
        <w:rPr>
          <w:iCs/>
        </w:rPr>
        <w:t xml:space="preserve">, </w:t>
      </w:r>
      <w:r w:rsidR="00806BAF">
        <w:rPr>
          <w:iCs/>
        </w:rPr>
        <w:t>secukinumab</w:t>
      </w:r>
      <w:r w:rsidRPr="00792852">
        <w:rPr>
          <w:iCs/>
        </w:rPr>
        <w:t>).</w:t>
      </w:r>
    </w:p>
    <w:p w:rsidR="00B16FFA" w:rsidRPr="0087355E" w:rsidRDefault="00D02FB3" w:rsidP="00B67B6B">
      <w:pPr>
        <w:ind w:firstLine="720"/>
        <w:rPr>
          <w:i/>
          <w:iCs/>
        </w:rPr>
      </w:pPr>
      <w:r w:rsidRPr="0087355E">
        <w:rPr>
          <w:i/>
          <w:iCs/>
        </w:rPr>
        <w:t>For more detail on PBAC’s view, see section 7 PBAC outcome.</w:t>
      </w:r>
    </w:p>
    <w:p w:rsidR="00155995" w:rsidRPr="00AB1DCC" w:rsidRDefault="00155995" w:rsidP="00F55365">
      <w:pPr>
        <w:pStyle w:val="Heading2"/>
      </w:pPr>
      <w:bookmarkStart w:id="17" w:name="_Toc503190143"/>
      <w:r w:rsidRPr="00AB1DCC">
        <w:t>Economic analysis</w:t>
      </w:r>
      <w:bookmarkEnd w:id="17"/>
      <w:r w:rsidRPr="00AB1DCC">
        <w:t xml:space="preserve"> </w:t>
      </w:r>
    </w:p>
    <w:p w:rsidR="00155995" w:rsidRPr="00234409" w:rsidRDefault="00155995" w:rsidP="00155995">
      <w:pPr>
        <w:pStyle w:val="ListParagraph"/>
        <w:widowControl/>
        <w:numPr>
          <w:ilvl w:val="1"/>
          <w:numId w:val="3"/>
        </w:numPr>
      </w:pPr>
      <w:r w:rsidRPr="00234409">
        <w:rPr>
          <w:rFonts w:cs="Calibri"/>
          <w:snapToGrid/>
          <w:szCs w:val="24"/>
          <w:lang w:val="en-US" w:eastAsia="en-AU"/>
        </w:rPr>
        <w:t>A cost-</w:t>
      </w:r>
      <w:proofErr w:type="spellStart"/>
      <w:r w:rsidRPr="00234409">
        <w:rPr>
          <w:rFonts w:cs="Calibri"/>
          <w:snapToGrid/>
          <w:szCs w:val="24"/>
          <w:lang w:val="en-US" w:eastAsia="en-AU"/>
        </w:rPr>
        <w:t>minimisation</w:t>
      </w:r>
      <w:proofErr w:type="spellEnd"/>
      <w:r w:rsidRPr="00234409">
        <w:rPr>
          <w:rFonts w:cs="Calibri"/>
          <w:snapToGrid/>
          <w:szCs w:val="24"/>
          <w:lang w:val="en-US" w:eastAsia="en-AU"/>
        </w:rPr>
        <w:t xml:space="preserve"> analysis against </w:t>
      </w:r>
      <w:proofErr w:type="spellStart"/>
      <w:r w:rsidR="004235CD">
        <w:rPr>
          <w:rFonts w:cs="Calibri"/>
          <w:snapToGrid/>
          <w:szCs w:val="24"/>
          <w:lang w:val="en-US" w:eastAsia="en-AU"/>
        </w:rPr>
        <w:t>certolizumab</w:t>
      </w:r>
      <w:proofErr w:type="spellEnd"/>
      <w:r w:rsidR="005C414C" w:rsidRPr="00234409">
        <w:rPr>
          <w:rFonts w:cs="Calibri"/>
          <w:snapToGrid/>
          <w:szCs w:val="24"/>
          <w:lang w:val="en-US" w:eastAsia="en-AU"/>
        </w:rPr>
        <w:t xml:space="preserve">, </w:t>
      </w:r>
      <w:proofErr w:type="spellStart"/>
      <w:r w:rsidR="004235CD">
        <w:rPr>
          <w:rFonts w:cs="Calibri"/>
          <w:snapToGrid/>
          <w:szCs w:val="24"/>
          <w:lang w:val="en-US" w:eastAsia="en-AU"/>
        </w:rPr>
        <w:t>ustekinumab</w:t>
      </w:r>
      <w:proofErr w:type="spellEnd"/>
      <w:r w:rsidR="005C414C" w:rsidRPr="00234409">
        <w:rPr>
          <w:rFonts w:cs="Calibri"/>
          <w:snapToGrid/>
          <w:szCs w:val="24"/>
          <w:lang w:val="en-US" w:eastAsia="en-AU"/>
        </w:rPr>
        <w:t xml:space="preserve"> and </w:t>
      </w:r>
      <w:proofErr w:type="spellStart"/>
      <w:r w:rsidR="004235CD">
        <w:rPr>
          <w:rFonts w:cs="Calibri"/>
          <w:snapToGrid/>
          <w:szCs w:val="24"/>
          <w:lang w:val="en-US" w:eastAsia="en-AU"/>
        </w:rPr>
        <w:t>secukinumab</w:t>
      </w:r>
      <w:proofErr w:type="spellEnd"/>
      <w:r w:rsidR="005C414C" w:rsidRPr="00234409">
        <w:rPr>
          <w:rFonts w:cs="Calibri"/>
          <w:snapToGrid/>
          <w:szCs w:val="24"/>
          <w:lang w:val="en-US" w:eastAsia="en-AU"/>
        </w:rPr>
        <w:t xml:space="preserve"> was presented.</w:t>
      </w:r>
    </w:p>
    <w:p w:rsidR="00155995" w:rsidRPr="00234409" w:rsidRDefault="00155995" w:rsidP="00814367">
      <w:pPr>
        <w:pStyle w:val="ListParagraph"/>
        <w:widowControl/>
        <w:numPr>
          <w:ilvl w:val="1"/>
          <w:numId w:val="3"/>
        </w:numPr>
      </w:pPr>
      <w:r w:rsidRPr="00234409">
        <w:t xml:space="preserve">The </w:t>
      </w:r>
      <w:proofErr w:type="spellStart"/>
      <w:r w:rsidRPr="00234409">
        <w:t>equi</w:t>
      </w:r>
      <w:proofErr w:type="spellEnd"/>
      <w:r w:rsidRPr="00234409">
        <w:t xml:space="preserve">-effective doses were estimated based on </w:t>
      </w:r>
      <w:r w:rsidR="00B051E4" w:rsidRPr="00234409">
        <w:t xml:space="preserve">the </w:t>
      </w:r>
      <w:r w:rsidRPr="00234409">
        <w:t xml:space="preserve">indirect comparisons of ACR50 and ACR20 presented above, summarised in Table </w:t>
      </w:r>
      <w:r w:rsidR="00B051E4" w:rsidRPr="00234409">
        <w:t>7</w:t>
      </w:r>
      <w:r w:rsidRPr="00234409">
        <w:t xml:space="preserve">.  The PBAC has previously accepted the nominated doses of </w:t>
      </w:r>
      <w:proofErr w:type="spellStart"/>
      <w:r w:rsidR="004235CD">
        <w:rPr>
          <w:rFonts w:cs="Calibri"/>
          <w:snapToGrid/>
          <w:szCs w:val="24"/>
          <w:lang w:val="en-US" w:eastAsia="en-AU"/>
        </w:rPr>
        <w:t>certolizumab</w:t>
      </w:r>
      <w:proofErr w:type="spellEnd"/>
      <w:r w:rsidR="004235CD" w:rsidRPr="00234409">
        <w:rPr>
          <w:rFonts w:cs="Calibri"/>
          <w:snapToGrid/>
          <w:szCs w:val="24"/>
          <w:lang w:val="en-US" w:eastAsia="en-AU"/>
        </w:rPr>
        <w:t xml:space="preserve">, </w:t>
      </w:r>
      <w:proofErr w:type="spellStart"/>
      <w:r w:rsidR="004235CD">
        <w:rPr>
          <w:rFonts w:cs="Calibri"/>
          <w:snapToGrid/>
          <w:szCs w:val="24"/>
          <w:lang w:val="en-US" w:eastAsia="en-AU"/>
        </w:rPr>
        <w:t>ustekinumab</w:t>
      </w:r>
      <w:proofErr w:type="spellEnd"/>
      <w:r w:rsidR="004235CD" w:rsidRPr="00234409">
        <w:rPr>
          <w:rFonts w:cs="Calibri"/>
          <w:snapToGrid/>
          <w:szCs w:val="24"/>
          <w:lang w:val="en-US" w:eastAsia="en-AU"/>
        </w:rPr>
        <w:t xml:space="preserve"> and </w:t>
      </w:r>
      <w:proofErr w:type="spellStart"/>
      <w:r w:rsidR="004235CD">
        <w:rPr>
          <w:rFonts w:cs="Calibri"/>
          <w:snapToGrid/>
          <w:szCs w:val="24"/>
          <w:lang w:val="en-US" w:eastAsia="en-AU"/>
        </w:rPr>
        <w:t>secukinumab</w:t>
      </w:r>
      <w:proofErr w:type="spellEnd"/>
      <w:r w:rsidR="004235CD">
        <w:rPr>
          <w:rFonts w:cs="Calibri"/>
          <w:snapToGrid/>
          <w:szCs w:val="24"/>
          <w:lang w:val="en-US" w:eastAsia="en-AU"/>
        </w:rPr>
        <w:t xml:space="preserve"> </w:t>
      </w:r>
      <w:r w:rsidR="00814367" w:rsidRPr="00234409">
        <w:t xml:space="preserve">were </w:t>
      </w:r>
      <w:proofErr w:type="spellStart"/>
      <w:r w:rsidRPr="00234409">
        <w:t>equi</w:t>
      </w:r>
      <w:proofErr w:type="spellEnd"/>
      <w:r w:rsidRPr="00234409">
        <w:t xml:space="preserve">-effective.  </w:t>
      </w:r>
      <w:r w:rsidR="00B0008A">
        <w:t xml:space="preserve">The </w:t>
      </w:r>
      <w:r w:rsidR="004235CD">
        <w:t>PBAC considered</w:t>
      </w:r>
      <w:r w:rsidR="00B0008A">
        <w:t>,</w:t>
      </w:r>
      <w:r w:rsidR="004235CD">
        <w:t xml:space="preserve"> </w:t>
      </w:r>
      <w:r w:rsidR="004235CD">
        <w:rPr>
          <w:iCs/>
        </w:rPr>
        <w:t>g</w:t>
      </w:r>
      <w:r w:rsidRPr="00234409">
        <w:rPr>
          <w:iCs/>
        </w:rPr>
        <w:t xml:space="preserve">iven </w:t>
      </w:r>
      <w:r w:rsidR="00814367" w:rsidRPr="00234409">
        <w:rPr>
          <w:iCs/>
        </w:rPr>
        <w:t xml:space="preserve">that </w:t>
      </w:r>
      <w:r w:rsidRPr="00234409">
        <w:rPr>
          <w:iCs/>
        </w:rPr>
        <w:t xml:space="preserve">non-inferiority </w:t>
      </w:r>
      <w:r w:rsidR="00814367" w:rsidRPr="00234409">
        <w:rPr>
          <w:iCs/>
        </w:rPr>
        <w:t xml:space="preserve">between </w:t>
      </w:r>
      <w:proofErr w:type="spellStart"/>
      <w:r w:rsidR="0014304C" w:rsidRPr="00234409">
        <w:rPr>
          <w:iCs/>
        </w:rPr>
        <w:t>abatacept</w:t>
      </w:r>
      <w:proofErr w:type="spellEnd"/>
      <w:r w:rsidRPr="00234409">
        <w:rPr>
          <w:iCs/>
        </w:rPr>
        <w:t xml:space="preserve"> </w:t>
      </w:r>
      <w:r w:rsidR="00814367" w:rsidRPr="00234409">
        <w:rPr>
          <w:iCs/>
        </w:rPr>
        <w:t xml:space="preserve">and </w:t>
      </w:r>
      <w:r w:rsidRPr="00234409">
        <w:rPr>
          <w:iCs/>
        </w:rPr>
        <w:t>the nominated comparators was not adequately supported b</w:t>
      </w:r>
      <w:r w:rsidR="00814367" w:rsidRPr="00234409">
        <w:rPr>
          <w:iCs/>
        </w:rPr>
        <w:t>y</w:t>
      </w:r>
      <w:r w:rsidRPr="00234409">
        <w:rPr>
          <w:iCs/>
        </w:rPr>
        <w:t xml:space="preserve"> the evidence presented in the submission, </w:t>
      </w:r>
      <w:r w:rsidR="00B0008A">
        <w:rPr>
          <w:iCs/>
        </w:rPr>
        <w:t xml:space="preserve">that </w:t>
      </w:r>
      <w:r w:rsidRPr="00234409">
        <w:rPr>
          <w:iCs/>
        </w:rPr>
        <w:t xml:space="preserve">the proposed </w:t>
      </w:r>
      <w:proofErr w:type="spellStart"/>
      <w:r w:rsidRPr="00234409">
        <w:rPr>
          <w:iCs/>
        </w:rPr>
        <w:t>equi</w:t>
      </w:r>
      <w:proofErr w:type="spellEnd"/>
      <w:r w:rsidRPr="00234409">
        <w:rPr>
          <w:iCs/>
        </w:rPr>
        <w:t xml:space="preserve">-effective doses of </w:t>
      </w:r>
      <w:proofErr w:type="spellStart"/>
      <w:r w:rsidR="0014304C" w:rsidRPr="00234409">
        <w:rPr>
          <w:iCs/>
        </w:rPr>
        <w:t>abatacept</w:t>
      </w:r>
      <w:proofErr w:type="spellEnd"/>
      <w:r w:rsidRPr="00234409">
        <w:rPr>
          <w:iCs/>
        </w:rPr>
        <w:t xml:space="preserve"> and the nominated comparators </w:t>
      </w:r>
      <w:r w:rsidR="00B0008A">
        <w:rPr>
          <w:iCs/>
        </w:rPr>
        <w:t>were</w:t>
      </w:r>
      <w:r w:rsidR="004235CD" w:rsidRPr="00234409">
        <w:rPr>
          <w:iCs/>
        </w:rPr>
        <w:t xml:space="preserve"> </w:t>
      </w:r>
      <w:r w:rsidR="004235CD">
        <w:rPr>
          <w:iCs/>
        </w:rPr>
        <w:t xml:space="preserve">also </w:t>
      </w:r>
      <w:r w:rsidRPr="00234409">
        <w:rPr>
          <w:iCs/>
        </w:rPr>
        <w:t>not be supported.</w:t>
      </w:r>
    </w:p>
    <w:p w:rsidR="00155995" w:rsidRPr="00234409" w:rsidRDefault="00155995" w:rsidP="00155995">
      <w:pPr>
        <w:keepNext/>
        <w:rPr>
          <w:rFonts w:ascii="Arial Narrow" w:hAnsi="Arial Narrow"/>
          <w:b/>
          <w:bCs/>
          <w:sz w:val="20"/>
          <w:szCs w:val="18"/>
        </w:rPr>
      </w:pPr>
      <w:r w:rsidRPr="00234409">
        <w:rPr>
          <w:rFonts w:ascii="Arial Narrow" w:hAnsi="Arial Narrow"/>
          <w:b/>
          <w:bCs/>
          <w:sz w:val="20"/>
          <w:szCs w:val="18"/>
        </w:rPr>
        <w:t xml:space="preserve">Table </w:t>
      </w:r>
      <w:r w:rsidR="00B051E4" w:rsidRPr="00234409">
        <w:rPr>
          <w:rFonts w:ascii="Arial Narrow" w:hAnsi="Arial Narrow"/>
          <w:b/>
          <w:bCs/>
          <w:sz w:val="20"/>
          <w:szCs w:val="18"/>
        </w:rPr>
        <w:t>7</w:t>
      </w:r>
      <w:r w:rsidRPr="00234409">
        <w:rPr>
          <w:rFonts w:ascii="Arial Narrow" w:hAnsi="Arial Narrow"/>
          <w:b/>
          <w:bCs/>
          <w:sz w:val="20"/>
          <w:szCs w:val="18"/>
        </w:rPr>
        <w:t>:</w:t>
      </w:r>
      <w:r w:rsidR="00814367" w:rsidRPr="00234409">
        <w:rPr>
          <w:rFonts w:ascii="Arial Narrow" w:hAnsi="Arial Narrow"/>
          <w:b/>
          <w:bCs/>
          <w:sz w:val="20"/>
          <w:szCs w:val="18"/>
        </w:rPr>
        <w:t xml:space="preserve"> proposed</w:t>
      </w:r>
      <w:r w:rsidRPr="00234409">
        <w:rPr>
          <w:rFonts w:ascii="Arial Narrow" w:hAnsi="Arial Narrow"/>
          <w:b/>
          <w:bCs/>
          <w:sz w:val="20"/>
          <w:szCs w:val="18"/>
        </w:rPr>
        <w:t xml:space="preserve"> </w:t>
      </w:r>
      <w:proofErr w:type="spellStart"/>
      <w:r w:rsidRPr="00234409">
        <w:rPr>
          <w:rFonts w:ascii="Arial Narrow" w:hAnsi="Arial Narrow"/>
          <w:b/>
          <w:bCs/>
          <w:sz w:val="20"/>
          <w:szCs w:val="18"/>
        </w:rPr>
        <w:t>equi</w:t>
      </w:r>
      <w:proofErr w:type="spellEnd"/>
      <w:r w:rsidRPr="00234409">
        <w:rPr>
          <w:rFonts w:ascii="Arial Narrow" w:hAnsi="Arial Narrow"/>
          <w:b/>
          <w:bCs/>
          <w:sz w:val="20"/>
          <w:szCs w:val="18"/>
        </w:rPr>
        <w:t xml:space="preserve">-effective doses of ABA, CZP, UST and SEC for </w:t>
      </w:r>
      <w:r w:rsidR="00814367" w:rsidRPr="00234409">
        <w:rPr>
          <w:rFonts w:ascii="Arial Narrow" w:hAnsi="Arial Narrow"/>
          <w:b/>
          <w:bCs/>
          <w:sz w:val="20"/>
          <w:szCs w:val="18"/>
        </w:rPr>
        <w:t xml:space="preserve">severe active </w:t>
      </w:r>
      <w:r w:rsidRPr="00234409">
        <w:rPr>
          <w:rFonts w:ascii="Arial Narrow" w:hAnsi="Arial Narrow"/>
          <w:b/>
          <w:bCs/>
          <w:sz w:val="20"/>
          <w:szCs w:val="18"/>
        </w:rPr>
        <w:t>psoriatic arthritis</w:t>
      </w:r>
    </w:p>
    <w:tbl>
      <w:tblPr>
        <w:tblStyle w:val="TableGrid"/>
        <w:tblW w:w="0" w:type="auto"/>
        <w:tblCellMar>
          <w:left w:w="28" w:type="dxa"/>
          <w:right w:w="28" w:type="dxa"/>
        </w:tblCellMar>
        <w:tblLook w:val="04A0" w:firstRow="1" w:lastRow="0" w:firstColumn="1" w:lastColumn="0" w:noHBand="0" w:noVBand="1"/>
        <w:tblCaption w:val="Table 7: proposed equi-effective doses of ABA, CZP, UST and SEC for severe active psoriatic arthritis"/>
      </w:tblPr>
      <w:tblGrid>
        <w:gridCol w:w="846"/>
        <w:gridCol w:w="8171"/>
      </w:tblGrid>
      <w:tr w:rsidR="00155995" w:rsidRPr="00234409" w:rsidTr="006B74B3">
        <w:trPr>
          <w:tblHeader/>
        </w:trPr>
        <w:tc>
          <w:tcPr>
            <w:tcW w:w="846" w:type="dxa"/>
            <w:vAlign w:val="center"/>
          </w:tcPr>
          <w:p w:rsidR="00155995" w:rsidRPr="00234409" w:rsidRDefault="00155995" w:rsidP="00FC26CD">
            <w:pPr>
              <w:jc w:val="left"/>
              <w:rPr>
                <w:rFonts w:ascii="Arial Narrow" w:hAnsi="Arial Narrow"/>
                <w:b/>
                <w:bCs/>
                <w:sz w:val="20"/>
                <w:szCs w:val="20"/>
              </w:rPr>
            </w:pPr>
            <w:r w:rsidRPr="00234409">
              <w:rPr>
                <w:rFonts w:ascii="Arial Narrow" w:hAnsi="Arial Narrow"/>
                <w:b/>
                <w:bCs/>
                <w:sz w:val="20"/>
                <w:szCs w:val="20"/>
              </w:rPr>
              <w:t>Drug</w:t>
            </w:r>
          </w:p>
        </w:tc>
        <w:tc>
          <w:tcPr>
            <w:tcW w:w="8171" w:type="dxa"/>
            <w:vAlign w:val="center"/>
          </w:tcPr>
          <w:p w:rsidR="00155995" w:rsidRPr="00234409" w:rsidRDefault="00155995" w:rsidP="00FC26CD">
            <w:pPr>
              <w:jc w:val="center"/>
              <w:rPr>
                <w:rFonts w:ascii="Arial Narrow" w:hAnsi="Arial Narrow"/>
                <w:b/>
                <w:bCs/>
                <w:sz w:val="20"/>
                <w:szCs w:val="20"/>
              </w:rPr>
            </w:pPr>
            <w:r w:rsidRPr="00234409">
              <w:rPr>
                <w:rFonts w:ascii="Arial Narrow" w:hAnsi="Arial Narrow"/>
                <w:b/>
                <w:bCs/>
                <w:sz w:val="20"/>
                <w:szCs w:val="20"/>
              </w:rPr>
              <w:t>Dose regimen</w:t>
            </w:r>
          </w:p>
        </w:tc>
      </w:tr>
      <w:tr w:rsidR="00155995" w:rsidRPr="00234409" w:rsidTr="00FC26CD">
        <w:tc>
          <w:tcPr>
            <w:tcW w:w="846" w:type="dxa"/>
            <w:vAlign w:val="center"/>
          </w:tcPr>
          <w:p w:rsidR="00155995" w:rsidRPr="00234409" w:rsidRDefault="00155995" w:rsidP="00FC26CD">
            <w:pPr>
              <w:jc w:val="left"/>
              <w:rPr>
                <w:rFonts w:ascii="Arial Narrow" w:hAnsi="Arial Narrow"/>
                <w:sz w:val="20"/>
                <w:szCs w:val="20"/>
              </w:rPr>
            </w:pPr>
            <w:r w:rsidRPr="00234409">
              <w:rPr>
                <w:rFonts w:ascii="Arial Narrow" w:hAnsi="Arial Narrow"/>
                <w:sz w:val="20"/>
                <w:szCs w:val="20"/>
              </w:rPr>
              <w:t>ABA</w:t>
            </w:r>
          </w:p>
        </w:tc>
        <w:tc>
          <w:tcPr>
            <w:tcW w:w="8171" w:type="dxa"/>
          </w:tcPr>
          <w:p w:rsidR="00155995" w:rsidRPr="00234409" w:rsidRDefault="00155995" w:rsidP="00FC26CD">
            <w:pPr>
              <w:rPr>
                <w:rFonts w:ascii="Arial Narrow" w:hAnsi="Arial Narrow"/>
                <w:sz w:val="20"/>
                <w:szCs w:val="20"/>
              </w:rPr>
            </w:pPr>
            <w:r w:rsidRPr="00234409">
              <w:rPr>
                <w:rFonts w:ascii="Arial Narrow" w:hAnsi="Arial Narrow"/>
                <w:sz w:val="20"/>
                <w:szCs w:val="20"/>
              </w:rPr>
              <w:t>IV: Weight-based dose (&lt;60kg: 500mg; 60-100kg: 750mg; &gt;100kg: 1g) at weeks 0, 2, 4 then every four weeks</w:t>
            </w:r>
          </w:p>
          <w:p w:rsidR="00155995" w:rsidRPr="00234409" w:rsidRDefault="00155995" w:rsidP="00FC26CD">
            <w:pPr>
              <w:rPr>
                <w:rFonts w:ascii="Arial Narrow" w:hAnsi="Arial Narrow"/>
                <w:sz w:val="20"/>
                <w:szCs w:val="20"/>
              </w:rPr>
            </w:pPr>
            <w:r w:rsidRPr="00234409">
              <w:rPr>
                <w:rFonts w:ascii="Arial Narrow" w:hAnsi="Arial Narrow"/>
                <w:sz w:val="20"/>
                <w:szCs w:val="20"/>
              </w:rPr>
              <w:t>SC: 125mg every week</w:t>
            </w:r>
          </w:p>
        </w:tc>
      </w:tr>
      <w:tr w:rsidR="00155995" w:rsidRPr="00234409" w:rsidTr="00FC26CD">
        <w:tc>
          <w:tcPr>
            <w:tcW w:w="846" w:type="dxa"/>
            <w:vAlign w:val="center"/>
          </w:tcPr>
          <w:p w:rsidR="00155995" w:rsidRPr="00234409" w:rsidRDefault="00155995" w:rsidP="00FC26CD">
            <w:pPr>
              <w:jc w:val="left"/>
              <w:rPr>
                <w:rFonts w:ascii="Arial Narrow" w:hAnsi="Arial Narrow"/>
                <w:sz w:val="20"/>
                <w:szCs w:val="20"/>
              </w:rPr>
            </w:pPr>
            <w:r w:rsidRPr="00234409">
              <w:rPr>
                <w:rFonts w:ascii="Arial Narrow" w:hAnsi="Arial Narrow"/>
                <w:sz w:val="20"/>
                <w:szCs w:val="20"/>
              </w:rPr>
              <w:t>CZP</w:t>
            </w:r>
          </w:p>
        </w:tc>
        <w:tc>
          <w:tcPr>
            <w:tcW w:w="8171" w:type="dxa"/>
          </w:tcPr>
          <w:p w:rsidR="00155995" w:rsidRPr="00234409" w:rsidRDefault="00155995" w:rsidP="00FC26CD">
            <w:pPr>
              <w:rPr>
                <w:rFonts w:ascii="Arial Narrow" w:hAnsi="Arial Narrow"/>
                <w:sz w:val="20"/>
                <w:szCs w:val="20"/>
              </w:rPr>
            </w:pPr>
            <w:r w:rsidRPr="00234409">
              <w:rPr>
                <w:rFonts w:ascii="Arial Narrow" w:hAnsi="Arial Narrow"/>
                <w:sz w:val="20"/>
                <w:szCs w:val="20"/>
              </w:rPr>
              <w:t>400mg at weeks 0, 2, 4 then either</w:t>
            </w:r>
            <w:r w:rsidRPr="00234409">
              <w:rPr>
                <w:rFonts w:ascii="Arial Narrow" w:hAnsi="Arial Narrow"/>
                <w:sz w:val="20"/>
                <w:szCs w:val="20"/>
                <w:vertAlign w:val="superscript"/>
              </w:rPr>
              <w:t>*</w:t>
            </w:r>
            <w:r w:rsidRPr="00234409">
              <w:rPr>
                <w:rFonts w:ascii="Arial Narrow" w:hAnsi="Arial Narrow"/>
                <w:sz w:val="20"/>
                <w:szCs w:val="20"/>
              </w:rPr>
              <w:t xml:space="preserve">: </w:t>
            </w:r>
            <w:proofErr w:type="spellStart"/>
            <w:r w:rsidRPr="00234409">
              <w:rPr>
                <w:rFonts w:ascii="Arial Narrow" w:hAnsi="Arial Narrow"/>
                <w:sz w:val="20"/>
                <w:szCs w:val="20"/>
              </w:rPr>
              <w:t>i</w:t>
            </w:r>
            <w:proofErr w:type="spellEnd"/>
            <w:r w:rsidRPr="00234409">
              <w:rPr>
                <w:rFonts w:ascii="Arial Narrow" w:hAnsi="Arial Narrow"/>
                <w:sz w:val="20"/>
                <w:szCs w:val="20"/>
              </w:rPr>
              <w:t>) 200mg every two weeks; or ii) 400mg every four weeks</w:t>
            </w:r>
          </w:p>
        </w:tc>
      </w:tr>
      <w:tr w:rsidR="00155995" w:rsidRPr="00234409" w:rsidTr="00FC26CD">
        <w:tc>
          <w:tcPr>
            <w:tcW w:w="846" w:type="dxa"/>
            <w:vAlign w:val="center"/>
          </w:tcPr>
          <w:p w:rsidR="00155995" w:rsidRPr="00234409" w:rsidRDefault="00155995" w:rsidP="00FC26CD">
            <w:pPr>
              <w:jc w:val="left"/>
              <w:rPr>
                <w:rFonts w:ascii="Arial Narrow" w:hAnsi="Arial Narrow"/>
                <w:sz w:val="20"/>
                <w:szCs w:val="20"/>
              </w:rPr>
            </w:pPr>
            <w:r w:rsidRPr="00234409">
              <w:rPr>
                <w:rFonts w:ascii="Arial Narrow" w:hAnsi="Arial Narrow"/>
                <w:sz w:val="20"/>
                <w:szCs w:val="20"/>
              </w:rPr>
              <w:t>UST</w:t>
            </w:r>
          </w:p>
        </w:tc>
        <w:tc>
          <w:tcPr>
            <w:tcW w:w="8171" w:type="dxa"/>
          </w:tcPr>
          <w:p w:rsidR="00155995" w:rsidRPr="00234409" w:rsidRDefault="00155995" w:rsidP="00FC26CD">
            <w:pPr>
              <w:rPr>
                <w:rFonts w:ascii="Arial Narrow" w:hAnsi="Arial Narrow"/>
                <w:sz w:val="20"/>
                <w:szCs w:val="20"/>
              </w:rPr>
            </w:pPr>
            <w:r w:rsidRPr="00234409">
              <w:rPr>
                <w:rFonts w:ascii="Arial Narrow" w:hAnsi="Arial Narrow"/>
                <w:sz w:val="20"/>
                <w:szCs w:val="20"/>
              </w:rPr>
              <w:t>45mg at weeks 0, 4 then every 12 weeks</w:t>
            </w:r>
          </w:p>
        </w:tc>
      </w:tr>
      <w:tr w:rsidR="00155995" w:rsidRPr="00234409" w:rsidTr="00FC26CD">
        <w:tc>
          <w:tcPr>
            <w:tcW w:w="846" w:type="dxa"/>
            <w:vAlign w:val="center"/>
          </w:tcPr>
          <w:p w:rsidR="00155995" w:rsidRPr="00234409" w:rsidRDefault="00155995" w:rsidP="00FC26CD">
            <w:pPr>
              <w:jc w:val="left"/>
              <w:rPr>
                <w:rFonts w:ascii="Arial Narrow" w:hAnsi="Arial Narrow"/>
                <w:sz w:val="20"/>
                <w:szCs w:val="20"/>
              </w:rPr>
            </w:pPr>
            <w:r w:rsidRPr="00234409">
              <w:rPr>
                <w:rFonts w:ascii="Arial Narrow" w:hAnsi="Arial Narrow"/>
                <w:sz w:val="20"/>
                <w:szCs w:val="20"/>
              </w:rPr>
              <w:t>SEC</w:t>
            </w:r>
          </w:p>
        </w:tc>
        <w:tc>
          <w:tcPr>
            <w:tcW w:w="8171" w:type="dxa"/>
          </w:tcPr>
          <w:p w:rsidR="00155995" w:rsidRPr="00234409" w:rsidRDefault="00155995" w:rsidP="00FC26CD">
            <w:pPr>
              <w:rPr>
                <w:rFonts w:ascii="Arial Narrow" w:hAnsi="Arial Narrow"/>
                <w:sz w:val="20"/>
                <w:szCs w:val="20"/>
              </w:rPr>
            </w:pPr>
            <w:r w:rsidRPr="00234409">
              <w:rPr>
                <w:rFonts w:ascii="Arial Narrow" w:hAnsi="Arial Narrow"/>
                <w:sz w:val="20"/>
                <w:szCs w:val="20"/>
              </w:rPr>
              <w:t>Either* 150mg or 300mg</w:t>
            </w:r>
            <w:r w:rsidRPr="00234409">
              <w:rPr>
                <w:rFonts w:ascii="Arial Narrow" w:hAnsi="Arial Narrow"/>
                <w:sz w:val="20"/>
                <w:szCs w:val="20"/>
                <w:vertAlign w:val="superscript"/>
              </w:rPr>
              <w:t>#</w:t>
            </w:r>
            <w:r w:rsidRPr="00234409">
              <w:rPr>
                <w:rFonts w:ascii="Arial Narrow" w:hAnsi="Arial Narrow"/>
                <w:sz w:val="20"/>
                <w:szCs w:val="20"/>
              </w:rPr>
              <w:t xml:space="preserve"> at weeks 0, 1, 2, 3, 4 then every four weeks</w:t>
            </w:r>
          </w:p>
        </w:tc>
      </w:tr>
    </w:tbl>
    <w:p w:rsidR="00520155" w:rsidRPr="00234409" w:rsidRDefault="00520155" w:rsidP="00155995">
      <w:pPr>
        <w:tabs>
          <w:tab w:val="left" w:pos="142"/>
        </w:tabs>
        <w:rPr>
          <w:rFonts w:ascii="Arial Narrow" w:hAnsi="Arial Narrow"/>
          <w:color w:val="000000" w:themeColor="text1"/>
          <w:sz w:val="18"/>
          <w:szCs w:val="16"/>
        </w:rPr>
      </w:pPr>
      <w:r w:rsidRPr="00234409">
        <w:rPr>
          <w:rFonts w:ascii="Arial Narrow" w:hAnsi="Arial Narrow"/>
          <w:color w:val="000000" w:themeColor="text1"/>
          <w:sz w:val="18"/>
          <w:szCs w:val="16"/>
        </w:rPr>
        <w:t xml:space="preserve">Abbreviations: ABA = </w:t>
      </w:r>
      <w:proofErr w:type="spellStart"/>
      <w:r w:rsidRPr="00234409">
        <w:rPr>
          <w:rFonts w:ascii="Arial Narrow" w:hAnsi="Arial Narrow"/>
          <w:color w:val="000000" w:themeColor="text1"/>
          <w:sz w:val="18"/>
          <w:szCs w:val="16"/>
        </w:rPr>
        <w:t>abatacept</w:t>
      </w:r>
      <w:proofErr w:type="spellEnd"/>
      <w:r w:rsidRPr="00234409">
        <w:rPr>
          <w:rFonts w:ascii="Arial Narrow" w:hAnsi="Arial Narrow"/>
          <w:color w:val="000000" w:themeColor="text1"/>
          <w:sz w:val="18"/>
          <w:szCs w:val="16"/>
        </w:rPr>
        <w:t xml:space="preserve">; CZP = </w:t>
      </w:r>
      <w:proofErr w:type="spellStart"/>
      <w:r w:rsidRPr="00234409">
        <w:rPr>
          <w:rFonts w:ascii="Arial Narrow" w:hAnsi="Arial Narrow"/>
          <w:color w:val="000000" w:themeColor="text1"/>
          <w:sz w:val="18"/>
          <w:szCs w:val="16"/>
        </w:rPr>
        <w:t>certolizumab</w:t>
      </w:r>
      <w:proofErr w:type="spellEnd"/>
      <w:r w:rsidRPr="00234409">
        <w:rPr>
          <w:rFonts w:ascii="Arial Narrow" w:hAnsi="Arial Narrow"/>
          <w:color w:val="000000" w:themeColor="text1"/>
          <w:sz w:val="18"/>
          <w:szCs w:val="16"/>
        </w:rPr>
        <w:t xml:space="preserve"> </w:t>
      </w:r>
      <w:proofErr w:type="spellStart"/>
      <w:r w:rsidRPr="00234409">
        <w:rPr>
          <w:rFonts w:ascii="Arial Narrow" w:hAnsi="Arial Narrow"/>
          <w:color w:val="000000" w:themeColor="text1"/>
          <w:sz w:val="18"/>
          <w:szCs w:val="16"/>
        </w:rPr>
        <w:t>pegol</w:t>
      </w:r>
      <w:proofErr w:type="spellEnd"/>
      <w:r w:rsidRPr="00234409">
        <w:rPr>
          <w:rFonts w:ascii="Arial Narrow" w:hAnsi="Arial Narrow"/>
          <w:color w:val="000000" w:themeColor="text1"/>
          <w:sz w:val="18"/>
          <w:szCs w:val="16"/>
        </w:rPr>
        <w:t>; UST = ustekinumab; SEC = secukinumab;</w:t>
      </w:r>
    </w:p>
    <w:p w:rsidR="00155995" w:rsidRPr="00234409" w:rsidRDefault="00155995" w:rsidP="00155995">
      <w:pPr>
        <w:tabs>
          <w:tab w:val="left" w:pos="142"/>
        </w:tabs>
        <w:rPr>
          <w:rFonts w:ascii="Arial Narrow" w:hAnsi="Arial Narrow"/>
          <w:sz w:val="18"/>
          <w:szCs w:val="16"/>
        </w:rPr>
      </w:pPr>
      <w:r w:rsidRPr="00234409">
        <w:rPr>
          <w:rFonts w:ascii="Arial Narrow" w:hAnsi="Arial Narrow"/>
          <w:sz w:val="18"/>
          <w:szCs w:val="16"/>
          <w:vertAlign w:val="superscript"/>
        </w:rPr>
        <w:t>*</w:t>
      </w:r>
      <w:r w:rsidRPr="00234409">
        <w:rPr>
          <w:rFonts w:ascii="Arial Narrow" w:hAnsi="Arial Narrow"/>
          <w:sz w:val="18"/>
          <w:szCs w:val="16"/>
          <w:vertAlign w:val="superscript"/>
        </w:rPr>
        <w:tab/>
      </w:r>
      <w:proofErr w:type="gramStart"/>
      <w:r w:rsidRPr="00234409">
        <w:rPr>
          <w:rFonts w:ascii="Arial Narrow" w:hAnsi="Arial Narrow"/>
          <w:sz w:val="18"/>
          <w:szCs w:val="16"/>
        </w:rPr>
        <w:t>alternative</w:t>
      </w:r>
      <w:proofErr w:type="gramEnd"/>
      <w:r w:rsidRPr="00234409">
        <w:rPr>
          <w:rFonts w:ascii="Arial Narrow" w:hAnsi="Arial Narrow"/>
          <w:sz w:val="18"/>
          <w:szCs w:val="16"/>
        </w:rPr>
        <w:t xml:space="preserve"> dosing considered equivalent.</w:t>
      </w:r>
    </w:p>
    <w:p w:rsidR="00155995" w:rsidRPr="00234409" w:rsidRDefault="00155995" w:rsidP="00155995">
      <w:pPr>
        <w:tabs>
          <w:tab w:val="left" w:pos="142"/>
        </w:tabs>
        <w:ind w:left="135" w:hanging="135"/>
        <w:rPr>
          <w:rFonts w:ascii="Arial Narrow" w:hAnsi="Arial Narrow"/>
          <w:sz w:val="18"/>
          <w:szCs w:val="16"/>
        </w:rPr>
      </w:pPr>
      <w:r w:rsidRPr="00234409">
        <w:rPr>
          <w:rFonts w:ascii="Arial Narrow" w:hAnsi="Arial Narrow"/>
          <w:sz w:val="18"/>
          <w:szCs w:val="16"/>
          <w:vertAlign w:val="superscript"/>
        </w:rPr>
        <w:t>#</w:t>
      </w:r>
      <w:r w:rsidRPr="00234409">
        <w:rPr>
          <w:rFonts w:ascii="Arial Narrow" w:hAnsi="Arial Narrow"/>
          <w:sz w:val="18"/>
          <w:szCs w:val="16"/>
        </w:rPr>
        <w:tab/>
        <w:t>300mg dose is recommended for patients who are anti-TNF-α inadequate responders or patients with concomitant moderate to severe plaque psoriasis.</w:t>
      </w:r>
    </w:p>
    <w:p w:rsidR="00155995" w:rsidRPr="00234409" w:rsidRDefault="00155995" w:rsidP="00155995">
      <w:pPr>
        <w:tabs>
          <w:tab w:val="left" w:pos="142"/>
        </w:tabs>
        <w:ind w:left="135" w:hanging="135"/>
        <w:rPr>
          <w:rFonts w:ascii="Arial Narrow" w:hAnsi="Arial Narrow"/>
          <w:sz w:val="18"/>
          <w:szCs w:val="16"/>
        </w:rPr>
      </w:pPr>
      <w:r w:rsidRPr="00234409">
        <w:rPr>
          <w:rFonts w:ascii="Arial Narrow" w:hAnsi="Arial Narrow"/>
          <w:sz w:val="18"/>
          <w:szCs w:val="16"/>
        </w:rPr>
        <w:t>Source: Table 51, p117 of the submission</w:t>
      </w:r>
    </w:p>
    <w:p w:rsidR="00155995" w:rsidRPr="00234409" w:rsidRDefault="00155995" w:rsidP="00155995">
      <w:pPr>
        <w:widowControl/>
      </w:pPr>
    </w:p>
    <w:p w:rsidR="00155995" w:rsidRPr="00234409" w:rsidRDefault="00155995" w:rsidP="00155995">
      <w:pPr>
        <w:pStyle w:val="ListParagraph"/>
        <w:widowControl/>
        <w:numPr>
          <w:ilvl w:val="1"/>
          <w:numId w:val="3"/>
        </w:numPr>
        <w:spacing w:after="0"/>
      </w:pPr>
      <w:r w:rsidRPr="00234409">
        <w:t>The cost-minimisation analysis was based on the following assumptions:</w:t>
      </w:r>
    </w:p>
    <w:p w:rsidR="00155995" w:rsidRPr="00234409" w:rsidRDefault="00155995" w:rsidP="00155995">
      <w:pPr>
        <w:pStyle w:val="ListParagraph"/>
        <w:numPr>
          <w:ilvl w:val="0"/>
          <w:numId w:val="29"/>
        </w:numPr>
        <w:spacing w:after="0"/>
        <w:ind w:left="993" w:hanging="357"/>
      </w:pPr>
      <w:r w:rsidRPr="00234409">
        <w:t xml:space="preserve">Total costs were calculated over a 2-year treatment period (without discounting and despite different initiation periods); </w:t>
      </w:r>
    </w:p>
    <w:p w:rsidR="00155995" w:rsidRPr="00234409" w:rsidRDefault="00155995" w:rsidP="00155995">
      <w:pPr>
        <w:pStyle w:val="ListParagraph"/>
        <w:numPr>
          <w:ilvl w:val="0"/>
          <w:numId w:val="29"/>
        </w:numPr>
        <w:spacing w:after="0"/>
        <w:ind w:left="993" w:hanging="357"/>
      </w:pPr>
      <w:r w:rsidRPr="00234409">
        <w:t>The analysis was performed on the DPMQ;</w:t>
      </w:r>
    </w:p>
    <w:p w:rsidR="00155995" w:rsidRPr="00234409" w:rsidRDefault="007951E0" w:rsidP="00155995">
      <w:pPr>
        <w:pStyle w:val="ListParagraph"/>
        <w:numPr>
          <w:ilvl w:val="0"/>
          <w:numId w:val="29"/>
        </w:numPr>
        <w:spacing w:after="0"/>
        <w:ind w:left="993" w:hanging="357"/>
      </w:pPr>
      <w:r>
        <w:rPr>
          <w:iCs/>
        </w:rPr>
        <w:t>Secukinumab</w:t>
      </w:r>
      <w:r w:rsidRPr="00234409">
        <w:t xml:space="preserve"> </w:t>
      </w:r>
      <w:r w:rsidR="00155995" w:rsidRPr="00234409">
        <w:t xml:space="preserve">was the only cost-comparator included in the analysis; </w:t>
      </w:r>
    </w:p>
    <w:p w:rsidR="00155995" w:rsidRPr="00234409" w:rsidRDefault="00155995" w:rsidP="00155995">
      <w:pPr>
        <w:pStyle w:val="ListParagraph"/>
        <w:numPr>
          <w:ilvl w:val="0"/>
          <w:numId w:val="29"/>
        </w:numPr>
        <w:spacing w:after="0"/>
        <w:ind w:left="993" w:hanging="357"/>
      </w:pPr>
      <w:r w:rsidRPr="00234409">
        <w:t xml:space="preserve">The proportion of patients treated with </w:t>
      </w:r>
      <w:r w:rsidR="007951E0">
        <w:rPr>
          <w:iCs/>
        </w:rPr>
        <w:t>secukinumab</w:t>
      </w:r>
      <w:r w:rsidR="007951E0" w:rsidRPr="00234409">
        <w:t xml:space="preserve"> </w:t>
      </w:r>
      <w:r w:rsidRPr="00234409">
        <w:t>150mg and 300mg dosing regimens was 50:50 (based on a conservative interpretation of PBS utilisation statistics);</w:t>
      </w:r>
      <w:r w:rsidRPr="00234409">
        <w:rPr>
          <w:iCs/>
        </w:rPr>
        <w:t xml:space="preserve"> </w:t>
      </w:r>
    </w:p>
    <w:p w:rsidR="00155995" w:rsidRPr="00234409" w:rsidRDefault="00155995" w:rsidP="00155995">
      <w:pPr>
        <w:pStyle w:val="ListParagraph"/>
        <w:numPr>
          <w:ilvl w:val="0"/>
          <w:numId w:val="29"/>
        </w:numPr>
        <w:spacing w:after="0"/>
        <w:ind w:left="992" w:hanging="357"/>
      </w:pPr>
      <w:r w:rsidRPr="00234409">
        <w:t xml:space="preserve">The proportion of patients across the weight based dosing categories for the IV formulation of </w:t>
      </w:r>
      <w:proofErr w:type="spellStart"/>
      <w:r w:rsidR="0014304C" w:rsidRPr="00234409">
        <w:t>abatacept</w:t>
      </w:r>
      <w:proofErr w:type="spellEnd"/>
      <w:r w:rsidRPr="00234409">
        <w:t xml:space="preserve"> was derived from a normal distribution with a mean weight of 85kg (SD=17.9).</w:t>
      </w:r>
    </w:p>
    <w:p w:rsidR="00155995" w:rsidRPr="00234409" w:rsidRDefault="00155995" w:rsidP="00155995">
      <w:pPr>
        <w:pStyle w:val="ListParagraph"/>
        <w:numPr>
          <w:ilvl w:val="0"/>
          <w:numId w:val="29"/>
        </w:numPr>
        <w:ind w:left="992" w:hanging="357"/>
      </w:pPr>
      <w:r w:rsidRPr="00234409">
        <w:t xml:space="preserve">An additional administration cost was applicable to the IV formulation of </w:t>
      </w:r>
      <w:proofErr w:type="spellStart"/>
      <w:r w:rsidR="0014304C" w:rsidRPr="00234409">
        <w:t>abatacept</w:t>
      </w:r>
      <w:proofErr w:type="spellEnd"/>
      <w:r w:rsidRPr="00234409">
        <w:t xml:space="preserve"> ($71.70/30-minute infusion).</w:t>
      </w:r>
    </w:p>
    <w:p w:rsidR="00155995" w:rsidRPr="00302CAA" w:rsidRDefault="00155995" w:rsidP="00155995">
      <w:pPr>
        <w:pStyle w:val="ListParagraph"/>
        <w:widowControl/>
        <w:numPr>
          <w:ilvl w:val="1"/>
          <w:numId w:val="3"/>
        </w:numPr>
        <w:spacing w:after="0"/>
      </w:pPr>
      <w:r w:rsidRPr="00234409">
        <w:rPr>
          <w:iCs/>
        </w:rPr>
        <w:t xml:space="preserve">Aside from the two-year time horizon (which has previously been accepted by the PBAC), there were several issues with the assumptions used for the cost-minimisation analysis: </w:t>
      </w:r>
      <w:proofErr w:type="spellStart"/>
      <w:r w:rsidRPr="00234409">
        <w:rPr>
          <w:iCs/>
        </w:rPr>
        <w:t>i</w:t>
      </w:r>
      <w:proofErr w:type="spellEnd"/>
      <w:r w:rsidRPr="00234409">
        <w:rPr>
          <w:iCs/>
        </w:rPr>
        <w:t xml:space="preserve">) a cost-minimisation </w:t>
      </w:r>
      <w:r w:rsidR="00617A91" w:rsidRPr="00234409">
        <w:rPr>
          <w:iCs/>
        </w:rPr>
        <w:t xml:space="preserve">analysis </w:t>
      </w:r>
      <w:r w:rsidRPr="00234409">
        <w:rPr>
          <w:iCs/>
        </w:rPr>
        <w:t xml:space="preserve">should be conducted on </w:t>
      </w:r>
      <w:r w:rsidR="009663CC" w:rsidRPr="00234409">
        <w:rPr>
          <w:iCs/>
        </w:rPr>
        <w:t>AEMP</w:t>
      </w:r>
      <w:r w:rsidRPr="00234409">
        <w:rPr>
          <w:iCs/>
        </w:rPr>
        <w:t xml:space="preserve"> and not DPMQ; ii) despite different published prices, the PBAC </w:t>
      </w:r>
      <w:r w:rsidR="00164E3A">
        <w:rPr>
          <w:iCs/>
        </w:rPr>
        <w:t xml:space="preserve">previously </w:t>
      </w:r>
      <w:r w:rsidRPr="00234409">
        <w:rPr>
          <w:iCs/>
        </w:rPr>
        <w:t xml:space="preserve">recommended both </w:t>
      </w:r>
      <w:r w:rsidR="007951E0">
        <w:rPr>
          <w:iCs/>
        </w:rPr>
        <w:t>secukinumab</w:t>
      </w:r>
      <w:r w:rsidR="007951E0" w:rsidRPr="00234409">
        <w:rPr>
          <w:iCs/>
        </w:rPr>
        <w:t xml:space="preserve"> </w:t>
      </w:r>
      <w:r w:rsidRPr="00234409">
        <w:rPr>
          <w:iCs/>
        </w:rPr>
        <w:t xml:space="preserve">150mg and 300mg regimens at the same price; and iii) </w:t>
      </w:r>
      <w:proofErr w:type="spellStart"/>
      <w:r w:rsidR="0014304C" w:rsidRPr="00234409">
        <w:rPr>
          <w:iCs/>
        </w:rPr>
        <w:t>abatacept</w:t>
      </w:r>
      <w:proofErr w:type="spellEnd"/>
      <w:r w:rsidR="0014304C" w:rsidRPr="00234409">
        <w:rPr>
          <w:iCs/>
        </w:rPr>
        <w:t xml:space="preserve"> </w:t>
      </w:r>
      <w:r w:rsidRPr="00234409">
        <w:rPr>
          <w:iCs/>
        </w:rPr>
        <w:t xml:space="preserve">(SC formulation) is associated with an additional 75 SC injections compared with </w:t>
      </w:r>
      <w:r w:rsidR="007951E0">
        <w:rPr>
          <w:iCs/>
        </w:rPr>
        <w:t>secukinumab</w:t>
      </w:r>
      <w:r w:rsidR="007951E0" w:rsidRPr="00234409">
        <w:rPr>
          <w:iCs/>
        </w:rPr>
        <w:t xml:space="preserve"> </w:t>
      </w:r>
      <w:r w:rsidRPr="00234409">
        <w:rPr>
          <w:iCs/>
        </w:rPr>
        <w:t>over 2 years, a proportion of which would likely incur additional expense due to the need for medical assistance.  The PBAC has previously accepted that up to 10% of patients will require assistance with SC administration (see Golimumab PSD, March 2010).</w:t>
      </w:r>
    </w:p>
    <w:p w:rsidR="00302CAA" w:rsidRPr="00302CAA" w:rsidRDefault="00302CAA" w:rsidP="00302CAA">
      <w:pPr>
        <w:pStyle w:val="ListParagraph"/>
        <w:widowControl/>
        <w:spacing w:after="0"/>
      </w:pPr>
    </w:p>
    <w:p w:rsidR="00302CAA" w:rsidRPr="00302CAA" w:rsidRDefault="00AB7923" w:rsidP="00AB7923">
      <w:pPr>
        <w:pStyle w:val="ListParagraph"/>
        <w:numPr>
          <w:ilvl w:val="1"/>
          <w:numId w:val="3"/>
        </w:numPr>
      </w:pPr>
      <w:r w:rsidRPr="00AB7923">
        <w:t xml:space="preserve">The PBAC agreed with the ESC that a cost minimisation analysis versus the ‘lower tier’ biologic comparators was not appropriate, as the evidence presented in the submission did not support the conclusion of non-inferiority between </w:t>
      </w:r>
      <w:proofErr w:type="spellStart"/>
      <w:r w:rsidRPr="00AB7923">
        <w:t>abatacept</w:t>
      </w:r>
      <w:proofErr w:type="spellEnd"/>
      <w:r w:rsidRPr="00AB7923">
        <w:t xml:space="preserve"> and the nominated comparators</w:t>
      </w:r>
      <w:r w:rsidR="00B60F93">
        <w:t>.</w:t>
      </w:r>
      <w:r w:rsidR="00302CAA" w:rsidRPr="00302CAA">
        <w:t xml:space="preserve"> </w:t>
      </w:r>
    </w:p>
    <w:p w:rsidR="00302CAA" w:rsidRPr="0087355E" w:rsidRDefault="00851471" w:rsidP="00B67B6B">
      <w:pPr>
        <w:widowControl/>
        <w:ind w:firstLine="720"/>
        <w:rPr>
          <w:i/>
        </w:rPr>
      </w:pPr>
      <w:r w:rsidRPr="0087355E">
        <w:rPr>
          <w:i/>
        </w:rPr>
        <w:t>For more detail on PBAC’s view, see section 7 PBAC outcome.</w:t>
      </w:r>
    </w:p>
    <w:p w:rsidR="00155995" w:rsidRPr="00AB1DCC" w:rsidRDefault="00155995" w:rsidP="00F55365">
      <w:pPr>
        <w:pStyle w:val="Heading2"/>
      </w:pPr>
      <w:bookmarkStart w:id="18" w:name="_Toc503190144"/>
      <w:r w:rsidRPr="00AB1DCC">
        <w:t>Drug cost/patient/year</w:t>
      </w:r>
      <w:bookmarkEnd w:id="18"/>
    </w:p>
    <w:p w:rsidR="00155995" w:rsidRPr="00234409" w:rsidRDefault="00155995" w:rsidP="00155995">
      <w:pPr>
        <w:keepNext/>
        <w:widowControl/>
      </w:pPr>
    </w:p>
    <w:p w:rsidR="00155995" w:rsidRPr="00234409" w:rsidRDefault="00155995" w:rsidP="00155995">
      <w:pPr>
        <w:pStyle w:val="ListParagraph"/>
        <w:keepNext/>
        <w:widowControl/>
        <w:numPr>
          <w:ilvl w:val="1"/>
          <w:numId w:val="3"/>
        </w:numPr>
      </w:pPr>
      <w:r w:rsidRPr="00234409">
        <w:t>$</w:t>
      </w:r>
      <w:r w:rsidR="00F26804">
        <w:rPr>
          <w:noProof/>
          <w:color w:val="000000"/>
          <w:highlight w:val="black"/>
        </w:rPr>
        <w:t>'''''''''''''''''</w:t>
      </w:r>
      <w:r w:rsidRPr="00234409">
        <w:t xml:space="preserve"> per year for the SC formulation; for the IV formulation, $</w:t>
      </w:r>
      <w:r w:rsidR="00F26804">
        <w:rPr>
          <w:noProof/>
          <w:color w:val="000000"/>
          <w:highlight w:val="black"/>
        </w:rPr>
        <w:t>''''''''''''''''''''</w:t>
      </w:r>
      <w:r w:rsidRPr="00234409">
        <w:t xml:space="preserve"> ($</w:t>
      </w:r>
      <w:r w:rsidR="00F26804">
        <w:rPr>
          <w:noProof/>
          <w:color w:val="000000"/>
          <w:highlight w:val="black"/>
        </w:rPr>
        <w:t xml:space="preserve">'''''''''''''''''''' ''''''''' ''''''' '' </w:t>
      </w:r>
      <w:r w:rsidRPr="00EA1D44">
        <w:t>$1,003.80</w:t>
      </w:r>
      <w:r w:rsidRPr="00234409">
        <w:t xml:space="preserve"> administration cost) in the first year and $</w:t>
      </w:r>
      <w:r w:rsidR="00F26804">
        <w:rPr>
          <w:noProof/>
          <w:color w:val="000000"/>
          <w:highlight w:val="black"/>
        </w:rPr>
        <w:t>'''''''''''''''''''</w:t>
      </w:r>
      <w:r w:rsidRPr="00234409">
        <w:t xml:space="preserve"> ($</w:t>
      </w:r>
      <w:r w:rsidR="00F26804">
        <w:rPr>
          <w:noProof/>
          <w:color w:val="000000"/>
          <w:highlight w:val="black"/>
        </w:rPr>
        <w:t>'''''''''''''''''</w:t>
      </w:r>
      <w:r w:rsidRPr="00234409">
        <w:t xml:space="preserve"> drug cost </w:t>
      </w:r>
      <w:r w:rsidRPr="00EA1D44">
        <w:t>+ $932.10</w:t>
      </w:r>
      <w:r w:rsidRPr="00234409">
        <w:t xml:space="preserve"> administration cost) in the second year and beyond.</w:t>
      </w:r>
    </w:p>
    <w:p w:rsidR="00155995" w:rsidRPr="00AB1DCC" w:rsidRDefault="00155995" w:rsidP="00F55365">
      <w:pPr>
        <w:pStyle w:val="Heading2"/>
      </w:pPr>
      <w:bookmarkStart w:id="19" w:name="_Toc503190145"/>
      <w:r w:rsidRPr="00AB1DCC">
        <w:t>Estimated PBS usage &amp; financial implications</w:t>
      </w:r>
      <w:bookmarkEnd w:id="19"/>
    </w:p>
    <w:p w:rsidR="00155995" w:rsidRPr="00234409" w:rsidRDefault="00155995" w:rsidP="007E70C7">
      <w:pPr>
        <w:pStyle w:val="ListParagraph"/>
        <w:widowControl/>
        <w:numPr>
          <w:ilvl w:val="1"/>
          <w:numId w:val="3"/>
        </w:numPr>
        <w:spacing w:after="0"/>
      </w:pPr>
      <w:r w:rsidRPr="00234409">
        <w:t xml:space="preserve">This submission </w:t>
      </w:r>
      <w:r w:rsidR="00B23D0A">
        <w:t>was</w:t>
      </w:r>
      <w:r w:rsidR="00B23D0A" w:rsidRPr="00234409">
        <w:t xml:space="preserve"> </w:t>
      </w:r>
      <w:r w:rsidRPr="00234409">
        <w:t>not</w:t>
      </w:r>
      <w:r w:rsidR="009663CC" w:rsidRPr="00234409">
        <w:t xml:space="preserve"> </w:t>
      </w:r>
      <w:r w:rsidRPr="00234409">
        <w:t xml:space="preserve">considered by DUSC.  The submission used a market share approach to estimate the financial implications of listing </w:t>
      </w:r>
      <w:proofErr w:type="spellStart"/>
      <w:r w:rsidR="00950686" w:rsidRPr="00234409">
        <w:t>abatacept</w:t>
      </w:r>
      <w:proofErr w:type="spellEnd"/>
      <w:r w:rsidRPr="00234409">
        <w:t xml:space="preserve"> on the PBS for </w:t>
      </w:r>
      <w:proofErr w:type="spellStart"/>
      <w:r w:rsidRPr="00234409">
        <w:t>PsA.</w:t>
      </w:r>
      <w:proofErr w:type="spellEnd"/>
      <w:r w:rsidRPr="00234409">
        <w:t xml:space="preserve">  </w:t>
      </w:r>
      <w:r w:rsidR="009E4736">
        <w:t xml:space="preserve">Table 8 below summarises the uptake and financial implications of listing </w:t>
      </w:r>
      <w:proofErr w:type="spellStart"/>
      <w:r w:rsidR="009E4736">
        <w:t>abatacept</w:t>
      </w:r>
      <w:proofErr w:type="spellEnd"/>
      <w:r w:rsidR="009E4736">
        <w:t xml:space="preserve"> on the PBS for PsA and consists of the following</w:t>
      </w:r>
      <w:r w:rsidRPr="00234409">
        <w:t xml:space="preserve">  key assumptions</w:t>
      </w:r>
      <w:r w:rsidR="009E4736">
        <w:t xml:space="preserve"> made by the</w:t>
      </w:r>
      <w:r w:rsidRPr="00234409">
        <w:t xml:space="preserve"> </w:t>
      </w:r>
      <w:r w:rsidR="009E4736" w:rsidRPr="00234409">
        <w:t>submission</w:t>
      </w:r>
      <w:r w:rsidRPr="00234409">
        <w:t>:</w:t>
      </w:r>
    </w:p>
    <w:p w:rsidR="00155995" w:rsidRPr="00234409" w:rsidRDefault="00950686" w:rsidP="00155995">
      <w:pPr>
        <w:pStyle w:val="ListParagraph"/>
        <w:numPr>
          <w:ilvl w:val="0"/>
          <w:numId w:val="29"/>
        </w:numPr>
        <w:spacing w:after="0"/>
        <w:ind w:left="993" w:hanging="357"/>
      </w:pPr>
      <w:proofErr w:type="spellStart"/>
      <w:r w:rsidRPr="00234409">
        <w:t>abatacept</w:t>
      </w:r>
      <w:proofErr w:type="spellEnd"/>
      <w:r w:rsidR="00155995" w:rsidRPr="00234409">
        <w:t xml:space="preserve"> would only substitute for the ‘lower-tier’ bDMARDs (</w:t>
      </w:r>
      <w:proofErr w:type="spellStart"/>
      <w:r w:rsidR="007951E0">
        <w:rPr>
          <w:iCs/>
        </w:rPr>
        <w:t>certolizumab</w:t>
      </w:r>
      <w:proofErr w:type="spellEnd"/>
      <w:r w:rsidR="00155995" w:rsidRPr="00234409">
        <w:t xml:space="preserve">, </w:t>
      </w:r>
      <w:r w:rsidR="007951E0">
        <w:t>ustekinumab</w:t>
      </w:r>
      <w:r w:rsidR="00155995" w:rsidRPr="00234409">
        <w:t xml:space="preserve">, </w:t>
      </w:r>
      <w:r w:rsidR="007951E0">
        <w:rPr>
          <w:iCs/>
        </w:rPr>
        <w:t>secukinumab</w:t>
      </w:r>
      <w:r w:rsidR="00155995" w:rsidRPr="00234409">
        <w:t>)</w:t>
      </w:r>
      <w:r w:rsidR="00164E3A">
        <w:t>;</w:t>
      </w:r>
    </w:p>
    <w:p w:rsidR="00155995" w:rsidRPr="00234409" w:rsidRDefault="00155995" w:rsidP="00155995">
      <w:pPr>
        <w:pStyle w:val="ListParagraph"/>
        <w:numPr>
          <w:ilvl w:val="0"/>
          <w:numId w:val="29"/>
        </w:numPr>
        <w:spacing w:after="0"/>
        <w:ind w:left="993" w:hanging="357"/>
      </w:pPr>
      <w:r w:rsidRPr="00234409">
        <w:t>the requested listing would not increase the current growth in the ‘lower tier’ bDMARD market beyond the current market growth rate</w:t>
      </w:r>
      <w:r w:rsidR="00164E3A">
        <w:t>;</w:t>
      </w:r>
      <w:r w:rsidRPr="00234409">
        <w:t xml:space="preserve"> </w:t>
      </w:r>
    </w:p>
    <w:p w:rsidR="00155995" w:rsidRPr="00234409" w:rsidRDefault="00155995" w:rsidP="00155995">
      <w:pPr>
        <w:pStyle w:val="ListParagraph"/>
        <w:numPr>
          <w:ilvl w:val="0"/>
          <w:numId w:val="29"/>
        </w:numPr>
        <w:spacing w:after="0"/>
        <w:ind w:left="993" w:hanging="357"/>
      </w:pPr>
      <w:r w:rsidRPr="00234409">
        <w:t xml:space="preserve">substitution would be uniform across the comparators (based on the script relativities), with </w:t>
      </w:r>
      <w:proofErr w:type="spellStart"/>
      <w:r w:rsidR="00950686" w:rsidRPr="00234409">
        <w:t>abatacept</w:t>
      </w:r>
      <w:proofErr w:type="spellEnd"/>
      <w:r w:rsidRPr="00234409">
        <w:t xml:space="preserve"> capturing </w:t>
      </w:r>
      <w:r w:rsidR="00F26804">
        <w:rPr>
          <w:noProof/>
          <w:color w:val="000000"/>
          <w:highlight w:val="black"/>
        </w:rPr>
        <w:t>'''</w:t>
      </w:r>
      <w:r w:rsidRPr="00234409">
        <w:t xml:space="preserve"> to </w:t>
      </w:r>
      <w:r w:rsidR="00F26804">
        <w:rPr>
          <w:noProof/>
          <w:color w:val="000000"/>
          <w:highlight w:val="black"/>
        </w:rPr>
        <w:t>'''</w:t>
      </w:r>
      <w:r w:rsidRPr="00234409">
        <w:t>% of the market over the first 6 years</w:t>
      </w:r>
      <w:r w:rsidR="00164E3A">
        <w:t>; and</w:t>
      </w:r>
    </w:p>
    <w:p w:rsidR="00155995" w:rsidRPr="00234409" w:rsidRDefault="00155995" w:rsidP="00155995">
      <w:pPr>
        <w:pStyle w:val="ListParagraph"/>
        <w:numPr>
          <w:ilvl w:val="0"/>
          <w:numId w:val="29"/>
        </w:numPr>
        <w:spacing w:after="0"/>
        <w:ind w:left="993" w:hanging="357"/>
      </w:pPr>
      <w:proofErr w:type="gramStart"/>
      <w:r w:rsidRPr="00234409">
        <w:t>the</w:t>
      </w:r>
      <w:proofErr w:type="gramEnd"/>
      <w:r w:rsidRPr="00234409">
        <w:t xml:space="preserve"> reduction</w:t>
      </w:r>
      <w:r w:rsidR="00844FD4">
        <w:t>s</w:t>
      </w:r>
      <w:r w:rsidRPr="00234409">
        <w:t xml:space="preserve"> in costs for </w:t>
      </w:r>
      <w:proofErr w:type="spellStart"/>
      <w:r w:rsidR="007951E0">
        <w:rPr>
          <w:iCs/>
        </w:rPr>
        <w:t>certolizumab</w:t>
      </w:r>
      <w:proofErr w:type="spellEnd"/>
      <w:r w:rsidRPr="00234409">
        <w:t xml:space="preserve">, </w:t>
      </w:r>
      <w:r w:rsidR="007951E0">
        <w:t>ustekinumab</w:t>
      </w:r>
      <w:r w:rsidRPr="00234409">
        <w:t xml:space="preserve">, </w:t>
      </w:r>
      <w:r w:rsidR="007951E0">
        <w:rPr>
          <w:iCs/>
        </w:rPr>
        <w:t>secukinumab</w:t>
      </w:r>
      <w:r w:rsidR="007951E0" w:rsidRPr="00234409">
        <w:t xml:space="preserve"> </w:t>
      </w:r>
      <w:r w:rsidRPr="00234409">
        <w:t>were estimated based on the average published DPMQs (averaged by PBS services for PsA).</w:t>
      </w:r>
    </w:p>
    <w:p w:rsidR="00155995" w:rsidRPr="00234409" w:rsidRDefault="00155995" w:rsidP="00155995">
      <w:pPr>
        <w:widowControl/>
      </w:pPr>
    </w:p>
    <w:p w:rsidR="00155995" w:rsidRPr="00234409" w:rsidRDefault="00155995" w:rsidP="00825BEA">
      <w:pPr>
        <w:keepNext/>
        <w:rPr>
          <w:rStyle w:val="CommentReference"/>
        </w:rPr>
      </w:pPr>
      <w:r w:rsidRPr="00234409">
        <w:rPr>
          <w:rStyle w:val="CommentReference"/>
        </w:rPr>
        <w:t xml:space="preserve">Table </w:t>
      </w:r>
      <w:r w:rsidR="007E70C7" w:rsidRPr="00234409">
        <w:rPr>
          <w:rStyle w:val="CommentReference"/>
        </w:rPr>
        <w:t>8</w:t>
      </w:r>
      <w:r w:rsidRPr="00234409">
        <w:rPr>
          <w:rStyle w:val="CommentReference"/>
        </w:rPr>
        <w:t xml:space="preserve">:  Estimated net financial implications of the proposed </w:t>
      </w:r>
      <w:proofErr w:type="spellStart"/>
      <w:r w:rsidR="00950686" w:rsidRPr="00234409">
        <w:rPr>
          <w:rStyle w:val="CommentReference"/>
        </w:rPr>
        <w:t>abatacept</w:t>
      </w:r>
      <w:proofErr w:type="spellEnd"/>
      <w:r w:rsidRPr="00234409">
        <w:rPr>
          <w:rStyle w:val="CommentReference"/>
        </w:rPr>
        <w:t xml:space="preserve"> listing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0"/>
        <w:gridCol w:w="1039"/>
        <w:gridCol w:w="1040"/>
        <w:gridCol w:w="1039"/>
        <w:gridCol w:w="1040"/>
        <w:gridCol w:w="1039"/>
        <w:gridCol w:w="1040"/>
      </w:tblGrid>
      <w:tr w:rsidR="00155995" w:rsidRPr="00D424C7" w:rsidTr="00FC26CD">
        <w:trPr>
          <w:tblHeader/>
        </w:trPr>
        <w:tc>
          <w:tcPr>
            <w:tcW w:w="2830" w:type="dxa"/>
            <w:shd w:val="clear" w:color="auto" w:fill="auto"/>
            <w:vAlign w:val="center"/>
          </w:tcPr>
          <w:p w:rsidR="00155995" w:rsidRPr="00D424C7" w:rsidRDefault="00155995" w:rsidP="00825BEA">
            <w:pPr>
              <w:pStyle w:val="Tabletext"/>
              <w:keepNext/>
              <w:rPr>
                <w:b/>
              </w:rPr>
            </w:pPr>
          </w:p>
        </w:tc>
        <w:tc>
          <w:tcPr>
            <w:tcW w:w="1039" w:type="dxa"/>
            <w:shd w:val="clear" w:color="auto" w:fill="auto"/>
            <w:vAlign w:val="center"/>
          </w:tcPr>
          <w:p w:rsidR="00155995" w:rsidRPr="00D424C7" w:rsidRDefault="00155995" w:rsidP="00825BEA">
            <w:pPr>
              <w:pStyle w:val="Tabletext"/>
              <w:keepNext/>
              <w:jc w:val="center"/>
              <w:rPr>
                <w:b/>
              </w:rPr>
            </w:pPr>
            <w:r w:rsidRPr="00D424C7">
              <w:rPr>
                <w:b/>
              </w:rPr>
              <w:t>Year 1</w:t>
            </w:r>
          </w:p>
        </w:tc>
        <w:tc>
          <w:tcPr>
            <w:tcW w:w="1040" w:type="dxa"/>
            <w:shd w:val="clear" w:color="auto" w:fill="auto"/>
            <w:vAlign w:val="center"/>
          </w:tcPr>
          <w:p w:rsidR="00155995" w:rsidRPr="00D424C7" w:rsidRDefault="00155995" w:rsidP="00825BEA">
            <w:pPr>
              <w:pStyle w:val="Tabletext"/>
              <w:keepNext/>
              <w:jc w:val="center"/>
              <w:rPr>
                <w:b/>
              </w:rPr>
            </w:pPr>
            <w:r w:rsidRPr="00D424C7">
              <w:rPr>
                <w:b/>
              </w:rPr>
              <w:t>Year 2</w:t>
            </w:r>
          </w:p>
        </w:tc>
        <w:tc>
          <w:tcPr>
            <w:tcW w:w="1039" w:type="dxa"/>
            <w:shd w:val="clear" w:color="auto" w:fill="auto"/>
            <w:vAlign w:val="center"/>
          </w:tcPr>
          <w:p w:rsidR="00155995" w:rsidRPr="00D424C7" w:rsidRDefault="00155995" w:rsidP="00825BEA">
            <w:pPr>
              <w:pStyle w:val="Tabletext"/>
              <w:keepNext/>
              <w:jc w:val="center"/>
              <w:rPr>
                <w:b/>
              </w:rPr>
            </w:pPr>
            <w:r w:rsidRPr="00D424C7">
              <w:rPr>
                <w:b/>
              </w:rPr>
              <w:t>Year 3</w:t>
            </w:r>
          </w:p>
        </w:tc>
        <w:tc>
          <w:tcPr>
            <w:tcW w:w="1040" w:type="dxa"/>
            <w:shd w:val="clear" w:color="auto" w:fill="auto"/>
            <w:vAlign w:val="center"/>
          </w:tcPr>
          <w:p w:rsidR="00155995" w:rsidRPr="00D424C7" w:rsidRDefault="00155995" w:rsidP="00825BEA">
            <w:pPr>
              <w:pStyle w:val="Tabletext"/>
              <w:keepNext/>
              <w:jc w:val="center"/>
              <w:rPr>
                <w:b/>
              </w:rPr>
            </w:pPr>
            <w:r w:rsidRPr="00D424C7">
              <w:rPr>
                <w:b/>
              </w:rPr>
              <w:t>Year 4</w:t>
            </w:r>
          </w:p>
        </w:tc>
        <w:tc>
          <w:tcPr>
            <w:tcW w:w="1039" w:type="dxa"/>
            <w:shd w:val="clear" w:color="auto" w:fill="auto"/>
            <w:vAlign w:val="center"/>
          </w:tcPr>
          <w:p w:rsidR="00155995" w:rsidRPr="00D424C7" w:rsidRDefault="00155995" w:rsidP="00825BEA">
            <w:pPr>
              <w:pStyle w:val="Tabletext"/>
              <w:keepNext/>
              <w:jc w:val="center"/>
              <w:rPr>
                <w:b/>
              </w:rPr>
            </w:pPr>
            <w:r w:rsidRPr="00D424C7">
              <w:rPr>
                <w:b/>
              </w:rPr>
              <w:t>Year 5</w:t>
            </w:r>
          </w:p>
        </w:tc>
        <w:tc>
          <w:tcPr>
            <w:tcW w:w="1040" w:type="dxa"/>
            <w:shd w:val="clear" w:color="auto" w:fill="auto"/>
            <w:vAlign w:val="center"/>
          </w:tcPr>
          <w:p w:rsidR="00155995" w:rsidRPr="00D424C7" w:rsidRDefault="00155995" w:rsidP="00825BEA">
            <w:pPr>
              <w:pStyle w:val="Tabletext"/>
              <w:keepNext/>
              <w:jc w:val="center"/>
              <w:rPr>
                <w:b/>
              </w:rPr>
            </w:pPr>
            <w:r w:rsidRPr="00D424C7">
              <w:rPr>
                <w:b/>
              </w:rPr>
              <w:t>Year 6</w:t>
            </w:r>
          </w:p>
        </w:tc>
      </w:tr>
      <w:tr w:rsidR="00155995" w:rsidRPr="00A579DF" w:rsidTr="00FC26CD">
        <w:tc>
          <w:tcPr>
            <w:tcW w:w="9067" w:type="dxa"/>
            <w:gridSpan w:val="7"/>
            <w:shd w:val="clear" w:color="auto" w:fill="auto"/>
            <w:vAlign w:val="center"/>
          </w:tcPr>
          <w:p w:rsidR="00155995" w:rsidRPr="00A93891" w:rsidRDefault="00155995" w:rsidP="00825BEA">
            <w:pPr>
              <w:pStyle w:val="Tabletext"/>
              <w:keepNext/>
              <w:rPr>
                <w:b/>
                <w:bCs/>
              </w:rPr>
            </w:pPr>
            <w:r w:rsidRPr="00A93891">
              <w:rPr>
                <w:b/>
                <w:bCs/>
              </w:rPr>
              <w:t>Estimation of use and financial impact of the proposed medicine</w:t>
            </w:r>
          </w:p>
        </w:tc>
      </w:tr>
      <w:tr w:rsidR="00155995" w:rsidRPr="00A579DF" w:rsidTr="00FC26CD">
        <w:tc>
          <w:tcPr>
            <w:tcW w:w="2830" w:type="dxa"/>
            <w:shd w:val="clear" w:color="auto" w:fill="auto"/>
            <w:vAlign w:val="center"/>
          </w:tcPr>
          <w:p w:rsidR="00155995" w:rsidRDefault="00155995" w:rsidP="00825BEA">
            <w:pPr>
              <w:pStyle w:val="Tabletext"/>
              <w:keepNext/>
            </w:pPr>
            <w:r>
              <w:t>‘Lower tier’ bDMARD scripts</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r>
      <w:tr w:rsidR="00155995" w:rsidRPr="00A579DF" w:rsidTr="00FC26CD">
        <w:tc>
          <w:tcPr>
            <w:tcW w:w="2830" w:type="dxa"/>
            <w:shd w:val="clear" w:color="auto" w:fill="auto"/>
            <w:vAlign w:val="center"/>
          </w:tcPr>
          <w:p w:rsidR="00155995" w:rsidRPr="00311E4F" w:rsidRDefault="00155995" w:rsidP="00825BEA">
            <w:pPr>
              <w:pStyle w:val="Tabletext"/>
              <w:keepNext/>
              <w:ind w:left="109"/>
              <w:rPr>
                <w:color w:val="808080" w:themeColor="background1" w:themeShade="80"/>
              </w:rPr>
            </w:pPr>
            <w:r w:rsidRPr="00311E4F">
              <w:rPr>
                <w:color w:val="808080" w:themeColor="background1" w:themeShade="80"/>
              </w:rPr>
              <w:t>CZP scripts</w:t>
            </w:r>
          </w:p>
        </w:tc>
        <w:tc>
          <w:tcPr>
            <w:tcW w:w="1039"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r>
      <w:tr w:rsidR="00155995" w:rsidRPr="00A579DF" w:rsidTr="00FC26CD">
        <w:tc>
          <w:tcPr>
            <w:tcW w:w="2830" w:type="dxa"/>
            <w:shd w:val="clear" w:color="auto" w:fill="auto"/>
            <w:vAlign w:val="center"/>
          </w:tcPr>
          <w:p w:rsidR="00155995" w:rsidRPr="00311E4F" w:rsidRDefault="00155995" w:rsidP="00825BEA">
            <w:pPr>
              <w:pStyle w:val="Tabletext"/>
              <w:keepNext/>
              <w:ind w:left="109"/>
              <w:rPr>
                <w:color w:val="808080" w:themeColor="background1" w:themeShade="80"/>
              </w:rPr>
            </w:pPr>
            <w:r w:rsidRPr="00311E4F">
              <w:rPr>
                <w:color w:val="808080" w:themeColor="background1" w:themeShade="80"/>
              </w:rPr>
              <w:t>UST scripts</w:t>
            </w:r>
          </w:p>
        </w:tc>
        <w:tc>
          <w:tcPr>
            <w:tcW w:w="1039"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r>
      <w:tr w:rsidR="00155995" w:rsidRPr="00A579DF" w:rsidTr="00FC26CD">
        <w:tc>
          <w:tcPr>
            <w:tcW w:w="2830" w:type="dxa"/>
            <w:shd w:val="clear" w:color="auto" w:fill="auto"/>
            <w:vAlign w:val="center"/>
          </w:tcPr>
          <w:p w:rsidR="00155995" w:rsidRPr="00311E4F" w:rsidRDefault="00155995" w:rsidP="00825BEA">
            <w:pPr>
              <w:pStyle w:val="Tabletext"/>
              <w:keepNext/>
              <w:ind w:left="109"/>
              <w:rPr>
                <w:color w:val="808080" w:themeColor="background1" w:themeShade="80"/>
              </w:rPr>
            </w:pPr>
            <w:r w:rsidRPr="00311E4F">
              <w:rPr>
                <w:color w:val="808080" w:themeColor="background1" w:themeShade="80"/>
              </w:rPr>
              <w:t>SEC scripts</w:t>
            </w:r>
          </w:p>
        </w:tc>
        <w:tc>
          <w:tcPr>
            <w:tcW w:w="1039"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color w:val="808080" w:themeColor="background1" w:themeShade="80"/>
                <w:highlight w:val="black"/>
              </w:rPr>
            </w:pPr>
            <w:r>
              <w:rPr>
                <w:noProof/>
                <w:color w:val="000000"/>
                <w:highlight w:val="black"/>
              </w:rPr>
              <w:t>''''''''''''''''</w:t>
            </w:r>
          </w:p>
        </w:tc>
      </w:tr>
      <w:tr w:rsidR="00155995" w:rsidRPr="00A579DF" w:rsidTr="00FC26CD">
        <w:tc>
          <w:tcPr>
            <w:tcW w:w="2830" w:type="dxa"/>
            <w:shd w:val="clear" w:color="auto" w:fill="auto"/>
            <w:vAlign w:val="center"/>
          </w:tcPr>
          <w:p w:rsidR="00155995" w:rsidRDefault="00155995" w:rsidP="00825BEA">
            <w:pPr>
              <w:pStyle w:val="Tabletext"/>
              <w:keepNext/>
            </w:pPr>
            <w:r>
              <w:t>Market share (scripts)</w:t>
            </w:r>
          </w:p>
        </w:tc>
        <w:tc>
          <w:tcPr>
            <w:tcW w:w="1039" w:type="dxa"/>
            <w:shd w:val="clear" w:color="auto" w:fill="auto"/>
            <w:vAlign w:val="center"/>
          </w:tcPr>
          <w:p w:rsidR="00155995" w:rsidRDefault="00F26804" w:rsidP="00825BEA">
            <w:pPr>
              <w:pStyle w:val="Tabletext"/>
              <w:keepNext/>
              <w:jc w:val="center"/>
            </w:pPr>
            <w:r>
              <w:rPr>
                <w:noProof/>
                <w:color w:val="000000"/>
                <w:highlight w:val="black"/>
              </w:rPr>
              <w:t>''''</w:t>
            </w:r>
            <w:r w:rsidR="00155995">
              <w:t>%</w:t>
            </w:r>
          </w:p>
        </w:tc>
        <w:tc>
          <w:tcPr>
            <w:tcW w:w="1040" w:type="dxa"/>
            <w:shd w:val="clear" w:color="auto" w:fill="auto"/>
            <w:vAlign w:val="center"/>
          </w:tcPr>
          <w:p w:rsidR="00155995" w:rsidRDefault="00F26804" w:rsidP="00825BEA">
            <w:pPr>
              <w:pStyle w:val="Tabletext"/>
              <w:keepNext/>
              <w:jc w:val="center"/>
            </w:pPr>
            <w:r>
              <w:rPr>
                <w:noProof/>
                <w:color w:val="000000"/>
                <w:highlight w:val="black"/>
              </w:rPr>
              <w:t>'''</w:t>
            </w:r>
            <w:r w:rsidR="00155995">
              <w:t>%</w:t>
            </w:r>
          </w:p>
        </w:tc>
        <w:tc>
          <w:tcPr>
            <w:tcW w:w="1039" w:type="dxa"/>
            <w:shd w:val="clear" w:color="auto" w:fill="auto"/>
            <w:vAlign w:val="center"/>
          </w:tcPr>
          <w:p w:rsidR="00155995" w:rsidRDefault="00F26804" w:rsidP="00825BEA">
            <w:pPr>
              <w:pStyle w:val="Tabletext"/>
              <w:keepNext/>
              <w:jc w:val="center"/>
            </w:pPr>
            <w:r>
              <w:rPr>
                <w:noProof/>
                <w:color w:val="000000"/>
                <w:highlight w:val="black"/>
              </w:rPr>
              <w:t>''''</w:t>
            </w:r>
            <w:r w:rsidR="00155995">
              <w:t>%</w:t>
            </w:r>
          </w:p>
        </w:tc>
        <w:tc>
          <w:tcPr>
            <w:tcW w:w="1040" w:type="dxa"/>
            <w:shd w:val="clear" w:color="auto" w:fill="auto"/>
            <w:vAlign w:val="center"/>
          </w:tcPr>
          <w:p w:rsidR="00155995" w:rsidRDefault="00F26804" w:rsidP="00825BEA">
            <w:pPr>
              <w:pStyle w:val="Tabletext"/>
              <w:keepNext/>
              <w:jc w:val="center"/>
            </w:pPr>
            <w:r>
              <w:rPr>
                <w:noProof/>
                <w:color w:val="000000"/>
                <w:highlight w:val="black"/>
              </w:rPr>
              <w:t>'''</w:t>
            </w:r>
            <w:r w:rsidR="00155995">
              <w:t>%</w:t>
            </w:r>
          </w:p>
        </w:tc>
        <w:tc>
          <w:tcPr>
            <w:tcW w:w="1039" w:type="dxa"/>
            <w:shd w:val="clear" w:color="auto" w:fill="auto"/>
            <w:vAlign w:val="center"/>
          </w:tcPr>
          <w:p w:rsidR="00155995" w:rsidRDefault="00F26804" w:rsidP="00825BEA">
            <w:pPr>
              <w:pStyle w:val="Tabletext"/>
              <w:keepNext/>
              <w:jc w:val="center"/>
            </w:pPr>
            <w:r>
              <w:rPr>
                <w:noProof/>
                <w:color w:val="000000"/>
                <w:highlight w:val="black"/>
              </w:rPr>
              <w:t>''''</w:t>
            </w:r>
            <w:r w:rsidR="00155995">
              <w:t>%</w:t>
            </w:r>
          </w:p>
        </w:tc>
        <w:tc>
          <w:tcPr>
            <w:tcW w:w="1040" w:type="dxa"/>
            <w:shd w:val="clear" w:color="auto" w:fill="auto"/>
            <w:vAlign w:val="center"/>
          </w:tcPr>
          <w:p w:rsidR="00155995" w:rsidRDefault="00F26804" w:rsidP="00825BEA">
            <w:pPr>
              <w:pStyle w:val="Tabletext"/>
              <w:keepNext/>
              <w:jc w:val="center"/>
            </w:pPr>
            <w:r>
              <w:rPr>
                <w:noProof/>
                <w:color w:val="000000"/>
                <w:highlight w:val="black"/>
              </w:rPr>
              <w:t>''''</w:t>
            </w:r>
            <w:r w:rsidR="00155995">
              <w:t>%</w:t>
            </w:r>
          </w:p>
        </w:tc>
      </w:tr>
      <w:tr w:rsidR="00155995" w:rsidRPr="00A579DF" w:rsidTr="00FC26CD">
        <w:tc>
          <w:tcPr>
            <w:tcW w:w="2830" w:type="dxa"/>
            <w:shd w:val="clear" w:color="auto" w:fill="auto"/>
            <w:vAlign w:val="center"/>
          </w:tcPr>
          <w:p w:rsidR="00155995" w:rsidRDefault="00155995" w:rsidP="00825BEA">
            <w:pPr>
              <w:pStyle w:val="Tabletext"/>
              <w:keepNext/>
            </w:pPr>
            <w:r>
              <w:t>Scripts displaced by ABA</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r>
      <w:tr w:rsidR="00155995" w:rsidRPr="00A579DF" w:rsidTr="00FC26CD">
        <w:tc>
          <w:tcPr>
            <w:tcW w:w="2830" w:type="dxa"/>
            <w:shd w:val="clear" w:color="auto" w:fill="auto"/>
            <w:vAlign w:val="center"/>
          </w:tcPr>
          <w:p w:rsidR="00155995" w:rsidRDefault="00155995" w:rsidP="00825BEA">
            <w:pPr>
              <w:pStyle w:val="Tabletext"/>
              <w:keepNext/>
            </w:pPr>
            <w:r>
              <w:t>ABA scripts</w:t>
            </w:r>
          </w:p>
        </w:tc>
        <w:tc>
          <w:tcPr>
            <w:tcW w:w="1039" w:type="dxa"/>
            <w:shd w:val="clear" w:color="auto" w:fill="auto"/>
            <w:vAlign w:val="bottom"/>
          </w:tcPr>
          <w:p w:rsidR="00155995" w:rsidRPr="004301C4" w:rsidRDefault="00155995" w:rsidP="00825BEA">
            <w:pPr>
              <w:pStyle w:val="Tabletext"/>
              <w:keepNext/>
              <w:jc w:val="center"/>
            </w:pPr>
          </w:p>
        </w:tc>
        <w:tc>
          <w:tcPr>
            <w:tcW w:w="1040" w:type="dxa"/>
            <w:shd w:val="clear" w:color="auto" w:fill="auto"/>
            <w:vAlign w:val="bottom"/>
          </w:tcPr>
          <w:p w:rsidR="00155995" w:rsidRPr="004301C4" w:rsidRDefault="00155995" w:rsidP="00825BEA">
            <w:pPr>
              <w:pStyle w:val="Tabletext"/>
              <w:keepNext/>
              <w:jc w:val="center"/>
            </w:pPr>
          </w:p>
        </w:tc>
        <w:tc>
          <w:tcPr>
            <w:tcW w:w="1039" w:type="dxa"/>
            <w:shd w:val="clear" w:color="auto" w:fill="auto"/>
            <w:vAlign w:val="bottom"/>
          </w:tcPr>
          <w:p w:rsidR="00155995" w:rsidRPr="004301C4" w:rsidRDefault="00155995" w:rsidP="00825BEA">
            <w:pPr>
              <w:pStyle w:val="Tabletext"/>
              <w:keepNext/>
              <w:jc w:val="center"/>
            </w:pPr>
          </w:p>
        </w:tc>
        <w:tc>
          <w:tcPr>
            <w:tcW w:w="1040" w:type="dxa"/>
            <w:shd w:val="clear" w:color="auto" w:fill="auto"/>
            <w:vAlign w:val="bottom"/>
          </w:tcPr>
          <w:p w:rsidR="00155995" w:rsidRPr="004301C4" w:rsidRDefault="00155995" w:rsidP="00825BEA">
            <w:pPr>
              <w:pStyle w:val="Tabletext"/>
              <w:keepNext/>
              <w:jc w:val="center"/>
            </w:pPr>
          </w:p>
        </w:tc>
        <w:tc>
          <w:tcPr>
            <w:tcW w:w="1039" w:type="dxa"/>
            <w:shd w:val="clear" w:color="auto" w:fill="auto"/>
            <w:vAlign w:val="bottom"/>
          </w:tcPr>
          <w:p w:rsidR="00155995" w:rsidRPr="004301C4" w:rsidRDefault="00155995" w:rsidP="00825BEA">
            <w:pPr>
              <w:pStyle w:val="Tabletext"/>
              <w:keepNext/>
              <w:jc w:val="center"/>
            </w:pPr>
          </w:p>
        </w:tc>
        <w:tc>
          <w:tcPr>
            <w:tcW w:w="1040" w:type="dxa"/>
            <w:shd w:val="clear" w:color="auto" w:fill="auto"/>
            <w:vAlign w:val="bottom"/>
          </w:tcPr>
          <w:p w:rsidR="00155995" w:rsidRPr="004301C4" w:rsidRDefault="00155995" w:rsidP="00825BEA">
            <w:pPr>
              <w:pStyle w:val="Tabletext"/>
              <w:keepNext/>
              <w:jc w:val="center"/>
            </w:pPr>
          </w:p>
        </w:tc>
      </w:tr>
      <w:tr w:rsidR="00155995" w:rsidRPr="00A579DF" w:rsidTr="00FC26CD">
        <w:tc>
          <w:tcPr>
            <w:tcW w:w="2830" w:type="dxa"/>
            <w:shd w:val="clear" w:color="auto" w:fill="auto"/>
            <w:vAlign w:val="center"/>
          </w:tcPr>
          <w:p w:rsidR="00155995" w:rsidRPr="004010E8" w:rsidRDefault="00155995" w:rsidP="00825BEA">
            <w:pPr>
              <w:pStyle w:val="Tabletext"/>
              <w:keepNext/>
              <w:ind w:left="109"/>
            </w:pPr>
            <w:r w:rsidRPr="004010E8">
              <w:t>SC formulation (4x125mg)</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r>
      <w:tr w:rsidR="00155995" w:rsidRPr="00A579DF" w:rsidTr="00FC26CD">
        <w:tc>
          <w:tcPr>
            <w:tcW w:w="2830" w:type="dxa"/>
            <w:shd w:val="clear" w:color="auto" w:fill="auto"/>
            <w:vAlign w:val="center"/>
          </w:tcPr>
          <w:p w:rsidR="00155995" w:rsidRPr="004010E8" w:rsidRDefault="00155995" w:rsidP="00825BEA">
            <w:pPr>
              <w:pStyle w:val="Tabletext"/>
              <w:keepNext/>
              <w:ind w:left="109"/>
            </w:pPr>
            <w:r w:rsidRPr="004010E8">
              <w:t>IV formulation(1x250mg)</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r>
      <w:tr w:rsidR="00155995" w:rsidRPr="00A579DF" w:rsidTr="00FC26CD">
        <w:tc>
          <w:tcPr>
            <w:tcW w:w="2830" w:type="dxa"/>
            <w:shd w:val="clear" w:color="auto" w:fill="auto"/>
            <w:vAlign w:val="center"/>
          </w:tcPr>
          <w:p w:rsidR="00155995" w:rsidRDefault="00155995" w:rsidP="00825BEA">
            <w:pPr>
              <w:pStyle w:val="Tabletext"/>
              <w:keepNext/>
            </w:pPr>
            <w:r>
              <w:t xml:space="preserve">ABA cost to PBS/RPBS </w:t>
            </w:r>
          </w:p>
        </w:tc>
        <w:tc>
          <w:tcPr>
            <w:tcW w:w="1039" w:type="dxa"/>
            <w:shd w:val="clear" w:color="auto" w:fill="auto"/>
            <w:vAlign w:val="bottom"/>
          </w:tcPr>
          <w:p w:rsidR="00155995" w:rsidRPr="006123FF" w:rsidRDefault="00155995" w:rsidP="00825BEA">
            <w:pPr>
              <w:pStyle w:val="Tabletext"/>
              <w:keepNext/>
              <w:jc w:val="center"/>
            </w:pPr>
            <w:r w:rsidRPr="00F550F4">
              <w:t>$</w:t>
            </w:r>
            <w:r w:rsidR="00F26804">
              <w:rPr>
                <w:noProof/>
                <w:color w:val="000000"/>
                <w:highlight w:val="black"/>
              </w:rPr>
              <w:t>'''''''''''''''''''</w:t>
            </w:r>
          </w:p>
        </w:tc>
        <w:tc>
          <w:tcPr>
            <w:tcW w:w="1040" w:type="dxa"/>
            <w:shd w:val="clear" w:color="auto" w:fill="auto"/>
            <w:vAlign w:val="bottom"/>
          </w:tcPr>
          <w:p w:rsidR="00155995" w:rsidRPr="006123FF" w:rsidRDefault="00155995" w:rsidP="00825BEA">
            <w:pPr>
              <w:pStyle w:val="Tabletext"/>
              <w:keepNext/>
              <w:jc w:val="center"/>
            </w:pPr>
            <w:r w:rsidRPr="00F550F4">
              <w:t>$</w:t>
            </w:r>
            <w:r w:rsidR="00F26804">
              <w:rPr>
                <w:noProof/>
                <w:color w:val="000000"/>
                <w:highlight w:val="black"/>
              </w:rPr>
              <w:t>''''''''''''''''''''''</w:t>
            </w:r>
          </w:p>
        </w:tc>
        <w:tc>
          <w:tcPr>
            <w:tcW w:w="1039" w:type="dxa"/>
            <w:shd w:val="clear" w:color="auto" w:fill="auto"/>
            <w:vAlign w:val="bottom"/>
          </w:tcPr>
          <w:p w:rsidR="00155995" w:rsidRPr="006123FF" w:rsidRDefault="00155995" w:rsidP="00825BEA">
            <w:pPr>
              <w:pStyle w:val="Tabletext"/>
              <w:keepNext/>
              <w:jc w:val="center"/>
            </w:pPr>
            <w:r w:rsidRPr="00F550F4">
              <w:t>$</w:t>
            </w:r>
            <w:r w:rsidR="00F26804">
              <w:rPr>
                <w:noProof/>
                <w:color w:val="000000"/>
                <w:highlight w:val="black"/>
              </w:rPr>
              <w:t>''''''''''''''''''''''''''</w:t>
            </w:r>
          </w:p>
        </w:tc>
        <w:tc>
          <w:tcPr>
            <w:tcW w:w="1040" w:type="dxa"/>
            <w:shd w:val="clear" w:color="auto" w:fill="auto"/>
            <w:vAlign w:val="bottom"/>
          </w:tcPr>
          <w:p w:rsidR="00155995" w:rsidRPr="006123FF" w:rsidRDefault="00155995" w:rsidP="00825BEA">
            <w:pPr>
              <w:pStyle w:val="Tabletext"/>
              <w:keepNext/>
              <w:jc w:val="center"/>
            </w:pPr>
            <w:r w:rsidRPr="00F550F4">
              <w:t>$</w:t>
            </w:r>
            <w:r w:rsidR="00F26804">
              <w:rPr>
                <w:noProof/>
                <w:color w:val="000000"/>
                <w:highlight w:val="black"/>
              </w:rPr>
              <w:t>''''''''''''''''''''''</w:t>
            </w:r>
          </w:p>
        </w:tc>
        <w:tc>
          <w:tcPr>
            <w:tcW w:w="1039" w:type="dxa"/>
            <w:shd w:val="clear" w:color="auto" w:fill="auto"/>
            <w:vAlign w:val="bottom"/>
          </w:tcPr>
          <w:p w:rsidR="00155995" w:rsidRPr="006123FF" w:rsidRDefault="00155995" w:rsidP="00825BEA">
            <w:pPr>
              <w:pStyle w:val="Tabletext"/>
              <w:keepNext/>
              <w:jc w:val="center"/>
            </w:pPr>
            <w:r w:rsidRPr="00F550F4">
              <w:t>$</w:t>
            </w:r>
            <w:r w:rsidR="00F26804">
              <w:rPr>
                <w:noProof/>
                <w:color w:val="000000"/>
                <w:highlight w:val="black"/>
              </w:rPr>
              <w:t>'''''''''''''''''''''''''</w:t>
            </w:r>
          </w:p>
        </w:tc>
        <w:tc>
          <w:tcPr>
            <w:tcW w:w="1040" w:type="dxa"/>
            <w:shd w:val="clear" w:color="auto" w:fill="auto"/>
            <w:vAlign w:val="bottom"/>
          </w:tcPr>
          <w:p w:rsidR="00155995" w:rsidRPr="006123FF" w:rsidRDefault="00155995" w:rsidP="00825BEA">
            <w:pPr>
              <w:pStyle w:val="Tabletext"/>
              <w:keepNext/>
              <w:jc w:val="center"/>
            </w:pPr>
            <w:r w:rsidRPr="00F550F4">
              <w:t>$</w:t>
            </w:r>
            <w:r w:rsidR="00F26804">
              <w:rPr>
                <w:noProof/>
                <w:color w:val="000000"/>
                <w:highlight w:val="black"/>
              </w:rPr>
              <w:t>'''''''''''''''''''''''</w:t>
            </w:r>
          </w:p>
        </w:tc>
      </w:tr>
      <w:tr w:rsidR="00155995" w:rsidRPr="00A579DF" w:rsidTr="00FC26CD">
        <w:tc>
          <w:tcPr>
            <w:tcW w:w="2830" w:type="dxa"/>
            <w:shd w:val="clear" w:color="auto" w:fill="auto"/>
            <w:vAlign w:val="center"/>
          </w:tcPr>
          <w:p w:rsidR="00155995" w:rsidRDefault="00155995" w:rsidP="00825BEA">
            <w:pPr>
              <w:pStyle w:val="Tabletext"/>
              <w:keepNext/>
            </w:pPr>
            <w:r>
              <w:t xml:space="preserve">ABA patient co-payment </w:t>
            </w:r>
          </w:p>
        </w:tc>
        <w:tc>
          <w:tcPr>
            <w:tcW w:w="1039" w:type="dxa"/>
            <w:shd w:val="clear" w:color="auto" w:fill="auto"/>
            <w:vAlign w:val="bottom"/>
          </w:tcPr>
          <w:p w:rsidR="00155995" w:rsidRPr="006123FF" w:rsidRDefault="00155995" w:rsidP="00825BEA">
            <w:pPr>
              <w:pStyle w:val="Tabletext"/>
              <w:keepNext/>
              <w:jc w:val="center"/>
            </w:pPr>
            <w:r w:rsidRPr="00F550F4">
              <w:t>$</w:t>
            </w:r>
            <w:r w:rsidR="00F26804">
              <w:rPr>
                <w:noProof/>
                <w:color w:val="000000"/>
                <w:highlight w:val="black"/>
              </w:rPr>
              <w:t>''''''''''''''''</w:t>
            </w:r>
          </w:p>
        </w:tc>
        <w:tc>
          <w:tcPr>
            <w:tcW w:w="1040" w:type="dxa"/>
            <w:shd w:val="clear" w:color="auto" w:fill="auto"/>
            <w:vAlign w:val="bottom"/>
          </w:tcPr>
          <w:p w:rsidR="00155995" w:rsidRPr="006123FF" w:rsidRDefault="00155995" w:rsidP="00825BEA">
            <w:pPr>
              <w:pStyle w:val="Tabletext"/>
              <w:keepNext/>
              <w:jc w:val="center"/>
            </w:pPr>
            <w:r w:rsidRPr="00F550F4">
              <w:t>$</w:t>
            </w:r>
            <w:r w:rsidR="00F26804">
              <w:rPr>
                <w:noProof/>
                <w:color w:val="000000"/>
                <w:highlight w:val="black"/>
              </w:rPr>
              <w:t>'''''''''''''''</w:t>
            </w:r>
          </w:p>
        </w:tc>
        <w:tc>
          <w:tcPr>
            <w:tcW w:w="1039" w:type="dxa"/>
            <w:shd w:val="clear" w:color="auto" w:fill="auto"/>
            <w:vAlign w:val="bottom"/>
          </w:tcPr>
          <w:p w:rsidR="00155995" w:rsidRPr="006123FF" w:rsidRDefault="00155995" w:rsidP="00825BEA">
            <w:pPr>
              <w:pStyle w:val="Tabletext"/>
              <w:keepNext/>
              <w:jc w:val="center"/>
            </w:pPr>
            <w:r w:rsidRPr="00F550F4">
              <w:t>$</w:t>
            </w:r>
            <w:r w:rsidR="00F26804">
              <w:rPr>
                <w:noProof/>
                <w:color w:val="000000"/>
                <w:highlight w:val="black"/>
              </w:rPr>
              <w:t>''''''''''''''''</w:t>
            </w:r>
          </w:p>
        </w:tc>
        <w:tc>
          <w:tcPr>
            <w:tcW w:w="1040" w:type="dxa"/>
            <w:shd w:val="clear" w:color="auto" w:fill="auto"/>
            <w:vAlign w:val="bottom"/>
          </w:tcPr>
          <w:p w:rsidR="00155995" w:rsidRPr="006123FF" w:rsidRDefault="00155995" w:rsidP="00825BEA">
            <w:pPr>
              <w:pStyle w:val="Tabletext"/>
              <w:keepNext/>
              <w:jc w:val="center"/>
            </w:pPr>
            <w:r w:rsidRPr="00F550F4">
              <w:t>$</w:t>
            </w:r>
            <w:r w:rsidR="00F26804">
              <w:rPr>
                <w:noProof/>
                <w:color w:val="000000"/>
                <w:highlight w:val="black"/>
              </w:rPr>
              <w:t>'''''''''''''''''</w:t>
            </w:r>
          </w:p>
        </w:tc>
        <w:tc>
          <w:tcPr>
            <w:tcW w:w="1039" w:type="dxa"/>
            <w:shd w:val="clear" w:color="auto" w:fill="auto"/>
            <w:vAlign w:val="bottom"/>
          </w:tcPr>
          <w:p w:rsidR="00155995" w:rsidRPr="006123FF" w:rsidRDefault="00155995" w:rsidP="00825BEA">
            <w:pPr>
              <w:pStyle w:val="Tabletext"/>
              <w:keepNext/>
              <w:jc w:val="center"/>
            </w:pPr>
            <w:r w:rsidRPr="00F550F4">
              <w:t>$</w:t>
            </w:r>
            <w:r w:rsidR="00F26804">
              <w:rPr>
                <w:noProof/>
                <w:color w:val="000000"/>
                <w:highlight w:val="black"/>
              </w:rPr>
              <w:t>'''''''''''''''''</w:t>
            </w:r>
          </w:p>
        </w:tc>
        <w:tc>
          <w:tcPr>
            <w:tcW w:w="1040" w:type="dxa"/>
            <w:shd w:val="clear" w:color="auto" w:fill="auto"/>
            <w:vAlign w:val="bottom"/>
          </w:tcPr>
          <w:p w:rsidR="00155995" w:rsidRPr="006123FF" w:rsidRDefault="00155995" w:rsidP="00825BEA">
            <w:pPr>
              <w:pStyle w:val="Tabletext"/>
              <w:keepNext/>
              <w:jc w:val="center"/>
            </w:pPr>
            <w:r w:rsidRPr="00F550F4">
              <w:t>$</w:t>
            </w:r>
            <w:r w:rsidR="00F26804">
              <w:rPr>
                <w:noProof/>
                <w:color w:val="000000"/>
                <w:highlight w:val="black"/>
              </w:rPr>
              <w:t>'''''''''''''''''''</w:t>
            </w:r>
          </w:p>
        </w:tc>
      </w:tr>
      <w:tr w:rsidR="00155995" w:rsidRPr="00A579DF" w:rsidTr="00FC26CD">
        <w:tc>
          <w:tcPr>
            <w:tcW w:w="2830" w:type="dxa"/>
            <w:shd w:val="clear" w:color="auto" w:fill="auto"/>
            <w:vAlign w:val="center"/>
          </w:tcPr>
          <w:p w:rsidR="00155995" w:rsidRPr="00407111" w:rsidRDefault="00155995" w:rsidP="00825BEA">
            <w:pPr>
              <w:pStyle w:val="Tabletext"/>
              <w:keepNext/>
            </w:pPr>
            <w:r w:rsidRPr="00407111">
              <w:t xml:space="preserve">Net PBS/RPBS cost </w:t>
            </w:r>
          </w:p>
        </w:tc>
        <w:tc>
          <w:tcPr>
            <w:tcW w:w="1039" w:type="dxa"/>
            <w:shd w:val="clear" w:color="auto" w:fill="auto"/>
            <w:vAlign w:val="bottom"/>
          </w:tcPr>
          <w:p w:rsidR="00155995" w:rsidRPr="00407111" w:rsidRDefault="00155995" w:rsidP="00825BEA">
            <w:pPr>
              <w:pStyle w:val="Tabletext"/>
              <w:keepNext/>
              <w:jc w:val="center"/>
            </w:pPr>
            <w:r w:rsidRPr="00407111">
              <w:t>$</w:t>
            </w:r>
            <w:r w:rsidR="00F26804">
              <w:rPr>
                <w:noProof/>
                <w:color w:val="000000"/>
                <w:highlight w:val="black"/>
              </w:rPr>
              <w:t>''''''''''''''''''''</w:t>
            </w:r>
          </w:p>
        </w:tc>
        <w:tc>
          <w:tcPr>
            <w:tcW w:w="1040" w:type="dxa"/>
            <w:shd w:val="clear" w:color="auto" w:fill="auto"/>
            <w:vAlign w:val="bottom"/>
          </w:tcPr>
          <w:p w:rsidR="00155995" w:rsidRPr="00407111" w:rsidRDefault="00155995" w:rsidP="00825BEA">
            <w:pPr>
              <w:pStyle w:val="Tabletext"/>
              <w:keepNext/>
              <w:jc w:val="center"/>
            </w:pPr>
            <w:r w:rsidRPr="00407111">
              <w:t>$</w:t>
            </w:r>
            <w:r w:rsidR="00F26804">
              <w:rPr>
                <w:noProof/>
                <w:color w:val="000000"/>
                <w:highlight w:val="black"/>
              </w:rPr>
              <w:t>'''''''''''''''''''''''</w:t>
            </w:r>
          </w:p>
        </w:tc>
        <w:tc>
          <w:tcPr>
            <w:tcW w:w="1039" w:type="dxa"/>
            <w:shd w:val="clear" w:color="auto" w:fill="auto"/>
            <w:vAlign w:val="bottom"/>
          </w:tcPr>
          <w:p w:rsidR="00155995" w:rsidRPr="00407111" w:rsidRDefault="00155995" w:rsidP="00825BEA">
            <w:pPr>
              <w:pStyle w:val="Tabletext"/>
              <w:keepNext/>
              <w:jc w:val="center"/>
            </w:pPr>
            <w:r w:rsidRPr="00407111">
              <w:t>$</w:t>
            </w:r>
            <w:r w:rsidR="00F26804">
              <w:rPr>
                <w:noProof/>
                <w:color w:val="000000"/>
                <w:highlight w:val="black"/>
              </w:rPr>
              <w:t>''''''''''''''''''''''''''</w:t>
            </w:r>
          </w:p>
        </w:tc>
        <w:tc>
          <w:tcPr>
            <w:tcW w:w="1040" w:type="dxa"/>
            <w:shd w:val="clear" w:color="auto" w:fill="auto"/>
            <w:vAlign w:val="bottom"/>
          </w:tcPr>
          <w:p w:rsidR="00155995" w:rsidRPr="00407111" w:rsidRDefault="00155995" w:rsidP="00825BEA">
            <w:pPr>
              <w:pStyle w:val="Tabletext"/>
              <w:keepNext/>
              <w:jc w:val="center"/>
            </w:pPr>
            <w:r w:rsidRPr="00407111">
              <w:t>$</w:t>
            </w:r>
            <w:r w:rsidR="00F26804">
              <w:rPr>
                <w:noProof/>
                <w:color w:val="000000"/>
                <w:highlight w:val="black"/>
              </w:rPr>
              <w:t>'''''''''''''''''''''''''</w:t>
            </w:r>
          </w:p>
        </w:tc>
        <w:tc>
          <w:tcPr>
            <w:tcW w:w="1039" w:type="dxa"/>
            <w:shd w:val="clear" w:color="auto" w:fill="auto"/>
            <w:vAlign w:val="bottom"/>
          </w:tcPr>
          <w:p w:rsidR="00155995" w:rsidRPr="00407111" w:rsidRDefault="00155995" w:rsidP="00825BEA">
            <w:pPr>
              <w:pStyle w:val="Tabletext"/>
              <w:keepNext/>
              <w:jc w:val="center"/>
            </w:pPr>
            <w:r w:rsidRPr="00407111">
              <w:t>$</w:t>
            </w:r>
            <w:r w:rsidR="00F26804">
              <w:rPr>
                <w:noProof/>
                <w:color w:val="000000"/>
                <w:highlight w:val="black"/>
              </w:rPr>
              <w:t>'''''''''''''''''''''''''</w:t>
            </w:r>
          </w:p>
        </w:tc>
        <w:tc>
          <w:tcPr>
            <w:tcW w:w="1040" w:type="dxa"/>
            <w:shd w:val="clear" w:color="auto" w:fill="auto"/>
            <w:vAlign w:val="bottom"/>
          </w:tcPr>
          <w:p w:rsidR="00155995" w:rsidRPr="00407111" w:rsidRDefault="00155995" w:rsidP="00825BEA">
            <w:pPr>
              <w:pStyle w:val="Tabletext"/>
              <w:keepNext/>
              <w:jc w:val="center"/>
            </w:pPr>
            <w:r w:rsidRPr="00407111">
              <w:t>$</w:t>
            </w:r>
            <w:r w:rsidR="00F26804">
              <w:rPr>
                <w:noProof/>
                <w:color w:val="000000"/>
                <w:highlight w:val="black"/>
              </w:rPr>
              <w:t>'''''''''''''''''''''''</w:t>
            </w:r>
          </w:p>
        </w:tc>
      </w:tr>
      <w:tr w:rsidR="00155995" w:rsidRPr="00A579DF" w:rsidTr="00FC26CD">
        <w:tc>
          <w:tcPr>
            <w:tcW w:w="9067" w:type="dxa"/>
            <w:gridSpan w:val="7"/>
            <w:shd w:val="clear" w:color="auto" w:fill="auto"/>
            <w:vAlign w:val="center"/>
          </w:tcPr>
          <w:p w:rsidR="00155995" w:rsidRPr="00B20F46" w:rsidRDefault="00155995" w:rsidP="00825BEA">
            <w:pPr>
              <w:pStyle w:val="Tabletext"/>
              <w:keepNext/>
              <w:rPr>
                <w:b/>
                <w:bCs/>
              </w:rPr>
            </w:pPr>
            <w:r w:rsidRPr="00A93891">
              <w:rPr>
                <w:b/>
                <w:bCs/>
              </w:rPr>
              <w:t>Estimation of changes in use and financial impact of other medicines</w:t>
            </w:r>
          </w:p>
        </w:tc>
      </w:tr>
      <w:tr w:rsidR="00155995" w:rsidRPr="00A579DF" w:rsidTr="00FC26CD">
        <w:tc>
          <w:tcPr>
            <w:tcW w:w="2830" w:type="dxa"/>
            <w:shd w:val="clear" w:color="auto" w:fill="auto"/>
            <w:vAlign w:val="center"/>
          </w:tcPr>
          <w:p w:rsidR="00155995" w:rsidRDefault="00155995" w:rsidP="00825BEA">
            <w:pPr>
              <w:pStyle w:val="Tabletext"/>
              <w:keepNext/>
            </w:pPr>
            <w:r>
              <w:t>CZP,UST,SEC scripts</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r>
      <w:tr w:rsidR="00155995" w:rsidRPr="00A579DF" w:rsidTr="00FC26CD">
        <w:tc>
          <w:tcPr>
            <w:tcW w:w="2830" w:type="dxa"/>
            <w:shd w:val="clear" w:color="auto" w:fill="auto"/>
            <w:vAlign w:val="center"/>
          </w:tcPr>
          <w:p w:rsidR="00155995" w:rsidRPr="00C507DF" w:rsidRDefault="00155995" w:rsidP="00825BEA">
            <w:pPr>
              <w:pStyle w:val="Tabletext"/>
              <w:keepNext/>
              <w:ind w:left="109"/>
              <w:rPr>
                <w:color w:val="808080" w:themeColor="background1" w:themeShade="80"/>
              </w:rPr>
            </w:pPr>
            <w:r w:rsidRPr="00311E4F">
              <w:rPr>
                <w:color w:val="808080" w:themeColor="background1" w:themeShade="80"/>
              </w:rPr>
              <w:t>CZP scripts</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r>
      <w:tr w:rsidR="00155995" w:rsidRPr="00A579DF" w:rsidTr="00FC26CD">
        <w:tc>
          <w:tcPr>
            <w:tcW w:w="2830" w:type="dxa"/>
            <w:shd w:val="clear" w:color="auto" w:fill="auto"/>
            <w:vAlign w:val="center"/>
          </w:tcPr>
          <w:p w:rsidR="00155995" w:rsidRPr="00C507DF" w:rsidRDefault="00155995" w:rsidP="00825BEA">
            <w:pPr>
              <w:pStyle w:val="Tabletext"/>
              <w:keepNext/>
              <w:ind w:left="109"/>
              <w:rPr>
                <w:color w:val="808080" w:themeColor="background1" w:themeShade="80"/>
              </w:rPr>
            </w:pPr>
            <w:r w:rsidRPr="00311E4F">
              <w:rPr>
                <w:color w:val="808080" w:themeColor="background1" w:themeShade="80"/>
              </w:rPr>
              <w:t>UST scripts</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r>
      <w:tr w:rsidR="00155995" w:rsidRPr="00A579DF" w:rsidTr="00FC26CD">
        <w:tc>
          <w:tcPr>
            <w:tcW w:w="2830" w:type="dxa"/>
            <w:shd w:val="clear" w:color="auto" w:fill="auto"/>
            <w:vAlign w:val="center"/>
          </w:tcPr>
          <w:p w:rsidR="00155995" w:rsidRPr="00C507DF" w:rsidRDefault="00155995" w:rsidP="00825BEA">
            <w:pPr>
              <w:pStyle w:val="Tabletext"/>
              <w:keepNext/>
              <w:ind w:left="109"/>
              <w:rPr>
                <w:color w:val="808080" w:themeColor="background1" w:themeShade="80"/>
              </w:rPr>
            </w:pPr>
            <w:r w:rsidRPr="00311E4F">
              <w:rPr>
                <w:color w:val="808080" w:themeColor="background1" w:themeShade="80"/>
              </w:rPr>
              <w:t>SEC scripts</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39"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c>
          <w:tcPr>
            <w:tcW w:w="1040" w:type="dxa"/>
            <w:shd w:val="clear" w:color="auto" w:fill="auto"/>
            <w:vAlign w:val="bottom"/>
          </w:tcPr>
          <w:p w:rsidR="00155995" w:rsidRPr="00F26804" w:rsidRDefault="00F26804" w:rsidP="00825BEA">
            <w:pPr>
              <w:pStyle w:val="Tabletext"/>
              <w:keepNext/>
              <w:jc w:val="center"/>
              <w:rPr>
                <w:highlight w:val="black"/>
              </w:rPr>
            </w:pPr>
            <w:r>
              <w:rPr>
                <w:noProof/>
                <w:color w:val="000000"/>
                <w:highlight w:val="black"/>
              </w:rPr>
              <w:t>'''''''''''</w:t>
            </w:r>
          </w:p>
        </w:tc>
      </w:tr>
      <w:tr w:rsidR="00155995" w:rsidRPr="00A579DF" w:rsidTr="00FC26CD">
        <w:tc>
          <w:tcPr>
            <w:tcW w:w="2830" w:type="dxa"/>
            <w:shd w:val="clear" w:color="auto" w:fill="auto"/>
            <w:vAlign w:val="center"/>
          </w:tcPr>
          <w:p w:rsidR="00155995" w:rsidRPr="00B20F46" w:rsidRDefault="00155995" w:rsidP="00825BEA">
            <w:pPr>
              <w:pStyle w:val="Tabletext"/>
              <w:keepNext/>
              <w:rPr>
                <w:b/>
                <w:bCs/>
              </w:rPr>
            </w:pPr>
            <w:r>
              <w:t>CZP,UST,SEC cost to PBS/RPBS</w:t>
            </w:r>
          </w:p>
        </w:tc>
        <w:tc>
          <w:tcPr>
            <w:tcW w:w="1039" w:type="dxa"/>
            <w:shd w:val="clear" w:color="auto" w:fill="auto"/>
            <w:vAlign w:val="bottom"/>
          </w:tcPr>
          <w:p w:rsidR="00155995" w:rsidRPr="00B20F46" w:rsidRDefault="00155995" w:rsidP="00825BEA">
            <w:pPr>
              <w:pStyle w:val="Tabletext"/>
              <w:keepNext/>
              <w:jc w:val="center"/>
              <w:rPr>
                <w:b/>
                <w:bCs/>
              </w:rPr>
            </w:pPr>
            <w:r>
              <w:t>-</w:t>
            </w:r>
            <w:r w:rsidRPr="009C07DA">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t>-</w:t>
            </w:r>
            <w:r w:rsidRPr="009C07DA">
              <w:t>$</w:t>
            </w:r>
            <w:r w:rsidR="00F26804">
              <w:rPr>
                <w:noProof/>
                <w:color w:val="000000"/>
                <w:highlight w:val="black"/>
              </w:rPr>
              <w:t>'''''''''''''''''''''</w:t>
            </w:r>
          </w:p>
        </w:tc>
        <w:tc>
          <w:tcPr>
            <w:tcW w:w="1039" w:type="dxa"/>
            <w:shd w:val="clear" w:color="auto" w:fill="auto"/>
            <w:vAlign w:val="bottom"/>
          </w:tcPr>
          <w:p w:rsidR="00155995" w:rsidRPr="00B20F46" w:rsidRDefault="00155995" w:rsidP="00825BEA">
            <w:pPr>
              <w:pStyle w:val="Tabletext"/>
              <w:keepNext/>
              <w:jc w:val="center"/>
              <w:rPr>
                <w:b/>
                <w:bCs/>
              </w:rPr>
            </w:pPr>
            <w:r>
              <w:t>-</w:t>
            </w:r>
            <w:r w:rsidRPr="009C07DA">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t>-</w:t>
            </w:r>
            <w:r w:rsidRPr="009C07DA">
              <w:t>$</w:t>
            </w:r>
            <w:r w:rsidR="00F26804">
              <w:rPr>
                <w:noProof/>
                <w:color w:val="000000"/>
                <w:highlight w:val="black"/>
              </w:rPr>
              <w:t>'''''''''''''''''''''''</w:t>
            </w:r>
          </w:p>
        </w:tc>
        <w:tc>
          <w:tcPr>
            <w:tcW w:w="1039" w:type="dxa"/>
            <w:shd w:val="clear" w:color="auto" w:fill="auto"/>
            <w:vAlign w:val="bottom"/>
          </w:tcPr>
          <w:p w:rsidR="00155995" w:rsidRPr="00B20F46" w:rsidRDefault="00155995" w:rsidP="00825BEA">
            <w:pPr>
              <w:pStyle w:val="Tabletext"/>
              <w:keepNext/>
              <w:jc w:val="center"/>
              <w:rPr>
                <w:b/>
                <w:bCs/>
              </w:rPr>
            </w:pPr>
            <w:r>
              <w:t>-</w:t>
            </w:r>
            <w:r w:rsidRPr="009C07DA">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t>-</w:t>
            </w:r>
            <w:r w:rsidRPr="009C07DA">
              <w:t>$</w:t>
            </w:r>
            <w:r w:rsidR="00F26804">
              <w:rPr>
                <w:noProof/>
                <w:color w:val="000000"/>
                <w:highlight w:val="black"/>
              </w:rPr>
              <w:t>'''''''''''''''''''''''</w:t>
            </w:r>
          </w:p>
        </w:tc>
      </w:tr>
      <w:tr w:rsidR="00155995" w:rsidRPr="00A579DF" w:rsidTr="00FC26CD">
        <w:tc>
          <w:tcPr>
            <w:tcW w:w="2830" w:type="dxa"/>
            <w:shd w:val="clear" w:color="auto" w:fill="auto"/>
            <w:vAlign w:val="center"/>
          </w:tcPr>
          <w:p w:rsidR="00155995" w:rsidRPr="00C507DF" w:rsidRDefault="00155995" w:rsidP="00825BEA">
            <w:pPr>
              <w:pStyle w:val="Tabletext"/>
              <w:keepNext/>
              <w:ind w:left="109"/>
              <w:rPr>
                <w:color w:val="808080" w:themeColor="background1" w:themeShade="80"/>
              </w:rPr>
            </w:pPr>
            <w:r>
              <w:rPr>
                <w:color w:val="808080" w:themeColor="background1" w:themeShade="80"/>
              </w:rPr>
              <w:t>CZP cost</w:t>
            </w:r>
          </w:p>
        </w:tc>
        <w:tc>
          <w:tcPr>
            <w:tcW w:w="1039"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39"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39"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r>
      <w:tr w:rsidR="00155995" w:rsidRPr="00A579DF" w:rsidTr="00FC26CD">
        <w:tc>
          <w:tcPr>
            <w:tcW w:w="2830" w:type="dxa"/>
            <w:shd w:val="clear" w:color="auto" w:fill="auto"/>
            <w:vAlign w:val="center"/>
          </w:tcPr>
          <w:p w:rsidR="00155995" w:rsidRPr="00C507DF" w:rsidRDefault="00155995" w:rsidP="00825BEA">
            <w:pPr>
              <w:pStyle w:val="Tabletext"/>
              <w:keepNext/>
              <w:ind w:left="109"/>
              <w:rPr>
                <w:color w:val="808080" w:themeColor="background1" w:themeShade="80"/>
              </w:rPr>
            </w:pPr>
            <w:r w:rsidRPr="00311E4F">
              <w:rPr>
                <w:color w:val="808080" w:themeColor="background1" w:themeShade="80"/>
              </w:rPr>
              <w:t xml:space="preserve">UST </w:t>
            </w:r>
            <w:r>
              <w:rPr>
                <w:color w:val="808080" w:themeColor="background1" w:themeShade="80"/>
              </w:rPr>
              <w:t>cost</w:t>
            </w:r>
          </w:p>
        </w:tc>
        <w:tc>
          <w:tcPr>
            <w:tcW w:w="1039"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39"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39"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r>
      <w:tr w:rsidR="00155995" w:rsidRPr="00A579DF" w:rsidTr="00FC26CD">
        <w:tc>
          <w:tcPr>
            <w:tcW w:w="2830" w:type="dxa"/>
            <w:shd w:val="clear" w:color="auto" w:fill="auto"/>
            <w:vAlign w:val="center"/>
          </w:tcPr>
          <w:p w:rsidR="00155995" w:rsidRPr="00C507DF" w:rsidRDefault="00155995" w:rsidP="00825BEA">
            <w:pPr>
              <w:pStyle w:val="Tabletext"/>
              <w:keepNext/>
              <w:ind w:left="109"/>
              <w:rPr>
                <w:color w:val="808080" w:themeColor="background1" w:themeShade="80"/>
              </w:rPr>
            </w:pPr>
            <w:r w:rsidRPr="00311E4F">
              <w:rPr>
                <w:color w:val="808080" w:themeColor="background1" w:themeShade="80"/>
              </w:rPr>
              <w:t xml:space="preserve">SEC </w:t>
            </w:r>
            <w:r>
              <w:rPr>
                <w:color w:val="808080" w:themeColor="background1" w:themeShade="80"/>
              </w:rPr>
              <w:t>cost</w:t>
            </w:r>
          </w:p>
        </w:tc>
        <w:tc>
          <w:tcPr>
            <w:tcW w:w="1039"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39"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39"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rPr>
                <w:color w:val="808080" w:themeColor="background1" w:themeShade="80"/>
              </w:rPr>
              <w:t>-</w:t>
            </w:r>
            <w:r w:rsidRPr="00235785">
              <w:rPr>
                <w:color w:val="808080" w:themeColor="background1" w:themeShade="80"/>
              </w:rPr>
              <w:t>$</w:t>
            </w:r>
            <w:r w:rsidR="00F26804">
              <w:rPr>
                <w:noProof/>
                <w:color w:val="000000"/>
                <w:highlight w:val="black"/>
              </w:rPr>
              <w:t>''''''''''''''''''''''''</w:t>
            </w:r>
          </w:p>
        </w:tc>
      </w:tr>
      <w:tr w:rsidR="00155995" w:rsidRPr="00A579DF" w:rsidTr="00FC26CD">
        <w:tc>
          <w:tcPr>
            <w:tcW w:w="2830" w:type="dxa"/>
            <w:shd w:val="clear" w:color="auto" w:fill="auto"/>
            <w:vAlign w:val="center"/>
          </w:tcPr>
          <w:p w:rsidR="00155995" w:rsidRPr="00B20F46" w:rsidRDefault="00155995" w:rsidP="00825BEA">
            <w:pPr>
              <w:pStyle w:val="Tabletext"/>
              <w:keepNext/>
              <w:rPr>
                <w:b/>
                <w:bCs/>
              </w:rPr>
            </w:pPr>
            <w:r>
              <w:t xml:space="preserve">CZP,UST,SEC patient co-payment </w:t>
            </w:r>
          </w:p>
        </w:tc>
        <w:tc>
          <w:tcPr>
            <w:tcW w:w="1039" w:type="dxa"/>
            <w:shd w:val="clear" w:color="auto" w:fill="auto"/>
            <w:vAlign w:val="bottom"/>
          </w:tcPr>
          <w:p w:rsidR="00155995" w:rsidRPr="00B20F46" w:rsidRDefault="00155995" w:rsidP="00825BEA">
            <w:pPr>
              <w:pStyle w:val="Tabletext"/>
              <w:keepNext/>
              <w:jc w:val="center"/>
              <w:rPr>
                <w:b/>
                <w:bCs/>
              </w:rPr>
            </w:pPr>
            <w:r>
              <w:t>-</w:t>
            </w:r>
            <w:r w:rsidRPr="009C07DA">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t>-</w:t>
            </w:r>
            <w:r w:rsidRPr="009C07DA">
              <w:t>$</w:t>
            </w:r>
            <w:r w:rsidR="00F26804">
              <w:rPr>
                <w:noProof/>
                <w:color w:val="000000"/>
                <w:highlight w:val="black"/>
              </w:rPr>
              <w:t>''''''''''''''''''</w:t>
            </w:r>
          </w:p>
        </w:tc>
        <w:tc>
          <w:tcPr>
            <w:tcW w:w="1039" w:type="dxa"/>
            <w:shd w:val="clear" w:color="auto" w:fill="auto"/>
            <w:vAlign w:val="bottom"/>
          </w:tcPr>
          <w:p w:rsidR="00155995" w:rsidRPr="00B20F46" w:rsidRDefault="00155995" w:rsidP="00825BEA">
            <w:pPr>
              <w:pStyle w:val="Tabletext"/>
              <w:keepNext/>
              <w:jc w:val="center"/>
              <w:rPr>
                <w:b/>
                <w:bCs/>
              </w:rPr>
            </w:pPr>
            <w:r>
              <w:t>-</w:t>
            </w:r>
            <w:r w:rsidRPr="009C07DA">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t>-</w:t>
            </w:r>
            <w:r w:rsidRPr="009C07DA">
              <w:t>$</w:t>
            </w:r>
            <w:r w:rsidR="00F26804">
              <w:rPr>
                <w:noProof/>
                <w:color w:val="000000"/>
                <w:highlight w:val="black"/>
              </w:rPr>
              <w:t>'''''''''''''''''</w:t>
            </w:r>
          </w:p>
        </w:tc>
        <w:tc>
          <w:tcPr>
            <w:tcW w:w="1039" w:type="dxa"/>
            <w:shd w:val="clear" w:color="auto" w:fill="auto"/>
            <w:vAlign w:val="bottom"/>
          </w:tcPr>
          <w:p w:rsidR="00155995" w:rsidRPr="00B20F46" w:rsidRDefault="00155995" w:rsidP="00825BEA">
            <w:pPr>
              <w:pStyle w:val="Tabletext"/>
              <w:keepNext/>
              <w:jc w:val="center"/>
              <w:rPr>
                <w:b/>
                <w:bCs/>
              </w:rPr>
            </w:pPr>
            <w:r>
              <w:t>-</w:t>
            </w:r>
            <w:r w:rsidRPr="009C07DA">
              <w:t>$</w:t>
            </w:r>
            <w:r w:rsidR="00F26804">
              <w:rPr>
                <w:noProof/>
                <w:color w:val="000000"/>
                <w:highlight w:val="black"/>
              </w:rPr>
              <w:t>'''''''''''''''''</w:t>
            </w:r>
          </w:p>
        </w:tc>
        <w:tc>
          <w:tcPr>
            <w:tcW w:w="1040" w:type="dxa"/>
            <w:shd w:val="clear" w:color="auto" w:fill="auto"/>
            <w:vAlign w:val="bottom"/>
          </w:tcPr>
          <w:p w:rsidR="00155995" w:rsidRPr="00B20F46" w:rsidRDefault="00155995" w:rsidP="00825BEA">
            <w:pPr>
              <w:pStyle w:val="Tabletext"/>
              <w:keepNext/>
              <w:jc w:val="center"/>
              <w:rPr>
                <w:b/>
                <w:bCs/>
              </w:rPr>
            </w:pPr>
            <w:r>
              <w:t>-</w:t>
            </w:r>
            <w:r w:rsidRPr="009C07DA">
              <w:t>$</w:t>
            </w:r>
            <w:r w:rsidR="00F26804">
              <w:rPr>
                <w:noProof/>
                <w:color w:val="000000"/>
                <w:highlight w:val="black"/>
              </w:rPr>
              <w:t>''''''''''''''''</w:t>
            </w:r>
          </w:p>
        </w:tc>
      </w:tr>
      <w:tr w:rsidR="00155995" w:rsidRPr="00A579DF" w:rsidTr="00FC26CD">
        <w:tc>
          <w:tcPr>
            <w:tcW w:w="2830" w:type="dxa"/>
            <w:shd w:val="clear" w:color="auto" w:fill="auto"/>
            <w:vAlign w:val="center"/>
          </w:tcPr>
          <w:p w:rsidR="00155995" w:rsidRPr="00407111" w:rsidRDefault="00155995" w:rsidP="00825BEA">
            <w:pPr>
              <w:pStyle w:val="Tabletext"/>
              <w:keepNext/>
            </w:pPr>
            <w:r w:rsidRPr="00407111">
              <w:t xml:space="preserve">CZP,UST,SEC net </w:t>
            </w:r>
            <w:r>
              <w:t>cost to P</w:t>
            </w:r>
            <w:r w:rsidRPr="00407111">
              <w:t>BS/RPBS</w:t>
            </w:r>
          </w:p>
        </w:tc>
        <w:tc>
          <w:tcPr>
            <w:tcW w:w="1039" w:type="dxa"/>
            <w:shd w:val="clear" w:color="auto" w:fill="auto"/>
            <w:vAlign w:val="center"/>
          </w:tcPr>
          <w:p w:rsidR="00155995" w:rsidRPr="00407111" w:rsidRDefault="00155995" w:rsidP="00825BEA">
            <w:pPr>
              <w:pStyle w:val="Tabletext"/>
              <w:keepNext/>
              <w:jc w:val="center"/>
            </w:pPr>
            <w:r w:rsidRPr="00407111">
              <w:t>-$</w:t>
            </w:r>
            <w:r w:rsidR="00F26804">
              <w:rPr>
                <w:noProof/>
                <w:color w:val="000000"/>
                <w:highlight w:val="black"/>
              </w:rPr>
              <w:t>''''''''''''''''''''''</w:t>
            </w:r>
          </w:p>
        </w:tc>
        <w:tc>
          <w:tcPr>
            <w:tcW w:w="1040" w:type="dxa"/>
            <w:shd w:val="clear" w:color="auto" w:fill="auto"/>
            <w:vAlign w:val="center"/>
          </w:tcPr>
          <w:p w:rsidR="00155995" w:rsidRPr="00407111" w:rsidRDefault="00155995" w:rsidP="00825BEA">
            <w:pPr>
              <w:pStyle w:val="Tabletext"/>
              <w:keepNext/>
              <w:jc w:val="center"/>
            </w:pPr>
            <w:r w:rsidRPr="00407111">
              <w:t>-$</w:t>
            </w:r>
            <w:r w:rsidR="00F26804">
              <w:rPr>
                <w:noProof/>
                <w:color w:val="000000"/>
                <w:highlight w:val="black"/>
              </w:rPr>
              <w:t>''''''''''''''''''''''''''</w:t>
            </w:r>
          </w:p>
        </w:tc>
        <w:tc>
          <w:tcPr>
            <w:tcW w:w="1039" w:type="dxa"/>
            <w:shd w:val="clear" w:color="auto" w:fill="auto"/>
            <w:vAlign w:val="center"/>
          </w:tcPr>
          <w:p w:rsidR="00155995" w:rsidRPr="00407111" w:rsidRDefault="00155995" w:rsidP="00825BEA">
            <w:pPr>
              <w:pStyle w:val="Tabletext"/>
              <w:keepNext/>
              <w:jc w:val="center"/>
            </w:pPr>
            <w:r w:rsidRPr="00407111">
              <w:t>-$</w:t>
            </w:r>
            <w:r w:rsidR="00F26804">
              <w:rPr>
                <w:noProof/>
                <w:color w:val="000000"/>
                <w:highlight w:val="black"/>
              </w:rPr>
              <w:t>''''''''''''''''''''''</w:t>
            </w:r>
          </w:p>
        </w:tc>
        <w:tc>
          <w:tcPr>
            <w:tcW w:w="1040" w:type="dxa"/>
            <w:shd w:val="clear" w:color="auto" w:fill="auto"/>
            <w:vAlign w:val="center"/>
          </w:tcPr>
          <w:p w:rsidR="00155995" w:rsidRPr="00407111" w:rsidRDefault="00155995" w:rsidP="00825BEA">
            <w:pPr>
              <w:pStyle w:val="Tabletext"/>
              <w:keepNext/>
              <w:jc w:val="center"/>
            </w:pPr>
            <w:r w:rsidRPr="00407111">
              <w:t>-$</w:t>
            </w:r>
            <w:r w:rsidR="00F26804">
              <w:rPr>
                <w:noProof/>
                <w:color w:val="000000"/>
                <w:highlight w:val="black"/>
              </w:rPr>
              <w:t>'''''''''''''''''''''''''</w:t>
            </w:r>
          </w:p>
        </w:tc>
        <w:tc>
          <w:tcPr>
            <w:tcW w:w="1039" w:type="dxa"/>
            <w:shd w:val="clear" w:color="auto" w:fill="auto"/>
            <w:vAlign w:val="center"/>
          </w:tcPr>
          <w:p w:rsidR="00155995" w:rsidRPr="00407111" w:rsidRDefault="00155995" w:rsidP="00825BEA">
            <w:pPr>
              <w:pStyle w:val="Tabletext"/>
              <w:keepNext/>
              <w:jc w:val="center"/>
            </w:pPr>
            <w:r w:rsidRPr="00407111">
              <w:t>-$</w:t>
            </w:r>
            <w:r w:rsidR="00F26804">
              <w:rPr>
                <w:noProof/>
                <w:color w:val="000000"/>
                <w:highlight w:val="black"/>
              </w:rPr>
              <w:t>'''''''''''''''''''''''</w:t>
            </w:r>
          </w:p>
        </w:tc>
        <w:tc>
          <w:tcPr>
            <w:tcW w:w="1040" w:type="dxa"/>
            <w:shd w:val="clear" w:color="auto" w:fill="auto"/>
            <w:vAlign w:val="center"/>
          </w:tcPr>
          <w:p w:rsidR="00155995" w:rsidRPr="00407111" w:rsidRDefault="00155995" w:rsidP="00825BEA">
            <w:pPr>
              <w:pStyle w:val="Tabletext"/>
              <w:keepNext/>
              <w:jc w:val="center"/>
            </w:pPr>
            <w:r w:rsidRPr="00407111">
              <w:t>-$</w:t>
            </w:r>
            <w:r w:rsidR="00F26804">
              <w:rPr>
                <w:noProof/>
                <w:color w:val="000000"/>
                <w:highlight w:val="black"/>
              </w:rPr>
              <w:t>''''''''''''''''''''''''</w:t>
            </w:r>
          </w:p>
        </w:tc>
      </w:tr>
      <w:tr w:rsidR="00155995" w:rsidRPr="00A93891" w:rsidTr="00FC26CD">
        <w:tc>
          <w:tcPr>
            <w:tcW w:w="9067" w:type="dxa"/>
            <w:gridSpan w:val="7"/>
            <w:shd w:val="clear" w:color="auto" w:fill="auto"/>
            <w:vAlign w:val="center"/>
          </w:tcPr>
          <w:p w:rsidR="00155995" w:rsidRPr="00407111" w:rsidRDefault="00155995" w:rsidP="00B23D0A">
            <w:pPr>
              <w:pStyle w:val="Tabletext"/>
              <w:keepNext/>
              <w:rPr>
                <w:b/>
                <w:bCs/>
              </w:rPr>
            </w:pPr>
            <w:r w:rsidRPr="00407111">
              <w:rPr>
                <w:b/>
                <w:bCs/>
              </w:rPr>
              <w:t>Estimated financial implicati</w:t>
            </w:r>
            <w:r>
              <w:rPr>
                <w:b/>
                <w:bCs/>
              </w:rPr>
              <w:t xml:space="preserve">ons for the PBS/RPBS </w:t>
            </w:r>
          </w:p>
        </w:tc>
      </w:tr>
      <w:tr w:rsidR="00155995" w:rsidRPr="00A93891" w:rsidTr="00FC26CD">
        <w:tc>
          <w:tcPr>
            <w:tcW w:w="2830" w:type="dxa"/>
            <w:shd w:val="clear" w:color="auto" w:fill="auto"/>
            <w:vAlign w:val="center"/>
          </w:tcPr>
          <w:p w:rsidR="00155995" w:rsidRPr="00407111" w:rsidRDefault="00155995" w:rsidP="00825BEA">
            <w:pPr>
              <w:pStyle w:val="Tabletext"/>
              <w:keepNext/>
            </w:pPr>
            <w:r w:rsidRPr="00407111">
              <w:t>Net cost to PBS/RPBS</w:t>
            </w:r>
          </w:p>
        </w:tc>
        <w:tc>
          <w:tcPr>
            <w:tcW w:w="1039" w:type="dxa"/>
            <w:shd w:val="clear" w:color="auto" w:fill="auto"/>
            <w:vAlign w:val="bottom"/>
          </w:tcPr>
          <w:p w:rsidR="00155995" w:rsidRPr="00407111" w:rsidRDefault="00155995" w:rsidP="00825BEA">
            <w:pPr>
              <w:pStyle w:val="Tabletext"/>
              <w:keepNext/>
              <w:jc w:val="center"/>
            </w:pPr>
            <w:r w:rsidRPr="00407111">
              <w:t>-$</w:t>
            </w:r>
            <w:r w:rsidR="00F26804">
              <w:rPr>
                <w:noProof/>
                <w:color w:val="000000"/>
                <w:highlight w:val="black"/>
              </w:rPr>
              <w:t>'''''''''''''''''''</w:t>
            </w:r>
          </w:p>
        </w:tc>
        <w:tc>
          <w:tcPr>
            <w:tcW w:w="1040" w:type="dxa"/>
            <w:shd w:val="clear" w:color="auto" w:fill="auto"/>
            <w:vAlign w:val="bottom"/>
          </w:tcPr>
          <w:p w:rsidR="00155995" w:rsidRPr="00407111" w:rsidRDefault="00155995" w:rsidP="00825BEA">
            <w:pPr>
              <w:pStyle w:val="Tabletext"/>
              <w:keepNext/>
              <w:jc w:val="center"/>
            </w:pPr>
            <w:r w:rsidRPr="00407111">
              <w:t>-$</w:t>
            </w:r>
            <w:r w:rsidR="00F26804">
              <w:rPr>
                <w:noProof/>
                <w:color w:val="000000"/>
                <w:highlight w:val="black"/>
              </w:rPr>
              <w:t>'''''''''''''''''</w:t>
            </w:r>
          </w:p>
        </w:tc>
        <w:tc>
          <w:tcPr>
            <w:tcW w:w="1039" w:type="dxa"/>
            <w:shd w:val="clear" w:color="auto" w:fill="auto"/>
            <w:vAlign w:val="bottom"/>
          </w:tcPr>
          <w:p w:rsidR="00155995" w:rsidRPr="00407111" w:rsidRDefault="00155995" w:rsidP="00825BEA">
            <w:pPr>
              <w:pStyle w:val="Tabletext"/>
              <w:keepNext/>
              <w:jc w:val="center"/>
            </w:pPr>
            <w:r w:rsidRPr="00407111">
              <w:t>-$</w:t>
            </w:r>
            <w:r w:rsidR="00F26804">
              <w:rPr>
                <w:noProof/>
                <w:color w:val="000000"/>
                <w:highlight w:val="black"/>
              </w:rPr>
              <w:t>''''''''''''''''''''</w:t>
            </w:r>
          </w:p>
        </w:tc>
        <w:tc>
          <w:tcPr>
            <w:tcW w:w="1040" w:type="dxa"/>
            <w:shd w:val="clear" w:color="auto" w:fill="auto"/>
            <w:vAlign w:val="bottom"/>
          </w:tcPr>
          <w:p w:rsidR="00155995" w:rsidRPr="00407111" w:rsidRDefault="00155995" w:rsidP="00825BEA">
            <w:pPr>
              <w:pStyle w:val="Tabletext"/>
              <w:keepNext/>
              <w:jc w:val="center"/>
            </w:pPr>
            <w:r w:rsidRPr="00407111">
              <w:t>-$</w:t>
            </w:r>
            <w:r w:rsidR="00F26804">
              <w:rPr>
                <w:noProof/>
                <w:color w:val="000000"/>
                <w:highlight w:val="black"/>
              </w:rPr>
              <w:t>'''''''''''''''''''</w:t>
            </w:r>
          </w:p>
        </w:tc>
        <w:tc>
          <w:tcPr>
            <w:tcW w:w="1039" w:type="dxa"/>
            <w:shd w:val="clear" w:color="auto" w:fill="auto"/>
            <w:vAlign w:val="bottom"/>
          </w:tcPr>
          <w:p w:rsidR="00155995" w:rsidRPr="00407111" w:rsidRDefault="00155995" w:rsidP="00825BEA">
            <w:pPr>
              <w:pStyle w:val="Tabletext"/>
              <w:keepNext/>
              <w:jc w:val="center"/>
            </w:pPr>
            <w:r w:rsidRPr="00407111">
              <w:t>-$</w:t>
            </w:r>
            <w:r w:rsidR="00F26804">
              <w:rPr>
                <w:noProof/>
                <w:color w:val="000000"/>
                <w:highlight w:val="black"/>
              </w:rPr>
              <w:t>''''''''''''''''''''</w:t>
            </w:r>
          </w:p>
        </w:tc>
        <w:tc>
          <w:tcPr>
            <w:tcW w:w="1040" w:type="dxa"/>
            <w:shd w:val="clear" w:color="auto" w:fill="auto"/>
            <w:vAlign w:val="bottom"/>
          </w:tcPr>
          <w:p w:rsidR="00155995" w:rsidRPr="00407111" w:rsidRDefault="00155995" w:rsidP="00825BEA">
            <w:pPr>
              <w:pStyle w:val="Tabletext"/>
              <w:keepNext/>
              <w:jc w:val="center"/>
            </w:pPr>
            <w:r w:rsidRPr="00407111">
              <w:t>-$</w:t>
            </w:r>
            <w:r w:rsidR="00F26804">
              <w:rPr>
                <w:noProof/>
                <w:color w:val="000000"/>
                <w:highlight w:val="black"/>
              </w:rPr>
              <w:t>''''''''''''''''''''''''''</w:t>
            </w:r>
          </w:p>
        </w:tc>
      </w:tr>
      <w:tr w:rsidR="00155995" w:rsidRPr="00A93891" w:rsidTr="00FC26CD">
        <w:tc>
          <w:tcPr>
            <w:tcW w:w="9067" w:type="dxa"/>
            <w:gridSpan w:val="7"/>
            <w:shd w:val="clear" w:color="auto" w:fill="auto"/>
            <w:vAlign w:val="center"/>
          </w:tcPr>
          <w:p w:rsidR="00155995" w:rsidRPr="00272FFA" w:rsidRDefault="00155995" w:rsidP="00825BEA">
            <w:pPr>
              <w:pStyle w:val="Tabletext"/>
              <w:keepNext/>
              <w:rPr>
                <w:b/>
                <w:bCs/>
              </w:rPr>
            </w:pPr>
            <w:r w:rsidRPr="00272FFA">
              <w:rPr>
                <w:b/>
                <w:bCs/>
              </w:rPr>
              <w:t>Estimated financial implications for the</w:t>
            </w:r>
            <w:r>
              <w:rPr>
                <w:b/>
                <w:bCs/>
              </w:rPr>
              <w:t xml:space="preserve"> health budget</w:t>
            </w:r>
          </w:p>
        </w:tc>
      </w:tr>
      <w:tr w:rsidR="00155995" w:rsidRPr="00A93891" w:rsidTr="00FC26CD">
        <w:tc>
          <w:tcPr>
            <w:tcW w:w="2830" w:type="dxa"/>
            <w:shd w:val="clear" w:color="auto" w:fill="auto"/>
            <w:vAlign w:val="center"/>
          </w:tcPr>
          <w:p w:rsidR="00155995" w:rsidRPr="00A93891" w:rsidRDefault="00155995" w:rsidP="00825BEA">
            <w:pPr>
              <w:pStyle w:val="Tabletext"/>
              <w:keepNext/>
            </w:pPr>
            <w:r>
              <w:t>Administration of ABA IV infusion</w:t>
            </w:r>
          </w:p>
        </w:tc>
        <w:tc>
          <w:tcPr>
            <w:tcW w:w="1039" w:type="dxa"/>
            <w:shd w:val="clear" w:color="auto" w:fill="auto"/>
            <w:vAlign w:val="center"/>
          </w:tcPr>
          <w:p w:rsidR="00155995" w:rsidRPr="00A93891" w:rsidRDefault="00155995" w:rsidP="00825BEA">
            <w:pPr>
              <w:pStyle w:val="Tabletext"/>
              <w:keepNext/>
              <w:jc w:val="center"/>
            </w:pPr>
            <w:r w:rsidRPr="00502119">
              <w:t>$</w:t>
            </w:r>
            <w:r w:rsidR="00F26804">
              <w:rPr>
                <w:noProof/>
                <w:color w:val="000000"/>
                <w:highlight w:val="black"/>
              </w:rPr>
              <w:t>'''''''''''''''</w:t>
            </w:r>
          </w:p>
        </w:tc>
        <w:tc>
          <w:tcPr>
            <w:tcW w:w="1040" w:type="dxa"/>
            <w:shd w:val="clear" w:color="auto" w:fill="auto"/>
            <w:vAlign w:val="center"/>
          </w:tcPr>
          <w:p w:rsidR="00155995" w:rsidRPr="00A93891" w:rsidRDefault="00155995" w:rsidP="00825BEA">
            <w:pPr>
              <w:pStyle w:val="Tabletext"/>
              <w:keepNext/>
              <w:jc w:val="center"/>
            </w:pPr>
            <w:r w:rsidRPr="00502119">
              <w:t>$</w:t>
            </w:r>
            <w:r w:rsidR="00F26804">
              <w:rPr>
                <w:noProof/>
                <w:color w:val="000000"/>
                <w:highlight w:val="black"/>
              </w:rPr>
              <w:t>'''''''''''''''''</w:t>
            </w:r>
          </w:p>
        </w:tc>
        <w:tc>
          <w:tcPr>
            <w:tcW w:w="1039" w:type="dxa"/>
            <w:shd w:val="clear" w:color="auto" w:fill="auto"/>
            <w:vAlign w:val="center"/>
          </w:tcPr>
          <w:p w:rsidR="00155995" w:rsidRPr="00A93891" w:rsidRDefault="00155995" w:rsidP="00825BEA">
            <w:pPr>
              <w:pStyle w:val="Tabletext"/>
              <w:keepNext/>
              <w:jc w:val="center"/>
            </w:pPr>
            <w:r w:rsidRPr="00502119">
              <w:t>$</w:t>
            </w:r>
            <w:r w:rsidR="00F26804">
              <w:rPr>
                <w:noProof/>
                <w:color w:val="000000"/>
                <w:highlight w:val="black"/>
              </w:rPr>
              <w:t>''''''''''''''''</w:t>
            </w:r>
          </w:p>
        </w:tc>
        <w:tc>
          <w:tcPr>
            <w:tcW w:w="1040" w:type="dxa"/>
            <w:shd w:val="clear" w:color="auto" w:fill="auto"/>
            <w:vAlign w:val="center"/>
          </w:tcPr>
          <w:p w:rsidR="00155995" w:rsidRPr="00A93891" w:rsidRDefault="00155995" w:rsidP="00825BEA">
            <w:pPr>
              <w:pStyle w:val="Tabletext"/>
              <w:keepNext/>
              <w:jc w:val="center"/>
            </w:pPr>
            <w:r w:rsidRPr="00502119">
              <w:t>$</w:t>
            </w:r>
            <w:r w:rsidR="00F26804">
              <w:rPr>
                <w:noProof/>
                <w:color w:val="000000"/>
                <w:highlight w:val="black"/>
              </w:rPr>
              <w:t>'''''''''''''''</w:t>
            </w:r>
          </w:p>
        </w:tc>
        <w:tc>
          <w:tcPr>
            <w:tcW w:w="1039" w:type="dxa"/>
            <w:shd w:val="clear" w:color="auto" w:fill="auto"/>
            <w:vAlign w:val="center"/>
          </w:tcPr>
          <w:p w:rsidR="00155995" w:rsidRPr="00A93891" w:rsidRDefault="00155995" w:rsidP="00825BEA">
            <w:pPr>
              <w:pStyle w:val="Tabletext"/>
              <w:keepNext/>
              <w:jc w:val="center"/>
            </w:pPr>
            <w:r w:rsidRPr="00502119">
              <w:t>$</w:t>
            </w:r>
            <w:r w:rsidR="00F26804">
              <w:rPr>
                <w:noProof/>
                <w:color w:val="000000"/>
                <w:highlight w:val="black"/>
              </w:rPr>
              <w:t>''''''''''''''''''''''</w:t>
            </w:r>
          </w:p>
        </w:tc>
        <w:tc>
          <w:tcPr>
            <w:tcW w:w="1040" w:type="dxa"/>
            <w:shd w:val="clear" w:color="auto" w:fill="auto"/>
            <w:vAlign w:val="center"/>
          </w:tcPr>
          <w:p w:rsidR="00155995" w:rsidRPr="00A93891" w:rsidRDefault="00155995" w:rsidP="00825BEA">
            <w:pPr>
              <w:pStyle w:val="Tabletext"/>
              <w:keepNext/>
              <w:jc w:val="center"/>
            </w:pPr>
            <w:r w:rsidRPr="00502119">
              <w:t>$</w:t>
            </w:r>
            <w:r w:rsidR="00F26804">
              <w:rPr>
                <w:noProof/>
                <w:color w:val="000000"/>
                <w:highlight w:val="black"/>
              </w:rPr>
              <w:t>'''''''''''''''''''''</w:t>
            </w:r>
          </w:p>
        </w:tc>
      </w:tr>
      <w:tr w:rsidR="00155995" w:rsidRPr="00A93891" w:rsidTr="00FC26CD">
        <w:tc>
          <w:tcPr>
            <w:tcW w:w="2830" w:type="dxa"/>
            <w:shd w:val="clear" w:color="auto" w:fill="auto"/>
            <w:vAlign w:val="center"/>
          </w:tcPr>
          <w:p w:rsidR="00155995" w:rsidRPr="00272FFA" w:rsidRDefault="00155995" w:rsidP="00825BEA">
            <w:pPr>
              <w:pStyle w:val="Tabletext"/>
              <w:keepNext/>
            </w:pPr>
            <w:r w:rsidRPr="00272FFA">
              <w:t>Net cost to health budget</w:t>
            </w:r>
          </w:p>
        </w:tc>
        <w:tc>
          <w:tcPr>
            <w:tcW w:w="1039" w:type="dxa"/>
            <w:shd w:val="clear" w:color="auto" w:fill="auto"/>
            <w:vAlign w:val="center"/>
          </w:tcPr>
          <w:p w:rsidR="00155995" w:rsidRPr="00272FFA" w:rsidRDefault="00155995" w:rsidP="00825BEA">
            <w:pPr>
              <w:pStyle w:val="Tabletext"/>
              <w:keepNext/>
              <w:jc w:val="center"/>
            </w:pPr>
            <w:r w:rsidRPr="00272FFA">
              <w:t>-$</w:t>
            </w:r>
            <w:r w:rsidR="00F26804">
              <w:rPr>
                <w:noProof/>
                <w:color w:val="000000"/>
                <w:highlight w:val="black"/>
              </w:rPr>
              <w:t>''''''''''''''''''''</w:t>
            </w:r>
          </w:p>
        </w:tc>
        <w:tc>
          <w:tcPr>
            <w:tcW w:w="1040" w:type="dxa"/>
            <w:shd w:val="clear" w:color="auto" w:fill="auto"/>
            <w:vAlign w:val="center"/>
          </w:tcPr>
          <w:p w:rsidR="00155995" w:rsidRPr="00272FFA" w:rsidRDefault="00155995" w:rsidP="00825BEA">
            <w:pPr>
              <w:pStyle w:val="Tabletext"/>
              <w:keepNext/>
              <w:jc w:val="center"/>
            </w:pPr>
            <w:r w:rsidRPr="00272FFA">
              <w:t>-$</w:t>
            </w:r>
            <w:r w:rsidR="00F26804">
              <w:rPr>
                <w:noProof/>
                <w:color w:val="000000"/>
                <w:highlight w:val="black"/>
              </w:rPr>
              <w:t>''''''''''''''''''</w:t>
            </w:r>
          </w:p>
        </w:tc>
        <w:tc>
          <w:tcPr>
            <w:tcW w:w="1039" w:type="dxa"/>
            <w:shd w:val="clear" w:color="auto" w:fill="auto"/>
            <w:vAlign w:val="center"/>
          </w:tcPr>
          <w:p w:rsidR="00155995" w:rsidRPr="00272FFA" w:rsidRDefault="00155995" w:rsidP="00825BEA">
            <w:pPr>
              <w:pStyle w:val="Tabletext"/>
              <w:keepNext/>
              <w:jc w:val="center"/>
            </w:pPr>
            <w:r w:rsidRPr="00272FFA">
              <w:t>-$</w:t>
            </w:r>
            <w:r w:rsidR="00F26804">
              <w:rPr>
                <w:noProof/>
                <w:color w:val="000000"/>
                <w:highlight w:val="black"/>
              </w:rPr>
              <w:t>'''''''''''''''''''</w:t>
            </w:r>
          </w:p>
        </w:tc>
        <w:tc>
          <w:tcPr>
            <w:tcW w:w="1040" w:type="dxa"/>
            <w:shd w:val="clear" w:color="auto" w:fill="auto"/>
            <w:vAlign w:val="center"/>
          </w:tcPr>
          <w:p w:rsidR="00155995" w:rsidRPr="00272FFA" w:rsidRDefault="00155995" w:rsidP="00825BEA">
            <w:pPr>
              <w:pStyle w:val="Tabletext"/>
              <w:keepNext/>
              <w:jc w:val="center"/>
            </w:pPr>
            <w:r w:rsidRPr="00272FFA">
              <w:t>-$</w:t>
            </w:r>
            <w:r w:rsidR="00F26804">
              <w:rPr>
                <w:noProof/>
                <w:color w:val="000000"/>
                <w:highlight w:val="black"/>
              </w:rPr>
              <w:t>''''''''''''''''''''</w:t>
            </w:r>
          </w:p>
        </w:tc>
        <w:tc>
          <w:tcPr>
            <w:tcW w:w="1039" w:type="dxa"/>
            <w:shd w:val="clear" w:color="auto" w:fill="auto"/>
            <w:vAlign w:val="center"/>
          </w:tcPr>
          <w:p w:rsidR="00155995" w:rsidRPr="00272FFA" w:rsidRDefault="00155995" w:rsidP="00825BEA">
            <w:pPr>
              <w:pStyle w:val="Tabletext"/>
              <w:keepNext/>
              <w:jc w:val="center"/>
            </w:pPr>
            <w:r w:rsidRPr="00272FFA">
              <w:t>-$</w:t>
            </w:r>
            <w:r w:rsidR="00F26804">
              <w:rPr>
                <w:noProof/>
                <w:color w:val="000000"/>
                <w:highlight w:val="black"/>
              </w:rPr>
              <w:t>'''''''''''''''''''''</w:t>
            </w:r>
          </w:p>
        </w:tc>
        <w:tc>
          <w:tcPr>
            <w:tcW w:w="1040" w:type="dxa"/>
            <w:shd w:val="clear" w:color="auto" w:fill="auto"/>
            <w:vAlign w:val="center"/>
          </w:tcPr>
          <w:p w:rsidR="00155995" w:rsidRPr="00272FFA" w:rsidRDefault="00155995" w:rsidP="00825BEA">
            <w:pPr>
              <w:pStyle w:val="Tabletext"/>
              <w:keepNext/>
              <w:jc w:val="center"/>
            </w:pPr>
            <w:r w:rsidRPr="00272FFA">
              <w:t>-$</w:t>
            </w:r>
            <w:r w:rsidR="00F26804">
              <w:rPr>
                <w:noProof/>
                <w:color w:val="000000"/>
                <w:highlight w:val="black"/>
              </w:rPr>
              <w:t>'''''''''''''''''''</w:t>
            </w:r>
          </w:p>
        </w:tc>
      </w:tr>
    </w:tbl>
    <w:p w:rsidR="007E70C7" w:rsidRPr="007E70C7" w:rsidRDefault="007E70C7" w:rsidP="00825BEA">
      <w:pPr>
        <w:pStyle w:val="TableFooter"/>
        <w:keepNext/>
      </w:pPr>
      <w:r w:rsidRPr="007E70C7">
        <w:t xml:space="preserve">Abbreviations: </w:t>
      </w:r>
      <w:r w:rsidRPr="007E70C7">
        <w:rPr>
          <w:color w:val="000000" w:themeColor="text1"/>
          <w:szCs w:val="16"/>
        </w:rPr>
        <w:t xml:space="preserve">ABA = </w:t>
      </w:r>
      <w:proofErr w:type="spellStart"/>
      <w:r w:rsidRPr="007E70C7">
        <w:rPr>
          <w:color w:val="000000" w:themeColor="text1"/>
          <w:szCs w:val="16"/>
        </w:rPr>
        <w:t>abatacept</w:t>
      </w:r>
      <w:proofErr w:type="spellEnd"/>
      <w:r w:rsidRPr="007E70C7">
        <w:rPr>
          <w:color w:val="000000" w:themeColor="text1"/>
          <w:szCs w:val="16"/>
        </w:rPr>
        <w:t xml:space="preserve">; CZP = </w:t>
      </w:r>
      <w:proofErr w:type="spellStart"/>
      <w:r w:rsidRPr="007E70C7">
        <w:rPr>
          <w:color w:val="000000" w:themeColor="text1"/>
          <w:szCs w:val="16"/>
        </w:rPr>
        <w:t>certolizumab</w:t>
      </w:r>
      <w:proofErr w:type="spellEnd"/>
      <w:r w:rsidRPr="007E70C7">
        <w:rPr>
          <w:color w:val="000000" w:themeColor="text1"/>
          <w:szCs w:val="16"/>
        </w:rPr>
        <w:t xml:space="preserve"> </w:t>
      </w:r>
      <w:proofErr w:type="spellStart"/>
      <w:r w:rsidRPr="007E70C7">
        <w:rPr>
          <w:color w:val="000000" w:themeColor="text1"/>
          <w:szCs w:val="16"/>
        </w:rPr>
        <w:t>pegol</w:t>
      </w:r>
      <w:proofErr w:type="spellEnd"/>
      <w:r w:rsidRPr="007E70C7">
        <w:rPr>
          <w:color w:val="000000" w:themeColor="text1"/>
          <w:szCs w:val="16"/>
        </w:rPr>
        <w:t>; UST = ustekinumab; SEC = secukinumab;</w:t>
      </w:r>
      <w:r w:rsidR="00237BE0">
        <w:rPr>
          <w:color w:val="000000" w:themeColor="text1"/>
          <w:szCs w:val="16"/>
        </w:rPr>
        <w:t xml:space="preserve"> SC=subcutaneous; IV=intravenous</w:t>
      </w:r>
    </w:p>
    <w:p w:rsidR="00155995" w:rsidRDefault="00155995" w:rsidP="00825BEA">
      <w:pPr>
        <w:pStyle w:val="TableFooter"/>
        <w:keepNext/>
      </w:pPr>
      <w:r>
        <w:t xml:space="preserve">Source: Tables 58 to 65, pp126-132 </w:t>
      </w:r>
      <w:r w:rsidRPr="00D13A3E">
        <w:t xml:space="preserve">of the </w:t>
      </w:r>
      <w:r>
        <w:t>submission.</w:t>
      </w:r>
    </w:p>
    <w:p w:rsidR="00155995" w:rsidRPr="00C25D9C" w:rsidRDefault="00155995" w:rsidP="00155995">
      <w:pPr>
        <w:widowControl/>
      </w:pPr>
    </w:p>
    <w:p w:rsidR="00155995" w:rsidRPr="00234409" w:rsidRDefault="00155995" w:rsidP="009523FF">
      <w:pPr>
        <w:pStyle w:val="ListParagraph"/>
        <w:widowControl/>
        <w:numPr>
          <w:ilvl w:val="1"/>
          <w:numId w:val="3"/>
        </w:numPr>
        <w:spacing w:after="0"/>
      </w:pPr>
      <w:r w:rsidRPr="00234409">
        <w:rPr>
          <w:iCs/>
        </w:rPr>
        <w:t>The</w:t>
      </w:r>
      <w:r w:rsidR="00851471">
        <w:rPr>
          <w:iCs/>
        </w:rPr>
        <w:t xml:space="preserve"> </w:t>
      </w:r>
      <w:r w:rsidR="009523FF" w:rsidRPr="009523FF">
        <w:rPr>
          <w:iCs/>
        </w:rPr>
        <w:t xml:space="preserve">PBAC considered the </w:t>
      </w:r>
      <w:r w:rsidRPr="00234409">
        <w:rPr>
          <w:iCs/>
        </w:rPr>
        <w:t xml:space="preserve"> predicted use and financial impacts of the proposed listing are not reliable for the following reasons:</w:t>
      </w:r>
    </w:p>
    <w:p w:rsidR="00155995" w:rsidRPr="00234409" w:rsidRDefault="00155995" w:rsidP="00155995">
      <w:pPr>
        <w:pStyle w:val="ListParagraph"/>
        <w:numPr>
          <w:ilvl w:val="0"/>
          <w:numId w:val="29"/>
        </w:numPr>
        <w:spacing w:after="0"/>
        <w:ind w:left="993" w:hanging="357"/>
        <w:rPr>
          <w:iCs/>
        </w:rPr>
      </w:pPr>
      <w:r w:rsidRPr="00234409">
        <w:rPr>
          <w:iCs/>
        </w:rPr>
        <w:t xml:space="preserve">the estimated number of </w:t>
      </w:r>
      <w:proofErr w:type="spellStart"/>
      <w:r w:rsidR="00950686" w:rsidRPr="00234409">
        <w:rPr>
          <w:iCs/>
        </w:rPr>
        <w:t>abatacept</w:t>
      </w:r>
      <w:proofErr w:type="spellEnd"/>
      <w:r w:rsidRPr="00234409">
        <w:rPr>
          <w:iCs/>
        </w:rPr>
        <w:t xml:space="preserve"> prescriptions/year was poorly justified because the estimated rate of growth in the </w:t>
      </w:r>
      <w:r w:rsidR="00FF31D3" w:rsidRPr="00234409">
        <w:rPr>
          <w:iCs/>
        </w:rPr>
        <w:t>‘</w:t>
      </w:r>
      <w:r w:rsidRPr="00234409">
        <w:rPr>
          <w:iCs/>
        </w:rPr>
        <w:t>lower-tier</w:t>
      </w:r>
      <w:r w:rsidR="00FF31D3" w:rsidRPr="00234409">
        <w:rPr>
          <w:iCs/>
        </w:rPr>
        <w:t>’</w:t>
      </w:r>
      <w:r w:rsidRPr="00234409">
        <w:rPr>
          <w:iCs/>
        </w:rPr>
        <w:t xml:space="preserve"> bDMARDs (~</w:t>
      </w:r>
      <w:r w:rsidR="00F26804">
        <w:rPr>
          <w:iCs/>
          <w:noProof/>
          <w:color w:val="000000"/>
          <w:highlight w:val="black"/>
        </w:rPr>
        <w:t>'''''</w:t>
      </w:r>
      <w:r w:rsidRPr="00234409">
        <w:rPr>
          <w:iCs/>
        </w:rPr>
        <w:t xml:space="preserve">% in Year 1 to </w:t>
      </w:r>
      <w:r w:rsidR="00F26804">
        <w:rPr>
          <w:iCs/>
          <w:noProof/>
          <w:color w:val="000000"/>
          <w:highlight w:val="black"/>
        </w:rPr>
        <w:t>''''''</w:t>
      </w:r>
      <w:r w:rsidRPr="00234409">
        <w:rPr>
          <w:iCs/>
        </w:rPr>
        <w:t>% in Year 6) and relatively low uptake rates were poorly supported in the submission;</w:t>
      </w:r>
    </w:p>
    <w:p w:rsidR="00155995" w:rsidRPr="00234409" w:rsidRDefault="00155995" w:rsidP="00FF31D3">
      <w:pPr>
        <w:pStyle w:val="ListParagraph"/>
        <w:numPr>
          <w:ilvl w:val="0"/>
          <w:numId w:val="29"/>
        </w:numPr>
        <w:spacing w:after="0"/>
        <w:ind w:left="993" w:hanging="357"/>
        <w:rPr>
          <w:iCs/>
        </w:rPr>
      </w:pPr>
      <w:r w:rsidRPr="00234409">
        <w:rPr>
          <w:iCs/>
        </w:rPr>
        <w:t xml:space="preserve">the submission did not account for additional costs associated with SC administration with </w:t>
      </w:r>
      <w:proofErr w:type="spellStart"/>
      <w:r w:rsidR="00950686" w:rsidRPr="00234409">
        <w:rPr>
          <w:iCs/>
        </w:rPr>
        <w:t>abatacept</w:t>
      </w:r>
      <w:proofErr w:type="spellEnd"/>
      <w:r w:rsidRPr="00234409">
        <w:rPr>
          <w:iCs/>
        </w:rPr>
        <w:t xml:space="preserve"> </w:t>
      </w:r>
      <w:r w:rsidR="00FF31D3" w:rsidRPr="00234409">
        <w:rPr>
          <w:iCs/>
        </w:rPr>
        <w:t xml:space="preserve">despite requiring </w:t>
      </w:r>
      <w:r w:rsidRPr="00234409">
        <w:rPr>
          <w:iCs/>
        </w:rPr>
        <w:t>much more frequent</w:t>
      </w:r>
      <w:r w:rsidR="00FF31D3" w:rsidRPr="00234409">
        <w:rPr>
          <w:iCs/>
        </w:rPr>
        <w:t xml:space="preserve"> dosing compared to</w:t>
      </w:r>
      <w:r w:rsidRPr="00234409">
        <w:rPr>
          <w:iCs/>
        </w:rPr>
        <w:t xml:space="preserve"> the nominated comparators; and</w:t>
      </w:r>
    </w:p>
    <w:p w:rsidR="00155995" w:rsidRPr="00234409" w:rsidRDefault="00155995" w:rsidP="00507553">
      <w:pPr>
        <w:pStyle w:val="ListParagraph"/>
        <w:numPr>
          <w:ilvl w:val="0"/>
          <w:numId w:val="29"/>
        </w:numPr>
        <w:spacing w:after="120"/>
        <w:rPr>
          <w:iCs/>
        </w:rPr>
      </w:pPr>
      <w:proofErr w:type="gramStart"/>
      <w:r w:rsidRPr="00234409">
        <w:rPr>
          <w:iCs/>
        </w:rPr>
        <w:t>the</w:t>
      </w:r>
      <w:proofErr w:type="gramEnd"/>
      <w:r w:rsidRPr="00234409">
        <w:rPr>
          <w:iCs/>
        </w:rPr>
        <w:t xml:space="preserve"> estimated net financial saving of </w:t>
      </w:r>
      <w:r w:rsidR="00507553">
        <w:rPr>
          <w:iCs/>
        </w:rPr>
        <w:t xml:space="preserve">less than $10 million </w:t>
      </w:r>
      <w:r w:rsidRPr="00234409">
        <w:rPr>
          <w:iCs/>
        </w:rPr>
        <w:t>over the first 6 years was driven by the reduction in costs associated with the comparators, which was an artefact of using published DPMQs (rather than effective prices) and the assumed script relativities.</w:t>
      </w:r>
    </w:p>
    <w:p w:rsidR="00155995" w:rsidRDefault="00155995" w:rsidP="00FF424C">
      <w:pPr>
        <w:pStyle w:val="ListParagraph"/>
        <w:widowControl/>
        <w:numPr>
          <w:ilvl w:val="1"/>
          <w:numId w:val="3"/>
        </w:numPr>
        <w:spacing w:after="120"/>
      </w:pPr>
      <w:r w:rsidRPr="00234409">
        <w:t>The</w:t>
      </w:r>
      <w:r w:rsidR="003956F5">
        <w:t xml:space="preserve"> </w:t>
      </w:r>
      <w:r w:rsidR="00FF424C" w:rsidRPr="00FF424C">
        <w:t xml:space="preserve">PBAC agreed with the ESC that the </w:t>
      </w:r>
      <w:r w:rsidRPr="00234409">
        <w:t>expected net cost to the government should be zero given the cost-minimisation analysis presented</w:t>
      </w:r>
      <w:r w:rsidR="008B785D" w:rsidRPr="00234409">
        <w:t xml:space="preserve">; </w:t>
      </w:r>
      <w:r w:rsidR="00FF31D3" w:rsidRPr="00234409">
        <w:rPr>
          <w:iCs/>
        </w:rPr>
        <w:t xml:space="preserve">or close to zero </w:t>
      </w:r>
      <w:r w:rsidR="00DF5423" w:rsidRPr="00234409">
        <w:rPr>
          <w:iCs/>
        </w:rPr>
        <w:t>(</w:t>
      </w:r>
      <w:r w:rsidR="00FF31D3" w:rsidRPr="00234409">
        <w:rPr>
          <w:iCs/>
        </w:rPr>
        <w:t xml:space="preserve">depending on the cost of initial treatment, cost of continuing treatment and response rates, across the </w:t>
      </w:r>
      <w:r w:rsidR="00B85797" w:rsidRPr="00234409">
        <w:rPr>
          <w:iCs/>
        </w:rPr>
        <w:t xml:space="preserve">various </w:t>
      </w:r>
      <w:r w:rsidR="00FF31D3" w:rsidRPr="00234409">
        <w:rPr>
          <w:iCs/>
        </w:rPr>
        <w:t>bDMARDs</w:t>
      </w:r>
      <w:r w:rsidR="00DF5423" w:rsidRPr="00234409">
        <w:rPr>
          <w:iCs/>
        </w:rPr>
        <w:t>)</w:t>
      </w:r>
      <w:r w:rsidR="008B785D" w:rsidRPr="00234409">
        <w:rPr>
          <w:iCs/>
        </w:rPr>
        <w:t>.</w:t>
      </w:r>
      <w:r w:rsidR="008B785D" w:rsidRPr="00234409">
        <w:t xml:space="preserve"> </w:t>
      </w:r>
    </w:p>
    <w:p w:rsidR="009B201D" w:rsidRDefault="0087355E" w:rsidP="00F55365">
      <w:pPr>
        <w:rPr>
          <w:i/>
        </w:rPr>
      </w:pPr>
      <w:r w:rsidRPr="00F55365">
        <w:rPr>
          <w:i/>
        </w:rPr>
        <w:t>For more detail on PBAC’s view, see section 7 PBAC outcome.</w:t>
      </w:r>
    </w:p>
    <w:p w:rsidR="00F55365" w:rsidRPr="00F55365" w:rsidRDefault="00F55365" w:rsidP="00F55365">
      <w:pPr>
        <w:rPr>
          <w:b/>
          <w:i/>
        </w:rPr>
      </w:pPr>
    </w:p>
    <w:bookmarkEnd w:id="9"/>
    <w:bookmarkEnd w:id="10"/>
    <w:bookmarkEnd w:id="11"/>
    <w:bookmarkEnd w:id="12"/>
    <w:bookmarkEnd w:id="13"/>
    <w:p w:rsidR="002A4F7D" w:rsidRPr="004235CD" w:rsidRDefault="002A4F7D" w:rsidP="00F55365">
      <w:pPr>
        <w:numPr>
          <w:ilvl w:val="0"/>
          <w:numId w:val="3"/>
        </w:numPr>
        <w:spacing w:after="120"/>
        <w:outlineLvl w:val="0"/>
        <w:rPr>
          <w:b/>
          <w:bCs/>
          <w:sz w:val="32"/>
          <w:szCs w:val="32"/>
        </w:rPr>
      </w:pPr>
      <w:r w:rsidRPr="004235CD">
        <w:rPr>
          <w:b/>
          <w:bCs/>
          <w:sz w:val="32"/>
          <w:szCs w:val="32"/>
        </w:rPr>
        <w:t>PBAC Outcome</w:t>
      </w:r>
    </w:p>
    <w:p w:rsidR="00EA6CC6" w:rsidRDefault="00EA6CC6" w:rsidP="00EA6CC6">
      <w:pPr>
        <w:numPr>
          <w:ilvl w:val="1"/>
          <w:numId w:val="3"/>
        </w:numPr>
        <w:spacing w:after="160"/>
      </w:pPr>
      <w:r w:rsidRPr="00EA6CC6">
        <w:t>The PBAC</w:t>
      </w:r>
      <w:r w:rsidR="006A1BA0" w:rsidRPr="006A1BA0">
        <w:rPr>
          <w:rFonts w:asciiTheme="minorHAnsi" w:hAnsiTheme="minorHAnsi"/>
          <w:bCs/>
          <w:lang w:val="en-GB"/>
        </w:rPr>
        <w:t xml:space="preserve"> </w:t>
      </w:r>
      <w:r w:rsidR="006A1BA0" w:rsidRPr="00D8553E">
        <w:rPr>
          <w:rFonts w:asciiTheme="minorHAnsi" w:hAnsiTheme="minorHAnsi"/>
          <w:bCs/>
          <w:lang w:val="en-GB"/>
        </w:rPr>
        <w:t>did not recommend</w:t>
      </w:r>
      <w:r w:rsidRPr="00EA6CC6">
        <w:t xml:space="preserve"> </w:t>
      </w:r>
      <w:proofErr w:type="spellStart"/>
      <w:r w:rsidRPr="00EA6CC6">
        <w:t>abatacept</w:t>
      </w:r>
      <w:proofErr w:type="spellEnd"/>
      <w:r w:rsidRPr="00EA6CC6">
        <w:t xml:space="preserve"> for the treatment of adult patients with severe active </w:t>
      </w:r>
      <w:r w:rsidR="009063D6">
        <w:t>p</w:t>
      </w:r>
      <w:r w:rsidRPr="00EA6CC6">
        <w:t xml:space="preserve">soriatic </w:t>
      </w:r>
      <w:r w:rsidR="009063D6">
        <w:t>a</w:t>
      </w:r>
      <w:r w:rsidRPr="00EA6CC6">
        <w:t xml:space="preserve">rthritis (PsA) </w:t>
      </w:r>
      <w:r w:rsidR="007951E0">
        <w:t>due to the</w:t>
      </w:r>
      <w:r w:rsidRPr="00EA6CC6">
        <w:t xml:space="preserve"> </w:t>
      </w:r>
      <w:r w:rsidR="006A1BA0">
        <w:t>low</w:t>
      </w:r>
      <w:r w:rsidR="006A1BA0" w:rsidRPr="00EA6CC6">
        <w:t xml:space="preserve"> </w:t>
      </w:r>
      <w:r w:rsidRPr="00EA6CC6">
        <w:t xml:space="preserve">clinical need </w:t>
      </w:r>
      <w:r w:rsidR="00C20D90">
        <w:t>given</w:t>
      </w:r>
      <w:r w:rsidRPr="00EA6CC6">
        <w:t xml:space="preserve"> </w:t>
      </w:r>
      <w:r w:rsidR="009063D6">
        <w:t>the</w:t>
      </w:r>
      <w:r w:rsidR="006A1BA0">
        <w:t xml:space="preserve"> </w:t>
      </w:r>
      <w:r w:rsidR="007951E0">
        <w:t>clinical</w:t>
      </w:r>
      <w:r w:rsidR="006A1BA0">
        <w:t xml:space="preserve"> evidence </w:t>
      </w:r>
      <w:r w:rsidR="00C20D90">
        <w:t xml:space="preserve">did </w:t>
      </w:r>
      <w:r w:rsidR="007951E0">
        <w:t xml:space="preserve">not </w:t>
      </w:r>
      <w:r w:rsidR="006A1BA0">
        <w:t>support</w:t>
      </w:r>
      <w:r w:rsidR="00BD3894">
        <w:t xml:space="preserve"> the claim of non-</w:t>
      </w:r>
      <w:r w:rsidR="006A1BA0">
        <w:t>inferior</w:t>
      </w:r>
      <w:r w:rsidR="007951E0">
        <w:t xml:space="preserve"> efficacy</w:t>
      </w:r>
      <w:r w:rsidR="006A1BA0">
        <w:t xml:space="preserve"> to the nominated comparators</w:t>
      </w:r>
      <w:r w:rsidR="009063D6">
        <w:t xml:space="preserve"> (</w:t>
      </w:r>
      <w:proofErr w:type="spellStart"/>
      <w:r w:rsidR="009063D6">
        <w:t>certolizumab</w:t>
      </w:r>
      <w:proofErr w:type="spellEnd"/>
      <w:r w:rsidR="009063D6">
        <w:t>, ustekinumab and secukinumab)</w:t>
      </w:r>
      <w:r w:rsidRPr="00EA6CC6">
        <w:t>.</w:t>
      </w:r>
    </w:p>
    <w:p w:rsidR="00386F4D" w:rsidRDefault="0036762A" w:rsidP="00386F4D">
      <w:pPr>
        <w:pStyle w:val="ListParagraph"/>
        <w:widowControl/>
        <w:numPr>
          <w:ilvl w:val="1"/>
          <w:numId w:val="3"/>
        </w:numPr>
      </w:pPr>
      <w:r w:rsidRPr="00EA6CC6">
        <w:t xml:space="preserve">The PBAC accepted that </w:t>
      </w:r>
      <w:proofErr w:type="spellStart"/>
      <w:r w:rsidRPr="00EA6CC6">
        <w:t>abatacept</w:t>
      </w:r>
      <w:proofErr w:type="spellEnd"/>
      <w:r w:rsidRPr="00EA6CC6">
        <w:t xml:space="preserve"> provide</w:t>
      </w:r>
      <w:r>
        <w:t>s</w:t>
      </w:r>
      <w:r w:rsidRPr="00EA6CC6">
        <w:t xml:space="preserve"> an alternative mode of action to the currently PBS listed bDMARDs and that the drug would </w:t>
      </w:r>
      <w:r>
        <w:t>most likely be</w:t>
      </w:r>
      <w:r w:rsidRPr="00EA6CC6">
        <w:t xml:space="preserve"> prescribed as a third line </w:t>
      </w:r>
      <w:r>
        <w:t>agent</w:t>
      </w:r>
      <w:r w:rsidRPr="00EA6CC6">
        <w:t xml:space="preserve"> after a tumour necrosis factor alfa inhibitor (TNF α inhibitor) and se</w:t>
      </w:r>
      <w:r>
        <w:t>c</w:t>
      </w:r>
      <w:r w:rsidRPr="00EA6CC6">
        <w:t>ukinumab; or as second</w:t>
      </w:r>
      <w:r>
        <w:t>-line</w:t>
      </w:r>
      <w:r w:rsidRPr="00EA6CC6">
        <w:t xml:space="preserve"> therapy in patients</w:t>
      </w:r>
      <w:r w:rsidR="006D38B6">
        <w:t xml:space="preserve"> </w:t>
      </w:r>
      <w:r w:rsidR="006D38B6" w:rsidRPr="000E2A42">
        <w:t>with comorbidities</w:t>
      </w:r>
      <w:r w:rsidRPr="00EA6CC6">
        <w:t xml:space="preserve"> precluding therapy with </w:t>
      </w:r>
      <w:proofErr w:type="spellStart"/>
      <w:r w:rsidRPr="00EA6CC6">
        <w:t>sekukinumab</w:t>
      </w:r>
      <w:proofErr w:type="spellEnd"/>
      <w:r w:rsidRPr="00EA6CC6">
        <w:t>. However</w:t>
      </w:r>
      <w:r w:rsidR="006D38B6">
        <w:t>,</w:t>
      </w:r>
      <w:r w:rsidRPr="00EA6CC6">
        <w:t xml:space="preserve"> </w:t>
      </w:r>
      <w:r>
        <w:t xml:space="preserve">due to </w:t>
      </w:r>
      <w:proofErr w:type="spellStart"/>
      <w:r>
        <w:t>abatacept</w:t>
      </w:r>
      <w:proofErr w:type="spellEnd"/>
      <w:r>
        <w:t xml:space="preserve"> being the eighth bDMARD for PsA and the </w:t>
      </w:r>
      <w:r w:rsidR="006D38B6">
        <w:t>clinical</w:t>
      </w:r>
      <w:r>
        <w:t xml:space="preserve"> evidence </w:t>
      </w:r>
      <w:r w:rsidR="006D38B6">
        <w:t xml:space="preserve">not </w:t>
      </w:r>
      <w:r>
        <w:t xml:space="preserve">supporting </w:t>
      </w:r>
      <w:r w:rsidRPr="00EA6CC6">
        <w:t xml:space="preserve">non-inferiority between </w:t>
      </w:r>
      <w:proofErr w:type="spellStart"/>
      <w:r w:rsidRPr="00EA6CC6">
        <w:t>abatacept</w:t>
      </w:r>
      <w:proofErr w:type="spellEnd"/>
      <w:r w:rsidRPr="00EA6CC6">
        <w:t xml:space="preserve"> and the nominated comparator</w:t>
      </w:r>
      <w:r>
        <w:t>s</w:t>
      </w:r>
      <w:r w:rsidRPr="00EA6CC6">
        <w:t xml:space="preserve">, the PBAC concluded that </w:t>
      </w:r>
      <w:r>
        <w:t>the</w:t>
      </w:r>
      <w:r w:rsidRPr="00EA6CC6">
        <w:t xml:space="preserve"> clinical need to support the listing of the </w:t>
      </w:r>
      <w:r>
        <w:t>medicine on</w:t>
      </w:r>
      <w:r w:rsidRPr="00EA6CC6">
        <w:t xml:space="preserve"> the PBS</w:t>
      </w:r>
      <w:r>
        <w:t xml:space="preserve"> for PsA was not adequately justified</w:t>
      </w:r>
      <w:r w:rsidRPr="00EA6CC6">
        <w:t>.</w:t>
      </w:r>
      <w:r>
        <w:t xml:space="preserve"> </w:t>
      </w:r>
      <w:r w:rsidR="008219B3">
        <w:t xml:space="preserve">The PBAC </w:t>
      </w:r>
      <w:r>
        <w:t xml:space="preserve">also </w:t>
      </w:r>
      <w:r w:rsidR="008219B3">
        <w:t xml:space="preserve">did not accept the sponsor’s claim that </w:t>
      </w:r>
      <w:proofErr w:type="spellStart"/>
      <w:r w:rsidR="008219B3">
        <w:t>abatacept</w:t>
      </w:r>
      <w:proofErr w:type="spellEnd"/>
      <w:r w:rsidR="008219B3">
        <w:t xml:space="preserve"> fulfils a clinical need by </w:t>
      </w:r>
      <w:r w:rsidR="00641DB5">
        <w:t>providing</w:t>
      </w:r>
      <w:r w:rsidR="008219B3" w:rsidRPr="000900C9">
        <w:rPr>
          <w:iCs/>
        </w:rPr>
        <w:t xml:space="preserve"> another weight-based IV dosing option for patients with </w:t>
      </w:r>
      <w:r>
        <w:rPr>
          <w:iCs/>
        </w:rPr>
        <w:t xml:space="preserve">a </w:t>
      </w:r>
      <w:r w:rsidR="008219B3" w:rsidRPr="000900C9">
        <w:rPr>
          <w:iCs/>
        </w:rPr>
        <w:t xml:space="preserve">high </w:t>
      </w:r>
      <w:r w:rsidR="00641DB5">
        <w:rPr>
          <w:iCs/>
        </w:rPr>
        <w:t>b</w:t>
      </w:r>
      <w:r w:rsidR="008219B3" w:rsidRPr="000900C9">
        <w:rPr>
          <w:iCs/>
        </w:rPr>
        <w:t xml:space="preserve">ody </w:t>
      </w:r>
      <w:r w:rsidR="00641DB5">
        <w:rPr>
          <w:iCs/>
        </w:rPr>
        <w:t>m</w:t>
      </w:r>
      <w:r w:rsidR="008219B3" w:rsidRPr="000900C9">
        <w:rPr>
          <w:iCs/>
        </w:rPr>
        <w:t xml:space="preserve">ass </w:t>
      </w:r>
      <w:r w:rsidR="00641DB5">
        <w:rPr>
          <w:iCs/>
        </w:rPr>
        <w:t>i</w:t>
      </w:r>
      <w:r w:rsidR="008219B3" w:rsidRPr="000900C9">
        <w:rPr>
          <w:iCs/>
        </w:rPr>
        <w:t>ndex (BMI)</w:t>
      </w:r>
      <w:r>
        <w:rPr>
          <w:iCs/>
        </w:rPr>
        <w:t>.</w:t>
      </w:r>
      <w:r w:rsidR="008219B3" w:rsidRPr="000900C9">
        <w:rPr>
          <w:iCs/>
        </w:rPr>
        <w:t xml:space="preserve"> </w:t>
      </w:r>
    </w:p>
    <w:p w:rsidR="00800D45" w:rsidRPr="00800D45" w:rsidRDefault="00641DB5" w:rsidP="00360EDB">
      <w:pPr>
        <w:numPr>
          <w:ilvl w:val="1"/>
          <w:numId w:val="3"/>
        </w:numPr>
        <w:spacing w:after="160"/>
      </w:pPr>
      <w:r>
        <w:t>The PBAC noted the submission nominated the</w:t>
      </w:r>
      <w:r w:rsidRPr="00234409">
        <w:t xml:space="preserve"> ‘lower-tier’ of </w:t>
      </w:r>
      <w:r>
        <w:t>less expensive alternatives bDMARDs</w:t>
      </w:r>
      <w:r w:rsidRPr="00234409">
        <w:t xml:space="preserve"> </w:t>
      </w:r>
      <w:r>
        <w:t>(</w:t>
      </w:r>
      <w:proofErr w:type="spellStart"/>
      <w:r w:rsidRPr="00234409">
        <w:t>certolizumab</w:t>
      </w:r>
      <w:proofErr w:type="spellEnd"/>
      <w:r w:rsidRPr="00234409">
        <w:t xml:space="preserve">, ustekinumab and </w:t>
      </w:r>
      <w:r>
        <w:t>s</w:t>
      </w:r>
      <w:r w:rsidRPr="00234409">
        <w:t>ecukinumab</w:t>
      </w:r>
      <w:r>
        <w:t>)</w:t>
      </w:r>
      <w:r w:rsidRPr="00234409">
        <w:t xml:space="preserve"> </w:t>
      </w:r>
      <w:r w:rsidRPr="00234409">
        <w:rPr>
          <w:iCs/>
        </w:rPr>
        <w:t xml:space="preserve">as </w:t>
      </w:r>
      <w:r>
        <w:rPr>
          <w:iCs/>
        </w:rPr>
        <w:t xml:space="preserve">the </w:t>
      </w:r>
      <w:r w:rsidRPr="00234409">
        <w:rPr>
          <w:iCs/>
        </w:rPr>
        <w:t xml:space="preserve">comparators </w:t>
      </w:r>
      <w:r>
        <w:rPr>
          <w:iCs/>
        </w:rPr>
        <w:t>and considered this reasonable.</w:t>
      </w:r>
      <w:r w:rsidR="00360EDB">
        <w:rPr>
          <w:iCs/>
        </w:rPr>
        <w:t xml:space="preserve"> </w:t>
      </w:r>
      <w:r w:rsidR="00360EDB" w:rsidRPr="00360EDB">
        <w:rPr>
          <w:iCs/>
        </w:rPr>
        <w:t>The PBAC</w:t>
      </w:r>
      <w:r w:rsidR="0036762A">
        <w:rPr>
          <w:iCs/>
        </w:rPr>
        <w:t xml:space="preserve"> also noted that i</w:t>
      </w:r>
      <w:r w:rsidR="00360EDB" w:rsidRPr="00360EDB">
        <w:rPr>
          <w:iCs/>
        </w:rPr>
        <w:t xml:space="preserve">f treatment with </w:t>
      </w:r>
      <w:proofErr w:type="spellStart"/>
      <w:r w:rsidR="0036762A">
        <w:rPr>
          <w:iCs/>
        </w:rPr>
        <w:t>abatacept</w:t>
      </w:r>
      <w:proofErr w:type="spellEnd"/>
      <w:r w:rsidR="00360EDB" w:rsidRPr="00360EDB">
        <w:rPr>
          <w:iCs/>
        </w:rPr>
        <w:t xml:space="preserve"> is substantially more costly than </w:t>
      </w:r>
      <w:r w:rsidR="0036762A">
        <w:rPr>
          <w:iCs/>
        </w:rPr>
        <w:t>any of the bDM</w:t>
      </w:r>
      <w:r w:rsidR="008D3DBE">
        <w:rPr>
          <w:iCs/>
        </w:rPr>
        <w:t>A</w:t>
      </w:r>
      <w:r w:rsidR="0036762A">
        <w:rPr>
          <w:iCs/>
        </w:rPr>
        <w:t xml:space="preserve">RDs </w:t>
      </w:r>
      <w:r w:rsidR="008D3DBE">
        <w:rPr>
          <w:iCs/>
        </w:rPr>
        <w:t xml:space="preserve">currently </w:t>
      </w:r>
      <w:r w:rsidR="0036762A">
        <w:rPr>
          <w:iCs/>
        </w:rPr>
        <w:t>listed for PsA</w:t>
      </w:r>
      <w:r w:rsidR="00360EDB" w:rsidRPr="00360EDB">
        <w:rPr>
          <w:iCs/>
        </w:rPr>
        <w:t xml:space="preserve">, the PBAC could only recommend listing of </w:t>
      </w:r>
      <w:proofErr w:type="spellStart"/>
      <w:r w:rsidR="0036762A">
        <w:rPr>
          <w:iCs/>
        </w:rPr>
        <w:t>abatacept</w:t>
      </w:r>
      <w:proofErr w:type="spellEnd"/>
      <w:r w:rsidR="00360EDB" w:rsidRPr="00360EDB">
        <w:rPr>
          <w:iCs/>
        </w:rPr>
        <w:t xml:space="preserve"> if it is satisfied that </w:t>
      </w:r>
      <w:proofErr w:type="spellStart"/>
      <w:r w:rsidR="0036762A">
        <w:rPr>
          <w:iCs/>
        </w:rPr>
        <w:t>abatacept</w:t>
      </w:r>
      <w:proofErr w:type="spellEnd"/>
      <w:r w:rsidR="00360EDB" w:rsidRPr="00360EDB">
        <w:rPr>
          <w:iCs/>
        </w:rPr>
        <w:t xml:space="preserve"> provides, for some patients, a significant improvement in efficacy or reduction of toxicity over the alternative therapies (National Health Act 1953, Section 101(3B)).</w:t>
      </w:r>
    </w:p>
    <w:p w:rsidR="0036352F" w:rsidRDefault="00BF0CCD" w:rsidP="00360EDB">
      <w:pPr>
        <w:numPr>
          <w:ilvl w:val="1"/>
          <w:numId w:val="3"/>
        </w:numPr>
        <w:spacing w:after="160"/>
      </w:pPr>
      <w:r w:rsidRPr="00EA6CC6">
        <w:t xml:space="preserve">The PBAC noted that the submission presented six randomised </w:t>
      </w:r>
      <w:r>
        <w:t>c</w:t>
      </w:r>
      <w:r w:rsidRPr="00EA6CC6">
        <w:t xml:space="preserve">linical </w:t>
      </w:r>
      <w:r>
        <w:t>t</w:t>
      </w:r>
      <w:r w:rsidRPr="00EA6CC6">
        <w:t xml:space="preserve">rials, comparing </w:t>
      </w:r>
      <w:proofErr w:type="spellStart"/>
      <w:r w:rsidRPr="00EA6CC6">
        <w:t>abatacept</w:t>
      </w:r>
      <w:proofErr w:type="spellEnd"/>
      <w:r w:rsidRPr="00EA6CC6">
        <w:t xml:space="preserve"> or the nominated comparators versus placebo</w:t>
      </w:r>
      <w:r>
        <w:t xml:space="preserve"> </w:t>
      </w:r>
      <w:r w:rsidR="0036352F">
        <w:t>(</w:t>
      </w:r>
      <w:r>
        <w:t xml:space="preserve">two </w:t>
      </w:r>
      <w:proofErr w:type="spellStart"/>
      <w:r>
        <w:t>abatacept</w:t>
      </w:r>
      <w:proofErr w:type="spellEnd"/>
      <w:r w:rsidR="0036352F">
        <w:t xml:space="preserve"> trials</w:t>
      </w:r>
      <w:r>
        <w:t xml:space="preserve">, </w:t>
      </w:r>
      <w:r w:rsidR="0036352F">
        <w:t xml:space="preserve">one </w:t>
      </w:r>
      <w:proofErr w:type="spellStart"/>
      <w:r w:rsidR="0036352F">
        <w:rPr>
          <w:rFonts w:cs="Calibri"/>
          <w:snapToGrid/>
          <w:szCs w:val="24"/>
          <w:lang w:val="en-US" w:eastAsia="en-AU"/>
        </w:rPr>
        <w:t>certolizumab</w:t>
      </w:r>
      <w:proofErr w:type="spellEnd"/>
      <w:r w:rsidR="0036352F">
        <w:rPr>
          <w:rFonts w:cs="Calibri"/>
          <w:snapToGrid/>
          <w:szCs w:val="24"/>
          <w:lang w:val="en-US" w:eastAsia="en-AU"/>
        </w:rPr>
        <w:t xml:space="preserve"> trial, two </w:t>
      </w:r>
      <w:proofErr w:type="spellStart"/>
      <w:r w:rsidR="0036352F">
        <w:rPr>
          <w:rFonts w:cs="Calibri"/>
          <w:snapToGrid/>
          <w:szCs w:val="24"/>
          <w:lang w:val="en-US" w:eastAsia="en-AU"/>
        </w:rPr>
        <w:t>ustekinumab</w:t>
      </w:r>
      <w:proofErr w:type="spellEnd"/>
      <w:r w:rsidR="0036352F">
        <w:rPr>
          <w:rFonts w:cs="Calibri"/>
          <w:snapToGrid/>
          <w:szCs w:val="24"/>
          <w:lang w:val="en-US" w:eastAsia="en-AU"/>
        </w:rPr>
        <w:t xml:space="preserve"> trials and one </w:t>
      </w:r>
      <w:proofErr w:type="spellStart"/>
      <w:r w:rsidR="0036352F">
        <w:rPr>
          <w:rFonts w:cs="Calibri"/>
          <w:snapToGrid/>
          <w:szCs w:val="24"/>
          <w:lang w:val="en-US" w:eastAsia="en-AU"/>
        </w:rPr>
        <w:t>secukinumab</w:t>
      </w:r>
      <w:proofErr w:type="spellEnd"/>
      <w:r>
        <w:t xml:space="preserve"> </w:t>
      </w:r>
      <w:r w:rsidR="0036352F">
        <w:t>trial)</w:t>
      </w:r>
      <w:r w:rsidRPr="00EA6CC6">
        <w:t xml:space="preserve">. The PBAC considered the risk of bias of these clinical trials to be low. </w:t>
      </w:r>
      <w:r w:rsidR="007442C3">
        <w:t>The PBAC noted there were some differences across the trials, including differences in the criteria used for switching to open-label therapy.</w:t>
      </w:r>
    </w:p>
    <w:p w:rsidR="0036352F" w:rsidRDefault="0036352F" w:rsidP="00360EDB">
      <w:pPr>
        <w:numPr>
          <w:ilvl w:val="1"/>
          <w:numId w:val="3"/>
        </w:numPr>
        <w:spacing w:after="160"/>
      </w:pPr>
      <w:r w:rsidRPr="00EA6CC6">
        <w:t xml:space="preserve">The PBAC </w:t>
      </w:r>
      <w:r>
        <w:t>recalled</w:t>
      </w:r>
      <w:r w:rsidRPr="00EA6CC6">
        <w:t xml:space="preserve"> it has previously considered that in PsA the most important outcomes are joint response, rather than skin response, and </w:t>
      </w:r>
      <w:r>
        <w:t xml:space="preserve">specifically </w:t>
      </w:r>
      <w:r w:rsidRPr="00EA6CC6">
        <w:t>ACR50</w:t>
      </w:r>
      <w:r>
        <w:t xml:space="preserve"> was the outcome of most interest, although</w:t>
      </w:r>
      <w:r w:rsidRPr="00EA6CC6">
        <w:t xml:space="preserve"> ACR20 has</w:t>
      </w:r>
      <w:r>
        <w:t xml:space="preserve"> also</w:t>
      </w:r>
      <w:r w:rsidRPr="00EA6CC6">
        <w:t xml:space="preserve"> been used to support non-inferiority.</w:t>
      </w:r>
    </w:p>
    <w:p w:rsidR="0031256A" w:rsidRPr="007442C3" w:rsidRDefault="007442C3" w:rsidP="007442C3">
      <w:pPr>
        <w:pStyle w:val="ListParagraph"/>
        <w:widowControl/>
        <w:numPr>
          <w:ilvl w:val="1"/>
          <w:numId w:val="3"/>
        </w:numPr>
        <w:rPr>
          <w:iCs/>
        </w:rPr>
      </w:pPr>
      <w:r>
        <w:rPr>
          <w:iCs/>
        </w:rPr>
        <w:t xml:space="preserve">The PBAC considered the clinical claim of non-inferiority of </w:t>
      </w:r>
      <w:proofErr w:type="spellStart"/>
      <w:r>
        <w:rPr>
          <w:iCs/>
        </w:rPr>
        <w:t>abatacept</w:t>
      </w:r>
      <w:proofErr w:type="spellEnd"/>
      <w:r>
        <w:rPr>
          <w:iCs/>
        </w:rPr>
        <w:t xml:space="preserve"> to the nominated comparators to not be adequately supported for the outcomes of ACR50 or ACR20. Further, the Committee noted based on the indirect comparisons</w:t>
      </w:r>
      <w:r w:rsidR="0031256A" w:rsidRPr="007442C3">
        <w:rPr>
          <w:iCs/>
        </w:rPr>
        <w:t xml:space="preserve"> that </w:t>
      </w:r>
      <w:proofErr w:type="spellStart"/>
      <w:r w:rsidR="0031256A" w:rsidRPr="007442C3">
        <w:rPr>
          <w:iCs/>
        </w:rPr>
        <w:t>abatacept</w:t>
      </w:r>
      <w:proofErr w:type="spellEnd"/>
      <w:r w:rsidR="0031256A" w:rsidRPr="007442C3">
        <w:rPr>
          <w:iCs/>
        </w:rPr>
        <w:t xml:space="preserve"> was numerically and statistically significantly inferior to all of the nominated comparators </w:t>
      </w:r>
      <w:r>
        <w:rPr>
          <w:iCs/>
        </w:rPr>
        <w:t>for</w:t>
      </w:r>
      <w:r w:rsidR="0031256A" w:rsidRPr="007442C3">
        <w:rPr>
          <w:iCs/>
        </w:rPr>
        <w:t xml:space="preserve"> ACR50 and ACR20 (ITT population</w:t>
      </w:r>
      <w:r>
        <w:rPr>
          <w:iCs/>
        </w:rPr>
        <w:t>, relative risk statistic</w:t>
      </w:r>
      <w:r w:rsidR="0031256A" w:rsidRPr="007442C3">
        <w:rPr>
          <w:iCs/>
        </w:rPr>
        <w:t>)</w:t>
      </w:r>
      <w:r>
        <w:rPr>
          <w:iCs/>
        </w:rPr>
        <w:t xml:space="preserve">. In addition to being inferior in terms of the joint outcomes, the PBAC noted </w:t>
      </w:r>
      <w:proofErr w:type="spellStart"/>
      <w:r w:rsidR="0031256A" w:rsidRPr="007442C3">
        <w:rPr>
          <w:iCs/>
        </w:rPr>
        <w:t>abatacept</w:t>
      </w:r>
      <w:proofErr w:type="spellEnd"/>
      <w:r w:rsidR="0031256A" w:rsidRPr="007442C3">
        <w:rPr>
          <w:iCs/>
        </w:rPr>
        <w:t xml:space="preserve"> was statistically significantly inferior (depending on statistic used) to the nominated comparators in terms of </w:t>
      </w:r>
      <w:r>
        <w:rPr>
          <w:iCs/>
        </w:rPr>
        <w:t xml:space="preserve">skin response (PASI75 at 24 weeks; </w:t>
      </w:r>
      <w:r w:rsidR="0031256A" w:rsidRPr="007442C3">
        <w:rPr>
          <w:iCs/>
        </w:rPr>
        <w:t>psoriasis &gt;3% BSA)</w:t>
      </w:r>
      <w:r w:rsidR="00BC0F4C" w:rsidRPr="007442C3">
        <w:rPr>
          <w:iCs/>
        </w:rPr>
        <w:t>.</w:t>
      </w:r>
      <w:r w:rsidR="0031256A" w:rsidRPr="007442C3">
        <w:rPr>
          <w:iCs/>
        </w:rPr>
        <w:t xml:space="preserve"> </w:t>
      </w:r>
    </w:p>
    <w:p w:rsidR="00DB77A5" w:rsidRDefault="00236B9A" w:rsidP="00DB77A5">
      <w:pPr>
        <w:numPr>
          <w:ilvl w:val="1"/>
          <w:numId w:val="3"/>
        </w:numPr>
        <w:spacing w:after="160"/>
      </w:pPr>
      <w:r>
        <w:t>In the pre</w:t>
      </w:r>
      <w:r w:rsidR="00507553">
        <w:t>-</w:t>
      </w:r>
      <w:r>
        <w:t>PBAC response, t</w:t>
      </w:r>
      <w:r w:rsidRPr="00236B9A">
        <w:t>he sponsor acknowledge</w:t>
      </w:r>
      <w:r>
        <w:t>d</w:t>
      </w:r>
      <w:r w:rsidRPr="00236B9A">
        <w:t xml:space="preserve"> that there </w:t>
      </w:r>
      <w:r w:rsidR="00C85221">
        <w:t>were</w:t>
      </w:r>
      <w:r w:rsidRPr="00236B9A">
        <w:t xml:space="preserve"> trends in the indirect comparison</w:t>
      </w:r>
      <w:r>
        <w:t>s</w:t>
      </w:r>
      <w:r w:rsidRPr="00236B9A">
        <w:t xml:space="preserve"> that make the claim of non-inferiority with the nominated comparators difficult to interpret</w:t>
      </w:r>
      <w:r w:rsidR="00C85221">
        <w:t>,</w:t>
      </w:r>
      <w:r>
        <w:t xml:space="preserve"> and noted h</w:t>
      </w:r>
      <w:r w:rsidRPr="00236B9A">
        <w:t>eterogeneity between</w:t>
      </w:r>
      <w:r w:rsidR="00C85221">
        <w:t xml:space="preserve"> the</w:t>
      </w:r>
      <w:r w:rsidRPr="00236B9A">
        <w:t xml:space="preserve"> clinical trial patient populations and differences in clinical trial design </w:t>
      </w:r>
      <w:r>
        <w:t xml:space="preserve">which </w:t>
      </w:r>
      <w:r w:rsidR="00DB77A5">
        <w:t xml:space="preserve">may bias against </w:t>
      </w:r>
      <w:proofErr w:type="spellStart"/>
      <w:r w:rsidR="00DB77A5">
        <w:t>abatacept</w:t>
      </w:r>
      <w:proofErr w:type="spellEnd"/>
      <w:r w:rsidR="00DB77A5">
        <w:t xml:space="preserve"> (</w:t>
      </w:r>
      <w:r w:rsidRPr="00236B9A">
        <w:t xml:space="preserve">for example, the more stringent early escape rule </w:t>
      </w:r>
      <w:r w:rsidR="00C85221">
        <w:t>used in the</w:t>
      </w:r>
      <w:r w:rsidRPr="00236B9A">
        <w:t xml:space="preserve"> </w:t>
      </w:r>
      <w:proofErr w:type="spellStart"/>
      <w:r w:rsidRPr="00236B9A">
        <w:t>abatacept</w:t>
      </w:r>
      <w:proofErr w:type="spellEnd"/>
      <w:r w:rsidRPr="00236B9A">
        <w:t xml:space="preserve"> </w:t>
      </w:r>
      <w:r w:rsidR="00C85221">
        <w:t xml:space="preserve">trials </w:t>
      </w:r>
      <w:r w:rsidRPr="00236B9A">
        <w:t xml:space="preserve">versus some </w:t>
      </w:r>
      <w:r w:rsidR="00C85221">
        <w:t xml:space="preserve">of the </w:t>
      </w:r>
      <w:r w:rsidRPr="00236B9A">
        <w:t>comparator</w:t>
      </w:r>
      <w:r w:rsidR="00C85221">
        <w:t xml:space="preserve"> trials</w:t>
      </w:r>
      <w:r w:rsidR="00DB77A5">
        <w:t>)</w:t>
      </w:r>
      <w:r w:rsidRPr="00236B9A">
        <w:t xml:space="preserve">. </w:t>
      </w:r>
      <w:r>
        <w:t xml:space="preserve">The sponsor also </w:t>
      </w:r>
      <w:r w:rsidR="00DB77A5">
        <w:t>claimed that for</w:t>
      </w:r>
      <w:r>
        <w:t xml:space="preserve"> </w:t>
      </w:r>
      <w:r w:rsidRPr="00236B9A">
        <w:t xml:space="preserve">patient-relevant disability and quality of life endpoints </w:t>
      </w:r>
      <w:r w:rsidR="00DB77A5" w:rsidRPr="00236B9A">
        <w:t>(SF-36, HAQ-DI)</w:t>
      </w:r>
      <w:r w:rsidR="00DB77A5">
        <w:t xml:space="preserve"> </w:t>
      </w:r>
      <w:proofErr w:type="spellStart"/>
      <w:r w:rsidR="00DB77A5" w:rsidRPr="00236B9A">
        <w:t>abatacept</w:t>
      </w:r>
      <w:proofErr w:type="spellEnd"/>
      <w:r w:rsidR="00DB77A5" w:rsidRPr="00236B9A">
        <w:t xml:space="preserve"> demonstrates non-inferiority versus comparators</w:t>
      </w:r>
      <w:r w:rsidR="00DB77A5">
        <w:t xml:space="preserve"> </w:t>
      </w:r>
      <w:r w:rsidRPr="00236B9A">
        <w:t>within the standard unadjust</w:t>
      </w:r>
      <w:r w:rsidR="00DB77A5">
        <w:t>ed indirect comparison provided.</w:t>
      </w:r>
      <w:r w:rsidR="00DB77A5" w:rsidRPr="00DB77A5">
        <w:t xml:space="preserve"> </w:t>
      </w:r>
      <w:r w:rsidR="00DB77A5">
        <w:t>The PBAC considered that s</w:t>
      </w:r>
      <w:r w:rsidR="00DB77A5" w:rsidRPr="006A7ACC">
        <w:t>tatistical non-significance of u</w:t>
      </w:r>
      <w:r w:rsidR="00DB77A5">
        <w:t>nderpowered secondary outcomes such as HAQ-DI and SF-36</w:t>
      </w:r>
      <w:r w:rsidR="00DB77A5" w:rsidRPr="006A7ACC">
        <w:t xml:space="preserve"> cannot be interpreted as evidence of non-inferiority.</w:t>
      </w:r>
    </w:p>
    <w:p w:rsidR="00DB77A5" w:rsidRDefault="00DB77A5" w:rsidP="00DB77A5">
      <w:pPr>
        <w:pStyle w:val="ListParagraph"/>
        <w:widowControl/>
        <w:numPr>
          <w:ilvl w:val="1"/>
          <w:numId w:val="3"/>
        </w:numPr>
        <w:rPr>
          <w:iCs/>
        </w:rPr>
      </w:pPr>
      <w:r>
        <w:rPr>
          <w:iCs/>
        </w:rPr>
        <w:t xml:space="preserve">Although the safety comparisons between </w:t>
      </w:r>
      <w:proofErr w:type="spellStart"/>
      <w:r>
        <w:rPr>
          <w:iCs/>
        </w:rPr>
        <w:t>abatacept</w:t>
      </w:r>
      <w:proofErr w:type="spellEnd"/>
      <w:r>
        <w:rPr>
          <w:iCs/>
        </w:rPr>
        <w:t xml:space="preserve"> and the nominated comparators were limited, the PBAC considered </w:t>
      </w:r>
      <w:r w:rsidRPr="00234409">
        <w:rPr>
          <w:iCs/>
        </w:rPr>
        <w:t xml:space="preserve">a claim of non-inferior safety may be reasonable, </w:t>
      </w:r>
      <w:r>
        <w:rPr>
          <w:iCs/>
        </w:rPr>
        <w:t>noting non-inferiority has previously been accepted for comparisons</w:t>
      </w:r>
      <w:r w:rsidRPr="00234409">
        <w:rPr>
          <w:iCs/>
        </w:rPr>
        <w:t xml:space="preserve"> versus </w:t>
      </w:r>
      <w:r>
        <w:rPr>
          <w:iCs/>
        </w:rPr>
        <w:t>infliximab</w:t>
      </w:r>
      <w:r w:rsidRPr="00234409">
        <w:rPr>
          <w:iCs/>
        </w:rPr>
        <w:t xml:space="preserve">, </w:t>
      </w:r>
      <w:r>
        <w:rPr>
          <w:iCs/>
        </w:rPr>
        <w:t>etanercept</w:t>
      </w:r>
      <w:r w:rsidRPr="00234409">
        <w:rPr>
          <w:iCs/>
        </w:rPr>
        <w:t xml:space="preserve"> and </w:t>
      </w:r>
      <w:r>
        <w:rPr>
          <w:iCs/>
        </w:rPr>
        <w:t>adalimumab</w:t>
      </w:r>
      <w:r w:rsidRPr="00234409">
        <w:rPr>
          <w:iCs/>
        </w:rPr>
        <w:t xml:space="preserve"> in </w:t>
      </w:r>
      <w:r w:rsidR="00C85221">
        <w:rPr>
          <w:iCs/>
        </w:rPr>
        <w:t>rheumatoid arthritis</w:t>
      </w:r>
      <w:r w:rsidRPr="00234409">
        <w:rPr>
          <w:iCs/>
        </w:rPr>
        <w:t xml:space="preserve"> </w:t>
      </w:r>
      <w:r w:rsidR="00F14251">
        <w:rPr>
          <w:iCs/>
        </w:rPr>
        <w:t>and</w:t>
      </w:r>
      <w:r w:rsidRPr="00234409">
        <w:rPr>
          <w:iCs/>
        </w:rPr>
        <w:t xml:space="preserve"> </w:t>
      </w:r>
      <w:r w:rsidR="00C85221">
        <w:rPr>
          <w:iCs/>
        </w:rPr>
        <w:t xml:space="preserve">juvenile </w:t>
      </w:r>
      <w:r w:rsidR="00C85221" w:rsidRPr="00234409">
        <w:rPr>
          <w:iCs/>
        </w:rPr>
        <w:t>idiopathic arthritis</w:t>
      </w:r>
      <w:r w:rsidRPr="00234409">
        <w:rPr>
          <w:iCs/>
        </w:rPr>
        <w:t>.</w:t>
      </w:r>
    </w:p>
    <w:p w:rsidR="00BF4DAF" w:rsidRPr="00EA6CC6" w:rsidRDefault="00BF4DAF" w:rsidP="00BF4DAF">
      <w:pPr>
        <w:numPr>
          <w:ilvl w:val="1"/>
          <w:numId w:val="3"/>
        </w:numPr>
        <w:spacing w:after="160"/>
      </w:pPr>
      <w:r>
        <w:t>As</w:t>
      </w:r>
      <w:r w:rsidRPr="00EA6CC6">
        <w:t xml:space="preserve"> non-inferiority </w:t>
      </w:r>
      <w:r w:rsidR="00C85221">
        <w:t xml:space="preserve">for efficacy </w:t>
      </w:r>
      <w:r w:rsidR="00DB77A5">
        <w:t>was</w:t>
      </w:r>
      <w:r w:rsidRPr="00EA6CC6">
        <w:t xml:space="preserve"> not demonstrated between </w:t>
      </w:r>
      <w:proofErr w:type="spellStart"/>
      <w:r w:rsidRPr="00EA6CC6">
        <w:t>abatacept</w:t>
      </w:r>
      <w:proofErr w:type="spellEnd"/>
      <w:r w:rsidRPr="00EA6CC6">
        <w:t xml:space="preserve"> and the nominated comparators, the PBAC </w:t>
      </w:r>
      <w:r>
        <w:t>considered</w:t>
      </w:r>
      <w:r w:rsidRPr="00EA6CC6">
        <w:t xml:space="preserve"> that </w:t>
      </w:r>
      <w:r>
        <w:t>the</w:t>
      </w:r>
      <w:r w:rsidRPr="00EA6CC6">
        <w:t xml:space="preserve"> cost minimisation analysis </w:t>
      </w:r>
      <w:r>
        <w:t xml:space="preserve">conducted </w:t>
      </w:r>
      <w:r w:rsidRPr="00EA6CC6">
        <w:t>was not appropriate.</w:t>
      </w:r>
    </w:p>
    <w:p w:rsidR="000C03D6" w:rsidRPr="00BF4DAF" w:rsidRDefault="000C03D6" w:rsidP="000C03D6">
      <w:pPr>
        <w:numPr>
          <w:ilvl w:val="1"/>
          <w:numId w:val="3"/>
        </w:numPr>
        <w:spacing w:after="160"/>
      </w:pPr>
      <w:r w:rsidRPr="00234409">
        <w:rPr>
          <w:iCs/>
        </w:rPr>
        <w:t>The</w:t>
      </w:r>
      <w:r>
        <w:rPr>
          <w:iCs/>
        </w:rPr>
        <w:t xml:space="preserve"> </w:t>
      </w:r>
      <w:r w:rsidRPr="009523FF">
        <w:rPr>
          <w:iCs/>
        </w:rPr>
        <w:t xml:space="preserve">PBAC considered the </w:t>
      </w:r>
      <w:r w:rsidRPr="00234409">
        <w:rPr>
          <w:iCs/>
        </w:rPr>
        <w:t xml:space="preserve">predicted use and financial impacts of the proposed listing </w:t>
      </w:r>
      <w:r>
        <w:rPr>
          <w:iCs/>
        </w:rPr>
        <w:t>were</w:t>
      </w:r>
      <w:r w:rsidRPr="00234409">
        <w:rPr>
          <w:iCs/>
        </w:rPr>
        <w:t xml:space="preserve"> not reliable</w:t>
      </w:r>
      <w:r>
        <w:rPr>
          <w:iCs/>
        </w:rPr>
        <w:t xml:space="preserve"> due to poorly justified uptake estimates and not accounting for administration costs due to increased frequency of dosing. The PBAC considered </w:t>
      </w:r>
      <w:r w:rsidR="00C85221">
        <w:rPr>
          <w:iCs/>
        </w:rPr>
        <w:t>based on</w:t>
      </w:r>
      <w:r>
        <w:rPr>
          <w:iCs/>
        </w:rPr>
        <w:t xml:space="preserve"> the clinical evidence </w:t>
      </w:r>
      <w:r w:rsidR="00C85221">
        <w:rPr>
          <w:iCs/>
        </w:rPr>
        <w:t>that</w:t>
      </w:r>
      <w:r>
        <w:rPr>
          <w:iCs/>
        </w:rPr>
        <w:t xml:space="preserve"> the uptake</w:t>
      </w:r>
      <w:r w:rsidR="00C85221">
        <w:rPr>
          <w:iCs/>
        </w:rPr>
        <w:t xml:space="preserve"> of </w:t>
      </w:r>
      <w:proofErr w:type="spellStart"/>
      <w:r w:rsidR="00C85221">
        <w:rPr>
          <w:iCs/>
        </w:rPr>
        <w:t>abatacept</w:t>
      </w:r>
      <w:proofErr w:type="spellEnd"/>
      <w:r w:rsidR="00C85221">
        <w:rPr>
          <w:iCs/>
        </w:rPr>
        <w:t xml:space="preserve"> for the treatment of PsA</w:t>
      </w:r>
      <w:r>
        <w:rPr>
          <w:iCs/>
        </w:rPr>
        <w:t xml:space="preserve"> is likely to be low. </w:t>
      </w:r>
    </w:p>
    <w:p w:rsidR="008C1E8C" w:rsidRDefault="00EA6CC6" w:rsidP="000C03D6">
      <w:pPr>
        <w:numPr>
          <w:ilvl w:val="1"/>
          <w:numId w:val="3"/>
        </w:numPr>
        <w:spacing w:after="160"/>
      </w:pPr>
      <w:r w:rsidRPr="00EA6CC6">
        <w:t xml:space="preserve">The PBAC noted that in its Pre-PBAC response, the sponsor </w:t>
      </w:r>
      <w:r w:rsidR="000C03D6">
        <w:t xml:space="preserve">indicated a </w:t>
      </w:r>
      <w:r w:rsidR="000C03D6" w:rsidRPr="000C03D6">
        <w:t>willing</w:t>
      </w:r>
      <w:r w:rsidR="000C03D6">
        <w:t>ness</w:t>
      </w:r>
      <w:r w:rsidR="000C03D6" w:rsidRPr="000C03D6">
        <w:t xml:space="preserve"> to list </w:t>
      </w:r>
      <w:proofErr w:type="spellStart"/>
      <w:r w:rsidR="000C03D6" w:rsidRPr="000C03D6">
        <w:t>abatacept</w:t>
      </w:r>
      <w:proofErr w:type="spellEnd"/>
      <w:r w:rsidR="000C03D6" w:rsidRPr="000C03D6">
        <w:t xml:space="preserve"> for the treatment of PsA at the same price for which it is already listed for the treatment of rheumatoid arthritis</w:t>
      </w:r>
      <w:r w:rsidR="000C03D6">
        <w:t>,</w:t>
      </w:r>
      <w:r w:rsidR="000C03D6" w:rsidRPr="000C03D6">
        <w:t xml:space="preserve"> should this lower price resolve residual uncertainties.</w:t>
      </w:r>
      <w:r w:rsidR="000C03D6">
        <w:t xml:space="preserve"> T</w:t>
      </w:r>
      <w:r w:rsidRPr="00EA6CC6">
        <w:t>he PBAC advised that th</w:t>
      </w:r>
      <w:r w:rsidR="000C03D6">
        <w:t>e</w:t>
      </w:r>
      <w:r w:rsidRPr="00EA6CC6">
        <w:t xml:space="preserve"> proposed</w:t>
      </w:r>
      <w:r w:rsidR="000C03D6">
        <w:t xml:space="preserve"> lower</w:t>
      </w:r>
      <w:r w:rsidRPr="00EA6CC6">
        <w:t xml:space="preserve"> price</w:t>
      </w:r>
      <w:r w:rsidR="000C03D6">
        <w:t xml:space="preserve"> did not resolve the issues regarding the </w:t>
      </w:r>
      <w:r w:rsidR="00C85221">
        <w:t>likely</w:t>
      </w:r>
      <w:r w:rsidR="000C03D6">
        <w:t xml:space="preserve"> inferior efficacy</w:t>
      </w:r>
      <w:r w:rsidRPr="00EA6CC6">
        <w:t xml:space="preserve">. </w:t>
      </w:r>
      <w:r w:rsidR="008C1E8C" w:rsidRPr="00EA6CC6">
        <w:t xml:space="preserve">The PBAC </w:t>
      </w:r>
      <w:r w:rsidR="000C03D6">
        <w:t>suggested, based on the inferior efficacy</w:t>
      </w:r>
      <w:r w:rsidR="00C85221">
        <w:t xml:space="preserve"> versus alternative bDM</w:t>
      </w:r>
      <w:r w:rsidR="000C03D6">
        <w:t>ARDs</w:t>
      </w:r>
      <w:r w:rsidR="00C85221">
        <w:t>,</w:t>
      </w:r>
      <w:r w:rsidR="000C03D6">
        <w:t xml:space="preserve"> that a comparison versus </w:t>
      </w:r>
      <w:r w:rsidR="008C1E8C">
        <w:t xml:space="preserve">conventional DMARDs, such as </w:t>
      </w:r>
      <w:proofErr w:type="spellStart"/>
      <w:r w:rsidR="008C1E8C">
        <w:t>leflunomide</w:t>
      </w:r>
      <w:proofErr w:type="spellEnd"/>
      <w:r w:rsidR="008C1E8C">
        <w:t xml:space="preserve">, </w:t>
      </w:r>
      <w:r w:rsidR="000C03D6">
        <w:t>may be informative in any resubmission</w:t>
      </w:r>
      <w:r w:rsidR="008C1E8C">
        <w:t>.</w:t>
      </w:r>
    </w:p>
    <w:p w:rsidR="00F752CE" w:rsidRPr="00F752CE" w:rsidRDefault="00F752CE" w:rsidP="00F752CE">
      <w:pPr>
        <w:numPr>
          <w:ilvl w:val="1"/>
          <w:numId w:val="3"/>
        </w:numPr>
        <w:spacing w:after="120"/>
        <w:rPr>
          <w:rFonts w:asciiTheme="minorHAnsi" w:hAnsiTheme="minorHAnsi"/>
          <w:bCs/>
          <w:lang w:val="en-GB"/>
        </w:rPr>
      </w:pPr>
      <w:r w:rsidRPr="00426BFB">
        <w:rPr>
          <w:rFonts w:asciiTheme="minorHAnsi" w:hAnsiTheme="minorHAnsi"/>
          <w:bCs/>
          <w:lang w:val="en-GB"/>
        </w:rPr>
        <w:t xml:space="preserve">The PBAC considered that any resubmission must be a major submission and should address the </w:t>
      </w:r>
      <w:r>
        <w:rPr>
          <w:rFonts w:asciiTheme="minorHAnsi" w:hAnsiTheme="minorHAnsi"/>
          <w:bCs/>
          <w:lang w:val="en-GB"/>
        </w:rPr>
        <w:t>clinical</w:t>
      </w:r>
      <w:r w:rsidRPr="00426BFB">
        <w:rPr>
          <w:rFonts w:asciiTheme="minorHAnsi" w:hAnsiTheme="minorHAnsi"/>
          <w:bCs/>
          <w:lang w:val="en-GB"/>
        </w:rPr>
        <w:t xml:space="preserve"> issue</w:t>
      </w:r>
      <w:r>
        <w:rPr>
          <w:rFonts w:asciiTheme="minorHAnsi" w:hAnsiTheme="minorHAnsi"/>
          <w:bCs/>
          <w:lang w:val="en-GB"/>
        </w:rPr>
        <w:t>s as</w:t>
      </w:r>
      <w:r w:rsidRPr="00426BFB">
        <w:rPr>
          <w:rFonts w:asciiTheme="minorHAnsi" w:hAnsiTheme="minorHAnsi"/>
          <w:bCs/>
          <w:lang w:val="en-GB"/>
        </w:rPr>
        <w:t xml:space="preserve"> raised </w:t>
      </w:r>
      <w:r>
        <w:rPr>
          <w:rFonts w:asciiTheme="minorHAnsi" w:hAnsiTheme="minorHAnsi"/>
          <w:bCs/>
          <w:lang w:val="en-GB"/>
        </w:rPr>
        <w:t>above</w:t>
      </w:r>
      <w:r w:rsidRPr="00426BFB">
        <w:rPr>
          <w:rFonts w:asciiTheme="minorHAnsi" w:hAnsiTheme="minorHAnsi"/>
          <w:bCs/>
          <w:lang w:val="en-GB"/>
        </w:rPr>
        <w:t xml:space="preserve">. </w:t>
      </w:r>
    </w:p>
    <w:p w:rsidR="0087355E" w:rsidRPr="00EA6CC6" w:rsidRDefault="0087355E" w:rsidP="00EA6CC6">
      <w:pPr>
        <w:numPr>
          <w:ilvl w:val="1"/>
          <w:numId w:val="3"/>
        </w:numPr>
        <w:spacing w:after="160"/>
      </w:pPr>
      <w:r w:rsidRPr="00D8553E">
        <w:rPr>
          <w:rFonts w:asciiTheme="minorHAnsi" w:hAnsiTheme="minorHAnsi"/>
          <w:bCs/>
          <w:lang w:val="en-GB"/>
        </w:rPr>
        <w:t>The PBA</w:t>
      </w:r>
      <w:r>
        <w:rPr>
          <w:rFonts w:asciiTheme="minorHAnsi" w:hAnsiTheme="minorHAnsi"/>
          <w:bCs/>
          <w:lang w:val="en-GB"/>
        </w:rPr>
        <w:t>C noted that this submission is</w:t>
      </w:r>
      <w:r w:rsidRPr="00D8553E">
        <w:rPr>
          <w:rFonts w:asciiTheme="minorHAnsi" w:hAnsiTheme="minorHAnsi"/>
          <w:bCs/>
          <w:lang w:val="en-GB"/>
        </w:rPr>
        <w:t xml:space="preserve"> eligible for an Independent Review.</w:t>
      </w:r>
    </w:p>
    <w:p w:rsidR="002526EF" w:rsidRDefault="00BA4068" w:rsidP="002526EF">
      <w:pPr>
        <w:spacing w:after="120"/>
        <w:rPr>
          <w:rFonts w:asciiTheme="minorHAnsi" w:hAnsiTheme="minorHAnsi"/>
          <w:b/>
          <w:bCs/>
          <w:szCs w:val="24"/>
        </w:rPr>
      </w:pPr>
      <w:r w:rsidRPr="00B67B6B">
        <w:rPr>
          <w:rFonts w:asciiTheme="minorHAnsi" w:hAnsiTheme="minorHAnsi"/>
          <w:b/>
          <w:bCs/>
          <w:szCs w:val="24"/>
        </w:rPr>
        <w:t>Outcome:</w:t>
      </w:r>
    </w:p>
    <w:p w:rsidR="00BA4068" w:rsidRDefault="00BA4068" w:rsidP="002526EF">
      <w:pPr>
        <w:spacing w:after="120"/>
        <w:rPr>
          <w:rFonts w:asciiTheme="minorHAnsi" w:hAnsiTheme="minorHAnsi"/>
          <w:bCs/>
          <w:szCs w:val="24"/>
          <w:lang w:val="en-GB"/>
        </w:rPr>
      </w:pPr>
      <w:r w:rsidRPr="00BA4068">
        <w:rPr>
          <w:rFonts w:asciiTheme="minorHAnsi" w:hAnsiTheme="minorHAnsi"/>
          <w:bCs/>
          <w:szCs w:val="24"/>
          <w:lang w:val="en-GB"/>
        </w:rPr>
        <w:t xml:space="preserve">Rejected </w:t>
      </w:r>
    </w:p>
    <w:p w:rsidR="00F55365" w:rsidRPr="002526EF" w:rsidRDefault="00F55365" w:rsidP="002526EF">
      <w:pPr>
        <w:spacing w:after="120"/>
        <w:rPr>
          <w:rFonts w:asciiTheme="minorHAnsi" w:hAnsiTheme="minorHAnsi"/>
          <w:b/>
          <w:bCs/>
          <w:szCs w:val="24"/>
        </w:rPr>
      </w:pPr>
    </w:p>
    <w:p w:rsidR="00CC4303" w:rsidRPr="00CC4303" w:rsidRDefault="00CC4303" w:rsidP="00F55365">
      <w:pPr>
        <w:numPr>
          <w:ilvl w:val="0"/>
          <w:numId w:val="3"/>
        </w:numPr>
        <w:spacing w:before="120" w:after="120"/>
        <w:outlineLvl w:val="0"/>
        <w:rPr>
          <w:rFonts w:asciiTheme="minorHAnsi" w:eastAsiaTheme="minorHAnsi" w:hAnsiTheme="minorHAnsi" w:cstheme="minorBidi"/>
          <w:b/>
          <w:snapToGrid/>
          <w:sz w:val="32"/>
        </w:rPr>
      </w:pPr>
      <w:r w:rsidRPr="00CC4303">
        <w:rPr>
          <w:rFonts w:asciiTheme="minorHAnsi" w:eastAsiaTheme="minorHAnsi" w:hAnsiTheme="minorHAnsi" w:cstheme="minorBidi"/>
          <w:b/>
          <w:snapToGrid/>
          <w:sz w:val="32"/>
        </w:rPr>
        <w:t>Context for Decision</w:t>
      </w:r>
    </w:p>
    <w:p w:rsidR="00CC4303" w:rsidRDefault="00CC4303" w:rsidP="00CC4303">
      <w:pPr>
        <w:widowControl/>
        <w:spacing w:line="276" w:lineRule="auto"/>
        <w:ind w:left="426"/>
        <w:rPr>
          <w:rFonts w:asciiTheme="minorHAnsi" w:eastAsiaTheme="minorHAnsi" w:hAnsiTheme="minorHAnsi"/>
          <w:snapToGrid/>
        </w:rPr>
      </w:pPr>
      <w:r w:rsidRPr="00CC4303">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55365" w:rsidRPr="00CC4303" w:rsidRDefault="00F55365" w:rsidP="00CC4303">
      <w:pPr>
        <w:widowControl/>
        <w:spacing w:line="276" w:lineRule="auto"/>
        <w:ind w:left="426"/>
        <w:rPr>
          <w:rFonts w:asciiTheme="minorHAnsi" w:eastAsiaTheme="minorHAnsi" w:hAnsiTheme="minorHAnsi"/>
          <w:snapToGrid/>
        </w:rPr>
      </w:pPr>
    </w:p>
    <w:p w:rsidR="00CC4303" w:rsidRDefault="00CC4303" w:rsidP="00F55365">
      <w:pPr>
        <w:numPr>
          <w:ilvl w:val="0"/>
          <w:numId w:val="3"/>
        </w:numPr>
        <w:spacing w:before="120" w:after="120"/>
        <w:outlineLvl w:val="0"/>
        <w:rPr>
          <w:rFonts w:asciiTheme="minorHAnsi" w:eastAsiaTheme="minorHAnsi" w:hAnsiTheme="minorHAnsi" w:cstheme="minorBidi"/>
          <w:b/>
          <w:snapToGrid/>
          <w:sz w:val="32"/>
        </w:rPr>
      </w:pPr>
      <w:r w:rsidRPr="00CC4303">
        <w:rPr>
          <w:rFonts w:asciiTheme="minorHAnsi" w:eastAsiaTheme="minorHAnsi" w:hAnsiTheme="minorHAnsi" w:cstheme="minorBidi"/>
          <w:b/>
          <w:snapToGrid/>
          <w:sz w:val="32"/>
        </w:rPr>
        <w:t xml:space="preserve"> Sponsor’s Comment</w:t>
      </w:r>
    </w:p>
    <w:p w:rsidR="00CC4303" w:rsidRPr="00CC4303" w:rsidRDefault="00CC4303" w:rsidP="00CC4303">
      <w:pPr>
        <w:widowControl/>
        <w:spacing w:after="120" w:line="276" w:lineRule="auto"/>
        <w:ind w:left="426"/>
        <w:rPr>
          <w:rFonts w:asciiTheme="minorHAnsi" w:eastAsiaTheme="minorHAnsi" w:hAnsiTheme="minorHAnsi"/>
          <w:bCs/>
          <w:snapToGrid/>
        </w:rPr>
      </w:pPr>
      <w:r w:rsidRPr="00CC4303">
        <w:rPr>
          <w:rFonts w:asciiTheme="minorHAnsi" w:eastAsiaTheme="minorHAnsi" w:hAnsiTheme="minorHAnsi"/>
          <w:bCs/>
          <w:snapToGrid/>
        </w:rPr>
        <w:t>The sponsor had no comment.</w:t>
      </w:r>
    </w:p>
    <w:p w:rsidR="00BA4068" w:rsidRPr="00843342" w:rsidRDefault="00BA4068" w:rsidP="00BA4068"/>
    <w:sectPr w:rsidR="00BA4068" w:rsidRPr="00843342" w:rsidSect="00E21358">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855B6D" w15:done="0"/>
  <w15:commentEx w15:paraId="5924AD70" w15:done="0"/>
  <w15:commentEx w15:paraId="278D9A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04" w:rsidRDefault="00F26804" w:rsidP="00124A51">
      <w:r>
        <w:separator/>
      </w:r>
    </w:p>
    <w:p w:rsidR="00F26804" w:rsidRDefault="00F26804"/>
  </w:endnote>
  <w:endnote w:type="continuationSeparator" w:id="0">
    <w:p w:rsidR="00F26804" w:rsidRDefault="00F26804" w:rsidP="00124A51">
      <w:r>
        <w:continuationSeparator/>
      </w:r>
    </w:p>
    <w:p w:rsidR="00F26804" w:rsidRDefault="00F26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04" w:rsidRDefault="00F26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629305"/>
      <w:docPartObj>
        <w:docPartGallery w:val="Page Numbers (Bottom of Page)"/>
        <w:docPartUnique/>
      </w:docPartObj>
    </w:sdtPr>
    <w:sdtEndPr>
      <w:rPr>
        <w:noProof/>
      </w:rPr>
    </w:sdtEndPr>
    <w:sdtContent>
      <w:p w:rsidR="00DA4FB3" w:rsidRDefault="00DA4FB3">
        <w:pPr>
          <w:pStyle w:val="Footer"/>
          <w:jc w:val="center"/>
        </w:pPr>
        <w:r>
          <w:fldChar w:fldCharType="begin"/>
        </w:r>
        <w:r>
          <w:instrText xml:space="preserve"> PAGE   \* MERGEFORMAT </w:instrText>
        </w:r>
        <w:r>
          <w:fldChar w:fldCharType="separate"/>
        </w:r>
        <w:r w:rsidR="00F26804">
          <w:rPr>
            <w:noProof/>
          </w:rPr>
          <w:t>1</w:t>
        </w:r>
        <w:r>
          <w:rPr>
            <w:noProof/>
          </w:rPr>
          <w:fldChar w:fldCharType="end"/>
        </w:r>
      </w:p>
    </w:sdtContent>
  </w:sdt>
  <w:p w:rsidR="00DA4FB3" w:rsidRDefault="00DA4F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04" w:rsidRDefault="00F26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04" w:rsidRDefault="00F26804" w:rsidP="00124A51">
      <w:r>
        <w:separator/>
      </w:r>
    </w:p>
    <w:p w:rsidR="00F26804" w:rsidRDefault="00F26804"/>
  </w:footnote>
  <w:footnote w:type="continuationSeparator" w:id="0">
    <w:p w:rsidR="00F26804" w:rsidRDefault="00F26804" w:rsidP="00124A51">
      <w:r>
        <w:continuationSeparator/>
      </w:r>
    </w:p>
    <w:p w:rsidR="00F26804" w:rsidRDefault="00F268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04" w:rsidRDefault="00F268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270" w:rsidRPr="00942A04" w:rsidRDefault="00F03270" w:rsidP="00DF7A1C">
    <w:pPr>
      <w:tabs>
        <w:tab w:val="left" w:pos="142"/>
        <w:tab w:val="right" w:pos="9027"/>
      </w:tabs>
      <w:jc w:val="center"/>
      <w:rPr>
        <w:rFonts w:asciiTheme="minorHAnsi" w:hAnsiTheme="minorHAnsi"/>
        <w:i/>
        <w:sz w:val="22"/>
      </w:rPr>
    </w:pPr>
    <w:r w:rsidRPr="00942A04">
      <w:rPr>
        <w:rFonts w:asciiTheme="minorHAnsi" w:hAnsiTheme="minorHAnsi"/>
        <w:i/>
        <w:sz w:val="22"/>
      </w:rPr>
      <w:t>Public Summary Document - March 2018 PBAC Meeting</w:t>
    </w:r>
  </w:p>
  <w:p w:rsidR="00DA4FB3" w:rsidRDefault="00DA4F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04" w:rsidRDefault="00F26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7808"/>
    <w:multiLevelType w:val="hybridMultilevel"/>
    <w:tmpl w:val="A480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055B35"/>
    <w:multiLevelType w:val="hybridMultilevel"/>
    <w:tmpl w:val="72BE7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1593C"/>
    <w:multiLevelType w:val="hybridMultilevel"/>
    <w:tmpl w:val="7234AD88"/>
    <w:lvl w:ilvl="0" w:tplc="BC98A73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4F2298"/>
    <w:multiLevelType w:val="hybridMultilevel"/>
    <w:tmpl w:val="26DAF9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BC4375"/>
    <w:multiLevelType w:val="hybridMultilevel"/>
    <w:tmpl w:val="5746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226CC2"/>
    <w:multiLevelType w:val="hybridMultilevel"/>
    <w:tmpl w:val="3128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AB7734"/>
    <w:multiLevelType w:val="hybridMultilevel"/>
    <w:tmpl w:val="A6B04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AD16E0"/>
    <w:multiLevelType w:val="hybridMultilevel"/>
    <w:tmpl w:val="8B6E5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843EE4"/>
    <w:multiLevelType w:val="hybridMultilevel"/>
    <w:tmpl w:val="DD48A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695C5B"/>
    <w:multiLevelType w:val="hybridMultilevel"/>
    <w:tmpl w:val="BF08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DB0416"/>
    <w:multiLevelType w:val="hybridMultilevel"/>
    <w:tmpl w:val="D5E2F9A0"/>
    <w:lvl w:ilvl="0" w:tplc="645A49B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411ABC"/>
    <w:multiLevelType w:val="hybridMultilevel"/>
    <w:tmpl w:val="2FDC6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1B418B"/>
    <w:multiLevelType w:val="hybridMultilevel"/>
    <w:tmpl w:val="9B962F34"/>
    <w:lvl w:ilvl="0" w:tplc="2A9C2B8A">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nsid w:val="2655405B"/>
    <w:multiLevelType w:val="hybridMultilevel"/>
    <w:tmpl w:val="4734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C57530"/>
    <w:multiLevelType w:val="multilevel"/>
    <w:tmpl w:val="6B4A72DC"/>
    <w:lvl w:ilvl="0">
      <w:start w:val="2"/>
      <w:numFmt w:val="decimal"/>
      <w:lvlText w:val="%1"/>
      <w:lvlJc w:val="left"/>
      <w:pPr>
        <w:ind w:left="720" w:hanging="720"/>
      </w:pPr>
      <w:rPr>
        <w:rFonts w:hint="default"/>
        <w:b/>
      </w:rPr>
    </w:lvl>
    <w:lvl w:ilvl="1">
      <w:start w:val="1"/>
      <w:numFmt w:val="decimal"/>
      <w:lvlText w:val="6.%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87E2A2E"/>
    <w:multiLevelType w:val="hybridMultilevel"/>
    <w:tmpl w:val="303A988C"/>
    <w:lvl w:ilvl="0" w:tplc="CD5E3D04">
      <w:numFmt w:val="bullet"/>
      <w:lvlText w:val="-"/>
      <w:lvlJc w:val="left"/>
      <w:pPr>
        <w:ind w:left="748" w:hanging="360"/>
      </w:pPr>
      <w:rPr>
        <w:rFonts w:ascii="Calibri" w:eastAsia="Times New Roman" w:hAnsi="Calibri" w:cs="Aria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7">
    <w:nsid w:val="29A13610"/>
    <w:multiLevelType w:val="hybridMultilevel"/>
    <w:tmpl w:val="778495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2F8948B4"/>
    <w:multiLevelType w:val="hybridMultilevel"/>
    <w:tmpl w:val="BCE633D8"/>
    <w:lvl w:ilvl="0" w:tplc="645A49B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7C34E2"/>
    <w:multiLevelType w:val="hybridMultilevel"/>
    <w:tmpl w:val="FD2E9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A53A0B"/>
    <w:multiLevelType w:val="hybridMultilevel"/>
    <w:tmpl w:val="D998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A7205C"/>
    <w:multiLevelType w:val="hybridMultilevel"/>
    <w:tmpl w:val="270C5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CA4E28"/>
    <w:multiLevelType w:val="hybridMultilevel"/>
    <w:tmpl w:val="12A0C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761491"/>
    <w:multiLevelType w:val="hybridMultilevel"/>
    <w:tmpl w:val="6A42E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FD7A5F"/>
    <w:multiLevelType w:val="hybridMultilevel"/>
    <w:tmpl w:val="D00CD19A"/>
    <w:lvl w:ilvl="0" w:tplc="10C0E41E">
      <w:numFmt w:val="bullet"/>
      <w:lvlText w:val="-"/>
      <w:lvlJc w:val="left"/>
      <w:pPr>
        <w:ind w:left="748" w:hanging="360"/>
      </w:pPr>
      <w:rPr>
        <w:rFonts w:ascii="Calibri" w:eastAsia="Times New Roman" w:hAnsi="Calibri" w:cs="Aria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8">
    <w:nsid w:val="4C010A71"/>
    <w:multiLevelType w:val="hybridMultilevel"/>
    <w:tmpl w:val="9D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4434A6"/>
    <w:multiLevelType w:val="hybridMultilevel"/>
    <w:tmpl w:val="16E46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581BB4"/>
    <w:multiLevelType w:val="hybridMultilevel"/>
    <w:tmpl w:val="23B6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E749CD"/>
    <w:multiLevelType w:val="hybridMultilevel"/>
    <w:tmpl w:val="E2380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A31117"/>
    <w:multiLevelType w:val="hybridMultilevel"/>
    <w:tmpl w:val="88A84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DC1281"/>
    <w:multiLevelType w:val="hybridMultilevel"/>
    <w:tmpl w:val="45867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D9A008E"/>
    <w:multiLevelType w:val="hybridMultilevel"/>
    <w:tmpl w:val="E440F030"/>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297989"/>
    <w:multiLevelType w:val="hybridMultilevel"/>
    <w:tmpl w:val="B6BA8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388695F"/>
    <w:multiLevelType w:val="hybridMultilevel"/>
    <w:tmpl w:val="7EB08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54B0628"/>
    <w:multiLevelType w:val="hybridMultilevel"/>
    <w:tmpl w:val="DCD0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4D033C"/>
    <w:multiLevelType w:val="multilevel"/>
    <w:tmpl w:val="9FE2298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C1D339B"/>
    <w:multiLevelType w:val="hybridMultilevel"/>
    <w:tmpl w:val="F3D0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A0031A"/>
    <w:multiLevelType w:val="hybridMultilevel"/>
    <w:tmpl w:val="40160ED4"/>
    <w:lvl w:ilvl="0" w:tplc="645A49B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F83B9D"/>
    <w:multiLevelType w:val="hybridMultilevel"/>
    <w:tmpl w:val="5FEAF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38"/>
  </w:num>
  <w:num w:numId="4">
    <w:abstractNumId w:val="41"/>
  </w:num>
  <w:num w:numId="5">
    <w:abstractNumId w:val="30"/>
  </w:num>
  <w:num w:numId="6">
    <w:abstractNumId w:val="28"/>
  </w:num>
  <w:num w:numId="7">
    <w:abstractNumId w:val="24"/>
  </w:num>
  <w:num w:numId="8">
    <w:abstractNumId w:val="26"/>
  </w:num>
  <w:num w:numId="9">
    <w:abstractNumId w:val="19"/>
  </w:num>
  <w:num w:numId="10">
    <w:abstractNumId w:val="40"/>
  </w:num>
  <w:num w:numId="11">
    <w:abstractNumId w:val="11"/>
  </w:num>
  <w:num w:numId="12">
    <w:abstractNumId w:val="13"/>
  </w:num>
  <w:num w:numId="13">
    <w:abstractNumId w:val="34"/>
  </w:num>
  <w:num w:numId="14">
    <w:abstractNumId w:val="18"/>
  </w:num>
  <w:num w:numId="15">
    <w:abstractNumId w:val="17"/>
  </w:num>
  <w:num w:numId="16">
    <w:abstractNumId w:val="29"/>
  </w:num>
  <w:num w:numId="17">
    <w:abstractNumId w:val="23"/>
  </w:num>
  <w:num w:numId="18">
    <w:abstractNumId w:val="5"/>
  </w:num>
  <w:num w:numId="19">
    <w:abstractNumId w:val="6"/>
  </w:num>
  <w:num w:numId="20">
    <w:abstractNumId w:val="9"/>
  </w:num>
  <w:num w:numId="21">
    <w:abstractNumId w:val="37"/>
  </w:num>
  <w:num w:numId="22">
    <w:abstractNumId w:val="35"/>
  </w:num>
  <w:num w:numId="23">
    <w:abstractNumId w:val="21"/>
  </w:num>
  <w:num w:numId="24">
    <w:abstractNumId w:val="22"/>
  </w:num>
  <w:num w:numId="25">
    <w:abstractNumId w:val="25"/>
  </w:num>
  <w:num w:numId="26">
    <w:abstractNumId w:val="39"/>
  </w:num>
  <w:num w:numId="27">
    <w:abstractNumId w:val="31"/>
  </w:num>
  <w:num w:numId="28">
    <w:abstractNumId w:val="7"/>
  </w:num>
  <w:num w:numId="29">
    <w:abstractNumId w:val="1"/>
  </w:num>
  <w:num w:numId="30">
    <w:abstractNumId w:val="33"/>
  </w:num>
  <w:num w:numId="31">
    <w:abstractNumId w:val="32"/>
  </w:num>
  <w:num w:numId="32">
    <w:abstractNumId w:val="14"/>
  </w:num>
  <w:num w:numId="33">
    <w:abstractNumId w:val="10"/>
  </w:num>
  <w:num w:numId="34">
    <w:abstractNumId w:val="36"/>
  </w:num>
  <w:num w:numId="35">
    <w:abstractNumId w:val="15"/>
  </w:num>
  <w:num w:numId="36">
    <w:abstractNumId w:val="0"/>
  </w:num>
  <w:num w:numId="37">
    <w:abstractNumId w:val="4"/>
  </w:num>
  <w:num w:numId="38">
    <w:abstractNumId w:val="3"/>
  </w:num>
  <w:num w:numId="39">
    <w:abstractNumId w:val="16"/>
  </w:num>
  <w:num w:numId="40">
    <w:abstractNumId w:val="27"/>
  </w:num>
  <w:num w:numId="41">
    <w:abstractNumId w:val="8"/>
  </w:num>
  <w:num w:numId="42">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hijben">
    <w15:presenceInfo w15:providerId="AD" w15:userId="S-1-5-21-948756243-734778046-674738317-15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499"/>
    <w:rsid w:val="0000059B"/>
    <w:rsid w:val="00000790"/>
    <w:rsid w:val="00000D9A"/>
    <w:rsid w:val="0000110B"/>
    <w:rsid w:val="0000251F"/>
    <w:rsid w:val="00003076"/>
    <w:rsid w:val="00003499"/>
    <w:rsid w:val="000039B7"/>
    <w:rsid w:val="00003A3B"/>
    <w:rsid w:val="00003DF0"/>
    <w:rsid w:val="00004C5C"/>
    <w:rsid w:val="00005B22"/>
    <w:rsid w:val="00007621"/>
    <w:rsid w:val="00010C77"/>
    <w:rsid w:val="000121DB"/>
    <w:rsid w:val="0001238F"/>
    <w:rsid w:val="00013247"/>
    <w:rsid w:val="00013F7D"/>
    <w:rsid w:val="00014CFC"/>
    <w:rsid w:val="00015886"/>
    <w:rsid w:val="00015980"/>
    <w:rsid w:val="00015A15"/>
    <w:rsid w:val="00015E09"/>
    <w:rsid w:val="000161BB"/>
    <w:rsid w:val="000162EF"/>
    <w:rsid w:val="000170DB"/>
    <w:rsid w:val="00017AFA"/>
    <w:rsid w:val="00020096"/>
    <w:rsid w:val="00020614"/>
    <w:rsid w:val="000206E3"/>
    <w:rsid w:val="00020BA5"/>
    <w:rsid w:val="00021BE6"/>
    <w:rsid w:val="00021C3B"/>
    <w:rsid w:val="0002225F"/>
    <w:rsid w:val="000225C4"/>
    <w:rsid w:val="00022A8D"/>
    <w:rsid w:val="00022CC1"/>
    <w:rsid w:val="00023312"/>
    <w:rsid w:val="00023472"/>
    <w:rsid w:val="00023682"/>
    <w:rsid w:val="00023763"/>
    <w:rsid w:val="00023F50"/>
    <w:rsid w:val="00026659"/>
    <w:rsid w:val="00027615"/>
    <w:rsid w:val="000277C7"/>
    <w:rsid w:val="00027DD2"/>
    <w:rsid w:val="00032331"/>
    <w:rsid w:val="00032D73"/>
    <w:rsid w:val="00033863"/>
    <w:rsid w:val="00033A06"/>
    <w:rsid w:val="00034DF8"/>
    <w:rsid w:val="00035221"/>
    <w:rsid w:val="00035DC0"/>
    <w:rsid w:val="00036829"/>
    <w:rsid w:val="00036FD3"/>
    <w:rsid w:val="00040560"/>
    <w:rsid w:val="00040895"/>
    <w:rsid w:val="00040CF4"/>
    <w:rsid w:val="00041335"/>
    <w:rsid w:val="00041EC3"/>
    <w:rsid w:val="00043C37"/>
    <w:rsid w:val="00045017"/>
    <w:rsid w:val="00045A2B"/>
    <w:rsid w:val="00045ED9"/>
    <w:rsid w:val="000465E7"/>
    <w:rsid w:val="0004698F"/>
    <w:rsid w:val="0004702A"/>
    <w:rsid w:val="00047617"/>
    <w:rsid w:val="00047BE2"/>
    <w:rsid w:val="00047FF7"/>
    <w:rsid w:val="00050483"/>
    <w:rsid w:val="00050748"/>
    <w:rsid w:val="00051A91"/>
    <w:rsid w:val="00051CEF"/>
    <w:rsid w:val="000529A3"/>
    <w:rsid w:val="00053330"/>
    <w:rsid w:val="000539D0"/>
    <w:rsid w:val="00054621"/>
    <w:rsid w:val="000546D7"/>
    <w:rsid w:val="000554F2"/>
    <w:rsid w:val="00056794"/>
    <w:rsid w:val="00056DD4"/>
    <w:rsid w:val="00057047"/>
    <w:rsid w:val="00057C75"/>
    <w:rsid w:val="00060132"/>
    <w:rsid w:val="000605DF"/>
    <w:rsid w:val="00063446"/>
    <w:rsid w:val="0006377E"/>
    <w:rsid w:val="00064749"/>
    <w:rsid w:val="00065DDF"/>
    <w:rsid w:val="00066360"/>
    <w:rsid w:val="00066C80"/>
    <w:rsid w:val="00067554"/>
    <w:rsid w:val="00071158"/>
    <w:rsid w:val="00071248"/>
    <w:rsid w:val="00071AB2"/>
    <w:rsid w:val="000720B9"/>
    <w:rsid w:val="00072788"/>
    <w:rsid w:val="00072FC6"/>
    <w:rsid w:val="000737F7"/>
    <w:rsid w:val="0007542B"/>
    <w:rsid w:val="0007630E"/>
    <w:rsid w:val="000765AE"/>
    <w:rsid w:val="0007672F"/>
    <w:rsid w:val="00076929"/>
    <w:rsid w:val="000773AF"/>
    <w:rsid w:val="000774F0"/>
    <w:rsid w:val="00077950"/>
    <w:rsid w:val="00080909"/>
    <w:rsid w:val="00081013"/>
    <w:rsid w:val="000812CA"/>
    <w:rsid w:val="0008141A"/>
    <w:rsid w:val="000817CB"/>
    <w:rsid w:val="0008258D"/>
    <w:rsid w:val="00082C54"/>
    <w:rsid w:val="00083B06"/>
    <w:rsid w:val="00083E42"/>
    <w:rsid w:val="00083E99"/>
    <w:rsid w:val="0008411D"/>
    <w:rsid w:val="00085024"/>
    <w:rsid w:val="000856C5"/>
    <w:rsid w:val="000867A0"/>
    <w:rsid w:val="000900C9"/>
    <w:rsid w:val="0009064B"/>
    <w:rsid w:val="00090C7E"/>
    <w:rsid w:val="0009149D"/>
    <w:rsid w:val="00092150"/>
    <w:rsid w:val="0009221C"/>
    <w:rsid w:val="0009257C"/>
    <w:rsid w:val="00092600"/>
    <w:rsid w:val="0009262B"/>
    <w:rsid w:val="00093310"/>
    <w:rsid w:val="000940F0"/>
    <w:rsid w:val="00094443"/>
    <w:rsid w:val="0009445C"/>
    <w:rsid w:val="00094699"/>
    <w:rsid w:val="00094724"/>
    <w:rsid w:val="00095D24"/>
    <w:rsid w:val="00095FE5"/>
    <w:rsid w:val="00096284"/>
    <w:rsid w:val="00097389"/>
    <w:rsid w:val="000A0A37"/>
    <w:rsid w:val="000A11D2"/>
    <w:rsid w:val="000A1F11"/>
    <w:rsid w:val="000A32CB"/>
    <w:rsid w:val="000A579A"/>
    <w:rsid w:val="000A60A5"/>
    <w:rsid w:val="000A686A"/>
    <w:rsid w:val="000A7125"/>
    <w:rsid w:val="000A7D08"/>
    <w:rsid w:val="000B0670"/>
    <w:rsid w:val="000B0E75"/>
    <w:rsid w:val="000B1A5E"/>
    <w:rsid w:val="000B209F"/>
    <w:rsid w:val="000B230F"/>
    <w:rsid w:val="000B3E58"/>
    <w:rsid w:val="000B62C6"/>
    <w:rsid w:val="000B6CAC"/>
    <w:rsid w:val="000B7612"/>
    <w:rsid w:val="000B79B3"/>
    <w:rsid w:val="000C03D6"/>
    <w:rsid w:val="000C1154"/>
    <w:rsid w:val="000C150F"/>
    <w:rsid w:val="000C1BED"/>
    <w:rsid w:val="000C1F17"/>
    <w:rsid w:val="000C22B1"/>
    <w:rsid w:val="000C27BF"/>
    <w:rsid w:val="000C2D6B"/>
    <w:rsid w:val="000C3872"/>
    <w:rsid w:val="000C39A2"/>
    <w:rsid w:val="000C3A0B"/>
    <w:rsid w:val="000C3BD2"/>
    <w:rsid w:val="000C3DF9"/>
    <w:rsid w:val="000C493E"/>
    <w:rsid w:val="000C5183"/>
    <w:rsid w:val="000C6713"/>
    <w:rsid w:val="000C6F09"/>
    <w:rsid w:val="000D0BB3"/>
    <w:rsid w:val="000D116B"/>
    <w:rsid w:val="000D1174"/>
    <w:rsid w:val="000D1BFC"/>
    <w:rsid w:val="000D281A"/>
    <w:rsid w:val="000D2A4E"/>
    <w:rsid w:val="000D326A"/>
    <w:rsid w:val="000D51FB"/>
    <w:rsid w:val="000D6D06"/>
    <w:rsid w:val="000D75CB"/>
    <w:rsid w:val="000D7738"/>
    <w:rsid w:val="000D78D3"/>
    <w:rsid w:val="000D7C16"/>
    <w:rsid w:val="000E135D"/>
    <w:rsid w:val="000E1E63"/>
    <w:rsid w:val="000E1FFC"/>
    <w:rsid w:val="000E2A42"/>
    <w:rsid w:val="000E3059"/>
    <w:rsid w:val="000E3A8E"/>
    <w:rsid w:val="000E3B02"/>
    <w:rsid w:val="000E491E"/>
    <w:rsid w:val="000E7732"/>
    <w:rsid w:val="000F00BA"/>
    <w:rsid w:val="000F183D"/>
    <w:rsid w:val="000F1AFA"/>
    <w:rsid w:val="000F1D56"/>
    <w:rsid w:val="000F2E00"/>
    <w:rsid w:val="000F316A"/>
    <w:rsid w:val="000F3C74"/>
    <w:rsid w:val="000F4327"/>
    <w:rsid w:val="000F4743"/>
    <w:rsid w:val="000F487F"/>
    <w:rsid w:val="000F4AFA"/>
    <w:rsid w:val="000F4BB8"/>
    <w:rsid w:val="000F504E"/>
    <w:rsid w:val="000F6AD9"/>
    <w:rsid w:val="000F6C41"/>
    <w:rsid w:val="000F7127"/>
    <w:rsid w:val="000F7919"/>
    <w:rsid w:val="000F7BDD"/>
    <w:rsid w:val="00100F8A"/>
    <w:rsid w:val="00101778"/>
    <w:rsid w:val="00103DEF"/>
    <w:rsid w:val="00105173"/>
    <w:rsid w:val="00105AE2"/>
    <w:rsid w:val="00105C44"/>
    <w:rsid w:val="001066F3"/>
    <w:rsid w:val="00106B80"/>
    <w:rsid w:val="00107C70"/>
    <w:rsid w:val="0011032E"/>
    <w:rsid w:val="00110795"/>
    <w:rsid w:val="00110CB7"/>
    <w:rsid w:val="001124AC"/>
    <w:rsid w:val="0011348B"/>
    <w:rsid w:val="00115982"/>
    <w:rsid w:val="001162AE"/>
    <w:rsid w:val="00116C53"/>
    <w:rsid w:val="00121799"/>
    <w:rsid w:val="001222FC"/>
    <w:rsid w:val="0012387E"/>
    <w:rsid w:val="00124A51"/>
    <w:rsid w:val="001250F7"/>
    <w:rsid w:val="001258A0"/>
    <w:rsid w:val="00125AB8"/>
    <w:rsid w:val="00126163"/>
    <w:rsid w:val="00126621"/>
    <w:rsid w:val="00126C34"/>
    <w:rsid w:val="001301E9"/>
    <w:rsid w:val="00131D82"/>
    <w:rsid w:val="00131EFA"/>
    <w:rsid w:val="00132401"/>
    <w:rsid w:val="001326A4"/>
    <w:rsid w:val="00133D36"/>
    <w:rsid w:val="00134820"/>
    <w:rsid w:val="00134903"/>
    <w:rsid w:val="001352C5"/>
    <w:rsid w:val="001352E8"/>
    <w:rsid w:val="001355B3"/>
    <w:rsid w:val="00137597"/>
    <w:rsid w:val="00137645"/>
    <w:rsid w:val="0014015A"/>
    <w:rsid w:val="00140E99"/>
    <w:rsid w:val="00140F8D"/>
    <w:rsid w:val="00140FCE"/>
    <w:rsid w:val="00141195"/>
    <w:rsid w:val="00142AED"/>
    <w:rsid w:val="0014304C"/>
    <w:rsid w:val="00143BFC"/>
    <w:rsid w:val="00143E7D"/>
    <w:rsid w:val="00145540"/>
    <w:rsid w:val="001456B0"/>
    <w:rsid w:val="00146455"/>
    <w:rsid w:val="00146CE3"/>
    <w:rsid w:val="00154D67"/>
    <w:rsid w:val="00155995"/>
    <w:rsid w:val="00156B0F"/>
    <w:rsid w:val="00157130"/>
    <w:rsid w:val="001576B1"/>
    <w:rsid w:val="00160A4C"/>
    <w:rsid w:val="00160D6F"/>
    <w:rsid w:val="00161991"/>
    <w:rsid w:val="00162913"/>
    <w:rsid w:val="00163EFF"/>
    <w:rsid w:val="00164B1C"/>
    <w:rsid w:val="00164E3A"/>
    <w:rsid w:val="001652D8"/>
    <w:rsid w:val="001661FB"/>
    <w:rsid w:val="0016631D"/>
    <w:rsid w:val="00166DE8"/>
    <w:rsid w:val="00166ECC"/>
    <w:rsid w:val="001703E7"/>
    <w:rsid w:val="001705EC"/>
    <w:rsid w:val="00173565"/>
    <w:rsid w:val="00173B07"/>
    <w:rsid w:val="00176EA4"/>
    <w:rsid w:val="00177EAA"/>
    <w:rsid w:val="00181D9C"/>
    <w:rsid w:val="001824DD"/>
    <w:rsid w:val="0018752F"/>
    <w:rsid w:val="00192F85"/>
    <w:rsid w:val="0019367D"/>
    <w:rsid w:val="001938D5"/>
    <w:rsid w:val="00195136"/>
    <w:rsid w:val="00195222"/>
    <w:rsid w:val="00195253"/>
    <w:rsid w:val="00195B84"/>
    <w:rsid w:val="00196364"/>
    <w:rsid w:val="001975D8"/>
    <w:rsid w:val="00197737"/>
    <w:rsid w:val="001A005B"/>
    <w:rsid w:val="001A1BA6"/>
    <w:rsid w:val="001A2075"/>
    <w:rsid w:val="001A3332"/>
    <w:rsid w:val="001A3D14"/>
    <w:rsid w:val="001A4375"/>
    <w:rsid w:val="001A43FA"/>
    <w:rsid w:val="001A4499"/>
    <w:rsid w:val="001A57E6"/>
    <w:rsid w:val="001A59FB"/>
    <w:rsid w:val="001A6354"/>
    <w:rsid w:val="001A7A8B"/>
    <w:rsid w:val="001A7AE8"/>
    <w:rsid w:val="001B204E"/>
    <w:rsid w:val="001B3147"/>
    <w:rsid w:val="001B3443"/>
    <w:rsid w:val="001B3B6F"/>
    <w:rsid w:val="001B4D20"/>
    <w:rsid w:val="001B55B2"/>
    <w:rsid w:val="001C08D5"/>
    <w:rsid w:val="001C0CF5"/>
    <w:rsid w:val="001C224F"/>
    <w:rsid w:val="001C2A9B"/>
    <w:rsid w:val="001C4299"/>
    <w:rsid w:val="001C4934"/>
    <w:rsid w:val="001C59C0"/>
    <w:rsid w:val="001C5DE7"/>
    <w:rsid w:val="001C5F94"/>
    <w:rsid w:val="001C6E66"/>
    <w:rsid w:val="001C7CBD"/>
    <w:rsid w:val="001D1D7E"/>
    <w:rsid w:val="001D2332"/>
    <w:rsid w:val="001D317F"/>
    <w:rsid w:val="001D3D79"/>
    <w:rsid w:val="001D3DB8"/>
    <w:rsid w:val="001D5882"/>
    <w:rsid w:val="001D59BE"/>
    <w:rsid w:val="001E0660"/>
    <w:rsid w:val="001E0683"/>
    <w:rsid w:val="001E06F6"/>
    <w:rsid w:val="001E1812"/>
    <w:rsid w:val="001E1D91"/>
    <w:rsid w:val="001E238E"/>
    <w:rsid w:val="001E2483"/>
    <w:rsid w:val="001E2B1E"/>
    <w:rsid w:val="001E30D4"/>
    <w:rsid w:val="001E3A72"/>
    <w:rsid w:val="001E52EB"/>
    <w:rsid w:val="001E60FF"/>
    <w:rsid w:val="001E6123"/>
    <w:rsid w:val="001E61D2"/>
    <w:rsid w:val="001E740C"/>
    <w:rsid w:val="001E7C29"/>
    <w:rsid w:val="001F0CF9"/>
    <w:rsid w:val="001F1235"/>
    <w:rsid w:val="001F14A2"/>
    <w:rsid w:val="001F16EF"/>
    <w:rsid w:val="001F1CB3"/>
    <w:rsid w:val="001F1EF2"/>
    <w:rsid w:val="001F2165"/>
    <w:rsid w:val="001F24B5"/>
    <w:rsid w:val="001F2794"/>
    <w:rsid w:val="001F38B5"/>
    <w:rsid w:val="001F4BB6"/>
    <w:rsid w:val="001F704A"/>
    <w:rsid w:val="001F7361"/>
    <w:rsid w:val="00200A77"/>
    <w:rsid w:val="00200F84"/>
    <w:rsid w:val="002011B0"/>
    <w:rsid w:val="00203181"/>
    <w:rsid w:val="002036CD"/>
    <w:rsid w:val="00203783"/>
    <w:rsid w:val="0020385F"/>
    <w:rsid w:val="00204D3E"/>
    <w:rsid w:val="0020648A"/>
    <w:rsid w:val="00207021"/>
    <w:rsid w:val="0020732F"/>
    <w:rsid w:val="00207D00"/>
    <w:rsid w:val="002105C1"/>
    <w:rsid w:val="0021076A"/>
    <w:rsid w:val="00210B76"/>
    <w:rsid w:val="00212CF3"/>
    <w:rsid w:val="00212E93"/>
    <w:rsid w:val="0021456C"/>
    <w:rsid w:val="00215055"/>
    <w:rsid w:val="00215E45"/>
    <w:rsid w:val="00217144"/>
    <w:rsid w:val="00220240"/>
    <w:rsid w:val="00220810"/>
    <w:rsid w:val="00220BD6"/>
    <w:rsid w:val="002218F2"/>
    <w:rsid w:val="00221DA8"/>
    <w:rsid w:val="00222161"/>
    <w:rsid w:val="002233B7"/>
    <w:rsid w:val="00223B49"/>
    <w:rsid w:val="00224DD4"/>
    <w:rsid w:val="00224F6E"/>
    <w:rsid w:val="002260E1"/>
    <w:rsid w:val="00226B18"/>
    <w:rsid w:val="002309CC"/>
    <w:rsid w:val="00231D11"/>
    <w:rsid w:val="0023209F"/>
    <w:rsid w:val="00232443"/>
    <w:rsid w:val="00232AA7"/>
    <w:rsid w:val="00233711"/>
    <w:rsid w:val="00234409"/>
    <w:rsid w:val="00234764"/>
    <w:rsid w:val="00234E18"/>
    <w:rsid w:val="00235785"/>
    <w:rsid w:val="0023629D"/>
    <w:rsid w:val="00236B9A"/>
    <w:rsid w:val="00237255"/>
    <w:rsid w:val="002379AD"/>
    <w:rsid w:val="00237BE0"/>
    <w:rsid w:val="00240474"/>
    <w:rsid w:val="00240595"/>
    <w:rsid w:val="00241729"/>
    <w:rsid w:val="002424AF"/>
    <w:rsid w:val="00242E23"/>
    <w:rsid w:val="00243569"/>
    <w:rsid w:val="002436D9"/>
    <w:rsid w:val="002439DC"/>
    <w:rsid w:val="00244331"/>
    <w:rsid w:val="00244DC8"/>
    <w:rsid w:val="00244E0F"/>
    <w:rsid w:val="002450F9"/>
    <w:rsid w:val="002458BA"/>
    <w:rsid w:val="002461C8"/>
    <w:rsid w:val="0024636C"/>
    <w:rsid w:val="0024647E"/>
    <w:rsid w:val="00247863"/>
    <w:rsid w:val="00247925"/>
    <w:rsid w:val="002507A8"/>
    <w:rsid w:val="00250F24"/>
    <w:rsid w:val="002514A3"/>
    <w:rsid w:val="0025189A"/>
    <w:rsid w:val="00251C86"/>
    <w:rsid w:val="002526EF"/>
    <w:rsid w:val="00252923"/>
    <w:rsid w:val="00252BDE"/>
    <w:rsid w:val="002533D3"/>
    <w:rsid w:val="00253401"/>
    <w:rsid w:val="00254DA2"/>
    <w:rsid w:val="00254DCF"/>
    <w:rsid w:val="0025534B"/>
    <w:rsid w:val="00255BB7"/>
    <w:rsid w:val="00257292"/>
    <w:rsid w:val="00257541"/>
    <w:rsid w:val="002576CC"/>
    <w:rsid w:val="00257A4B"/>
    <w:rsid w:val="00260A38"/>
    <w:rsid w:val="002628E2"/>
    <w:rsid w:val="00262A1A"/>
    <w:rsid w:val="00262A87"/>
    <w:rsid w:val="00263BA4"/>
    <w:rsid w:val="00264D26"/>
    <w:rsid w:val="00267642"/>
    <w:rsid w:val="00267AEA"/>
    <w:rsid w:val="002700E6"/>
    <w:rsid w:val="0027052F"/>
    <w:rsid w:val="0027068C"/>
    <w:rsid w:val="002709CE"/>
    <w:rsid w:val="002720DF"/>
    <w:rsid w:val="002727F8"/>
    <w:rsid w:val="0027294B"/>
    <w:rsid w:val="00272D95"/>
    <w:rsid w:val="00272F9A"/>
    <w:rsid w:val="00272FFA"/>
    <w:rsid w:val="00274B73"/>
    <w:rsid w:val="00274E9E"/>
    <w:rsid w:val="00274F10"/>
    <w:rsid w:val="00275023"/>
    <w:rsid w:val="00275C5A"/>
    <w:rsid w:val="00275DF5"/>
    <w:rsid w:val="00276663"/>
    <w:rsid w:val="002802CB"/>
    <w:rsid w:val="00281014"/>
    <w:rsid w:val="00281090"/>
    <w:rsid w:val="002844C7"/>
    <w:rsid w:val="00284EEA"/>
    <w:rsid w:val="002864B1"/>
    <w:rsid w:val="00287CC1"/>
    <w:rsid w:val="00287DFB"/>
    <w:rsid w:val="00290D69"/>
    <w:rsid w:val="00291E1D"/>
    <w:rsid w:val="00292550"/>
    <w:rsid w:val="0029412A"/>
    <w:rsid w:val="0029461B"/>
    <w:rsid w:val="00296742"/>
    <w:rsid w:val="00296BF8"/>
    <w:rsid w:val="0029799A"/>
    <w:rsid w:val="002A14AB"/>
    <w:rsid w:val="002A1C40"/>
    <w:rsid w:val="002A2F50"/>
    <w:rsid w:val="002A3739"/>
    <w:rsid w:val="002A387C"/>
    <w:rsid w:val="002A43C8"/>
    <w:rsid w:val="002A46C3"/>
    <w:rsid w:val="002A4E1F"/>
    <w:rsid w:val="002A4F7D"/>
    <w:rsid w:val="002A5A2B"/>
    <w:rsid w:val="002A798A"/>
    <w:rsid w:val="002B09A4"/>
    <w:rsid w:val="002B15C4"/>
    <w:rsid w:val="002B1C1F"/>
    <w:rsid w:val="002B2624"/>
    <w:rsid w:val="002B2D90"/>
    <w:rsid w:val="002B3824"/>
    <w:rsid w:val="002B432F"/>
    <w:rsid w:val="002B54A9"/>
    <w:rsid w:val="002B56A7"/>
    <w:rsid w:val="002B57CF"/>
    <w:rsid w:val="002B62B3"/>
    <w:rsid w:val="002B6754"/>
    <w:rsid w:val="002B6C6C"/>
    <w:rsid w:val="002B6CCE"/>
    <w:rsid w:val="002B6D60"/>
    <w:rsid w:val="002C2510"/>
    <w:rsid w:val="002C2775"/>
    <w:rsid w:val="002C27C1"/>
    <w:rsid w:val="002C3282"/>
    <w:rsid w:val="002C43FF"/>
    <w:rsid w:val="002C4617"/>
    <w:rsid w:val="002C5099"/>
    <w:rsid w:val="002C57C5"/>
    <w:rsid w:val="002C5889"/>
    <w:rsid w:val="002C5F7D"/>
    <w:rsid w:val="002C6769"/>
    <w:rsid w:val="002C71CE"/>
    <w:rsid w:val="002D0160"/>
    <w:rsid w:val="002D055A"/>
    <w:rsid w:val="002D0F00"/>
    <w:rsid w:val="002D1115"/>
    <w:rsid w:val="002D4349"/>
    <w:rsid w:val="002D46D1"/>
    <w:rsid w:val="002D53D6"/>
    <w:rsid w:val="002D577C"/>
    <w:rsid w:val="002D7E45"/>
    <w:rsid w:val="002E02A7"/>
    <w:rsid w:val="002E0EC4"/>
    <w:rsid w:val="002E1169"/>
    <w:rsid w:val="002E15B9"/>
    <w:rsid w:val="002E1702"/>
    <w:rsid w:val="002E2158"/>
    <w:rsid w:val="002E42C0"/>
    <w:rsid w:val="002E46AB"/>
    <w:rsid w:val="002E526B"/>
    <w:rsid w:val="002E64E5"/>
    <w:rsid w:val="002E7722"/>
    <w:rsid w:val="002F07BA"/>
    <w:rsid w:val="002F0DA9"/>
    <w:rsid w:val="002F17A9"/>
    <w:rsid w:val="002F3010"/>
    <w:rsid w:val="002F4C68"/>
    <w:rsid w:val="002F57F9"/>
    <w:rsid w:val="002F5CBC"/>
    <w:rsid w:val="002F643C"/>
    <w:rsid w:val="002F71C0"/>
    <w:rsid w:val="002F7372"/>
    <w:rsid w:val="00300C73"/>
    <w:rsid w:val="00301017"/>
    <w:rsid w:val="0030102D"/>
    <w:rsid w:val="0030155F"/>
    <w:rsid w:val="00301A76"/>
    <w:rsid w:val="00301C04"/>
    <w:rsid w:val="0030268F"/>
    <w:rsid w:val="00302CAA"/>
    <w:rsid w:val="00303557"/>
    <w:rsid w:val="00303D4E"/>
    <w:rsid w:val="0030587B"/>
    <w:rsid w:val="00306D98"/>
    <w:rsid w:val="0030786C"/>
    <w:rsid w:val="00307963"/>
    <w:rsid w:val="00307E29"/>
    <w:rsid w:val="00307FF0"/>
    <w:rsid w:val="0031006F"/>
    <w:rsid w:val="0031031A"/>
    <w:rsid w:val="00310981"/>
    <w:rsid w:val="00311DF5"/>
    <w:rsid w:val="00311E4F"/>
    <w:rsid w:val="0031256A"/>
    <w:rsid w:val="00312F64"/>
    <w:rsid w:val="003136DF"/>
    <w:rsid w:val="0031491B"/>
    <w:rsid w:val="00315498"/>
    <w:rsid w:val="003155D4"/>
    <w:rsid w:val="00315730"/>
    <w:rsid w:val="003158D4"/>
    <w:rsid w:val="00322107"/>
    <w:rsid w:val="00322846"/>
    <w:rsid w:val="00322E34"/>
    <w:rsid w:val="00323E98"/>
    <w:rsid w:val="00326B57"/>
    <w:rsid w:val="00326DA7"/>
    <w:rsid w:val="003270E4"/>
    <w:rsid w:val="003270F5"/>
    <w:rsid w:val="00327886"/>
    <w:rsid w:val="003304B5"/>
    <w:rsid w:val="00330583"/>
    <w:rsid w:val="00330BAB"/>
    <w:rsid w:val="00330F5C"/>
    <w:rsid w:val="003327BE"/>
    <w:rsid w:val="0033299C"/>
    <w:rsid w:val="00333000"/>
    <w:rsid w:val="003332C8"/>
    <w:rsid w:val="0033361D"/>
    <w:rsid w:val="0033388E"/>
    <w:rsid w:val="00335239"/>
    <w:rsid w:val="0033554A"/>
    <w:rsid w:val="003357E6"/>
    <w:rsid w:val="003366C9"/>
    <w:rsid w:val="003371B0"/>
    <w:rsid w:val="0033753F"/>
    <w:rsid w:val="00340741"/>
    <w:rsid w:val="00340892"/>
    <w:rsid w:val="00340DF1"/>
    <w:rsid w:val="0034240E"/>
    <w:rsid w:val="0034650E"/>
    <w:rsid w:val="00346ABA"/>
    <w:rsid w:val="00346D3D"/>
    <w:rsid w:val="00347B70"/>
    <w:rsid w:val="003517F9"/>
    <w:rsid w:val="003519F7"/>
    <w:rsid w:val="00351D38"/>
    <w:rsid w:val="00351DD4"/>
    <w:rsid w:val="00352191"/>
    <w:rsid w:val="003526EA"/>
    <w:rsid w:val="003528FA"/>
    <w:rsid w:val="00353703"/>
    <w:rsid w:val="00353A4E"/>
    <w:rsid w:val="00353E74"/>
    <w:rsid w:val="0035620E"/>
    <w:rsid w:val="003579B8"/>
    <w:rsid w:val="00360EDB"/>
    <w:rsid w:val="003624C4"/>
    <w:rsid w:val="003629D4"/>
    <w:rsid w:val="0036352F"/>
    <w:rsid w:val="00363D57"/>
    <w:rsid w:val="00363FCA"/>
    <w:rsid w:val="00364CFF"/>
    <w:rsid w:val="00365030"/>
    <w:rsid w:val="003654AC"/>
    <w:rsid w:val="00365ED2"/>
    <w:rsid w:val="00366B3B"/>
    <w:rsid w:val="0036762A"/>
    <w:rsid w:val="0036793C"/>
    <w:rsid w:val="0037034F"/>
    <w:rsid w:val="00370B22"/>
    <w:rsid w:val="00371039"/>
    <w:rsid w:val="003710CF"/>
    <w:rsid w:val="00371D21"/>
    <w:rsid w:val="00372390"/>
    <w:rsid w:val="003725A6"/>
    <w:rsid w:val="00372832"/>
    <w:rsid w:val="0037358A"/>
    <w:rsid w:val="00374144"/>
    <w:rsid w:val="00374694"/>
    <w:rsid w:val="003750F6"/>
    <w:rsid w:val="003760FC"/>
    <w:rsid w:val="0037672E"/>
    <w:rsid w:val="003806FD"/>
    <w:rsid w:val="00380E9E"/>
    <w:rsid w:val="003818EE"/>
    <w:rsid w:val="00382253"/>
    <w:rsid w:val="00382BFB"/>
    <w:rsid w:val="00382E73"/>
    <w:rsid w:val="0038365C"/>
    <w:rsid w:val="0038369B"/>
    <w:rsid w:val="0038385B"/>
    <w:rsid w:val="00383B78"/>
    <w:rsid w:val="00383C80"/>
    <w:rsid w:val="003852BC"/>
    <w:rsid w:val="003852BD"/>
    <w:rsid w:val="00385A9D"/>
    <w:rsid w:val="00386949"/>
    <w:rsid w:val="00386A92"/>
    <w:rsid w:val="00386F4D"/>
    <w:rsid w:val="0038777B"/>
    <w:rsid w:val="003877F4"/>
    <w:rsid w:val="003902B1"/>
    <w:rsid w:val="00390B9D"/>
    <w:rsid w:val="003919D9"/>
    <w:rsid w:val="00391E03"/>
    <w:rsid w:val="00392936"/>
    <w:rsid w:val="00394E0F"/>
    <w:rsid w:val="003956F5"/>
    <w:rsid w:val="00395CF6"/>
    <w:rsid w:val="00396025"/>
    <w:rsid w:val="00396606"/>
    <w:rsid w:val="00396896"/>
    <w:rsid w:val="00396FD0"/>
    <w:rsid w:val="003A1A7A"/>
    <w:rsid w:val="003A2392"/>
    <w:rsid w:val="003A2831"/>
    <w:rsid w:val="003A3ED1"/>
    <w:rsid w:val="003A46B9"/>
    <w:rsid w:val="003A477D"/>
    <w:rsid w:val="003A635B"/>
    <w:rsid w:val="003A75C5"/>
    <w:rsid w:val="003B026F"/>
    <w:rsid w:val="003B03B6"/>
    <w:rsid w:val="003B236B"/>
    <w:rsid w:val="003B23B4"/>
    <w:rsid w:val="003B2BDE"/>
    <w:rsid w:val="003B2C0D"/>
    <w:rsid w:val="003B5B61"/>
    <w:rsid w:val="003B6928"/>
    <w:rsid w:val="003B757A"/>
    <w:rsid w:val="003C0B08"/>
    <w:rsid w:val="003C0EFE"/>
    <w:rsid w:val="003C123D"/>
    <w:rsid w:val="003C1654"/>
    <w:rsid w:val="003C1839"/>
    <w:rsid w:val="003C1EFF"/>
    <w:rsid w:val="003C2CF7"/>
    <w:rsid w:val="003C2EF8"/>
    <w:rsid w:val="003C3884"/>
    <w:rsid w:val="003C4BDF"/>
    <w:rsid w:val="003C51E5"/>
    <w:rsid w:val="003C5845"/>
    <w:rsid w:val="003C75C9"/>
    <w:rsid w:val="003C7867"/>
    <w:rsid w:val="003C79F5"/>
    <w:rsid w:val="003C7D19"/>
    <w:rsid w:val="003D0885"/>
    <w:rsid w:val="003D1828"/>
    <w:rsid w:val="003D1DE4"/>
    <w:rsid w:val="003D1E07"/>
    <w:rsid w:val="003D20A0"/>
    <w:rsid w:val="003D2422"/>
    <w:rsid w:val="003D2CC4"/>
    <w:rsid w:val="003D39A1"/>
    <w:rsid w:val="003D3FBF"/>
    <w:rsid w:val="003D491C"/>
    <w:rsid w:val="003D4A30"/>
    <w:rsid w:val="003D4E2E"/>
    <w:rsid w:val="003D504E"/>
    <w:rsid w:val="003D5350"/>
    <w:rsid w:val="003D65B3"/>
    <w:rsid w:val="003D728E"/>
    <w:rsid w:val="003D7878"/>
    <w:rsid w:val="003D79BB"/>
    <w:rsid w:val="003D7C98"/>
    <w:rsid w:val="003E0543"/>
    <w:rsid w:val="003E12C9"/>
    <w:rsid w:val="003E4253"/>
    <w:rsid w:val="003E48A7"/>
    <w:rsid w:val="003E5609"/>
    <w:rsid w:val="003E623C"/>
    <w:rsid w:val="003E630E"/>
    <w:rsid w:val="003E6E4E"/>
    <w:rsid w:val="003E75FB"/>
    <w:rsid w:val="003F2B59"/>
    <w:rsid w:val="003F2EA6"/>
    <w:rsid w:val="003F4156"/>
    <w:rsid w:val="003F45D2"/>
    <w:rsid w:val="003F58C7"/>
    <w:rsid w:val="003F7B34"/>
    <w:rsid w:val="00400057"/>
    <w:rsid w:val="00400B29"/>
    <w:rsid w:val="00400EFA"/>
    <w:rsid w:val="004010E8"/>
    <w:rsid w:val="00402883"/>
    <w:rsid w:val="00402CB9"/>
    <w:rsid w:val="00403CFF"/>
    <w:rsid w:val="00404DF9"/>
    <w:rsid w:val="0040504B"/>
    <w:rsid w:val="004053F3"/>
    <w:rsid w:val="004070D3"/>
    <w:rsid w:val="00407111"/>
    <w:rsid w:val="00407585"/>
    <w:rsid w:val="004100B4"/>
    <w:rsid w:val="00410708"/>
    <w:rsid w:val="00410EC7"/>
    <w:rsid w:val="00411B39"/>
    <w:rsid w:val="00412051"/>
    <w:rsid w:val="00412701"/>
    <w:rsid w:val="00413A1E"/>
    <w:rsid w:val="0041433D"/>
    <w:rsid w:val="00414476"/>
    <w:rsid w:val="004146C0"/>
    <w:rsid w:val="00414C2E"/>
    <w:rsid w:val="004151CF"/>
    <w:rsid w:val="00415DE5"/>
    <w:rsid w:val="00416364"/>
    <w:rsid w:val="004166C7"/>
    <w:rsid w:val="0042030D"/>
    <w:rsid w:val="00420AA6"/>
    <w:rsid w:val="00420B9F"/>
    <w:rsid w:val="00422260"/>
    <w:rsid w:val="004225A6"/>
    <w:rsid w:val="004235CD"/>
    <w:rsid w:val="004240CF"/>
    <w:rsid w:val="0042413F"/>
    <w:rsid w:val="00424532"/>
    <w:rsid w:val="00424C23"/>
    <w:rsid w:val="004268B8"/>
    <w:rsid w:val="00427900"/>
    <w:rsid w:val="004301C4"/>
    <w:rsid w:val="00430FB2"/>
    <w:rsid w:val="004319F8"/>
    <w:rsid w:val="00431D7B"/>
    <w:rsid w:val="00431E55"/>
    <w:rsid w:val="0043208F"/>
    <w:rsid w:val="004321D7"/>
    <w:rsid w:val="004321F6"/>
    <w:rsid w:val="004328B7"/>
    <w:rsid w:val="00432BDC"/>
    <w:rsid w:val="00433044"/>
    <w:rsid w:val="00434024"/>
    <w:rsid w:val="004343F6"/>
    <w:rsid w:val="0043592D"/>
    <w:rsid w:val="004361DD"/>
    <w:rsid w:val="0043667E"/>
    <w:rsid w:val="004375B9"/>
    <w:rsid w:val="00437EB3"/>
    <w:rsid w:val="00441A4B"/>
    <w:rsid w:val="00441DAC"/>
    <w:rsid w:val="0044248E"/>
    <w:rsid w:val="004428D0"/>
    <w:rsid w:val="00443AD5"/>
    <w:rsid w:val="00443DD0"/>
    <w:rsid w:val="004443A7"/>
    <w:rsid w:val="0044442C"/>
    <w:rsid w:val="00444565"/>
    <w:rsid w:val="00444697"/>
    <w:rsid w:val="00445129"/>
    <w:rsid w:val="004451F1"/>
    <w:rsid w:val="00445404"/>
    <w:rsid w:val="00445941"/>
    <w:rsid w:val="00445DAF"/>
    <w:rsid w:val="004464EB"/>
    <w:rsid w:val="00447D26"/>
    <w:rsid w:val="0045046A"/>
    <w:rsid w:val="00450FDC"/>
    <w:rsid w:val="004520F0"/>
    <w:rsid w:val="004523BF"/>
    <w:rsid w:val="00452D2A"/>
    <w:rsid w:val="0045350B"/>
    <w:rsid w:val="00454BA5"/>
    <w:rsid w:val="00454E8E"/>
    <w:rsid w:val="00455554"/>
    <w:rsid w:val="00455C01"/>
    <w:rsid w:val="00455C3E"/>
    <w:rsid w:val="00455D45"/>
    <w:rsid w:val="00457017"/>
    <w:rsid w:val="0046024A"/>
    <w:rsid w:val="00461154"/>
    <w:rsid w:val="004613E0"/>
    <w:rsid w:val="00462CBD"/>
    <w:rsid w:val="00464595"/>
    <w:rsid w:val="00464667"/>
    <w:rsid w:val="00465B9F"/>
    <w:rsid w:val="00466C57"/>
    <w:rsid w:val="00467EE8"/>
    <w:rsid w:val="00471AA9"/>
    <w:rsid w:val="00472A79"/>
    <w:rsid w:val="00472FF3"/>
    <w:rsid w:val="00473AD9"/>
    <w:rsid w:val="00473F19"/>
    <w:rsid w:val="00475A94"/>
    <w:rsid w:val="00475E22"/>
    <w:rsid w:val="004807CF"/>
    <w:rsid w:val="0048088E"/>
    <w:rsid w:val="00480CEC"/>
    <w:rsid w:val="00481849"/>
    <w:rsid w:val="0048241C"/>
    <w:rsid w:val="00482720"/>
    <w:rsid w:val="004835E7"/>
    <w:rsid w:val="00483F53"/>
    <w:rsid w:val="004847BE"/>
    <w:rsid w:val="004858B2"/>
    <w:rsid w:val="004867E2"/>
    <w:rsid w:val="004868F7"/>
    <w:rsid w:val="00491B3A"/>
    <w:rsid w:val="00492CFD"/>
    <w:rsid w:val="00493772"/>
    <w:rsid w:val="00494DA0"/>
    <w:rsid w:val="00494DD5"/>
    <w:rsid w:val="0049608B"/>
    <w:rsid w:val="004962D2"/>
    <w:rsid w:val="004971BC"/>
    <w:rsid w:val="004A00C3"/>
    <w:rsid w:val="004A0DA1"/>
    <w:rsid w:val="004A1A3A"/>
    <w:rsid w:val="004A3AB8"/>
    <w:rsid w:val="004A52E9"/>
    <w:rsid w:val="004A5D8D"/>
    <w:rsid w:val="004A606F"/>
    <w:rsid w:val="004A6597"/>
    <w:rsid w:val="004A6D15"/>
    <w:rsid w:val="004A7848"/>
    <w:rsid w:val="004B1CB4"/>
    <w:rsid w:val="004B2F18"/>
    <w:rsid w:val="004B3BD0"/>
    <w:rsid w:val="004B3C3B"/>
    <w:rsid w:val="004B3DDB"/>
    <w:rsid w:val="004B44FD"/>
    <w:rsid w:val="004B5CFC"/>
    <w:rsid w:val="004B6417"/>
    <w:rsid w:val="004B6865"/>
    <w:rsid w:val="004B774D"/>
    <w:rsid w:val="004B7960"/>
    <w:rsid w:val="004B7C5E"/>
    <w:rsid w:val="004C173A"/>
    <w:rsid w:val="004C2805"/>
    <w:rsid w:val="004C4AED"/>
    <w:rsid w:val="004C5959"/>
    <w:rsid w:val="004D059E"/>
    <w:rsid w:val="004D18F6"/>
    <w:rsid w:val="004D2C2D"/>
    <w:rsid w:val="004D32C7"/>
    <w:rsid w:val="004D3ED2"/>
    <w:rsid w:val="004D42ED"/>
    <w:rsid w:val="004D44C1"/>
    <w:rsid w:val="004D47F1"/>
    <w:rsid w:val="004D7227"/>
    <w:rsid w:val="004E0E7F"/>
    <w:rsid w:val="004E0EB8"/>
    <w:rsid w:val="004E2ADC"/>
    <w:rsid w:val="004E3A18"/>
    <w:rsid w:val="004E43B2"/>
    <w:rsid w:val="004E4BE2"/>
    <w:rsid w:val="004E5066"/>
    <w:rsid w:val="004F071D"/>
    <w:rsid w:val="004F0B5D"/>
    <w:rsid w:val="004F1D02"/>
    <w:rsid w:val="004F1F91"/>
    <w:rsid w:val="004F23CF"/>
    <w:rsid w:val="004F2679"/>
    <w:rsid w:val="004F28E6"/>
    <w:rsid w:val="004F2F21"/>
    <w:rsid w:val="004F2F4A"/>
    <w:rsid w:val="004F34A8"/>
    <w:rsid w:val="004F3651"/>
    <w:rsid w:val="004F4F75"/>
    <w:rsid w:val="004F5326"/>
    <w:rsid w:val="004F5960"/>
    <w:rsid w:val="004F6913"/>
    <w:rsid w:val="004F7582"/>
    <w:rsid w:val="004F7865"/>
    <w:rsid w:val="005008A1"/>
    <w:rsid w:val="00502119"/>
    <w:rsid w:val="0050219B"/>
    <w:rsid w:val="005030F4"/>
    <w:rsid w:val="005034BB"/>
    <w:rsid w:val="005038FA"/>
    <w:rsid w:val="005039DC"/>
    <w:rsid w:val="00503F17"/>
    <w:rsid w:val="00504DB4"/>
    <w:rsid w:val="00505CF6"/>
    <w:rsid w:val="00505EDC"/>
    <w:rsid w:val="00505F74"/>
    <w:rsid w:val="0050671B"/>
    <w:rsid w:val="00506928"/>
    <w:rsid w:val="00506A54"/>
    <w:rsid w:val="00506E2F"/>
    <w:rsid w:val="00507553"/>
    <w:rsid w:val="005112F0"/>
    <w:rsid w:val="00514155"/>
    <w:rsid w:val="00514FC4"/>
    <w:rsid w:val="0051525D"/>
    <w:rsid w:val="005152B5"/>
    <w:rsid w:val="00515D4F"/>
    <w:rsid w:val="005170EA"/>
    <w:rsid w:val="00520155"/>
    <w:rsid w:val="005203C9"/>
    <w:rsid w:val="005204BF"/>
    <w:rsid w:val="00520C83"/>
    <w:rsid w:val="00521319"/>
    <w:rsid w:val="0052216C"/>
    <w:rsid w:val="00522BC8"/>
    <w:rsid w:val="005238D1"/>
    <w:rsid w:val="00523C28"/>
    <w:rsid w:val="005261D8"/>
    <w:rsid w:val="005262BE"/>
    <w:rsid w:val="0052676E"/>
    <w:rsid w:val="00526AA8"/>
    <w:rsid w:val="00527503"/>
    <w:rsid w:val="0053174C"/>
    <w:rsid w:val="005324E7"/>
    <w:rsid w:val="0053257F"/>
    <w:rsid w:val="005328C5"/>
    <w:rsid w:val="00533302"/>
    <w:rsid w:val="00534D35"/>
    <w:rsid w:val="00535D4B"/>
    <w:rsid w:val="00536931"/>
    <w:rsid w:val="00536BAA"/>
    <w:rsid w:val="00536D27"/>
    <w:rsid w:val="00536F42"/>
    <w:rsid w:val="00537182"/>
    <w:rsid w:val="005408E8"/>
    <w:rsid w:val="00542743"/>
    <w:rsid w:val="00542C2D"/>
    <w:rsid w:val="00543845"/>
    <w:rsid w:val="005442F3"/>
    <w:rsid w:val="005448F5"/>
    <w:rsid w:val="005466B7"/>
    <w:rsid w:val="00547C1E"/>
    <w:rsid w:val="00547C3F"/>
    <w:rsid w:val="005506B9"/>
    <w:rsid w:val="0055087B"/>
    <w:rsid w:val="00551985"/>
    <w:rsid w:val="00551D33"/>
    <w:rsid w:val="0055256F"/>
    <w:rsid w:val="00552BD3"/>
    <w:rsid w:val="00554C8D"/>
    <w:rsid w:val="00555109"/>
    <w:rsid w:val="00555292"/>
    <w:rsid w:val="00560BCA"/>
    <w:rsid w:val="0056130C"/>
    <w:rsid w:val="00561B65"/>
    <w:rsid w:val="005628CB"/>
    <w:rsid w:val="00563482"/>
    <w:rsid w:val="00563B92"/>
    <w:rsid w:val="00563BDC"/>
    <w:rsid w:val="0056696F"/>
    <w:rsid w:val="00566C01"/>
    <w:rsid w:val="00566DA7"/>
    <w:rsid w:val="005674F5"/>
    <w:rsid w:val="0057140C"/>
    <w:rsid w:val="00571878"/>
    <w:rsid w:val="00571FC9"/>
    <w:rsid w:val="00572269"/>
    <w:rsid w:val="0057244A"/>
    <w:rsid w:val="00572626"/>
    <w:rsid w:val="00572D6A"/>
    <w:rsid w:val="005735D3"/>
    <w:rsid w:val="0057430A"/>
    <w:rsid w:val="00575BFB"/>
    <w:rsid w:val="00575D8D"/>
    <w:rsid w:val="005764C6"/>
    <w:rsid w:val="00576972"/>
    <w:rsid w:val="0057743A"/>
    <w:rsid w:val="005804CB"/>
    <w:rsid w:val="0058106E"/>
    <w:rsid w:val="00583699"/>
    <w:rsid w:val="005845FF"/>
    <w:rsid w:val="00584A52"/>
    <w:rsid w:val="00584E6F"/>
    <w:rsid w:val="0058584C"/>
    <w:rsid w:val="00585CDD"/>
    <w:rsid w:val="00586C84"/>
    <w:rsid w:val="00587058"/>
    <w:rsid w:val="00587744"/>
    <w:rsid w:val="00590686"/>
    <w:rsid w:val="005908E2"/>
    <w:rsid w:val="0059142E"/>
    <w:rsid w:val="00591957"/>
    <w:rsid w:val="005932F1"/>
    <w:rsid w:val="0059353B"/>
    <w:rsid w:val="0059432C"/>
    <w:rsid w:val="005956A3"/>
    <w:rsid w:val="00595F73"/>
    <w:rsid w:val="0059645D"/>
    <w:rsid w:val="00597BF9"/>
    <w:rsid w:val="00597DBB"/>
    <w:rsid w:val="005A0E74"/>
    <w:rsid w:val="005A373D"/>
    <w:rsid w:val="005A48EE"/>
    <w:rsid w:val="005A559A"/>
    <w:rsid w:val="005A5A63"/>
    <w:rsid w:val="005A5CDE"/>
    <w:rsid w:val="005A692B"/>
    <w:rsid w:val="005A6DAE"/>
    <w:rsid w:val="005B0DFE"/>
    <w:rsid w:val="005B146A"/>
    <w:rsid w:val="005B2FDB"/>
    <w:rsid w:val="005B3BBE"/>
    <w:rsid w:val="005B41D1"/>
    <w:rsid w:val="005B5218"/>
    <w:rsid w:val="005B5857"/>
    <w:rsid w:val="005B5A0B"/>
    <w:rsid w:val="005B5FFA"/>
    <w:rsid w:val="005B6780"/>
    <w:rsid w:val="005B703E"/>
    <w:rsid w:val="005B7240"/>
    <w:rsid w:val="005B7E0F"/>
    <w:rsid w:val="005C02D8"/>
    <w:rsid w:val="005C1B83"/>
    <w:rsid w:val="005C1F62"/>
    <w:rsid w:val="005C215C"/>
    <w:rsid w:val="005C2267"/>
    <w:rsid w:val="005C2997"/>
    <w:rsid w:val="005C2D55"/>
    <w:rsid w:val="005C346B"/>
    <w:rsid w:val="005C414C"/>
    <w:rsid w:val="005C4178"/>
    <w:rsid w:val="005C5856"/>
    <w:rsid w:val="005C7E87"/>
    <w:rsid w:val="005D044D"/>
    <w:rsid w:val="005D0ABD"/>
    <w:rsid w:val="005D0DF4"/>
    <w:rsid w:val="005D18AD"/>
    <w:rsid w:val="005D1E04"/>
    <w:rsid w:val="005D1E12"/>
    <w:rsid w:val="005D2216"/>
    <w:rsid w:val="005D233B"/>
    <w:rsid w:val="005D26B4"/>
    <w:rsid w:val="005D3A34"/>
    <w:rsid w:val="005D4FE4"/>
    <w:rsid w:val="005D5B68"/>
    <w:rsid w:val="005D6029"/>
    <w:rsid w:val="005E0E9C"/>
    <w:rsid w:val="005E0FFE"/>
    <w:rsid w:val="005E270E"/>
    <w:rsid w:val="005E6C39"/>
    <w:rsid w:val="005E6CBC"/>
    <w:rsid w:val="005E73C0"/>
    <w:rsid w:val="005E78EA"/>
    <w:rsid w:val="005F0B4B"/>
    <w:rsid w:val="005F2706"/>
    <w:rsid w:val="005F2B7D"/>
    <w:rsid w:val="005F3394"/>
    <w:rsid w:val="005F3807"/>
    <w:rsid w:val="005F4581"/>
    <w:rsid w:val="005F509E"/>
    <w:rsid w:val="005F6A8F"/>
    <w:rsid w:val="0060259F"/>
    <w:rsid w:val="00602913"/>
    <w:rsid w:val="00603428"/>
    <w:rsid w:val="00603DB9"/>
    <w:rsid w:val="0060470C"/>
    <w:rsid w:val="00607669"/>
    <w:rsid w:val="00607AFD"/>
    <w:rsid w:val="00610015"/>
    <w:rsid w:val="0061102F"/>
    <w:rsid w:val="006115DB"/>
    <w:rsid w:val="00611B90"/>
    <w:rsid w:val="006122D5"/>
    <w:rsid w:val="006123FF"/>
    <w:rsid w:val="00612A66"/>
    <w:rsid w:val="00612AF0"/>
    <w:rsid w:val="00612F97"/>
    <w:rsid w:val="0061345D"/>
    <w:rsid w:val="00613ABF"/>
    <w:rsid w:val="006151D3"/>
    <w:rsid w:val="00616802"/>
    <w:rsid w:val="00616D5E"/>
    <w:rsid w:val="00617A91"/>
    <w:rsid w:val="00617CCD"/>
    <w:rsid w:val="00617E12"/>
    <w:rsid w:val="00620482"/>
    <w:rsid w:val="006204DB"/>
    <w:rsid w:val="00620656"/>
    <w:rsid w:val="00621477"/>
    <w:rsid w:val="006224F2"/>
    <w:rsid w:val="00622D68"/>
    <w:rsid w:val="00624A60"/>
    <w:rsid w:val="00625866"/>
    <w:rsid w:val="00625B7B"/>
    <w:rsid w:val="00625C33"/>
    <w:rsid w:val="006279E0"/>
    <w:rsid w:val="0063158F"/>
    <w:rsid w:val="00631B9E"/>
    <w:rsid w:val="00631D6B"/>
    <w:rsid w:val="006327C9"/>
    <w:rsid w:val="00632F46"/>
    <w:rsid w:val="006330A1"/>
    <w:rsid w:val="0063479F"/>
    <w:rsid w:val="006352A4"/>
    <w:rsid w:val="006353F0"/>
    <w:rsid w:val="006364A1"/>
    <w:rsid w:val="006379A2"/>
    <w:rsid w:val="00637BFD"/>
    <w:rsid w:val="00641112"/>
    <w:rsid w:val="0064167B"/>
    <w:rsid w:val="00641C4E"/>
    <w:rsid w:val="00641DB5"/>
    <w:rsid w:val="006428BD"/>
    <w:rsid w:val="00642BC6"/>
    <w:rsid w:val="006441C9"/>
    <w:rsid w:val="00645505"/>
    <w:rsid w:val="00646520"/>
    <w:rsid w:val="006471CC"/>
    <w:rsid w:val="00647ABB"/>
    <w:rsid w:val="006503AB"/>
    <w:rsid w:val="0065079F"/>
    <w:rsid w:val="006519BB"/>
    <w:rsid w:val="00651CCC"/>
    <w:rsid w:val="006523BC"/>
    <w:rsid w:val="00652B3F"/>
    <w:rsid w:val="00652BF3"/>
    <w:rsid w:val="00652E59"/>
    <w:rsid w:val="0065379F"/>
    <w:rsid w:val="00654C8D"/>
    <w:rsid w:val="00655FD5"/>
    <w:rsid w:val="0065638F"/>
    <w:rsid w:val="00656A6E"/>
    <w:rsid w:val="00656CEA"/>
    <w:rsid w:val="00660572"/>
    <w:rsid w:val="00660C60"/>
    <w:rsid w:val="00660EBE"/>
    <w:rsid w:val="006610AC"/>
    <w:rsid w:val="00661C6B"/>
    <w:rsid w:val="00661FC1"/>
    <w:rsid w:val="00662DD0"/>
    <w:rsid w:val="00663ABD"/>
    <w:rsid w:val="00663BBC"/>
    <w:rsid w:val="00663F0D"/>
    <w:rsid w:val="0066410A"/>
    <w:rsid w:val="006645A6"/>
    <w:rsid w:val="00665E7B"/>
    <w:rsid w:val="00667A7C"/>
    <w:rsid w:val="00670082"/>
    <w:rsid w:val="006715BA"/>
    <w:rsid w:val="006718B1"/>
    <w:rsid w:val="00671E04"/>
    <w:rsid w:val="0067236F"/>
    <w:rsid w:val="00674E42"/>
    <w:rsid w:val="00674ED5"/>
    <w:rsid w:val="006768BD"/>
    <w:rsid w:val="00677A43"/>
    <w:rsid w:val="0068013C"/>
    <w:rsid w:val="006801CF"/>
    <w:rsid w:val="006811F7"/>
    <w:rsid w:val="006813E1"/>
    <w:rsid w:val="00681C0F"/>
    <w:rsid w:val="00682112"/>
    <w:rsid w:val="006831DE"/>
    <w:rsid w:val="0068508D"/>
    <w:rsid w:val="00685D66"/>
    <w:rsid w:val="00686957"/>
    <w:rsid w:val="006872BA"/>
    <w:rsid w:val="00687726"/>
    <w:rsid w:val="00687C8A"/>
    <w:rsid w:val="006905D4"/>
    <w:rsid w:val="00691422"/>
    <w:rsid w:val="00691648"/>
    <w:rsid w:val="006917D7"/>
    <w:rsid w:val="00691BB1"/>
    <w:rsid w:val="0069463D"/>
    <w:rsid w:val="00694F44"/>
    <w:rsid w:val="00696C79"/>
    <w:rsid w:val="00696C81"/>
    <w:rsid w:val="006A0813"/>
    <w:rsid w:val="006A1BA0"/>
    <w:rsid w:val="006A223A"/>
    <w:rsid w:val="006A33FC"/>
    <w:rsid w:val="006A3D23"/>
    <w:rsid w:val="006A449A"/>
    <w:rsid w:val="006A5150"/>
    <w:rsid w:val="006A5D80"/>
    <w:rsid w:val="006A6DEA"/>
    <w:rsid w:val="006A7ACC"/>
    <w:rsid w:val="006A7E5F"/>
    <w:rsid w:val="006B04CC"/>
    <w:rsid w:val="006B261B"/>
    <w:rsid w:val="006B2C90"/>
    <w:rsid w:val="006B381F"/>
    <w:rsid w:val="006B5817"/>
    <w:rsid w:val="006B5CC1"/>
    <w:rsid w:val="006B6DD0"/>
    <w:rsid w:val="006B6F7B"/>
    <w:rsid w:val="006B74B3"/>
    <w:rsid w:val="006C05D7"/>
    <w:rsid w:val="006C16E0"/>
    <w:rsid w:val="006C2633"/>
    <w:rsid w:val="006C2A8E"/>
    <w:rsid w:val="006C4CE4"/>
    <w:rsid w:val="006C5C55"/>
    <w:rsid w:val="006C6034"/>
    <w:rsid w:val="006D0FB8"/>
    <w:rsid w:val="006D10F8"/>
    <w:rsid w:val="006D13A3"/>
    <w:rsid w:val="006D157F"/>
    <w:rsid w:val="006D27E9"/>
    <w:rsid w:val="006D38B6"/>
    <w:rsid w:val="006D3C7D"/>
    <w:rsid w:val="006D5D5F"/>
    <w:rsid w:val="006D660D"/>
    <w:rsid w:val="006E23F5"/>
    <w:rsid w:val="006E2DB9"/>
    <w:rsid w:val="006E61B0"/>
    <w:rsid w:val="006E61D4"/>
    <w:rsid w:val="006F0F3F"/>
    <w:rsid w:val="006F1A21"/>
    <w:rsid w:val="006F306C"/>
    <w:rsid w:val="006F3C00"/>
    <w:rsid w:val="006F60E7"/>
    <w:rsid w:val="006F63A5"/>
    <w:rsid w:val="006F7AF9"/>
    <w:rsid w:val="007003E8"/>
    <w:rsid w:val="007009E2"/>
    <w:rsid w:val="0070142B"/>
    <w:rsid w:val="0070276E"/>
    <w:rsid w:val="00702F8F"/>
    <w:rsid w:val="007030F0"/>
    <w:rsid w:val="007034B9"/>
    <w:rsid w:val="007047AE"/>
    <w:rsid w:val="00706426"/>
    <w:rsid w:val="00706B31"/>
    <w:rsid w:val="00707D22"/>
    <w:rsid w:val="00710E50"/>
    <w:rsid w:val="00711641"/>
    <w:rsid w:val="00711A36"/>
    <w:rsid w:val="00711CAF"/>
    <w:rsid w:val="007141DC"/>
    <w:rsid w:val="007150E6"/>
    <w:rsid w:val="0071529C"/>
    <w:rsid w:val="00715818"/>
    <w:rsid w:val="00715876"/>
    <w:rsid w:val="007171DB"/>
    <w:rsid w:val="007172AD"/>
    <w:rsid w:val="007172FD"/>
    <w:rsid w:val="0071764B"/>
    <w:rsid w:val="00721F40"/>
    <w:rsid w:val="00722B1B"/>
    <w:rsid w:val="00722C81"/>
    <w:rsid w:val="0072416F"/>
    <w:rsid w:val="00727C94"/>
    <w:rsid w:val="0073122E"/>
    <w:rsid w:val="007314AE"/>
    <w:rsid w:val="00731EAE"/>
    <w:rsid w:val="0073223A"/>
    <w:rsid w:val="00732570"/>
    <w:rsid w:val="00734BC8"/>
    <w:rsid w:val="00735033"/>
    <w:rsid w:val="00735328"/>
    <w:rsid w:val="00735D18"/>
    <w:rsid w:val="0073685B"/>
    <w:rsid w:val="007370F8"/>
    <w:rsid w:val="0074097E"/>
    <w:rsid w:val="007412B7"/>
    <w:rsid w:val="007416A7"/>
    <w:rsid w:val="00742CC8"/>
    <w:rsid w:val="007442C3"/>
    <w:rsid w:val="00745A0D"/>
    <w:rsid w:val="00745E1B"/>
    <w:rsid w:val="0074607F"/>
    <w:rsid w:val="007467FF"/>
    <w:rsid w:val="0074699A"/>
    <w:rsid w:val="00747F4D"/>
    <w:rsid w:val="00750341"/>
    <w:rsid w:val="0075037C"/>
    <w:rsid w:val="00750CC7"/>
    <w:rsid w:val="00750CD7"/>
    <w:rsid w:val="0075104A"/>
    <w:rsid w:val="00751093"/>
    <w:rsid w:val="0075147A"/>
    <w:rsid w:val="00752142"/>
    <w:rsid w:val="00752237"/>
    <w:rsid w:val="007523F9"/>
    <w:rsid w:val="00752605"/>
    <w:rsid w:val="007528C0"/>
    <w:rsid w:val="0075368C"/>
    <w:rsid w:val="0075379E"/>
    <w:rsid w:val="0075530B"/>
    <w:rsid w:val="00755AE4"/>
    <w:rsid w:val="007573E8"/>
    <w:rsid w:val="00760C4E"/>
    <w:rsid w:val="007620B5"/>
    <w:rsid w:val="00762859"/>
    <w:rsid w:val="00764790"/>
    <w:rsid w:val="00764AB6"/>
    <w:rsid w:val="00765302"/>
    <w:rsid w:val="00765B1A"/>
    <w:rsid w:val="00766586"/>
    <w:rsid w:val="00770000"/>
    <w:rsid w:val="007709C1"/>
    <w:rsid w:val="00770A87"/>
    <w:rsid w:val="007714A8"/>
    <w:rsid w:val="007714FC"/>
    <w:rsid w:val="0077174B"/>
    <w:rsid w:val="007753C0"/>
    <w:rsid w:val="00776477"/>
    <w:rsid w:val="0077770E"/>
    <w:rsid w:val="00777C2D"/>
    <w:rsid w:val="00783F57"/>
    <w:rsid w:val="007843F2"/>
    <w:rsid w:val="00785364"/>
    <w:rsid w:val="00785884"/>
    <w:rsid w:val="00785997"/>
    <w:rsid w:val="00786C78"/>
    <w:rsid w:val="00787BF7"/>
    <w:rsid w:val="0079070E"/>
    <w:rsid w:val="007909C4"/>
    <w:rsid w:val="00790E20"/>
    <w:rsid w:val="0079145C"/>
    <w:rsid w:val="00791F56"/>
    <w:rsid w:val="00792767"/>
    <w:rsid w:val="00792852"/>
    <w:rsid w:val="00794C75"/>
    <w:rsid w:val="007951E0"/>
    <w:rsid w:val="00796FAA"/>
    <w:rsid w:val="00797BC4"/>
    <w:rsid w:val="007A0A12"/>
    <w:rsid w:val="007A0B2D"/>
    <w:rsid w:val="007A0C04"/>
    <w:rsid w:val="007A132D"/>
    <w:rsid w:val="007A16D5"/>
    <w:rsid w:val="007A1E84"/>
    <w:rsid w:val="007A2184"/>
    <w:rsid w:val="007A2871"/>
    <w:rsid w:val="007A3884"/>
    <w:rsid w:val="007A49A0"/>
    <w:rsid w:val="007A5631"/>
    <w:rsid w:val="007A622D"/>
    <w:rsid w:val="007A6E99"/>
    <w:rsid w:val="007A7D47"/>
    <w:rsid w:val="007B0D68"/>
    <w:rsid w:val="007B0E2F"/>
    <w:rsid w:val="007B1CD1"/>
    <w:rsid w:val="007B1D55"/>
    <w:rsid w:val="007B1EB1"/>
    <w:rsid w:val="007B1F3F"/>
    <w:rsid w:val="007B2430"/>
    <w:rsid w:val="007B251D"/>
    <w:rsid w:val="007B2536"/>
    <w:rsid w:val="007B4E89"/>
    <w:rsid w:val="007B4F58"/>
    <w:rsid w:val="007B528D"/>
    <w:rsid w:val="007B6CA2"/>
    <w:rsid w:val="007B77D1"/>
    <w:rsid w:val="007B78C6"/>
    <w:rsid w:val="007B7D61"/>
    <w:rsid w:val="007C0841"/>
    <w:rsid w:val="007C0B37"/>
    <w:rsid w:val="007C109A"/>
    <w:rsid w:val="007C1CD9"/>
    <w:rsid w:val="007C361D"/>
    <w:rsid w:val="007C4B84"/>
    <w:rsid w:val="007C4E62"/>
    <w:rsid w:val="007C5C8F"/>
    <w:rsid w:val="007C6B62"/>
    <w:rsid w:val="007C722F"/>
    <w:rsid w:val="007D004F"/>
    <w:rsid w:val="007D058E"/>
    <w:rsid w:val="007D07DD"/>
    <w:rsid w:val="007D0B38"/>
    <w:rsid w:val="007D182A"/>
    <w:rsid w:val="007D1A18"/>
    <w:rsid w:val="007D2E77"/>
    <w:rsid w:val="007D3231"/>
    <w:rsid w:val="007D5440"/>
    <w:rsid w:val="007D6339"/>
    <w:rsid w:val="007D6649"/>
    <w:rsid w:val="007D7675"/>
    <w:rsid w:val="007D7B1F"/>
    <w:rsid w:val="007D7DB2"/>
    <w:rsid w:val="007E0221"/>
    <w:rsid w:val="007E1841"/>
    <w:rsid w:val="007E1986"/>
    <w:rsid w:val="007E3325"/>
    <w:rsid w:val="007E357D"/>
    <w:rsid w:val="007E35F7"/>
    <w:rsid w:val="007E5296"/>
    <w:rsid w:val="007E6310"/>
    <w:rsid w:val="007E6A9D"/>
    <w:rsid w:val="007E70C7"/>
    <w:rsid w:val="007E78B9"/>
    <w:rsid w:val="007F0843"/>
    <w:rsid w:val="007F1017"/>
    <w:rsid w:val="007F1D08"/>
    <w:rsid w:val="007F22C9"/>
    <w:rsid w:val="007F43F8"/>
    <w:rsid w:val="007F48DD"/>
    <w:rsid w:val="007F4A3F"/>
    <w:rsid w:val="007F4A61"/>
    <w:rsid w:val="007F585E"/>
    <w:rsid w:val="007F5CB3"/>
    <w:rsid w:val="007F5D1E"/>
    <w:rsid w:val="007F61C2"/>
    <w:rsid w:val="007F6467"/>
    <w:rsid w:val="007F6BEB"/>
    <w:rsid w:val="007F6C6F"/>
    <w:rsid w:val="007F752F"/>
    <w:rsid w:val="008000A4"/>
    <w:rsid w:val="00800295"/>
    <w:rsid w:val="008005F0"/>
    <w:rsid w:val="00800D45"/>
    <w:rsid w:val="00801484"/>
    <w:rsid w:val="00801913"/>
    <w:rsid w:val="0080369C"/>
    <w:rsid w:val="00803A37"/>
    <w:rsid w:val="00804FEF"/>
    <w:rsid w:val="00805142"/>
    <w:rsid w:val="00805DE3"/>
    <w:rsid w:val="00806BAF"/>
    <w:rsid w:val="00806F22"/>
    <w:rsid w:val="00807A8B"/>
    <w:rsid w:val="0081132B"/>
    <w:rsid w:val="00811383"/>
    <w:rsid w:val="008118D0"/>
    <w:rsid w:val="00811D8E"/>
    <w:rsid w:val="00812149"/>
    <w:rsid w:val="00812CAC"/>
    <w:rsid w:val="00814367"/>
    <w:rsid w:val="00814FAD"/>
    <w:rsid w:val="0081503C"/>
    <w:rsid w:val="008161BD"/>
    <w:rsid w:val="008166EF"/>
    <w:rsid w:val="0082045B"/>
    <w:rsid w:val="00820741"/>
    <w:rsid w:val="008219B3"/>
    <w:rsid w:val="00821D59"/>
    <w:rsid w:val="00825751"/>
    <w:rsid w:val="00825BEA"/>
    <w:rsid w:val="008264EB"/>
    <w:rsid w:val="008267B4"/>
    <w:rsid w:val="008267CE"/>
    <w:rsid w:val="00826F26"/>
    <w:rsid w:val="00826FC5"/>
    <w:rsid w:val="008313CC"/>
    <w:rsid w:val="008314F0"/>
    <w:rsid w:val="00831788"/>
    <w:rsid w:val="00831D7B"/>
    <w:rsid w:val="00833079"/>
    <w:rsid w:val="00833B05"/>
    <w:rsid w:val="00834D38"/>
    <w:rsid w:val="0083537A"/>
    <w:rsid w:val="008362B4"/>
    <w:rsid w:val="00840CA2"/>
    <w:rsid w:val="00841279"/>
    <w:rsid w:val="00841C8E"/>
    <w:rsid w:val="0084319F"/>
    <w:rsid w:val="008432A7"/>
    <w:rsid w:val="00843342"/>
    <w:rsid w:val="0084374F"/>
    <w:rsid w:val="008438DA"/>
    <w:rsid w:val="00843A55"/>
    <w:rsid w:val="00844A4F"/>
    <w:rsid w:val="00844F8E"/>
    <w:rsid w:val="00844FD4"/>
    <w:rsid w:val="00845271"/>
    <w:rsid w:val="00846C22"/>
    <w:rsid w:val="0084779E"/>
    <w:rsid w:val="00847DF5"/>
    <w:rsid w:val="0085049B"/>
    <w:rsid w:val="00850B56"/>
    <w:rsid w:val="00851471"/>
    <w:rsid w:val="00851D88"/>
    <w:rsid w:val="00852051"/>
    <w:rsid w:val="0085309D"/>
    <w:rsid w:val="008536BB"/>
    <w:rsid w:val="00853BD9"/>
    <w:rsid w:val="00854187"/>
    <w:rsid w:val="008549D0"/>
    <w:rsid w:val="00856897"/>
    <w:rsid w:val="00856E9A"/>
    <w:rsid w:val="008570F3"/>
    <w:rsid w:val="0085741E"/>
    <w:rsid w:val="008578C0"/>
    <w:rsid w:val="0086075D"/>
    <w:rsid w:val="00861C5A"/>
    <w:rsid w:val="00862499"/>
    <w:rsid w:val="00862502"/>
    <w:rsid w:val="00862A40"/>
    <w:rsid w:val="00862D0C"/>
    <w:rsid w:val="00864A1A"/>
    <w:rsid w:val="008651B6"/>
    <w:rsid w:val="00865CB3"/>
    <w:rsid w:val="008660D4"/>
    <w:rsid w:val="00866172"/>
    <w:rsid w:val="00866FFB"/>
    <w:rsid w:val="008671E1"/>
    <w:rsid w:val="008702A0"/>
    <w:rsid w:val="008702D5"/>
    <w:rsid w:val="00870AEA"/>
    <w:rsid w:val="00871FA9"/>
    <w:rsid w:val="00872627"/>
    <w:rsid w:val="008728E9"/>
    <w:rsid w:val="00872B28"/>
    <w:rsid w:val="00872F32"/>
    <w:rsid w:val="008734CB"/>
    <w:rsid w:val="0087355E"/>
    <w:rsid w:val="00873645"/>
    <w:rsid w:val="008749F7"/>
    <w:rsid w:val="0087624B"/>
    <w:rsid w:val="00876657"/>
    <w:rsid w:val="0087699D"/>
    <w:rsid w:val="008769C8"/>
    <w:rsid w:val="008770FD"/>
    <w:rsid w:val="008773CA"/>
    <w:rsid w:val="00877AD0"/>
    <w:rsid w:val="00880F56"/>
    <w:rsid w:val="008819E5"/>
    <w:rsid w:val="00881B2C"/>
    <w:rsid w:val="008824D4"/>
    <w:rsid w:val="00882874"/>
    <w:rsid w:val="00883787"/>
    <w:rsid w:val="00883922"/>
    <w:rsid w:val="00886CD2"/>
    <w:rsid w:val="008876C8"/>
    <w:rsid w:val="008902D4"/>
    <w:rsid w:val="008906D7"/>
    <w:rsid w:val="0089122A"/>
    <w:rsid w:val="00892A36"/>
    <w:rsid w:val="00892E62"/>
    <w:rsid w:val="00893239"/>
    <w:rsid w:val="00894489"/>
    <w:rsid w:val="00894C44"/>
    <w:rsid w:val="00895F67"/>
    <w:rsid w:val="008963A5"/>
    <w:rsid w:val="008974A6"/>
    <w:rsid w:val="00897B6B"/>
    <w:rsid w:val="008A0C2E"/>
    <w:rsid w:val="008A103E"/>
    <w:rsid w:val="008A2A79"/>
    <w:rsid w:val="008A3363"/>
    <w:rsid w:val="008A3371"/>
    <w:rsid w:val="008A3C3E"/>
    <w:rsid w:val="008A4E95"/>
    <w:rsid w:val="008A4FCA"/>
    <w:rsid w:val="008A4FF6"/>
    <w:rsid w:val="008A58CB"/>
    <w:rsid w:val="008A606C"/>
    <w:rsid w:val="008A6530"/>
    <w:rsid w:val="008A79DE"/>
    <w:rsid w:val="008A7D53"/>
    <w:rsid w:val="008B0087"/>
    <w:rsid w:val="008B1757"/>
    <w:rsid w:val="008B1B62"/>
    <w:rsid w:val="008B1B9E"/>
    <w:rsid w:val="008B1BC4"/>
    <w:rsid w:val="008B1D90"/>
    <w:rsid w:val="008B25FC"/>
    <w:rsid w:val="008B2800"/>
    <w:rsid w:val="008B4EDF"/>
    <w:rsid w:val="008B5079"/>
    <w:rsid w:val="008B5A78"/>
    <w:rsid w:val="008B620C"/>
    <w:rsid w:val="008B6445"/>
    <w:rsid w:val="008B785D"/>
    <w:rsid w:val="008B7D7E"/>
    <w:rsid w:val="008C15EC"/>
    <w:rsid w:val="008C1E8C"/>
    <w:rsid w:val="008C1F2D"/>
    <w:rsid w:val="008C33A2"/>
    <w:rsid w:val="008C3E59"/>
    <w:rsid w:val="008C4614"/>
    <w:rsid w:val="008C4D0F"/>
    <w:rsid w:val="008C6142"/>
    <w:rsid w:val="008C6610"/>
    <w:rsid w:val="008C6846"/>
    <w:rsid w:val="008C6C22"/>
    <w:rsid w:val="008C7ECB"/>
    <w:rsid w:val="008D0245"/>
    <w:rsid w:val="008D0D9E"/>
    <w:rsid w:val="008D2A4B"/>
    <w:rsid w:val="008D324D"/>
    <w:rsid w:val="008D3509"/>
    <w:rsid w:val="008D3DBE"/>
    <w:rsid w:val="008D4755"/>
    <w:rsid w:val="008D4C3D"/>
    <w:rsid w:val="008D707E"/>
    <w:rsid w:val="008D721B"/>
    <w:rsid w:val="008D78E3"/>
    <w:rsid w:val="008D7BA4"/>
    <w:rsid w:val="008E0152"/>
    <w:rsid w:val="008E0A9E"/>
    <w:rsid w:val="008E0D3C"/>
    <w:rsid w:val="008E1B9E"/>
    <w:rsid w:val="008E21CA"/>
    <w:rsid w:val="008E4EB4"/>
    <w:rsid w:val="008E5393"/>
    <w:rsid w:val="008E55AB"/>
    <w:rsid w:val="008E5AFA"/>
    <w:rsid w:val="008E65D2"/>
    <w:rsid w:val="008E7347"/>
    <w:rsid w:val="008E75D3"/>
    <w:rsid w:val="008F05C7"/>
    <w:rsid w:val="008F0801"/>
    <w:rsid w:val="008F120A"/>
    <w:rsid w:val="008F242D"/>
    <w:rsid w:val="008F27E0"/>
    <w:rsid w:val="008F48EB"/>
    <w:rsid w:val="008F4F0B"/>
    <w:rsid w:val="008F516B"/>
    <w:rsid w:val="00900947"/>
    <w:rsid w:val="009019D5"/>
    <w:rsid w:val="00901B5B"/>
    <w:rsid w:val="00902610"/>
    <w:rsid w:val="00903FEA"/>
    <w:rsid w:val="009046C4"/>
    <w:rsid w:val="009050C8"/>
    <w:rsid w:val="00905374"/>
    <w:rsid w:val="009056AC"/>
    <w:rsid w:val="0090574F"/>
    <w:rsid w:val="009062A5"/>
    <w:rsid w:val="009063D6"/>
    <w:rsid w:val="00906B8F"/>
    <w:rsid w:val="00910A9A"/>
    <w:rsid w:val="00911272"/>
    <w:rsid w:val="009116AC"/>
    <w:rsid w:val="00911C00"/>
    <w:rsid w:val="009135D6"/>
    <w:rsid w:val="009141A4"/>
    <w:rsid w:val="00914C77"/>
    <w:rsid w:val="00915156"/>
    <w:rsid w:val="009152BA"/>
    <w:rsid w:val="009154D4"/>
    <w:rsid w:val="00915D39"/>
    <w:rsid w:val="00917CD0"/>
    <w:rsid w:val="00917E05"/>
    <w:rsid w:val="00920667"/>
    <w:rsid w:val="00922045"/>
    <w:rsid w:val="0092369B"/>
    <w:rsid w:val="00923BFB"/>
    <w:rsid w:val="00931C48"/>
    <w:rsid w:val="00931D46"/>
    <w:rsid w:val="00932358"/>
    <w:rsid w:val="00934675"/>
    <w:rsid w:val="00936776"/>
    <w:rsid w:val="00937FCC"/>
    <w:rsid w:val="00940AFD"/>
    <w:rsid w:val="009418C5"/>
    <w:rsid w:val="00941EFD"/>
    <w:rsid w:val="00941F5A"/>
    <w:rsid w:val="00942496"/>
    <w:rsid w:val="00942A04"/>
    <w:rsid w:val="00943511"/>
    <w:rsid w:val="0094417F"/>
    <w:rsid w:val="00944685"/>
    <w:rsid w:val="009504E3"/>
    <w:rsid w:val="00950686"/>
    <w:rsid w:val="009510A2"/>
    <w:rsid w:val="00952333"/>
    <w:rsid w:val="009523FF"/>
    <w:rsid w:val="00952587"/>
    <w:rsid w:val="00953257"/>
    <w:rsid w:val="0095353A"/>
    <w:rsid w:val="0095397B"/>
    <w:rsid w:val="00953DC7"/>
    <w:rsid w:val="0095572C"/>
    <w:rsid w:val="00956759"/>
    <w:rsid w:val="00956BE9"/>
    <w:rsid w:val="00956E74"/>
    <w:rsid w:val="009571B9"/>
    <w:rsid w:val="009574FE"/>
    <w:rsid w:val="009576CE"/>
    <w:rsid w:val="009577D3"/>
    <w:rsid w:val="00957823"/>
    <w:rsid w:val="00961FB0"/>
    <w:rsid w:val="00962CB9"/>
    <w:rsid w:val="00964312"/>
    <w:rsid w:val="00964408"/>
    <w:rsid w:val="00964B40"/>
    <w:rsid w:val="00965B8A"/>
    <w:rsid w:val="009663CC"/>
    <w:rsid w:val="009677CE"/>
    <w:rsid w:val="009679EA"/>
    <w:rsid w:val="0097092D"/>
    <w:rsid w:val="009717AC"/>
    <w:rsid w:val="00972375"/>
    <w:rsid w:val="00973CDA"/>
    <w:rsid w:val="00973D9A"/>
    <w:rsid w:val="00974549"/>
    <w:rsid w:val="00974777"/>
    <w:rsid w:val="00976B29"/>
    <w:rsid w:val="0098047E"/>
    <w:rsid w:val="0098088D"/>
    <w:rsid w:val="00982A0F"/>
    <w:rsid w:val="00983E57"/>
    <w:rsid w:val="00984C81"/>
    <w:rsid w:val="00985A5D"/>
    <w:rsid w:val="0098675D"/>
    <w:rsid w:val="009903B5"/>
    <w:rsid w:val="00990548"/>
    <w:rsid w:val="009905C0"/>
    <w:rsid w:val="0099225F"/>
    <w:rsid w:val="00993898"/>
    <w:rsid w:val="00993E87"/>
    <w:rsid w:val="00994A8B"/>
    <w:rsid w:val="00996B1A"/>
    <w:rsid w:val="0099782B"/>
    <w:rsid w:val="009A02E6"/>
    <w:rsid w:val="009A03D4"/>
    <w:rsid w:val="009A03E3"/>
    <w:rsid w:val="009A435D"/>
    <w:rsid w:val="009A7628"/>
    <w:rsid w:val="009A79AA"/>
    <w:rsid w:val="009A7F10"/>
    <w:rsid w:val="009A7F3A"/>
    <w:rsid w:val="009A7FDE"/>
    <w:rsid w:val="009B1E73"/>
    <w:rsid w:val="009B201D"/>
    <w:rsid w:val="009B3E26"/>
    <w:rsid w:val="009B4035"/>
    <w:rsid w:val="009B5E71"/>
    <w:rsid w:val="009B692D"/>
    <w:rsid w:val="009C07DA"/>
    <w:rsid w:val="009C092A"/>
    <w:rsid w:val="009C0FB4"/>
    <w:rsid w:val="009C0FC1"/>
    <w:rsid w:val="009C193F"/>
    <w:rsid w:val="009C1FB8"/>
    <w:rsid w:val="009C21F9"/>
    <w:rsid w:val="009C415B"/>
    <w:rsid w:val="009C428C"/>
    <w:rsid w:val="009C43B6"/>
    <w:rsid w:val="009C4B44"/>
    <w:rsid w:val="009C525D"/>
    <w:rsid w:val="009C63E7"/>
    <w:rsid w:val="009C6641"/>
    <w:rsid w:val="009C6CEA"/>
    <w:rsid w:val="009C7465"/>
    <w:rsid w:val="009C7B85"/>
    <w:rsid w:val="009C7DC1"/>
    <w:rsid w:val="009D1CED"/>
    <w:rsid w:val="009D2333"/>
    <w:rsid w:val="009D2B8D"/>
    <w:rsid w:val="009D2DEF"/>
    <w:rsid w:val="009D3B84"/>
    <w:rsid w:val="009D3D6D"/>
    <w:rsid w:val="009D4286"/>
    <w:rsid w:val="009D5662"/>
    <w:rsid w:val="009D5B91"/>
    <w:rsid w:val="009D60B8"/>
    <w:rsid w:val="009D792E"/>
    <w:rsid w:val="009E07E2"/>
    <w:rsid w:val="009E0DFE"/>
    <w:rsid w:val="009E0FD7"/>
    <w:rsid w:val="009E2953"/>
    <w:rsid w:val="009E299B"/>
    <w:rsid w:val="009E2F34"/>
    <w:rsid w:val="009E2FCE"/>
    <w:rsid w:val="009E36A5"/>
    <w:rsid w:val="009E4736"/>
    <w:rsid w:val="009E4B25"/>
    <w:rsid w:val="009E4C07"/>
    <w:rsid w:val="009E7333"/>
    <w:rsid w:val="009E76BB"/>
    <w:rsid w:val="009E77B1"/>
    <w:rsid w:val="009F09BC"/>
    <w:rsid w:val="009F0C0A"/>
    <w:rsid w:val="009F0D41"/>
    <w:rsid w:val="009F1F2B"/>
    <w:rsid w:val="009F2C0B"/>
    <w:rsid w:val="009F2DEB"/>
    <w:rsid w:val="009F3608"/>
    <w:rsid w:val="009F3B1C"/>
    <w:rsid w:val="009F5A6F"/>
    <w:rsid w:val="009F6A09"/>
    <w:rsid w:val="00A00EA7"/>
    <w:rsid w:val="00A01184"/>
    <w:rsid w:val="00A02014"/>
    <w:rsid w:val="00A0358A"/>
    <w:rsid w:val="00A03D43"/>
    <w:rsid w:val="00A04273"/>
    <w:rsid w:val="00A04380"/>
    <w:rsid w:val="00A06D36"/>
    <w:rsid w:val="00A11AA0"/>
    <w:rsid w:val="00A11CD0"/>
    <w:rsid w:val="00A13948"/>
    <w:rsid w:val="00A1435B"/>
    <w:rsid w:val="00A14512"/>
    <w:rsid w:val="00A15095"/>
    <w:rsid w:val="00A1555B"/>
    <w:rsid w:val="00A155C5"/>
    <w:rsid w:val="00A16AD8"/>
    <w:rsid w:val="00A16B99"/>
    <w:rsid w:val="00A21CF3"/>
    <w:rsid w:val="00A221A8"/>
    <w:rsid w:val="00A222E3"/>
    <w:rsid w:val="00A23C22"/>
    <w:rsid w:val="00A27AEC"/>
    <w:rsid w:val="00A301EF"/>
    <w:rsid w:val="00A30D5B"/>
    <w:rsid w:val="00A30E6B"/>
    <w:rsid w:val="00A320DB"/>
    <w:rsid w:val="00A32961"/>
    <w:rsid w:val="00A33424"/>
    <w:rsid w:val="00A34553"/>
    <w:rsid w:val="00A35D16"/>
    <w:rsid w:val="00A363FB"/>
    <w:rsid w:val="00A36674"/>
    <w:rsid w:val="00A36B3C"/>
    <w:rsid w:val="00A37424"/>
    <w:rsid w:val="00A37BCD"/>
    <w:rsid w:val="00A40DD6"/>
    <w:rsid w:val="00A41C00"/>
    <w:rsid w:val="00A43C59"/>
    <w:rsid w:val="00A44017"/>
    <w:rsid w:val="00A444ED"/>
    <w:rsid w:val="00A44C99"/>
    <w:rsid w:val="00A50097"/>
    <w:rsid w:val="00A50ECD"/>
    <w:rsid w:val="00A518F3"/>
    <w:rsid w:val="00A52729"/>
    <w:rsid w:val="00A529EC"/>
    <w:rsid w:val="00A53675"/>
    <w:rsid w:val="00A54613"/>
    <w:rsid w:val="00A564D7"/>
    <w:rsid w:val="00A56B6A"/>
    <w:rsid w:val="00A57102"/>
    <w:rsid w:val="00A57119"/>
    <w:rsid w:val="00A578DC"/>
    <w:rsid w:val="00A60D28"/>
    <w:rsid w:val="00A61A19"/>
    <w:rsid w:val="00A63591"/>
    <w:rsid w:val="00A63B38"/>
    <w:rsid w:val="00A63D6A"/>
    <w:rsid w:val="00A65E7C"/>
    <w:rsid w:val="00A660B0"/>
    <w:rsid w:val="00A666E1"/>
    <w:rsid w:val="00A6725B"/>
    <w:rsid w:val="00A67C26"/>
    <w:rsid w:val="00A705FE"/>
    <w:rsid w:val="00A70605"/>
    <w:rsid w:val="00A70974"/>
    <w:rsid w:val="00A70D69"/>
    <w:rsid w:val="00A7122B"/>
    <w:rsid w:val="00A73134"/>
    <w:rsid w:val="00A7453A"/>
    <w:rsid w:val="00A777B2"/>
    <w:rsid w:val="00A83F59"/>
    <w:rsid w:val="00A84364"/>
    <w:rsid w:val="00A8471A"/>
    <w:rsid w:val="00A86E8B"/>
    <w:rsid w:val="00A86FB2"/>
    <w:rsid w:val="00A87164"/>
    <w:rsid w:val="00A87382"/>
    <w:rsid w:val="00A874F2"/>
    <w:rsid w:val="00A90C34"/>
    <w:rsid w:val="00A9292A"/>
    <w:rsid w:val="00A92E09"/>
    <w:rsid w:val="00A93072"/>
    <w:rsid w:val="00A93891"/>
    <w:rsid w:val="00A93953"/>
    <w:rsid w:val="00A957D9"/>
    <w:rsid w:val="00A957F9"/>
    <w:rsid w:val="00A959D8"/>
    <w:rsid w:val="00A96339"/>
    <w:rsid w:val="00A97509"/>
    <w:rsid w:val="00AA113D"/>
    <w:rsid w:val="00AA19BE"/>
    <w:rsid w:val="00AA1C82"/>
    <w:rsid w:val="00AA2E6B"/>
    <w:rsid w:val="00AA478C"/>
    <w:rsid w:val="00AA505F"/>
    <w:rsid w:val="00AA5415"/>
    <w:rsid w:val="00AA68CD"/>
    <w:rsid w:val="00AA6C7D"/>
    <w:rsid w:val="00AA7FD6"/>
    <w:rsid w:val="00AB0151"/>
    <w:rsid w:val="00AB025A"/>
    <w:rsid w:val="00AB042A"/>
    <w:rsid w:val="00AB1056"/>
    <w:rsid w:val="00AB198C"/>
    <w:rsid w:val="00AB1DCC"/>
    <w:rsid w:val="00AB22F7"/>
    <w:rsid w:val="00AB2D34"/>
    <w:rsid w:val="00AB3430"/>
    <w:rsid w:val="00AB3AF6"/>
    <w:rsid w:val="00AB4AD1"/>
    <w:rsid w:val="00AB4F5A"/>
    <w:rsid w:val="00AB4FC6"/>
    <w:rsid w:val="00AB7923"/>
    <w:rsid w:val="00AB7A8F"/>
    <w:rsid w:val="00AB7CFA"/>
    <w:rsid w:val="00AC1097"/>
    <w:rsid w:val="00AC2866"/>
    <w:rsid w:val="00AC2CAF"/>
    <w:rsid w:val="00AC4BC9"/>
    <w:rsid w:val="00AC5024"/>
    <w:rsid w:val="00AC5B48"/>
    <w:rsid w:val="00AC5BB1"/>
    <w:rsid w:val="00AC5F8E"/>
    <w:rsid w:val="00AD0BFF"/>
    <w:rsid w:val="00AD0D46"/>
    <w:rsid w:val="00AD18AF"/>
    <w:rsid w:val="00AD2A64"/>
    <w:rsid w:val="00AD4FEE"/>
    <w:rsid w:val="00AD626F"/>
    <w:rsid w:val="00AD6502"/>
    <w:rsid w:val="00AD74A4"/>
    <w:rsid w:val="00AD75FF"/>
    <w:rsid w:val="00AD77CE"/>
    <w:rsid w:val="00AD7AE5"/>
    <w:rsid w:val="00AE162B"/>
    <w:rsid w:val="00AE1A94"/>
    <w:rsid w:val="00AE1AD2"/>
    <w:rsid w:val="00AE2914"/>
    <w:rsid w:val="00AE2ABB"/>
    <w:rsid w:val="00AE40B8"/>
    <w:rsid w:val="00AE40D2"/>
    <w:rsid w:val="00AE495C"/>
    <w:rsid w:val="00AE49F5"/>
    <w:rsid w:val="00AE4BF9"/>
    <w:rsid w:val="00AE4CDC"/>
    <w:rsid w:val="00AE4ED6"/>
    <w:rsid w:val="00AE59D7"/>
    <w:rsid w:val="00AE6907"/>
    <w:rsid w:val="00AE6B1A"/>
    <w:rsid w:val="00AF0426"/>
    <w:rsid w:val="00AF0F79"/>
    <w:rsid w:val="00AF1315"/>
    <w:rsid w:val="00AF19BF"/>
    <w:rsid w:val="00AF202B"/>
    <w:rsid w:val="00AF28AD"/>
    <w:rsid w:val="00AF2DC3"/>
    <w:rsid w:val="00AF51B4"/>
    <w:rsid w:val="00AF5424"/>
    <w:rsid w:val="00AF6446"/>
    <w:rsid w:val="00B0008A"/>
    <w:rsid w:val="00B033E5"/>
    <w:rsid w:val="00B03A63"/>
    <w:rsid w:val="00B04D0D"/>
    <w:rsid w:val="00B051E4"/>
    <w:rsid w:val="00B05C14"/>
    <w:rsid w:val="00B06A16"/>
    <w:rsid w:val="00B06C0B"/>
    <w:rsid w:val="00B06CA7"/>
    <w:rsid w:val="00B07D67"/>
    <w:rsid w:val="00B11466"/>
    <w:rsid w:val="00B120D8"/>
    <w:rsid w:val="00B12499"/>
    <w:rsid w:val="00B1282C"/>
    <w:rsid w:val="00B12F17"/>
    <w:rsid w:val="00B12F84"/>
    <w:rsid w:val="00B14F54"/>
    <w:rsid w:val="00B1600A"/>
    <w:rsid w:val="00B16066"/>
    <w:rsid w:val="00B16FFA"/>
    <w:rsid w:val="00B173EF"/>
    <w:rsid w:val="00B201A4"/>
    <w:rsid w:val="00B20F46"/>
    <w:rsid w:val="00B213A6"/>
    <w:rsid w:val="00B231D5"/>
    <w:rsid w:val="00B23CA7"/>
    <w:rsid w:val="00B23D0A"/>
    <w:rsid w:val="00B24DF6"/>
    <w:rsid w:val="00B2591C"/>
    <w:rsid w:val="00B273B0"/>
    <w:rsid w:val="00B278EC"/>
    <w:rsid w:val="00B30523"/>
    <w:rsid w:val="00B3082B"/>
    <w:rsid w:val="00B31AEC"/>
    <w:rsid w:val="00B33DB4"/>
    <w:rsid w:val="00B3429C"/>
    <w:rsid w:val="00B347B7"/>
    <w:rsid w:val="00B34FE2"/>
    <w:rsid w:val="00B357D8"/>
    <w:rsid w:val="00B3669B"/>
    <w:rsid w:val="00B370C6"/>
    <w:rsid w:val="00B37BFC"/>
    <w:rsid w:val="00B37DB0"/>
    <w:rsid w:val="00B40358"/>
    <w:rsid w:val="00B40D8D"/>
    <w:rsid w:val="00B41614"/>
    <w:rsid w:val="00B41C90"/>
    <w:rsid w:val="00B42851"/>
    <w:rsid w:val="00B42F80"/>
    <w:rsid w:val="00B435CB"/>
    <w:rsid w:val="00B43789"/>
    <w:rsid w:val="00B43D08"/>
    <w:rsid w:val="00B44A08"/>
    <w:rsid w:val="00B47106"/>
    <w:rsid w:val="00B47A98"/>
    <w:rsid w:val="00B501E8"/>
    <w:rsid w:val="00B50876"/>
    <w:rsid w:val="00B50DB8"/>
    <w:rsid w:val="00B511E9"/>
    <w:rsid w:val="00B5207D"/>
    <w:rsid w:val="00B53654"/>
    <w:rsid w:val="00B538C2"/>
    <w:rsid w:val="00B53905"/>
    <w:rsid w:val="00B5405A"/>
    <w:rsid w:val="00B54B5B"/>
    <w:rsid w:val="00B553FA"/>
    <w:rsid w:val="00B5562E"/>
    <w:rsid w:val="00B56AAC"/>
    <w:rsid w:val="00B57000"/>
    <w:rsid w:val="00B601D0"/>
    <w:rsid w:val="00B601F9"/>
    <w:rsid w:val="00B6036E"/>
    <w:rsid w:val="00B60939"/>
    <w:rsid w:val="00B60AFD"/>
    <w:rsid w:val="00B60F93"/>
    <w:rsid w:val="00B62175"/>
    <w:rsid w:val="00B62715"/>
    <w:rsid w:val="00B62A16"/>
    <w:rsid w:val="00B634FC"/>
    <w:rsid w:val="00B640BD"/>
    <w:rsid w:val="00B64D14"/>
    <w:rsid w:val="00B65042"/>
    <w:rsid w:val="00B66C1D"/>
    <w:rsid w:val="00B66CF8"/>
    <w:rsid w:val="00B66DBA"/>
    <w:rsid w:val="00B673B5"/>
    <w:rsid w:val="00B67B0A"/>
    <w:rsid w:val="00B67B6B"/>
    <w:rsid w:val="00B7115B"/>
    <w:rsid w:val="00B713DE"/>
    <w:rsid w:val="00B731AF"/>
    <w:rsid w:val="00B733C2"/>
    <w:rsid w:val="00B73464"/>
    <w:rsid w:val="00B742A1"/>
    <w:rsid w:val="00B745BD"/>
    <w:rsid w:val="00B7522A"/>
    <w:rsid w:val="00B7536F"/>
    <w:rsid w:val="00B75F84"/>
    <w:rsid w:val="00B76764"/>
    <w:rsid w:val="00B76BAB"/>
    <w:rsid w:val="00B777C7"/>
    <w:rsid w:val="00B77D1C"/>
    <w:rsid w:val="00B802A9"/>
    <w:rsid w:val="00B80526"/>
    <w:rsid w:val="00B80D6B"/>
    <w:rsid w:val="00B8123C"/>
    <w:rsid w:val="00B818A4"/>
    <w:rsid w:val="00B81B34"/>
    <w:rsid w:val="00B81BE8"/>
    <w:rsid w:val="00B82097"/>
    <w:rsid w:val="00B82730"/>
    <w:rsid w:val="00B828E8"/>
    <w:rsid w:val="00B834A1"/>
    <w:rsid w:val="00B84117"/>
    <w:rsid w:val="00B85797"/>
    <w:rsid w:val="00B85AA2"/>
    <w:rsid w:val="00B8649C"/>
    <w:rsid w:val="00B87F0A"/>
    <w:rsid w:val="00B90159"/>
    <w:rsid w:val="00B91E1A"/>
    <w:rsid w:val="00B91FB3"/>
    <w:rsid w:val="00B922FD"/>
    <w:rsid w:val="00B92640"/>
    <w:rsid w:val="00B92D0B"/>
    <w:rsid w:val="00B92D85"/>
    <w:rsid w:val="00B92EEC"/>
    <w:rsid w:val="00B932AE"/>
    <w:rsid w:val="00B945E2"/>
    <w:rsid w:val="00B94945"/>
    <w:rsid w:val="00B95FF3"/>
    <w:rsid w:val="00BA0E6C"/>
    <w:rsid w:val="00BA1979"/>
    <w:rsid w:val="00BA2A67"/>
    <w:rsid w:val="00BA322D"/>
    <w:rsid w:val="00BA3737"/>
    <w:rsid w:val="00BA3AF3"/>
    <w:rsid w:val="00BA4068"/>
    <w:rsid w:val="00BA423F"/>
    <w:rsid w:val="00BA4FD4"/>
    <w:rsid w:val="00BA57E3"/>
    <w:rsid w:val="00BA76A0"/>
    <w:rsid w:val="00BB0085"/>
    <w:rsid w:val="00BB0BDD"/>
    <w:rsid w:val="00BB18E5"/>
    <w:rsid w:val="00BB2A70"/>
    <w:rsid w:val="00BB2A73"/>
    <w:rsid w:val="00BB3252"/>
    <w:rsid w:val="00BB3CE3"/>
    <w:rsid w:val="00BB416C"/>
    <w:rsid w:val="00BB41AD"/>
    <w:rsid w:val="00BB443F"/>
    <w:rsid w:val="00BB4ACC"/>
    <w:rsid w:val="00BB53F8"/>
    <w:rsid w:val="00BB5895"/>
    <w:rsid w:val="00BB58AC"/>
    <w:rsid w:val="00BB5D63"/>
    <w:rsid w:val="00BB703E"/>
    <w:rsid w:val="00BB7405"/>
    <w:rsid w:val="00BB7E49"/>
    <w:rsid w:val="00BC0F4C"/>
    <w:rsid w:val="00BC164E"/>
    <w:rsid w:val="00BC3631"/>
    <w:rsid w:val="00BC423F"/>
    <w:rsid w:val="00BC4942"/>
    <w:rsid w:val="00BC5657"/>
    <w:rsid w:val="00BC56E5"/>
    <w:rsid w:val="00BC5EC1"/>
    <w:rsid w:val="00BC7A3A"/>
    <w:rsid w:val="00BD0E81"/>
    <w:rsid w:val="00BD0EEC"/>
    <w:rsid w:val="00BD17D5"/>
    <w:rsid w:val="00BD2763"/>
    <w:rsid w:val="00BD3894"/>
    <w:rsid w:val="00BD43D7"/>
    <w:rsid w:val="00BD5043"/>
    <w:rsid w:val="00BD60FA"/>
    <w:rsid w:val="00BD68A3"/>
    <w:rsid w:val="00BD6938"/>
    <w:rsid w:val="00BD6CF3"/>
    <w:rsid w:val="00BD711E"/>
    <w:rsid w:val="00BD7292"/>
    <w:rsid w:val="00BE0B9A"/>
    <w:rsid w:val="00BE0E8B"/>
    <w:rsid w:val="00BE187C"/>
    <w:rsid w:val="00BE20A8"/>
    <w:rsid w:val="00BE2180"/>
    <w:rsid w:val="00BE21F2"/>
    <w:rsid w:val="00BE3433"/>
    <w:rsid w:val="00BE3DB4"/>
    <w:rsid w:val="00BE3F0A"/>
    <w:rsid w:val="00BE4275"/>
    <w:rsid w:val="00BE4E0D"/>
    <w:rsid w:val="00BE6A0A"/>
    <w:rsid w:val="00BE6E0A"/>
    <w:rsid w:val="00BE7424"/>
    <w:rsid w:val="00BE74CE"/>
    <w:rsid w:val="00BF0837"/>
    <w:rsid w:val="00BF0CCD"/>
    <w:rsid w:val="00BF0F95"/>
    <w:rsid w:val="00BF2433"/>
    <w:rsid w:val="00BF25A8"/>
    <w:rsid w:val="00BF371B"/>
    <w:rsid w:val="00BF4295"/>
    <w:rsid w:val="00BF4DAF"/>
    <w:rsid w:val="00BF534E"/>
    <w:rsid w:val="00BF59F1"/>
    <w:rsid w:val="00BF5CD3"/>
    <w:rsid w:val="00BF5F27"/>
    <w:rsid w:val="00BF6001"/>
    <w:rsid w:val="00BF61C9"/>
    <w:rsid w:val="00BF6C94"/>
    <w:rsid w:val="00C00424"/>
    <w:rsid w:val="00C018B0"/>
    <w:rsid w:val="00C01ECD"/>
    <w:rsid w:val="00C0242D"/>
    <w:rsid w:val="00C03298"/>
    <w:rsid w:val="00C039F0"/>
    <w:rsid w:val="00C03CF0"/>
    <w:rsid w:val="00C03E21"/>
    <w:rsid w:val="00C047F7"/>
    <w:rsid w:val="00C04C45"/>
    <w:rsid w:val="00C05CCC"/>
    <w:rsid w:val="00C10BF9"/>
    <w:rsid w:val="00C10E5B"/>
    <w:rsid w:val="00C113BF"/>
    <w:rsid w:val="00C11529"/>
    <w:rsid w:val="00C11E3F"/>
    <w:rsid w:val="00C12212"/>
    <w:rsid w:val="00C126EB"/>
    <w:rsid w:val="00C12C14"/>
    <w:rsid w:val="00C16E2B"/>
    <w:rsid w:val="00C16F01"/>
    <w:rsid w:val="00C200AA"/>
    <w:rsid w:val="00C20D90"/>
    <w:rsid w:val="00C20DA6"/>
    <w:rsid w:val="00C213EA"/>
    <w:rsid w:val="00C224E6"/>
    <w:rsid w:val="00C22D78"/>
    <w:rsid w:val="00C237ED"/>
    <w:rsid w:val="00C24632"/>
    <w:rsid w:val="00C251DE"/>
    <w:rsid w:val="00C25418"/>
    <w:rsid w:val="00C25D9C"/>
    <w:rsid w:val="00C26BFB"/>
    <w:rsid w:val="00C2778B"/>
    <w:rsid w:val="00C27B6A"/>
    <w:rsid w:val="00C3037B"/>
    <w:rsid w:val="00C31235"/>
    <w:rsid w:val="00C31649"/>
    <w:rsid w:val="00C3166F"/>
    <w:rsid w:val="00C31B3F"/>
    <w:rsid w:val="00C327E9"/>
    <w:rsid w:val="00C33182"/>
    <w:rsid w:val="00C33529"/>
    <w:rsid w:val="00C353BE"/>
    <w:rsid w:val="00C40385"/>
    <w:rsid w:val="00C42611"/>
    <w:rsid w:val="00C44107"/>
    <w:rsid w:val="00C45A99"/>
    <w:rsid w:val="00C465C6"/>
    <w:rsid w:val="00C475AA"/>
    <w:rsid w:val="00C507DF"/>
    <w:rsid w:val="00C517AB"/>
    <w:rsid w:val="00C51A98"/>
    <w:rsid w:val="00C5232A"/>
    <w:rsid w:val="00C52D6F"/>
    <w:rsid w:val="00C55971"/>
    <w:rsid w:val="00C565B4"/>
    <w:rsid w:val="00C56BCF"/>
    <w:rsid w:val="00C577B4"/>
    <w:rsid w:val="00C57AC4"/>
    <w:rsid w:val="00C60DAC"/>
    <w:rsid w:val="00C65576"/>
    <w:rsid w:val="00C66165"/>
    <w:rsid w:val="00C664C3"/>
    <w:rsid w:val="00C676DE"/>
    <w:rsid w:val="00C700D9"/>
    <w:rsid w:val="00C701E8"/>
    <w:rsid w:val="00C70A5D"/>
    <w:rsid w:val="00C70B79"/>
    <w:rsid w:val="00C7151A"/>
    <w:rsid w:val="00C71F60"/>
    <w:rsid w:val="00C72241"/>
    <w:rsid w:val="00C723EA"/>
    <w:rsid w:val="00C72C9F"/>
    <w:rsid w:val="00C742FD"/>
    <w:rsid w:val="00C7447B"/>
    <w:rsid w:val="00C750C8"/>
    <w:rsid w:val="00C750FB"/>
    <w:rsid w:val="00C75294"/>
    <w:rsid w:val="00C7537A"/>
    <w:rsid w:val="00C7560F"/>
    <w:rsid w:val="00C76A51"/>
    <w:rsid w:val="00C80585"/>
    <w:rsid w:val="00C80A0E"/>
    <w:rsid w:val="00C8167C"/>
    <w:rsid w:val="00C8213F"/>
    <w:rsid w:val="00C82413"/>
    <w:rsid w:val="00C82419"/>
    <w:rsid w:val="00C8243C"/>
    <w:rsid w:val="00C85221"/>
    <w:rsid w:val="00C8572F"/>
    <w:rsid w:val="00C85AD9"/>
    <w:rsid w:val="00C8613D"/>
    <w:rsid w:val="00C8627E"/>
    <w:rsid w:val="00C865BF"/>
    <w:rsid w:val="00C8663F"/>
    <w:rsid w:val="00C8692E"/>
    <w:rsid w:val="00C86BA2"/>
    <w:rsid w:val="00C86C50"/>
    <w:rsid w:val="00C8797A"/>
    <w:rsid w:val="00C900B8"/>
    <w:rsid w:val="00C90C71"/>
    <w:rsid w:val="00C90F68"/>
    <w:rsid w:val="00C92FB2"/>
    <w:rsid w:val="00C931CF"/>
    <w:rsid w:val="00C938CF"/>
    <w:rsid w:val="00C94005"/>
    <w:rsid w:val="00C94F6E"/>
    <w:rsid w:val="00C9624D"/>
    <w:rsid w:val="00C969DA"/>
    <w:rsid w:val="00C97FE3"/>
    <w:rsid w:val="00CA077B"/>
    <w:rsid w:val="00CA0BDC"/>
    <w:rsid w:val="00CA179A"/>
    <w:rsid w:val="00CA1D0A"/>
    <w:rsid w:val="00CA2C77"/>
    <w:rsid w:val="00CA2D4F"/>
    <w:rsid w:val="00CA35A0"/>
    <w:rsid w:val="00CA3DC7"/>
    <w:rsid w:val="00CA42C7"/>
    <w:rsid w:val="00CA444F"/>
    <w:rsid w:val="00CA46CC"/>
    <w:rsid w:val="00CA5245"/>
    <w:rsid w:val="00CA5575"/>
    <w:rsid w:val="00CA71F4"/>
    <w:rsid w:val="00CA7B09"/>
    <w:rsid w:val="00CB1555"/>
    <w:rsid w:val="00CB19C7"/>
    <w:rsid w:val="00CB2180"/>
    <w:rsid w:val="00CB2B43"/>
    <w:rsid w:val="00CB2E4F"/>
    <w:rsid w:val="00CB2F2A"/>
    <w:rsid w:val="00CB3690"/>
    <w:rsid w:val="00CB5B1A"/>
    <w:rsid w:val="00CB64B8"/>
    <w:rsid w:val="00CB6B22"/>
    <w:rsid w:val="00CB714F"/>
    <w:rsid w:val="00CB7263"/>
    <w:rsid w:val="00CB73D6"/>
    <w:rsid w:val="00CB7C7A"/>
    <w:rsid w:val="00CB7F5F"/>
    <w:rsid w:val="00CB7F8B"/>
    <w:rsid w:val="00CC0EEB"/>
    <w:rsid w:val="00CC1B39"/>
    <w:rsid w:val="00CC3586"/>
    <w:rsid w:val="00CC4303"/>
    <w:rsid w:val="00CC4DCF"/>
    <w:rsid w:val="00CC585E"/>
    <w:rsid w:val="00CD083C"/>
    <w:rsid w:val="00CD2855"/>
    <w:rsid w:val="00CD4FFF"/>
    <w:rsid w:val="00CD541C"/>
    <w:rsid w:val="00CD5A6F"/>
    <w:rsid w:val="00CD5E06"/>
    <w:rsid w:val="00CD6ADC"/>
    <w:rsid w:val="00CE0836"/>
    <w:rsid w:val="00CE0BDE"/>
    <w:rsid w:val="00CE13F3"/>
    <w:rsid w:val="00CE21B7"/>
    <w:rsid w:val="00CE45E0"/>
    <w:rsid w:val="00CE59FC"/>
    <w:rsid w:val="00CE6274"/>
    <w:rsid w:val="00CF0172"/>
    <w:rsid w:val="00CF0697"/>
    <w:rsid w:val="00CF0867"/>
    <w:rsid w:val="00CF16E4"/>
    <w:rsid w:val="00CF18B0"/>
    <w:rsid w:val="00CF2B8D"/>
    <w:rsid w:val="00CF2E6A"/>
    <w:rsid w:val="00CF3753"/>
    <w:rsid w:val="00CF3871"/>
    <w:rsid w:val="00CF39A7"/>
    <w:rsid w:val="00CF3CB4"/>
    <w:rsid w:val="00CF410F"/>
    <w:rsid w:val="00CF456B"/>
    <w:rsid w:val="00CF5A22"/>
    <w:rsid w:val="00CF5DC7"/>
    <w:rsid w:val="00CF652A"/>
    <w:rsid w:val="00CF6B2A"/>
    <w:rsid w:val="00CF707F"/>
    <w:rsid w:val="00D0017A"/>
    <w:rsid w:val="00D00624"/>
    <w:rsid w:val="00D0262E"/>
    <w:rsid w:val="00D02CA9"/>
    <w:rsid w:val="00D02FB3"/>
    <w:rsid w:val="00D054F8"/>
    <w:rsid w:val="00D05F7F"/>
    <w:rsid w:val="00D064E9"/>
    <w:rsid w:val="00D06778"/>
    <w:rsid w:val="00D073AE"/>
    <w:rsid w:val="00D07992"/>
    <w:rsid w:val="00D10C1E"/>
    <w:rsid w:val="00D110BD"/>
    <w:rsid w:val="00D11FAC"/>
    <w:rsid w:val="00D12629"/>
    <w:rsid w:val="00D12D83"/>
    <w:rsid w:val="00D13675"/>
    <w:rsid w:val="00D141E1"/>
    <w:rsid w:val="00D14767"/>
    <w:rsid w:val="00D15820"/>
    <w:rsid w:val="00D15FCC"/>
    <w:rsid w:val="00D16BFC"/>
    <w:rsid w:val="00D1756F"/>
    <w:rsid w:val="00D175C4"/>
    <w:rsid w:val="00D179CE"/>
    <w:rsid w:val="00D17B3A"/>
    <w:rsid w:val="00D17D51"/>
    <w:rsid w:val="00D17D6C"/>
    <w:rsid w:val="00D2145F"/>
    <w:rsid w:val="00D21FB9"/>
    <w:rsid w:val="00D2235B"/>
    <w:rsid w:val="00D22414"/>
    <w:rsid w:val="00D23053"/>
    <w:rsid w:val="00D263B8"/>
    <w:rsid w:val="00D2754D"/>
    <w:rsid w:val="00D27B27"/>
    <w:rsid w:val="00D30C1E"/>
    <w:rsid w:val="00D315A0"/>
    <w:rsid w:val="00D31A1C"/>
    <w:rsid w:val="00D33BE9"/>
    <w:rsid w:val="00D33D64"/>
    <w:rsid w:val="00D357FF"/>
    <w:rsid w:val="00D35B10"/>
    <w:rsid w:val="00D36FC3"/>
    <w:rsid w:val="00D378AB"/>
    <w:rsid w:val="00D40567"/>
    <w:rsid w:val="00D4078B"/>
    <w:rsid w:val="00D40C9C"/>
    <w:rsid w:val="00D40CAB"/>
    <w:rsid w:val="00D421B6"/>
    <w:rsid w:val="00D424C7"/>
    <w:rsid w:val="00D42B6E"/>
    <w:rsid w:val="00D431B3"/>
    <w:rsid w:val="00D43B2A"/>
    <w:rsid w:val="00D4517F"/>
    <w:rsid w:val="00D45185"/>
    <w:rsid w:val="00D466CC"/>
    <w:rsid w:val="00D46EEF"/>
    <w:rsid w:val="00D47380"/>
    <w:rsid w:val="00D47575"/>
    <w:rsid w:val="00D500C3"/>
    <w:rsid w:val="00D51311"/>
    <w:rsid w:val="00D51415"/>
    <w:rsid w:val="00D51745"/>
    <w:rsid w:val="00D519B8"/>
    <w:rsid w:val="00D51C89"/>
    <w:rsid w:val="00D51D49"/>
    <w:rsid w:val="00D52172"/>
    <w:rsid w:val="00D52CB7"/>
    <w:rsid w:val="00D5303D"/>
    <w:rsid w:val="00D5334F"/>
    <w:rsid w:val="00D5406C"/>
    <w:rsid w:val="00D578BE"/>
    <w:rsid w:val="00D631C7"/>
    <w:rsid w:val="00D63A04"/>
    <w:rsid w:val="00D65A3A"/>
    <w:rsid w:val="00D65B42"/>
    <w:rsid w:val="00D66613"/>
    <w:rsid w:val="00D67FBE"/>
    <w:rsid w:val="00D70F16"/>
    <w:rsid w:val="00D71094"/>
    <w:rsid w:val="00D71294"/>
    <w:rsid w:val="00D71431"/>
    <w:rsid w:val="00D7392F"/>
    <w:rsid w:val="00D746AB"/>
    <w:rsid w:val="00D753C3"/>
    <w:rsid w:val="00D75989"/>
    <w:rsid w:val="00D76A44"/>
    <w:rsid w:val="00D76E7F"/>
    <w:rsid w:val="00D77E21"/>
    <w:rsid w:val="00D815EF"/>
    <w:rsid w:val="00D827F6"/>
    <w:rsid w:val="00D8320F"/>
    <w:rsid w:val="00D83A7F"/>
    <w:rsid w:val="00D8426D"/>
    <w:rsid w:val="00D849AC"/>
    <w:rsid w:val="00D90710"/>
    <w:rsid w:val="00D90814"/>
    <w:rsid w:val="00D911FE"/>
    <w:rsid w:val="00D91923"/>
    <w:rsid w:val="00D92090"/>
    <w:rsid w:val="00D922CF"/>
    <w:rsid w:val="00D92561"/>
    <w:rsid w:val="00D93753"/>
    <w:rsid w:val="00D9390D"/>
    <w:rsid w:val="00D93DD8"/>
    <w:rsid w:val="00D952AB"/>
    <w:rsid w:val="00D96D82"/>
    <w:rsid w:val="00D97AE1"/>
    <w:rsid w:val="00D97EF7"/>
    <w:rsid w:val="00DA12C9"/>
    <w:rsid w:val="00DA1F7B"/>
    <w:rsid w:val="00DA2249"/>
    <w:rsid w:val="00DA243E"/>
    <w:rsid w:val="00DA3167"/>
    <w:rsid w:val="00DA3457"/>
    <w:rsid w:val="00DA3A55"/>
    <w:rsid w:val="00DA4DC3"/>
    <w:rsid w:val="00DA4FB3"/>
    <w:rsid w:val="00DA6C7F"/>
    <w:rsid w:val="00DA6D98"/>
    <w:rsid w:val="00DA7481"/>
    <w:rsid w:val="00DA74EA"/>
    <w:rsid w:val="00DA77A5"/>
    <w:rsid w:val="00DA7DF7"/>
    <w:rsid w:val="00DB0021"/>
    <w:rsid w:val="00DB0936"/>
    <w:rsid w:val="00DB0E1A"/>
    <w:rsid w:val="00DB0EE2"/>
    <w:rsid w:val="00DB1FDA"/>
    <w:rsid w:val="00DB484F"/>
    <w:rsid w:val="00DB77A5"/>
    <w:rsid w:val="00DC04F6"/>
    <w:rsid w:val="00DC0AF5"/>
    <w:rsid w:val="00DC38C5"/>
    <w:rsid w:val="00DC3C57"/>
    <w:rsid w:val="00DC4B24"/>
    <w:rsid w:val="00DC52FE"/>
    <w:rsid w:val="00DC5501"/>
    <w:rsid w:val="00DC5516"/>
    <w:rsid w:val="00DC5B3B"/>
    <w:rsid w:val="00DC6584"/>
    <w:rsid w:val="00DD0293"/>
    <w:rsid w:val="00DD0407"/>
    <w:rsid w:val="00DD1067"/>
    <w:rsid w:val="00DD26F6"/>
    <w:rsid w:val="00DD273C"/>
    <w:rsid w:val="00DD2FBC"/>
    <w:rsid w:val="00DD3F28"/>
    <w:rsid w:val="00DD4537"/>
    <w:rsid w:val="00DD4E15"/>
    <w:rsid w:val="00DD4E37"/>
    <w:rsid w:val="00DD5F60"/>
    <w:rsid w:val="00DD6B2D"/>
    <w:rsid w:val="00DE0234"/>
    <w:rsid w:val="00DE0A88"/>
    <w:rsid w:val="00DE1BA6"/>
    <w:rsid w:val="00DE1CA1"/>
    <w:rsid w:val="00DE2447"/>
    <w:rsid w:val="00DE289D"/>
    <w:rsid w:val="00DE3138"/>
    <w:rsid w:val="00DE37F8"/>
    <w:rsid w:val="00DE3896"/>
    <w:rsid w:val="00DE3C2B"/>
    <w:rsid w:val="00DE3DA7"/>
    <w:rsid w:val="00DE471D"/>
    <w:rsid w:val="00DE4FCB"/>
    <w:rsid w:val="00DE57A0"/>
    <w:rsid w:val="00DE7832"/>
    <w:rsid w:val="00DE7B69"/>
    <w:rsid w:val="00DE7EAB"/>
    <w:rsid w:val="00DF10C0"/>
    <w:rsid w:val="00DF18FC"/>
    <w:rsid w:val="00DF2DF5"/>
    <w:rsid w:val="00DF3D8E"/>
    <w:rsid w:val="00DF44DA"/>
    <w:rsid w:val="00DF5423"/>
    <w:rsid w:val="00DF5D2B"/>
    <w:rsid w:val="00DF710D"/>
    <w:rsid w:val="00DF7809"/>
    <w:rsid w:val="00DF7A1C"/>
    <w:rsid w:val="00E007AB"/>
    <w:rsid w:val="00E00E8E"/>
    <w:rsid w:val="00E025D2"/>
    <w:rsid w:val="00E026D2"/>
    <w:rsid w:val="00E0293F"/>
    <w:rsid w:val="00E03E11"/>
    <w:rsid w:val="00E05186"/>
    <w:rsid w:val="00E0533D"/>
    <w:rsid w:val="00E05630"/>
    <w:rsid w:val="00E05C57"/>
    <w:rsid w:val="00E06DBB"/>
    <w:rsid w:val="00E06E13"/>
    <w:rsid w:val="00E07790"/>
    <w:rsid w:val="00E07959"/>
    <w:rsid w:val="00E07CFB"/>
    <w:rsid w:val="00E10149"/>
    <w:rsid w:val="00E11A5A"/>
    <w:rsid w:val="00E13F26"/>
    <w:rsid w:val="00E15D0A"/>
    <w:rsid w:val="00E16372"/>
    <w:rsid w:val="00E1750C"/>
    <w:rsid w:val="00E17881"/>
    <w:rsid w:val="00E20E39"/>
    <w:rsid w:val="00E20E4D"/>
    <w:rsid w:val="00E20ED6"/>
    <w:rsid w:val="00E21358"/>
    <w:rsid w:val="00E216A2"/>
    <w:rsid w:val="00E21FC9"/>
    <w:rsid w:val="00E2249B"/>
    <w:rsid w:val="00E2285F"/>
    <w:rsid w:val="00E22A0D"/>
    <w:rsid w:val="00E22A72"/>
    <w:rsid w:val="00E2771E"/>
    <w:rsid w:val="00E27EB8"/>
    <w:rsid w:val="00E3014D"/>
    <w:rsid w:val="00E314CC"/>
    <w:rsid w:val="00E3186D"/>
    <w:rsid w:val="00E32D4A"/>
    <w:rsid w:val="00E336FE"/>
    <w:rsid w:val="00E3446B"/>
    <w:rsid w:val="00E34948"/>
    <w:rsid w:val="00E34A4D"/>
    <w:rsid w:val="00E353DC"/>
    <w:rsid w:val="00E3632C"/>
    <w:rsid w:val="00E37569"/>
    <w:rsid w:val="00E4034A"/>
    <w:rsid w:val="00E40F3F"/>
    <w:rsid w:val="00E41E30"/>
    <w:rsid w:val="00E41E3A"/>
    <w:rsid w:val="00E42D2E"/>
    <w:rsid w:val="00E43D70"/>
    <w:rsid w:val="00E44754"/>
    <w:rsid w:val="00E466F3"/>
    <w:rsid w:val="00E46B9F"/>
    <w:rsid w:val="00E46D8A"/>
    <w:rsid w:val="00E47B2C"/>
    <w:rsid w:val="00E47F35"/>
    <w:rsid w:val="00E51560"/>
    <w:rsid w:val="00E51955"/>
    <w:rsid w:val="00E51B48"/>
    <w:rsid w:val="00E51B65"/>
    <w:rsid w:val="00E52795"/>
    <w:rsid w:val="00E5383E"/>
    <w:rsid w:val="00E54347"/>
    <w:rsid w:val="00E55424"/>
    <w:rsid w:val="00E55BB5"/>
    <w:rsid w:val="00E56233"/>
    <w:rsid w:val="00E56924"/>
    <w:rsid w:val="00E610C9"/>
    <w:rsid w:val="00E61B17"/>
    <w:rsid w:val="00E62021"/>
    <w:rsid w:val="00E64F21"/>
    <w:rsid w:val="00E64F44"/>
    <w:rsid w:val="00E650F0"/>
    <w:rsid w:val="00E65E79"/>
    <w:rsid w:val="00E66BA2"/>
    <w:rsid w:val="00E67342"/>
    <w:rsid w:val="00E67416"/>
    <w:rsid w:val="00E70775"/>
    <w:rsid w:val="00E70D70"/>
    <w:rsid w:val="00E718B6"/>
    <w:rsid w:val="00E71913"/>
    <w:rsid w:val="00E71BFE"/>
    <w:rsid w:val="00E723BA"/>
    <w:rsid w:val="00E72E13"/>
    <w:rsid w:val="00E73581"/>
    <w:rsid w:val="00E74F4D"/>
    <w:rsid w:val="00E754F2"/>
    <w:rsid w:val="00E75685"/>
    <w:rsid w:val="00E75F05"/>
    <w:rsid w:val="00E76598"/>
    <w:rsid w:val="00E76BD7"/>
    <w:rsid w:val="00E77FE0"/>
    <w:rsid w:val="00E80AD1"/>
    <w:rsid w:val="00E81529"/>
    <w:rsid w:val="00E81F41"/>
    <w:rsid w:val="00E833F7"/>
    <w:rsid w:val="00E837A2"/>
    <w:rsid w:val="00E83BDF"/>
    <w:rsid w:val="00E850D3"/>
    <w:rsid w:val="00E856A4"/>
    <w:rsid w:val="00E86DA5"/>
    <w:rsid w:val="00E87A1D"/>
    <w:rsid w:val="00E87B07"/>
    <w:rsid w:val="00E87E5E"/>
    <w:rsid w:val="00E906A6"/>
    <w:rsid w:val="00E913A7"/>
    <w:rsid w:val="00E914A8"/>
    <w:rsid w:val="00E919B5"/>
    <w:rsid w:val="00E926A5"/>
    <w:rsid w:val="00E9297B"/>
    <w:rsid w:val="00E92F1A"/>
    <w:rsid w:val="00E9356E"/>
    <w:rsid w:val="00E937C7"/>
    <w:rsid w:val="00E94E0B"/>
    <w:rsid w:val="00E96F5F"/>
    <w:rsid w:val="00E9731E"/>
    <w:rsid w:val="00E97FC8"/>
    <w:rsid w:val="00EA002D"/>
    <w:rsid w:val="00EA17C3"/>
    <w:rsid w:val="00EA1D44"/>
    <w:rsid w:val="00EA21DE"/>
    <w:rsid w:val="00EA2CAA"/>
    <w:rsid w:val="00EA3864"/>
    <w:rsid w:val="00EA533B"/>
    <w:rsid w:val="00EA6CC6"/>
    <w:rsid w:val="00EB0DBC"/>
    <w:rsid w:val="00EB15B6"/>
    <w:rsid w:val="00EB1915"/>
    <w:rsid w:val="00EB1E21"/>
    <w:rsid w:val="00EB1F8E"/>
    <w:rsid w:val="00EB2BE8"/>
    <w:rsid w:val="00EB34CF"/>
    <w:rsid w:val="00EB4916"/>
    <w:rsid w:val="00EB4AAC"/>
    <w:rsid w:val="00EB606B"/>
    <w:rsid w:val="00EB60DE"/>
    <w:rsid w:val="00EB6734"/>
    <w:rsid w:val="00EB6F9C"/>
    <w:rsid w:val="00EC00C9"/>
    <w:rsid w:val="00EC0966"/>
    <w:rsid w:val="00EC0C9B"/>
    <w:rsid w:val="00EC2649"/>
    <w:rsid w:val="00EC2826"/>
    <w:rsid w:val="00EC48EF"/>
    <w:rsid w:val="00EC5C84"/>
    <w:rsid w:val="00EC69ED"/>
    <w:rsid w:val="00ED04F2"/>
    <w:rsid w:val="00ED146B"/>
    <w:rsid w:val="00ED3CE9"/>
    <w:rsid w:val="00ED3E0D"/>
    <w:rsid w:val="00ED4DD3"/>
    <w:rsid w:val="00ED57EA"/>
    <w:rsid w:val="00ED6513"/>
    <w:rsid w:val="00ED67AC"/>
    <w:rsid w:val="00ED6A0D"/>
    <w:rsid w:val="00ED6F0B"/>
    <w:rsid w:val="00ED6FDA"/>
    <w:rsid w:val="00ED7FDD"/>
    <w:rsid w:val="00EE07D3"/>
    <w:rsid w:val="00EE22AF"/>
    <w:rsid w:val="00EE3221"/>
    <w:rsid w:val="00EE475B"/>
    <w:rsid w:val="00EE4797"/>
    <w:rsid w:val="00EE4A7B"/>
    <w:rsid w:val="00EE5371"/>
    <w:rsid w:val="00EE5C34"/>
    <w:rsid w:val="00EF0171"/>
    <w:rsid w:val="00EF0A9C"/>
    <w:rsid w:val="00EF0C74"/>
    <w:rsid w:val="00EF1B25"/>
    <w:rsid w:val="00EF24D0"/>
    <w:rsid w:val="00EF358C"/>
    <w:rsid w:val="00EF4747"/>
    <w:rsid w:val="00EF4BF8"/>
    <w:rsid w:val="00EF58B3"/>
    <w:rsid w:val="00EF5A31"/>
    <w:rsid w:val="00EF5DAF"/>
    <w:rsid w:val="00EF748F"/>
    <w:rsid w:val="00F01C4A"/>
    <w:rsid w:val="00F02253"/>
    <w:rsid w:val="00F0304F"/>
    <w:rsid w:val="00F03270"/>
    <w:rsid w:val="00F03C2E"/>
    <w:rsid w:val="00F03C7F"/>
    <w:rsid w:val="00F04A66"/>
    <w:rsid w:val="00F0516C"/>
    <w:rsid w:val="00F067A2"/>
    <w:rsid w:val="00F10664"/>
    <w:rsid w:val="00F10942"/>
    <w:rsid w:val="00F10FA1"/>
    <w:rsid w:val="00F11EBE"/>
    <w:rsid w:val="00F1263A"/>
    <w:rsid w:val="00F13390"/>
    <w:rsid w:val="00F133FF"/>
    <w:rsid w:val="00F14251"/>
    <w:rsid w:val="00F1425D"/>
    <w:rsid w:val="00F1532A"/>
    <w:rsid w:val="00F165F0"/>
    <w:rsid w:val="00F17713"/>
    <w:rsid w:val="00F20DDD"/>
    <w:rsid w:val="00F211ED"/>
    <w:rsid w:val="00F218D9"/>
    <w:rsid w:val="00F21B2B"/>
    <w:rsid w:val="00F229A3"/>
    <w:rsid w:val="00F22E4C"/>
    <w:rsid w:val="00F2303C"/>
    <w:rsid w:val="00F23057"/>
    <w:rsid w:val="00F23A55"/>
    <w:rsid w:val="00F247E7"/>
    <w:rsid w:val="00F24837"/>
    <w:rsid w:val="00F2575F"/>
    <w:rsid w:val="00F26804"/>
    <w:rsid w:val="00F27565"/>
    <w:rsid w:val="00F27644"/>
    <w:rsid w:val="00F305F8"/>
    <w:rsid w:val="00F310D4"/>
    <w:rsid w:val="00F31497"/>
    <w:rsid w:val="00F31D5A"/>
    <w:rsid w:val="00F328C9"/>
    <w:rsid w:val="00F32B52"/>
    <w:rsid w:val="00F33DE9"/>
    <w:rsid w:val="00F34BDB"/>
    <w:rsid w:val="00F3590D"/>
    <w:rsid w:val="00F35B89"/>
    <w:rsid w:val="00F3619A"/>
    <w:rsid w:val="00F37F9C"/>
    <w:rsid w:val="00F4048F"/>
    <w:rsid w:val="00F40AAA"/>
    <w:rsid w:val="00F40BA7"/>
    <w:rsid w:val="00F40CFF"/>
    <w:rsid w:val="00F41ADF"/>
    <w:rsid w:val="00F41BFB"/>
    <w:rsid w:val="00F44B81"/>
    <w:rsid w:val="00F46CB6"/>
    <w:rsid w:val="00F46FE4"/>
    <w:rsid w:val="00F479D0"/>
    <w:rsid w:val="00F47DE8"/>
    <w:rsid w:val="00F51C70"/>
    <w:rsid w:val="00F52267"/>
    <w:rsid w:val="00F5245A"/>
    <w:rsid w:val="00F52CED"/>
    <w:rsid w:val="00F542C1"/>
    <w:rsid w:val="00F544CB"/>
    <w:rsid w:val="00F550F4"/>
    <w:rsid w:val="00F55365"/>
    <w:rsid w:val="00F553FC"/>
    <w:rsid w:val="00F55E73"/>
    <w:rsid w:val="00F55EDA"/>
    <w:rsid w:val="00F56059"/>
    <w:rsid w:val="00F56130"/>
    <w:rsid w:val="00F572DF"/>
    <w:rsid w:val="00F57E0E"/>
    <w:rsid w:val="00F60092"/>
    <w:rsid w:val="00F603BA"/>
    <w:rsid w:val="00F603CF"/>
    <w:rsid w:val="00F60F00"/>
    <w:rsid w:val="00F62F67"/>
    <w:rsid w:val="00F645FA"/>
    <w:rsid w:val="00F65F4B"/>
    <w:rsid w:val="00F66777"/>
    <w:rsid w:val="00F6780C"/>
    <w:rsid w:val="00F708CE"/>
    <w:rsid w:val="00F70C9D"/>
    <w:rsid w:val="00F719B6"/>
    <w:rsid w:val="00F71FAA"/>
    <w:rsid w:val="00F721FD"/>
    <w:rsid w:val="00F73090"/>
    <w:rsid w:val="00F73207"/>
    <w:rsid w:val="00F74CD9"/>
    <w:rsid w:val="00F752CE"/>
    <w:rsid w:val="00F76E48"/>
    <w:rsid w:val="00F77105"/>
    <w:rsid w:val="00F771A9"/>
    <w:rsid w:val="00F77E07"/>
    <w:rsid w:val="00F80A7B"/>
    <w:rsid w:val="00F80C00"/>
    <w:rsid w:val="00F80E5D"/>
    <w:rsid w:val="00F816C8"/>
    <w:rsid w:val="00F822CC"/>
    <w:rsid w:val="00F83062"/>
    <w:rsid w:val="00F831CF"/>
    <w:rsid w:val="00F851CE"/>
    <w:rsid w:val="00F855BC"/>
    <w:rsid w:val="00F86617"/>
    <w:rsid w:val="00F86E9C"/>
    <w:rsid w:val="00F91219"/>
    <w:rsid w:val="00F9483E"/>
    <w:rsid w:val="00F9653B"/>
    <w:rsid w:val="00F97A78"/>
    <w:rsid w:val="00F97B34"/>
    <w:rsid w:val="00F97F05"/>
    <w:rsid w:val="00FA0AAC"/>
    <w:rsid w:val="00FA0B20"/>
    <w:rsid w:val="00FA0C53"/>
    <w:rsid w:val="00FA24E7"/>
    <w:rsid w:val="00FA2A2A"/>
    <w:rsid w:val="00FA3C15"/>
    <w:rsid w:val="00FA4282"/>
    <w:rsid w:val="00FA4E91"/>
    <w:rsid w:val="00FA535D"/>
    <w:rsid w:val="00FA6FD6"/>
    <w:rsid w:val="00FA73C3"/>
    <w:rsid w:val="00FB15C3"/>
    <w:rsid w:val="00FB2842"/>
    <w:rsid w:val="00FB2FCB"/>
    <w:rsid w:val="00FB4498"/>
    <w:rsid w:val="00FB5F71"/>
    <w:rsid w:val="00FB6A94"/>
    <w:rsid w:val="00FB7999"/>
    <w:rsid w:val="00FC1074"/>
    <w:rsid w:val="00FC15BA"/>
    <w:rsid w:val="00FC16EA"/>
    <w:rsid w:val="00FC1884"/>
    <w:rsid w:val="00FC26CD"/>
    <w:rsid w:val="00FC371D"/>
    <w:rsid w:val="00FC4FC1"/>
    <w:rsid w:val="00FC5757"/>
    <w:rsid w:val="00FC5F0B"/>
    <w:rsid w:val="00FC7D33"/>
    <w:rsid w:val="00FD1EDA"/>
    <w:rsid w:val="00FD1EFF"/>
    <w:rsid w:val="00FD1FE7"/>
    <w:rsid w:val="00FD2100"/>
    <w:rsid w:val="00FD240C"/>
    <w:rsid w:val="00FD436C"/>
    <w:rsid w:val="00FD446D"/>
    <w:rsid w:val="00FD4972"/>
    <w:rsid w:val="00FD5904"/>
    <w:rsid w:val="00FD6122"/>
    <w:rsid w:val="00FD6394"/>
    <w:rsid w:val="00FD67FE"/>
    <w:rsid w:val="00FD6C77"/>
    <w:rsid w:val="00FD70F8"/>
    <w:rsid w:val="00FE060A"/>
    <w:rsid w:val="00FE0901"/>
    <w:rsid w:val="00FE0CBC"/>
    <w:rsid w:val="00FE0E6C"/>
    <w:rsid w:val="00FE1054"/>
    <w:rsid w:val="00FE2E24"/>
    <w:rsid w:val="00FE332A"/>
    <w:rsid w:val="00FE3FFD"/>
    <w:rsid w:val="00FE4B87"/>
    <w:rsid w:val="00FE6089"/>
    <w:rsid w:val="00FE70C3"/>
    <w:rsid w:val="00FE77A4"/>
    <w:rsid w:val="00FF2263"/>
    <w:rsid w:val="00FF2389"/>
    <w:rsid w:val="00FF2A0F"/>
    <w:rsid w:val="00FF31B0"/>
    <w:rsid w:val="00FF31D3"/>
    <w:rsid w:val="00FF3A71"/>
    <w:rsid w:val="00FF3DCF"/>
    <w:rsid w:val="00FF424C"/>
    <w:rsid w:val="00FF492C"/>
    <w:rsid w:val="00FF4A21"/>
    <w:rsid w:val="00FF4D3A"/>
    <w:rsid w:val="00FF5AA3"/>
    <w:rsid w:val="00FF5AD8"/>
    <w:rsid w:val="00FF5D9F"/>
    <w:rsid w:val="00FF69E1"/>
    <w:rsid w:val="00FF6EFF"/>
    <w:rsid w:val="00FF72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ED67A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F55365"/>
    <w:pPr>
      <w:spacing w:before="240" w:after="120"/>
      <w:outlineLvl w:val="1"/>
    </w:pPr>
    <w:rPr>
      <w:rFonts w:asciiTheme="minorHAnsi" w:hAnsiTheme="minorHAnsi"/>
      <w:b/>
      <w:bCs/>
      <w:i/>
      <w:sz w:val="28"/>
      <w:szCs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55365"/>
    <w:rPr>
      <w:rFonts w:asciiTheme="minorHAnsi" w:hAnsiTheme="minorHAnsi" w:cs="Arial"/>
      <w:b/>
      <w:bCs/>
      <w:i/>
      <w:snapToGrid w:val="0"/>
      <w:sz w:val="28"/>
      <w:szCs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7"/>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F55365"/>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unhideWhenUsed/>
    <w:rsid w:val="00BF4295"/>
    <w:rPr>
      <w:sz w:val="20"/>
      <w:szCs w:val="20"/>
    </w:rPr>
  </w:style>
  <w:style w:type="character" w:customStyle="1" w:styleId="FootnoteTextChar">
    <w:name w:val="Footnote Text Char"/>
    <w:basedOn w:val="DefaultParagraphFont"/>
    <w:link w:val="FootnoteText"/>
    <w:semiHidden/>
    <w:rsid w:val="00BF4295"/>
    <w:rPr>
      <w:rFonts w:ascii="Calibri" w:hAnsi="Calibri" w:cs="Arial"/>
      <w:snapToGrid w:val="0"/>
      <w:lang w:eastAsia="en-US"/>
    </w:rPr>
  </w:style>
  <w:style w:type="character" w:styleId="FootnoteReference">
    <w:name w:val="footnote reference"/>
    <w:basedOn w:val="DefaultParagraphFont"/>
    <w:semiHidden/>
    <w:unhideWhenUsed/>
    <w:rsid w:val="00BF4295"/>
    <w:rPr>
      <w:vertAlign w:val="superscript"/>
    </w:rPr>
  </w:style>
  <w:style w:type="character" w:styleId="PlaceholderText">
    <w:name w:val="Placeholder Text"/>
    <w:basedOn w:val="DefaultParagraphFont"/>
    <w:uiPriority w:val="99"/>
    <w:semiHidden/>
    <w:rsid w:val="007412B7"/>
    <w:rPr>
      <w:color w:val="80808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313CC"/>
    <w:pPr>
      <w:widowControl/>
      <w:spacing w:after="160" w:line="240" w:lineRule="exact"/>
      <w:jc w:val="left"/>
    </w:pPr>
    <w:rPr>
      <w:rFonts w:ascii="Verdana" w:eastAsia="MS Mincho" w:hAnsi="Verdana" w:cs="Verdana"/>
      <w:snapToGrid/>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ED67A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F55365"/>
    <w:pPr>
      <w:spacing w:before="240" w:after="120"/>
      <w:outlineLvl w:val="1"/>
    </w:pPr>
    <w:rPr>
      <w:rFonts w:asciiTheme="minorHAnsi" w:hAnsiTheme="minorHAnsi"/>
      <w:b/>
      <w:bCs/>
      <w:i/>
      <w:sz w:val="28"/>
      <w:szCs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55365"/>
    <w:rPr>
      <w:rFonts w:asciiTheme="minorHAnsi" w:hAnsiTheme="minorHAnsi" w:cs="Arial"/>
      <w:b/>
      <w:bCs/>
      <w:i/>
      <w:snapToGrid w:val="0"/>
      <w:sz w:val="28"/>
      <w:szCs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7"/>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F55365"/>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unhideWhenUsed/>
    <w:rsid w:val="00BF4295"/>
    <w:rPr>
      <w:sz w:val="20"/>
      <w:szCs w:val="20"/>
    </w:rPr>
  </w:style>
  <w:style w:type="character" w:customStyle="1" w:styleId="FootnoteTextChar">
    <w:name w:val="Footnote Text Char"/>
    <w:basedOn w:val="DefaultParagraphFont"/>
    <w:link w:val="FootnoteText"/>
    <w:semiHidden/>
    <w:rsid w:val="00BF4295"/>
    <w:rPr>
      <w:rFonts w:ascii="Calibri" w:hAnsi="Calibri" w:cs="Arial"/>
      <w:snapToGrid w:val="0"/>
      <w:lang w:eastAsia="en-US"/>
    </w:rPr>
  </w:style>
  <w:style w:type="character" w:styleId="FootnoteReference">
    <w:name w:val="footnote reference"/>
    <w:basedOn w:val="DefaultParagraphFont"/>
    <w:semiHidden/>
    <w:unhideWhenUsed/>
    <w:rsid w:val="00BF4295"/>
    <w:rPr>
      <w:vertAlign w:val="superscript"/>
    </w:rPr>
  </w:style>
  <w:style w:type="character" w:styleId="PlaceholderText">
    <w:name w:val="Placeholder Text"/>
    <w:basedOn w:val="DefaultParagraphFont"/>
    <w:uiPriority w:val="99"/>
    <w:semiHidden/>
    <w:rsid w:val="007412B7"/>
    <w:rPr>
      <w:color w:val="80808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313CC"/>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8449">
      <w:bodyDiv w:val="1"/>
      <w:marLeft w:val="0"/>
      <w:marRight w:val="0"/>
      <w:marTop w:val="0"/>
      <w:marBottom w:val="0"/>
      <w:divBdr>
        <w:top w:val="none" w:sz="0" w:space="0" w:color="auto"/>
        <w:left w:val="none" w:sz="0" w:space="0" w:color="auto"/>
        <w:bottom w:val="none" w:sz="0" w:space="0" w:color="auto"/>
        <w:right w:val="none" w:sz="0" w:space="0" w:color="auto"/>
      </w:divBdr>
    </w:div>
    <w:div w:id="419108103">
      <w:bodyDiv w:val="1"/>
      <w:marLeft w:val="0"/>
      <w:marRight w:val="0"/>
      <w:marTop w:val="0"/>
      <w:marBottom w:val="0"/>
      <w:divBdr>
        <w:top w:val="none" w:sz="0" w:space="0" w:color="auto"/>
        <w:left w:val="none" w:sz="0" w:space="0" w:color="auto"/>
        <w:bottom w:val="none" w:sz="0" w:space="0" w:color="auto"/>
        <w:right w:val="none" w:sz="0" w:space="0" w:color="auto"/>
      </w:divBdr>
      <w:divsChild>
        <w:div w:id="1290547207">
          <w:marLeft w:val="0"/>
          <w:marRight w:val="0"/>
          <w:marTop w:val="0"/>
          <w:marBottom w:val="0"/>
          <w:divBdr>
            <w:top w:val="none" w:sz="0" w:space="0" w:color="auto"/>
            <w:left w:val="none" w:sz="0" w:space="0" w:color="auto"/>
            <w:bottom w:val="none" w:sz="0" w:space="0" w:color="auto"/>
            <w:right w:val="none" w:sz="0" w:space="0" w:color="auto"/>
          </w:divBdr>
          <w:divsChild>
            <w:div w:id="390616148">
              <w:marLeft w:val="0"/>
              <w:marRight w:val="0"/>
              <w:marTop w:val="0"/>
              <w:marBottom w:val="0"/>
              <w:divBdr>
                <w:top w:val="none" w:sz="0" w:space="0" w:color="auto"/>
                <w:left w:val="none" w:sz="0" w:space="0" w:color="auto"/>
                <w:bottom w:val="none" w:sz="0" w:space="0" w:color="auto"/>
                <w:right w:val="none" w:sz="0" w:space="0" w:color="auto"/>
              </w:divBdr>
              <w:divsChild>
                <w:div w:id="973145009">
                  <w:marLeft w:val="0"/>
                  <w:marRight w:val="0"/>
                  <w:marTop w:val="0"/>
                  <w:marBottom w:val="0"/>
                  <w:divBdr>
                    <w:top w:val="none" w:sz="0" w:space="0" w:color="auto"/>
                    <w:left w:val="none" w:sz="0" w:space="0" w:color="auto"/>
                    <w:bottom w:val="none" w:sz="0" w:space="0" w:color="auto"/>
                    <w:right w:val="none" w:sz="0" w:space="0" w:color="auto"/>
                  </w:divBdr>
                  <w:divsChild>
                    <w:div w:id="367265857">
                      <w:marLeft w:val="0"/>
                      <w:marRight w:val="0"/>
                      <w:marTop w:val="0"/>
                      <w:marBottom w:val="0"/>
                      <w:divBdr>
                        <w:top w:val="none" w:sz="0" w:space="0" w:color="auto"/>
                        <w:left w:val="none" w:sz="0" w:space="0" w:color="auto"/>
                        <w:bottom w:val="none" w:sz="0" w:space="0" w:color="auto"/>
                        <w:right w:val="none" w:sz="0" w:space="0" w:color="auto"/>
                      </w:divBdr>
                      <w:divsChild>
                        <w:div w:id="2139912051">
                          <w:marLeft w:val="0"/>
                          <w:marRight w:val="0"/>
                          <w:marTop w:val="0"/>
                          <w:marBottom w:val="0"/>
                          <w:divBdr>
                            <w:top w:val="none" w:sz="0" w:space="0" w:color="auto"/>
                            <w:left w:val="none" w:sz="0" w:space="0" w:color="auto"/>
                            <w:bottom w:val="none" w:sz="0" w:space="0" w:color="auto"/>
                            <w:right w:val="none" w:sz="0" w:space="0" w:color="auto"/>
                          </w:divBdr>
                          <w:divsChild>
                            <w:div w:id="1842617673">
                              <w:marLeft w:val="0"/>
                              <w:marRight w:val="0"/>
                              <w:marTop w:val="0"/>
                              <w:marBottom w:val="0"/>
                              <w:divBdr>
                                <w:top w:val="none" w:sz="0" w:space="0" w:color="auto"/>
                                <w:left w:val="none" w:sz="0" w:space="0" w:color="auto"/>
                                <w:bottom w:val="none" w:sz="0" w:space="0" w:color="auto"/>
                                <w:right w:val="none" w:sz="0" w:space="0" w:color="auto"/>
                              </w:divBdr>
                              <w:divsChild>
                                <w:div w:id="1470434851">
                                  <w:marLeft w:val="-225"/>
                                  <w:marRight w:val="-225"/>
                                  <w:marTop w:val="0"/>
                                  <w:marBottom w:val="0"/>
                                  <w:divBdr>
                                    <w:top w:val="none" w:sz="0" w:space="0" w:color="auto"/>
                                    <w:left w:val="none" w:sz="0" w:space="0" w:color="auto"/>
                                    <w:bottom w:val="none" w:sz="0" w:space="0" w:color="auto"/>
                                    <w:right w:val="none" w:sz="0" w:space="0" w:color="auto"/>
                                  </w:divBdr>
                                  <w:divsChild>
                                    <w:div w:id="1003777157">
                                      <w:marLeft w:val="0"/>
                                      <w:marRight w:val="0"/>
                                      <w:marTop w:val="0"/>
                                      <w:marBottom w:val="0"/>
                                      <w:divBdr>
                                        <w:top w:val="none" w:sz="0" w:space="0" w:color="auto"/>
                                        <w:left w:val="none" w:sz="0" w:space="0" w:color="auto"/>
                                        <w:bottom w:val="none" w:sz="0" w:space="0" w:color="auto"/>
                                        <w:right w:val="none" w:sz="0" w:space="0" w:color="auto"/>
                                      </w:divBdr>
                                      <w:divsChild>
                                        <w:div w:id="2093118063">
                                          <w:marLeft w:val="0"/>
                                          <w:marRight w:val="0"/>
                                          <w:marTop w:val="0"/>
                                          <w:marBottom w:val="0"/>
                                          <w:divBdr>
                                            <w:top w:val="none" w:sz="0" w:space="0" w:color="auto"/>
                                            <w:left w:val="none" w:sz="0" w:space="0" w:color="auto"/>
                                            <w:bottom w:val="none" w:sz="0" w:space="0" w:color="auto"/>
                                            <w:right w:val="none" w:sz="0" w:space="0" w:color="auto"/>
                                          </w:divBdr>
                                          <w:divsChild>
                                            <w:div w:id="1992633560">
                                              <w:marLeft w:val="-225"/>
                                              <w:marRight w:val="-225"/>
                                              <w:marTop w:val="0"/>
                                              <w:marBottom w:val="0"/>
                                              <w:divBdr>
                                                <w:top w:val="none" w:sz="0" w:space="0" w:color="auto"/>
                                                <w:left w:val="none" w:sz="0" w:space="0" w:color="auto"/>
                                                <w:bottom w:val="none" w:sz="0" w:space="0" w:color="auto"/>
                                                <w:right w:val="none" w:sz="0" w:space="0" w:color="auto"/>
                                              </w:divBdr>
                                              <w:divsChild>
                                                <w:div w:id="2073238526">
                                                  <w:marLeft w:val="0"/>
                                                  <w:marRight w:val="0"/>
                                                  <w:marTop w:val="0"/>
                                                  <w:marBottom w:val="0"/>
                                                  <w:divBdr>
                                                    <w:top w:val="none" w:sz="0" w:space="0" w:color="auto"/>
                                                    <w:left w:val="none" w:sz="0" w:space="0" w:color="auto"/>
                                                    <w:bottom w:val="none" w:sz="0" w:space="0" w:color="auto"/>
                                                    <w:right w:val="none" w:sz="0" w:space="0" w:color="auto"/>
                                                  </w:divBdr>
                                                  <w:divsChild>
                                                    <w:div w:id="357586813">
                                                      <w:marLeft w:val="0"/>
                                                      <w:marRight w:val="0"/>
                                                      <w:marTop w:val="0"/>
                                                      <w:marBottom w:val="0"/>
                                                      <w:divBdr>
                                                        <w:top w:val="none" w:sz="0" w:space="0" w:color="auto"/>
                                                        <w:left w:val="none" w:sz="0" w:space="0" w:color="auto"/>
                                                        <w:bottom w:val="none" w:sz="0" w:space="0" w:color="auto"/>
                                                        <w:right w:val="none" w:sz="0" w:space="0" w:color="auto"/>
                                                      </w:divBdr>
                                                      <w:divsChild>
                                                        <w:div w:id="348993624">
                                                          <w:marLeft w:val="0"/>
                                                          <w:marRight w:val="0"/>
                                                          <w:marTop w:val="0"/>
                                                          <w:marBottom w:val="0"/>
                                                          <w:divBdr>
                                                            <w:top w:val="none" w:sz="0" w:space="0" w:color="auto"/>
                                                            <w:left w:val="none" w:sz="0" w:space="0" w:color="auto"/>
                                                            <w:bottom w:val="none" w:sz="0" w:space="0" w:color="auto"/>
                                                            <w:right w:val="none" w:sz="0" w:space="0" w:color="auto"/>
                                                          </w:divBdr>
                                                          <w:divsChild>
                                                            <w:div w:id="424764974">
                                                              <w:marLeft w:val="0"/>
                                                              <w:marRight w:val="0"/>
                                                              <w:marTop w:val="225"/>
                                                              <w:marBottom w:val="225"/>
                                                              <w:divBdr>
                                                                <w:top w:val="none" w:sz="0" w:space="0" w:color="auto"/>
                                                                <w:left w:val="none" w:sz="0" w:space="0" w:color="auto"/>
                                                                <w:bottom w:val="none" w:sz="0" w:space="0" w:color="auto"/>
                                                                <w:right w:val="none" w:sz="0" w:space="0" w:color="auto"/>
                                                              </w:divBdr>
                                                              <w:divsChild>
                                                                <w:div w:id="1049183736">
                                                                  <w:marLeft w:val="0"/>
                                                                  <w:marRight w:val="0"/>
                                                                  <w:marTop w:val="0"/>
                                                                  <w:marBottom w:val="0"/>
                                                                  <w:divBdr>
                                                                    <w:top w:val="none" w:sz="0" w:space="0" w:color="auto"/>
                                                                    <w:left w:val="none" w:sz="0" w:space="0" w:color="auto"/>
                                                                    <w:bottom w:val="none" w:sz="0" w:space="0" w:color="auto"/>
                                                                    <w:right w:val="none" w:sz="0" w:space="0" w:color="auto"/>
                                                                  </w:divBdr>
                                                                </w:div>
                                                                <w:div w:id="17363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0572167">
      <w:bodyDiv w:val="1"/>
      <w:marLeft w:val="0"/>
      <w:marRight w:val="0"/>
      <w:marTop w:val="0"/>
      <w:marBottom w:val="0"/>
      <w:divBdr>
        <w:top w:val="none" w:sz="0" w:space="0" w:color="auto"/>
        <w:left w:val="none" w:sz="0" w:space="0" w:color="auto"/>
        <w:bottom w:val="none" w:sz="0" w:space="0" w:color="auto"/>
        <w:right w:val="none" w:sz="0" w:space="0" w:color="auto"/>
      </w:divBdr>
      <w:divsChild>
        <w:div w:id="1496408926">
          <w:marLeft w:val="75"/>
          <w:marRight w:val="75"/>
          <w:marTop w:val="75"/>
          <w:marBottom w:val="75"/>
          <w:divBdr>
            <w:top w:val="none" w:sz="0" w:space="0" w:color="auto"/>
            <w:left w:val="none" w:sz="0" w:space="0" w:color="auto"/>
            <w:bottom w:val="none" w:sz="0" w:space="0" w:color="auto"/>
            <w:right w:val="none" w:sz="0" w:space="0" w:color="auto"/>
          </w:divBdr>
          <w:divsChild>
            <w:div w:id="20549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4133">
      <w:bodyDiv w:val="1"/>
      <w:marLeft w:val="0"/>
      <w:marRight w:val="0"/>
      <w:marTop w:val="0"/>
      <w:marBottom w:val="0"/>
      <w:divBdr>
        <w:top w:val="none" w:sz="0" w:space="0" w:color="auto"/>
        <w:left w:val="none" w:sz="0" w:space="0" w:color="auto"/>
        <w:bottom w:val="none" w:sz="0" w:space="0" w:color="auto"/>
        <w:right w:val="none" w:sz="0" w:space="0" w:color="auto"/>
      </w:divBdr>
      <w:divsChild>
        <w:div w:id="906722304">
          <w:marLeft w:val="75"/>
          <w:marRight w:val="75"/>
          <w:marTop w:val="75"/>
          <w:marBottom w:val="75"/>
          <w:divBdr>
            <w:top w:val="none" w:sz="0" w:space="0" w:color="auto"/>
            <w:left w:val="none" w:sz="0" w:space="0" w:color="auto"/>
            <w:bottom w:val="none" w:sz="0" w:space="0" w:color="auto"/>
            <w:right w:val="none" w:sz="0" w:space="0" w:color="auto"/>
          </w:divBdr>
          <w:divsChild>
            <w:div w:id="14892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96382">
      <w:bodyDiv w:val="1"/>
      <w:marLeft w:val="0"/>
      <w:marRight w:val="0"/>
      <w:marTop w:val="0"/>
      <w:marBottom w:val="0"/>
      <w:divBdr>
        <w:top w:val="none" w:sz="0" w:space="0" w:color="auto"/>
        <w:left w:val="none" w:sz="0" w:space="0" w:color="auto"/>
        <w:bottom w:val="none" w:sz="0" w:space="0" w:color="auto"/>
        <w:right w:val="none" w:sz="0" w:space="0" w:color="auto"/>
      </w:divBdr>
    </w:div>
    <w:div w:id="1823236460">
      <w:bodyDiv w:val="1"/>
      <w:marLeft w:val="0"/>
      <w:marRight w:val="0"/>
      <w:marTop w:val="0"/>
      <w:marBottom w:val="0"/>
      <w:divBdr>
        <w:top w:val="none" w:sz="0" w:space="0" w:color="auto"/>
        <w:left w:val="none" w:sz="0" w:space="0" w:color="auto"/>
        <w:bottom w:val="none" w:sz="0" w:space="0" w:color="auto"/>
        <w:right w:val="none" w:sz="0" w:space="0" w:color="auto"/>
      </w:divBdr>
    </w:div>
    <w:div w:id="21126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0E4B-96CF-4B11-9EA3-99CCF3F6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7939</Words>
  <Characters>45469</Characters>
  <Application>Microsoft Office Word</Application>
  <DocSecurity>0</DocSecurity>
  <Lines>1623</Lines>
  <Paragraphs>1242</Paragraphs>
  <ScaleCrop>false</ScaleCrop>
  <LinksUpToDate>false</LinksUpToDate>
  <CharactersWithSpaces>52166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2018-06-19T03:56:00Z</dcterms:created>
  <dcterms:modified xsi:type="dcterms:W3CDTF">2018-06-19T03:56:00Z</dcterms:modified>
</cp:coreProperties>
</file>