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50" w:rsidRDefault="00A73524" w:rsidP="00577C4D">
      <w:pPr>
        <w:pStyle w:val="Title"/>
        <w:spacing w:before="120" w:after="160"/>
        <w:ind w:left="720" w:hanging="720"/>
        <w:rPr>
          <w:rFonts w:asciiTheme="minorHAnsi" w:hAnsiTheme="minorHAnsi"/>
          <w:sz w:val="36"/>
          <w:szCs w:val="36"/>
        </w:rPr>
      </w:pPr>
      <w:r>
        <w:rPr>
          <w:rFonts w:asciiTheme="minorHAnsi" w:hAnsiTheme="minorHAnsi"/>
          <w:sz w:val="36"/>
          <w:szCs w:val="36"/>
        </w:rPr>
        <w:t>7.07</w:t>
      </w:r>
      <w:r w:rsidR="007C0F57" w:rsidRPr="002B5596">
        <w:rPr>
          <w:rFonts w:asciiTheme="minorHAnsi" w:hAnsiTheme="minorHAnsi"/>
          <w:sz w:val="36"/>
          <w:szCs w:val="36"/>
        </w:rPr>
        <w:tab/>
      </w:r>
      <w:r>
        <w:rPr>
          <w:rFonts w:asciiTheme="minorHAnsi" w:hAnsiTheme="minorHAnsi"/>
          <w:sz w:val="36"/>
          <w:szCs w:val="36"/>
        </w:rPr>
        <w:t>ADRENALINE</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7713E2" w:rsidRPr="007E6D57">
        <w:rPr>
          <w:rFonts w:asciiTheme="minorHAnsi" w:hAnsiTheme="minorHAnsi"/>
          <w:sz w:val="36"/>
          <w:szCs w:val="36"/>
        </w:rPr>
        <w:t>I.M. injection 150 micrograms in 0.3</w:t>
      </w:r>
      <w:r w:rsidR="007713E2" w:rsidRPr="007E6D57">
        <w:rPr>
          <w:rFonts w:asciiTheme="minorHAnsi" w:hAnsiTheme="minorHAnsi" w:hint="eastAsia"/>
          <w:sz w:val="36"/>
          <w:szCs w:val="36"/>
        </w:rPr>
        <w:t> </w:t>
      </w:r>
      <w:r w:rsidR="007713E2" w:rsidRPr="007E6D57">
        <w:rPr>
          <w:rFonts w:asciiTheme="minorHAnsi" w:hAnsiTheme="minorHAnsi"/>
          <w:sz w:val="36"/>
          <w:szCs w:val="36"/>
        </w:rPr>
        <w:t>mL single dose syringe auto-injector and I.M. injection 300 micrograms in 0.3</w:t>
      </w:r>
      <w:r w:rsidR="007713E2" w:rsidRPr="007E6D57">
        <w:rPr>
          <w:rFonts w:asciiTheme="minorHAnsi" w:hAnsiTheme="minorHAnsi" w:hint="eastAsia"/>
          <w:sz w:val="36"/>
          <w:szCs w:val="36"/>
        </w:rPr>
        <w:t> </w:t>
      </w:r>
      <w:r w:rsidR="007713E2" w:rsidRPr="007E6D57">
        <w:rPr>
          <w:rFonts w:asciiTheme="minorHAnsi" w:hAnsiTheme="minorHAnsi"/>
          <w:sz w:val="36"/>
          <w:szCs w:val="36"/>
        </w:rPr>
        <w:t xml:space="preserve">mL single dose syringe </w:t>
      </w:r>
    </w:p>
    <w:p w:rsidR="00C27B58" w:rsidRDefault="007713E2" w:rsidP="00612B50">
      <w:pPr>
        <w:pStyle w:val="Title"/>
        <w:spacing w:before="120" w:after="160"/>
        <w:ind w:left="720" w:hanging="11"/>
        <w:rPr>
          <w:rFonts w:asciiTheme="minorHAnsi" w:hAnsiTheme="minorHAnsi"/>
          <w:sz w:val="36"/>
          <w:szCs w:val="36"/>
        </w:rPr>
      </w:pPr>
      <w:proofErr w:type="gramStart"/>
      <w:r w:rsidRPr="007E6D57">
        <w:rPr>
          <w:rFonts w:asciiTheme="minorHAnsi" w:hAnsiTheme="minorHAnsi"/>
          <w:sz w:val="36"/>
          <w:szCs w:val="36"/>
        </w:rPr>
        <w:t>auto-injector</w:t>
      </w:r>
      <w:proofErr w:type="gramEnd"/>
      <w:r w:rsidRPr="007E6D57">
        <w:rPr>
          <w:rFonts w:asciiTheme="minorHAnsi" w:hAnsiTheme="minorHAnsi"/>
          <w:sz w:val="36"/>
          <w:szCs w:val="36"/>
        </w:rPr>
        <w:t>.</w:t>
      </w:r>
      <w:r w:rsidR="008A50F1" w:rsidRPr="002B5596">
        <w:rPr>
          <w:rFonts w:asciiTheme="minorHAnsi" w:hAnsiTheme="minorHAnsi"/>
          <w:sz w:val="36"/>
          <w:szCs w:val="36"/>
        </w:rPr>
        <w:br/>
      </w:r>
      <w:proofErr w:type="spellStart"/>
      <w:r w:rsidR="00A73524">
        <w:rPr>
          <w:rFonts w:asciiTheme="minorHAnsi" w:hAnsiTheme="minorHAnsi"/>
          <w:sz w:val="36"/>
          <w:szCs w:val="36"/>
        </w:rPr>
        <w:t>AdrenaJect</w:t>
      </w:r>
      <w:proofErr w:type="spellEnd"/>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sidR="00A73524">
        <w:rPr>
          <w:rFonts w:asciiTheme="minorHAnsi" w:hAnsiTheme="minorHAnsi"/>
          <w:sz w:val="36"/>
          <w:szCs w:val="36"/>
        </w:rPr>
        <w:t>Sun Pharma ANZ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913EAA"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w:t>
      </w:r>
      <w:r w:rsidR="00085930">
        <w:rPr>
          <w:rFonts w:asciiTheme="minorHAnsi" w:eastAsiaTheme="minorHAnsi" w:hAnsiTheme="minorHAnsi" w:cstheme="minorBidi"/>
          <w:snapToGrid/>
          <w:sz w:val="24"/>
          <w:szCs w:val="22"/>
        </w:rPr>
        <w:t>re</w:t>
      </w:r>
      <w:r w:rsidR="00FF2801" w:rsidRPr="001B2BBC">
        <w:rPr>
          <w:rFonts w:asciiTheme="minorHAnsi" w:eastAsiaTheme="minorHAnsi" w:hAnsiTheme="minorHAnsi" w:cstheme="minorBidi"/>
          <w:snapToGrid/>
          <w:sz w:val="24"/>
          <w:szCs w:val="22"/>
        </w:rPr>
        <w:t>submission requested</w:t>
      </w:r>
      <w:r w:rsidR="00D1474A">
        <w:rPr>
          <w:rFonts w:asciiTheme="minorHAnsi" w:eastAsiaTheme="minorHAnsi" w:hAnsiTheme="minorHAnsi" w:cstheme="minorBidi"/>
          <w:snapToGrid/>
          <w:sz w:val="24"/>
          <w:szCs w:val="22"/>
        </w:rPr>
        <w:t xml:space="preserve"> </w:t>
      </w:r>
      <w:r w:rsidR="003C7EBA">
        <w:rPr>
          <w:rFonts w:asciiTheme="minorHAnsi" w:eastAsiaTheme="minorHAnsi" w:hAnsiTheme="minorHAnsi" w:cstheme="minorBidi"/>
          <w:snapToGrid/>
          <w:sz w:val="24"/>
          <w:szCs w:val="22"/>
        </w:rPr>
        <w:t xml:space="preserve">the PBAC to </w:t>
      </w:r>
      <w:r w:rsidR="00085930">
        <w:rPr>
          <w:rFonts w:asciiTheme="minorHAnsi" w:eastAsiaTheme="minorHAnsi" w:hAnsiTheme="minorHAnsi" w:cstheme="minorBidi"/>
          <w:snapToGrid/>
          <w:sz w:val="24"/>
          <w:szCs w:val="22"/>
        </w:rPr>
        <w:t>re</w:t>
      </w:r>
      <w:r w:rsidR="003C7EBA">
        <w:rPr>
          <w:rFonts w:asciiTheme="minorHAnsi" w:eastAsiaTheme="minorHAnsi" w:hAnsiTheme="minorHAnsi" w:cstheme="minorBidi"/>
          <w:snapToGrid/>
          <w:sz w:val="24"/>
          <w:szCs w:val="22"/>
        </w:rPr>
        <w:t xml:space="preserve">consider </w:t>
      </w:r>
      <w:r w:rsidR="00D81270">
        <w:rPr>
          <w:rFonts w:asciiTheme="minorHAnsi" w:eastAsiaTheme="minorHAnsi" w:hAnsiTheme="minorHAnsi" w:cstheme="minorBidi"/>
          <w:snapToGrid/>
          <w:sz w:val="24"/>
          <w:szCs w:val="22"/>
        </w:rPr>
        <w:t xml:space="preserve">its previous recommendation </w:t>
      </w:r>
      <w:r w:rsidR="006C02DC">
        <w:rPr>
          <w:rFonts w:asciiTheme="minorHAnsi" w:eastAsiaTheme="minorHAnsi" w:hAnsiTheme="minorHAnsi" w:cstheme="minorBidi"/>
          <w:snapToGrid/>
          <w:sz w:val="24"/>
          <w:szCs w:val="22"/>
        </w:rPr>
        <w:t xml:space="preserve">in July 2016 </w:t>
      </w:r>
      <w:r w:rsidR="003C7EBA">
        <w:rPr>
          <w:rFonts w:asciiTheme="minorHAnsi" w:eastAsiaTheme="minorHAnsi" w:hAnsiTheme="minorHAnsi" w:cstheme="minorBidi"/>
          <w:snapToGrid/>
          <w:sz w:val="24"/>
          <w:szCs w:val="22"/>
        </w:rPr>
        <w:t xml:space="preserve">that </w:t>
      </w:r>
      <w:proofErr w:type="spellStart"/>
      <w:r w:rsidR="003C7EBA">
        <w:rPr>
          <w:rFonts w:asciiTheme="minorHAnsi" w:eastAsiaTheme="minorHAnsi" w:hAnsiTheme="minorHAnsi" w:cstheme="minorBidi"/>
          <w:snapToGrid/>
          <w:sz w:val="24"/>
          <w:szCs w:val="22"/>
        </w:rPr>
        <w:t>AdrenaJect</w:t>
      </w:r>
      <w:proofErr w:type="spellEnd"/>
      <w:r w:rsidR="009E4AB0">
        <w:rPr>
          <w:rFonts w:asciiTheme="minorHAnsi" w:eastAsiaTheme="minorHAnsi" w:hAnsiTheme="minorHAnsi" w:cstheme="minorBidi"/>
          <w:snapToGrid/>
          <w:sz w:val="24"/>
          <w:szCs w:val="22"/>
        </w:rPr>
        <w:t>®</w:t>
      </w:r>
      <w:r w:rsidR="00085930">
        <w:rPr>
          <w:rFonts w:asciiTheme="minorHAnsi" w:eastAsiaTheme="minorHAnsi" w:hAnsiTheme="minorHAnsi" w:cstheme="minorBidi"/>
          <w:snapToGrid/>
          <w:sz w:val="24"/>
          <w:szCs w:val="22"/>
        </w:rPr>
        <w:t xml:space="preserve"> </w:t>
      </w:r>
      <w:r w:rsidR="009E4AB0">
        <w:rPr>
          <w:rFonts w:asciiTheme="minorHAnsi" w:eastAsiaTheme="minorHAnsi" w:hAnsiTheme="minorHAnsi" w:cstheme="minorBidi"/>
          <w:snapToGrid/>
          <w:sz w:val="24"/>
          <w:szCs w:val="22"/>
        </w:rPr>
        <w:t xml:space="preserve">(previously known as Adrenaline Auto Inject Sun-JV) </w:t>
      </w:r>
      <w:r w:rsidR="00D81270">
        <w:rPr>
          <w:rFonts w:asciiTheme="minorHAnsi" w:eastAsiaTheme="minorHAnsi" w:hAnsiTheme="minorHAnsi" w:cstheme="minorBidi"/>
          <w:snapToGrid/>
          <w:sz w:val="24"/>
          <w:szCs w:val="22"/>
        </w:rPr>
        <w:t xml:space="preserve">not be considered </w:t>
      </w:r>
      <w:r w:rsidR="003C7EBA">
        <w:rPr>
          <w:rFonts w:asciiTheme="minorHAnsi" w:eastAsiaTheme="minorHAnsi" w:hAnsiTheme="minorHAnsi" w:cstheme="minorBidi"/>
          <w:snapToGrid/>
          <w:sz w:val="24"/>
          <w:szCs w:val="22"/>
        </w:rPr>
        <w:t xml:space="preserve">equivalent for the purposes of </w:t>
      </w:r>
      <w:r w:rsidR="00085930">
        <w:rPr>
          <w:rFonts w:asciiTheme="minorHAnsi" w:eastAsiaTheme="minorHAnsi" w:hAnsiTheme="minorHAnsi" w:cstheme="minorBidi"/>
          <w:snapToGrid/>
          <w:sz w:val="24"/>
          <w:szCs w:val="22"/>
        </w:rPr>
        <w:t xml:space="preserve">brand </w:t>
      </w:r>
      <w:r w:rsidR="003C7EBA">
        <w:rPr>
          <w:rFonts w:asciiTheme="minorHAnsi" w:eastAsiaTheme="minorHAnsi" w:hAnsiTheme="minorHAnsi" w:cstheme="minorBidi"/>
          <w:snapToGrid/>
          <w:sz w:val="24"/>
          <w:szCs w:val="22"/>
        </w:rPr>
        <w:t>substitution with the originator</w:t>
      </w:r>
      <w:r w:rsidR="008C7950">
        <w:rPr>
          <w:rFonts w:asciiTheme="minorHAnsi" w:eastAsiaTheme="minorHAnsi" w:hAnsiTheme="minorHAnsi" w:cstheme="minorBidi"/>
          <w:snapToGrid/>
          <w:sz w:val="24"/>
          <w:szCs w:val="22"/>
        </w:rPr>
        <w:t xml:space="preserve"> </w:t>
      </w:r>
      <w:r w:rsidR="003172A5">
        <w:rPr>
          <w:rFonts w:asciiTheme="minorHAnsi" w:eastAsiaTheme="minorHAnsi" w:hAnsiTheme="minorHAnsi" w:cstheme="minorBidi"/>
          <w:snapToGrid/>
          <w:sz w:val="24"/>
          <w:szCs w:val="22"/>
        </w:rPr>
        <w:t>brand</w:t>
      </w:r>
      <w:r w:rsidR="003C7EBA">
        <w:rPr>
          <w:rFonts w:asciiTheme="minorHAnsi" w:eastAsiaTheme="minorHAnsi" w:hAnsiTheme="minorHAnsi" w:cstheme="minorBidi"/>
          <w:snapToGrid/>
          <w:sz w:val="24"/>
          <w:szCs w:val="22"/>
        </w:rPr>
        <w:t xml:space="preserve">, </w:t>
      </w:r>
      <w:proofErr w:type="spellStart"/>
      <w:r w:rsidR="003C7EBA">
        <w:rPr>
          <w:rFonts w:asciiTheme="minorHAnsi" w:eastAsiaTheme="minorHAnsi" w:hAnsiTheme="minorHAnsi" w:cstheme="minorBidi"/>
          <w:snapToGrid/>
          <w:sz w:val="24"/>
          <w:szCs w:val="22"/>
        </w:rPr>
        <w:t>EpiPen</w:t>
      </w:r>
      <w:proofErr w:type="spellEnd"/>
      <w:r w:rsidR="003172A5">
        <w:rPr>
          <w:rFonts w:asciiTheme="minorHAnsi" w:eastAsiaTheme="minorHAnsi" w:hAnsiTheme="minorHAnsi" w:cstheme="minorBidi"/>
          <w:snapToGrid/>
          <w:sz w:val="24"/>
          <w:szCs w:val="22"/>
        </w:rPr>
        <w:t>®,</w:t>
      </w:r>
      <w:r w:rsidR="00085930">
        <w:rPr>
          <w:rFonts w:asciiTheme="minorHAnsi" w:eastAsiaTheme="minorHAnsi" w:hAnsiTheme="minorHAnsi" w:cstheme="minorBidi"/>
          <w:snapToGrid/>
          <w:sz w:val="24"/>
          <w:szCs w:val="22"/>
        </w:rPr>
        <w:t xml:space="preserve"> at the pharmacy level</w:t>
      </w:r>
      <w:r w:rsidR="003C7EBA">
        <w:rPr>
          <w:rFonts w:asciiTheme="minorHAnsi" w:eastAsiaTheme="minorHAnsi" w:hAnsiTheme="minorHAnsi" w:cstheme="minorBidi"/>
          <w:snapToGrid/>
          <w:sz w:val="24"/>
          <w:szCs w:val="22"/>
        </w:rPr>
        <w:t xml:space="preserve">. </w:t>
      </w:r>
      <w:r w:rsidR="00292ACF">
        <w:rPr>
          <w:rFonts w:asciiTheme="minorHAnsi" w:eastAsiaTheme="minorHAnsi" w:hAnsiTheme="minorHAnsi" w:cstheme="minorBidi"/>
          <w:snapToGrid/>
          <w:sz w:val="24"/>
          <w:szCs w:val="22"/>
        </w:rPr>
        <w:t>The sponsor claimed that it is currently not commercially viable to proceed with PBS listing without brand substitution.</w:t>
      </w:r>
    </w:p>
    <w:p w:rsidR="00173CBE" w:rsidRDefault="003A1044"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913EAA">
        <w:rPr>
          <w:rFonts w:asciiTheme="minorHAnsi" w:eastAsiaTheme="minorHAnsi" w:hAnsiTheme="minorHAnsi" w:cstheme="minorBidi"/>
          <w:snapToGrid/>
          <w:sz w:val="24"/>
          <w:szCs w:val="22"/>
        </w:rPr>
        <w:t xml:space="preserve">he submission </w:t>
      </w:r>
      <w:r w:rsidR="00EA235B">
        <w:rPr>
          <w:rFonts w:asciiTheme="minorHAnsi" w:eastAsiaTheme="minorHAnsi" w:hAnsiTheme="minorHAnsi" w:cstheme="minorBidi"/>
          <w:snapToGrid/>
          <w:sz w:val="24"/>
          <w:szCs w:val="22"/>
        </w:rPr>
        <w:t xml:space="preserve">also </w:t>
      </w:r>
      <w:r w:rsidR="00913EAA">
        <w:rPr>
          <w:rFonts w:asciiTheme="minorHAnsi" w:eastAsiaTheme="minorHAnsi" w:hAnsiTheme="minorHAnsi" w:cstheme="minorBidi"/>
          <w:snapToGrid/>
          <w:sz w:val="24"/>
          <w:szCs w:val="22"/>
        </w:rPr>
        <w:t xml:space="preserve">requested to </w:t>
      </w:r>
      <w:r w:rsidR="00EA235B">
        <w:rPr>
          <w:rFonts w:asciiTheme="minorHAnsi" w:eastAsiaTheme="minorHAnsi" w:hAnsiTheme="minorHAnsi" w:cstheme="minorBidi"/>
          <w:snapToGrid/>
          <w:sz w:val="24"/>
          <w:szCs w:val="22"/>
        </w:rPr>
        <w:t>amend</w:t>
      </w:r>
      <w:r w:rsidR="00913EAA">
        <w:rPr>
          <w:rFonts w:asciiTheme="minorHAnsi" w:eastAsiaTheme="minorHAnsi" w:hAnsiTheme="minorHAnsi" w:cstheme="minorBidi"/>
          <w:snapToGrid/>
          <w:sz w:val="24"/>
          <w:szCs w:val="22"/>
        </w:rPr>
        <w:t xml:space="preserve"> the level of authority required for prescribing </w:t>
      </w:r>
      <w:proofErr w:type="spellStart"/>
      <w:r w:rsidR="00913EAA">
        <w:rPr>
          <w:rFonts w:asciiTheme="minorHAnsi" w:eastAsiaTheme="minorHAnsi" w:hAnsiTheme="minorHAnsi" w:cstheme="minorBidi"/>
          <w:snapToGrid/>
          <w:sz w:val="24"/>
          <w:szCs w:val="22"/>
        </w:rPr>
        <w:t>AdrenaJect</w:t>
      </w:r>
      <w:proofErr w:type="spellEnd"/>
      <w:r w:rsidR="00085930">
        <w:rPr>
          <w:rFonts w:asciiTheme="minorHAnsi" w:eastAsiaTheme="minorHAnsi" w:hAnsiTheme="minorHAnsi" w:cstheme="minorBidi"/>
          <w:snapToGrid/>
          <w:sz w:val="24"/>
          <w:szCs w:val="22"/>
        </w:rPr>
        <w:t>®</w:t>
      </w:r>
      <w:r w:rsidR="00913EAA">
        <w:rPr>
          <w:rFonts w:asciiTheme="minorHAnsi" w:eastAsiaTheme="minorHAnsi" w:hAnsiTheme="minorHAnsi" w:cstheme="minorBidi"/>
          <w:snapToGrid/>
          <w:sz w:val="24"/>
          <w:szCs w:val="22"/>
        </w:rPr>
        <w:t xml:space="preserve"> from Authority Required to Authority Required (STREAMLINED) listing</w:t>
      </w:r>
      <w:r w:rsidR="00173CBE">
        <w:rPr>
          <w:rFonts w:asciiTheme="minorHAnsi" w:eastAsiaTheme="minorHAnsi" w:hAnsiTheme="minorHAnsi" w:cstheme="minorBidi"/>
          <w:snapToGrid/>
          <w:sz w:val="24"/>
          <w:szCs w:val="22"/>
        </w:rPr>
        <w:t xml:space="preserve">. </w:t>
      </w:r>
    </w:p>
    <w:p w:rsidR="006C3FEB" w:rsidRDefault="00292ACF"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173CBE">
        <w:rPr>
          <w:rFonts w:asciiTheme="minorHAnsi" w:eastAsiaTheme="minorHAnsi" w:hAnsiTheme="minorHAnsi" w:cstheme="minorBidi"/>
          <w:snapToGrid/>
          <w:sz w:val="24"/>
          <w:szCs w:val="22"/>
        </w:rPr>
        <w:t>lat</w:t>
      </w:r>
      <w:r>
        <w:rPr>
          <w:rFonts w:asciiTheme="minorHAnsi" w:eastAsiaTheme="minorHAnsi" w:hAnsiTheme="minorHAnsi" w:cstheme="minorBidi"/>
          <w:snapToGrid/>
          <w:sz w:val="24"/>
          <w:szCs w:val="22"/>
        </w:rPr>
        <w:t>t</w:t>
      </w:r>
      <w:r w:rsidR="00173CBE">
        <w:rPr>
          <w:rFonts w:asciiTheme="minorHAnsi" w:eastAsiaTheme="minorHAnsi" w:hAnsiTheme="minorHAnsi" w:cstheme="minorBidi"/>
          <w:snapToGrid/>
          <w:sz w:val="24"/>
          <w:szCs w:val="22"/>
        </w:rPr>
        <w:t xml:space="preserve">er request </w:t>
      </w:r>
      <w:r>
        <w:rPr>
          <w:rFonts w:asciiTheme="minorHAnsi" w:eastAsiaTheme="minorHAnsi" w:hAnsiTheme="minorHAnsi" w:cstheme="minorBidi"/>
          <w:snapToGrid/>
          <w:sz w:val="24"/>
          <w:szCs w:val="22"/>
        </w:rPr>
        <w:t>is similar to</w:t>
      </w:r>
      <w:r w:rsidR="00085930">
        <w:rPr>
          <w:rFonts w:asciiTheme="minorHAnsi" w:eastAsiaTheme="minorHAnsi" w:hAnsiTheme="minorHAnsi" w:cstheme="minorBidi"/>
          <w:snapToGrid/>
          <w:sz w:val="24"/>
          <w:szCs w:val="22"/>
        </w:rPr>
        <w:t xml:space="preserve"> </w:t>
      </w:r>
      <w:r w:rsidR="000A6199">
        <w:rPr>
          <w:rFonts w:asciiTheme="minorHAnsi" w:eastAsiaTheme="minorHAnsi" w:hAnsiTheme="minorHAnsi" w:cstheme="minorBidi"/>
          <w:snapToGrid/>
          <w:sz w:val="24"/>
          <w:szCs w:val="22"/>
        </w:rPr>
        <w:t xml:space="preserve">the current </w:t>
      </w:r>
      <w:r w:rsidR="00EA235B">
        <w:rPr>
          <w:rFonts w:asciiTheme="minorHAnsi" w:eastAsiaTheme="minorHAnsi" w:hAnsiTheme="minorHAnsi" w:cstheme="minorBidi"/>
          <w:snapToGrid/>
          <w:sz w:val="24"/>
          <w:szCs w:val="22"/>
        </w:rPr>
        <w:t xml:space="preserve">implementation of </w:t>
      </w:r>
      <w:r w:rsidR="000A1CA7">
        <w:rPr>
          <w:rFonts w:asciiTheme="minorHAnsi" w:eastAsiaTheme="minorHAnsi" w:hAnsiTheme="minorHAnsi" w:cstheme="minorBidi"/>
          <w:snapToGrid/>
          <w:sz w:val="24"/>
          <w:szCs w:val="22"/>
        </w:rPr>
        <w:t xml:space="preserve">a </w:t>
      </w:r>
      <w:r w:rsidR="00EA235B">
        <w:rPr>
          <w:rFonts w:asciiTheme="minorHAnsi" w:eastAsiaTheme="minorHAnsi" w:hAnsiTheme="minorHAnsi" w:cstheme="minorBidi"/>
          <w:snapToGrid/>
          <w:sz w:val="24"/>
          <w:szCs w:val="22"/>
        </w:rPr>
        <w:t>biosimilar uptake driver</w:t>
      </w:r>
      <w:r>
        <w:rPr>
          <w:rFonts w:asciiTheme="minorHAnsi" w:eastAsiaTheme="minorHAnsi" w:hAnsiTheme="minorHAnsi" w:cstheme="minorBidi"/>
          <w:snapToGrid/>
          <w:sz w:val="24"/>
          <w:szCs w:val="22"/>
        </w:rPr>
        <w:t xml:space="preserve"> which</w:t>
      </w:r>
      <w:r w:rsidR="006C3FEB">
        <w:rPr>
          <w:rFonts w:asciiTheme="minorHAnsi" w:eastAsiaTheme="minorHAnsi" w:hAnsiTheme="minorHAnsi" w:cstheme="minorBidi"/>
          <w:snapToGrid/>
          <w:sz w:val="24"/>
          <w:szCs w:val="22"/>
        </w:rPr>
        <w:t xml:space="preserve"> appl</w:t>
      </w:r>
      <w:r>
        <w:rPr>
          <w:rFonts w:asciiTheme="minorHAnsi" w:eastAsiaTheme="minorHAnsi" w:hAnsiTheme="minorHAnsi" w:cstheme="minorBidi"/>
          <w:snapToGrid/>
          <w:sz w:val="24"/>
          <w:szCs w:val="22"/>
        </w:rPr>
        <w:t>ies</w:t>
      </w:r>
      <w:r w:rsidR="006C3FEB">
        <w:rPr>
          <w:rFonts w:asciiTheme="minorHAnsi" w:eastAsiaTheme="minorHAnsi" w:hAnsiTheme="minorHAnsi" w:cstheme="minorBidi"/>
          <w:snapToGrid/>
          <w:sz w:val="24"/>
          <w:szCs w:val="22"/>
        </w:rPr>
        <w:t xml:space="preserve"> a lower level of authority to biosimilar brand(s) than exists for </w:t>
      </w:r>
      <w:r w:rsidR="003172A5">
        <w:rPr>
          <w:rFonts w:asciiTheme="minorHAnsi" w:eastAsiaTheme="minorHAnsi" w:hAnsiTheme="minorHAnsi" w:cstheme="minorBidi"/>
          <w:snapToGrid/>
          <w:sz w:val="24"/>
          <w:szCs w:val="22"/>
        </w:rPr>
        <w:t xml:space="preserve">the </w:t>
      </w:r>
      <w:r w:rsidR="006C3FEB">
        <w:rPr>
          <w:rFonts w:asciiTheme="minorHAnsi" w:eastAsiaTheme="minorHAnsi" w:hAnsiTheme="minorHAnsi" w:cstheme="minorBidi"/>
          <w:snapToGrid/>
          <w:sz w:val="24"/>
          <w:szCs w:val="22"/>
        </w:rPr>
        <w:t xml:space="preserve">reference brand. </w:t>
      </w:r>
    </w:p>
    <w:p w:rsidR="009945E8" w:rsidRDefault="006C3FEB"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090A5C">
        <w:rPr>
          <w:rFonts w:asciiTheme="minorHAnsi" w:eastAsiaTheme="minorHAnsi" w:hAnsiTheme="minorHAnsi" w:cstheme="minorBidi"/>
          <w:snapToGrid/>
          <w:sz w:val="24"/>
          <w:szCs w:val="22"/>
        </w:rPr>
        <w:t xml:space="preserve">PBAC </w:t>
      </w:r>
      <w:r>
        <w:rPr>
          <w:rFonts w:asciiTheme="minorHAnsi" w:eastAsiaTheme="minorHAnsi" w:hAnsiTheme="minorHAnsi" w:cstheme="minorBidi"/>
          <w:snapToGrid/>
          <w:sz w:val="24"/>
          <w:szCs w:val="22"/>
        </w:rPr>
        <w:t>note</w:t>
      </w:r>
      <w:r w:rsidR="00090A5C">
        <w:rPr>
          <w:rFonts w:asciiTheme="minorHAnsi" w:eastAsiaTheme="minorHAnsi" w:hAnsiTheme="minorHAnsi" w:cstheme="minorBidi"/>
          <w:snapToGrid/>
          <w:sz w:val="24"/>
          <w:szCs w:val="22"/>
        </w:rPr>
        <w:t>d</w:t>
      </w:r>
      <w:r>
        <w:rPr>
          <w:rFonts w:asciiTheme="minorHAnsi" w:eastAsiaTheme="minorHAnsi" w:hAnsiTheme="minorHAnsi" w:cstheme="minorBidi"/>
          <w:snapToGrid/>
          <w:sz w:val="24"/>
          <w:szCs w:val="22"/>
        </w:rPr>
        <w:t xml:space="preserve"> that biosimilar uptake drivers are</w:t>
      </w:r>
      <w:r w:rsidR="00C60B26">
        <w:rPr>
          <w:rFonts w:asciiTheme="minorHAnsi" w:eastAsiaTheme="minorHAnsi" w:hAnsiTheme="minorHAnsi" w:cstheme="minorBidi"/>
          <w:snapToGrid/>
          <w:sz w:val="24"/>
          <w:szCs w:val="22"/>
        </w:rPr>
        <w:t xml:space="preserve"> </w:t>
      </w:r>
      <w:r w:rsidR="00F42336">
        <w:rPr>
          <w:rFonts w:asciiTheme="minorHAnsi" w:eastAsiaTheme="minorHAnsi" w:hAnsiTheme="minorHAnsi" w:cstheme="minorBidi"/>
          <w:snapToGrid/>
          <w:sz w:val="24"/>
          <w:szCs w:val="22"/>
        </w:rPr>
        <w:t xml:space="preserve">designed to supplement existing activities by the Department of Health to improve awareness of, and confidence in, </w:t>
      </w:r>
      <w:proofErr w:type="spellStart"/>
      <w:r w:rsidR="00F42336">
        <w:rPr>
          <w:rFonts w:asciiTheme="minorHAnsi" w:eastAsiaTheme="minorHAnsi" w:hAnsiTheme="minorHAnsi" w:cstheme="minorBidi"/>
          <w:snapToGrid/>
          <w:sz w:val="24"/>
          <w:szCs w:val="22"/>
        </w:rPr>
        <w:t>biosi</w:t>
      </w:r>
      <w:r w:rsidR="003172A5">
        <w:rPr>
          <w:rFonts w:asciiTheme="minorHAnsi" w:eastAsiaTheme="minorHAnsi" w:hAnsiTheme="minorHAnsi" w:cstheme="minorBidi"/>
          <w:snapToGrid/>
          <w:sz w:val="24"/>
          <w:szCs w:val="22"/>
        </w:rPr>
        <w:t>m</w:t>
      </w:r>
      <w:r w:rsidR="00F42336">
        <w:rPr>
          <w:rFonts w:asciiTheme="minorHAnsi" w:eastAsiaTheme="minorHAnsi" w:hAnsiTheme="minorHAnsi" w:cstheme="minorBidi"/>
          <w:snapToGrid/>
          <w:sz w:val="24"/>
          <w:szCs w:val="22"/>
        </w:rPr>
        <w:t>ilars</w:t>
      </w:r>
      <w:proofErr w:type="spellEnd"/>
      <w:r w:rsidR="00F42336">
        <w:rPr>
          <w:rFonts w:asciiTheme="minorHAnsi" w:eastAsiaTheme="minorHAnsi" w:hAnsiTheme="minorHAnsi" w:cstheme="minorBidi"/>
          <w:snapToGrid/>
          <w:sz w:val="24"/>
          <w:szCs w:val="22"/>
        </w:rPr>
        <w:t xml:space="preserve"> for both healthcare professionals and consumers. </w:t>
      </w:r>
      <w:r w:rsidR="00900FE2">
        <w:rPr>
          <w:rFonts w:asciiTheme="minorHAnsi" w:eastAsiaTheme="minorHAnsi" w:hAnsiTheme="minorHAnsi" w:cstheme="minorBidi"/>
          <w:snapToGrid/>
          <w:sz w:val="24"/>
          <w:szCs w:val="22"/>
        </w:rPr>
        <w:t>It is a policy matter as to whether these drivers should be extended to non-bio</w:t>
      </w:r>
      <w:r w:rsidR="003172A5">
        <w:rPr>
          <w:rFonts w:asciiTheme="minorHAnsi" w:eastAsiaTheme="minorHAnsi" w:hAnsiTheme="minorHAnsi" w:cstheme="minorBidi"/>
          <w:snapToGrid/>
          <w:sz w:val="24"/>
          <w:szCs w:val="22"/>
        </w:rPr>
        <w:t>similar</w:t>
      </w:r>
      <w:r w:rsidR="00900FE2">
        <w:rPr>
          <w:rFonts w:asciiTheme="minorHAnsi" w:eastAsiaTheme="minorHAnsi" w:hAnsiTheme="minorHAnsi" w:cstheme="minorBidi"/>
          <w:snapToGrid/>
          <w:sz w:val="24"/>
          <w:szCs w:val="22"/>
        </w:rPr>
        <w:t xml:space="preserve"> medicine</w:t>
      </w:r>
      <w:r w:rsidR="003172A5">
        <w:rPr>
          <w:rFonts w:asciiTheme="minorHAnsi" w:eastAsiaTheme="minorHAnsi" w:hAnsiTheme="minorHAnsi" w:cstheme="minorBidi"/>
          <w:snapToGrid/>
          <w:sz w:val="24"/>
          <w:szCs w:val="22"/>
        </w:rPr>
        <w:t>s</w:t>
      </w:r>
      <w:r w:rsidR="00900FE2">
        <w:rPr>
          <w:rFonts w:asciiTheme="minorHAnsi" w:eastAsiaTheme="minorHAnsi" w:hAnsiTheme="minorHAnsi" w:cstheme="minorBidi"/>
          <w:snapToGrid/>
          <w:sz w:val="24"/>
          <w:szCs w:val="22"/>
        </w:rPr>
        <w:t>, in this case</w:t>
      </w:r>
      <w:r w:rsidR="000D311F">
        <w:rPr>
          <w:rFonts w:asciiTheme="minorHAnsi" w:eastAsiaTheme="minorHAnsi" w:hAnsiTheme="minorHAnsi" w:cstheme="minorBidi"/>
          <w:snapToGrid/>
          <w:sz w:val="24"/>
          <w:szCs w:val="22"/>
        </w:rPr>
        <w:t>,</w:t>
      </w:r>
      <w:r w:rsidR="00900FE2">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adrenaline</w:t>
      </w:r>
      <w:r w:rsidR="00900FE2">
        <w:rPr>
          <w:rFonts w:asciiTheme="minorHAnsi" w:eastAsiaTheme="minorHAnsi" w:hAnsiTheme="minorHAnsi" w:cstheme="minorBidi"/>
          <w:snapToGrid/>
          <w:sz w:val="24"/>
          <w:szCs w:val="22"/>
        </w:rPr>
        <w:t>. Hence, the lat</w:t>
      </w:r>
      <w:r w:rsidR="00292ACF">
        <w:rPr>
          <w:rFonts w:asciiTheme="minorHAnsi" w:eastAsiaTheme="minorHAnsi" w:hAnsiTheme="minorHAnsi" w:cstheme="minorBidi"/>
          <w:snapToGrid/>
          <w:sz w:val="24"/>
          <w:szCs w:val="22"/>
        </w:rPr>
        <w:t>t</w:t>
      </w:r>
      <w:r w:rsidR="00900FE2">
        <w:rPr>
          <w:rFonts w:asciiTheme="minorHAnsi" w:eastAsiaTheme="minorHAnsi" w:hAnsiTheme="minorHAnsi" w:cstheme="minorBidi"/>
          <w:snapToGrid/>
          <w:sz w:val="24"/>
          <w:szCs w:val="22"/>
        </w:rPr>
        <w:t xml:space="preserve">er request is </w:t>
      </w:r>
      <w:r>
        <w:rPr>
          <w:rFonts w:asciiTheme="minorHAnsi" w:eastAsiaTheme="minorHAnsi" w:hAnsiTheme="minorHAnsi" w:cstheme="minorBidi"/>
          <w:snapToGrid/>
          <w:sz w:val="24"/>
          <w:szCs w:val="22"/>
        </w:rPr>
        <w:t>outside the scope of</w:t>
      </w:r>
      <w:r w:rsidR="00F42336">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PBAC’s consideration. </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3F20F5" w:rsidRPr="00E21497" w:rsidRDefault="003F20F5" w:rsidP="00AB2C2B">
      <w:pPr>
        <w:spacing w:before="120" w:after="120"/>
        <w:rPr>
          <w:rFonts w:asciiTheme="minorHAnsi" w:hAnsiTheme="minorHAnsi"/>
          <w:i/>
          <w:szCs w:val="22"/>
        </w:rPr>
      </w:pPr>
      <w:r w:rsidRPr="00E21497">
        <w:rPr>
          <w:rFonts w:asciiTheme="minorHAnsi" w:hAnsiTheme="minorHAnsi"/>
          <w:i/>
          <w:szCs w:val="22"/>
        </w:rPr>
        <w:t>Brand equivalence and substitution at the pharmacist level (‘a’ flagging)</w:t>
      </w:r>
    </w:p>
    <w:p w:rsidR="00A25D49" w:rsidRPr="00612B50" w:rsidRDefault="003F20F5" w:rsidP="00AA775C">
      <w:pPr>
        <w:pStyle w:val="ListParagraph"/>
        <w:widowControl/>
        <w:numPr>
          <w:ilvl w:val="1"/>
          <w:numId w:val="5"/>
        </w:numPr>
        <w:spacing w:after="120"/>
        <w:contextualSpacing w:val="0"/>
        <w:rPr>
          <w:rFonts w:asciiTheme="minorHAnsi" w:eastAsiaTheme="minorHAnsi" w:hAnsiTheme="minorHAnsi" w:cstheme="minorBidi"/>
          <w:szCs w:val="22"/>
        </w:rPr>
      </w:pPr>
      <w:r w:rsidRPr="00AA775C">
        <w:rPr>
          <w:rFonts w:asciiTheme="minorHAnsi" w:eastAsiaTheme="minorHAnsi" w:hAnsiTheme="minorHAnsi" w:cstheme="minorBidi"/>
          <w:snapToGrid/>
          <w:sz w:val="24"/>
          <w:szCs w:val="22"/>
        </w:rPr>
        <w:t xml:space="preserve">The Schedule of Pharmaceutical Benefits provide the following definition of brand equivalence: </w:t>
      </w:r>
    </w:p>
    <w:p w:rsidR="00597299" w:rsidRDefault="00597299">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3F20F5" w:rsidRPr="00B527FD" w:rsidRDefault="003F20F5" w:rsidP="0084363C">
      <w:pPr>
        <w:pStyle w:val="ListParagraph"/>
        <w:widowControl/>
        <w:spacing w:after="120"/>
        <w:contextualSpacing w:val="0"/>
        <w:rPr>
          <w:rFonts w:asciiTheme="minorHAnsi" w:eastAsiaTheme="minorHAnsi" w:hAnsiTheme="minorHAnsi" w:cstheme="minorBidi"/>
          <w:snapToGrid/>
          <w:sz w:val="24"/>
          <w:szCs w:val="22"/>
        </w:rPr>
      </w:pPr>
      <w:r w:rsidRPr="00B527FD">
        <w:rPr>
          <w:rFonts w:asciiTheme="minorHAnsi" w:eastAsiaTheme="minorHAnsi" w:hAnsiTheme="minorHAnsi" w:cstheme="minorBidi"/>
          <w:snapToGrid/>
          <w:sz w:val="24"/>
          <w:szCs w:val="22"/>
        </w:rPr>
        <w:lastRenderedPageBreak/>
        <w:t xml:space="preserve">Extract from the Explanatory Notes </w:t>
      </w:r>
    </w:p>
    <w:p w:rsidR="003F20F5" w:rsidRPr="00E21497" w:rsidRDefault="003F20F5" w:rsidP="003F20F5">
      <w:pPr>
        <w:pStyle w:val="BodyText"/>
        <w:pBdr>
          <w:top w:val="single" w:sz="4" w:space="1" w:color="auto"/>
          <w:left w:val="single" w:sz="4" w:space="4" w:color="auto"/>
          <w:bottom w:val="single" w:sz="4" w:space="1" w:color="auto"/>
          <w:right w:val="single" w:sz="4" w:space="4" w:color="auto"/>
        </w:pBdr>
        <w:ind w:left="426"/>
        <w:rPr>
          <w:rFonts w:asciiTheme="minorHAnsi" w:hAnsiTheme="minorHAnsi"/>
        </w:rPr>
      </w:pPr>
      <w:r w:rsidRPr="00E21497">
        <w:rPr>
          <w:rFonts w:asciiTheme="minorHAnsi" w:hAnsiTheme="minorHAnsi"/>
        </w:rPr>
        <w:t>BRAND EQUIVALENCE</w:t>
      </w:r>
    </w:p>
    <w:p w:rsidR="003F20F5" w:rsidRPr="00E21497" w:rsidRDefault="003F20F5" w:rsidP="003F20F5">
      <w:pPr>
        <w:pStyle w:val="BodyText"/>
        <w:pBdr>
          <w:top w:val="single" w:sz="4" w:space="1" w:color="auto"/>
          <w:left w:val="single" w:sz="4" w:space="4" w:color="auto"/>
          <w:bottom w:val="single" w:sz="4" w:space="1" w:color="auto"/>
          <w:right w:val="single" w:sz="4" w:space="4" w:color="auto"/>
        </w:pBdr>
        <w:ind w:left="426"/>
        <w:rPr>
          <w:rFonts w:asciiTheme="minorHAnsi" w:hAnsiTheme="minorHAnsi"/>
        </w:rPr>
      </w:pPr>
      <w:r w:rsidRPr="00E21497">
        <w:rPr>
          <w:rFonts w:asciiTheme="minorHAnsi" w:hAnsiTheme="minorHAnsi"/>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3F20F5" w:rsidRPr="00B527FD" w:rsidRDefault="003F20F5" w:rsidP="00B527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527FD">
        <w:rPr>
          <w:rFonts w:asciiTheme="minorHAnsi" w:eastAsiaTheme="minorHAnsi" w:hAnsiTheme="minorHAnsi" w:cstheme="minorBidi"/>
          <w:snapToGrid/>
          <w:sz w:val="24"/>
          <w:szCs w:val="22"/>
        </w:rPr>
        <w:t xml:space="preserve">Many medicines are available on the PBS in different brands. The Schedule of Pharmaceutical Benefits indicates where different brands are considered equivalent for the purposes of substitution at the point of dispensing by using ‘a’ flags. </w:t>
      </w:r>
    </w:p>
    <w:p w:rsidR="003F20F5" w:rsidRPr="00B527FD" w:rsidRDefault="003F20F5" w:rsidP="00B527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527FD">
        <w:rPr>
          <w:rFonts w:asciiTheme="minorHAnsi" w:eastAsiaTheme="minorHAnsi" w:hAnsiTheme="minorHAnsi" w:cstheme="minorBidi"/>
          <w:snapToGrid/>
          <w:sz w:val="24"/>
          <w:szCs w:val="22"/>
        </w:rPr>
        <w:t>The ability for prescribers and pharmacists to substitute generic brands for originator brands is an important part of encouraging use of less expensive generics in</w:t>
      </w:r>
      <w:r w:rsidR="003E07F8">
        <w:rPr>
          <w:rFonts w:asciiTheme="minorHAnsi" w:eastAsiaTheme="minorHAnsi" w:hAnsiTheme="minorHAnsi" w:cstheme="minorBidi"/>
          <w:snapToGrid/>
          <w:sz w:val="24"/>
          <w:szCs w:val="22"/>
        </w:rPr>
        <w:t xml:space="preserve"> order to foster</w:t>
      </w:r>
      <w:r w:rsidRPr="00B527FD">
        <w:rPr>
          <w:rFonts w:asciiTheme="minorHAnsi" w:eastAsiaTheme="minorHAnsi" w:hAnsiTheme="minorHAnsi" w:cstheme="minorBidi"/>
          <w:snapToGrid/>
          <w:sz w:val="24"/>
          <w:szCs w:val="22"/>
        </w:rPr>
        <w:t xml:space="preserve"> market</w:t>
      </w:r>
      <w:r w:rsidR="003E07F8">
        <w:rPr>
          <w:rFonts w:asciiTheme="minorHAnsi" w:eastAsiaTheme="minorHAnsi" w:hAnsiTheme="minorHAnsi" w:cstheme="minorBidi"/>
          <w:snapToGrid/>
          <w:sz w:val="24"/>
          <w:szCs w:val="22"/>
        </w:rPr>
        <w:t xml:space="preserve"> competition </w:t>
      </w:r>
      <w:r w:rsidR="00BE4123">
        <w:rPr>
          <w:rFonts w:asciiTheme="minorHAnsi" w:eastAsiaTheme="minorHAnsi" w:hAnsiTheme="minorHAnsi" w:cstheme="minorBidi"/>
          <w:snapToGrid/>
          <w:sz w:val="24"/>
          <w:szCs w:val="22"/>
        </w:rPr>
        <w:t>which</w:t>
      </w:r>
      <w:r w:rsidR="00BE4123" w:rsidRPr="00B527FD">
        <w:rPr>
          <w:rFonts w:asciiTheme="minorHAnsi" w:eastAsiaTheme="minorHAnsi" w:hAnsiTheme="minorHAnsi" w:cstheme="minorBidi"/>
          <w:snapToGrid/>
          <w:sz w:val="24"/>
          <w:szCs w:val="22"/>
        </w:rPr>
        <w:t xml:space="preserve"> </w:t>
      </w:r>
      <w:r w:rsidR="00BE4123">
        <w:rPr>
          <w:rFonts w:asciiTheme="minorHAnsi" w:eastAsiaTheme="minorHAnsi" w:hAnsiTheme="minorHAnsi" w:cstheme="minorBidi"/>
          <w:snapToGrid/>
          <w:sz w:val="24"/>
          <w:szCs w:val="22"/>
        </w:rPr>
        <w:t>supports</w:t>
      </w:r>
      <w:r w:rsidRPr="00B527FD">
        <w:rPr>
          <w:rFonts w:asciiTheme="minorHAnsi" w:eastAsiaTheme="minorHAnsi" w:hAnsiTheme="minorHAnsi" w:cstheme="minorBidi"/>
          <w:snapToGrid/>
          <w:sz w:val="24"/>
          <w:szCs w:val="22"/>
        </w:rPr>
        <w:t xml:space="preserve"> the sustainability of the PBS.</w:t>
      </w:r>
    </w:p>
    <w:p w:rsidR="003F20F5" w:rsidRPr="00B527FD" w:rsidRDefault="003F20F5" w:rsidP="00B527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527FD">
        <w:rPr>
          <w:rFonts w:asciiTheme="minorHAnsi" w:eastAsiaTheme="minorHAnsi" w:hAnsiTheme="minorHAnsi" w:cstheme="minorBidi"/>
          <w:snapToGrid/>
          <w:sz w:val="24"/>
          <w:szCs w:val="22"/>
        </w:rPr>
        <w:t>For any individual prescription, a prescriber may choose to not permit brand substitution by indicating ‘substitution not permitted’ on the prescription. Likewise, when substitution is permitted, a patient may nominate which ‘a’ flagged brand they wish to receive from the pharmacist, except when State or Territory Law prohibits substitution (e.g. for Schedule 8 drugs of dependence). The substitution process allows for patient and prescriber choice and is not automatic.</w:t>
      </w:r>
    </w:p>
    <w:p w:rsidR="003F20F5" w:rsidRPr="00B527FD" w:rsidRDefault="003F20F5" w:rsidP="00B527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527FD">
        <w:rPr>
          <w:rFonts w:asciiTheme="minorHAnsi" w:eastAsiaTheme="minorHAnsi" w:hAnsiTheme="minorHAnsi" w:cstheme="minorBidi"/>
          <w:snapToGrid/>
          <w:sz w:val="24"/>
          <w:szCs w:val="22"/>
        </w:rPr>
        <w:t xml:space="preserve">The </w:t>
      </w:r>
      <w:r w:rsidRPr="00B67DF9">
        <w:rPr>
          <w:rFonts w:asciiTheme="minorHAnsi" w:eastAsiaTheme="minorHAnsi" w:hAnsiTheme="minorHAnsi" w:cstheme="minorBidi"/>
          <w:i/>
          <w:snapToGrid/>
          <w:sz w:val="24"/>
          <w:szCs w:val="22"/>
        </w:rPr>
        <w:t>National Health Act 1953</w:t>
      </w:r>
      <w:r w:rsidRPr="00B527FD">
        <w:rPr>
          <w:rFonts w:asciiTheme="minorHAnsi" w:eastAsiaTheme="minorHAnsi" w:hAnsiTheme="minorHAnsi" w:cstheme="minorBidi"/>
          <w:snapToGrid/>
          <w:sz w:val="24"/>
          <w:szCs w:val="22"/>
        </w:rPr>
        <w:t xml:space="preserve"> (“The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3F20F5" w:rsidRDefault="000977D7" w:rsidP="00B527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If</w:t>
      </w:r>
      <w:r w:rsidRPr="00B527FD">
        <w:rPr>
          <w:rFonts w:asciiTheme="minorHAnsi" w:eastAsiaTheme="minorHAnsi" w:hAnsiTheme="minorHAnsi" w:cstheme="minorBidi"/>
          <w:snapToGrid/>
          <w:sz w:val="24"/>
          <w:szCs w:val="22"/>
        </w:rPr>
        <w:t xml:space="preserve"> </w:t>
      </w:r>
      <w:r w:rsidR="003F20F5" w:rsidRPr="00B527FD">
        <w:rPr>
          <w:rFonts w:asciiTheme="minorHAnsi" w:eastAsiaTheme="minorHAnsi" w:hAnsiTheme="minorHAnsi" w:cstheme="minorBidi"/>
          <w:snapToGrid/>
          <w:sz w:val="24"/>
          <w:szCs w:val="22"/>
        </w:rPr>
        <w:t xml:space="preserve">the PBAC provides advice, the decision to apply brand equivalence (‘a’ flagging) to listings in the Schedule is made by the Minister for Health (or Delegate). </w:t>
      </w:r>
    </w:p>
    <w:p w:rsidR="00130FD9" w:rsidRPr="00E21497" w:rsidRDefault="00130FD9" w:rsidP="00AB2C2B">
      <w:pPr>
        <w:spacing w:before="120" w:after="120"/>
        <w:rPr>
          <w:rFonts w:asciiTheme="minorHAnsi" w:hAnsiTheme="minorHAnsi"/>
          <w:i/>
          <w:szCs w:val="22"/>
        </w:rPr>
      </w:pPr>
      <w:r w:rsidRPr="00E21497">
        <w:rPr>
          <w:rFonts w:asciiTheme="minorHAnsi" w:hAnsiTheme="minorHAnsi"/>
          <w:i/>
          <w:szCs w:val="22"/>
        </w:rPr>
        <w:t>Previous PBAC considerations</w:t>
      </w:r>
      <w:r w:rsidR="006C2DCF" w:rsidRPr="00E21497">
        <w:rPr>
          <w:rFonts w:asciiTheme="minorHAnsi" w:hAnsiTheme="minorHAnsi"/>
          <w:i/>
          <w:szCs w:val="22"/>
        </w:rPr>
        <w:t xml:space="preserve"> for </w:t>
      </w:r>
      <w:r w:rsidRPr="00E21497">
        <w:rPr>
          <w:rFonts w:asciiTheme="minorHAnsi" w:hAnsiTheme="minorHAnsi"/>
          <w:i/>
          <w:szCs w:val="22"/>
        </w:rPr>
        <w:t>self-administered adrenaline</w:t>
      </w:r>
    </w:p>
    <w:p w:rsidR="00020FDF" w:rsidRPr="00B527FD" w:rsidRDefault="00020FDF" w:rsidP="00B527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527FD">
        <w:rPr>
          <w:rFonts w:asciiTheme="minorHAnsi" w:eastAsiaTheme="minorHAnsi" w:hAnsiTheme="minorHAnsi" w:cstheme="minorBidi"/>
          <w:snapToGrid/>
          <w:sz w:val="24"/>
          <w:szCs w:val="22"/>
        </w:rPr>
        <w:t>Adrenaline intra-muscular injection in the form of an auto-injecting pen (</w:t>
      </w:r>
      <w:proofErr w:type="spellStart"/>
      <w:r w:rsidRPr="00B527FD">
        <w:rPr>
          <w:rFonts w:asciiTheme="minorHAnsi" w:eastAsiaTheme="minorHAnsi" w:hAnsiTheme="minorHAnsi" w:cstheme="minorBidi"/>
          <w:snapToGrid/>
          <w:sz w:val="24"/>
          <w:szCs w:val="22"/>
        </w:rPr>
        <w:t>EpiPen</w:t>
      </w:r>
      <w:proofErr w:type="spellEnd"/>
      <w:r w:rsidRPr="00B527FD">
        <w:rPr>
          <w:rFonts w:asciiTheme="minorHAnsi" w:eastAsiaTheme="minorHAnsi" w:hAnsiTheme="minorHAnsi" w:cstheme="minorBidi"/>
          <w:snapToGrid/>
          <w:sz w:val="24"/>
          <w:szCs w:val="22"/>
        </w:rPr>
        <w:t xml:space="preserve">® and </w:t>
      </w:r>
      <w:proofErr w:type="spellStart"/>
      <w:r w:rsidRPr="00B527FD">
        <w:rPr>
          <w:rFonts w:asciiTheme="minorHAnsi" w:eastAsiaTheme="minorHAnsi" w:hAnsiTheme="minorHAnsi" w:cstheme="minorBidi"/>
          <w:snapToGrid/>
          <w:sz w:val="24"/>
          <w:szCs w:val="22"/>
        </w:rPr>
        <w:t>EpiPen</w:t>
      </w:r>
      <w:proofErr w:type="spellEnd"/>
      <w:r w:rsidRPr="00B527FD">
        <w:rPr>
          <w:rFonts w:asciiTheme="minorHAnsi" w:eastAsiaTheme="minorHAnsi" w:hAnsiTheme="minorHAnsi" w:cstheme="minorBidi"/>
          <w:snapToGrid/>
          <w:sz w:val="24"/>
          <w:szCs w:val="22"/>
        </w:rPr>
        <w:t xml:space="preserve"> Junior®) was first </w:t>
      </w:r>
      <w:r w:rsidR="006C2DCF" w:rsidRPr="00B527FD">
        <w:rPr>
          <w:rFonts w:asciiTheme="minorHAnsi" w:eastAsiaTheme="minorHAnsi" w:hAnsiTheme="minorHAnsi" w:cstheme="minorBidi"/>
          <w:snapToGrid/>
          <w:sz w:val="24"/>
          <w:szCs w:val="22"/>
        </w:rPr>
        <w:t xml:space="preserve">PBS </w:t>
      </w:r>
      <w:r w:rsidRPr="00B527FD">
        <w:rPr>
          <w:rFonts w:asciiTheme="minorHAnsi" w:eastAsiaTheme="minorHAnsi" w:hAnsiTheme="minorHAnsi" w:cstheme="minorBidi"/>
          <w:snapToGrid/>
          <w:sz w:val="24"/>
          <w:szCs w:val="22"/>
        </w:rPr>
        <w:t>listed on 1 November 2003.  Prior to this, adrenaline was available on the PBS in ampoule form only.</w:t>
      </w:r>
    </w:p>
    <w:p w:rsidR="006F3D43" w:rsidRDefault="00020FDF" w:rsidP="00B527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March 2010, a </w:t>
      </w:r>
      <w:r w:rsidRPr="00214F6E">
        <w:rPr>
          <w:rFonts w:asciiTheme="minorHAnsi" w:eastAsiaTheme="minorHAnsi" w:hAnsiTheme="minorHAnsi" w:cstheme="minorBidi"/>
          <w:snapToGrid/>
          <w:sz w:val="24"/>
          <w:szCs w:val="22"/>
        </w:rPr>
        <w:t xml:space="preserve">PBAC recommendation was made </w:t>
      </w:r>
      <w:r w:rsidR="00130FD9">
        <w:rPr>
          <w:rFonts w:asciiTheme="minorHAnsi" w:eastAsiaTheme="minorHAnsi" w:hAnsiTheme="minorHAnsi" w:cstheme="minorBidi"/>
          <w:snapToGrid/>
          <w:sz w:val="24"/>
          <w:szCs w:val="22"/>
        </w:rPr>
        <w:t>for</w:t>
      </w:r>
      <w:r w:rsidR="00130FD9" w:rsidRPr="00214F6E">
        <w:rPr>
          <w:rFonts w:asciiTheme="minorHAnsi" w:eastAsiaTheme="minorHAnsi" w:hAnsiTheme="minorHAnsi" w:cstheme="minorBidi"/>
          <w:snapToGrid/>
          <w:sz w:val="24"/>
          <w:szCs w:val="22"/>
        </w:rPr>
        <w:t xml:space="preserve"> </w:t>
      </w:r>
      <w:proofErr w:type="spellStart"/>
      <w:r w:rsidRPr="00214F6E">
        <w:rPr>
          <w:rFonts w:asciiTheme="minorHAnsi" w:eastAsiaTheme="minorHAnsi" w:hAnsiTheme="minorHAnsi" w:cstheme="minorBidi"/>
          <w:snapToGrid/>
          <w:sz w:val="24"/>
          <w:szCs w:val="22"/>
        </w:rPr>
        <w:t>Anapen</w:t>
      </w:r>
      <w:proofErr w:type="spellEnd"/>
      <w:r>
        <w:rPr>
          <w:rFonts w:asciiTheme="minorHAnsi" w:eastAsiaTheme="minorHAnsi" w:hAnsiTheme="minorHAnsi" w:cstheme="minorBidi"/>
          <w:snapToGrid/>
          <w:sz w:val="24"/>
          <w:szCs w:val="22"/>
        </w:rPr>
        <w:t>®</w:t>
      </w:r>
      <w:r w:rsidRPr="00BB2438">
        <w:rPr>
          <w:rFonts w:asciiTheme="minorHAnsi" w:eastAsiaTheme="minorHAnsi" w:hAnsiTheme="minorHAnsi" w:cstheme="minorBidi"/>
          <w:snapToGrid/>
          <w:sz w:val="24"/>
          <w:szCs w:val="22"/>
        </w:rPr>
        <w:t xml:space="preserve">, a generic brand of adrenaline </w:t>
      </w:r>
      <w:proofErr w:type="spellStart"/>
      <w:r w:rsidRPr="00BB2438">
        <w:rPr>
          <w:rFonts w:asciiTheme="minorHAnsi" w:eastAsiaTheme="minorHAnsi" w:hAnsiTheme="minorHAnsi" w:cstheme="minorBidi"/>
          <w:snapToGrid/>
          <w:sz w:val="24"/>
          <w:szCs w:val="22"/>
        </w:rPr>
        <w:t>autoinjector</w:t>
      </w:r>
      <w:proofErr w:type="spellEnd"/>
      <w:r w:rsidRPr="00BB2438">
        <w:rPr>
          <w:rFonts w:asciiTheme="minorHAnsi" w:eastAsiaTheme="minorHAnsi" w:hAnsiTheme="minorHAnsi" w:cstheme="minorBidi"/>
          <w:snapToGrid/>
          <w:sz w:val="24"/>
          <w:szCs w:val="22"/>
        </w:rPr>
        <w:t xml:space="preserve"> that </w:t>
      </w:r>
      <w:r w:rsidR="006F3D43">
        <w:rPr>
          <w:rFonts w:asciiTheme="minorHAnsi" w:eastAsiaTheme="minorHAnsi" w:hAnsiTheme="minorHAnsi" w:cstheme="minorBidi"/>
          <w:snapToGrid/>
          <w:sz w:val="24"/>
          <w:szCs w:val="22"/>
        </w:rPr>
        <w:t>was</w:t>
      </w:r>
      <w:r w:rsidRPr="00BB2438">
        <w:rPr>
          <w:rFonts w:asciiTheme="minorHAnsi" w:eastAsiaTheme="minorHAnsi" w:hAnsiTheme="minorHAnsi" w:cstheme="minorBidi"/>
          <w:snapToGrid/>
          <w:sz w:val="24"/>
          <w:szCs w:val="22"/>
        </w:rPr>
        <w:t xml:space="preserve"> delisted</w:t>
      </w:r>
      <w:r w:rsidR="006F3D43">
        <w:rPr>
          <w:rFonts w:asciiTheme="minorHAnsi" w:eastAsiaTheme="minorHAnsi" w:hAnsiTheme="minorHAnsi" w:cstheme="minorBidi"/>
          <w:snapToGrid/>
          <w:sz w:val="24"/>
          <w:szCs w:val="22"/>
        </w:rPr>
        <w:t xml:space="preserve"> on 1 January 2017</w:t>
      </w:r>
      <w:r w:rsidRPr="00BB2438">
        <w:rPr>
          <w:rFonts w:asciiTheme="minorHAnsi" w:eastAsiaTheme="minorHAnsi" w:hAnsiTheme="minorHAnsi" w:cstheme="minorBidi"/>
          <w:snapToGrid/>
          <w:sz w:val="24"/>
          <w:szCs w:val="22"/>
        </w:rPr>
        <w:t>.</w:t>
      </w:r>
      <w:r w:rsidR="006F3D43">
        <w:rPr>
          <w:rFonts w:asciiTheme="minorHAnsi" w:eastAsiaTheme="minorHAnsi" w:hAnsiTheme="minorHAnsi" w:cstheme="minorBidi"/>
          <w:snapToGrid/>
          <w:sz w:val="24"/>
          <w:szCs w:val="22"/>
        </w:rPr>
        <w:t xml:space="preserve"> The sponsor stated that they had not been able to supply </w:t>
      </w:r>
      <w:proofErr w:type="spellStart"/>
      <w:r w:rsidR="006F3D43">
        <w:rPr>
          <w:rFonts w:asciiTheme="minorHAnsi" w:eastAsiaTheme="minorHAnsi" w:hAnsiTheme="minorHAnsi" w:cstheme="minorBidi"/>
          <w:snapToGrid/>
          <w:sz w:val="24"/>
          <w:szCs w:val="22"/>
        </w:rPr>
        <w:t>Anapen</w:t>
      </w:r>
      <w:proofErr w:type="spellEnd"/>
      <w:r w:rsidR="0095279C">
        <w:rPr>
          <w:rFonts w:asciiTheme="minorHAnsi" w:eastAsiaTheme="minorHAnsi" w:hAnsiTheme="minorHAnsi" w:cstheme="minorBidi"/>
          <w:snapToGrid/>
          <w:sz w:val="24"/>
          <w:szCs w:val="22"/>
        </w:rPr>
        <w:t>®</w:t>
      </w:r>
      <w:r w:rsidR="006F3D43">
        <w:rPr>
          <w:rFonts w:asciiTheme="minorHAnsi" w:eastAsiaTheme="minorHAnsi" w:hAnsiTheme="minorHAnsi" w:cstheme="minorBidi"/>
          <w:snapToGrid/>
          <w:sz w:val="24"/>
          <w:szCs w:val="22"/>
        </w:rPr>
        <w:t xml:space="preserve"> since August 2014</w:t>
      </w:r>
      <w:r w:rsidR="009951A1">
        <w:rPr>
          <w:rFonts w:asciiTheme="minorHAnsi" w:eastAsiaTheme="minorHAnsi" w:hAnsiTheme="minorHAnsi" w:cstheme="minorBidi"/>
          <w:snapToGrid/>
          <w:sz w:val="24"/>
          <w:szCs w:val="22"/>
        </w:rPr>
        <w:t>.</w:t>
      </w:r>
      <w:r w:rsidR="006F3D43">
        <w:rPr>
          <w:rFonts w:asciiTheme="minorHAnsi" w:eastAsiaTheme="minorHAnsi" w:hAnsiTheme="minorHAnsi" w:cstheme="minorBidi"/>
          <w:snapToGrid/>
          <w:sz w:val="24"/>
          <w:szCs w:val="22"/>
        </w:rPr>
        <w:t xml:space="preserve"> </w:t>
      </w:r>
      <w:r w:rsidR="00426B3E">
        <w:rPr>
          <w:rFonts w:asciiTheme="minorHAnsi" w:eastAsiaTheme="minorHAnsi" w:hAnsiTheme="minorHAnsi" w:cstheme="minorBidi"/>
          <w:snapToGrid/>
          <w:sz w:val="24"/>
          <w:szCs w:val="22"/>
        </w:rPr>
        <w:t xml:space="preserve">This product has since been removed from the </w:t>
      </w:r>
      <w:r w:rsidR="007743A4">
        <w:rPr>
          <w:rFonts w:asciiTheme="minorHAnsi" w:eastAsiaTheme="minorHAnsi" w:hAnsiTheme="minorHAnsi" w:cstheme="minorBidi"/>
          <w:snapToGrid/>
          <w:sz w:val="24"/>
          <w:szCs w:val="22"/>
        </w:rPr>
        <w:t>Australian Register of Therapeutic Goods (</w:t>
      </w:r>
      <w:r w:rsidR="00426B3E">
        <w:rPr>
          <w:rFonts w:asciiTheme="minorHAnsi" w:eastAsiaTheme="minorHAnsi" w:hAnsiTheme="minorHAnsi" w:cstheme="minorBidi"/>
          <w:snapToGrid/>
          <w:sz w:val="24"/>
          <w:szCs w:val="22"/>
        </w:rPr>
        <w:t>ARTG</w:t>
      </w:r>
      <w:r w:rsidR="007743A4">
        <w:rPr>
          <w:rFonts w:asciiTheme="minorHAnsi" w:eastAsiaTheme="minorHAnsi" w:hAnsiTheme="minorHAnsi" w:cstheme="minorBidi"/>
          <w:snapToGrid/>
          <w:sz w:val="24"/>
          <w:szCs w:val="22"/>
        </w:rPr>
        <w:t>)</w:t>
      </w:r>
      <w:r w:rsidR="00426B3E">
        <w:rPr>
          <w:rFonts w:asciiTheme="minorHAnsi" w:eastAsiaTheme="minorHAnsi" w:hAnsiTheme="minorHAnsi" w:cstheme="minorBidi"/>
          <w:snapToGrid/>
          <w:sz w:val="24"/>
          <w:szCs w:val="22"/>
        </w:rPr>
        <w:t>.</w:t>
      </w:r>
      <w:r w:rsidR="006F3D43">
        <w:rPr>
          <w:rFonts w:asciiTheme="minorHAnsi" w:eastAsiaTheme="minorHAnsi" w:hAnsiTheme="minorHAnsi" w:cstheme="minorBidi"/>
          <w:snapToGrid/>
          <w:sz w:val="24"/>
          <w:szCs w:val="22"/>
        </w:rPr>
        <w:t xml:space="preserve"> </w:t>
      </w:r>
      <w:r w:rsidRPr="00BB2438">
        <w:rPr>
          <w:rFonts w:asciiTheme="minorHAnsi" w:eastAsiaTheme="minorHAnsi" w:hAnsiTheme="minorHAnsi" w:cstheme="minorBidi"/>
          <w:snapToGrid/>
          <w:sz w:val="24"/>
          <w:szCs w:val="22"/>
        </w:rPr>
        <w:t xml:space="preserve"> </w:t>
      </w:r>
    </w:p>
    <w:p w:rsidR="00821CB4" w:rsidRPr="00B527FD" w:rsidRDefault="00821CB4" w:rsidP="00821CB4">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B2438">
        <w:rPr>
          <w:rFonts w:asciiTheme="minorHAnsi" w:eastAsiaTheme="minorHAnsi" w:hAnsiTheme="minorHAnsi" w:cstheme="minorBidi"/>
          <w:snapToGrid/>
          <w:sz w:val="24"/>
          <w:szCs w:val="22"/>
        </w:rPr>
        <w:t xml:space="preserve">The PBAC considered </w:t>
      </w:r>
      <w:r w:rsidR="006C02DC">
        <w:rPr>
          <w:rFonts w:asciiTheme="minorHAnsi" w:eastAsiaTheme="minorHAnsi" w:hAnsiTheme="minorHAnsi" w:cstheme="minorBidi"/>
          <w:snapToGrid/>
          <w:sz w:val="24"/>
          <w:szCs w:val="22"/>
        </w:rPr>
        <w:t xml:space="preserve">in March 2010 </w:t>
      </w:r>
      <w:r w:rsidRPr="00BB2438">
        <w:rPr>
          <w:rFonts w:asciiTheme="minorHAnsi" w:eastAsiaTheme="minorHAnsi" w:hAnsiTheme="minorHAnsi" w:cstheme="minorBidi"/>
          <w:snapToGrid/>
          <w:sz w:val="24"/>
          <w:szCs w:val="22"/>
        </w:rPr>
        <w:t>that specific training f</w:t>
      </w:r>
      <w:r>
        <w:rPr>
          <w:rFonts w:asciiTheme="minorHAnsi" w:eastAsiaTheme="minorHAnsi" w:hAnsiTheme="minorHAnsi" w:cstheme="minorBidi"/>
          <w:snapToGrid/>
          <w:sz w:val="24"/>
          <w:szCs w:val="22"/>
        </w:rPr>
        <w:t>or</w:t>
      </w:r>
      <w:r w:rsidRPr="00BB2438">
        <w:rPr>
          <w:rFonts w:asciiTheme="minorHAnsi" w:eastAsiaTheme="minorHAnsi" w:hAnsiTheme="minorHAnsi" w:cstheme="minorBidi"/>
          <w:snapToGrid/>
          <w:sz w:val="24"/>
          <w:szCs w:val="22"/>
        </w:rPr>
        <w:t xml:space="preserve"> </w:t>
      </w:r>
      <w:r w:rsidR="00C21892">
        <w:rPr>
          <w:rFonts w:asciiTheme="minorHAnsi" w:eastAsiaTheme="minorHAnsi" w:hAnsiTheme="minorHAnsi" w:cstheme="minorBidi"/>
          <w:snapToGrid/>
          <w:sz w:val="24"/>
          <w:szCs w:val="22"/>
        </w:rPr>
        <w:t xml:space="preserve">the </w:t>
      </w:r>
      <w:r w:rsidRPr="00BB2438">
        <w:rPr>
          <w:rFonts w:asciiTheme="minorHAnsi" w:eastAsiaTheme="minorHAnsi" w:hAnsiTheme="minorHAnsi" w:cstheme="minorBidi"/>
          <w:snapToGrid/>
          <w:sz w:val="24"/>
          <w:szCs w:val="22"/>
        </w:rPr>
        <w:t xml:space="preserve">patient or carer </w:t>
      </w:r>
      <w:r>
        <w:rPr>
          <w:rFonts w:asciiTheme="minorHAnsi" w:eastAsiaTheme="minorHAnsi" w:hAnsiTheme="minorHAnsi" w:cstheme="minorBidi"/>
          <w:snapToGrid/>
          <w:sz w:val="24"/>
          <w:szCs w:val="22"/>
        </w:rPr>
        <w:t>was</w:t>
      </w:r>
      <w:r w:rsidRPr="00BB2438">
        <w:rPr>
          <w:rFonts w:asciiTheme="minorHAnsi" w:eastAsiaTheme="minorHAnsi" w:hAnsiTheme="minorHAnsi" w:cstheme="minorBidi"/>
          <w:snapToGrid/>
          <w:sz w:val="24"/>
          <w:szCs w:val="22"/>
        </w:rPr>
        <w:t xml:space="preserve"> required for each adrenaline device. </w:t>
      </w:r>
      <w:r w:rsidRPr="00E866E6">
        <w:rPr>
          <w:rFonts w:asciiTheme="minorHAnsi" w:eastAsiaTheme="minorHAnsi" w:hAnsiTheme="minorHAnsi" w:cstheme="minorBidi"/>
          <w:snapToGrid/>
          <w:sz w:val="24"/>
          <w:szCs w:val="22"/>
        </w:rPr>
        <w:t xml:space="preserve">This recommendation was </w:t>
      </w:r>
      <w:r>
        <w:rPr>
          <w:rFonts w:asciiTheme="minorHAnsi" w:eastAsiaTheme="minorHAnsi" w:hAnsiTheme="minorHAnsi" w:cstheme="minorBidi"/>
          <w:snapToGrid/>
          <w:sz w:val="24"/>
          <w:szCs w:val="22"/>
        </w:rPr>
        <w:t xml:space="preserve">also </w:t>
      </w:r>
      <w:r w:rsidRPr="00E866E6">
        <w:rPr>
          <w:rFonts w:asciiTheme="minorHAnsi" w:eastAsiaTheme="minorHAnsi" w:hAnsiTheme="minorHAnsi" w:cstheme="minorBidi"/>
          <w:snapToGrid/>
          <w:sz w:val="24"/>
          <w:szCs w:val="22"/>
        </w:rPr>
        <w:t>supported by Australasian Society of Clinical Immunology and Allergy (ASCIA)</w:t>
      </w:r>
      <w:r>
        <w:rPr>
          <w:rFonts w:asciiTheme="minorHAnsi" w:eastAsiaTheme="minorHAnsi" w:hAnsiTheme="minorHAnsi" w:cstheme="minorBidi"/>
          <w:snapToGrid/>
          <w:sz w:val="24"/>
          <w:szCs w:val="22"/>
        </w:rPr>
        <w:t xml:space="preserve"> at the time of consideration. Online training for the use of </w:t>
      </w:r>
      <w:proofErr w:type="spellStart"/>
      <w:r>
        <w:rPr>
          <w:rFonts w:asciiTheme="minorHAnsi" w:eastAsiaTheme="minorHAnsi" w:hAnsiTheme="minorHAnsi" w:cstheme="minorBidi"/>
          <w:snapToGrid/>
          <w:sz w:val="24"/>
          <w:szCs w:val="22"/>
        </w:rPr>
        <w:t>Anapen</w:t>
      </w:r>
      <w:proofErr w:type="spellEnd"/>
      <w:r w:rsidR="0095279C">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and anaphylaxis action plans </w:t>
      </w:r>
      <w:r>
        <w:rPr>
          <w:rFonts w:asciiTheme="minorHAnsi" w:eastAsiaTheme="minorHAnsi" w:hAnsiTheme="minorHAnsi" w:cstheme="minorBidi"/>
          <w:snapToGrid/>
          <w:sz w:val="24"/>
          <w:szCs w:val="22"/>
        </w:rPr>
        <w:lastRenderedPageBreak/>
        <w:t>(</w:t>
      </w:r>
      <w:proofErr w:type="spellStart"/>
      <w:r>
        <w:rPr>
          <w:rFonts w:asciiTheme="minorHAnsi" w:eastAsiaTheme="minorHAnsi" w:hAnsiTheme="minorHAnsi" w:cstheme="minorBidi"/>
          <w:snapToGrid/>
          <w:sz w:val="24"/>
          <w:szCs w:val="22"/>
        </w:rPr>
        <w:t>Anapen</w:t>
      </w:r>
      <w:proofErr w:type="spellEnd"/>
      <w:r>
        <w:rPr>
          <w:rFonts w:asciiTheme="minorHAnsi" w:eastAsiaTheme="minorHAnsi" w:hAnsiTheme="minorHAnsi" w:cstheme="minorBidi"/>
          <w:snapToGrid/>
          <w:sz w:val="24"/>
          <w:szCs w:val="22"/>
        </w:rPr>
        <w:t xml:space="preserve"> versions) </w:t>
      </w:r>
      <w:r w:rsidR="00F4452F">
        <w:rPr>
          <w:rFonts w:asciiTheme="minorHAnsi" w:eastAsiaTheme="minorHAnsi" w:hAnsiTheme="minorHAnsi" w:cstheme="minorBidi"/>
          <w:snapToGrid/>
          <w:sz w:val="24"/>
          <w:szCs w:val="22"/>
        </w:rPr>
        <w:t xml:space="preserve">were </w:t>
      </w:r>
      <w:r>
        <w:rPr>
          <w:rFonts w:asciiTheme="minorHAnsi" w:eastAsiaTheme="minorHAnsi" w:hAnsiTheme="minorHAnsi" w:cstheme="minorBidi"/>
          <w:snapToGrid/>
          <w:sz w:val="24"/>
          <w:szCs w:val="22"/>
        </w:rPr>
        <w:t>made available by ASCIA to</w:t>
      </w:r>
      <w:r w:rsidRPr="00E866E6">
        <w:rPr>
          <w:rFonts w:asciiTheme="minorHAnsi" w:eastAsiaTheme="minorHAnsi" w:hAnsiTheme="minorHAnsi" w:cstheme="minorBidi"/>
          <w:snapToGrid/>
          <w:sz w:val="24"/>
          <w:szCs w:val="22"/>
        </w:rPr>
        <w:t xml:space="preserve"> prevent </w:t>
      </w:r>
      <w:r>
        <w:rPr>
          <w:rFonts w:asciiTheme="minorHAnsi" w:eastAsiaTheme="minorHAnsi" w:hAnsiTheme="minorHAnsi" w:cstheme="minorBidi"/>
          <w:snapToGrid/>
          <w:sz w:val="24"/>
          <w:szCs w:val="22"/>
        </w:rPr>
        <w:t>possible patient confusion</w:t>
      </w:r>
      <w:r w:rsidRPr="00E866E6">
        <w:rPr>
          <w:rFonts w:asciiTheme="minorHAnsi" w:eastAsiaTheme="minorHAnsi" w:hAnsiTheme="minorHAnsi" w:cstheme="minorBidi"/>
          <w:snapToGrid/>
          <w:sz w:val="24"/>
          <w:szCs w:val="22"/>
        </w:rPr>
        <w:t xml:space="preserve">. </w:t>
      </w:r>
    </w:p>
    <w:p w:rsidR="00821CB4" w:rsidRDefault="00426B3E" w:rsidP="00426B3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As part of the </w:t>
      </w:r>
      <w:r w:rsidR="00821CB4">
        <w:rPr>
          <w:rFonts w:asciiTheme="minorHAnsi" w:eastAsiaTheme="minorHAnsi" w:hAnsiTheme="minorHAnsi" w:cstheme="minorBidi"/>
          <w:snapToGrid/>
          <w:sz w:val="24"/>
          <w:szCs w:val="22"/>
        </w:rPr>
        <w:t>consideration</w:t>
      </w:r>
      <w:r>
        <w:rPr>
          <w:rFonts w:asciiTheme="minorHAnsi" w:eastAsiaTheme="minorHAnsi" w:hAnsiTheme="minorHAnsi" w:cstheme="minorBidi"/>
          <w:snapToGrid/>
          <w:sz w:val="24"/>
          <w:szCs w:val="22"/>
        </w:rPr>
        <w:t xml:space="preserve"> for </w:t>
      </w:r>
      <w:proofErr w:type="spellStart"/>
      <w:r>
        <w:rPr>
          <w:rFonts w:asciiTheme="minorHAnsi" w:eastAsiaTheme="minorHAnsi" w:hAnsiTheme="minorHAnsi" w:cstheme="minorBidi"/>
          <w:snapToGrid/>
          <w:sz w:val="24"/>
          <w:szCs w:val="22"/>
        </w:rPr>
        <w:t>Anapen</w:t>
      </w:r>
      <w:proofErr w:type="spellEnd"/>
      <w:r>
        <w:rPr>
          <w:rFonts w:asciiTheme="minorHAnsi" w:eastAsiaTheme="minorHAnsi" w:hAnsiTheme="minorHAnsi" w:cstheme="minorBidi"/>
          <w:snapToGrid/>
          <w:sz w:val="24"/>
          <w:szCs w:val="22"/>
        </w:rPr>
        <w:t>®, t</w:t>
      </w:r>
      <w:r w:rsidR="00821CB4">
        <w:rPr>
          <w:rFonts w:asciiTheme="minorHAnsi" w:eastAsiaTheme="minorHAnsi" w:hAnsiTheme="minorHAnsi" w:cstheme="minorBidi"/>
          <w:snapToGrid/>
          <w:sz w:val="24"/>
          <w:szCs w:val="22"/>
        </w:rPr>
        <w:t>he PBAC recommended the following;</w:t>
      </w:r>
    </w:p>
    <w:p w:rsidR="00821CB4" w:rsidRDefault="00821CB4" w:rsidP="00821CB4">
      <w:pPr>
        <w:pStyle w:val="ListParagraph"/>
        <w:widowControl/>
        <w:numPr>
          <w:ilvl w:val="0"/>
          <w:numId w:val="20"/>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that</w:t>
      </w:r>
      <w:r w:rsidR="00426B3E" w:rsidRPr="00BB2438">
        <w:rPr>
          <w:rFonts w:asciiTheme="minorHAnsi" w:eastAsiaTheme="minorHAnsi" w:hAnsiTheme="minorHAnsi" w:cstheme="minorBidi"/>
          <w:snapToGrid/>
          <w:sz w:val="24"/>
          <w:szCs w:val="22"/>
        </w:rPr>
        <w:t xml:space="preserve"> a cautionary statement</w:t>
      </w:r>
      <w:r w:rsidR="00B85FCE">
        <w:rPr>
          <w:rFonts w:asciiTheme="minorHAnsi" w:eastAsiaTheme="minorHAnsi" w:hAnsiTheme="minorHAnsi" w:cstheme="minorBidi"/>
          <w:snapToGrid/>
          <w:sz w:val="24"/>
          <w:szCs w:val="22"/>
        </w:rPr>
        <w:t xml:space="preserve"> be added to </w:t>
      </w:r>
      <w:proofErr w:type="spellStart"/>
      <w:r w:rsidR="00B85FCE">
        <w:rPr>
          <w:rFonts w:asciiTheme="minorHAnsi" w:eastAsiaTheme="minorHAnsi" w:hAnsiTheme="minorHAnsi" w:cstheme="minorBidi"/>
          <w:snapToGrid/>
          <w:sz w:val="24"/>
          <w:szCs w:val="22"/>
        </w:rPr>
        <w:t>Anapen</w:t>
      </w:r>
      <w:proofErr w:type="spellEnd"/>
      <w:r w:rsidR="00B85FCE">
        <w:rPr>
          <w:rFonts w:asciiTheme="minorHAnsi" w:eastAsiaTheme="minorHAnsi" w:hAnsiTheme="minorHAnsi" w:cstheme="minorBidi"/>
          <w:snapToGrid/>
          <w:sz w:val="24"/>
          <w:szCs w:val="22"/>
        </w:rPr>
        <w:t xml:space="preserve"> and </w:t>
      </w:r>
      <w:proofErr w:type="spellStart"/>
      <w:r w:rsidR="00B85FCE">
        <w:rPr>
          <w:rFonts w:asciiTheme="minorHAnsi" w:eastAsiaTheme="minorHAnsi" w:hAnsiTheme="minorHAnsi" w:cstheme="minorBidi"/>
          <w:snapToGrid/>
          <w:sz w:val="24"/>
          <w:szCs w:val="22"/>
        </w:rPr>
        <w:t>EpiPen</w:t>
      </w:r>
      <w:proofErr w:type="spellEnd"/>
      <w:r w:rsidR="00426B3E" w:rsidRPr="00BB2438">
        <w:rPr>
          <w:rFonts w:asciiTheme="minorHAnsi" w:eastAsiaTheme="minorHAnsi" w:hAnsiTheme="minorHAnsi" w:cstheme="minorBidi"/>
          <w:snapToGrid/>
          <w:sz w:val="24"/>
          <w:szCs w:val="22"/>
        </w:rPr>
        <w:t xml:space="preserve"> listings stating ‘</w:t>
      </w:r>
      <w:proofErr w:type="spellStart"/>
      <w:r w:rsidR="00426B3E" w:rsidRPr="00BB2438">
        <w:rPr>
          <w:rFonts w:asciiTheme="minorHAnsi" w:eastAsiaTheme="minorHAnsi" w:hAnsiTheme="minorHAnsi" w:cstheme="minorBidi"/>
          <w:snapToGrid/>
          <w:sz w:val="24"/>
          <w:szCs w:val="22"/>
        </w:rPr>
        <w:t>EpiPen</w:t>
      </w:r>
      <w:proofErr w:type="spellEnd"/>
      <w:r w:rsidR="00426B3E" w:rsidRPr="00BB2438">
        <w:rPr>
          <w:rFonts w:asciiTheme="minorHAnsi" w:eastAsiaTheme="minorHAnsi" w:hAnsiTheme="minorHAnsi" w:cstheme="minorBidi"/>
          <w:snapToGrid/>
          <w:sz w:val="24"/>
          <w:szCs w:val="22"/>
        </w:rPr>
        <w:t xml:space="preserve"> and </w:t>
      </w:r>
      <w:proofErr w:type="spellStart"/>
      <w:r w:rsidR="00426B3E" w:rsidRPr="00BB2438">
        <w:rPr>
          <w:rFonts w:asciiTheme="minorHAnsi" w:eastAsiaTheme="minorHAnsi" w:hAnsiTheme="minorHAnsi" w:cstheme="minorBidi"/>
          <w:snapToGrid/>
          <w:sz w:val="24"/>
          <w:szCs w:val="22"/>
        </w:rPr>
        <w:t>Anapen</w:t>
      </w:r>
      <w:proofErr w:type="spellEnd"/>
      <w:r w:rsidR="00426B3E" w:rsidRPr="00BB2438">
        <w:rPr>
          <w:rFonts w:asciiTheme="minorHAnsi" w:eastAsiaTheme="minorHAnsi" w:hAnsiTheme="minorHAnsi" w:cstheme="minorBidi"/>
          <w:snapToGrid/>
          <w:sz w:val="24"/>
          <w:szCs w:val="22"/>
        </w:rPr>
        <w:t xml:space="preserve"> products have different administration techniques and should not be prescribed to the same patient without training in their use’ to aid in alerting prescribers to this issue</w:t>
      </w:r>
      <w:r>
        <w:rPr>
          <w:rFonts w:asciiTheme="minorHAnsi" w:eastAsiaTheme="minorHAnsi" w:hAnsiTheme="minorHAnsi" w:cstheme="minorBidi"/>
          <w:snapToGrid/>
          <w:sz w:val="24"/>
          <w:szCs w:val="22"/>
        </w:rPr>
        <w:t>;</w:t>
      </w:r>
    </w:p>
    <w:p w:rsidR="00821CB4" w:rsidRDefault="00821CB4" w:rsidP="00821CB4">
      <w:pPr>
        <w:pStyle w:val="ListParagraph"/>
        <w:widowControl/>
        <w:numPr>
          <w:ilvl w:val="0"/>
          <w:numId w:val="20"/>
        </w:numPr>
        <w:spacing w:after="120"/>
        <w:contextualSpacing w:val="0"/>
        <w:rPr>
          <w:rFonts w:asciiTheme="minorHAnsi" w:eastAsiaTheme="minorHAnsi" w:hAnsiTheme="minorHAnsi" w:cstheme="minorBidi"/>
          <w:snapToGrid/>
          <w:sz w:val="24"/>
          <w:szCs w:val="22"/>
        </w:rPr>
      </w:pPr>
      <w:proofErr w:type="gramStart"/>
      <w:r w:rsidRPr="00821CB4">
        <w:rPr>
          <w:rFonts w:asciiTheme="minorHAnsi" w:eastAsiaTheme="minorHAnsi" w:hAnsiTheme="minorHAnsi" w:cstheme="minorBidi"/>
          <w:snapToGrid/>
          <w:sz w:val="24"/>
          <w:szCs w:val="22"/>
        </w:rPr>
        <w:t>the</w:t>
      </w:r>
      <w:proofErr w:type="gramEnd"/>
      <w:r w:rsidRPr="00821CB4">
        <w:rPr>
          <w:rFonts w:asciiTheme="minorHAnsi" w:eastAsiaTheme="minorHAnsi" w:hAnsiTheme="minorHAnsi" w:cstheme="minorBidi"/>
          <w:snapToGrid/>
          <w:sz w:val="24"/>
          <w:szCs w:val="22"/>
        </w:rPr>
        <w:t xml:space="preserve"> text ‘sole PBS-subsidised supply for anticipated emergency treatment’ be included in the restrictions for </w:t>
      </w:r>
      <w:proofErr w:type="spellStart"/>
      <w:r w:rsidRPr="00821CB4">
        <w:rPr>
          <w:rFonts w:asciiTheme="minorHAnsi" w:eastAsiaTheme="minorHAnsi" w:hAnsiTheme="minorHAnsi" w:cstheme="minorBidi"/>
          <w:snapToGrid/>
          <w:sz w:val="24"/>
          <w:szCs w:val="22"/>
        </w:rPr>
        <w:t>Anapen</w:t>
      </w:r>
      <w:proofErr w:type="spellEnd"/>
      <w:r w:rsidRPr="00821CB4">
        <w:rPr>
          <w:rFonts w:asciiTheme="minorHAnsi" w:eastAsiaTheme="minorHAnsi" w:hAnsiTheme="minorHAnsi" w:cstheme="minorBidi"/>
          <w:snapToGrid/>
          <w:sz w:val="24"/>
          <w:szCs w:val="22"/>
        </w:rPr>
        <w:t xml:space="preserve"> and </w:t>
      </w:r>
      <w:proofErr w:type="spellStart"/>
      <w:r w:rsidRPr="00821CB4">
        <w:rPr>
          <w:rFonts w:asciiTheme="minorHAnsi" w:eastAsiaTheme="minorHAnsi" w:hAnsiTheme="minorHAnsi" w:cstheme="minorBidi"/>
          <w:snapToGrid/>
          <w:sz w:val="24"/>
          <w:szCs w:val="22"/>
        </w:rPr>
        <w:t>EpiPen</w:t>
      </w:r>
      <w:proofErr w:type="spellEnd"/>
      <w:r w:rsidRPr="00821CB4">
        <w:rPr>
          <w:rFonts w:asciiTheme="minorHAnsi" w:eastAsiaTheme="minorHAnsi" w:hAnsiTheme="minorHAnsi" w:cstheme="minorBidi"/>
          <w:snapToGrid/>
          <w:sz w:val="24"/>
          <w:szCs w:val="22"/>
        </w:rPr>
        <w:t xml:space="preserve"> to limit prescribing under the PBS to one brand of adrenaline auto-injector per patient.  This will help to prevent patients receiving prescriptions for both </w:t>
      </w:r>
      <w:proofErr w:type="spellStart"/>
      <w:r w:rsidRPr="00821CB4">
        <w:rPr>
          <w:rFonts w:asciiTheme="minorHAnsi" w:eastAsiaTheme="minorHAnsi" w:hAnsiTheme="minorHAnsi" w:cstheme="minorBidi"/>
          <w:snapToGrid/>
          <w:sz w:val="24"/>
          <w:szCs w:val="22"/>
        </w:rPr>
        <w:t>Anapen</w:t>
      </w:r>
      <w:proofErr w:type="spellEnd"/>
      <w:r w:rsidRPr="00821CB4">
        <w:rPr>
          <w:rFonts w:asciiTheme="minorHAnsi" w:eastAsiaTheme="minorHAnsi" w:hAnsiTheme="minorHAnsi" w:cstheme="minorBidi"/>
          <w:snapToGrid/>
          <w:sz w:val="24"/>
          <w:szCs w:val="22"/>
        </w:rPr>
        <w:t xml:space="preserve"> and </w:t>
      </w:r>
      <w:proofErr w:type="spellStart"/>
      <w:r w:rsidRPr="00821CB4">
        <w:rPr>
          <w:rFonts w:asciiTheme="minorHAnsi" w:eastAsiaTheme="minorHAnsi" w:hAnsiTheme="minorHAnsi" w:cstheme="minorBidi"/>
          <w:snapToGrid/>
          <w:sz w:val="24"/>
          <w:szCs w:val="22"/>
        </w:rPr>
        <w:t>EpiPen</w:t>
      </w:r>
      <w:proofErr w:type="spellEnd"/>
      <w:r w:rsidRPr="00821CB4">
        <w:rPr>
          <w:rFonts w:asciiTheme="minorHAnsi" w:eastAsiaTheme="minorHAnsi" w:hAnsiTheme="minorHAnsi" w:cstheme="minorBidi"/>
          <w:snapToGrid/>
          <w:sz w:val="24"/>
          <w:szCs w:val="22"/>
        </w:rPr>
        <w:t xml:space="preserve"> and avoid</w:t>
      </w:r>
      <w:r>
        <w:rPr>
          <w:rFonts w:asciiTheme="minorHAnsi" w:eastAsiaTheme="minorHAnsi" w:hAnsiTheme="minorHAnsi" w:cstheme="minorBidi"/>
          <w:snapToGrid/>
          <w:sz w:val="24"/>
          <w:szCs w:val="22"/>
        </w:rPr>
        <w:t xml:space="preserve"> the associated brand confusion; and </w:t>
      </w:r>
    </w:p>
    <w:p w:rsidR="00426B3E" w:rsidRDefault="00426B3E" w:rsidP="00821CB4">
      <w:pPr>
        <w:pStyle w:val="ListParagraph"/>
        <w:widowControl/>
        <w:numPr>
          <w:ilvl w:val="0"/>
          <w:numId w:val="20"/>
        </w:numPr>
        <w:spacing w:after="120"/>
        <w:contextualSpacing w:val="0"/>
        <w:rPr>
          <w:rFonts w:asciiTheme="minorHAnsi" w:eastAsiaTheme="minorHAnsi" w:hAnsiTheme="minorHAnsi" w:cstheme="minorBidi"/>
          <w:snapToGrid/>
          <w:sz w:val="24"/>
          <w:szCs w:val="22"/>
        </w:rPr>
      </w:pPr>
      <w:proofErr w:type="gramStart"/>
      <w:r w:rsidRPr="00214F6E">
        <w:rPr>
          <w:rFonts w:asciiTheme="minorHAnsi" w:eastAsiaTheme="minorHAnsi" w:hAnsiTheme="minorHAnsi" w:cstheme="minorBidi"/>
          <w:snapToGrid/>
          <w:sz w:val="24"/>
          <w:szCs w:val="22"/>
        </w:rPr>
        <w:t>requested</w:t>
      </w:r>
      <w:proofErr w:type="gramEnd"/>
      <w:r w:rsidRPr="00214F6E">
        <w:rPr>
          <w:rFonts w:asciiTheme="minorHAnsi" w:eastAsiaTheme="minorHAnsi" w:hAnsiTheme="minorHAnsi" w:cstheme="minorBidi"/>
          <w:snapToGrid/>
          <w:sz w:val="24"/>
          <w:szCs w:val="22"/>
        </w:rPr>
        <w:t xml:space="preserve"> the National Prescribing Service to educate prescribers on the differences between </w:t>
      </w:r>
      <w:proofErr w:type="spellStart"/>
      <w:r w:rsidRPr="00214F6E">
        <w:rPr>
          <w:rFonts w:asciiTheme="minorHAnsi" w:eastAsiaTheme="minorHAnsi" w:hAnsiTheme="minorHAnsi" w:cstheme="minorBidi"/>
          <w:snapToGrid/>
          <w:sz w:val="24"/>
          <w:szCs w:val="22"/>
        </w:rPr>
        <w:t>Anapen</w:t>
      </w:r>
      <w:proofErr w:type="spellEnd"/>
      <w:r w:rsidRPr="00214F6E">
        <w:rPr>
          <w:rFonts w:asciiTheme="minorHAnsi" w:eastAsiaTheme="minorHAnsi" w:hAnsiTheme="minorHAnsi" w:cstheme="minorBidi"/>
          <w:snapToGrid/>
          <w:sz w:val="24"/>
          <w:szCs w:val="22"/>
        </w:rPr>
        <w:t xml:space="preserve"> and </w:t>
      </w:r>
      <w:proofErr w:type="spellStart"/>
      <w:r w:rsidRPr="00214F6E">
        <w:rPr>
          <w:rFonts w:asciiTheme="minorHAnsi" w:eastAsiaTheme="minorHAnsi" w:hAnsiTheme="minorHAnsi" w:cstheme="minorBidi"/>
          <w:snapToGrid/>
          <w:sz w:val="24"/>
          <w:szCs w:val="22"/>
        </w:rPr>
        <w:t>EpiPen</w:t>
      </w:r>
      <w:proofErr w:type="spellEnd"/>
      <w:r w:rsidRPr="00214F6E">
        <w:rPr>
          <w:rFonts w:asciiTheme="minorHAnsi" w:eastAsiaTheme="minorHAnsi" w:hAnsiTheme="minorHAnsi" w:cstheme="minorBidi"/>
          <w:snapToGrid/>
          <w:sz w:val="24"/>
          <w:szCs w:val="22"/>
        </w:rPr>
        <w:t>.</w:t>
      </w:r>
    </w:p>
    <w:p w:rsidR="006A1B6B" w:rsidRPr="00F72A77" w:rsidRDefault="00643E92" w:rsidP="00F72A77">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623003">
        <w:rPr>
          <w:rFonts w:asciiTheme="minorHAnsi" w:eastAsiaTheme="minorHAnsi" w:hAnsiTheme="minorHAnsi" w:cstheme="minorBidi"/>
          <w:snapToGrid/>
          <w:sz w:val="24"/>
          <w:szCs w:val="22"/>
        </w:rPr>
        <w:t xml:space="preserve">In July 2016, the PBAC recommended the listing of </w:t>
      </w:r>
      <w:r w:rsidR="00995ECC" w:rsidRPr="00623003">
        <w:rPr>
          <w:rFonts w:asciiTheme="minorHAnsi" w:eastAsiaTheme="minorHAnsi" w:hAnsiTheme="minorHAnsi" w:cstheme="minorBidi"/>
          <w:snapToGrid/>
          <w:sz w:val="24"/>
          <w:szCs w:val="22"/>
        </w:rPr>
        <w:t xml:space="preserve">the adrenaline </w:t>
      </w:r>
      <w:proofErr w:type="spellStart"/>
      <w:r w:rsidR="00995ECC" w:rsidRPr="00623003">
        <w:rPr>
          <w:rFonts w:asciiTheme="minorHAnsi" w:eastAsiaTheme="minorHAnsi" w:hAnsiTheme="minorHAnsi" w:cstheme="minorBidi"/>
          <w:snapToGrid/>
          <w:sz w:val="24"/>
          <w:szCs w:val="22"/>
        </w:rPr>
        <w:t>autoinjector</w:t>
      </w:r>
      <w:proofErr w:type="spellEnd"/>
      <w:r w:rsidR="00085930" w:rsidRPr="00623003">
        <w:rPr>
          <w:rFonts w:asciiTheme="minorHAnsi" w:eastAsiaTheme="minorHAnsi" w:hAnsiTheme="minorHAnsi" w:cstheme="minorBidi"/>
          <w:snapToGrid/>
          <w:sz w:val="24"/>
          <w:szCs w:val="22"/>
        </w:rPr>
        <w:t>,</w:t>
      </w:r>
      <w:r w:rsidR="00995ECC" w:rsidRPr="00623003">
        <w:rPr>
          <w:rFonts w:asciiTheme="minorHAnsi" w:eastAsiaTheme="minorHAnsi" w:hAnsiTheme="minorHAnsi" w:cstheme="minorBidi"/>
          <w:snapToGrid/>
          <w:sz w:val="24"/>
          <w:szCs w:val="22"/>
        </w:rPr>
        <w:t xml:space="preserve"> </w:t>
      </w:r>
      <w:proofErr w:type="spellStart"/>
      <w:r w:rsidR="00A0002B" w:rsidRPr="00623003">
        <w:rPr>
          <w:rFonts w:asciiTheme="minorHAnsi" w:eastAsiaTheme="minorHAnsi" w:hAnsiTheme="minorHAnsi" w:cstheme="minorBidi"/>
          <w:snapToGrid/>
          <w:sz w:val="24"/>
          <w:szCs w:val="22"/>
        </w:rPr>
        <w:t>AdrenaJect</w:t>
      </w:r>
      <w:proofErr w:type="spellEnd"/>
      <w:r w:rsidR="00085930" w:rsidRPr="00623003">
        <w:rPr>
          <w:rFonts w:asciiTheme="minorHAnsi" w:eastAsiaTheme="minorHAnsi" w:hAnsiTheme="minorHAnsi" w:cstheme="minorBidi"/>
          <w:snapToGrid/>
          <w:sz w:val="24"/>
          <w:szCs w:val="22"/>
        </w:rPr>
        <w:t>®</w:t>
      </w:r>
      <w:r w:rsidR="00A0002B" w:rsidRPr="00623003">
        <w:rPr>
          <w:rFonts w:asciiTheme="minorHAnsi" w:eastAsiaTheme="minorHAnsi" w:hAnsiTheme="minorHAnsi" w:cstheme="minorBidi"/>
          <w:snapToGrid/>
          <w:sz w:val="24"/>
          <w:szCs w:val="22"/>
        </w:rPr>
        <w:t xml:space="preserve">, previously known as </w:t>
      </w:r>
      <w:r w:rsidR="00995ECC" w:rsidRPr="00623003">
        <w:rPr>
          <w:rFonts w:asciiTheme="minorHAnsi" w:eastAsiaTheme="minorHAnsi" w:hAnsiTheme="minorHAnsi" w:cstheme="minorBidi"/>
          <w:snapToGrid/>
          <w:sz w:val="24"/>
          <w:szCs w:val="22"/>
        </w:rPr>
        <w:t>Adrenaline Auto Inject Sun-JV</w:t>
      </w:r>
      <w:r w:rsidR="00085930" w:rsidRPr="00623003">
        <w:rPr>
          <w:rFonts w:asciiTheme="minorHAnsi" w:eastAsiaTheme="minorHAnsi" w:hAnsiTheme="minorHAnsi" w:cstheme="minorBidi"/>
          <w:snapToGrid/>
          <w:sz w:val="24"/>
          <w:szCs w:val="22"/>
        </w:rPr>
        <w:t>,</w:t>
      </w:r>
      <w:r w:rsidR="00995ECC" w:rsidRPr="00623003">
        <w:rPr>
          <w:rFonts w:asciiTheme="minorHAnsi" w:eastAsiaTheme="minorHAnsi" w:hAnsiTheme="minorHAnsi" w:cstheme="minorBidi"/>
          <w:snapToGrid/>
          <w:sz w:val="24"/>
          <w:szCs w:val="22"/>
        </w:rPr>
        <w:t xml:space="preserve"> under the same conditions as existing adrenaline </w:t>
      </w:r>
      <w:proofErr w:type="spellStart"/>
      <w:r w:rsidR="00995ECC" w:rsidRPr="00623003">
        <w:rPr>
          <w:rFonts w:asciiTheme="minorHAnsi" w:eastAsiaTheme="minorHAnsi" w:hAnsiTheme="minorHAnsi" w:cstheme="minorBidi"/>
          <w:snapToGrid/>
          <w:sz w:val="24"/>
          <w:szCs w:val="22"/>
        </w:rPr>
        <w:t>autoinjectors</w:t>
      </w:r>
      <w:proofErr w:type="spellEnd"/>
      <w:r w:rsidR="00995ECC" w:rsidRPr="00623003">
        <w:rPr>
          <w:rFonts w:asciiTheme="minorHAnsi" w:eastAsiaTheme="minorHAnsi" w:hAnsiTheme="minorHAnsi" w:cstheme="minorBidi"/>
          <w:snapToGrid/>
          <w:sz w:val="24"/>
          <w:szCs w:val="22"/>
        </w:rPr>
        <w:t xml:space="preserve"> (</w:t>
      </w:r>
      <w:proofErr w:type="spellStart"/>
      <w:r w:rsidR="00995ECC" w:rsidRPr="00623003">
        <w:rPr>
          <w:rFonts w:asciiTheme="minorHAnsi" w:eastAsiaTheme="minorHAnsi" w:hAnsiTheme="minorHAnsi" w:cstheme="minorBidi"/>
          <w:snapToGrid/>
          <w:sz w:val="24"/>
          <w:szCs w:val="22"/>
        </w:rPr>
        <w:t>EpiPen</w:t>
      </w:r>
      <w:proofErr w:type="spellEnd"/>
      <w:r w:rsidR="0095279C" w:rsidRPr="00623003">
        <w:rPr>
          <w:rFonts w:asciiTheme="minorHAnsi" w:eastAsiaTheme="minorHAnsi" w:hAnsiTheme="minorHAnsi" w:cstheme="minorBidi"/>
          <w:snapToGrid/>
          <w:sz w:val="24"/>
          <w:szCs w:val="22"/>
        </w:rPr>
        <w:t>®</w:t>
      </w:r>
      <w:r w:rsidR="00995ECC" w:rsidRPr="00623003">
        <w:rPr>
          <w:rFonts w:asciiTheme="minorHAnsi" w:eastAsiaTheme="minorHAnsi" w:hAnsiTheme="minorHAnsi" w:cstheme="minorBidi"/>
          <w:snapToGrid/>
          <w:sz w:val="24"/>
          <w:szCs w:val="22"/>
        </w:rPr>
        <w:t xml:space="preserve">, </w:t>
      </w:r>
      <w:proofErr w:type="spellStart"/>
      <w:r w:rsidR="00995ECC" w:rsidRPr="00623003">
        <w:rPr>
          <w:rFonts w:asciiTheme="minorHAnsi" w:eastAsiaTheme="minorHAnsi" w:hAnsiTheme="minorHAnsi" w:cstheme="minorBidi"/>
          <w:snapToGrid/>
          <w:sz w:val="24"/>
          <w:szCs w:val="22"/>
        </w:rPr>
        <w:t>EpiPen</w:t>
      </w:r>
      <w:proofErr w:type="spellEnd"/>
      <w:r w:rsidR="00995ECC" w:rsidRPr="00623003">
        <w:rPr>
          <w:rFonts w:asciiTheme="minorHAnsi" w:eastAsiaTheme="minorHAnsi" w:hAnsiTheme="minorHAnsi" w:cstheme="minorBidi"/>
          <w:snapToGrid/>
          <w:sz w:val="24"/>
          <w:szCs w:val="22"/>
        </w:rPr>
        <w:t xml:space="preserve"> Junior</w:t>
      </w:r>
      <w:r w:rsidR="0095279C" w:rsidRPr="00623003">
        <w:rPr>
          <w:rFonts w:asciiTheme="minorHAnsi" w:eastAsiaTheme="minorHAnsi" w:hAnsiTheme="minorHAnsi" w:cstheme="minorBidi"/>
          <w:snapToGrid/>
          <w:sz w:val="24"/>
          <w:szCs w:val="22"/>
        </w:rPr>
        <w:t>®</w:t>
      </w:r>
      <w:r w:rsidR="00995ECC" w:rsidRPr="00623003">
        <w:rPr>
          <w:rFonts w:asciiTheme="minorHAnsi" w:eastAsiaTheme="minorHAnsi" w:hAnsiTheme="minorHAnsi" w:cstheme="minorBidi"/>
          <w:snapToGrid/>
          <w:sz w:val="24"/>
          <w:szCs w:val="22"/>
        </w:rPr>
        <w:t xml:space="preserve"> and </w:t>
      </w:r>
      <w:proofErr w:type="spellStart"/>
      <w:r w:rsidR="00995ECC" w:rsidRPr="00623003">
        <w:rPr>
          <w:rFonts w:asciiTheme="minorHAnsi" w:eastAsiaTheme="minorHAnsi" w:hAnsiTheme="minorHAnsi" w:cstheme="minorBidi"/>
          <w:snapToGrid/>
          <w:sz w:val="24"/>
          <w:szCs w:val="22"/>
        </w:rPr>
        <w:t>Anapen</w:t>
      </w:r>
      <w:proofErr w:type="spellEnd"/>
      <w:r w:rsidR="0095279C" w:rsidRPr="00623003">
        <w:rPr>
          <w:rFonts w:asciiTheme="minorHAnsi" w:eastAsiaTheme="minorHAnsi" w:hAnsiTheme="minorHAnsi" w:cstheme="minorBidi"/>
          <w:snapToGrid/>
          <w:sz w:val="24"/>
          <w:szCs w:val="22"/>
        </w:rPr>
        <w:t>®</w:t>
      </w:r>
      <w:r w:rsidR="00995ECC" w:rsidRPr="00623003">
        <w:rPr>
          <w:rFonts w:asciiTheme="minorHAnsi" w:eastAsiaTheme="minorHAnsi" w:hAnsiTheme="minorHAnsi" w:cstheme="minorBidi"/>
          <w:snapToGrid/>
          <w:sz w:val="24"/>
          <w:szCs w:val="22"/>
        </w:rPr>
        <w:t xml:space="preserve">) on the basis that it is bioequivalent to </w:t>
      </w:r>
      <w:proofErr w:type="spellStart"/>
      <w:r w:rsidR="00995ECC" w:rsidRPr="00623003">
        <w:rPr>
          <w:rFonts w:asciiTheme="minorHAnsi" w:eastAsiaTheme="minorHAnsi" w:hAnsiTheme="minorHAnsi" w:cstheme="minorBidi"/>
          <w:snapToGrid/>
          <w:sz w:val="24"/>
          <w:szCs w:val="22"/>
        </w:rPr>
        <w:t>EpiPen</w:t>
      </w:r>
      <w:proofErr w:type="spellEnd"/>
      <w:r w:rsidR="0095279C" w:rsidRPr="00623003">
        <w:rPr>
          <w:rFonts w:asciiTheme="minorHAnsi" w:eastAsiaTheme="minorHAnsi" w:hAnsiTheme="minorHAnsi" w:cstheme="minorBidi"/>
          <w:snapToGrid/>
          <w:sz w:val="24"/>
          <w:szCs w:val="22"/>
        </w:rPr>
        <w:t>®</w:t>
      </w:r>
      <w:r w:rsidR="00995ECC" w:rsidRPr="00623003">
        <w:rPr>
          <w:rFonts w:asciiTheme="minorHAnsi" w:eastAsiaTheme="minorHAnsi" w:hAnsiTheme="minorHAnsi" w:cstheme="minorBidi"/>
          <w:snapToGrid/>
          <w:sz w:val="24"/>
          <w:szCs w:val="22"/>
        </w:rPr>
        <w:t xml:space="preserve">. </w:t>
      </w:r>
      <w:r w:rsidR="009951A1">
        <w:rPr>
          <w:rFonts w:asciiTheme="minorHAnsi" w:eastAsiaTheme="minorHAnsi" w:hAnsiTheme="minorHAnsi" w:cstheme="minorBidi"/>
          <w:snapToGrid/>
          <w:sz w:val="24"/>
          <w:szCs w:val="22"/>
        </w:rPr>
        <w:t xml:space="preserve">Based on previous concerns with adrenaline </w:t>
      </w:r>
      <w:proofErr w:type="spellStart"/>
      <w:r w:rsidR="009951A1">
        <w:rPr>
          <w:rFonts w:asciiTheme="minorHAnsi" w:eastAsiaTheme="minorHAnsi" w:hAnsiTheme="minorHAnsi" w:cstheme="minorBidi"/>
          <w:snapToGrid/>
          <w:sz w:val="24"/>
          <w:szCs w:val="22"/>
        </w:rPr>
        <w:t>autoinjectors</w:t>
      </w:r>
      <w:proofErr w:type="spellEnd"/>
      <w:r w:rsidR="009951A1">
        <w:rPr>
          <w:rFonts w:asciiTheme="minorHAnsi" w:eastAsiaTheme="minorHAnsi" w:hAnsiTheme="minorHAnsi" w:cstheme="minorBidi"/>
          <w:snapToGrid/>
          <w:sz w:val="24"/>
          <w:szCs w:val="22"/>
        </w:rPr>
        <w:t xml:space="preserve"> with differing administration techniques, the</w:t>
      </w:r>
      <w:r w:rsidR="00F72A77">
        <w:rPr>
          <w:rFonts w:asciiTheme="minorHAnsi" w:eastAsiaTheme="minorHAnsi" w:hAnsiTheme="minorHAnsi" w:cstheme="minorBidi"/>
          <w:snapToGrid/>
          <w:sz w:val="24"/>
          <w:szCs w:val="22"/>
        </w:rPr>
        <w:t xml:space="preserve"> </w:t>
      </w:r>
      <w:r w:rsidR="006A1B6B" w:rsidRPr="00F72A77">
        <w:rPr>
          <w:rFonts w:asciiTheme="minorHAnsi" w:eastAsiaTheme="minorHAnsi" w:hAnsiTheme="minorHAnsi" w:cstheme="minorBidi"/>
          <w:snapToGrid/>
          <w:sz w:val="24"/>
          <w:szCs w:val="22"/>
        </w:rPr>
        <w:t>PBAC considered that the various brands of adrenaline auto injector should not be considered equivalent for the purposes of substitution ( ‘a’ flagged</w:t>
      </w:r>
      <w:r w:rsidR="00F72A77">
        <w:rPr>
          <w:rFonts w:asciiTheme="minorHAnsi" w:eastAsiaTheme="minorHAnsi" w:hAnsiTheme="minorHAnsi" w:cstheme="minorBidi"/>
          <w:snapToGrid/>
          <w:sz w:val="24"/>
          <w:szCs w:val="22"/>
        </w:rPr>
        <w:t>)</w:t>
      </w:r>
      <w:r w:rsidR="006A1B6B" w:rsidRPr="00F72A77">
        <w:rPr>
          <w:rFonts w:asciiTheme="minorHAnsi" w:eastAsiaTheme="minorHAnsi" w:hAnsiTheme="minorHAnsi" w:cstheme="minorBidi"/>
          <w:snapToGrid/>
          <w:sz w:val="24"/>
          <w:szCs w:val="22"/>
        </w:rPr>
        <w:t xml:space="preserve"> in the Schedule. </w:t>
      </w:r>
    </w:p>
    <w:p w:rsidR="00A87565" w:rsidRPr="00A87565" w:rsidRDefault="00A87565" w:rsidP="005B0F25">
      <w:pPr>
        <w:pStyle w:val="PBACHeading1"/>
        <w:numPr>
          <w:ilvl w:val="0"/>
          <w:numId w:val="0"/>
        </w:numPr>
        <w:ind w:firstLine="709"/>
        <w:outlineLvl w:val="9"/>
        <w:rPr>
          <w:rFonts w:asciiTheme="minorHAnsi" w:hAnsiTheme="minorHAnsi"/>
          <w:b w:val="0"/>
          <w:i/>
        </w:rPr>
      </w:pPr>
      <w:r w:rsidRPr="00A87565">
        <w:rPr>
          <w:rFonts w:asciiTheme="minorHAnsi" w:hAnsiTheme="minorHAnsi"/>
          <w:b w:val="0"/>
          <w:i/>
        </w:rPr>
        <w:t xml:space="preserve">For more detail on PBAC’s view, see section </w:t>
      </w:r>
      <w:r w:rsidR="00A23142">
        <w:rPr>
          <w:rFonts w:asciiTheme="minorHAnsi" w:hAnsiTheme="minorHAnsi"/>
          <w:b w:val="0"/>
          <w:i/>
        </w:rPr>
        <w:t>5</w:t>
      </w:r>
      <w:r w:rsidR="00A23142" w:rsidRPr="00A87565">
        <w:rPr>
          <w:rFonts w:asciiTheme="minorHAnsi" w:hAnsiTheme="minorHAnsi"/>
          <w:b w:val="0"/>
          <w:i/>
        </w:rPr>
        <w:t xml:space="preserve"> </w:t>
      </w:r>
      <w:r w:rsidRPr="00A87565">
        <w:rPr>
          <w:rFonts w:asciiTheme="minorHAnsi" w:hAnsiTheme="minorHAnsi"/>
          <w:b w:val="0"/>
          <w:i/>
        </w:rPr>
        <w:t>PBAC outcome.</w:t>
      </w:r>
    </w:p>
    <w:p w:rsidR="00093FCF" w:rsidRPr="00577C4D" w:rsidRDefault="00093FCF" w:rsidP="00093FCF">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167A7C" w:rsidRDefault="00167A7C" w:rsidP="00167A7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resubmission requested the PBAC to reconsider its previous recommendation on brand equivalence</w:t>
      </w:r>
      <w:r w:rsidR="00F72A77">
        <w:rPr>
          <w:rFonts w:asciiTheme="minorHAnsi" w:eastAsiaTheme="minorHAnsi" w:hAnsiTheme="minorHAnsi" w:cstheme="minorBidi"/>
          <w:snapToGrid/>
          <w:sz w:val="24"/>
          <w:szCs w:val="22"/>
        </w:rPr>
        <w:t xml:space="preserve"> (‘a’ flagging)</w:t>
      </w:r>
      <w:r>
        <w:rPr>
          <w:rFonts w:asciiTheme="minorHAnsi" w:eastAsiaTheme="minorHAnsi" w:hAnsiTheme="minorHAnsi" w:cstheme="minorBidi"/>
          <w:snapToGrid/>
          <w:sz w:val="24"/>
          <w:szCs w:val="22"/>
        </w:rPr>
        <w:t xml:space="preserve"> between </w:t>
      </w:r>
      <w:proofErr w:type="spellStart"/>
      <w:r>
        <w:rPr>
          <w:rFonts w:asciiTheme="minorHAnsi" w:eastAsiaTheme="minorHAnsi" w:hAnsiTheme="minorHAnsi" w:cstheme="minorBidi"/>
          <w:snapToGrid/>
          <w:sz w:val="24"/>
          <w:szCs w:val="22"/>
        </w:rPr>
        <w:t>AdrenaJect</w:t>
      </w:r>
      <w:proofErr w:type="spellEnd"/>
      <w:r>
        <w:rPr>
          <w:rFonts w:asciiTheme="minorHAnsi" w:eastAsiaTheme="minorHAnsi" w:hAnsiTheme="minorHAnsi" w:cstheme="minorBidi"/>
          <w:snapToGrid/>
          <w:sz w:val="24"/>
          <w:szCs w:val="22"/>
        </w:rPr>
        <w:t xml:space="preserve">® and </w:t>
      </w:r>
      <w:proofErr w:type="spellStart"/>
      <w:r>
        <w:rPr>
          <w:rFonts w:asciiTheme="minorHAnsi" w:eastAsiaTheme="minorHAnsi" w:hAnsiTheme="minorHAnsi" w:cstheme="minorBidi"/>
          <w:snapToGrid/>
          <w:sz w:val="24"/>
          <w:szCs w:val="22"/>
        </w:rPr>
        <w:t>EpiPen</w:t>
      </w:r>
      <w:proofErr w:type="spellEnd"/>
      <w:r>
        <w:rPr>
          <w:rFonts w:asciiTheme="minorHAnsi" w:eastAsiaTheme="minorHAnsi" w:hAnsiTheme="minorHAnsi" w:cstheme="minorBidi"/>
          <w:snapToGrid/>
          <w:sz w:val="24"/>
          <w:szCs w:val="22"/>
        </w:rPr>
        <w:t xml:space="preserve">® from the July </w:t>
      </w:r>
      <w:r w:rsidR="00BF546F">
        <w:rPr>
          <w:rFonts w:asciiTheme="minorHAnsi" w:eastAsiaTheme="minorHAnsi" w:hAnsiTheme="minorHAnsi" w:cstheme="minorBidi"/>
          <w:snapToGrid/>
          <w:sz w:val="24"/>
          <w:szCs w:val="22"/>
        </w:rPr>
        <w:t xml:space="preserve">2016 </w:t>
      </w:r>
      <w:r>
        <w:rPr>
          <w:rFonts w:asciiTheme="minorHAnsi" w:eastAsiaTheme="minorHAnsi" w:hAnsiTheme="minorHAnsi" w:cstheme="minorBidi"/>
          <w:snapToGrid/>
          <w:sz w:val="24"/>
          <w:szCs w:val="22"/>
        </w:rPr>
        <w:t>PBAC meeting.</w:t>
      </w:r>
    </w:p>
    <w:p w:rsidR="00093FCF" w:rsidRPr="00F72317" w:rsidRDefault="00093FCF" w:rsidP="00093FC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No change to the wording of the existing listing was proposed. </w:t>
      </w:r>
    </w:p>
    <w:p w:rsidR="005E7C00" w:rsidRDefault="005E7C00" w:rsidP="005E7C00">
      <w:pPr>
        <w:ind w:firstLine="720"/>
        <w:jc w:val="both"/>
        <w:rPr>
          <w:rFonts w:asciiTheme="minorHAnsi" w:hAnsiTheme="minorHAnsi"/>
          <w:i/>
        </w:rPr>
      </w:pPr>
      <w:r w:rsidRPr="00A87565">
        <w:rPr>
          <w:rFonts w:asciiTheme="minorHAnsi" w:hAnsiTheme="minorHAnsi"/>
          <w:i/>
        </w:rPr>
        <w:t xml:space="preserve">For more detail on PBAC’s view, see section </w:t>
      </w:r>
      <w:r>
        <w:rPr>
          <w:rFonts w:asciiTheme="minorHAnsi" w:hAnsiTheme="minorHAnsi"/>
          <w:i/>
        </w:rPr>
        <w:t>5</w:t>
      </w:r>
      <w:r w:rsidRPr="00A87565">
        <w:rPr>
          <w:rFonts w:asciiTheme="minorHAnsi" w:hAnsiTheme="minorHAnsi"/>
          <w:i/>
        </w:rPr>
        <w:t xml:space="preserve"> PBAC outcome.</w:t>
      </w:r>
    </w:p>
    <w:p w:rsidR="000B558D"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2E1ABB" w:rsidRPr="00544220" w:rsidRDefault="002E1ABB" w:rsidP="002E1AB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ajorEastAsia" w:hAnsiTheme="minorHAnsi" w:cstheme="majorBidi"/>
          <w:sz w:val="24"/>
          <w:szCs w:val="28"/>
        </w:rPr>
        <w:t xml:space="preserve">The PBAC noted that the submission </w:t>
      </w:r>
      <w:r w:rsidRPr="007E3D36">
        <w:rPr>
          <w:rFonts w:asciiTheme="minorHAnsi" w:eastAsiaTheme="majorEastAsia" w:hAnsiTheme="minorHAnsi" w:cstheme="majorBidi"/>
          <w:sz w:val="24"/>
          <w:szCs w:val="28"/>
        </w:rPr>
        <w:t xml:space="preserve">provided </w:t>
      </w:r>
      <w:r>
        <w:rPr>
          <w:rFonts w:asciiTheme="minorHAnsi" w:eastAsiaTheme="majorEastAsia" w:hAnsiTheme="minorHAnsi" w:cstheme="majorBidi"/>
          <w:sz w:val="24"/>
          <w:szCs w:val="28"/>
        </w:rPr>
        <w:t xml:space="preserve">data from a </w:t>
      </w:r>
      <w:r w:rsidRPr="007E3D36">
        <w:rPr>
          <w:rFonts w:asciiTheme="minorHAnsi" w:eastAsiaTheme="majorEastAsia" w:hAnsiTheme="minorHAnsi" w:cstheme="majorBidi"/>
          <w:sz w:val="24"/>
          <w:szCs w:val="28"/>
        </w:rPr>
        <w:t xml:space="preserve">study </w:t>
      </w:r>
      <w:r>
        <w:rPr>
          <w:rFonts w:asciiTheme="minorHAnsi" w:eastAsiaTheme="majorEastAsia" w:hAnsiTheme="minorHAnsi" w:cstheme="majorBidi"/>
          <w:sz w:val="24"/>
          <w:szCs w:val="28"/>
        </w:rPr>
        <w:t>conducted in the USA</w:t>
      </w:r>
      <w:r w:rsidRPr="007E3D36">
        <w:rPr>
          <w:rFonts w:asciiTheme="minorHAnsi" w:eastAsiaTheme="majorEastAsia" w:hAnsiTheme="minorHAnsi" w:cstheme="majorBidi"/>
          <w:sz w:val="24"/>
          <w:szCs w:val="28"/>
        </w:rPr>
        <w:t xml:space="preserve"> which </w:t>
      </w:r>
      <w:r w:rsidR="00F4452F">
        <w:rPr>
          <w:rFonts w:asciiTheme="minorHAnsi" w:eastAsiaTheme="majorEastAsia" w:hAnsiTheme="minorHAnsi" w:cstheme="majorBidi"/>
          <w:sz w:val="24"/>
          <w:szCs w:val="28"/>
        </w:rPr>
        <w:t>aimed</w:t>
      </w:r>
      <w:r w:rsidR="00F4452F" w:rsidRPr="007E3D36">
        <w:rPr>
          <w:rFonts w:asciiTheme="minorHAnsi" w:eastAsiaTheme="majorEastAsia" w:hAnsiTheme="minorHAnsi" w:cstheme="majorBidi"/>
          <w:sz w:val="24"/>
          <w:szCs w:val="28"/>
        </w:rPr>
        <w:t xml:space="preserve"> </w:t>
      </w:r>
      <w:r w:rsidRPr="007E3D36">
        <w:rPr>
          <w:rFonts w:asciiTheme="minorHAnsi" w:eastAsiaTheme="majorEastAsia" w:hAnsiTheme="minorHAnsi" w:cstheme="majorBidi"/>
          <w:sz w:val="24"/>
          <w:szCs w:val="28"/>
        </w:rPr>
        <w:t xml:space="preserve">to demonstrate the effectiveness, readability and usability of the instruction </w:t>
      </w:r>
      <w:r>
        <w:rPr>
          <w:rFonts w:asciiTheme="minorHAnsi" w:eastAsiaTheme="majorEastAsia" w:hAnsiTheme="minorHAnsi" w:cstheme="majorBidi"/>
          <w:sz w:val="24"/>
          <w:szCs w:val="28"/>
        </w:rPr>
        <w:t>of</w:t>
      </w:r>
      <w:r w:rsidRPr="007E3D36">
        <w:rPr>
          <w:rFonts w:asciiTheme="minorHAnsi" w:eastAsiaTheme="majorEastAsia" w:hAnsiTheme="minorHAnsi" w:cstheme="majorBidi"/>
          <w:sz w:val="24"/>
          <w:szCs w:val="28"/>
        </w:rPr>
        <w:t xml:space="preserve"> </w:t>
      </w:r>
      <w:proofErr w:type="spellStart"/>
      <w:r w:rsidRPr="007E3D36">
        <w:rPr>
          <w:rFonts w:asciiTheme="minorHAnsi" w:eastAsiaTheme="majorEastAsia" w:hAnsiTheme="minorHAnsi" w:cstheme="majorBidi"/>
          <w:sz w:val="24"/>
          <w:szCs w:val="28"/>
        </w:rPr>
        <w:t>AdrenaJect</w:t>
      </w:r>
      <w:proofErr w:type="spellEnd"/>
      <w:r>
        <w:rPr>
          <w:rFonts w:asciiTheme="minorHAnsi" w:eastAsiaTheme="majorEastAsia" w:hAnsiTheme="minorHAnsi" w:cstheme="majorBidi"/>
          <w:sz w:val="24"/>
          <w:szCs w:val="28"/>
        </w:rPr>
        <w:t>®</w:t>
      </w:r>
      <w:r w:rsidRPr="007E3D36">
        <w:rPr>
          <w:rFonts w:asciiTheme="minorHAnsi" w:eastAsiaTheme="majorEastAsia" w:hAnsiTheme="minorHAnsi" w:cstheme="majorBidi"/>
          <w:sz w:val="24"/>
          <w:szCs w:val="28"/>
        </w:rPr>
        <w:t xml:space="preserve"> for the intended user populations (i.e. juveniles and adults currently prescribed an adrenaline auto injector).</w:t>
      </w:r>
      <w:r w:rsidRPr="00610556">
        <w:rPr>
          <w:rFonts w:asciiTheme="minorHAnsi" w:eastAsiaTheme="majorEastAsia" w:hAnsiTheme="minorHAnsi" w:cstheme="majorBidi"/>
          <w:sz w:val="24"/>
          <w:szCs w:val="28"/>
        </w:rPr>
        <w:t xml:space="preserve"> </w:t>
      </w:r>
      <w:r w:rsidRPr="007E3D36">
        <w:rPr>
          <w:rFonts w:asciiTheme="minorHAnsi" w:eastAsiaTheme="majorEastAsia" w:hAnsiTheme="minorHAnsi" w:cstheme="majorBidi"/>
          <w:sz w:val="24"/>
          <w:szCs w:val="28"/>
        </w:rPr>
        <w:t xml:space="preserve">The </w:t>
      </w:r>
      <w:r>
        <w:rPr>
          <w:rFonts w:asciiTheme="minorHAnsi" w:eastAsiaTheme="majorEastAsia" w:hAnsiTheme="minorHAnsi" w:cstheme="majorBidi"/>
          <w:sz w:val="24"/>
          <w:szCs w:val="28"/>
        </w:rPr>
        <w:t>re</w:t>
      </w:r>
      <w:r w:rsidRPr="007E3D36">
        <w:rPr>
          <w:rFonts w:asciiTheme="minorHAnsi" w:eastAsiaTheme="majorEastAsia" w:hAnsiTheme="minorHAnsi" w:cstheme="majorBidi"/>
          <w:sz w:val="24"/>
          <w:szCs w:val="28"/>
        </w:rPr>
        <w:t xml:space="preserve">submission </w:t>
      </w:r>
      <w:r>
        <w:rPr>
          <w:rFonts w:asciiTheme="minorHAnsi" w:eastAsiaTheme="majorEastAsia" w:hAnsiTheme="minorHAnsi" w:cstheme="majorBidi"/>
          <w:sz w:val="24"/>
          <w:szCs w:val="28"/>
        </w:rPr>
        <w:t>noted PBAC’s previous concern regarding the different administration techniques between the two adrenaline auto injector brands.</w:t>
      </w:r>
    </w:p>
    <w:p w:rsidR="002E1ABB" w:rsidRDefault="002E1ABB" w:rsidP="002E1AB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In summary, the study was conducted with a total of 90 participants. Participants consisted of 30 adult patients, 30 juvenile patients and 30 caregivers that have or might have administered a rescue injection of adrenaline. There were two subgroups in the study, one group was trained in a representative manner and the other was given time to self-familiarise for a length of time. Participants were then asked to return approximately one week later for the second session to perform an unaided rescue attempt followed by an open-ended feedback on the preparation and injection process.</w:t>
      </w:r>
    </w:p>
    <w:p w:rsidR="002E1ABB" w:rsidRDefault="002E1ABB" w:rsidP="002E1AB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Across all participants in the study, 87 out of 90 (97%) successfully injected a full dose of adrenaline from </w:t>
      </w:r>
      <w:proofErr w:type="spellStart"/>
      <w:r>
        <w:rPr>
          <w:rFonts w:asciiTheme="minorHAnsi" w:eastAsiaTheme="minorHAnsi" w:hAnsiTheme="minorHAnsi" w:cstheme="minorBidi"/>
          <w:snapToGrid/>
          <w:sz w:val="24"/>
          <w:szCs w:val="22"/>
        </w:rPr>
        <w:t>AdrenaJect</w:t>
      </w:r>
      <w:proofErr w:type="spellEnd"/>
      <w:r>
        <w:rPr>
          <w:rFonts w:asciiTheme="minorHAnsi" w:eastAsiaTheme="minorHAnsi" w:hAnsiTheme="minorHAnsi" w:cstheme="minorBidi"/>
          <w:snapToGrid/>
          <w:sz w:val="24"/>
          <w:szCs w:val="22"/>
        </w:rPr>
        <w:t xml:space="preserve">®. The Sponsor also claimed that the failures appeared more attributed to a lack of attention (or interest) by the user than the design flaws of the device or labelling based on the participants’ feedback. </w:t>
      </w:r>
    </w:p>
    <w:p w:rsidR="002E1ABB" w:rsidRDefault="002E1ABB" w:rsidP="002E1AB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Sponsor concluded that no patterns of preventable failures between the two subgroups of participants, and that </w:t>
      </w:r>
      <w:proofErr w:type="spellStart"/>
      <w:r>
        <w:rPr>
          <w:rFonts w:asciiTheme="minorHAnsi" w:eastAsiaTheme="minorHAnsi" w:hAnsiTheme="minorHAnsi" w:cstheme="minorBidi"/>
          <w:snapToGrid/>
          <w:sz w:val="24"/>
          <w:szCs w:val="22"/>
        </w:rPr>
        <w:t>AdrenaJect</w:t>
      </w:r>
      <w:proofErr w:type="spellEnd"/>
      <w:r>
        <w:rPr>
          <w:rFonts w:asciiTheme="minorHAnsi" w:eastAsiaTheme="minorHAnsi" w:hAnsiTheme="minorHAnsi" w:cstheme="minorBidi"/>
          <w:snapToGrid/>
          <w:sz w:val="24"/>
          <w:szCs w:val="22"/>
        </w:rPr>
        <w:t xml:space="preserve">® could correctly, safely, and effectively be used in the intended user populations. </w:t>
      </w:r>
    </w:p>
    <w:p w:rsidR="002E1ABB" w:rsidRPr="00464DB1" w:rsidRDefault="002E1ABB" w:rsidP="00F4452F">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F4452F">
        <w:rPr>
          <w:rFonts w:asciiTheme="minorHAnsi" w:eastAsiaTheme="minorHAnsi" w:hAnsiTheme="minorHAnsi" w:cstheme="minorBidi"/>
          <w:snapToGrid/>
          <w:sz w:val="24"/>
          <w:szCs w:val="22"/>
        </w:rPr>
        <w:t>The PBAC</w:t>
      </w:r>
      <w:r w:rsidRPr="001C460D">
        <w:rPr>
          <w:rFonts w:asciiTheme="minorHAnsi" w:eastAsiaTheme="minorHAnsi" w:hAnsiTheme="minorHAnsi" w:cstheme="minorBidi"/>
          <w:snapToGrid/>
          <w:sz w:val="24"/>
          <w:szCs w:val="22"/>
        </w:rPr>
        <w:t xml:space="preserve"> noted that all failures occurred in the group that did not receive training, especially within the juvenile users. </w:t>
      </w:r>
      <w:r w:rsidRPr="0032308E">
        <w:rPr>
          <w:rFonts w:asciiTheme="minorHAnsi" w:eastAsiaTheme="minorHAnsi" w:hAnsiTheme="minorHAnsi" w:cstheme="minorBidi"/>
          <w:sz w:val="24"/>
          <w:szCs w:val="24"/>
        </w:rPr>
        <w:t>The PBAC also questioned the applicability of the study as it was not based in Australia. The Sponsor stated that training for a new adrenaline device may not always occur (page 13 of the validation report)</w:t>
      </w:r>
      <w:proofErr w:type="gramStart"/>
      <w:r w:rsidRPr="0032308E">
        <w:rPr>
          <w:rFonts w:asciiTheme="minorHAnsi" w:eastAsiaTheme="minorHAnsi" w:hAnsiTheme="minorHAnsi" w:cstheme="minorBidi"/>
          <w:sz w:val="24"/>
          <w:szCs w:val="24"/>
        </w:rPr>
        <w:t>,</w:t>
      </w:r>
      <w:proofErr w:type="gramEnd"/>
      <w:r w:rsidRPr="0032308E">
        <w:rPr>
          <w:rFonts w:asciiTheme="minorHAnsi" w:eastAsiaTheme="minorHAnsi" w:hAnsiTheme="minorHAnsi" w:cstheme="minorBidi"/>
          <w:sz w:val="24"/>
          <w:szCs w:val="24"/>
        </w:rPr>
        <w:t xml:space="preserve"> however the Sponsor expects that the intended user populations will receive ongoing and frequent training through schools, childcare centres or via ASCIA. </w:t>
      </w:r>
    </w:p>
    <w:p w:rsidR="00A87565" w:rsidRPr="002E1ABB" w:rsidRDefault="00A87565" w:rsidP="005B0F25">
      <w:pPr>
        <w:widowControl w:val="0"/>
        <w:spacing w:before="240" w:line="276" w:lineRule="auto"/>
        <w:jc w:val="both"/>
        <w:outlineLvl w:val="1"/>
        <w:rPr>
          <w:rFonts w:asciiTheme="minorHAnsi" w:hAnsiTheme="minorHAnsi" w:cs="Arial"/>
          <w:b/>
          <w:bCs/>
          <w:i/>
          <w:snapToGrid w:val="0"/>
          <w:sz w:val="28"/>
          <w:szCs w:val="28"/>
        </w:rPr>
      </w:pPr>
      <w:r w:rsidRPr="002E1ABB">
        <w:rPr>
          <w:rFonts w:asciiTheme="minorHAnsi" w:hAnsiTheme="minorHAnsi" w:cs="Arial"/>
          <w:b/>
          <w:bCs/>
          <w:i/>
          <w:snapToGrid w:val="0"/>
          <w:sz w:val="28"/>
          <w:szCs w:val="28"/>
        </w:rPr>
        <w:t>Sponsor hearing</w:t>
      </w:r>
    </w:p>
    <w:p w:rsidR="00A87565" w:rsidRPr="00525B39" w:rsidRDefault="00A87565" w:rsidP="00A87565">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item as it was a minor submission.</w:t>
      </w:r>
    </w:p>
    <w:p w:rsidR="00A87565" w:rsidRPr="00525B39" w:rsidRDefault="00A87565" w:rsidP="005B0F25">
      <w:pPr>
        <w:widowControl w:val="0"/>
        <w:spacing w:before="240" w:line="276" w:lineRule="auto"/>
        <w:jc w:val="both"/>
        <w:outlineLvl w:val="1"/>
        <w:rPr>
          <w:rFonts w:asciiTheme="minorHAnsi" w:hAnsiTheme="minorHAnsi" w:cs="Arial"/>
          <w:b/>
          <w:bCs/>
          <w:i/>
          <w:snapToGrid w:val="0"/>
          <w:sz w:val="28"/>
          <w:szCs w:val="28"/>
        </w:rPr>
      </w:pPr>
      <w:r w:rsidRPr="00525B39">
        <w:rPr>
          <w:rFonts w:asciiTheme="minorHAnsi" w:hAnsiTheme="minorHAnsi" w:cs="Arial"/>
          <w:b/>
          <w:bCs/>
          <w:i/>
          <w:snapToGrid w:val="0"/>
          <w:sz w:val="28"/>
          <w:szCs w:val="28"/>
        </w:rPr>
        <w:t>Consumer comments</w:t>
      </w:r>
    </w:p>
    <w:p w:rsidR="006A533B" w:rsidRDefault="00A87565" w:rsidP="00A87565">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 PBAC noted the advice received from</w:t>
      </w:r>
      <w:r w:rsidR="00E45866">
        <w:rPr>
          <w:rFonts w:asciiTheme="minorHAnsi" w:hAnsiTheme="minorHAnsi" w:cs="Arial"/>
          <w:bCs/>
          <w:snapToGrid w:val="0"/>
        </w:rPr>
        <w:t xml:space="preserve"> six organisations, As</w:t>
      </w:r>
      <w:r w:rsidR="00247A95">
        <w:rPr>
          <w:rFonts w:asciiTheme="minorHAnsi" w:hAnsiTheme="minorHAnsi" w:cs="Arial"/>
          <w:bCs/>
          <w:snapToGrid w:val="0"/>
        </w:rPr>
        <w:t>t</w:t>
      </w:r>
      <w:r w:rsidR="00E45866">
        <w:rPr>
          <w:rFonts w:asciiTheme="minorHAnsi" w:hAnsiTheme="minorHAnsi" w:cs="Arial"/>
          <w:bCs/>
          <w:snapToGrid w:val="0"/>
        </w:rPr>
        <w:t>hma Australia, ASCIA, Allergy &amp; Anaphylaxis Australia, Pharmacy Guild of Australia</w:t>
      </w:r>
      <w:r w:rsidR="00247A95">
        <w:rPr>
          <w:rFonts w:asciiTheme="minorHAnsi" w:hAnsiTheme="minorHAnsi" w:cs="Arial"/>
          <w:bCs/>
          <w:snapToGrid w:val="0"/>
        </w:rPr>
        <w:t>,</w:t>
      </w:r>
      <w:r w:rsidR="00E45866">
        <w:rPr>
          <w:rFonts w:asciiTheme="minorHAnsi" w:hAnsiTheme="minorHAnsi" w:cs="Arial"/>
          <w:bCs/>
          <w:snapToGrid w:val="0"/>
        </w:rPr>
        <w:t xml:space="preserve"> Australian Pharmaceutical Industries (API)</w:t>
      </w:r>
      <w:r w:rsidRPr="00525B39">
        <w:rPr>
          <w:rFonts w:asciiTheme="minorHAnsi" w:hAnsiTheme="minorHAnsi" w:cs="Arial"/>
          <w:bCs/>
          <w:snapToGrid w:val="0"/>
        </w:rPr>
        <w:t xml:space="preserve"> </w:t>
      </w:r>
      <w:r w:rsidR="00E45866">
        <w:rPr>
          <w:rFonts w:asciiTheme="minorHAnsi" w:hAnsiTheme="minorHAnsi" w:cs="Arial"/>
          <w:bCs/>
          <w:snapToGrid w:val="0"/>
        </w:rPr>
        <w:t xml:space="preserve">and Mylan Australia </w:t>
      </w:r>
      <w:r w:rsidRPr="00525B39">
        <w:rPr>
          <w:rFonts w:asciiTheme="minorHAnsi" w:hAnsiTheme="minorHAnsi" w:cs="Arial"/>
          <w:bCs/>
          <w:snapToGrid w:val="0"/>
        </w:rPr>
        <w:t xml:space="preserve">clarifying the likely use of </w:t>
      </w:r>
      <w:r w:rsidR="00E45866">
        <w:rPr>
          <w:rFonts w:asciiTheme="minorHAnsi" w:hAnsiTheme="minorHAnsi" w:cs="Arial"/>
          <w:bCs/>
          <w:snapToGrid w:val="0"/>
        </w:rPr>
        <w:t>adrenaline</w:t>
      </w:r>
      <w:r w:rsidRPr="00525B39">
        <w:rPr>
          <w:rFonts w:asciiTheme="minorHAnsi" w:hAnsiTheme="minorHAnsi" w:cs="Arial"/>
          <w:bCs/>
          <w:snapToGrid w:val="0"/>
        </w:rPr>
        <w:t xml:space="preserve"> in clinical practice. </w:t>
      </w:r>
      <w:r w:rsidR="006A533B">
        <w:rPr>
          <w:rFonts w:asciiTheme="minorHAnsi" w:hAnsiTheme="minorHAnsi" w:cs="Arial"/>
          <w:bCs/>
          <w:snapToGrid w:val="0"/>
        </w:rPr>
        <w:t xml:space="preserve">The PBAC </w:t>
      </w:r>
      <w:r w:rsidR="006A533B" w:rsidRPr="00B11C33">
        <w:rPr>
          <w:rFonts w:asciiTheme="minorHAnsi" w:hAnsiTheme="minorHAnsi" w:cs="Arial"/>
          <w:bCs/>
          <w:snapToGrid w:val="0"/>
        </w:rPr>
        <w:t xml:space="preserve">noted </w:t>
      </w:r>
      <w:r w:rsidR="008E7964">
        <w:rPr>
          <w:rFonts w:asciiTheme="minorHAnsi" w:hAnsiTheme="minorHAnsi" w:cs="Arial"/>
          <w:bCs/>
          <w:snapToGrid w:val="0"/>
        </w:rPr>
        <w:t>the</w:t>
      </w:r>
      <w:r w:rsidR="006A533B" w:rsidRPr="008B1487">
        <w:rPr>
          <w:rFonts w:asciiTheme="minorHAnsi" w:hAnsiTheme="minorHAnsi" w:cs="Arial"/>
          <w:bCs/>
          <w:snapToGrid w:val="0"/>
        </w:rPr>
        <w:t xml:space="preserve"> concerns </w:t>
      </w:r>
      <w:r w:rsidR="008E7964">
        <w:rPr>
          <w:rFonts w:asciiTheme="minorHAnsi" w:hAnsiTheme="minorHAnsi" w:cs="Arial"/>
          <w:bCs/>
          <w:snapToGrid w:val="0"/>
        </w:rPr>
        <w:t>around potential for</w:t>
      </w:r>
      <w:r w:rsidR="003C63F5">
        <w:rPr>
          <w:rFonts w:asciiTheme="minorHAnsi" w:hAnsiTheme="minorHAnsi" w:cs="Arial"/>
          <w:bCs/>
          <w:snapToGrid w:val="0"/>
        </w:rPr>
        <w:t xml:space="preserve"> confusion due to </w:t>
      </w:r>
      <w:r w:rsidR="006A533B" w:rsidRPr="008B1487">
        <w:rPr>
          <w:rFonts w:asciiTheme="minorHAnsi" w:hAnsiTheme="minorHAnsi" w:cs="Arial"/>
          <w:bCs/>
          <w:snapToGrid w:val="0"/>
        </w:rPr>
        <w:t>the different administration</w:t>
      </w:r>
      <w:r w:rsidR="008E7964">
        <w:rPr>
          <w:rFonts w:asciiTheme="minorHAnsi" w:hAnsiTheme="minorHAnsi" w:cs="Arial"/>
          <w:bCs/>
          <w:snapToGrid w:val="0"/>
        </w:rPr>
        <w:t xml:space="preserve"> devices</w:t>
      </w:r>
      <w:r w:rsidR="006A533B">
        <w:rPr>
          <w:rFonts w:asciiTheme="minorHAnsi" w:hAnsiTheme="minorHAnsi" w:cs="Arial"/>
          <w:bCs/>
          <w:snapToGrid w:val="0"/>
        </w:rPr>
        <w:t xml:space="preserve">. There was a strong emphasis on the importance of training and education for the new device if the PBAC was to recommend </w:t>
      </w:r>
      <w:proofErr w:type="spellStart"/>
      <w:r w:rsidR="006A533B">
        <w:rPr>
          <w:rFonts w:asciiTheme="minorHAnsi" w:hAnsiTheme="minorHAnsi" w:cs="Arial"/>
          <w:bCs/>
          <w:snapToGrid w:val="0"/>
        </w:rPr>
        <w:t>AdrenaJect</w:t>
      </w:r>
      <w:proofErr w:type="spellEnd"/>
      <w:r w:rsidR="006A533B">
        <w:rPr>
          <w:rFonts w:asciiTheme="minorHAnsi" w:hAnsiTheme="minorHAnsi" w:cs="Arial"/>
          <w:bCs/>
          <w:snapToGrid w:val="0"/>
        </w:rPr>
        <w:t>® for brand substitution at the pharmacy level</w:t>
      </w:r>
      <w:r w:rsidR="006A533B" w:rsidRPr="00437B77">
        <w:rPr>
          <w:rFonts w:asciiTheme="minorHAnsi" w:hAnsiTheme="minorHAnsi" w:cs="Arial"/>
          <w:bCs/>
          <w:snapToGrid w:val="0"/>
        </w:rPr>
        <w:t xml:space="preserve">. </w:t>
      </w:r>
    </w:p>
    <w:p w:rsidR="001D7365" w:rsidRDefault="006A533B" w:rsidP="002A320C">
      <w:pPr>
        <w:widowControl w:val="0"/>
        <w:numPr>
          <w:ilvl w:val="1"/>
          <w:numId w:val="5"/>
        </w:numPr>
        <w:spacing w:after="120"/>
        <w:jc w:val="both"/>
        <w:rPr>
          <w:rFonts w:asciiTheme="minorHAnsi" w:hAnsiTheme="minorHAnsi" w:cs="Arial"/>
          <w:bCs/>
          <w:snapToGrid w:val="0"/>
        </w:rPr>
      </w:pPr>
      <w:r w:rsidRPr="001D7365">
        <w:rPr>
          <w:rFonts w:asciiTheme="minorHAnsi" w:hAnsiTheme="minorHAnsi" w:cs="Arial"/>
          <w:bCs/>
          <w:snapToGrid w:val="0"/>
        </w:rPr>
        <w:t>On the other hand, m</w:t>
      </w:r>
      <w:r w:rsidR="00B11C33" w:rsidRPr="001D7365">
        <w:rPr>
          <w:rFonts w:asciiTheme="minorHAnsi" w:hAnsiTheme="minorHAnsi" w:cs="Arial"/>
          <w:bCs/>
          <w:snapToGrid w:val="0"/>
        </w:rPr>
        <w:t xml:space="preserve">ost of the organisations </w:t>
      </w:r>
      <w:r w:rsidRPr="001D7365">
        <w:rPr>
          <w:rFonts w:asciiTheme="minorHAnsi" w:hAnsiTheme="minorHAnsi" w:cs="Arial"/>
          <w:bCs/>
          <w:snapToGrid w:val="0"/>
        </w:rPr>
        <w:t xml:space="preserve">and individuals also </w:t>
      </w:r>
      <w:r w:rsidR="00B11C33" w:rsidRPr="001D7365">
        <w:rPr>
          <w:rFonts w:asciiTheme="minorHAnsi" w:hAnsiTheme="minorHAnsi" w:cs="Arial"/>
          <w:bCs/>
          <w:snapToGrid w:val="0"/>
        </w:rPr>
        <w:t xml:space="preserve">acknowledged the current shortage of </w:t>
      </w:r>
      <w:proofErr w:type="spellStart"/>
      <w:r w:rsidR="00B11C33" w:rsidRPr="001D7365">
        <w:rPr>
          <w:rFonts w:asciiTheme="minorHAnsi" w:hAnsiTheme="minorHAnsi" w:cs="Arial"/>
          <w:bCs/>
          <w:snapToGrid w:val="0"/>
        </w:rPr>
        <w:t>EpiPen</w:t>
      </w:r>
      <w:proofErr w:type="spellEnd"/>
      <w:r w:rsidR="00B11C33" w:rsidRPr="001D7365">
        <w:rPr>
          <w:rFonts w:asciiTheme="minorHAnsi" w:hAnsiTheme="minorHAnsi" w:cs="Arial"/>
          <w:bCs/>
          <w:snapToGrid w:val="0"/>
        </w:rPr>
        <w:t xml:space="preserve">®. The PBAC specifically noted </w:t>
      </w:r>
      <w:r w:rsidR="001D7365" w:rsidRPr="001D7365">
        <w:rPr>
          <w:rFonts w:asciiTheme="minorHAnsi" w:hAnsiTheme="minorHAnsi" w:cs="Arial"/>
          <w:bCs/>
          <w:snapToGrid w:val="0"/>
        </w:rPr>
        <w:t xml:space="preserve">anecdotal reports </w:t>
      </w:r>
      <w:r w:rsidR="00B11C33" w:rsidRPr="001D7365">
        <w:rPr>
          <w:rFonts w:asciiTheme="minorHAnsi" w:hAnsiTheme="minorHAnsi" w:cs="Arial"/>
          <w:bCs/>
          <w:snapToGrid w:val="0"/>
        </w:rPr>
        <w:t xml:space="preserve">that some patients were </w:t>
      </w:r>
      <w:r w:rsidR="001D7365" w:rsidRPr="001D7365">
        <w:rPr>
          <w:rFonts w:asciiTheme="minorHAnsi" w:hAnsiTheme="minorHAnsi" w:cs="Arial"/>
          <w:bCs/>
          <w:snapToGrid w:val="0"/>
        </w:rPr>
        <w:t>relying on</w:t>
      </w:r>
      <w:r w:rsidR="00B11C33" w:rsidRPr="001D7365">
        <w:rPr>
          <w:rFonts w:asciiTheme="minorHAnsi" w:hAnsiTheme="minorHAnsi" w:cs="Arial"/>
          <w:bCs/>
          <w:snapToGrid w:val="0"/>
        </w:rPr>
        <w:t xml:space="preserve"> </w:t>
      </w:r>
      <w:r w:rsidRPr="001D7365">
        <w:rPr>
          <w:rFonts w:asciiTheme="minorHAnsi" w:hAnsiTheme="minorHAnsi" w:cs="Arial"/>
          <w:bCs/>
          <w:snapToGrid w:val="0"/>
        </w:rPr>
        <w:t>expired</w:t>
      </w:r>
      <w:r w:rsidR="00B11C33" w:rsidRPr="001D7365">
        <w:rPr>
          <w:rFonts w:asciiTheme="minorHAnsi" w:hAnsiTheme="minorHAnsi" w:cs="Arial"/>
          <w:bCs/>
          <w:snapToGrid w:val="0"/>
        </w:rPr>
        <w:t xml:space="preserve"> </w:t>
      </w:r>
      <w:r w:rsidR="001D7365" w:rsidRPr="001D7365">
        <w:rPr>
          <w:rFonts w:asciiTheme="minorHAnsi" w:hAnsiTheme="minorHAnsi" w:cs="Arial"/>
          <w:bCs/>
          <w:snapToGrid w:val="0"/>
        </w:rPr>
        <w:t>products</w:t>
      </w:r>
      <w:r w:rsidR="00B11C33" w:rsidRPr="001D7365">
        <w:rPr>
          <w:rFonts w:asciiTheme="minorHAnsi" w:hAnsiTheme="minorHAnsi" w:cs="Arial"/>
          <w:bCs/>
          <w:snapToGrid w:val="0"/>
        </w:rPr>
        <w:t xml:space="preserve"> due to the shortages</w:t>
      </w:r>
      <w:r w:rsidR="001D7365" w:rsidRPr="001D7365">
        <w:rPr>
          <w:rFonts w:asciiTheme="minorHAnsi" w:hAnsiTheme="minorHAnsi" w:cs="Arial"/>
          <w:bCs/>
          <w:snapToGrid w:val="0"/>
        </w:rPr>
        <w:t>.</w:t>
      </w:r>
      <w:r w:rsidR="00B11C33" w:rsidRPr="001D7365">
        <w:rPr>
          <w:rFonts w:asciiTheme="minorHAnsi" w:hAnsiTheme="minorHAnsi" w:cs="Arial"/>
          <w:bCs/>
          <w:snapToGrid w:val="0"/>
        </w:rPr>
        <w:t xml:space="preserve"> </w:t>
      </w:r>
    </w:p>
    <w:p w:rsidR="00F64CC1" w:rsidRDefault="00A87565" w:rsidP="00A87565">
      <w:pPr>
        <w:ind w:firstLine="720"/>
        <w:jc w:val="both"/>
        <w:rPr>
          <w:rFonts w:asciiTheme="minorHAnsi" w:hAnsiTheme="minorHAnsi"/>
          <w:i/>
        </w:rPr>
      </w:pPr>
      <w:r w:rsidRPr="00A87565">
        <w:rPr>
          <w:rFonts w:asciiTheme="minorHAnsi" w:hAnsiTheme="minorHAnsi"/>
          <w:i/>
        </w:rPr>
        <w:t xml:space="preserve">For more detail on PBAC’s view, see section </w:t>
      </w:r>
      <w:r w:rsidR="001F59C7">
        <w:rPr>
          <w:rFonts w:asciiTheme="minorHAnsi" w:hAnsiTheme="minorHAnsi"/>
          <w:i/>
        </w:rPr>
        <w:t>5</w:t>
      </w:r>
      <w:r w:rsidR="001F59C7" w:rsidRPr="00A87565">
        <w:rPr>
          <w:rFonts w:asciiTheme="minorHAnsi" w:hAnsiTheme="minorHAnsi"/>
          <w:i/>
        </w:rPr>
        <w:t xml:space="preserve"> </w:t>
      </w:r>
      <w:r w:rsidRPr="00A87565">
        <w:rPr>
          <w:rFonts w:asciiTheme="minorHAnsi" w:hAnsiTheme="minorHAnsi"/>
          <w:i/>
        </w:rPr>
        <w:t>PBAC outcome.</w:t>
      </w:r>
    </w:p>
    <w:p w:rsidR="00A87565" w:rsidRPr="002A320C" w:rsidRDefault="00A87565" w:rsidP="005B0F25">
      <w:pPr>
        <w:widowControl w:val="0"/>
        <w:numPr>
          <w:ilvl w:val="0"/>
          <w:numId w:val="5"/>
        </w:numPr>
        <w:spacing w:before="240" w:after="120"/>
        <w:jc w:val="both"/>
        <w:outlineLvl w:val="0"/>
        <w:rPr>
          <w:rFonts w:asciiTheme="minorHAnsi" w:hAnsiTheme="minorHAnsi" w:cs="Arial"/>
          <w:b/>
          <w:bCs/>
          <w:snapToGrid w:val="0"/>
          <w:sz w:val="32"/>
        </w:rPr>
      </w:pPr>
      <w:r w:rsidRPr="002A320C">
        <w:rPr>
          <w:rFonts w:asciiTheme="minorHAnsi" w:hAnsiTheme="minorHAnsi" w:cs="Arial"/>
          <w:b/>
          <w:bCs/>
          <w:snapToGrid w:val="0"/>
          <w:sz w:val="32"/>
        </w:rPr>
        <w:t>PBAC Outcome</w:t>
      </w:r>
    </w:p>
    <w:p w:rsidR="00096E45" w:rsidRDefault="00AA775C" w:rsidP="0067276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FC7E5E">
        <w:rPr>
          <w:rFonts w:asciiTheme="minorHAnsi" w:hAnsiTheme="minorHAnsi" w:cs="Arial"/>
          <w:bCs/>
          <w:snapToGrid w:val="0"/>
          <w:lang w:val="en-GB"/>
        </w:rPr>
        <w:t xml:space="preserve">deferred making a </w:t>
      </w:r>
      <w:r w:rsidR="00096E45">
        <w:rPr>
          <w:rFonts w:asciiTheme="minorHAnsi" w:hAnsiTheme="minorHAnsi" w:cs="Arial"/>
          <w:bCs/>
          <w:snapToGrid w:val="0"/>
          <w:lang w:val="en-GB"/>
        </w:rPr>
        <w:t xml:space="preserve">recommendation </w:t>
      </w:r>
      <w:r w:rsidR="00FC7E5E">
        <w:rPr>
          <w:rFonts w:asciiTheme="minorHAnsi" w:hAnsiTheme="minorHAnsi" w:cs="Arial"/>
          <w:bCs/>
          <w:snapToGrid w:val="0"/>
          <w:lang w:val="en-GB"/>
        </w:rPr>
        <w:t xml:space="preserve">on </w:t>
      </w:r>
      <w:r w:rsidR="00096E45">
        <w:rPr>
          <w:rFonts w:asciiTheme="minorHAnsi" w:hAnsiTheme="minorHAnsi" w:cs="Arial"/>
          <w:bCs/>
          <w:snapToGrid w:val="0"/>
          <w:lang w:val="en-GB"/>
        </w:rPr>
        <w:t xml:space="preserve">the brand equivalence of </w:t>
      </w:r>
      <w:proofErr w:type="spellStart"/>
      <w:r w:rsidR="00E938A1">
        <w:rPr>
          <w:rFonts w:asciiTheme="minorHAnsi" w:hAnsiTheme="minorHAnsi" w:cs="Arial"/>
          <w:bCs/>
          <w:snapToGrid w:val="0"/>
          <w:lang w:val="en-GB"/>
        </w:rPr>
        <w:lastRenderedPageBreak/>
        <w:t>Adrena</w:t>
      </w:r>
      <w:r w:rsidR="00FC7E5E">
        <w:rPr>
          <w:rFonts w:asciiTheme="minorHAnsi" w:hAnsiTheme="minorHAnsi" w:cs="Arial"/>
          <w:bCs/>
          <w:snapToGrid w:val="0"/>
          <w:lang w:val="en-GB"/>
        </w:rPr>
        <w:t>Ject</w:t>
      </w:r>
      <w:proofErr w:type="spellEnd"/>
      <w:r w:rsidR="00FC7E5E">
        <w:rPr>
          <w:rFonts w:asciiTheme="minorHAnsi" w:hAnsiTheme="minorHAnsi" w:cs="Arial"/>
          <w:bCs/>
          <w:snapToGrid w:val="0"/>
          <w:lang w:val="en-GB"/>
        </w:rPr>
        <w:t xml:space="preserve">® </w:t>
      </w:r>
      <w:r w:rsidR="00096E45">
        <w:rPr>
          <w:rFonts w:asciiTheme="minorHAnsi" w:hAnsiTheme="minorHAnsi" w:cs="Arial"/>
          <w:bCs/>
          <w:snapToGrid w:val="0"/>
          <w:lang w:val="en-GB"/>
        </w:rPr>
        <w:t xml:space="preserve">with the originator brand, </w:t>
      </w:r>
      <w:proofErr w:type="spellStart"/>
      <w:r w:rsidR="00096E45">
        <w:rPr>
          <w:rFonts w:asciiTheme="minorHAnsi" w:hAnsiTheme="minorHAnsi" w:cs="Arial"/>
          <w:bCs/>
          <w:snapToGrid w:val="0"/>
          <w:lang w:val="en-GB"/>
        </w:rPr>
        <w:t>EpiPen</w:t>
      </w:r>
      <w:proofErr w:type="spellEnd"/>
      <w:r w:rsidR="00096E45">
        <w:rPr>
          <w:rFonts w:asciiTheme="minorHAnsi" w:hAnsiTheme="minorHAnsi" w:cs="Arial"/>
          <w:bCs/>
          <w:snapToGrid w:val="0"/>
          <w:lang w:val="en-GB"/>
        </w:rPr>
        <w:t xml:space="preserve">®, </w:t>
      </w:r>
      <w:r w:rsidR="00FC7E5E">
        <w:rPr>
          <w:rFonts w:asciiTheme="minorHAnsi" w:hAnsiTheme="minorHAnsi" w:cs="Arial"/>
          <w:bCs/>
          <w:snapToGrid w:val="0"/>
          <w:lang w:val="en-GB"/>
        </w:rPr>
        <w:t xml:space="preserve">for the purposes of brand substitution </w:t>
      </w:r>
      <w:r w:rsidR="006144B7">
        <w:rPr>
          <w:rFonts w:asciiTheme="minorHAnsi" w:hAnsiTheme="minorHAnsi" w:cs="Arial"/>
          <w:bCs/>
          <w:snapToGrid w:val="0"/>
          <w:lang w:val="en-GB"/>
        </w:rPr>
        <w:t>at the pharmacy level</w:t>
      </w:r>
      <w:r w:rsidR="00096E45">
        <w:rPr>
          <w:rFonts w:asciiTheme="minorHAnsi" w:hAnsiTheme="minorHAnsi" w:cs="Arial"/>
          <w:bCs/>
          <w:snapToGrid w:val="0"/>
          <w:lang w:val="en-GB"/>
        </w:rPr>
        <w:t>.</w:t>
      </w:r>
      <w:r w:rsidR="000F583E">
        <w:rPr>
          <w:rFonts w:asciiTheme="minorHAnsi" w:hAnsiTheme="minorHAnsi" w:cs="Arial"/>
          <w:bCs/>
          <w:snapToGrid w:val="0"/>
          <w:lang w:val="en-GB"/>
        </w:rPr>
        <w:t xml:space="preserve"> The PBAC </w:t>
      </w:r>
      <w:r w:rsidR="00405BBD">
        <w:rPr>
          <w:rFonts w:asciiTheme="minorHAnsi" w:hAnsiTheme="minorHAnsi" w:cs="Arial"/>
          <w:bCs/>
          <w:snapToGrid w:val="0"/>
          <w:lang w:val="en-GB"/>
        </w:rPr>
        <w:t xml:space="preserve">requested further information from the Sponsor regarding their education plan to support the </w:t>
      </w:r>
      <w:r w:rsidR="00EE54EC">
        <w:rPr>
          <w:rFonts w:asciiTheme="minorHAnsi" w:hAnsiTheme="minorHAnsi" w:cs="Arial"/>
          <w:bCs/>
          <w:snapToGrid w:val="0"/>
          <w:lang w:val="en-GB"/>
        </w:rPr>
        <w:t xml:space="preserve">PBS </w:t>
      </w:r>
      <w:r w:rsidR="00405BBD">
        <w:rPr>
          <w:rFonts w:asciiTheme="minorHAnsi" w:hAnsiTheme="minorHAnsi" w:cs="Arial"/>
          <w:bCs/>
          <w:snapToGrid w:val="0"/>
          <w:lang w:val="en-GB"/>
        </w:rPr>
        <w:t>l</w:t>
      </w:r>
      <w:r w:rsidR="00EE54EC">
        <w:rPr>
          <w:rFonts w:asciiTheme="minorHAnsi" w:hAnsiTheme="minorHAnsi" w:cs="Arial"/>
          <w:bCs/>
          <w:snapToGrid w:val="0"/>
          <w:lang w:val="en-GB"/>
        </w:rPr>
        <w:t>isting</w:t>
      </w:r>
      <w:r w:rsidR="00405BBD">
        <w:rPr>
          <w:rFonts w:asciiTheme="minorHAnsi" w:hAnsiTheme="minorHAnsi" w:cs="Arial"/>
          <w:bCs/>
          <w:snapToGrid w:val="0"/>
          <w:lang w:val="en-GB"/>
        </w:rPr>
        <w:t xml:space="preserve"> of </w:t>
      </w:r>
      <w:proofErr w:type="spellStart"/>
      <w:r w:rsidR="00EE54EC">
        <w:rPr>
          <w:rFonts w:asciiTheme="minorHAnsi" w:hAnsiTheme="minorHAnsi" w:cs="Arial"/>
          <w:bCs/>
          <w:snapToGrid w:val="0"/>
          <w:lang w:val="en-GB"/>
        </w:rPr>
        <w:t>AdrenaJect</w:t>
      </w:r>
      <w:proofErr w:type="spellEnd"/>
      <w:r w:rsidR="00EE54EC">
        <w:rPr>
          <w:rFonts w:asciiTheme="minorHAnsi" w:hAnsiTheme="minorHAnsi" w:cs="Arial"/>
          <w:bCs/>
          <w:snapToGrid w:val="0"/>
          <w:lang w:val="en-GB"/>
        </w:rPr>
        <w:t>®</w:t>
      </w:r>
      <w:r w:rsidR="00405BBD">
        <w:rPr>
          <w:rFonts w:asciiTheme="minorHAnsi" w:hAnsiTheme="minorHAnsi" w:cs="Arial"/>
          <w:bCs/>
          <w:snapToGrid w:val="0"/>
          <w:lang w:val="en-GB"/>
        </w:rPr>
        <w:t xml:space="preserve">. </w:t>
      </w:r>
      <w:r w:rsidR="007F364F">
        <w:rPr>
          <w:rFonts w:asciiTheme="minorHAnsi" w:hAnsiTheme="minorHAnsi" w:cs="Arial"/>
          <w:bCs/>
          <w:snapToGrid w:val="0"/>
          <w:lang w:val="en-GB"/>
        </w:rPr>
        <w:t xml:space="preserve"> The PBAC also requested </w:t>
      </w:r>
      <w:r w:rsidR="00405BBD">
        <w:rPr>
          <w:rFonts w:asciiTheme="minorHAnsi" w:hAnsiTheme="minorHAnsi" w:cs="Arial"/>
          <w:bCs/>
          <w:snapToGrid w:val="0"/>
          <w:lang w:val="en-GB"/>
        </w:rPr>
        <w:t>further information from the Department regarding possible alternative measures to support safe uptake.</w:t>
      </w:r>
    </w:p>
    <w:p w:rsidR="007E6F38" w:rsidRDefault="007E6F38" w:rsidP="007E6F3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that at the time of recommending the listing of </w:t>
      </w:r>
      <w:proofErr w:type="spellStart"/>
      <w:r>
        <w:rPr>
          <w:rFonts w:asciiTheme="minorHAnsi" w:hAnsiTheme="minorHAnsi" w:cs="Arial"/>
          <w:bCs/>
          <w:snapToGrid w:val="0"/>
          <w:lang w:val="en-GB"/>
        </w:rPr>
        <w:t>AdrenaJect</w:t>
      </w:r>
      <w:proofErr w:type="spellEnd"/>
      <w:r>
        <w:rPr>
          <w:rFonts w:asciiTheme="minorHAnsi" w:hAnsiTheme="minorHAnsi" w:cs="Arial"/>
          <w:bCs/>
          <w:snapToGrid w:val="0"/>
          <w:lang w:val="en-GB"/>
        </w:rPr>
        <w:t xml:space="preserve">®, in July 2016, the Committee considered </w:t>
      </w:r>
      <w:r w:rsidR="00EE54EC">
        <w:rPr>
          <w:rFonts w:asciiTheme="minorHAnsi" w:hAnsiTheme="minorHAnsi" w:cs="Arial"/>
          <w:bCs/>
          <w:snapToGrid w:val="0"/>
          <w:lang w:val="en-GB"/>
        </w:rPr>
        <w:t xml:space="preserve">these </w:t>
      </w:r>
      <w:r>
        <w:rPr>
          <w:rFonts w:asciiTheme="minorHAnsi" w:hAnsiTheme="minorHAnsi" w:cs="Arial"/>
          <w:bCs/>
          <w:snapToGrid w:val="0"/>
          <w:lang w:val="en-GB"/>
        </w:rPr>
        <w:t xml:space="preserve">auto-injectors </w:t>
      </w:r>
      <w:r w:rsidR="00EE54EC">
        <w:rPr>
          <w:rFonts w:asciiTheme="minorHAnsi" w:hAnsiTheme="minorHAnsi" w:cs="Arial"/>
          <w:bCs/>
          <w:snapToGrid w:val="0"/>
          <w:lang w:val="en-GB"/>
        </w:rPr>
        <w:t xml:space="preserve">to </w:t>
      </w:r>
      <w:r>
        <w:rPr>
          <w:rFonts w:asciiTheme="minorHAnsi" w:hAnsiTheme="minorHAnsi" w:cs="Arial"/>
          <w:bCs/>
          <w:snapToGrid w:val="0"/>
          <w:lang w:val="en-GB"/>
        </w:rPr>
        <w:t xml:space="preserve">have </w:t>
      </w:r>
      <w:r w:rsidR="00EE54EC">
        <w:rPr>
          <w:rFonts w:asciiTheme="minorHAnsi" w:hAnsiTheme="minorHAnsi" w:cs="Arial"/>
          <w:bCs/>
          <w:snapToGrid w:val="0"/>
          <w:lang w:val="en-GB"/>
        </w:rPr>
        <w:t xml:space="preserve">significantly </w:t>
      </w:r>
      <w:r>
        <w:rPr>
          <w:rFonts w:asciiTheme="minorHAnsi" w:hAnsiTheme="minorHAnsi" w:cs="Arial"/>
          <w:bCs/>
          <w:snapToGrid w:val="0"/>
          <w:lang w:val="en-GB"/>
        </w:rPr>
        <w:t xml:space="preserve">different administration techniques and </w:t>
      </w:r>
      <w:r w:rsidR="00EE54EC">
        <w:rPr>
          <w:rFonts w:asciiTheme="minorHAnsi" w:hAnsiTheme="minorHAnsi" w:cs="Arial"/>
          <w:bCs/>
          <w:snapToGrid w:val="0"/>
          <w:lang w:val="en-GB"/>
        </w:rPr>
        <w:t>advised</w:t>
      </w:r>
      <w:r>
        <w:rPr>
          <w:rFonts w:asciiTheme="minorHAnsi" w:hAnsiTheme="minorHAnsi" w:cs="Arial"/>
          <w:bCs/>
          <w:snapToGrid w:val="0"/>
          <w:lang w:val="en-GB"/>
        </w:rPr>
        <w:t xml:space="preserve"> that the various brands of adrenaline auto injector should not be considered equivalent for the purposes of substitution (i.e. ‘a’ flagged in the Schedule).</w:t>
      </w:r>
    </w:p>
    <w:p w:rsidR="002563E3" w:rsidRPr="006430C8" w:rsidRDefault="002563E3" w:rsidP="002563E3">
      <w:pPr>
        <w:widowControl w:val="0"/>
        <w:numPr>
          <w:ilvl w:val="1"/>
          <w:numId w:val="5"/>
        </w:numPr>
        <w:spacing w:after="120"/>
        <w:jc w:val="both"/>
        <w:rPr>
          <w:rFonts w:asciiTheme="minorHAnsi" w:hAnsiTheme="minorHAnsi" w:cs="Arial"/>
          <w:bCs/>
          <w:snapToGrid w:val="0"/>
          <w:lang w:val="en-GB"/>
        </w:rPr>
      </w:pPr>
      <w:r w:rsidRPr="00952E0B">
        <w:rPr>
          <w:rFonts w:asciiTheme="minorHAnsi" w:hAnsiTheme="minorHAnsi" w:cs="Arial"/>
          <w:bCs/>
          <w:snapToGrid w:val="0"/>
          <w:lang w:val="en-GB"/>
        </w:rPr>
        <w:t xml:space="preserve">The PBAC acknowledged the current shortage of </w:t>
      </w:r>
      <w:proofErr w:type="spellStart"/>
      <w:r w:rsidRPr="00952E0B">
        <w:rPr>
          <w:rFonts w:asciiTheme="minorHAnsi" w:hAnsiTheme="minorHAnsi" w:cs="Arial"/>
          <w:bCs/>
          <w:snapToGrid w:val="0"/>
          <w:lang w:val="en-GB"/>
        </w:rPr>
        <w:t>EpiPen</w:t>
      </w:r>
      <w:proofErr w:type="spellEnd"/>
      <w:r w:rsidRPr="00952E0B">
        <w:rPr>
          <w:rFonts w:asciiTheme="minorHAnsi" w:hAnsiTheme="minorHAnsi" w:cs="Arial"/>
          <w:bCs/>
          <w:snapToGrid w:val="0"/>
          <w:lang w:val="en-GB"/>
        </w:rPr>
        <w:t xml:space="preserve">® and noted that the TGA has been proactively seeking alternative supply to address the current </w:t>
      </w:r>
      <w:r w:rsidRPr="006430C8">
        <w:rPr>
          <w:rFonts w:asciiTheme="minorHAnsi" w:hAnsiTheme="minorHAnsi" w:cs="Arial"/>
          <w:bCs/>
          <w:snapToGrid w:val="0"/>
          <w:lang w:val="en-GB"/>
        </w:rPr>
        <w:t>shortage</w:t>
      </w:r>
      <w:r w:rsidRPr="00952E0B">
        <w:rPr>
          <w:rFonts w:asciiTheme="minorHAnsi" w:hAnsiTheme="minorHAnsi" w:cs="Arial"/>
          <w:bCs/>
          <w:snapToGrid w:val="0"/>
          <w:lang w:val="en-GB"/>
        </w:rPr>
        <w:t xml:space="preserve">. The PBAC considered an alternative brand of adrenaline </w:t>
      </w:r>
      <w:proofErr w:type="spellStart"/>
      <w:r w:rsidRPr="00952E0B">
        <w:rPr>
          <w:rFonts w:asciiTheme="minorHAnsi" w:hAnsiTheme="minorHAnsi" w:cs="Arial"/>
          <w:bCs/>
          <w:snapToGrid w:val="0"/>
          <w:lang w:val="en-GB"/>
        </w:rPr>
        <w:t>autoinjector</w:t>
      </w:r>
      <w:proofErr w:type="spellEnd"/>
      <w:r w:rsidRPr="00952E0B">
        <w:rPr>
          <w:rFonts w:asciiTheme="minorHAnsi" w:hAnsiTheme="minorHAnsi" w:cs="Arial"/>
          <w:bCs/>
          <w:snapToGrid w:val="0"/>
          <w:lang w:val="en-GB"/>
        </w:rPr>
        <w:t xml:space="preserve"> on the PBS would be appropriate to ensure patient access. </w:t>
      </w:r>
      <w:r w:rsidRPr="00A84C41">
        <w:rPr>
          <w:rFonts w:asciiTheme="minorHAnsi" w:hAnsiTheme="minorHAnsi" w:cs="Arial"/>
          <w:bCs/>
          <w:snapToGrid w:val="0"/>
          <w:lang w:val="en-GB"/>
        </w:rPr>
        <w:t xml:space="preserve">The TGA have recently granted a Section 19A approval to Link, to import and supply an alternative </w:t>
      </w:r>
      <w:r w:rsidR="0053790B" w:rsidRPr="00A84C41">
        <w:rPr>
          <w:rFonts w:asciiTheme="minorHAnsi" w:hAnsiTheme="minorHAnsi" w:cs="Arial"/>
          <w:bCs/>
          <w:snapToGrid w:val="0"/>
          <w:lang w:val="en-GB"/>
        </w:rPr>
        <w:t xml:space="preserve">UK based product </w:t>
      </w:r>
      <w:r w:rsidRPr="00A84C41">
        <w:rPr>
          <w:rFonts w:asciiTheme="minorHAnsi" w:hAnsiTheme="minorHAnsi" w:cs="Arial"/>
          <w:bCs/>
          <w:snapToGrid w:val="0"/>
          <w:lang w:val="en-GB"/>
        </w:rPr>
        <w:t xml:space="preserve">which </w:t>
      </w:r>
      <w:r w:rsidR="0053790B" w:rsidRPr="00A84C41">
        <w:rPr>
          <w:rFonts w:asciiTheme="minorHAnsi" w:hAnsiTheme="minorHAnsi" w:cs="Arial"/>
          <w:bCs/>
          <w:snapToGrid w:val="0"/>
          <w:lang w:val="en-GB"/>
        </w:rPr>
        <w:t xml:space="preserve">also </w:t>
      </w:r>
      <w:r w:rsidRPr="00A84C41">
        <w:rPr>
          <w:rFonts w:asciiTheme="minorHAnsi" w:hAnsiTheme="minorHAnsi" w:cs="Arial"/>
          <w:bCs/>
          <w:snapToGrid w:val="0"/>
          <w:lang w:val="en-GB"/>
        </w:rPr>
        <w:t>ha</w:t>
      </w:r>
      <w:r w:rsidR="00B85FCE" w:rsidRPr="00A84C41">
        <w:rPr>
          <w:rFonts w:asciiTheme="minorHAnsi" w:hAnsiTheme="minorHAnsi" w:cs="Arial"/>
          <w:bCs/>
          <w:snapToGrid w:val="0"/>
          <w:lang w:val="en-GB"/>
        </w:rPr>
        <w:t xml:space="preserve">s a different device to </w:t>
      </w:r>
      <w:proofErr w:type="spellStart"/>
      <w:r w:rsidR="00B85FCE" w:rsidRPr="00A84C41">
        <w:rPr>
          <w:rFonts w:asciiTheme="minorHAnsi" w:hAnsiTheme="minorHAnsi" w:cs="Arial"/>
          <w:bCs/>
          <w:snapToGrid w:val="0"/>
          <w:lang w:val="en-GB"/>
        </w:rPr>
        <w:t>EpiP</w:t>
      </w:r>
      <w:r w:rsidRPr="00A84C41">
        <w:rPr>
          <w:rFonts w:asciiTheme="minorHAnsi" w:hAnsiTheme="minorHAnsi" w:cs="Arial"/>
          <w:bCs/>
          <w:snapToGrid w:val="0"/>
          <w:lang w:val="en-GB"/>
        </w:rPr>
        <w:t>en</w:t>
      </w:r>
      <w:proofErr w:type="spellEnd"/>
      <w:r w:rsidR="0053790B">
        <w:rPr>
          <w:rFonts w:asciiTheme="minorHAnsi" w:hAnsiTheme="minorHAnsi" w:cs="Arial"/>
          <w:bCs/>
          <w:snapToGrid w:val="0"/>
          <w:lang w:val="en-GB"/>
        </w:rPr>
        <w:t>.</w:t>
      </w:r>
      <w:r w:rsidRPr="006430C8">
        <w:rPr>
          <w:rFonts w:asciiTheme="minorHAnsi" w:hAnsiTheme="minorHAnsi" w:cs="Arial"/>
          <w:bCs/>
          <w:snapToGrid w:val="0"/>
          <w:lang w:val="en-GB"/>
        </w:rPr>
        <w:t xml:space="preserve"> </w:t>
      </w:r>
    </w:p>
    <w:p w:rsidR="008D03F6" w:rsidRDefault="002E5EE9" w:rsidP="008D03F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EE54EC">
        <w:rPr>
          <w:rFonts w:asciiTheme="minorHAnsi" w:hAnsiTheme="minorHAnsi" w:cs="Arial"/>
          <w:bCs/>
          <w:snapToGrid w:val="0"/>
          <w:lang w:val="en-GB"/>
        </w:rPr>
        <w:t>noted the</w:t>
      </w:r>
      <w:r>
        <w:rPr>
          <w:rFonts w:asciiTheme="minorHAnsi" w:hAnsiTheme="minorHAnsi" w:cs="Arial"/>
          <w:bCs/>
          <w:snapToGrid w:val="0"/>
          <w:lang w:val="en-GB"/>
        </w:rPr>
        <w:t xml:space="preserve"> supporting study and educational materials </w:t>
      </w:r>
      <w:r w:rsidR="00EE54EC">
        <w:rPr>
          <w:rFonts w:asciiTheme="minorHAnsi" w:hAnsiTheme="minorHAnsi" w:cs="Arial"/>
          <w:bCs/>
          <w:snapToGrid w:val="0"/>
          <w:lang w:val="en-GB"/>
        </w:rPr>
        <w:t xml:space="preserve">provided by the sponsor </w:t>
      </w:r>
      <w:r>
        <w:rPr>
          <w:rFonts w:asciiTheme="minorHAnsi" w:hAnsiTheme="minorHAnsi" w:cs="Arial"/>
          <w:bCs/>
          <w:snapToGrid w:val="0"/>
          <w:lang w:val="en-GB"/>
        </w:rPr>
        <w:t>in addressing previous concerns raised</w:t>
      </w:r>
      <w:r w:rsidR="00EE54EC">
        <w:rPr>
          <w:rFonts w:asciiTheme="minorHAnsi" w:hAnsiTheme="minorHAnsi" w:cs="Arial"/>
          <w:bCs/>
          <w:snapToGrid w:val="0"/>
          <w:lang w:val="en-GB"/>
        </w:rPr>
        <w:t xml:space="preserve"> by the committee</w:t>
      </w:r>
      <w:r>
        <w:rPr>
          <w:rFonts w:asciiTheme="minorHAnsi" w:hAnsiTheme="minorHAnsi" w:cs="Arial"/>
          <w:bCs/>
          <w:snapToGrid w:val="0"/>
          <w:lang w:val="en-GB"/>
        </w:rPr>
        <w:t>. However, the PBAC questioned the applicability of the supporting study</w:t>
      </w:r>
      <w:r w:rsidR="000D6E31">
        <w:rPr>
          <w:rFonts w:asciiTheme="minorHAnsi" w:hAnsiTheme="minorHAnsi" w:cs="Arial"/>
          <w:bCs/>
          <w:snapToGrid w:val="0"/>
          <w:lang w:val="en-GB"/>
        </w:rPr>
        <w:t xml:space="preserve"> </w:t>
      </w:r>
      <w:r>
        <w:rPr>
          <w:rFonts w:asciiTheme="minorHAnsi" w:hAnsiTheme="minorHAnsi" w:cs="Arial"/>
          <w:bCs/>
          <w:snapToGrid w:val="0"/>
          <w:lang w:val="en-GB"/>
        </w:rPr>
        <w:t xml:space="preserve">as it was </w:t>
      </w:r>
      <w:r w:rsidR="000D6E31">
        <w:rPr>
          <w:rFonts w:asciiTheme="minorHAnsi" w:hAnsiTheme="minorHAnsi" w:cs="Arial"/>
          <w:bCs/>
          <w:snapToGrid w:val="0"/>
          <w:lang w:val="en-GB"/>
        </w:rPr>
        <w:t>not based in an Australia</w:t>
      </w:r>
      <w:r w:rsidR="00885C30">
        <w:rPr>
          <w:rFonts w:asciiTheme="minorHAnsi" w:hAnsiTheme="minorHAnsi" w:cs="Arial"/>
          <w:bCs/>
          <w:snapToGrid w:val="0"/>
          <w:lang w:val="en-GB"/>
        </w:rPr>
        <w:t>n</w:t>
      </w:r>
      <w:r w:rsidR="000D6E31">
        <w:rPr>
          <w:rFonts w:asciiTheme="minorHAnsi" w:hAnsiTheme="minorHAnsi" w:cs="Arial"/>
          <w:bCs/>
          <w:snapToGrid w:val="0"/>
          <w:lang w:val="en-GB"/>
        </w:rPr>
        <w:t xml:space="preserve"> population</w:t>
      </w:r>
      <w:r>
        <w:rPr>
          <w:rFonts w:asciiTheme="minorHAnsi" w:hAnsiTheme="minorHAnsi" w:cs="Arial"/>
          <w:bCs/>
          <w:snapToGrid w:val="0"/>
          <w:lang w:val="en-GB"/>
        </w:rPr>
        <w:t>. The PBAC also considered the clarity and quality of the educational material</w:t>
      </w:r>
      <w:r w:rsidR="000D6E31">
        <w:rPr>
          <w:rFonts w:asciiTheme="minorHAnsi" w:hAnsiTheme="minorHAnsi" w:cs="Arial"/>
          <w:bCs/>
          <w:snapToGrid w:val="0"/>
          <w:lang w:val="en-GB"/>
        </w:rPr>
        <w:t xml:space="preserve">s and the samples of </w:t>
      </w:r>
      <w:proofErr w:type="spellStart"/>
      <w:r w:rsidR="000D6E31">
        <w:rPr>
          <w:rFonts w:asciiTheme="minorHAnsi" w:hAnsiTheme="minorHAnsi" w:cs="Arial"/>
          <w:bCs/>
          <w:snapToGrid w:val="0"/>
          <w:lang w:val="en-GB"/>
        </w:rPr>
        <w:t>autoinjector</w:t>
      </w:r>
      <w:proofErr w:type="spellEnd"/>
      <w:r w:rsidR="002E2415">
        <w:rPr>
          <w:rFonts w:asciiTheme="minorHAnsi" w:hAnsiTheme="minorHAnsi" w:cs="Arial"/>
          <w:bCs/>
          <w:snapToGrid w:val="0"/>
          <w:lang w:val="en-GB"/>
        </w:rPr>
        <w:t xml:space="preserve"> provided,</w:t>
      </w:r>
      <w:r>
        <w:rPr>
          <w:rFonts w:asciiTheme="minorHAnsi" w:hAnsiTheme="minorHAnsi" w:cs="Arial"/>
          <w:bCs/>
          <w:snapToGrid w:val="0"/>
          <w:lang w:val="en-GB"/>
        </w:rPr>
        <w:t xml:space="preserve"> did not sufficiently </w:t>
      </w:r>
      <w:r w:rsidR="00EE54EC">
        <w:rPr>
          <w:rFonts w:asciiTheme="minorHAnsi" w:hAnsiTheme="minorHAnsi" w:cs="Arial"/>
          <w:bCs/>
          <w:snapToGrid w:val="0"/>
          <w:lang w:val="en-GB"/>
        </w:rPr>
        <w:t xml:space="preserve">minimise the risk for a </w:t>
      </w:r>
      <w:r w:rsidR="002E2415">
        <w:rPr>
          <w:rFonts w:asciiTheme="minorHAnsi" w:hAnsiTheme="minorHAnsi" w:cs="Arial"/>
          <w:bCs/>
          <w:snapToGrid w:val="0"/>
          <w:lang w:val="en-GB"/>
        </w:rPr>
        <w:t xml:space="preserve">possible </w:t>
      </w:r>
      <w:r w:rsidR="00EE54EC">
        <w:rPr>
          <w:rFonts w:asciiTheme="minorHAnsi" w:hAnsiTheme="minorHAnsi" w:cs="Arial"/>
          <w:bCs/>
          <w:snapToGrid w:val="0"/>
          <w:lang w:val="en-GB"/>
        </w:rPr>
        <w:t>medication misadventure due to the diff</w:t>
      </w:r>
      <w:r w:rsidR="000D6E31">
        <w:rPr>
          <w:rFonts w:asciiTheme="minorHAnsi" w:hAnsiTheme="minorHAnsi" w:cs="Arial"/>
          <w:bCs/>
          <w:snapToGrid w:val="0"/>
          <w:lang w:val="en-GB"/>
        </w:rPr>
        <w:t>erent administration techniques</w:t>
      </w:r>
      <w:r>
        <w:rPr>
          <w:rFonts w:asciiTheme="minorHAnsi" w:hAnsiTheme="minorHAnsi" w:cs="Arial"/>
          <w:bCs/>
          <w:snapToGrid w:val="0"/>
          <w:lang w:val="en-GB"/>
        </w:rPr>
        <w:t>.</w:t>
      </w:r>
    </w:p>
    <w:p w:rsidR="00EE54EC" w:rsidRDefault="00EE54EC" w:rsidP="00EE54EC">
      <w:pPr>
        <w:widowControl w:val="0"/>
        <w:numPr>
          <w:ilvl w:val="1"/>
          <w:numId w:val="5"/>
        </w:numPr>
        <w:spacing w:after="120"/>
        <w:jc w:val="both"/>
        <w:rPr>
          <w:rFonts w:asciiTheme="minorHAnsi" w:hAnsiTheme="minorHAnsi" w:cs="Arial"/>
          <w:bCs/>
          <w:snapToGrid w:val="0"/>
          <w:lang w:val="en-GB"/>
        </w:rPr>
      </w:pPr>
      <w:r w:rsidRPr="00D4625E">
        <w:rPr>
          <w:rFonts w:asciiTheme="minorHAnsi" w:hAnsiTheme="minorHAnsi" w:cs="Arial"/>
          <w:bCs/>
          <w:snapToGrid w:val="0"/>
          <w:lang w:val="en-GB"/>
        </w:rPr>
        <w:t xml:space="preserve">The PBAC specifically noted advice from the ASCIA, that if </w:t>
      </w:r>
      <w:proofErr w:type="spellStart"/>
      <w:r>
        <w:rPr>
          <w:rFonts w:asciiTheme="minorHAnsi" w:hAnsiTheme="minorHAnsi" w:cs="Arial"/>
          <w:bCs/>
          <w:snapToGrid w:val="0"/>
          <w:lang w:val="en-GB"/>
        </w:rPr>
        <w:t>AdrenaJect</w:t>
      </w:r>
      <w:proofErr w:type="spellEnd"/>
      <w:r>
        <w:rPr>
          <w:rFonts w:asciiTheme="minorHAnsi" w:hAnsiTheme="minorHAnsi" w:cs="Arial"/>
          <w:bCs/>
          <w:snapToGrid w:val="0"/>
          <w:lang w:val="en-GB"/>
        </w:rPr>
        <w:t xml:space="preserve">® is </w:t>
      </w:r>
      <w:r w:rsidR="002E2415">
        <w:rPr>
          <w:rFonts w:asciiTheme="minorHAnsi" w:hAnsiTheme="minorHAnsi" w:cs="Arial"/>
          <w:bCs/>
          <w:snapToGrid w:val="0"/>
          <w:lang w:val="en-GB"/>
        </w:rPr>
        <w:t>available with brand equivalence (‘a’ flagged)</w:t>
      </w:r>
      <w:r>
        <w:rPr>
          <w:rFonts w:asciiTheme="minorHAnsi" w:hAnsiTheme="minorHAnsi" w:cs="Arial"/>
          <w:bCs/>
          <w:snapToGrid w:val="0"/>
          <w:lang w:val="en-GB"/>
        </w:rPr>
        <w:t xml:space="preserve"> on the PBS</w:t>
      </w:r>
      <w:r w:rsidRPr="00D4625E">
        <w:rPr>
          <w:rFonts w:asciiTheme="minorHAnsi" w:hAnsiTheme="minorHAnsi" w:cs="Arial"/>
          <w:bCs/>
          <w:snapToGrid w:val="0"/>
          <w:lang w:val="en-GB"/>
        </w:rPr>
        <w:t xml:space="preserve">, </w:t>
      </w:r>
      <w:r>
        <w:rPr>
          <w:rFonts w:asciiTheme="minorHAnsi" w:hAnsiTheme="minorHAnsi" w:cs="Arial"/>
          <w:bCs/>
          <w:snapToGrid w:val="0"/>
          <w:lang w:val="en-GB"/>
        </w:rPr>
        <w:t>there should be widespread, quality education and training for all health professionals</w:t>
      </w:r>
      <w:r w:rsidR="002E2415">
        <w:rPr>
          <w:rFonts w:asciiTheme="minorHAnsi" w:hAnsiTheme="minorHAnsi" w:cs="Arial"/>
          <w:bCs/>
          <w:snapToGrid w:val="0"/>
          <w:lang w:val="en-GB"/>
        </w:rPr>
        <w:t xml:space="preserve">, </w:t>
      </w:r>
      <w:r>
        <w:rPr>
          <w:rFonts w:asciiTheme="minorHAnsi" w:hAnsiTheme="minorHAnsi" w:cs="Arial"/>
          <w:bCs/>
          <w:snapToGrid w:val="0"/>
          <w:lang w:val="en-GB"/>
        </w:rPr>
        <w:t>school</w:t>
      </w:r>
      <w:r w:rsidR="002E2415">
        <w:rPr>
          <w:rFonts w:asciiTheme="minorHAnsi" w:hAnsiTheme="minorHAnsi" w:cs="Arial"/>
          <w:bCs/>
          <w:snapToGrid w:val="0"/>
          <w:lang w:val="en-GB"/>
        </w:rPr>
        <w:t xml:space="preserve"> teachers</w:t>
      </w:r>
      <w:r>
        <w:rPr>
          <w:rFonts w:asciiTheme="minorHAnsi" w:hAnsiTheme="minorHAnsi" w:cs="Arial"/>
          <w:bCs/>
          <w:snapToGrid w:val="0"/>
          <w:lang w:val="en-GB"/>
        </w:rPr>
        <w:t>, early childhood education/care staff,</w:t>
      </w:r>
      <w:r w:rsidR="002E2415">
        <w:rPr>
          <w:rFonts w:asciiTheme="minorHAnsi" w:hAnsiTheme="minorHAnsi" w:cs="Arial"/>
          <w:bCs/>
          <w:snapToGrid w:val="0"/>
          <w:lang w:val="en-GB"/>
        </w:rPr>
        <w:t xml:space="preserve"> first aid officers,</w:t>
      </w:r>
      <w:r>
        <w:rPr>
          <w:rFonts w:asciiTheme="minorHAnsi" w:hAnsiTheme="minorHAnsi" w:cs="Arial"/>
          <w:bCs/>
          <w:snapToGrid w:val="0"/>
          <w:lang w:val="en-GB"/>
        </w:rPr>
        <w:t xml:space="preserve"> patients and their families</w:t>
      </w:r>
      <w:r w:rsidR="002E2415">
        <w:rPr>
          <w:rFonts w:asciiTheme="minorHAnsi" w:hAnsiTheme="minorHAnsi" w:cs="Arial"/>
          <w:bCs/>
          <w:snapToGrid w:val="0"/>
          <w:lang w:val="en-GB"/>
        </w:rPr>
        <w:t>/</w:t>
      </w:r>
      <w:r>
        <w:rPr>
          <w:rFonts w:asciiTheme="minorHAnsi" w:hAnsiTheme="minorHAnsi" w:cs="Arial"/>
          <w:bCs/>
          <w:snapToGrid w:val="0"/>
          <w:lang w:val="en-GB"/>
        </w:rPr>
        <w:t xml:space="preserve">carers to avoid </w:t>
      </w:r>
      <w:r w:rsidR="002E2415">
        <w:rPr>
          <w:rFonts w:asciiTheme="minorHAnsi" w:hAnsiTheme="minorHAnsi" w:cs="Arial"/>
          <w:bCs/>
          <w:snapToGrid w:val="0"/>
          <w:lang w:val="en-GB"/>
        </w:rPr>
        <w:t>misadventure such as f</w:t>
      </w:r>
      <w:r>
        <w:rPr>
          <w:rFonts w:asciiTheme="minorHAnsi" w:hAnsiTheme="minorHAnsi" w:cs="Arial"/>
          <w:bCs/>
          <w:snapToGrid w:val="0"/>
          <w:lang w:val="en-GB"/>
        </w:rPr>
        <w:t xml:space="preserve">atal anaphylaxis due to incorrect device use. </w:t>
      </w:r>
    </w:p>
    <w:p w:rsidR="008D03F6" w:rsidRDefault="008D03F6" w:rsidP="008D03F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w:t>
      </w:r>
      <w:r w:rsidR="008D374F">
        <w:rPr>
          <w:rFonts w:asciiTheme="minorHAnsi" w:hAnsiTheme="minorHAnsi" w:cs="Arial"/>
          <w:bCs/>
          <w:snapToGrid w:val="0"/>
          <w:lang w:val="en-GB"/>
        </w:rPr>
        <w:t xml:space="preserve"> options</w:t>
      </w:r>
      <w:r>
        <w:rPr>
          <w:rFonts w:asciiTheme="minorHAnsi" w:hAnsiTheme="minorHAnsi" w:cs="Arial"/>
          <w:bCs/>
          <w:snapToGrid w:val="0"/>
          <w:lang w:val="en-GB"/>
        </w:rPr>
        <w:t xml:space="preserve"> were</w:t>
      </w:r>
      <w:r w:rsidR="008D374F">
        <w:rPr>
          <w:rFonts w:asciiTheme="minorHAnsi" w:hAnsiTheme="minorHAnsi" w:cs="Arial"/>
          <w:bCs/>
          <w:snapToGrid w:val="0"/>
          <w:lang w:val="en-GB"/>
        </w:rPr>
        <w:t xml:space="preserve"> </w:t>
      </w:r>
      <w:r>
        <w:rPr>
          <w:rFonts w:asciiTheme="minorHAnsi" w:hAnsiTheme="minorHAnsi" w:cs="Arial"/>
          <w:bCs/>
          <w:snapToGrid w:val="0"/>
          <w:lang w:val="en-GB"/>
        </w:rPr>
        <w:t xml:space="preserve">discussed </w:t>
      </w:r>
      <w:r w:rsidR="008D374F">
        <w:rPr>
          <w:rFonts w:asciiTheme="minorHAnsi" w:hAnsiTheme="minorHAnsi" w:cs="Arial"/>
          <w:bCs/>
          <w:snapToGrid w:val="0"/>
          <w:lang w:val="en-GB"/>
        </w:rPr>
        <w:t xml:space="preserve">at </w:t>
      </w:r>
      <w:r>
        <w:rPr>
          <w:rFonts w:asciiTheme="minorHAnsi" w:hAnsiTheme="minorHAnsi" w:cs="Arial"/>
          <w:bCs/>
          <w:snapToGrid w:val="0"/>
          <w:lang w:val="en-GB"/>
        </w:rPr>
        <w:t xml:space="preserve">the meeting to </w:t>
      </w:r>
      <w:r w:rsidR="008D374F">
        <w:rPr>
          <w:rFonts w:asciiTheme="minorHAnsi" w:hAnsiTheme="minorHAnsi" w:cs="Arial"/>
          <w:bCs/>
          <w:snapToGrid w:val="0"/>
          <w:lang w:val="en-GB"/>
        </w:rPr>
        <w:t xml:space="preserve">address the issues of </w:t>
      </w:r>
      <w:r>
        <w:rPr>
          <w:rFonts w:asciiTheme="minorHAnsi" w:hAnsiTheme="minorHAnsi" w:cs="Arial"/>
          <w:bCs/>
          <w:snapToGrid w:val="0"/>
          <w:lang w:val="en-GB"/>
        </w:rPr>
        <w:t>consumer confusion, including the suggestion of having a non-</w:t>
      </w:r>
      <w:r w:rsidR="002E2415">
        <w:rPr>
          <w:rFonts w:asciiTheme="minorHAnsi" w:hAnsiTheme="minorHAnsi" w:cs="Arial"/>
          <w:bCs/>
          <w:snapToGrid w:val="0"/>
          <w:lang w:val="en-GB"/>
        </w:rPr>
        <w:t>brand</w:t>
      </w:r>
      <w:r>
        <w:rPr>
          <w:rFonts w:asciiTheme="minorHAnsi" w:hAnsiTheme="minorHAnsi" w:cs="Arial"/>
          <w:bCs/>
          <w:snapToGrid w:val="0"/>
          <w:lang w:val="en-GB"/>
        </w:rPr>
        <w:t xml:space="preserve">-specific action plan </w:t>
      </w:r>
      <w:r w:rsidR="002E2415">
        <w:rPr>
          <w:rFonts w:asciiTheme="minorHAnsi" w:hAnsiTheme="minorHAnsi" w:cs="Arial"/>
          <w:bCs/>
          <w:snapToGrid w:val="0"/>
          <w:lang w:val="en-GB"/>
        </w:rPr>
        <w:t>available</w:t>
      </w:r>
      <w:r w:rsidR="008D374F">
        <w:rPr>
          <w:rFonts w:asciiTheme="minorHAnsi" w:hAnsiTheme="minorHAnsi" w:cs="Arial"/>
          <w:bCs/>
          <w:snapToGrid w:val="0"/>
          <w:lang w:val="en-GB"/>
        </w:rPr>
        <w:t xml:space="preserve"> </w:t>
      </w:r>
      <w:r>
        <w:rPr>
          <w:rFonts w:asciiTheme="minorHAnsi" w:hAnsiTheme="minorHAnsi" w:cs="Arial"/>
          <w:bCs/>
          <w:snapToGrid w:val="0"/>
          <w:lang w:val="en-GB"/>
        </w:rPr>
        <w:t>from ASCIA</w:t>
      </w:r>
      <w:r w:rsidR="00F81BFC">
        <w:rPr>
          <w:rFonts w:asciiTheme="minorHAnsi" w:hAnsiTheme="minorHAnsi" w:cs="Arial"/>
          <w:bCs/>
          <w:snapToGrid w:val="0"/>
          <w:lang w:val="en-GB"/>
        </w:rPr>
        <w:t xml:space="preserve"> and </w:t>
      </w:r>
      <w:r w:rsidR="002E2415">
        <w:rPr>
          <w:rFonts w:asciiTheme="minorHAnsi" w:hAnsiTheme="minorHAnsi" w:cs="Arial"/>
          <w:bCs/>
          <w:snapToGrid w:val="0"/>
          <w:lang w:val="en-GB"/>
        </w:rPr>
        <w:t>improved</w:t>
      </w:r>
      <w:r>
        <w:rPr>
          <w:rFonts w:asciiTheme="minorHAnsi" w:hAnsiTheme="minorHAnsi" w:cs="Arial"/>
          <w:bCs/>
          <w:snapToGrid w:val="0"/>
          <w:lang w:val="en-GB"/>
        </w:rPr>
        <w:t xml:space="preserve"> clari</w:t>
      </w:r>
      <w:r w:rsidR="00F81BFC">
        <w:rPr>
          <w:rFonts w:asciiTheme="minorHAnsi" w:hAnsiTheme="minorHAnsi" w:cs="Arial"/>
          <w:bCs/>
          <w:snapToGrid w:val="0"/>
          <w:lang w:val="en-GB"/>
        </w:rPr>
        <w:t xml:space="preserve">fication on </w:t>
      </w:r>
      <w:r w:rsidR="002E2415">
        <w:rPr>
          <w:rFonts w:asciiTheme="minorHAnsi" w:hAnsiTheme="minorHAnsi" w:cs="Arial"/>
          <w:bCs/>
          <w:snapToGrid w:val="0"/>
          <w:lang w:val="en-GB"/>
        </w:rPr>
        <w:t xml:space="preserve">the </w:t>
      </w:r>
      <w:r>
        <w:rPr>
          <w:rFonts w:asciiTheme="minorHAnsi" w:hAnsiTheme="minorHAnsi" w:cs="Arial"/>
          <w:bCs/>
          <w:snapToGrid w:val="0"/>
          <w:lang w:val="en-GB"/>
        </w:rPr>
        <w:t>labelling and packag</w:t>
      </w:r>
      <w:r w:rsidR="002E2415">
        <w:rPr>
          <w:rFonts w:asciiTheme="minorHAnsi" w:hAnsiTheme="minorHAnsi" w:cs="Arial"/>
          <w:bCs/>
          <w:snapToGrid w:val="0"/>
          <w:lang w:val="en-GB"/>
        </w:rPr>
        <w:t>ing</w:t>
      </w:r>
      <w:r>
        <w:rPr>
          <w:rFonts w:asciiTheme="minorHAnsi" w:hAnsiTheme="minorHAnsi" w:cs="Arial"/>
          <w:bCs/>
          <w:snapToGrid w:val="0"/>
          <w:lang w:val="en-GB"/>
        </w:rPr>
        <w:t xml:space="preserve"> of </w:t>
      </w:r>
      <w:proofErr w:type="spellStart"/>
      <w:r>
        <w:rPr>
          <w:rFonts w:asciiTheme="minorHAnsi" w:hAnsiTheme="minorHAnsi" w:cs="Arial"/>
          <w:bCs/>
          <w:snapToGrid w:val="0"/>
          <w:lang w:val="en-GB"/>
        </w:rPr>
        <w:t>AdrenaJect</w:t>
      </w:r>
      <w:proofErr w:type="spellEnd"/>
      <w:r w:rsidR="001C460D">
        <w:rPr>
          <w:rFonts w:asciiTheme="minorHAnsi" w:hAnsiTheme="minorHAnsi" w:cs="Arial"/>
          <w:bCs/>
          <w:snapToGrid w:val="0"/>
          <w:lang w:val="en-GB"/>
        </w:rPr>
        <w:t>®</w:t>
      </w:r>
      <w:r>
        <w:rPr>
          <w:rFonts w:asciiTheme="minorHAnsi" w:hAnsiTheme="minorHAnsi" w:cs="Arial"/>
          <w:bCs/>
          <w:snapToGrid w:val="0"/>
          <w:lang w:val="en-GB"/>
        </w:rPr>
        <w:t>.</w:t>
      </w:r>
      <w:r w:rsidR="00F81BFC">
        <w:rPr>
          <w:rFonts w:asciiTheme="minorHAnsi" w:hAnsiTheme="minorHAnsi" w:cs="Arial"/>
          <w:bCs/>
          <w:snapToGrid w:val="0"/>
          <w:lang w:val="en-GB"/>
        </w:rPr>
        <w:t xml:space="preserve"> The PBAC suggested that the Sponsor </w:t>
      </w:r>
      <w:r w:rsidR="002E2415">
        <w:rPr>
          <w:rFonts w:asciiTheme="minorHAnsi" w:hAnsiTheme="minorHAnsi" w:cs="Arial"/>
          <w:bCs/>
          <w:snapToGrid w:val="0"/>
          <w:lang w:val="en-GB"/>
        </w:rPr>
        <w:t>liaise</w:t>
      </w:r>
      <w:r w:rsidR="00F81BFC">
        <w:rPr>
          <w:rFonts w:asciiTheme="minorHAnsi" w:hAnsiTheme="minorHAnsi" w:cs="Arial"/>
          <w:bCs/>
          <w:snapToGrid w:val="0"/>
          <w:lang w:val="en-GB"/>
        </w:rPr>
        <w:t xml:space="preserve"> with relevant organisations</w:t>
      </w:r>
      <w:r w:rsidR="008D374F">
        <w:rPr>
          <w:rFonts w:asciiTheme="minorHAnsi" w:hAnsiTheme="minorHAnsi" w:cs="Arial"/>
          <w:bCs/>
          <w:snapToGrid w:val="0"/>
          <w:lang w:val="en-GB"/>
        </w:rPr>
        <w:t xml:space="preserve"> (i.e. ASCIA)</w:t>
      </w:r>
      <w:r w:rsidR="00F81BFC">
        <w:rPr>
          <w:rFonts w:asciiTheme="minorHAnsi" w:hAnsiTheme="minorHAnsi" w:cs="Arial"/>
          <w:bCs/>
          <w:snapToGrid w:val="0"/>
          <w:lang w:val="en-GB"/>
        </w:rPr>
        <w:t xml:space="preserve"> to obtain advice and assistance to address the</w:t>
      </w:r>
      <w:r w:rsidR="002563E3">
        <w:rPr>
          <w:rFonts w:asciiTheme="minorHAnsi" w:hAnsiTheme="minorHAnsi" w:cs="Arial"/>
          <w:bCs/>
          <w:snapToGrid w:val="0"/>
          <w:lang w:val="en-GB"/>
        </w:rPr>
        <w:t xml:space="preserve"> concerns raised.</w:t>
      </w:r>
      <w:r w:rsidR="00F81BFC">
        <w:rPr>
          <w:rFonts w:asciiTheme="minorHAnsi" w:hAnsiTheme="minorHAnsi" w:cs="Arial"/>
          <w:bCs/>
          <w:snapToGrid w:val="0"/>
          <w:lang w:val="en-GB"/>
        </w:rPr>
        <w:t xml:space="preserve"> </w:t>
      </w:r>
    </w:p>
    <w:p w:rsidR="007F364F" w:rsidRDefault="007F364F" w:rsidP="007F364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w:t>
      </w:r>
      <w:r w:rsidRPr="000D6E31">
        <w:rPr>
          <w:rFonts w:asciiTheme="minorHAnsi" w:hAnsiTheme="minorHAnsi" w:cs="Arial"/>
          <w:bCs/>
          <w:snapToGrid w:val="0"/>
          <w:lang w:val="en-GB"/>
        </w:rPr>
        <w:t xml:space="preserve">he PBAC </w:t>
      </w:r>
      <w:r w:rsidR="00952E0B">
        <w:rPr>
          <w:rFonts w:asciiTheme="minorHAnsi" w:hAnsiTheme="minorHAnsi" w:cs="Arial"/>
          <w:bCs/>
          <w:snapToGrid w:val="0"/>
          <w:lang w:val="en-GB"/>
        </w:rPr>
        <w:t>acknowledge</w:t>
      </w:r>
      <w:r w:rsidR="001C460D">
        <w:rPr>
          <w:rFonts w:asciiTheme="minorHAnsi" w:hAnsiTheme="minorHAnsi" w:cs="Arial"/>
          <w:bCs/>
          <w:snapToGrid w:val="0"/>
          <w:lang w:val="en-GB"/>
        </w:rPr>
        <w:t>d</w:t>
      </w:r>
      <w:r w:rsidRPr="000D6E31">
        <w:rPr>
          <w:rFonts w:asciiTheme="minorHAnsi" w:hAnsiTheme="minorHAnsi" w:cs="Arial"/>
          <w:bCs/>
          <w:snapToGrid w:val="0"/>
          <w:lang w:val="en-GB"/>
        </w:rPr>
        <w:t xml:space="preserve"> the sponsor</w:t>
      </w:r>
      <w:r w:rsidRPr="00B07552">
        <w:rPr>
          <w:rFonts w:asciiTheme="minorHAnsi" w:hAnsiTheme="minorHAnsi" w:cs="Arial"/>
          <w:bCs/>
          <w:snapToGrid w:val="0"/>
          <w:lang w:val="en-GB"/>
        </w:rPr>
        <w:t>’</w:t>
      </w:r>
      <w:r w:rsidRPr="008D03F6">
        <w:rPr>
          <w:rFonts w:asciiTheme="minorHAnsi" w:hAnsiTheme="minorHAnsi" w:cs="Arial"/>
          <w:bCs/>
          <w:snapToGrid w:val="0"/>
          <w:lang w:val="en-GB"/>
        </w:rPr>
        <w:t xml:space="preserve">s concern </w:t>
      </w:r>
      <w:r w:rsidR="00952E0B">
        <w:rPr>
          <w:rFonts w:asciiTheme="minorHAnsi" w:hAnsiTheme="minorHAnsi" w:cs="Arial"/>
          <w:bCs/>
          <w:snapToGrid w:val="0"/>
          <w:lang w:val="en-GB"/>
        </w:rPr>
        <w:t>around</w:t>
      </w:r>
      <w:r w:rsidRPr="008D03F6">
        <w:rPr>
          <w:rFonts w:asciiTheme="minorHAnsi" w:hAnsiTheme="minorHAnsi" w:cs="Arial"/>
          <w:bCs/>
          <w:snapToGrid w:val="0"/>
          <w:lang w:val="en-GB"/>
        </w:rPr>
        <w:t xml:space="preserve"> commercial viability and </w:t>
      </w:r>
      <w:r w:rsidR="00952E0B">
        <w:rPr>
          <w:rFonts w:asciiTheme="minorHAnsi" w:hAnsiTheme="minorHAnsi" w:cs="Arial"/>
          <w:bCs/>
          <w:snapToGrid w:val="0"/>
          <w:lang w:val="en-GB"/>
        </w:rPr>
        <w:t>considered that brand equivalence (‘a’</w:t>
      </w:r>
      <w:r w:rsidR="002563E3">
        <w:rPr>
          <w:rFonts w:asciiTheme="minorHAnsi" w:hAnsiTheme="minorHAnsi" w:cs="Arial"/>
          <w:bCs/>
          <w:snapToGrid w:val="0"/>
          <w:lang w:val="en-GB"/>
        </w:rPr>
        <w:t xml:space="preserve"> flagging) is</w:t>
      </w:r>
      <w:r w:rsidR="00952E0B">
        <w:rPr>
          <w:rFonts w:asciiTheme="minorHAnsi" w:hAnsiTheme="minorHAnsi" w:cs="Arial"/>
          <w:bCs/>
          <w:snapToGrid w:val="0"/>
          <w:lang w:val="en-GB"/>
        </w:rPr>
        <w:t xml:space="preserve"> one </w:t>
      </w:r>
      <w:r>
        <w:rPr>
          <w:rFonts w:asciiTheme="minorHAnsi" w:hAnsiTheme="minorHAnsi" w:cs="Arial"/>
          <w:bCs/>
          <w:snapToGrid w:val="0"/>
          <w:lang w:val="en-GB"/>
        </w:rPr>
        <w:t xml:space="preserve">mechanism </w:t>
      </w:r>
      <w:r w:rsidR="00952E0B">
        <w:rPr>
          <w:rFonts w:asciiTheme="minorHAnsi" w:hAnsiTheme="minorHAnsi" w:cs="Arial"/>
          <w:bCs/>
          <w:snapToGrid w:val="0"/>
          <w:lang w:val="en-GB"/>
        </w:rPr>
        <w:t>which may assist</w:t>
      </w:r>
      <w:r>
        <w:rPr>
          <w:rFonts w:asciiTheme="minorHAnsi" w:hAnsiTheme="minorHAnsi" w:cs="Arial"/>
          <w:bCs/>
          <w:snapToGrid w:val="0"/>
          <w:lang w:val="en-GB"/>
        </w:rPr>
        <w:t xml:space="preserve"> </w:t>
      </w:r>
      <w:r w:rsidR="00952E0B">
        <w:rPr>
          <w:rFonts w:asciiTheme="minorHAnsi" w:hAnsiTheme="minorHAnsi" w:cs="Arial"/>
          <w:bCs/>
          <w:snapToGrid w:val="0"/>
          <w:lang w:val="en-GB"/>
        </w:rPr>
        <w:t xml:space="preserve">uptake. </w:t>
      </w:r>
      <w:r>
        <w:rPr>
          <w:rFonts w:asciiTheme="minorHAnsi" w:hAnsiTheme="minorHAnsi" w:cs="Arial"/>
          <w:bCs/>
          <w:snapToGrid w:val="0"/>
          <w:lang w:val="en-GB"/>
        </w:rPr>
        <w:t xml:space="preserve">The PBAC sought policy advice from the Department to support </w:t>
      </w:r>
      <w:r w:rsidR="00F72A77">
        <w:rPr>
          <w:rFonts w:asciiTheme="minorHAnsi" w:hAnsiTheme="minorHAnsi" w:cs="Arial"/>
          <w:bCs/>
          <w:snapToGrid w:val="0"/>
          <w:lang w:val="en-GB"/>
        </w:rPr>
        <w:t xml:space="preserve">safe </w:t>
      </w:r>
      <w:r w:rsidR="002563E3">
        <w:rPr>
          <w:rFonts w:asciiTheme="minorHAnsi" w:hAnsiTheme="minorHAnsi" w:cs="Arial"/>
          <w:bCs/>
          <w:snapToGrid w:val="0"/>
          <w:lang w:val="en-GB"/>
        </w:rPr>
        <w:t xml:space="preserve">uptake of this alternative brand given the current supply issues with the originator brand. </w:t>
      </w:r>
    </w:p>
    <w:p w:rsidR="001C460D" w:rsidRPr="001C460D" w:rsidRDefault="001C460D" w:rsidP="001C460D">
      <w:pPr>
        <w:widowControl w:val="0"/>
        <w:numPr>
          <w:ilvl w:val="1"/>
          <w:numId w:val="5"/>
        </w:numPr>
        <w:spacing w:after="120"/>
        <w:jc w:val="both"/>
        <w:rPr>
          <w:rFonts w:asciiTheme="minorHAnsi" w:hAnsiTheme="minorHAnsi" w:cs="Arial"/>
          <w:bCs/>
          <w:snapToGrid w:val="0"/>
          <w:lang w:val="en-GB"/>
        </w:rPr>
      </w:pPr>
      <w:r w:rsidRPr="001C460D">
        <w:rPr>
          <w:rFonts w:asciiTheme="minorHAnsi" w:hAnsiTheme="minorHAnsi" w:cs="Arial"/>
          <w:bCs/>
          <w:snapToGrid w:val="0"/>
          <w:lang w:val="en-GB"/>
        </w:rPr>
        <w:t xml:space="preserve">The PBAC noted that this submission is not eligible for an Independent Review as it was deferred. </w:t>
      </w:r>
    </w:p>
    <w:p w:rsidR="00A87565" w:rsidRPr="00AB2C2B" w:rsidRDefault="00A87565" w:rsidP="00AB2C2B">
      <w:pPr>
        <w:rPr>
          <w:rFonts w:asciiTheme="minorHAnsi" w:hAnsiTheme="minorHAnsi"/>
          <w:snapToGrid w:val="0"/>
          <w:lang w:val="en-GB"/>
        </w:rPr>
      </w:pPr>
      <w:r w:rsidRPr="00AB2C2B">
        <w:rPr>
          <w:rFonts w:asciiTheme="minorHAnsi" w:hAnsiTheme="minorHAnsi"/>
          <w:b/>
          <w:snapToGrid w:val="0"/>
          <w:lang w:val="en-GB"/>
        </w:rPr>
        <w:lastRenderedPageBreak/>
        <w:t>Outcome</w:t>
      </w:r>
      <w:proofErr w:type="gramStart"/>
      <w:r w:rsidRPr="00AB2C2B">
        <w:rPr>
          <w:rFonts w:asciiTheme="minorHAnsi" w:hAnsiTheme="minorHAnsi"/>
          <w:b/>
          <w:snapToGrid w:val="0"/>
          <w:lang w:val="en-GB"/>
        </w:rPr>
        <w:t>:</w:t>
      </w:r>
      <w:proofErr w:type="gramEnd"/>
      <w:r w:rsidR="005B0F25" w:rsidRPr="00AB2C2B">
        <w:rPr>
          <w:rFonts w:asciiTheme="minorHAnsi" w:hAnsiTheme="minorHAnsi"/>
          <w:b/>
          <w:snapToGrid w:val="0"/>
          <w:lang w:val="en-GB"/>
        </w:rPr>
        <w:br/>
      </w:r>
      <w:r w:rsidRPr="00AB2C2B">
        <w:rPr>
          <w:rFonts w:asciiTheme="minorHAnsi" w:hAnsiTheme="minorHAnsi"/>
          <w:snapToGrid w:val="0"/>
          <w:lang w:val="en-GB"/>
        </w:rPr>
        <w:t xml:space="preserve">Deferred </w:t>
      </w:r>
    </w:p>
    <w:p w:rsidR="00E00CB7" w:rsidRPr="00E00CB7" w:rsidRDefault="00E00CB7" w:rsidP="00E00CB7">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E00CB7">
        <w:rPr>
          <w:rFonts w:asciiTheme="minorHAnsi" w:eastAsiaTheme="minorHAnsi" w:hAnsiTheme="minorHAnsi" w:cstheme="minorBidi"/>
          <w:b/>
          <w:sz w:val="32"/>
          <w:szCs w:val="22"/>
          <w:lang w:eastAsia="en-US"/>
        </w:rPr>
        <w:t>Context for Decision</w:t>
      </w:r>
    </w:p>
    <w:p w:rsidR="00E00CB7" w:rsidRPr="00E00CB7" w:rsidRDefault="00E00CB7" w:rsidP="00AB2C2B">
      <w:pPr>
        <w:spacing w:line="276" w:lineRule="auto"/>
        <w:jc w:val="both"/>
        <w:rPr>
          <w:rFonts w:asciiTheme="minorHAnsi" w:eastAsiaTheme="minorHAnsi" w:hAnsiTheme="minorHAnsi" w:cs="Arial"/>
          <w:szCs w:val="22"/>
          <w:lang w:eastAsia="en-US"/>
        </w:rPr>
      </w:pPr>
      <w:r w:rsidRPr="00E00CB7">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00CB7" w:rsidRPr="00E00CB7" w:rsidRDefault="00E00CB7" w:rsidP="00E00CB7">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E00CB7">
        <w:rPr>
          <w:rFonts w:asciiTheme="minorHAnsi" w:eastAsiaTheme="minorHAnsi" w:hAnsiTheme="minorHAnsi" w:cstheme="minorBidi"/>
          <w:b/>
          <w:sz w:val="32"/>
          <w:szCs w:val="22"/>
          <w:lang w:eastAsia="en-US"/>
        </w:rPr>
        <w:t xml:space="preserve"> Sponsor’s Comment</w:t>
      </w:r>
    </w:p>
    <w:p w:rsidR="00E00CB7" w:rsidRPr="0071340B" w:rsidRDefault="00F13EA3" w:rsidP="00AB2C2B">
      <w:pPr>
        <w:spacing w:after="120" w:line="276" w:lineRule="auto"/>
        <w:jc w:val="both"/>
        <w:rPr>
          <w:rFonts w:asciiTheme="minorHAnsi" w:hAnsiTheme="minorHAnsi"/>
          <w:sz w:val="22"/>
          <w:szCs w:val="22"/>
        </w:rPr>
      </w:pPr>
      <w:r w:rsidRPr="00F13EA3">
        <w:rPr>
          <w:rFonts w:asciiTheme="minorHAnsi" w:eastAsiaTheme="minorHAnsi" w:hAnsiTheme="minorHAnsi" w:cs="Arial"/>
          <w:bCs/>
          <w:szCs w:val="22"/>
          <w:lang w:val="en-GB" w:eastAsia="en-US"/>
        </w:rPr>
        <w:t xml:space="preserve">Sun Pharma will continue to work with the PBAC and relevant Stakeholders to list </w:t>
      </w:r>
      <w:proofErr w:type="spellStart"/>
      <w:r w:rsidRPr="00F13EA3">
        <w:rPr>
          <w:rFonts w:asciiTheme="minorHAnsi" w:eastAsiaTheme="minorHAnsi" w:hAnsiTheme="minorHAnsi" w:cs="Arial"/>
          <w:bCs/>
          <w:szCs w:val="22"/>
          <w:lang w:val="en-GB" w:eastAsia="en-US"/>
        </w:rPr>
        <w:t>AdrenaJect</w:t>
      </w:r>
      <w:proofErr w:type="spellEnd"/>
      <w:r w:rsidRPr="00F13EA3">
        <w:rPr>
          <w:rFonts w:asciiTheme="minorHAnsi" w:eastAsiaTheme="minorHAnsi" w:hAnsiTheme="minorHAnsi" w:cs="Arial"/>
          <w:bCs/>
          <w:szCs w:val="22"/>
          <w:lang w:val="en-GB" w:eastAsia="en-US"/>
        </w:rPr>
        <w:t xml:space="preserve"> on the PBS as an equivalent brand for </w:t>
      </w:r>
      <w:proofErr w:type="spellStart"/>
      <w:r w:rsidRPr="00F13EA3">
        <w:rPr>
          <w:rFonts w:asciiTheme="minorHAnsi" w:eastAsiaTheme="minorHAnsi" w:hAnsiTheme="minorHAnsi" w:cs="Arial"/>
          <w:bCs/>
          <w:szCs w:val="22"/>
          <w:lang w:val="en-GB" w:eastAsia="en-US"/>
        </w:rPr>
        <w:t>EpiPen</w:t>
      </w:r>
      <w:proofErr w:type="spellEnd"/>
      <w:r w:rsidRPr="00F13EA3">
        <w:rPr>
          <w:rFonts w:asciiTheme="minorHAnsi" w:eastAsiaTheme="minorHAnsi" w:hAnsiTheme="minorHAnsi" w:cs="Arial"/>
          <w:bCs/>
          <w:szCs w:val="22"/>
          <w:lang w:val="en-GB" w:eastAsia="en-US"/>
        </w:rPr>
        <w:t>.</w:t>
      </w:r>
      <w:bookmarkStart w:id="0" w:name="_GoBack"/>
      <w:bookmarkEnd w:id="0"/>
    </w:p>
    <w:sectPr w:rsidR="00E00CB7" w:rsidRPr="0071340B" w:rsidSect="000D6E3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D1" w:rsidRDefault="003576D1">
      <w:r>
        <w:separator/>
      </w:r>
    </w:p>
    <w:p w:rsidR="003576D1" w:rsidRDefault="003576D1"/>
  </w:endnote>
  <w:endnote w:type="continuationSeparator" w:id="0">
    <w:p w:rsidR="003576D1" w:rsidRDefault="003576D1">
      <w:r>
        <w:continuationSeparator/>
      </w:r>
    </w:p>
    <w:p w:rsidR="003576D1" w:rsidRDefault="00357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3187F" w:rsidTr="005A3173">
      <w:trPr>
        <w:trHeight w:val="151"/>
      </w:trPr>
      <w:tc>
        <w:tcPr>
          <w:tcW w:w="2250" w:type="pct"/>
          <w:tcBorders>
            <w:top w:val="nil"/>
            <w:left w:val="nil"/>
            <w:bottom w:val="single" w:sz="4" w:space="0" w:color="4F81BD"/>
            <w:right w:val="nil"/>
          </w:tcBorders>
        </w:tcPr>
        <w:p w:rsidR="0063187F" w:rsidRPr="005A3173" w:rsidRDefault="0063187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187F" w:rsidRPr="005A3173" w:rsidRDefault="0063187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187F" w:rsidRPr="005A3173" w:rsidRDefault="0063187F" w:rsidP="005A3173">
          <w:pPr>
            <w:pStyle w:val="Header"/>
            <w:spacing w:line="276" w:lineRule="auto"/>
            <w:rPr>
              <w:rFonts w:ascii="Calibri" w:eastAsia="MS Gothic" w:hAnsi="Calibri"/>
              <w:b/>
              <w:bCs/>
              <w:color w:val="4F81BD"/>
            </w:rPr>
          </w:pPr>
        </w:p>
      </w:tc>
    </w:tr>
    <w:tr w:rsidR="0063187F" w:rsidTr="005A3173">
      <w:trPr>
        <w:trHeight w:val="150"/>
      </w:trPr>
      <w:tc>
        <w:tcPr>
          <w:tcW w:w="2250" w:type="pct"/>
          <w:tcBorders>
            <w:top w:val="single" w:sz="4" w:space="0" w:color="4F81BD"/>
            <w:left w:val="nil"/>
            <w:bottom w:val="nil"/>
            <w:right w:val="nil"/>
          </w:tcBorders>
        </w:tcPr>
        <w:p w:rsidR="0063187F" w:rsidRPr="005A3173" w:rsidRDefault="0063187F" w:rsidP="005A3173">
          <w:pPr>
            <w:pStyle w:val="Header"/>
            <w:spacing w:line="276" w:lineRule="auto"/>
            <w:rPr>
              <w:rFonts w:ascii="Calibri" w:eastAsia="MS Gothic" w:hAnsi="Calibri"/>
              <w:b/>
              <w:bCs/>
              <w:color w:val="4F81BD"/>
            </w:rPr>
          </w:pPr>
        </w:p>
      </w:tc>
      <w:tc>
        <w:tcPr>
          <w:tcW w:w="0" w:type="auto"/>
          <w:vMerge/>
          <w:vAlign w:val="center"/>
          <w:hideMark/>
        </w:tcPr>
        <w:p w:rsidR="0063187F" w:rsidRPr="005A3173" w:rsidRDefault="0063187F"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187F" w:rsidRPr="005A3173" w:rsidRDefault="0063187F" w:rsidP="005A3173">
          <w:pPr>
            <w:pStyle w:val="Header"/>
            <w:spacing w:line="276" w:lineRule="auto"/>
            <w:rPr>
              <w:rFonts w:ascii="Calibri" w:eastAsia="MS Gothic" w:hAnsi="Calibri"/>
              <w:b/>
              <w:bCs/>
              <w:color w:val="4F81BD"/>
            </w:rPr>
          </w:pPr>
        </w:p>
      </w:tc>
    </w:tr>
  </w:tbl>
  <w:p w:rsidR="0063187F" w:rsidRDefault="0063187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187F" w:rsidRDefault="0063187F">
    <w:pPr>
      <w:pStyle w:val="Footer"/>
    </w:pPr>
  </w:p>
  <w:p w:rsidR="0063187F" w:rsidRDefault="006318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12" w:rsidRPr="004F7AA1" w:rsidRDefault="007F3B12" w:rsidP="007F3B12">
    <w:pPr>
      <w:pStyle w:val="Footer"/>
      <w:ind w:left="360"/>
      <w:jc w:val="center"/>
      <w:rPr>
        <w:rFonts w:ascii="Calibri" w:hAnsi="Calibri" w:cs="Arial"/>
        <w:sz w:val="20"/>
      </w:rPr>
    </w:pPr>
    <w:r w:rsidRPr="004F7AA1">
      <w:rPr>
        <w:rFonts w:ascii="Calibri" w:hAnsi="Calibri" w:cs="Arial"/>
        <w:sz w:val="20"/>
      </w:rPr>
      <w:fldChar w:fldCharType="begin"/>
    </w:r>
    <w:r w:rsidRPr="004F7AA1">
      <w:rPr>
        <w:rFonts w:ascii="Calibri" w:hAnsi="Calibri" w:cs="Arial"/>
        <w:sz w:val="20"/>
      </w:rPr>
      <w:instrText xml:space="preserve"> PAGE   \* MERGEFORMAT </w:instrText>
    </w:r>
    <w:r w:rsidRPr="004F7AA1">
      <w:rPr>
        <w:rFonts w:ascii="Calibri" w:hAnsi="Calibri" w:cs="Arial"/>
        <w:sz w:val="20"/>
      </w:rPr>
      <w:fldChar w:fldCharType="separate"/>
    </w:r>
    <w:r w:rsidR="00AB2C2B">
      <w:rPr>
        <w:rFonts w:ascii="Calibri" w:hAnsi="Calibri" w:cs="Arial"/>
        <w:noProof/>
        <w:sz w:val="20"/>
      </w:rPr>
      <w:t>6</w:t>
    </w:r>
    <w:r w:rsidRPr="004F7AA1">
      <w:rPr>
        <w:rFonts w:ascii="Calibri" w:hAnsi="Calibri" w:cs="Arial"/>
        <w:noProof/>
        <w:sz w:val="20"/>
      </w:rPr>
      <w:fldChar w:fldCharType="end"/>
    </w:r>
  </w:p>
  <w:p w:rsidR="0063187F" w:rsidRPr="007F3B12" w:rsidRDefault="0063187F" w:rsidP="007F3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3187F" w:rsidTr="005A3173">
      <w:trPr>
        <w:trHeight w:val="151"/>
      </w:trPr>
      <w:tc>
        <w:tcPr>
          <w:tcW w:w="2250" w:type="pct"/>
          <w:tcBorders>
            <w:top w:val="nil"/>
            <w:left w:val="nil"/>
            <w:bottom w:val="single" w:sz="4" w:space="0" w:color="4F81BD"/>
            <w:right w:val="nil"/>
          </w:tcBorders>
        </w:tcPr>
        <w:p w:rsidR="0063187F" w:rsidRPr="005A3173" w:rsidRDefault="0063187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187F" w:rsidRPr="005A3173" w:rsidRDefault="0063187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187F" w:rsidRPr="005A3173" w:rsidRDefault="0063187F" w:rsidP="005A3173">
          <w:pPr>
            <w:pStyle w:val="Header"/>
            <w:spacing w:line="276" w:lineRule="auto"/>
            <w:rPr>
              <w:rFonts w:ascii="Calibri" w:eastAsia="MS Gothic" w:hAnsi="Calibri"/>
              <w:b/>
              <w:bCs/>
              <w:color w:val="4F81BD"/>
            </w:rPr>
          </w:pPr>
        </w:p>
      </w:tc>
    </w:tr>
    <w:tr w:rsidR="0063187F" w:rsidTr="005A3173">
      <w:trPr>
        <w:trHeight w:val="150"/>
      </w:trPr>
      <w:tc>
        <w:tcPr>
          <w:tcW w:w="2250" w:type="pct"/>
          <w:tcBorders>
            <w:top w:val="single" w:sz="4" w:space="0" w:color="4F81BD"/>
            <w:left w:val="nil"/>
            <w:bottom w:val="nil"/>
            <w:right w:val="nil"/>
          </w:tcBorders>
        </w:tcPr>
        <w:p w:rsidR="0063187F" w:rsidRPr="005A3173" w:rsidRDefault="0063187F" w:rsidP="005A3173">
          <w:pPr>
            <w:pStyle w:val="Header"/>
            <w:spacing w:line="276" w:lineRule="auto"/>
            <w:rPr>
              <w:rFonts w:ascii="Calibri" w:eastAsia="MS Gothic" w:hAnsi="Calibri"/>
              <w:b/>
              <w:bCs/>
              <w:color w:val="4F81BD"/>
            </w:rPr>
          </w:pPr>
        </w:p>
      </w:tc>
      <w:tc>
        <w:tcPr>
          <w:tcW w:w="0" w:type="auto"/>
          <w:vMerge/>
          <w:vAlign w:val="center"/>
          <w:hideMark/>
        </w:tcPr>
        <w:p w:rsidR="0063187F" w:rsidRPr="005A3173" w:rsidRDefault="0063187F"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187F" w:rsidRPr="005A3173" w:rsidRDefault="0063187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3187F" w:rsidTr="005A3173">
      <w:trPr>
        <w:trHeight w:val="151"/>
      </w:trPr>
      <w:tc>
        <w:tcPr>
          <w:tcW w:w="2250" w:type="pct"/>
          <w:tcBorders>
            <w:top w:val="nil"/>
            <w:left w:val="nil"/>
            <w:bottom w:val="single" w:sz="4" w:space="0" w:color="4F81BD"/>
            <w:right w:val="nil"/>
          </w:tcBorders>
        </w:tcPr>
        <w:p w:rsidR="0063187F" w:rsidRPr="005A3173" w:rsidRDefault="0063187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3187F" w:rsidRPr="005A3173" w:rsidRDefault="0063187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3187F" w:rsidRPr="005A3173" w:rsidRDefault="0063187F" w:rsidP="005A3173">
          <w:pPr>
            <w:pStyle w:val="Header"/>
            <w:spacing w:line="276" w:lineRule="auto"/>
            <w:rPr>
              <w:rFonts w:ascii="Calibri" w:eastAsia="MS Gothic" w:hAnsi="Calibri"/>
              <w:b/>
              <w:bCs/>
              <w:color w:val="4F81BD"/>
            </w:rPr>
          </w:pPr>
        </w:p>
      </w:tc>
    </w:tr>
    <w:tr w:rsidR="0063187F" w:rsidTr="005A3173">
      <w:trPr>
        <w:trHeight w:val="150"/>
      </w:trPr>
      <w:tc>
        <w:tcPr>
          <w:tcW w:w="2250" w:type="pct"/>
          <w:tcBorders>
            <w:top w:val="single" w:sz="4" w:space="0" w:color="4F81BD"/>
            <w:left w:val="nil"/>
            <w:bottom w:val="nil"/>
            <w:right w:val="nil"/>
          </w:tcBorders>
        </w:tcPr>
        <w:p w:rsidR="0063187F" w:rsidRPr="005A3173" w:rsidRDefault="0063187F" w:rsidP="005A3173">
          <w:pPr>
            <w:pStyle w:val="Header"/>
            <w:spacing w:line="276" w:lineRule="auto"/>
            <w:rPr>
              <w:rFonts w:ascii="Calibri" w:eastAsia="MS Gothic" w:hAnsi="Calibri"/>
              <w:b/>
              <w:bCs/>
              <w:color w:val="4F81BD"/>
            </w:rPr>
          </w:pPr>
        </w:p>
      </w:tc>
      <w:tc>
        <w:tcPr>
          <w:tcW w:w="0" w:type="auto"/>
          <w:vMerge/>
          <w:vAlign w:val="center"/>
          <w:hideMark/>
        </w:tcPr>
        <w:p w:rsidR="0063187F" w:rsidRPr="005A3173" w:rsidRDefault="0063187F" w:rsidP="005A3173">
          <w:pPr>
            <w:rPr>
              <w:rFonts w:ascii="Calibri" w:hAnsi="Calibri"/>
              <w:color w:val="365F91"/>
              <w:sz w:val="22"/>
              <w:szCs w:val="22"/>
            </w:rPr>
          </w:pPr>
        </w:p>
      </w:tc>
      <w:tc>
        <w:tcPr>
          <w:tcW w:w="2250" w:type="pct"/>
          <w:tcBorders>
            <w:top w:val="single" w:sz="4" w:space="0" w:color="4F81BD"/>
            <w:left w:val="nil"/>
            <w:bottom w:val="nil"/>
            <w:right w:val="nil"/>
          </w:tcBorders>
        </w:tcPr>
        <w:p w:rsidR="0063187F" w:rsidRPr="005A3173" w:rsidRDefault="0063187F" w:rsidP="005A3173">
          <w:pPr>
            <w:pStyle w:val="Header"/>
            <w:spacing w:line="276" w:lineRule="auto"/>
            <w:rPr>
              <w:rFonts w:ascii="Calibri" w:eastAsia="MS Gothic" w:hAnsi="Calibri"/>
              <w:b/>
              <w:bCs/>
              <w:color w:val="4F81BD"/>
            </w:rPr>
          </w:pPr>
        </w:p>
      </w:tc>
    </w:tr>
  </w:tbl>
  <w:p w:rsidR="0063187F" w:rsidRPr="007C0F57" w:rsidRDefault="0063187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3187F" w:rsidRPr="007C0F57" w:rsidRDefault="0063187F" w:rsidP="007C0F57">
    <w:pPr>
      <w:pStyle w:val="Footer"/>
      <w:jc w:val="center"/>
      <w:rPr>
        <w:b/>
        <w:i/>
        <w:sz w:val="20"/>
        <w:szCs w:val="20"/>
      </w:rPr>
    </w:pPr>
    <w:r w:rsidRPr="007C0F57">
      <w:rPr>
        <w:b/>
        <w:i/>
        <w:sz w:val="20"/>
        <w:szCs w:val="20"/>
      </w:rPr>
      <w:t>Commercial-in-Confidence</w:t>
    </w:r>
  </w:p>
  <w:p w:rsidR="0063187F" w:rsidRDefault="006318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D1" w:rsidRDefault="003576D1">
      <w:r>
        <w:separator/>
      </w:r>
    </w:p>
    <w:p w:rsidR="003576D1" w:rsidRDefault="003576D1"/>
  </w:footnote>
  <w:footnote w:type="continuationSeparator" w:id="0">
    <w:p w:rsidR="003576D1" w:rsidRDefault="003576D1">
      <w:r>
        <w:continuationSeparator/>
      </w:r>
    </w:p>
    <w:p w:rsidR="003576D1" w:rsidRDefault="003576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3187F" w:rsidRPr="008E0D90" w:rsidTr="00A06225">
      <w:trPr>
        <w:trHeight w:val="151"/>
      </w:trPr>
      <w:tc>
        <w:tcPr>
          <w:tcW w:w="2389" w:type="pct"/>
          <w:tcBorders>
            <w:top w:val="nil"/>
            <w:left w:val="nil"/>
            <w:bottom w:val="single" w:sz="4" w:space="0" w:color="4F81BD"/>
            <w:right w:val="nil"/>
          </w:tcBorders>
        </w:tcPr>
        <w:p w:rsidR="0063187F" w:rsidRPr="00A06225" w:rsidRDefault="0063187F">
          <w:pPr>
            <w:pStyle w:val="Header"/>
            <w:spacing w:line="276" w:lineRule="auto"/>
            <w:rPr>
              <w:rFonts w:ascii="Cambria" w:eastAsia="MS Gothic" w:hAnsi="Cambria"/>
              <w:b/>
              <w:bCs/>
              <w:color w:val="4F81BD"/>
            </w:rPr>
          </w:pPr>
        </w:p>
      </w:tc>
      <w:tc>
        <w:tcPr>
          <w:tcW w:w="333" w:type="pct"/>
          <w:vMerge w:val="restart"/>
          <w:noWrap/>
          <w:vAlign w:val="center"/>
          <w:hideMark/>
        </w:tcPr>
        <w:p w:rsidR="0063187F" w:rsidRPr="00A06225" w:rsidRDefault="0063187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3187F" w:rsidRPr="00A06225" w:rsidRDefault="0063187F">
          <w:pPr>
            <w:pStyle w:val="Header"/>
            <w:spacing w:line="276" w:lineRule="auto"/>
            <w:rPr>
              <w:rFonts w:ascii="Cambria" w:eastAsia="MS Gothic" w:hAnsi="Cambria"/>
              <w:b/>
              <w:bCs/>
              <w:color w:val="4F81BD"/>
            </w:rPr>
          </w:pPr>
        </w:p>
      </w:tc>
    </w:tr>
    <w:tr w:rsidR="0063187F" w:rsidRPr="008E0D90" w:rsidTr="00A06225">
      <w:trPr>
        <w:trHeight w:val="150"/>
      </w:trPr>
      <w:tc>
        <w:tcPr>
          <w:tcW w:w="2389" w:type="pct"/>
          <w:tcBorders>
            <w:top w:val="single" w:sz="4" w:space="0" w:color="4F81BD"/>
            <w:left w:val="nil"/>
            <w:bottom w:val="nil"/>
            <w:right w:val="nil"/>
          </w:tcBorders>
        </w:tcPr>
        <w:p w:rsidR="0063187F" w:rsidRPr="00A06225" w:rsidRDefault="0063187F">
          <w:pPr>
            <w:pStyle w:val="Header"/>
            <w:spacing w:line="276" w:lineRule="auto"/>
            <w:rPr>
              <w:rFonts w:ascii="Cambria" w:eastAsia="MS Gothic" w:hAnsi="Cambria"/>
              <w:b/>
              <w:bCs/>
              <w:color w:val="4F81BD"/>
            </w:rPr>
          </w:pPr>
        </w:p>
      </w:tc>
      <w:tc>
        <w:tcPr>
          <w:tcW w:w="0" w:type="auto"/>
          <w:vMerge/>
          <w:vAlign w:val="center"/>
          <w:hideMark/>
        </w:tcPr>
        <w:p w:rsidR="0063187F" w:rsidRPr="00A06225" w:rsidRDefault="0063187F">
          <w:pPr>
            <w:rPr>
              <w:rFonts w:ascii="Cambria" w:hAnsi="Cambria"/>
              <w:color w:val="4F81BD"/>
              <w:sz w:val="22"/>
              <w:szCs w:val="22"/>
            </w:rPr>
          </w:pPr>
        </w:p>
      </w:tc>
      <w:tc>
        <w:tcPr>
          <w:tcW w:w="2278" w:type="pct"/>
          <w:tcBorders>
            <w:top w:val="single" w:sz="4" w:space="0" w:color="4F81BD"/>
            <w:left w:val="nil"/>
            <w:bottom w:val="nil"/>
            <w:right w:val="nil"/>
          </w:tcBorders>
        </w:tcPr>
        <w:p w:rsidR="0063187F" w:rsidRPr="00A06225" w:rsidRDefault="0063187F">
          <w:pPr>
            <w:pStyle w:val="Header"/>
            <w:spacing w:line="276" w:lineRule="auto"/>
            <w:rPr>
              <w:rFonts w:ascii="Cambria" w:eastAsia="MS Gothic" w:hAnsi="Cambria"/>
              <w:b/>
              <w:bCs/>
              <w:color w:val="4F81BD"/>
            </w:rPr>
          </w:pPr>
        </w:p>
      </w:tc>
    </w:tr>
  </w:tbl>
  <w:p w:rsidR="0063187F" w:rsidRDefault="0063187F">
    <w:pPr>
      <w:pStyle w:val="Header"/>
    </w:pPr>
  </w:p>
  <w:p w:rsidR="0063187F" w:rsidRDefault="006318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12" w:rsidRPr="00F90A91" w:rsidRDefault="00E00CB7" w:rsidP="007F3B12">
    <w:pPr>
      <w:pStyle w:val="Header"/>
      <w:ind w:left="360"/>
      <w:jc w:val="center"/>
      <w:rPr>
        <w:rFonts w:asciiTheme="minorHAnsi" w:hAnsiTheme="minorHAnsi" w:cs="Arial"/>
        <w:i/>
        <w:color w:val="808080"/>
        <w:sz w:val="22"/>
      </w:rPr>
    </w:pPr>
    <w:r>
      <w:rPr>
        <w:rFonts w:asciiTheme="minorHAnsi" w:hAnsiTheme="minorHAnsi" w:cs="Arial"/>
        <w:i/>
        <w:color w:val="808080"/>
        <w:sz w:val="22"/>
      </w:rPr>
      <w:t xml:space="preserve">Public Summary Document </w:t>
    </w:r>
    <w:r w:rsidR="007F3B12" w:rsidRPr="00F90A91">
      <w:rPr>
        <w:rFonts w:asciiTheme="minorHAnsi" w:hAnsiTheme="minorHAnsi" w:cs="Arial"/>
        <w:i/>
        <w:color w:val="808080"/>
        <w:sz w:val="22"/>
      </w:rPr>
      <w:t xml:space="preserve">– </w:t>
    </w:r>
    <w:r w:rsidR="007F3B12">
      <w:rPr>
        <w:rFonts w:asciiTheme="minorHAnsi" w:hAnsiTheme="minorHAnsi" w:cs="Arial"/>
        <w:i/>
        <w:color w:val="808080"/>
        <w:sz w:val="22"/>
      </w:rPr>
      <w:t>March 2018</w:t>
    </w:r>
    <w:r w:rsidR="007F3B12" w:rsidRPr="00F90A91">
      <w:rPr>
        <w:rFonts w:asciiTheme="minorHAnsi" w:hAnsiTheme="minorHAnsi" w:cs="Arial"/>
        <w:i/>
        <w:color w:val="808080"/>
        <w:sz w:val="22"/>
      </w:rPr>
      <w:t xml:space="preserve"> PBAC Meeting</w:t>
    </w:r>
  </w:p>
  <w:p w:rsidR="0063187F" w:rsidRDefault="0063187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D1" w:rsidRDefault="00357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971D07"/>
    <w:multiLevelType w:val="multilevel"/>
    <w:tmpl w:val="2C2E2EE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ED171E8"/>
    <w:multiLevelType w:val="hybridMultilevel"/>
    <w:tmpl w:val="29F4F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0453A7"/>
    <w:multiLevelType w:val="hybridMultilevel"/>
    <w:tmpl w:val="0568CD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6538BD"/>
    <w:multiLevelType w:val="hybridMultilevel"/>
    <w:tmpl w:val="EF425A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80B16E1"/>
    <w:multiLevelType w:val="hybridMultilevel"/>
    <w:tmpl w:val="E3D030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1740E56"/>
    <w:multiLevelType w:val="hybridMultilevel"/>
    <w:tmpl w:val="78502F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19"/>
  </w:num>
  <w:num w:numId="5">
    <w:abstractNumId w:val="22"/>
  </w:num>
  <w:num w:numId="6">
    <w:abstractNumId w:val="8"/>
  </w:num>
  <w:num w:numId="7">
    <w:abstractNumId w:val="16"/>
  </w:num>
  <w:num w:numId="8">
    <w:abstractNumId w:val="4"/>
  </w:num>
  <w:num w:numId="9">
    <w:abstractNumId w:val="15"/>
  </w:num>
  <w:num w:numId="10">
    <w:abstractNumId w:val="14"/>
  </w:num>
  <w:num w:numId="11">
    <w:abstractNumId w:val="13"/>
  </w:num>
  <w:num w:numId="12">
    <w:abstractNumId w:val="1"/>
  </w:num>
  <w:num w:numId="13">
    <w:abstractNumId w:val="0"/>
  </w:num>
  <w:num w:numId="14">
    <w:abstractNumId w:val="22"/>
  </w:num>
  <w:num w:numId="15">
    <w:abstractNumId w:val="17"/>
  </w:num>
  <w:num w:numId="16">
    <w:abstractNumId w:val="20"/>
  </w:num>
  <w:num w:numId="17">
    <w:abstractNumId w:val="12"/>
  </w:num>
  <w:num w:numId="18">
    <w:abstractNumId w:val="7"/>
  </w:num>
  <w:num w:numId="19">
    <w:abstractNumId w:val="10"/>
  </w:num>
  <w:num w:numId="20">
    <w:abstractNumId w:val="18"/>
  </w:num>
  <w:num w:numId="21">
    <w:abstractNumId w:val="21"/>
  </w:num>
  <w:num w:numId="22">
    <w:abstractNumId w:val="5"/>
  </w:num>
  <w:num w:numId="23">
    <w:abstractNumId w:val="2"/>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437"/>
    <w:rsid w:val="000025AD"/>
    <w:rsid w:val="0000335D"/>
    <w:rsid w:val="00007FA2"/>
    <w:rsid w:val="00020FDF"/>
    <w:rsid w:val="0002464A"/>
    <w:rsid w:val="000269DE"/>
    <w:rsid w:val="0003106B"/>
    <w:rsid w:val="000421A1"/>
    <w:rsid w:val="0004240E"/>
    <w:rsid w:val="00045E26"/>
    <w:rsid w:val="000514B5"/>
    <w:rsid w:val="00060603"/>
    <w:rsid w:val="00060E64"/>
    <w:rsid w:val="00066755"/>
    <w:rsid w:val="00077143"/>
    <w:rsid w:val="00082169"/>
    <w:rsid w:val="00085930"/>
    <w:rsid w:val="00087FF6"/>
    <w:rsid w:val="00090A5C"/>
    <w:rsid w:val="00093FCF"/>
    <w:rsid w:val="000969AD"/>
    <w:rsid w:val="00096E45"/>
    <w:rsid w:val="000977D7"/>
    <w:rsid w:val="000A1CA7"/>
    <w:rsid w:val="000A55FF"/>
    <w:rsid w:val="000A6199"/>
    <w:rsid w:val="000B558D"/>
    <w:rsid w:val="000C1FD1"/>
    <w:rsid w:val="000C6996"/>
    <w:rsid w:val="000C7A6A"/>
    <w:rsid w:val="000D23BA"/>
    <w:rsid w:val="000D311F"/>
    <w:rsid w:val="000D6E31"/>
    <w:rsid w:val="000D7C00"/>
    <w:rsid w:val="000E2F5E"/>
    <w:rsid w:val="000E681E"/>
    <w:rsid w:val="000F0003"/>
    <w:rsid w:val="000F4E6A"/>
    <w:rsid w:val="000F583E"/>
    <w:rsid w:val="00104227"/>
    <w:rsid w:val="001107BF"/>
    <w:rsid w:val="0012417C"/>
    <w:rsid w:val="001247A9"/>
    <w:rsid w:val="00130FD9"/>
    <w:rsid w:val="00141A0A"/>
    <w:rsid w:val="00142395"/>
    <w:rsid w:val="00142714"/>
    <w:rsid w:val="001452ED"/>
    <w:rsid w:val="00163329"/>
    <w:rsid w:val="001638BD"/>
    <w:rsid w:val="00164623"/>
    <w:rsid w:val="00165B64"/>
    <w:rsid w:val="00167A7C"/>
    <w:rsid w:val="0017154C"/>
    <w:rsid w:val="00173CBE"/>
    <w:rsid w:val="00180763"/>
    <w:rsid w:val="00182057"/>
    <w:rsid w:val="001830CE"/>
    <w:rsid w:val="0018643B"/>
    <w:rsid w:val="00196307"/>
    <w:rsid w:val="001A33EA"/>
    <w:rsid w:val="001B017F"/>
    <w:rsid w:val="001B1DE2"/>
    <w:rsid w:val="001B2BBC"/>
    <w:rsid w:val="001B5129"/>
    <w:rsid w:val="001C0BA4"/>
    <w:rsid w:val="001C1195"/>
    <w:rsid w:val="001C460D"/>
    <w:rsid w:val="001D7365"/>
    <w:rsid w:val="001E189C"/>
    <w:rsid w:val="001F1850"/>
    <w:rsid w:val="001F59C7"/>
    <w:rsid w:val="00203FAC"/>
    <w:rsid w:val="002069F1"/>
    <w:rsid w:val="00213CFB"/>
    <w:rsid w:val="00214F6E"/>
    <w:rsid w:val="00217BE1"/>
    <w:rsid w:val="00222B42"/>
    <w:rsid w:val="002249E7"/>
    <w:rsid w:val="00232E89"/>
    <w:rsid w:val="00235C9C"/>
    <w:rsid w:val="00247A95"/>
    <w:rsid w:val="002563E3"/>
    <w:rsid w:val="00271BA1"/>
    <w:rsid w:val="0027299B"/>
    <w:rsid w:val="002762FA"/>
    <w:rsid w:val="00277505"/>
    <w:rsid w:val="002911C5"/>
    <w:rsid w:val="00292ACF"/>
    <w:rsid w:val="00292CD3"/>
    <w:rsid w:val="0029458F"/>
    <w:rsid w:val="002A104C"/>
    <w:rsid w:val="002A320C"/>
    <w:rsid w:val="002A4960"/>
    <w:rsid w:val="002B1541"/>
    <w:rsid w:val="002B1AE6"/>
    <w:rsid w:val="002B2DE8"/>
    <w:rsid w:val="002B30F8"/>
    <w:rsid w:val="002B5596"/>
    <w:rsid w:val="002C0774"/>
    <w:rsid w:val="002C212F"/>
    <w:rsid w:val="002C3F2E"/>
    <w:rsid w:val="002D2C19"/>
    <w:rsid w:val="002D4543"/>
    <w:rsid w:val="002E1ABB"/>
    <w:rsid w:val="002E2415"/>
    <w:rsid w:val="002E3153"/>
    <w:rsid w:val="002E5EE9"/>
    <w:rsid w:val="002E72CA"/>
    <w:rsid w:val="002F7438"/>
    <w:rsid w:val="00300AD6"/>
    <w:rsid w:val="00310638"/>
    <w:rsid w:val="003172A5"/>
    <w:rsid w:val="00317C6C"/>
    <w:rsid w:val="0032308E"/>
    <w:rsid w:val="00324F22"/>
    <w:rsid w:val="00326E79"/>
    <w:rsid w:val="0033518A"/>
    <w:rsid w:val="003367EF"/>
    <w:rsid w:val="00341AE4"/>
    <w:rsid w:val="003520F1"/>
    <w:rsid w:val="003576D1"/>
    <w:rsid w:val="003714A1"/>
    <w:rsid w:val="003837B1"/>
    <w:rsid w:val="003872CF"/>
    <w:rsid w:val="0039782C"/>
    <w:rsid w:val="003A085B"/>
    <w:rsid w:val="003A1044"/>
    <w:rsid w:val="003A5B4A"/>
    <w:rsid w:val="003A619B"/>
    <w:rsid w:val="003B23C5"/>
    <w:rsid w:val="003B2A75"/>
    <w:rsid w:val="003B6124"/>
    <w:rsid w:val="003C2FB5"/>
    <w:rsid w:val="003C63F5"/>
    <w:rsid w:val="003C7EBA"/>
    <w:rsid w:val="003D4AC4"/>
    <w:rsid w:val="003D63B7"/>
    <w:rsid w:val="003E07F8"/>
    <w:rsid w:val="003E468B"/>
    <w:rsid w:val="003F20F5"/>
    <w:rsid w:val="003F3228"/>
    <w:rsid w:val="003F5C8C"/>
    <w:rsid w:val="00405BBD"/>
    <w:rsid w:val="00412578"/>
    <w:rsid w:val="004252EC"/>
    <w:rsid w:val="00425E20"/>
    <w:rsid w:val="00426B3E"/>
    <w:rsid w:val="00427AED"/>
    <w:rsid w:val="00437B77"/>
    <w:rsid w:val="004465BD"/>
    <w:rsid w:val="004647C0"/>
    <w:rsid w:val="00464DB1"/>
    <w:rsid w:val="004660CC"/>
    <w:rsid w:val="00466ADA"/>
    <w:rsid w:val="00476026"/>
    <w:rsid w:val="00476245"/>
    <w:rsid w:val="00483035"/>
    <w:rsid w:val="00485940"/>
    <w:rsid w:val="00497891"/>
    <w:rsid w:val="004A2484"/>
    <w:rsid w:val="004A5A85"/>
    <w:rsid w:val="004A71D1"/>
    <w:rsid w:val="004B1057"/>
    <w:rsid w:val="004B5640"/>
    <w:rsid w:val="004B7DFA"/>
    <w:rsid w:val="004C1BD7"/>
    <w:rsid w:val="004C31FE"/>
    <w:rsid w:val="004C691D"/>
    <w:rsid w:val="004C6C07"/>
    <w:rsid w:val="004D5457"/>
    <w:rsid w:val="004E0DFD"/>
    <w:rsid w:val="004E4E8B"/>
    <w:rsid w:val="004E692D"/>
    <w:rsid w:val="004F7AA1"/>
    <w:rsid w:val="00501554"/>
    <w:rsid w:val="00514CD7"/>
    <w:rsid w:val="00520DCD"/>
    <w:rsid w:val="00524614"/>
    <w:rsid w:val="005253F9"/>
    <w:rsid w:val="005319B2"/>
    <w:rsid w:val="00532402"/>
    <w:rsid w:val="00532C74"/>
    <w:rsid w:val="00534E2E"/>
    <w:rsid w:val="0053790B"/>
    <w:rsid w:val="00540799"/>
    <w:rsid w:val="00544220"/>
    <w:rsid w:val="00544552"/>
    <w:rsid w:val="00561C16"/>
    <w:rsid w:val="00563D98"/>
    <w:rsid w:val="00577C4D"/>
    <w:rsid w:val="00581932"/>
    <w:rsid w:val="0058242C"/>
    <w:rsid w:val="00587993"/>
    <w:rsid w:val="00590BB6"/>
    <w:rsid w:val="005963BB"/>
    <w:rsid w:val="00597299"/>
    <w:rsid w:val="005A3173"/>
    <w:rsid w:val="005A3223"/>
    <w:rsid w:val="005A3DA3"/>
    <w:rsid w:val="005A52C4"/>
    <w:rsid w:val="005B0F25"/>
    <w:rsid w:val="005D03AB"/>
    <w:rsid w:val="005D5017"/>
    <w:rsid w:val="005E1333"/>
    <w:rsid w:val="005E58A6"/>
    <w:rsid w:val="005E7C00"/>
    <w:rsid w:val="005F27FD"/>
    <w:rsid w:val="00601A91"/>
    <w:rsid w:val="00602BA3"/>
    <w:rsid w:val="00610556"/>
    <w:rsid w:val="00612B50"/>
    <w:rsid w:val="00612E34"/>
    <w:rsid w:val="00614159"/>
    <w:rsid w:val="006144B7"/>
    <w:rsid w:val="00617C00"/>
    <w:rsid w:val="00623003"/>
    <w:rsid w:val="0062387C"/>
    <w:rsid w:val="006263BF"/>
    <w:rsid w:val="0062748A"/>
    <w:rsid w:val="00630A2C"/>
    <w:rsid w:val="0063187F"/>
    <w:rsid w:val="00633775"/>
    <w:rsid w:val="0063682E"/>
    <w:rsid w:val="0064067F"/>
    <w:rsid w:val="006436CD"/>
    <w:rsid w:val="00643E92"/>
    <w:rsid w:val="00651169"/>
    <w:rsid w:val="00653D69"/>
    <w:rsid w:val="006644D2"/>
    <w:rsid w:val="006670BE"/>
    <w:rsid w:val="00670A76"/>
    <w:rsid w:val="006711AA"/>
    <w:rsid w:val="00672760"/>
    <w:rsid w:val="00672B57"/>
    <w:rsid w:val="00675622"/>
    <w:rsid w:val="00680701"/>
    <w:rsid w:val="00686904"/>
    <w:rsid w:val="006906DB"/>
    <w:rsid w:val="00690B0D"/>
    <w:rsid w:val="00691E6C"/>
    <w:rsid w:val="00696129"/>
    <w:rsid w:val="00697CF2"/>
    <w:rsid w:val="00697D73"/>
    <w:rsid w:val="006A12A5"/>
    <w:rsid w:val="006A1B6B"/>
    <w:rsid w:val="006A3D0A"/>
    <w:rsid w:val="006A533B"/>
    <w:rsid w:val="006B0D94"/>
    <w:rsid w:val="006B36D7"/>
    <w:rsid w:val="006B485D"/>
    <w:rsid w:val="006B5C31"/>
    <w:rsid w:val="006C02DC"/>
    <w:rsid w:val="006C2DCF"/>
    <w:rsid w:val="006C3560"/>
    <w:rsid w:val="006C3FEB"/>
    <w:rsid w:val="006C708E"/>
    <w:rsid w:val="006D6EC7"/>
    <w:rsid w:val="006E635C"/>
    <w:rsid w:val="006F1A3C"/>
    <w:rsid w:val="006F3D43"/>
    <w:rsid w:val="006F5125"/>
    <w:rsid w:val="00702B6F"/>
    <w:rsid w:val="007030E6"/>
    <w:rsid w:val="0071340B"/>
    <w:rsid w:val="007174BB"/>
    <w:rsid w:val="0072025D"/>
    <w:rsid w:val="007314DC"/>
    <w:rsid w:val="007353D3"/>
    <w:rsid w:val="00737959"/>
    <w:rsid w:val="00746A91"/>
    <w:rsid w:val="007558FB"/>
    <w:rsid w:val="00756543"/>
    <w:rsid w:val="0076420C"/>
    <w:rsid w:val="00765794"/>
    <w:rsid w:val="007713E2"/>
    <w:rsid w:val="007743A4"/>
    <w:rsid w:val="007753C2"/>
    <w:rsid w:val="00775859"/>
    <w:rsid w:val="007838B8"/>
    <w:rsid w:val="007910B6"/>
    <w:rsid w:val="00797C56"/>
    <w:rsid w:val="007C0F57"/>
    <w:rsid w:val="007C2003"/>
    <w:rsid w:val="007C2A4F"/>
    <w:rsid w:val="007C40B6"/>
    <w:rsid w:val="007C729F"/>
    <w:rsid w:val="007E1D28"/>
    <w:rsid w:val="007E3D36"/>
    <w:rsid w:val="007E6F38"/>
    <w:rsid w:val="007F2641"/>
    <w:rsid w:val="007F364F"/>
    <w:rsid w:val="007F3B12"/>
    <w:rsid w:val="007F5485"/>
    <w:rsid w:val="007F7C36"/>
    <w:rsid w:val="008024B2"/>
    <w:rsid w:val="00806796"/>
    <w:rsid w:val="008139DE"/>
    <w:rsid w:val="008151D6"/>
    <w:rsid w:val="00821C47"/>
    <w:rsid w:val="00821CB4"/>
    <w:rsid w:val="00826F6D"/>
    <w:rsid w:val="008306F3"/>
    <w:rsid w:val="008328BC"/>
    <w:rsid w:val="0084363C"/>
    <w:rsid w:val="00844697"/>
    <w:rsid w:val="00856DDD"/>
    <w:rsid w:val="00863E68"/>
    <w:rsid w:val="00882085"/>
    <w:rsid w:val="00883188"/>
    <w:rsid w:val="00885C30"/>
    <w:rsid w:val="00887B66"/>
    <w:rsid w:val="00897D58"/>
    <w:rsid w:val="00897F22"/>
    <w:rsid w:val="008A1956"/>
    <w:rsid w:val="008A42FB"/>
    <w:rsid w:val="008A4937"/>
    <w:rsid w:val="008A50F1"/>
    <w:rsid w:val="008A5963"/>
    <w:rsid w:val="008B1487"/>
    <w:rsid w:val="008C7950"/>
    <w:rsid w:val="008D03F6"/>
    <w:rsid w:val="008D1B5C"/>
    <w:rsid w:val="008D374F"/>
    <w:rsid w:val="008D3C82"/>
    <w:rsid w:val="008D447E"/>
    <w:rsid w:val="008D7A41"/>
    <w:rsid w:val="008E3680"/>
    <w:rsid w:val="008E5734"/>
    <w:rsid w:val="008E5870"/>
    <w:rsid w:val="008E7964"/>
    <w:rsid w:val="008F1434"/>
    <w:rsid w:val="008F7355"/>
    <w:rsid w:val="00900FE2"/>
    <w:rsid w:val="009067B7"/>
    <w:rsid w:val="00913EAA"/>
    <w:rsid w:val="009164CE"/>
    <w:rsid w:val="00926D8D"/>
    <w:rsid w:val="00930937"/>
    <w:rsid w:val="00933E6C"/>
    <w:rsid w:val="009341EF"/>
    <w:rsid w:val="00937958"/>
    <w:rsid w:val="00942160"/>
    <w:rsid w:val="0095146F"/>
    <w:rsid w:val="0095279C"/>
    <w:rsid w:val="00952E0B"/>
    <w:rsid w:val="009602C5"/>
    <w:rsid w:val="00962223"/>
    <w:rsid w:val="00966D0D"/>
    <w:rsid w:val="00974C21"/>
    <w:rsid w:val="009924EF"/>
    <w:rsid w:val="009945E8"/>
    <w:rsid w:val="009951A1"/>
    <w:rsid w:val="00995ECC"/>
    <w:rsid w:val="009A7EFB"/>
    <w:rsid w:val="009B0F67"/>
    <w:rsid w:val="009B1F59"/>
    <w:rsid w:val="009C38D1"/>
    <w:rsid w:val="009C703C"/>
    <w:rsid w:val="009D3CAA"/>
    <w:rsid w:val="009D6EC2"/>
    <w:rsid w:val="009E1445"/>
    <w:rsid w:val="009E3562"/>
    <w:rsid w:val="009E4AB0"/>
    <w:rsid w:val="009F4E46"/>
    <w:rsid w:val="009F5B65"/>
    <w:rsid w:val="009F5F2E"/>
    <w:rsid w:val="00A0002B"/>
    <w:rsid w:val="00A0185B"/>
    <w:rsid w:val="00A044A2"/>
    <w:rsid w:val="00A06225"/>
    <w:rsid w:val="00A128E6"/>
    <w:rsid w:val="00A1513C"/>
    <w:rsid w:val="00A20CD5"/>
    <w:rsid w:val="00A23142"/>
    <w:rsid w:val="00A25D49"/>
    <w:rsid w:val="00A34E6C"/>
    <w:rsid w:val="00A37C8D"/>
    <w:rsid w:val="00A445F8"/>
    <w:rsid w:val="00A5273B"/>
    <w:rsid w:val="00A53A9D"/>
    <w:rsid w:val="00A55EBE"/>
    <w:rsid w:val="00A55FEE"/>
    <w:rsid w:val="00A57CB2"/>
    <w:rsid w:val="00A62C1A"/>
    <w:rsid w:val="00A6426D"/>
    <w:rsid w:val="00A665C1"/>
    <w:rsid w:val="00A70622"/>
    <w:rsid w:val="00A70977"/>
    <w:rsid w:val="00A73524"/>
    <w:rsid w:val="00A77613"/>
    <w:rsid w:val="00A8390C"/>
    <w:rsid w:val="00A84C41"/>
    <w:rsid w:val="00A87565"/>
    <w:rsid w:val="00A928BD"/>
    <w:rsid w:val="00AA4D1C"/>
    <w:rsid w:val="00AA517A"/>
    <w:rsid w:val="00AA775C"/>
    <w:rsid w:val="00AB2C2B"/>
    <w:rsid w:val="00AB39AB"/>
    <w:rsid w:val="00AC193C"/>
    <w:rsid w:val="00AC5206"/>
    <w:rsid w:val="00AD0923"/>
    <w:rsid w:val="00AD396D"/>
    <w:rsid w:val="00AE11A5"/>
    <w:rsid w:val="00AE12E1"/>
    <w:rsid w:val="00AE13E2"/>
    <w:rsid w:val="00AE22D3"/>
    <w:rsid w:val="00AE397F"/>
    <w:rsid w:val="00AF58FA"/>
    <w:rsid w:val="00AF62DF"/>
    <w:rsid w:val="00AF68CC"/>
    <w:rsid w:val="00B04A9A"/>
    <w:rsid w:val="00B04CB2"/>
    <w:rsid w:val="00B07552"/>
    <w:rsid w:val="00B1059E"/>
    <w:rsid w:val="00B11C33"/>
    <w:rsid w:val="00B1325D"/>
    <w:rsid w:val="00B13378"/>
    <w:rsid w:val="00B176C8"/>
    <w:rsid w:val="00B205AA"/>
    <w:rsid w:val="00B21507"/>
    <w:rsid w:val="00B22E84"/>
    <w:rsid w:val="00B25F75"/>
    <w:rsid w:val="00B26B3F"/>
    <w:rsid w:val="00B30D50"/>
    <w:rsid w:val="00B43E90"/>
    <w:rsid w:val="00B467DC"/>
    <w:rsid w:val="00B527FD"/>
    <w:rsid w:val="00B559E3"/>
    <w:rsid w:val="00B56118"/>
    <w:rsid w:val="00B6490B"/>
    <w:rsid w:val="00B65A92"/>
    <w:rsid w:val="00B6773F"/>
    <w:rsid w:val="00B67DF9"/>
    <w:rsid w:val="00B76866"/>
    <w:rsid w:val="00B801BA"/>
    <w:rsid w:val="00B84D5C"/>
    <w:rsid w:val="00B85E19"/>
    <w:rsid w:val="00B85FCE"/>
    <w:rsid w:val="00BB2438"/>
    <w:rsid w:val="00BB69F5"/>
    <w:rsid w:val="00BB7EC3"/>
    <w:rsid w:val="00BC00FA"/>
    <w:rsid w:val="00BC4B9A"/>
    <w:rsid w:val="00BD784C"/>
    <w:rsid w:val="00BE0A05"/>
    <w:rsid w:val="00BE4123"/>
    <w:rsid w:val="00BF4CB6"/>
    <w:rsid w:val="00BF546F"/>
    <w:rsid w:val="00BF6C3F"/>
    <w:rsid w:val="00C00DA7"/>
    <w:rsid w:val="00C04586"/>
    <w:rsid w:val="00C1118B"/>
    <w:rsid w:val="00C125B0"/>
    <w:rsid w:val="00C12768"/>
    <w:rsid w:val="00C21892"/>
    <w:rsid w:val="00C22781"/>
    <w:rsid w:val="00C27B58"/>
    <w:rsid w:val="00C31C97"/>
    <w:rsid w:val="00C3260C"/>
    <w:rsid w:val="00C35996"/>
    <w:rsid w:val="00C40823"/>
    <w:rsid w:val="00C4747E"/>
    <w:rsid w:val="00C5342C"/>
    <w:rsid w:val="00C603D4"/>
    <w:rsid w:val="00C60B26"/>
    <w:rsid w:val="00C6256A"/>
    <w:rsid w:val="00C639B5"/>
    <w:rsid w:val="00C77891"/>
    <w:rsid w:val="00C77BF9"/>
    <w:rsid w:val="00C91449"/>
    <w:rsid w:val="00C91E05"/>
    <w:rsid w:val="00C92D10"/>
    <w:rsid w:val="00C93201"/>
    <w:rsid w:val="00CA251D"/>
    <w:rsid w:val="00CA4C8E"/>
    <w:rsid w:val="00CC0BE9"/>
    <w:rsid w:val="00CC291E"/>
    <w:rsid w:val="00CC3001"/>
    <w:rsid w:val="00CE10C4"/>
    <w:rsid w:val="00CE27B5"/>
    <w:rsid w:val="00CF7F2F"/>
    <w:rsid w:val="00D0321E"/>
    <w:rsid w:val="00D1455A"/>
    <w:rsid w:val="00D1474A"/>
    <w:rsid w:val="00D31150"/>
    <w:rsid w:val="00D3138B"/>
    <w:rsid w:val="00D3280C"/>
    <w:rsid w:val="00D3406A"/>
    <w:rsid w:val="00D35CAB"/>
    <w:rsid w:val="00D4572C"/>
    <w:rsid w:val="00D4625E"/>
    <w:rsid w:val="00D469B2"/>
    <w:rsid w:val="00D6547B"/>
    <w:rsid w:val="00D741EB"/>
    <w:rsid w:val="00D77288"/>
    <w:rsid w:val="00D81270"/>
    <w:rsid w:val="00D83605"/>
    <w:rsid w:val="00D84934"/>
    <w:rsid w:val="00D85D70"/>
    <w:rsid w:val="00D91271"/>
    <w:rsid w:val="00DA2CB5"/>
    <w:rsid w:val="00DA4BAC"/>
    <w:rsid w:val="00DA4D03"/>
    <w:rsid w:val="00DB794F"/>
    <w:rsid w:val="00DE6D27"/>
    <w:rsid w:val="00DF217D"/>
    <w:rsid w:val="00DF26A7"/>
    <w:rsid w:val="00E00CB7"/>
    <w:rsid w:val="00E15627"/>
    <w:rsid w:val="00E164B3"/>
    <w:rsid w:val="00E16910"/>
    <w:rsid w:val="00E21497"/>
    <w:rsid w:val="00E42BDB"/>
    <w:rsid w:val="00E45866"/>
    <w:rsid w:val="00E57EEB"/>
    <w:rsid w:val="00E60CD6"/>
    <w:rsid w:val="00E62D94"/>
    <w:rsid w:val="00E65E54"/>
    <w:rsid w:val="00E65E7B"/>
    <w:rsid w:val="00E80155"/>
    <w:rsid w:val="00E848C0"/>
    <w:rsid w:val="00E91B96"/>
    <w:rsid w:val="00E938A1"/>
    <w:rsid w:val="00E941A1"/>
    <w:rsid w:val="00E95CE3"/>
    <w:rsid w:val="00EA1AE1"/>
    <w:rsid w:val="00EA235B"/>
    <w:rsid w:val="00EA2825"/>
    <w:rsid w:val="00EA5DBB"/>
    <w:rsid w:val="00EB0B63"/>
    <w:rsid w:val="00EB1936"/>
    <w:rsid w:val="00EB5088"/>
    <w:rsid w:val="00EC54E7"/>
    <w:rsid w:val="00ED1644"/>
    <w:rsid w:val="00ED2593"/>
    <w:rsid w:val="00ED7D9C"/>
    <w:rsid w:val="00EE0518"/>
    <w:rsid w:val="00EE15A2"/>
    <w:rsid w:val="00EE54EC"/>
    <w:rsid w:val="00EE5A0A"/>
    <w:rsid w:val="00EF44A0"/>
    <w:rsid w:val="00EF4FED"/>
    <w:rsid w:val="00EF5097"/>
    <w:rsid w:val="00EF76E4"/>
    <w:rsid w:val="00F050BD"/>
    <w:rsid w:val="00F05657"/>
    <w:rsid w:val="00F05D7D"/>
    <w:rsid w:val="00F132DC"/>
    <w:rsid w:val="00F13EA3"/>
    <w:rsid w:val="00F23C46"/>
    <w:rsid w:val="00F25578"/>
    <w:rsid w:val="00F258E5"/>
    <w:rsid w:val="00F300BC"/>
    <w:rsid w:val="00F3334E"/>
    <w:rsid w:val="00F36CCB"/>
    <w:rsid w:val="00F374E5"/>
    <w:rsid w:val="00F42336"/>
    <w:rsid w:val="00F43AF2"/>
    <w:rsid w:val="00F4452F"/>
    <w:rsid w:val="00F50EC4"/>
    <w:rsid w:val="00F550CF"/>
    <w:rsid w:val="00F573AD"/>
    <w:rsid w:val="00F57A6D"/>
    <w:rsid w:val="00F638CC"/>
    <w:rsid w:val="00F64B2B"/>
    <w:rsid w:val="00F64CC1"/>
    <w:rsid w:val="00F70D0F"/>
    <w:rsid w:val="00F72317"/>
    <w:rsid w:val="00F72A77"/>
    <w:rsid w:val="00F80160"/>
    <w:rsid w:val="00F80475"/>
    <w:rsid w:val="00F80927"/>
    <w:rsid w:val="00F81BFC"/>
    <w:rsid w:val="00F8247A"/>
    <w:rsid w:val="00F9629A"/>
    <w:rsid w:val="00F97EFC"/>
    <w:rsid w:val="00FA5883"/>
    <w:rsid w:val="00FA6055"/>
    <w:rsid w:val="00FB322F"/>
    <w:rsid w:val="00FB442F"/>
    <w:rsid w:val="00FC1929"/>
    <w:rsid w:val="00FC5B46"/>
    <w:rsid w:val="00FC7E5E"/>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7558FB"/>
    <w:rPr>
      <w:sz w:val="24"/>
      <w:szCs w:val="24"/>
    </w:rPr>
  </w:style>
  <w:style w:type="character" w:styleId="FollowedHyperlink">
    <w:name w:val="FollowedHyperlink"/>
    <w:basedOn w:val="DefaultParagraphFont"/>
    <w:rsid w:val="009924EF"/>
    <w:rPr>
      <w:color w:val="800080" w:themeColor="followedHyperlink"/>
      <w:u w:val="single"/>
    </w:rPr>
  </w:style>
  <w:style w:type="paragraph" w:customStyle="1" w:styleId="PBACheading10">
    <w:name w:val="PBAC heading 1"/>
    <w:qFormat/>
    <w:rsid w:val="00EC54E7"/>
    <w:pPr>
      <w:ind w:left="720" w:hanging="720"/>
      <w:outlineLvl w:val="0"/>
    </w:pPr>
    <w:rPr>
      <w:rFonts w:ascii="Arial" w:hAnsi="Arial" w:cs="Arial"/>
      <w:b/>
      <w:snapToGrid w:val="0"/>
      <w:sz w:val="22"/>
      <w:szCs w:val="22"/>
      <w:lang w:eastAsia="en-US"/>
    </w:rPr>
  </w:style>
  <w:style w:type="paragraph" w:styleId="NormalWeb">
    <w:name w:val="Normal (Web)"/>
    <w:basedOn w:val="Normal"/>
    <w:uiPriority w:val="99"/>
    <w:unhideWhenUsed/>
    <w:rsid w:val="00EC54E7"/>
    <w:pPr>
      <w:spacing w:before="100" w:beforeAutospacing="1" w:after="100" w:afterAutospacing="1"/>
    </w:pPr>
  </w:style>
  <w:style w:type="paragraph" w:styleId="BodyText">
    <w:name w:val="Body Text"/>
    <w:basedOn w:val="Normal"/>
    <w:link w:val="BodyTextChar"/>
    <w:rsid w:val="003F20F5"/>
    <w:pPr>
      <w:spacing w:after="120"/>
    </w:pPr>
  </w:style>
  <w:style w:type="character" w:customStyle="1" w:styleId="BodyTextChar">
    <w:name w:val="Body Text Char"/>
    <w:basedOn w:val="DefaultParagraphFont"/>
    <w:link w:val="BodyText"/>
    <w:rsid w:val="003F20F5"/>
    <w:rPr>
      <w:sz w:val="24"/>
      <w:szCs w:val="24"/>
    </w:rPr>
  </w:style>
  <w:style w:type="paragraph" w:customStyle="1" w:styleId="TableText0">
    <w:name w:val="Table Text"/>
    <w:basedOn w:val="Normal"/>
    <w:qFormat/>
    <w:rsid w:val="007030E6"/>
    <w:pPr>
      <w:keepNext/>
    </w:pPr>
    <w:rPr>
      <w:rFonts w:ascii="Arial Narrow" w:eastAsia="Calibri" w:hAnsi="Arial Narrow" w:cs="Arial"/>
      <w:sz w:val="20"/>
      <w:szCs w:val="22"/>
      <w:lang w:eastAsia="en-US"/>
    </w:rPr>
  </w:style>
  <w:style w:type="paragraph" w:customStyle="1" w:styleId="Default">
    <w:name w:val="Default"/>
    <w:rsid w:val="00437B77"/>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17154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7558FB"/>
    <w:rPr>
      <w:sz w:val="24"/>
      <w:szCs w:val="24"/>
    </w:rPr>
  </w:style>
  <w:style w:type="character" w:styleId="FollowedHyperlink">
    <w:name w:val="FollowedHyperlink"/>
    <w:basedOn w:val="DefaultParagraphFont"/>
    <w:rsid w:val="009924EF"/>
    <w:rPr>
      <w:color w:val="800080" w:themeColor="followedHyperlink"/>
      <w:u w:val="single"/>
    </w:rPr>
  </w:style>
  <w:style w:type="paragraph" w:customStyle="1" w:styleId="PBACheading10">
    <w:name w:val="PBAC heading 1"/>
    <w:qFormat/>
    <w:rsid w:val="00EC54E7"/>
    <w:pPr>
      <w:ind w:left="720" w:hanging="720"/>
      <w:outlineLvl w:val="0"/>
    </w:pPr>
    <w:rPr>
      <w:rFonts w:ascii="Arial" w:hAnsi="Arial" w:cs="Arial"/>
      <w:b/>
      <w:snapToGrid w:val="0"/>
      <w:sz w:val="22"/>
      <w:szCs w:val="22"/>
      <w:lang w:eastAsia="en-US"/>
    </w:rPr>
  </w:style>
  <w:style w:type="paragraph" w:styleId="NormalWeb">
    <w:name w:val="Normal (Web)"/>
    <w:basedOn w:val="Normal"/>
    <w:uiPriority w:val="99"/>
    <w:unhideWhenUsed/>
    <w:rsid w:val="00EC54E7"/>
    <w:pPr>
      <w:spacing w:before="100" w:beforeAutospacing="1" w:after="100" w:afterAutospacing="1"/>
    </w:pPr>
  </w:style>
  <w:style w:type="paragraph" w:styleId="BodyText">
    <w:name w:val="Body Text"/>
    <w:basedOn w:val="Normal"/>
    <w:link w:val="BodyTextChar"/>
    <w:rsid w:val="003F20F5"/>
    <w:pPr>
      <w:spacing w:after="120"/>
    </w:pPr>
  </w:style>
  <w:style w:type="character" w:customStyle="1" w:styleId="BodyTextChar">
    <w:name w:val="Body Text Char"/>
    <w:basedOn w:val="DefaultParagraphFont"/>
    <w:link w:val="BodyText"/>
    <w:rsid w:val="003F20F5"/>
    <w:rPr>
      <w:sz w:val="24"/>
      <w:szCs w:val="24"/>
    </w:rPr>
  </w:style>
  <w:style w:type="paragraph" w:customStyle="1" w:styleId="TableText0">
    <w:name w:val="Table Text"/>
    <w:basedOn w:val="Normal"/>
    <w:qFormat/>
    <w:rsid w:val="007030E6"/>
    <w:pPr>
      <w:keepNext/>
    </w:pPr>
    <w:rPr>
      <w:rFonts w:ascii="Arial Narrow" w:eastAsia="Calibri" w:hAnsi="Arial Narrow" w:cs="Arial"/>
      <w:sz w:val="20"/>
      <w:szCs w:val="22"/>
      <w:lang w:eastAsia="en-US"/>
    </w:rPr>
  </w:style>
  <w:style w:type="paragraph" w:customStyle="1" w:styleId="Default">
    <w:name w:val="Default"/>
    <w:rsid w:val="00437B77"/>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17154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5552143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99839327">
      <w:bodyDiv w:val="1"/>
      <w:marLeft w:val="0"/>
      <w:marRight w:val="0"/>
      <w:marTop w:val="0"/>
      <w:marBottom w:val="0"/>
      <w:divBdr>
        <w:top w:val="none" w:sz="0" w:space="0" w:color="auto"/>
        <w:left w:val="none" w:sz="0" w:space="0" w:color="auto"/>
        <w:bottom w:val="none" w:sz="0" w:space="0" w:color="auto"/>
        <w:right w:val="none" w:sz="0" w:space="0" w:color="auto"/>
      </w:divBdr>
    </w:div>
    <w:div w:id="1398474965">
      <w:bodyDiv w:val="1"/>
      <w:marLeft w:val="0"/>
      <w:marRight w:val="0"/>
      <w:marTop w:val="0"/>
      <w:marBottom w:val="0"/>
      <w:divBdr>
        <w:top w:val="none" w:sz="0" w:space="0" w:color="auto"/>
        <w:left w:val="none" w:sz="0" w:space="0" w:color="auto"/>
        <w:bottom w:val="none" w:sz="0" w:space="0" w:color="auto"/>
        <w:right w:val="none" w:sz="0" w:space="0" w:color="auto"/>
      </w:divBdr>
    </w:div>
    <w:div w:id="166103676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0278-ADC9-4983-9D9B-13B5D6DB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1998</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2018-06-20T06:51:00Z</dcterms:created>
  <dcterms:modified xsi:type="dcterms:W3CDTF">2018-06-21T04:11:00Z</dcterms:modified>
</cp:coreProperties>
</file>