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F6E" w:rsidRDefault="001F7E04" w:rsidP="00577C4D">
      <w:pPr>
        <w:pStyle w:val="Title"/>
        <w:spacing w:before="120" w:after="160"/>
        <w:ind w:left="720" w:hanging="720"/>
        <w:rPr>
          <w:rFonts w:asciiTheme="minorHAnsi" w:hAnsiTheme="minorHAnsi"/>
          <w:sz w:val="36"/>
          <w:szCs w:val="36"/>
        </w:rPr>
      </w:pPr>
      <w:bookmarkStart w:id="0" w:name="_GoBack"/>
      <w:bookmarkEnd w:id="0"/>
      <w:r>
        <w:rPr>
          <w:rFonts w:asciiTheme="minorHAnsi" w:hAnsiTheme="minorHAnsi"/>
          <w:sz w:val="36"/>
          <w:szCs w:val="36"/>
        </w:rPr>
        <w:t>5.14</w:t>
      </w:r>
      <w:r w:rsidR="007C0F57" w:rsidRPr="002B5596">
        <w:rPr>
          <w:rFonts w:asciiTheme="minorHAnsi" w:hAnsiTheme="minorHAnsi"/>
          <w:sz w:val="36"/>
          <w:szCs w:val="36"/>
        </w:rPr>
        <w:tab/>
      </w:r>
      <w:r>
        <w:rPr>
          <w:rFonts w:asciiTheme="minorHAnsi" w:hAnsiTheme="minorHAnsi"/>
          <w:sz w:val="36"/>
          <w:szCs w:val="36"/>
        </w:rPr>
        <w:t>APOMORPHINE</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Injection containi</w:t>
      </w:r>
      <w:r w:rsidR="00342784">
        <w:rPr>
          <w:rFonts w:asciiTheme="minorHAnsi" w:hAnsiTheme="minorHAnsi"/>
          <w:sz w:val="36"/>
          <w:szCs w:val="36"/>
        </w:rPr>
        <w:t>ng apomorphine hydrochloride 30 mg in 3 </w:t>
      </w:r>
      <w:r>
        <w:rPr>
          <w:rFonts w:asciiTheme="minorHAnsi" w:hAnsiTheme="minorHAnsi"/>
          <w:sz w:val="36"/>
          <w:szCs w:val="36"/>
        </w:rPr>
        <w:t>mL pre-filled pen</w:t>
      </w:r>
      <w:r w:rsidR="0004240E" w:rsidRPr="002B5596">
        <w:rPr>
          <w:rFonts w:asciiTheme="minorHAnsi" w:hAnsiTheme="minorHAnsi"/>
          <w:sz w:val="36"/>
          <w:szCs w:val="36"/>
        </w:rPr>
        <w:t>,</w:t>
      </w:r>
      <w:r w:rsidR="008A50F1" w:rsidRPr="002B5596">
        <w:rPr>
          <w:rFonts w:asciiTheme="minorHAnsi" w:hAnsiTheme="minorHAnsi"/>
          <w:sz w:val="36"/>
          <w:szCs w:val="36"/>
        </w:rPr>
        <w:t xml:space="preserve"> </w:t>
      </w:r>
      <w:r w:rsidR="008A50F1" w:rsidRPr="002B5596">
        <w:rPr>
          <w:rFonts w:asciiTheme="minorHAnsi" w:hAnsiTheme="minorHAnsi"/>
          <w:sz w:val="36"/>
          <w:szCs w:val="36"/>
        </w:rPr>
        <w:br/>
      </w:r>
      <w:r>
        <w:rPr>
          <w:rFonts w:asciiTheme="minorHAnsi" w:hAnsiTheme="minorHAnsi"/>
          <w:sz w:val="36"/>
          <w:szCs w:val="36"/>
        </w:rPr>
        <w:t>MOVAPO</w:t>
      </w:r>
      <w:r w:rsidR="0004240E" w:rsidRPr="002B5596">
        <w:rPr>
          <w:rFonts w:asciiTheme="minorHAnsi" w:hAnsiTheme="minorHAnsi"/>
          <w:sz w:val="36"/>
          <w:szCs w:val="36"/>
          <w:vertAlign w:val="superscript"/>
        </w:rPr>
        <w:t>®</w:t>
      </w:r>
      <w:r>
        <w:rPr>
          <w:rFonts w:asciiTheme="minorHAnsi" w:hAnsiTheme="minorHAnsi"/>
          <w:sz w:val="36"/>
          <w:szCs w:val="36"/>
        </w:rPr>
        <w:t>PEN,</w:t>
      </w:r>
      <w:r w:rsidR="00EF44A0" w:rsidRPr="002B5596">
        <w:rPr>
          <w:rFonts w:asciiTheme="minorHAnsi" w:hAnsiTheme="minorHAnsi"/>
          <w:sz w:val="36"/>
          <w:szCs w:val="36"/>
        </w:rPr>
        <w:t xml:space="preserve"> </w:t>
      </w:r>
    </w:p>
    <w:p w:rsidR="00C27B58" w:rsidRPr="00577C4D" w:rsidRDefault="001F7E04" w:rsidP="004D1F6E">
      <w:pPr>
        <w:pStyle w:val="Title"/>
        <w:spacing w:before="120" w:after="160"/>
        <w:ind w:left="720" w:hanging="11"/>
        <w:rPr>
          <w:rFonts w:asciiTheme="minorHAnsi" w:hAnsiTheme="minorHAnsi"/>
          <w:sz w:val="36"/>
          <w:szCs w:val="36"/>
        </w:rPr>
      </w:pPr>
      <w:r>
        <w:rPr>
          <w:rFonts w:asciiTheme="minorHAnsi" w:hAnsiTheme="minorHAnsi"/>
          <w:sz w:val="36"/>
          <w:szCs w:val="36"/>
        </w:rPr>
        <w:t>STADA Pharmaceuticals Australia Pty Ltd</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Pr="001B2BBC"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342784">
        <w:rPr>
          <w:rFonts w:asciiTheme="minorHAnsi" w:eastAsiaTheme="minorHAnsi" w:hAnsiTheme="minorHAnsi" w:cstheme="minorBidi"/>
          <w:snapToGrid/>
          <w:sz w:val="24"/>
          <w:szCs w:val="22"/>
        </w:rPr>
        <w:t xml:space="preserve"> a Section 100 </w:t>
      </w:r>
      <w:r w:rsidR="00856522">
        <w:rPr>
          <w:rFonts w:asciiTheme="minorHAnsi" w:eastAsiaTheme="minorHAnsi" w:hAnsiTheme="minorHAnsi" w:cstheme="minorBidi"/>
          <w:snapToGrid/>
          <w:sz w:val="24"/>
          <w:szCs w:val="22"/>
        </w:rPr>
        <w:t>H</w:t>
      </w:r>
      <w:r w:rsidR="00342784">
        <w:rPr>
          <w:rFonts w:asciiTheme="minorHAnsi" w:eastAsiaTheme="minorHAnsi" w:hAnsiTheme="minorHAnsi" w:cstheme="minorBidi"/>
          <w:snapToGrid/>
          <w:sz w:val="24"/>
          <w:szCs w:val="22"/>
        </w:rPr>
        <w:t>ighly Specialised Drugs Program</w:t>
      </w:r>
      <w:r w:rsidR="00856522">
        <w:rPr>
          <w:rFonts w:asciiTheme="minorHAnsi" w:eastAsiaTheme="minorHAnsi" w:hAnsiTheme="minorHAnsi" w:cstheme="minorBidi"/>
          <w:snapToGrid/>
          <w:sz w:val="24"/>
          <w:szCs w:val="22"/>
        </w:rPr>
        <w:t xml:space="preserve"> Authority Required listing of a new </w:t>
      </w:r>
      <w:r w:rsidR="00B523D9">
        <w:rPr>
          <w:rFonts w:asciiTheme="minorHAnsi" w:eastAsiaTheme="minorHAnsi" w:hAnsiTheme="minorHAnsi" w:cstheme="minorBidi"/>
          <w:snapToGrid/>
          <w:sz w:val="24"/>
          <w:szCs w:val="22"/>
        </w:rPr>
        <w:t>form</w:t>
      </w:r>
      <w:r w:rsidR="00856522">
        <w:rPr>
          <w:rFonts w:asciiTheme="minorHAnsi" w:eastAsiaTheme="minorHAnsi" w:hAnsiTheme="minorHAnsi" w:cstheme="minorBidi"/>
          <w:snapToGrid/>
          <w:sz w:val="24"/>
          <w:szCs w:val="22"/>
        </w:rPr>
        <w:t xml:space="preserve"> of apomorphine (30 mg in 3 mL) delivered in a disposable multiple dose pen injector system for the treatment of Parkinson’s disease (PD)</w:t>
      </w:r>
      <w:r w:rsidR="00342784">
        <w:rPr>
          <w:rFonts w:asciiTheme="minorHAnsi" w:eastAsiaTheme="minorHAnsi" w:hAnsiTheme="minorHAnsi" w:cstheme="minorBidi"/>
          <w:snapToGrid/>
          <w:sz w:val="24"/>
          <w:szCs w:val="22"/>
        </w:rPr>
        <w:t>.</w:t>
      </w:r>
      <w:r w:rsidR="00856522">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w:t>
      </w:r>
      <w:r w:rsidR="00342784">
        <w:rPr>
          <w:rFonts w:asciiTheme="minorHAnsi" w:eastAsiaTheme="minorHAnsi" w:hAnsiTheme="minorHAnsi" w:cstheme="minorBidi"/>
          <w:snapToGrid/>
          <w:sz w:val="24"/>
          <w:szCs w:val="22"/>
        </w:rPr>
        <w:t xml:space="preserve">listing of the </w:t>
      </w:r>
      <w:r w:rsidRPr="001B2BBC">
        <w:rPr>
          <w:rFonts w:asciiTheme="minorHAnsi" w:eastAsiaTheme="minorHAnsi" w:hAnsiTheme="minorHAnsi" w:cstheme="minorBidi"/>
          <w:snapToGrid/>
          <w:sz w:val="24"/>
          <w:szCs w:val="22"/>
        </w:rPr>
        <w:t xml:space="preserve">following </w:t>
      </w:r>
      <w:r w:rsidR="0076420C" w:rsidRPr="001B2BBC">
        <w:rPr>
          <w:rFonts w:asciiTheme="minorHAnsi" w:eastAsiaTheme="minorHAnsi" w:hAnsiTheme="minorHAnsi" w:cstheme="minorBidi"/>
          <w:snapToGrid/>
          <w:sz w:val="24"/>
          <w:szCs w:val="22"/>
        </w:rPr>
        <w:t xml:space="preserve">new </w:t>
      </w:r>
      <w:r w:rsidR="00342784">
        <w:rPr>
          <w:rFonts w:asciiTheme="minorHAnsi" w:eastAsiaTheme="minorHAnsi" w:hAnsiTheme="minorHAnsi" w:cstheme="minorBidi"/>
          <w:snapToGrid/>
          <w:sz w:val="24"/>
          <w:szCs w:val="22"/>
        </w:rPr>
        <w:t xml:space="preserve">form, </w:t>
      </w:r>
      <w:r w:rsidR="00C11080">
        <w:rPr>
          <w:rFonts w:asciiTheme="minorHAnsi" w:eastAsiaTheme="minorHAnsi" w:hAnsiTheme="minorHAnsi" w:cstheme="minorBidi"/>
          <w:snapToGrid/>
          <w:sz w:val="24"/>
          <w:szCs w:val="22"/>
        </w:rPr>
        <w:t xml:space="preserve">30 mg in 3 mL, </w:t>
      </w:r>
      <w:r w:rsidR="00342784">
        <w:rPr>
          <w:rFonts w:asciiTheme="minorHAnsi" w:eastAsiaTheme="minorHAnsi" w:hAnsiTheme="minorHAnsi" w:cstheme="minorBidi"/>
          <w:snapToGrid/>
          <w:sz w:val="24"/>
          <w:szCs w:val="22"/>
        </w:rPr>
        <w:t xml:space="preserve">with the same restrictions as the existing listing: </w:t>
      </w:r>
    </w:p>
    <w:p w:rsidR="0067747D" w:rsidRDefault="008B741E" w:rsidP="0067747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564F72">
        <w:rPr>
          <w:rFonts w:asciiTheme="minorHAnsi" w:eastAsiaTheme="minorHAnsi" w:hAnsiTheme="minorHAnsi" w:cstheme="minorBidi"/>
          <w:snapToGrid/>
          <w:sz w:val="24"/>
          <w:szCs w:val="22"/>
        </w:rPr>
        <w:t>Suggestions and additions proposed by the Secretariat to the requested listing are added in italics and suggested deletions are crossed out with strikethrough.</w:t>
      </w:r>
    </w:p>
    <w:tbl>
      <w:tblPr>
        <w:tblW w:w="4915" w:type="pct"/>
        <w:tblLook w:val="0000" w:firstRow="0" w:lastRow="0" w:firstColumn="0" w:lastColumn="0" w:noHBand="0" w:noVBand="0"/>
      </w:tblPr>
      <w:tblGrid>
        <w:gridCol w:w="1890"/>
        <w:gridCol w:w="1305"/>
        <w:gridCol w:w="672"/>
        <w:gridCol w:w="638"/>
        <w:gridCol w:w="1557"/>
        <w:gridCol w:w="1417"/>
        <w:gridCol w:w="807"/>
        <w:gridCol w:w="799"/>
      </w:tblGrid>
      <w:tr w:rsidR="00BA6D3D" w:rsidRPr="0039782C" w:rsidTr="00A745E5">
        <w:trPr>
          <w:cantSplit/>
          <w:trHeight w:val="465"/>
        </w:trPr>
        <w:tc>
          <w:tcPr>
            <w:tcW w:w="1758" w:type="pct"/>
            <w:gridSpan w:val="2"/>
            <w:tcBorders>
              <w:bottom w:val="single" w:sz="4" w:space="0" w:color="auto"/>
            </w:tcBorders>
          </w:tcPr>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lastRenderedPageBreak/>
              <w:t>Name, Restriction,</w:t>
            </w:r>
          </w:p>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70" w:type="pct"/>
            <w:tcBorders>
              <w:bottom w:val="single" w:sz="4" w:space="0" w:color="auto"/>
            </w:tcBorders>
          </w:tcPr>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351" w:type="pct"/>
            <w:tcBorders>
              <w:bottom w:val="single" w:sz="4" w:space="0" w:color="auto"/>
            </w:tcBorders>
          </w:tcPr>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857" w:type="pct"/>
            <w:tcBorders>
              <w:bottom w:val="single" w:sz="4" w:space="0" w:color="auto"/>
            </w:tcBorders>
          </w:tcPr>
          <w:p w:rsidR="00826F6D" w:rsidRPr="0039782C" w:rsidRDefault="00826F6D" w:rsidP="00A745E5">
            <w:pPr>
              <w:keepNext/>
              <w:spacing w:before="40" w:after="40"/>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1664" w:type="pct"/>
            <w:gridSpan w:val="3"/>
            <w:tcBorders>
              <w:bottom w:val="single" w:sz="4" w:space="0" w:color="auto"/>
            </w:tcBorders>
          </w:tcPr>
          <w:p w:rsidR="00826F6D" w:rsidRPr="0039782C" w:rsidRDefault="00826F6D" w:rsidP="00A745E5">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BA6D3D" w:rsidRPr="00260CE3" w:rsidTr="00A745E5">
        <w:trPr>
          <w:cantSplit/>
          <w:trHeight w:val="567"/>
        </w:trPr>
        <w:tc>
          <w:tcPr>
            <w:tcW w:w="1758" w:type="pct"/>
            <w:gridSpan w:val="2"/>
          </w:tcPr>
          <w:p w:rsidR="00826F6D" w:rsidRPr="00260CE3" w:rsidRDefault="00BA6D3D" w:rsidP="00A745E5">
            <w:pPr>
              <w:keepNext/>
              <w:spacing w:before="40" w:after="40"/>
              <w:jc w:val="both"/>
              <w:rPr>
                <w:rFonts w:ascii="Arial Narrow" w:hAnsi="Arial Narrow" w:cs="Arial"/>
                <w:sz w:val="20"/>
                <w:szCs w:val="20"/>
              </w:rPr>
            </w:pPr>
            <w:r>
              <w:rPr>
                <w:rFonts w:ascii="Arial Narrow" w:hAnsi="Arial Narrow" w:cs="Arial"/>
                <w:smallCaps/>
                <w:sz w:val="20"/>
                <w:szCs w:val="20"/>
              </w:rPr>
              <w:t>apomorphine</w:t>
            </w:r>
          </w:p>
          <w:p w:rsidR="00826F6D" w:rsidRDefault="003645DF" w:rsidP="00A745E5">
            <w:pPr>
              <w:keepNext/>
              <w:spacing w:before="40" w:after="40"/>
              <w:jc w:val="both"/>
              <w:rPr>
                <w:rFonts w:ascii="Arial Narrow" w:hAnsi="Arial Narrow" w:cs="Arial"/>
                <w:sz w:val="20"/>
                <w:szCs w:val="20"/>
              </w:rPr>
            </w:pPr>
            <w:r>
              <w:rPr>
                <w:rFonts w:ascii="Arial Narrow" w:hAnsi="Arial Narrow" w:cs="Arial"/>
                <w:sz w:val="20"/>
                <w:szCs w:val="20"/>
              </w:rPr>
              <w:t>a</w:t>
            </w:r>
            <w:r w:rsidR="00BA6D3D">
              <w:rPr>
                <w:rFonts w:ascii="Arial Narrow" w:hAnsi="Arial Narrow" w:cs="Arial"/>
                <w:sz w:val="20"/>
                <w:szCs w:val="20"/>
              </w:rPr>
              <w:t>pomorphine hydrochloride</w:t>
            </w:r>
          </w:p>
          <w:p w:rsidR="00BA6D3D" w:rsidRPr="00260CE3" w:rsidRDefault="00BA6D3D" w:rsidP="00A745E5">
            <w:pPr>
              <w:keepNext/>
              <w:spacing w:before="40" w:after="40"/>
              <w:jc w:val="both"/>
              <w:rPr>
                <w:rFonts w:ascii="Arial Narrow" w:hAnsi="Arial Narrow" w:cs="Arial"/>
                <w:sz w:val="20"/>
                <w:szCs w:val="20"/>
              </w:rPr>
            </w:pPr>
            <w:r>
              <w:rPr>
                <w:rFonts w:ascii="Arial Narrow" w:hAnsi="Arial Narrow" w:cs="Arial"/>
                <w:sz w:val="20"/>
                <w:szCs w:val="20"/>
              </w:rPr>
              <w:t>30 mg/ 3 mL injection cartridge, 5 × 3 mL pens</w:t>
            </w:r>
          </w:p>
        </w:tc>
        <w:tc>
          <w:tcPr>
            <w:tcW w:w="370" w:type="pct"/>
          </w:tcPr>
          <w:p w:rsidR="00826F6D" w:rsidRPr="00260CE3" w:rsidRDefault="00826F6D" w:rsidP="00A745E5">
            <w:pPr>
              <w:keepNext/>
              <w:spacing w:before="40" w:after="40"/>
              <w:jc w:val="both"/>
              <w:rPr>
                <w:rFonts w:ascii="Arial Narrow" w:hAnsi="Arial Narrow" w:cs="Arial"/>
                <w:sz w:val="20"/>
                <w:szCs w:val="20"/>
              </w:rPr>
            </w:pPr>
          </w:p>
          <w:p w:rsidR="00826F6D" w:rsidRDefault="00BA6D3D" w:rsidP="00A745E5">
            <w:pPr>
              <w:keepNext/>
              <w:spacing w:before="40" w:after="40"/>
              <w:jc w:val="both"/>
              <w:rPr>
                <w:rFonts w:ascii="Arial Narrow" w:hAnsi="Arial Narrow" w:cs="Arial"/>
                <w:strike/>
                <w:sz w:val="20"/>
                <w:szCs w:val="20"/>
              </w:rPr>
            </w:pPr>
            <w:r w:rsidRPr="00DC1B7E">
              <w:rPr>
                <w:rFonts w:ascii="Arial Narrow" w:hAnsi="Arial Narrow" w:cs="Arial"/>
                <w:strike/>
                <w:sz w:val="20"/>
                <w:szCs w:val="20"/>
              </w:rPr>
              <w:t>72</w:t>
            </w:r>
          </w:p>
          <w:p w:rsidR="00680F85" w:rsidRPr="00680F85" w:rsidRDefault="00680F85" w:rsidP="00A745E5">
            <w:pPr>
              <w:keepNext/>
              <w:spacing w:before="40" w:after="40"/>
              <w:jc w:val="both"/>
              <w:rPr>
                <w:rFonts w:ascii="Arial Narrow" w:hAnsi="Arial Narrow" w:cs="Arial"/>
                <w:sz w:val="20"/>
                <w:szCs w:val="20"/>
              </w:rPr>
            </w:pPr>
            <w:r w:rsidRPr="00DC1B7E">
              <w:rPr>
                <w:rFonts w:ascii="Arial Narrow" w:hAnsi="Arial Narrow" w:cs="Arial"/>
                <w:sz w:val="20"/>
                <w:szCs w:val="20"/>
              </w:rPr>
              <w:t>60</w:t>
            </w:r>
          </w:p>
        </w:tc>
        <w:tc>
          <w:tcPr>
            <w:tcW w:w="351" w:type="pct"/>
          </w:tcPr>
          <w:p w:rsidR="00826F6D" w:rsidRPr="00260CE3" w:rsidRDefault="00826F6D" w:rsidP="00A745E5">
            <w:pPr>
              <w:keepNext/>
              <w:spacing w:before="40" w:after="40"/>
              <w:jc w:val="both"/>
              <w:rPr>
                <w:rFonts w:ascii="Arial Narrow" w:hAnsi="Arial Narrow" w:cs="Arial"/>
                <w:sz w:val="20"/>
                <w:szCs w:val="20"/>
              </w:rPr>
            </w:pPr>
          </w:p>
          <w:p w:rsidR="00826F6D" w:rsidRPr="00260CE3" w:rsidRDefault="00BA6D3D" w:rsidP="00A745E5">
            <w:pPr>
              <w:keepNext/>
              <w:spacing w:before="40" w:after="40"/>
              <w:jc w:val="both"/>
              <w:rPr>
                <w:rFonts w:ascii="Arial Narrow" w:hAnsi="Arial Narrow" w:cs="Arial"/>
                <w:sz w:val="20"/>
                <w:szCs w:val="20"/>
              </w:rPr>
            </w:pPr>
            <w:r>
              <w:rPr>
                <w:rFonts w:ascii="Arial Narrow" w:hAnsi="Arial Narrow" w:cs="Arial"/>
                <w:sz w:val="20"/>
                <w:szCs w:val="20"/>
              </w:rPr>
              <w:t>5</w:t>
            </w:r>
          </w:p>
        </w:tc>
        <w:tc>
          <w:tcPr>
            <w:tcW w:w="857" w:type="pct"/>
          </w:tcPr>
          <w:p w:rsidR="00826F6D" w:rsidRPr="00260CE3" w:rsidRDefault="00826F6D" w:rsidP="00A745E5">
            <w:pPr>
              <w:keepNext/>
              <w:spacing w:before="40" w:after="40"/>
              <w:jc w:val="both"/>
              <w:rPr>
                <w:rFonts w:ascii="Arial Narrow" w:hAnsi="Arial Narrow" w:cs="Arial"/>
                <w:sz w:val="20"/>
                <w:szCs w:val="20"/>
              </w:rPr>
            </w:pPr>
          </w:p>
          <w:p w:rsidR="00826F6D" w:rsidRPr="00A124E4" w:rsidRDefault="00BA6D3D" w:rsidP="00A745E5">
            <w:pPr>
              <w:keepNext/>
              <w:spacing w:before="40" w:after="40"/>
              <w:jc w:val="both"/>
              <w:rPr>
                <w:rFonts w:ascii="Arial Narrow" w:hAnsi="Arial Narrow" w:cs="Arial"/>
                <w:strike/>
                <w:sz w:val="20"/>
                <w:szCs w:val="20"/>
              </w:rPr>
            </w:pPr>
            <w:r w:rsidRPr="00A124E4">
              <w:rPr>
                <w:rFonts w:ascii="Arial Narrow" w:hAnsi="Arial Narrow" w:cs="Arial"/>
                <w:strike/>
                <w:sz w:val="20"/>
                <w:szCs w:val="20"/>
              </w:rPr>
              <w:t>$9,793.44</w:t>
            </w:r>
          </w:p>
          <w:p w:rsidR="00A124E4" w:rsidRPr="008A4843" w:rsidRDefault="00A124E4" w:rsidP="00A745E5">
            <w:pPr>
              <w:keepNext/>
              <w:spacing w:before="40" w:after="40"/>
              <w:jc w:val="both"/>
              <w:rPr>
                <w:rFonts w:ascii="Arial Narrow" w:hAnsi="Arial Narrow" w:cs="Arial"/>
                <w:i/>
                <w:sz w:val="20"/>
                <w:szCs w:val="20"/>
                <w:vertAlign w:val="superscript"/>
              </w:rPr>
            </w:pPr>
            <w:r w:rsidRPr="008A4843">
              <w:rPr>
                <w:rFonts w:ascii="Arial Narrow" w:hAnsi="Arial Narrow" w:cs="Arial"/>
                <w:i/>
                <w:sz w:val="20"/>
                <w:szCs w:val="20"/>
              </w:rPr>
              <w:t>$8,167.80</w:t>
            </w:r>
            <w:r w:rsidRPr="008A4843">
              <w:rPr>
                <w:rFonts w:ascii="Arial Narrow" w:hAnsi="Arial Narrow" w:cs="Arial"/>
                <w:i/>
                <w:sz w:val="20"/>
                <w:szCs w:val="20"/>
                <w:vertAlign w:val="superscript"/>
              </w:rPr>
              <w:t>*</w:t>
            </w:r>
          </w:p>
          <w:p w:rsidR="00BA6D3D" w:rsidRDefault="00BA6D3D" w:rsidP="00A745E5">
            <w:pPr>
              <w:keepNext/>
              <w:spacing w:before="40" w:after="40"/>
              <w:jc w:val="both"/>
              <w:rPr>
                <w:rFonts w:ascii="Arial Narrow" w:hAnsi="Arial Narrow" w:cs="Arial"/>
                <w:sz w:val="20"/>
                <w:szCs w:val="20"/>
              </w:rPr>
            </w:pPr>
            <w:r>
              <w:rPr>
                <w:rFonts w:ascii="Arial Narrow" w:hAnsi="Arial Narrow" w:cs="Arial"/>
                <w:sz w:val="20"/>
                <w:szCs w:val="20"/>
              </w:rPr>
              <w:t>(Public hospital)</w:t>
            </w:r>
          </w:p>
          <w:p w:rsidR="00BA6D3D" w:rsidRPr="00A124E4" w:rsidRDefault="00A124E4" w:rsidP="00A745E5">
            <w:pPr>
              <w:keepNext/>
              <w:spacing w:before="40" w:after="40"/>
              <w:jc w:val="both"/>
              <w:rPr>
                <w:rFonts w:ascii="Arial Narrow" w:hAnsi="Arial Narrow" w:cs="Arial"/>
                <w:strike/>
                <w:sz w:val="20"/>
                <w:szCs w:val="20"/>
              </w:rPr>
            </w:pPr>
            <w:r w:rsidRPr="00A124E4">
              <w:rPr>
                <w:rFonts w:ascii="Arial Narrow" w:hAnsi="Arial Narrow" w:cs="Arial"/>
                <w:strike/>
                <w:sz w:val="20"/>
                <w:szCs w:val="20"/>
              </w:rPr>
              <w:t>$9,840.91</w:t>
            </w:r>
          </w:p>
          <w:p w:rsidR="00A124E4" w:rsidRPr="008A4843" w:rsidRDefault="00A124E4" w:rsidP="00A745E5">
            <w:pPr>
              <w:keepNext/>
              <w:spacing w:before="40" w:after="40"/>
              <w:jc w:val="both"/>
              <w:rPr>
                <w:rFonts w:ascii="Arial Narrow" w:hAnsi="Arial Narrow" w:cs="Arial"/>
                <w:i/>
                <w:sz w:val="20"/>
                <w:szCs w:val="20"/>
                <w:vertAlign w:val="superscript"/>
              </w:rPr>
            </w:pPr>
            <w:r w:rsidRPr="008A4843">
              <w:rPr>
                <w:rFonts w:ascii="Arial Narrow" w:hAnsi="Arial Narrow" w:cs="Arial"/>
                <w:i/>
                <w:sz w:val="20"/>
                <w:szCs w:val="20"/>
              </w:rPr>
              <w:t>$8215.15</w:t>
            </w:r>
            <w:r w:rsidRPr="008A4843">
              <w:rPr>
                <w:rFonts w:ascii="Arial Narrow" w:hAnsi="Arial Narrow" w:cs="Arial"/>
                <w:i/>
                <w:sz w:val="20"/>
                <w:szCs w:val="20"/>
                <w:vertAlign w:val="superscript"/>
              </w:rPr>
              <w:t>*</w:t>
            </w:r>
          </w:p>
          <w:p w:rsidR="00BA6D3D" w:rsidRPr="00260CE3" w:rsidRDefault="00BA6D3D" w:rsidP="00A745E5">
            <w:pPr>
              <w:keepNext/>
              <w:spacing w:before="40" w:after="40"/>
              <w:jc w:val="both"/>
              <w:rPr>
                <w:rFonts w:ascii="Arial Narrow" w:hAnsi="Arial Narrow" w:cs="Arial"/>
                <w:sz w:val="20"/>
                <w:szCs w:val="20"/>
              </w:rPr>
            </w:pPr>
            <w:r>
              <w:rPr>
                <w:rFonts w:ascii="Arial Narrow" w:hAnsi="Arial Narrow" w:cs="Arial"/>
                <w:sz w:val="20"/>
                <w:szCs w:val="20"/>
              </w:rPr>
              <w:t>(Private hospital)</w:t>
            </w:r>
          </w:p>
        </w:tc>
        <w:tc>
          <w:tcPr>
            <w:tcW w:w="780" w:type="pct"/>
          </w:tcPr>
          <w:p w:rsidR="00375F04" w:rsidRDefault="00375F04" w:rsidP="00A745E5">
            <w:pPr>
              <w:keepNext/>
              <w:spacing w:before="40" w:after="40"/>
              <w:jc w:val="both"/>
              <w:rPr>
                <w:rFonts w:ascii="Arial Narrow" w:hAnsi="Arial Narrow" w:cs="Arial"/>
                <w:sz w:val="20"/>
                <w:szCs w:val="20"/>
              </w:rPr>
            </w:pPr>
          </w:p>
          <w:p w:rsidR="00826F6D" w:rsidRPr="00260CE3" w:rsidRDefault="00BA6D3D" w:rsidP="00A745E5">
            <w:pPr>
              <w:keepNext/>
              <w:spacing w:before="40" w:after="40"/>
              <w:jc w:val="both"/>
              <w:rPr>
                <w:rFonts w:ascii="Arial Narrow" w:hAnsi="Arial Narrow" w:cs="Arial"/>
                <w:sz w:val="20"/>
                <w:szCs w:val="20"/>
              </w:rPr>
            </w:pPr>
            <w:r>
              <w:rPr>
                <w:rFonts w:ascii="Arial Narrow" w:hAnsi="Arial Narrow" w:cs="Arial"/>
                <w:sz w:val="20"/>
                <w:szCs w:val="20"/>
              </w:rPr>
              <w:t>MOVAPO</w:t>
            </w:r>
            <w:r w:rsidRPr="00BA6D3D">
              <w:rPr>
                <w:rFonts w:ascii="Arial Narrow" w:hAnsi="Arial Narrow" w:cs="Arial"/>
                <w:sz w:val="20"/>
                <w:szCs w:val="20"/>
                <w:vertAlign w:val="superscript"/>
              </w:rPr>
              <w:t>®</w:t>
            </w:r>
            <w:r>
              <w:rPr>
                <w:rFonts w:ascii="Arial Narrow" w:hAnsi="Arial Narrow" w:cs="Arial"/>
                <w:sz w:val="20"/>
                <w:szCs w:val="20"/>
              </w:rPr>
              <w:t> PEN</w:t>
            </w:r>
          </w:p>
        </w:tc>
        <w:tc>
          <w:tcPr>
            <w:tcW w:w="884" w:type="pct"/>
            <w:gridSpan w:val="2"/>
          </w:tcPr>
          <w:p w:rsidR="00C27B58" w:rsidRDefault="00C27B58" w:rsidP="00A745E5">
            <w:pPr>
              <w:keepNext/>
              <w:spacing w:before="40" w:after="40"/>
              <w:jc w:val="both"/>
              <w:rPr>
                <w:rFonts w:ascii="Arial Narrow" w:hAnsi="Arial Narrow" w:cs="Arial"/>
                <w:sz w:val="20"/>
                <w:szCs w:val="20"/>
              </w:rPr>
            </w:pPr>
          </w:p>
          <w:p w:rsidR="00826F6D" w:rsidRPr="00260CE3" w:rsidRDefault="00A745E5" w:rsidP="00A745E5">
            <w:pPr>
              <w:keepNext/>
              <w:spacing w:before="40" w:after="40"/>
              <w:jc w:val="both"/>
              <w:rPr>
                <w:rFonts w:ascii="Arial Narrow" w:hAnsi="Arial Narrow" w:cs="Arial"/>
                <w:sz w:val="20"/>
                <w:szCs w:val="20"/>
              </w:rPr>
            </w:pPr>
            <w:r>
              <w:rPr>
                <w:rFonts w:ascii="Arial Narrow" w:hAnsi="Arial Narrow" w:cs="Arial"/>
                <w:sz w:val="20"/>
                <w:szCs w:val="20"/>
              </w:rPr>
              <w:t xml:space="preserve">Stada </w:t>
            </w:r>
            <w:r w:rsidR="00BA6D3D">
              <w:rPr>
                <w:rFonts w:ascii="Arial Narrow" w:hAnsi="Arial Narrow" w:cs="Arial"/>
                <w:sz w:val="20"/>
                <w:szCs w:val="20"/>
              </w:rPr>
              <w:t>Pharmaceuticals Australia Pty Ltd</w:t>
            </w:r>
          </w:p>
        </w:tc>
      </w:tr>
      <w:tr w:rsidR="00826F6D" w:rsidRPr="00260CE3" w:rsidTr="00BA6D3D">
        <w:trPr>
          <w:gridAfter w:val="1"/>
          <w:wAfter w:w="440" w:type="pct"/>
          <w:cantSplit/>
          <w:trHeight w:val="360"/>
        </w:trPr>
        <w:tc>
          <w:tcPr>
            <w:tcW w:w="4560" w:type="pct"/>
            <w:gridSpan w:val="7"/>
            <w:tcBorders>
              <w:bottom w:val="single" w:sz="4" w:space="0" w:color="auto"/>
            </w:tcBorders>
          </w:tcPr>
          <w:p w:rsidR="00826F6D" w:rsidRPr="00A124E4" w:rsidRDefault="00A124E4" w:rsidP="00A745E5">
            <w:pPr>
              <w:keepNext/>
              <w:spacing w:before="40" w:after="40"/>
              <w:jc w:val="both"/>
              <w:rPr>
                <w:rFonts w:ascii="Arial Narrow" w:hAnsi="Arial Narrow" w:cs="Arial"/>
                <w:sz w:val="20"/>
                <w:szCs w:val="20"/>
              </w:rPr>
            </w:pPr>
            <w:r>
              <w:rPr>
                <w:rFonts w:ascii="Arial Narrow" w:hAnsi="Arial Narrow" w:cs="Arial"/>
                <w:sz w:val="20"/>
                <w:szCs w:val="20"/>
                <w:vertAlign w:val="superscript"/>
              </w:rPr>
              <w:t>*</w:t>
            </w:r>
            <w:r>
              <w:rPr>
                <w:rFonts w:ascii="Arial Narrow" w:hAnsi="Arial Narrow" w:cs="Arial"/>
                <w:sz w:val="20"/>
                <w:szCs w:val="20"/>
              </w:rPr>
              <w:t xml:space="preserve"> recalculated on a cost per mg </w:t>
            </w:r>
            <w:r w:rsidR="006C24FE">
              <w:rPr>
                <w:rFonts w:ascii="Arial Narrow" w:hAnsi="Arial Narrow" w:cs="Arial"/>
                <w:sz w:val="20"/>
                <w:szCs w:val="20"/>
              </w:rPr>
              <w:t xml:space="preserve">vs comparator </w:t>
            </w:r>
            <w:r>
              <w:rPr>
                <w:rFonts w:ascii="Arial Narrow" w:hAnsi="Arial Narrow" w:cs="Arial"/>
                <w:sz w:val="20"/>
                <w:szCs w:val="20"/>
              </w:rPr>
              <w:t>basis with reduced Maximum Quantity</w:t>
            </w:r>
          </w:p>
        </w:tc>
      </w:tr>
      <w:tr w:rsidR="00826F6D" w:rsidRPr="00260CE3" w:rsidTr="00ED34FE">
        <w:trPr>
          <w:cantSplit/>
          <w:trHeight w:val="360"/>
        </w:trPr>
        <w:tc>
          <w:tcPr>
            <w:tcW w:w="1040" w:type="pct"/>
            <w:tcBorders>
              <w:top w:val="single" w:sz="4" w:space="0" w:color="auto"/>
              <w:left w:val="single" w:sz="4" w:space="0" w:color="auto"/>
              <w:bottom w:val="single" w:sz="4" w:space="0" w:color="auto"/>
              <w:right w:val="single" w:sz="4" w:space="0" w:color="auto"/>
            </w:tcBorders>
          </w:tcPr>
          <w:p w:rsidR="00826F6D" w:rsidRPr="00375F04" w:rsidRDefault="00826F6D" w:rsidP="00A745E5">
            <w:pPr>
              <w:keepNext/>
              <w:spacing w:before="40" w:after="40"/>
              <w:jc w:val="both"/>
              <w:rPr>
                <w:rFonts w:ascii="Arial Narrow" w:hAnsi="Arial Narrow" w:cs="Arial"/>
                <w:b/>
                <w:sz w:val="20"/>
                <w:szCs w:val="20"/>
              </w:rPr>
            </w:pPr>
            <w:r w:rsidRPr="00375F04">
              <w:rPr>
                <w:rFonts w:ascii="Arial Narrow" w:hAnsi="Arial Narrow" w:cs="Arial"/>
                <w:b/>
                <w:sz w:val="20"/>
                <w:szCs w:val="20"/>
              </w:rPr>
              <w:t xml:space="preserve">Category / </w:t>
            </w:r>
          </w:p>
          <w:p w:rsidR="00826F6D" w:rsidRPr="00260CE3" w:rsidRDefault="00826F6D" w:rsidP="00A745E5">
            <w:pPr>
              <w:keepNext/>
              <w:spacing w:before="40" w:after="40"/>
              <w:jc w:val="both"/>
              <w:rPr>
                <w:rFonts w:ascii="Arial Narrow" w:hAnsi="Arial Narrow" w:cs="Arial"/>
                <w:b/>
                <w:sz w:val="20"/>
                <w:szCs w:val="20"/>
              </w:rPr>
            </w:pPr>
            <w:r w:rsidRPr="00375F04">
              <w:rPr>
                <w:rFonts w:ascii="Arial Narrow" w:hAnsi="Arial Narrow" w:cs="Arial"/>
                <w:b/>
                <w:sz w:val="20"/>
                <w:szCs w:val="20"/>
              </w:rPr>
              <w:t>Program</w:t>
            </w:r>
          </w:p>
        </w:tc>
        <w:tc>
          <w:tcPr>
            <w:tcW w:w="3960"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A745E5">
            <w:pPr>
              <w:keepNext/>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p>
          <w:p w:rsidR="00826F6D" w:rsidRPr="00260CE3" w:rsidRDefault="00826F6D" w:rsidP="00A745E5">
            <w:pPr>
              <w:keepNext/>
              <w:spacing w:before="40" w:after="40"/>
              <w:rPr>
                <w:rFonts w:ascii="Arial Narrow" w:hAnsi="Arial Narrow" w:cs="Arial"/>
                <w:sz w:val="20"/>
                <w:szCs w:val="20"/>
              </w:rPr>
            </w:pPr>
          </w:p>
        </w:tc>
      </w:tr>
      <w:tr w:rsidR="00826F6D" w:rsidRPr="00260CE3" w:rsidTr="00ED34FE">
        <w:trPr>
          <w:cantSplit/>
          <w:trHeight w:val="360"/>
        </w:trPr>
        <w:tc>
          <w:tcPr>
            <w:tcW w:w="1040" w:type="pct"/>
            <w:tcBorders>
              <w:top w:val="single" w:sz="4" w:space="0" w:color="auto"/>
              <w:left w:val="single" w:sz="4" w:space="0" w:color="auto"/>
              <w:bottom w:val="single" w:sz="4" w:space="0" w:color="auto"/>
              <w:right w:val="single" w:sz="4" w:space="0" w:color="auto"/>
            </w:tcBorders>
          </w:tcPr>
          <w:p w:rsidR="00826F6D" w:rsidRPr="00260CE3" w:rsidRDefault="00826F6D" w:rsidP="00A745E5">
            <w:pPr>
              <w:keepNext/>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60"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A745E5">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342784">
              <w:rPr>
                <w:rFonts w:ascii="Arial Narrow" w:hAnsi="Arial Narrow" w:cs="Arial"/>
                <w:sz w:val="20"/>
                <w:szCs w:val="20"/>
              </w:rPr>
              <w:fldChar w:fldCharType="begin">
                <w:ffData>
                  <w:name w:val=""/>
                  <w:enabled/>
                  <w:calcOnExit w:val="0"/>
                  <w:checkBox>
                    <w:sizeAuto/>
                    <w:default w:val="1"/>
                  </w:checkBox>
                </w:ffData>
              </w:fldChar>
            </w:r>
            <w:r w:rsidR="00342784">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00342784">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A745E5">
            <w:pPr>
              <w:keepNext/>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ED34FE">
        <w:trPr>
          <w:cantSplit/>
          <w:trHeight w:val="360"/>
        </w:trPr>
        <w:tc>
          <w:tcPr>
            <w:tcW w:w="1040" w:type="pct"/>
            <w:tcBorders>
              <w:top w:val="single" w:sz="4" w:space="0" w:color="auto"/>
              <w:left w:val="single" w:sz="4" w:space="0" w:color="auto"/>
              <w:bottom w:val="single" w:sz="4" w:space="0" w:color="auto"/>
              <w:right w:val="single" w:sz="4" w:space="0" w:color="auto"/>
            </w:tcBorders>
          </w:tcPr>
          <w:p w:rsidR="00826F6D" w:rsidRPr="00260CE3" w:rsidRDefault="00826F6D" w:rsidP="00A745E5">
            <w:pPr>
              <w:keepNext/>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60" w:type="pct"/>
            <w:gridSpan w:val="7"/>
            <w:tcBorders>
              <w:top w:val="single" w:sz="4" w:space="0" w:color="auto"/>
              <w:left w:val="single" w:sz="4" w:space="0" w:color="auto"/>
              <w:bottom w:val="single" w:sz="4" w:space="0" w:color="auto"/>
              <w:right w:val="single" w:sz="4" w:space="0" w:color="auto"/>
            </w:tcBorders>
          </w:tcPr>
          <w:p w:rsidR="00826F6D" w:rsidRPr="00260CE3" w:rsidRDefault="00342784" w:rsidP="00A745E5">
            <w:pPr>
              <w:keepNext/>
              <w:spacing w:before="40" w:after="40"/>
              <w:rPr>
                <w:rFonts w:ascii="Arial Narrow" w:hAnsi="Arial Narrow" w:cs="Arial"/>
                <w:sz w:val="20"/>
                <w:szCs w:val="20"/>
              </w:rPr>
            </w:pPr>
            <w:r>
              <w:rPr>
                <w:rFonts w:ascii="Arial Narrow" w:hAnsi="Arial Narrow" w:cs="Arial"/>
                <w:sz w:val="20"/>
                <w:szCs w:val="20"/>
              </w:rPr>
              <w:t>Parkinson Disease</w:t>
            </w:r>
          </w:p>
        </w:tc>
      </w:tr>
      <w:tr w:rsidR="00826F6D" w:rsidRPr="00260CE3" w:rsidTr="00ED34FE">
        <w:trPr>
          <w:cantSplit/>
          <w:trHeight w:val="360"/>
        </w:trPr>
        <w:tc>
          <w:tcPr>
            <w:tcW w:w="1040" w:type="pct"/>
            <w:tcBorders>
              <w:top w:val="single" w:sz="4" w:space="0" w:color="auto"/>
              <w:left w:val="single" w:sz="4" w:space="0" w:color="auto"/>
              <w:bottom w:val="single" w:sz="4" w:space="0" w:color="auto"/>
              <w:right w:val="single" w:sz="4" w:space="0" w:color="auto"/>
            </w:tcBorders>
          </w:tcPr>
          <w:p w:rsidR="00826F6D" w:rsidRPr="00260CE3" w:rsidRDefault="00826F6D" w:rsidP="00A745E5">
            <w:pPr>
              <w:keepNext/>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A745E5">
            <w:pPr>
              <w:keepNext/>
              <w:spacing w:before="40" w:after="40"/>
              <w:rPr>
                <w:rFonts w:ascii="Arial Narrow" w:hAnsi="Arial Narrow" w:cs="Arial"/>
                <w:sz w:val="20"/>
                <w:szCs w:val="20"/>
              </w:rPr>
            </w:pPr>
          </w:p>
        </w:tc>
        <w:tc>
          <w:tcPr>
            <w:tcW w:w="3960" w:type="pct"/>
            <w:gridSpan w:val="7"/>
            <w:tcBorders>
              <w:top w:val="single" w:sz="4" w:space="0" w:color="auto"/>
              <w:left w:val="single" w:sz="4" w:space="0" w:color="auto"/>
              <w:bottom w:val="single" w:sz="4" w:space="0" w:color="auto"/>
              <w:right w:val="single" w:sz="4" w:space="0" w:color="auto"/>
            </w:tcBorders>
          </w:tcPr>
          <w:p w:rsidR="00826F6D" w:rsidRPr="00106BCF" w:rsidRDefault="003D09A4" w:rsidP="00A745E5">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3D09A4" w:rsidP="00A745E5">
            <w:pPr>
              <w:keepNext/>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w:instrText>
            </w:r>
            <w:bookmarkStart w:id="1" w:name="Check3"/>
            <w:r>
              <w:rPr>
                <w:rFonts w:ascii="Arial Narrow" w:hAnsi="Arial Narrow" w:cs="Arial"/>
                <w:sz w:val="20"/>
                <w:szCs w:val="20"/>
              </w:rPr>
              <w:instrText xml:space="preserve">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Telephone</w:t>
            </w:r>
          </w:p>
          <w:p w:rsidR="00826F6D" w:rsidRPr="00106BCF" w:rsidRDefault="003D09A4" w:rsidP="00A745E5">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106BCF" w:rsidRDefault="003D09A4" w:rsidP="00A745E5">
            <w:pPr>
              <w:keepNext/>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w:instrText>
            </w:r>
            <w:bookmarkStart w:id="2" w:name="Check5"/>
            <w:r>
              <w:rPr>
                <w:rFonts w:ascii="Arial Narrow" w:hAnsi="Arial Narrow" w:cs="Arial"/>
                <w:sz w:val="20"/>
                <w:szCs w:val="20"/>
              </w:rPr>
              <w:instrText xml:space="preserve">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Authority Required - Electronic</w:t>
            </w:r>
          </w:p>
          <w:p w:rsidR="00826F6D" w:rsidRPr="00260CE3" w:rsidRDefault="003D09A4" w:rsidP="00A745E5">
            <w:pPr>
              <w:keepNext/>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Streamlined</w:t>
            </w:r>
            <w:r w:rsidR="008A4843">
              <w:rPr>
                <w:rFonts w:ascii="Arial Narrow" w:hAnsi="Arial Narrow" w:cs="Arial"/>
                <w:sz w:val="20"/>
                <w:szCs w:val="20"/>
              </w:rPr>
              <w:t xml:space="preserve"> (Public only)</w:t>
            </w:r>
          </w:p>
        </w:tc>
      </w:tr>
      <w:tr w:rsidR="00826F6D" w:rsidRPr="00260CE3" w:rsidTr="00ED34FE">
        <w:trPr>
          <w:cantSplit/>
          <w:trHeight w:val="360"/>
        </w:trPr>
        <w:tc>
          <w:tcPr>
            <w:tcW w:w="1040" w:type="pct"/>
            <w:tcBorders>
              <w:top w:val="single" w:sz="4" w:space="0" w:color="auto"/>
              <w:left w:val="single" w:sz="4" w:space="0" w:color="auto"/>
              <w:bottom w:val="single" w:sz="4" w:space="0" w:color="auto"/>
              <w:right w:val="single" w:sz="4" w:space="0" w:color="auto"/>
            </w:tcBorders>
          </w:tcPr>
          <w:p w:rsidR="00826F6D" w:rsidRPr="00260CE3" w:rsidRDefault="00826F6D" w:rsidP="00A745E5">
            <w:pPr>
              <w:keepNext/>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A745E5">
            <w:pPr>
              <w:keepNext/>
              <w:spacing w:before="40" w:after="40"/>
              <w:jc w:val="both"/>
              <w:rPr>
                <w:rFonts w:ascii="Arial Narrow" w:hAnsi="Arial Narrow" w:cs="Arial"/>
                <w:sz w:val="20"/>
                <w:szCs w:val="20"/>
              </w:rPr>
            </w:pPr>
          </w:p>
        </w:tc>
        <w:tc>
          <w:tcPr>
            <w:tcW w:w="3960" w:type="pct"/>
            <w:gridSpan w:val="7"/>
            <w:tcBorders>
              <w:top w:val="single" w:sz="4" w:space="0" w:color="auto"/>
              <w:left w:val="single" w:sz="4" w:space="0" w:color="auto"/>
              <w:bottom w:val="single" w:sz="4" w:space="0" w:color="auto"/>
              <w:right w:val="single" w:sz="4" w:space="0" w:color="auto"/>
            </w:tcBorders>
          </w:tcPr>
          <w:p w:rsidR="00826F6D" w:rsidRPr="00260CE3" w:rsidRDefault="00BA6D3D" w:rsidP="00A745E5">
            <w:pPr>
              <w:keepNext/>
              <w:spacing w:before="40" w:after="40"/>
              <w:jc w:val="both"/>
              <w:rPr>
                <w:rFonts w:ascii="Arial Narrow" w:hAnsi="Arial Narrow" w:cs="Arial"/>
                <w:sz w:val="20"/>
                <w:szCs w:val="20"/>
              </w:rPr>
            </w:pPr>
            <w:r>
              <w:rPr>
                <w:rFonts w:ascii="Arial Narrow" w:hAnsi="Arial Narrow" w:cs="Arial"/>
                <w:sz w:val="20"/>
                <w:szCs w:val="20"/>
              </w:rPr>
              <w:t>Patient must have experienced severely disabling motor fluctuations which have not responded to other therapy</w:t>
            </w:r>
            <w:r w:rsidRPr="00260CE3">
              <w:rPr>
                <w:rFonts w:ascii="Arial Narrow" w:hAnsi="Arial Narrow" w:cs="Arial"/>
                <w:sz w:val="20"/>
                <w:szCs w:val="20"/>
              </w:rPr>
              <w:t xml:space="preserve"> </w:t>
            </w:r>
          </w:p>
        </w:tc>
      </w:tr>
    </w:tbl>
    <w:p w:rsidR="00BE0C19" w:rsidRPr="00BE0C19" w:rsidRDefault="00BE0C19" w:rsidP="00ED34FE">
      <w:pPr>
        <w:pStyle w:val="ListParagraph"/>
        <w:widowControl/>
        <w:numPr>
          <w:ilvl w:val="1"/>
          <w:numId w:val="14"/>
        </w:numPr>
        <w:spacing w:before="120" w:after="120"/>
        <w:contextualSpacing w:val="0"/>
        <w:rPr>
          <w:szCs w:val="22"/>
        </w:rPr>
      </w:pPr>
      <w:r w:rsidRPr="004F1754">
        <w:rPr>
          <w:rFonts w:asciiTheme="minorHAnsi" w:eastAsiaTheme="minorHAnsi" w:hAnsiTheme="minorHAnsi" w:cstheme="minorBidi"/>
          <w:snapToGrid/>
          <w:sz w:val="24"/>
          <w:szCs w:val="22"/>
        </w:rPr>
        <w:t>In the Pre-PBAC response, the sponsor accepted the Secretariat suggested Maximum Quantity as appropriate for the listing to give the same quantity in milligrams as other forms of the same drug currently listed on the PBS.</w:t>
      </w:r>
    </w:p>
    <w:p w:rsidR="004C6767" w:rsidRPr="00ED34FE" w:rsidRDefault="004C6767" w:rsidP="00ED34FE">
      <w:pPr>
        <w:pStyle w:val="ListParagraph"/>
        <w:rPr>
          <w:rFonts w:asciiTheme="minorHAnsi" w:hAnsiTheme="minorHAnsi"/>
          <w:b/>
          <w:i/>
          <w:sz w:val="24"/>
          <w:szCs w:val="24"/>
        </w:rPr>
      </w:pPr>
      <w:r w:rsidRPr="00ED34FE">
        <w:rPr>
          <w:rFonts w:asciiTheme="minorHAnsi" w:hAnsiTheme="minorHAnsi"/>
          <w:i/>
          <w:sz w:val="24"/>
          <w:szCs w:val="24"/>
        </w:rPr>
        <w:t xml:space="preserve">For more detail on PBAC’s view, see section </w:t>
      </w:r>
      <w:r w:rsidR="000A5669" w:rsidRPr="00ED34FE">
        <w:rPr>
          <w:rFonts w:asciiTheme="minorHAnsi" w:hAnsiTheme="minorHAnsi"/>
          <w:i/>
          <w:sz w:val="24"/>
          <w:szCs w:val="24"/>
        </w:rPr>
        <w:t xml:space="preserve">6 </w:t>
      </w:r>
      <w:r w:rsidRPr="00ED34FE">
        <w:rPr>
          <w:rFonts w:asciiTheme="minorHAnsi" w:hAnsiTheme="minorHAnsi"/>
          <w:i/>
          <w:sz w:val="24"/>
          <w:szCs w:val="24"/>
        </w:rPr>
        <w:t>PBAC outcome.</w:t>
      </w:r>
    </w:p>
    <w:p w:rsidR="00C603D4" w:rsidRPr="00FD6D8E" w:rsidRDefault="00CE10C4" w:rsidP="00696129">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Background</w:t>
      </w:r>
    </w:p>
    <w:p w:rsidR="003F6614" w:rsidRPr="000F76FF" w:rsidRDefault="003F6614" w:rsidP="000F76FF">
      <w:pPr>
        <w:pStyle w:val="ListParagraph"/>
        <w:widowControl/>
        <w:numPr>
          <w:ilvl w:val="1"/>
          <w:numId w:val="14"/>
        </w:numPr>
        <w:rPr>
          <w:rFonts w:asciiTheme="minorHAnsi" w:eastAsiaTheme="minorHAnsi" w:hAnsiTheme="minorHAnsi" w:cstheme="minorBidi"/>
          <w:snapToGrid/>
          <w:sz w:val="24"/>
          <w:szCs w:val="22"/>
        </w:rPr>
      </w:pPr>
      <w:r w:rsidRPr="00BC0A7E">
        <w:rPr>
          <w:rFonts w:asciiTheme="minorHAnsi" w:eastAsiaTheme="minorHAnsi" w:hAnsiTheme="minorHAnsi" w:cstheme="minorBidi"/>
          <w:snapToGrid/>
          <w:sz w:val="24"/>
          <w:szCs w:val="22"/>
        </w:rPr>
        <w:t xml:space="preserve">Apomorphine injectables have been registered with the </w:t>
      </w:r>
      <w:r w:rsidR="00564F72">
        <w:rPr>
          <w:rFonts w:asciiTheme="minorHAnsi" w:eastAsiaTheme="minorHAnsi" w:hAnsiTheme="minorHAnsi" w:cstheme="minorBidi"/>
          <w:snapToGrid/>
          <w:sz w:val="24"/>
          <w:szCs w:val="22"/>
        </w:rPr>
        <w:t>Therapeutic Goods Administration (</w:t>
      </w:r>
      <w:r w:rsidRPr="00BC0A7E">
        <w:rPr>
          <w:rFonts w:asciiTheme="minorHAnsi" w:eastAsiaTheme="minorHAnsi" w:hAnsiTheme="minorHAnsi" w:cstheme="minorBidi"/>
          <w:snapToGrid/>
          <w:sz w:val="24"/>
          <w:szCs w:val="22"/>
        </w:rPr>
        <w:t>TGA</w:t>
      </w:r>
      <w:r w:rsidR="00564F72">
        <w:rPr>
          <w:rFonts w:asciiTheme="minorHAnsi" w:eastAsiaTheme="minorHAnsi" w:hAnsiTheme="minorHAnsi" w:cstheme="minorBidi"/>
          <w:snapToGrid/>
          <w:sz w:val="24"/>
          <w:szCs w:val="22"/>
        </w:rPr>
        <w:t>)</w:t>
      </w:r>
      <w:r w:rsidRPr="00BC0A7E">
        <w:rPr>
          <w:rFonts w:asciiTheme="minorHAnsi" w:eastAsiaTheme="minorHAnsi" w:hAnsiTheme="minorHAnsi" w:cstheme="minorBidi"/>
          <w:snapToGrid/>
          <w:sz w:val="24"/>
          <w:szCs w:val="22"/>
        </w:rPr>
        <w:t xml:space="preserve"> since they were grandfathered onto the </w:t>
      </w:r>
      <w:r w:rsidR="00564F72">
        <w:rPr>
          <w:rFonts w:asciiTheme="minorHAnsi" w:eastAsiaTheme="minorHAnsi" w:hAnsiTheme="minorHAnsi" w:cstheme="minorBidi"/>
          <w:snapToGrid/>
          <w:sz w:val="24"/>
          <w:szCs w:val="22"/>
        </w:rPr>
        <w:t>Australian Register of Therapeutic Goods (</w:t>
      </w:r>
      <w:r w:rsidRPr="00BC0A7E">
        <w:rPr>
          <w:rFonts w:asciiTheme="minorHAnsi" w:eastAsiaTheme="minorHAnsi" w:hAnsiTheme="minorHAnsi" w:cstheme="minorBidi"/>
          <w:snapToGrid/>
          <w:sz w:val="24"/>
          <w:szCs w:val="22"/>
        </w:rPr>
        <w:t>ARTG</w:t>
      </w:r>
      <w:r w:rsidR="00564F72">
        <w:rPr>
          <w:rFonts w:asciiTheme="minorHAnsi" w:eastAsiaTheme="minorHAnsi" w:hAnsiTheme="minorHAnsi" w:cstheme="minorBidi"/>
          <w:snapToGrid/>
          <w:sz w:val="24"/>
          <w:szCs w:val="22"/>
        </w:rPr>
        <w:t>)</w:t>
      </w:r>
      <w:r w:rsidRPr="00BC0A7E">
        <w:rPr>
          <w:rFonts w:asciiTheme="minorHAnsi" w:eastAsiaTheme="minorHAnsi" w:hAnsiTheme="minorHAnsi" w:cstheme="minorBidi"/>
          <w:snapToGrid/>
          <w:sz w:val="24"/>
          <w:szCs w:val="22"/>
        </w:rPr>
        <w:t xml:space="preserve"> on 8 October 1991 for the treatment of patients with PD with severely disabling motor fluctuations which have not responded to other therapy. </w:t>
      </w:r>
    </w:p>
    <w:p w:rsidR="003F6614" w:rsidRPr="003F6614" w:rsidRDefault="003F6614" w:rsidP="003F6614">
      <w:pPr>
        <w:pStyle w:val="ListParagraph"/>
        <w:widowControl/>
        <w:numPr>
          <w:ilvl w:val="1"/>
          <w:numId w:val="14"/>
        </w:numPr>
        <w:rPr>
          <w:rFonts w:asciiTheme="minorHAnsi" w:eastAsiaTheme="minorHAnsi" w:hAnsiTheme="minorHAnsi" w:cstheme="minorBidi"/>
          <w:snapToGrid/>
          <w:sz w:val="24"/>
          <w:szCs w:val="22"/>
        </w:rPr>
      </w:pPr>
      <w:r w:rsidRPr="003F6614">
        <w:rPr>
          <w:rFonts w:asciiTheme="minorHAnsi" w:eastAsiaTheme="minorHAnsi" w:hAnsiTheme="minorHAnsi" w:cstheme="minorBidi"/>
          <w:snapToGrid/>
          <w:sz w:val="24"/>
          <w:szCs w:val="22"/>
        </w:rPr>
        <w:t>Apomorphine is currently available in ampoule</w:t>
      </w:r>
      <w:r w:rsidR="00BC0A7E">
        <w:rPr>
          <w:rFonts w:asciiTheme="minorHAnsi" w:eastAsiaTheme="minorHAnsi" w:hAnsiTheme="minorHAnsi" w:cstheme="minorBidi"/>
          <w:snapToGrid/>
          <w:sz w:val="24"/>
          <w:szCs w:val="22"/>
        </w:rPr>
        <w:t xml:space="preserve"> form</w:t>
      </w:r>
      <w:r w:rsidRPr="003F6614">
        <w:rPr>
          <w:rFonts w:asciiTheme="minorHAnsi" w:eastAsiaTheme="minorHAnsi" w:hAnsiTheme="minorHAnsi" w:cstheme="minorBidi"/>
          <w:snapToGrid/>
          <w:sz w:val="24"/>
          <w:szCs w:val="22"/>
        </w:rPr>
        <w:t xml:space="preserve">s (20 mg/2 mL, 50 mg/5 mL and 100 mg/20 mL) for </w:t>
      </w:r>
      <w:r w:rsidR="00C03CD7">
        <w:rPr>
          <w:rFonts w:asciiTheme="minorHAnsi" w:eastAsiaTheme="minorHAnsi" w:hAnsiTheme="minorHAnsi" w:cstheme="minorBidi"/>
          <w:snapToGrid/>
          <w:sz w:val="24"/>
          <w:szCs w:val="22"/>
        </w:rPr>
        <w:t xml:space="preserve">continuous </w:t>
      </w:r>
      <w:r w:rsidR="00071936">
        <w:rPr>
          <w:rFonts w:asciiTheme="minorHAnsi" w:eastAsiaTheme="minorHAnsi" w:hAnsiTheme="minorHAnsi" w:cstheme="minorBidi"/>
          <w:snapToGrid/>
          <w:sz w:val="24"/>
          <w:szCs w:val="22"/>
        </w:rPr>
        <w:t xml:space="preserve">and intermittent </w:t>
      </w:r>
      <w:r w:rsidRPr="003F6614">
        <w:rPr>
          <w:rFonts w:asciiTheme="minorHAnsi" w:eastAsiaTheme="minorHAnsi" w:hAnsiTheme="minorHAnsi" w:cstheme="minorBidi"/>
          <w:snapToGrid/>
          <w:sz w:val="24"/>
          <w:szCs w:val="22"/>
        </w:rPr>
        <w:t xml:space="preserve">subcutaneous injection and in </w:t>
      </w:r>
      <w:r w:rsidR="00A07720">
        <w:rPr>
          <w:rFonts w:asciiTheme="minorHAnsi" w:eastAsiaTheme="minorHAnsi" w:hAnsiTheme="minorHAnsi" w:cstheme="minorBidi"/>
          <w:snapToGrid/>
          <w:sz w:val="24"/>
          <w:szCs w:val="22"/>
        </w:rPr>
        <w:t xml:space="preserve">a </w:t>
      </w:r>
      <w:r w:rsidRPr="003F6614">
        <w:rPr>
          <w:rFonts w:asciiTheme="minorHAnsi" w:eastAsiaTheme="minorHAnsi" w:hAnsiTheme="minorHAnsi" w:cstheme="minorBidi"/>
          <w:snapToGrid/>
          <w:sz w:val="24"/>
          <w:szCs w:val="22"/>
        </w:rPr>
        <w:t>pre-filled syringe</w:t>
      </w:r>
      <w:r w:rsidR="00A07720">
        <w:rPr>
          <w:rFonts w:asciiTheme="minorHAnsi" w:eastAsiaTheme="minorHAnsi" w:hAnsiTheme="minorHAnsi" w:cstheme="minorBidi"/>
          <w:snapToGrid/>
          <w:sz w:val="24"/>
          <w:szCs w:val="22"/>
        </w:rPr>
        <w:t xml:space="preserve"> form</w:t>
      </w:r>
      <w:r w:rsidRPr="003F6614">
        <w:rPr>
          <w:rFonts w:asciiTheme="minorHAnsi" w:eastAsiaTheme="minorHAnsi" w:hAnsiTheme="minorHAnsi" w:cstheme="minorBidi"/>
          <w:snapToGrid/>
          <w:sz w:val="24"/>
          <w:szCs w:val="22"/>
        </w:rPr>
        <w:t xml:space="preserve"> (50 mg/10 mL) for </w:t>
      </w:r>
      <w:r w:rsidR="00C03CD7">
        <w:rPr>
          <w:rFonts w:asciiTheme="minorHAnsi" w:eastAsiaTheme="minorHAnsi" w:hAnsiTheme="minorHAnsi" w:cstheme="minorBidi"/>
          <w:snapToGrid/>
          <w:sz w:val="24"/>
          <w:szCs w:val="22"/>
        </w:rPr>
        <w:t xml:space="preserve">continuous </w:t>
      </w:r>
      <w:r w:rsidRPr="003F6614">
        <w:rPr>
          <w:rFonts w:asciiTheme="minorHAnsi" w:eastAsiaTheme="minorHAnsi" w:hAnsiTheme="minorHAnsi" w:cstheme="minorBidi"/>
          <w:snapToGrid/>
          <w:sz w:val="24"/>
          <w:szCs w:val="22"/>
        </w:rPr>
        <w:t xml:space="preserve">subcutaneous infusion. </w:t>
      </w:r>
    </w:p>
    <w:p w:rsidR="006B0D94" w:rsidRPr="001B2BBC" w:rsidRDefault="00BA1422"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Apomorphine </w:t>
      </w:r>
      <w:r w:rsidR="00863D69">
        <w:rPr>
          <w:rFonts w:asciiTheme="minorHAnsi" w:eastAsiaTheme="minorHAnsi" w:hAnsiTheme="minorHAnsi" w:cstheme="minorBidi"/>
          <w:snapToGrid/>
          <w:sz w:val="24"/>
          <w:szCs w:val="22"/>
        </w:rPr>
        <w:t>30 mg in 3 mL injection cartridge delivered in a disposable multiple dose pen injector system</w:t>
      </w:r>
      <w:r>
        <w:rPr>
          <w:rFonts w:asciiTheme="minorHAnsi" w:eastAsiaTheme="minorHAnsi" w:hAnsiTheme="minorHAnsi" w:cstheme="minorBidi"/>
          <w:snapToGrid/>
          <w:sz w:val="24"/>
          <w:szCs w:val="22"/>
        </w:rPr>
        <w:t xml:space="preserve"> was </w:t>
      </w:r>
      <w:r w:rsidR="00331F1D">
        <w:rPr>
          <w:rFonts w:asciiTheme="minorHAnsi" w:eastAsiaTheme="minorHAnsi" w:hAnsiTheme="minorHAnsi" w:cstheme="minorBidi"/>
          <w:snapToGrid/>
          <w:sz w:val="24"/>
          <w:szCs w:val="22"/>
        </w:rPr>
        <w:t>r</w:t>
      </w:r>
      <w:r>
        <w:rPr>
          <w:rFonts w:asciiTheme="minorHAnsi" w:eastAsiaTheme="minorHAnsi" w:hAnsiTheme="minorHAnsi" w:cstheme="minorBidi"/>
          <w:snapToGrid/>
          <w:sz w:val="24"/>
          <w:szCs w:val="22"/>
        </w:rPr>
        <w:t xml:space="preserve">egistered on the ARTG on 3 November 2017. </w:t>
      </w:r>
      <w:r w:rsidR="002B1AE6" w:rsidRPr="001B2BBC">
        <w:rPr>
          <w:rFonts w:asciiTheme="minorHAnsi" w:eastAsiaTheme="minorHAnsi" w:hAnsiTheme="minorHAnsi" w:cstheme="minorBidi"/>
          <w:snapToGrid/>
          <w:sz w:val="24"/>
          <w:szCs w:val="22"/>
        </w:rPr>
        <w:t xml:space="preserve"> </w:t>
      </w:r>
    </w:p>
    <w:p w:rsidR="008A1956" w:rsidRDefault="00177E74" w:rsidP="00EA78E9">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71345D">
        <w:rPr>
          <w:rFonts w:asciiTheme="minorHAnsi" w:eastAsiaTheme="minorHAnsi" w:hAnsiTheme="minorHAnsi" w:cstheme="minorBidi"/>
          <w:snapToGrid/>
          <w:sz w:val="24"/>
          <w:szCs w:val="22"/>
        </w:rPr>
        <w:t>This formulation of apomorphine has not previously been considered by the PBAC.</w:t>
      </w:r>
    </w:p>
    <w:p w:rsidR="00BC0A7E" w:rsidRDefault="00BC0A7E" w:rsidP="00A07720">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lastRenderedPageBreak/>
        <w:t xml:space="preserve">The PBAC </w:t>
      </w:r>
      <w:r w:rsidR="00071936">
        <w:rPr>
          <w:rFonts w:asciiTheme="minorHAnsi" w:eastAsiaTheme="minorHAnsi" w:hAnsiTheme="minorHAnsi" w:cstheme="minorBidi"/>
          <w:snapToGrid/>
          <w:sz w:val="24"/>
          <w:szCs w:val="22"/>
        </w:rPr>
        <w:t xml:space="preserve">most recently </w:t>
      </w:r>
      <w:r>
        <w:rPr>
          <w:rFonts w:asciiTheme="minorHAnsi" w:eastAsiaTheme="minorHAnsi" w:hAnsiTheme="minorHAnsi" w:cstheme="minorBidi"/>
          <w:snapToGrid/>
          <w:sz w:val="24"/>
          <w:szCs w:val="22"/>
        </w:rPr>
        <w:t xml:space="preserve">considered the 100 mg/20 mL </w:t>
      </w:r>
      <w:r w:rsidR="00A07720">
        <w:rPr>
          <w:rFonts w:asciiTheme="minorHAnsi" w:eastAsiaTheme="minorHAnsi" w:hAnsiTheme="minorHAnsi" w:cstheme="minorBidi"/>
          <w:snapToGrid/>
          <w:sz w:val="24"/>
          <w:szCs w:val="22"/>
        </w:rPr>
        <w:t>vial form</w:t>
      </w:r>
      <w:r>
        <w:rPr>
          <w:rFonts w:asciiTheme="minorHAnsi" w:eastAsiaTheme="minorHAnsi" w:hAnsiTheme="minorHAnsi" w:cstheme="minorBidi"/>
          <w:snapToGrid/>
          <w:sz w:val="24"/>
          <w:szCs w:val="22"/>
        </w:rPr>
        <w:t xml:space="preserve"> at the November 2016 PBAC meeting where it was recommended on a</w:t>
      </w:r>
      <w:r w:rsidR="00A07720">
        <w:rPr>
          <w:rFonts w:asciiTheme="minorHAnsi" w:eastAsiaTheme="minorHAnsi" w:hAnsiTheme="minorHAnsi" w:cstheme="minorBidi"/>
          <w:snapToGrid/>
          <w:sz w:val="24"/>
          <w:szCs w:val="22"/>
        </w:rPr>
        <w:t>n</w:t>
      </w:r>
      <w:r>
        <w:rPr>
          <w:rFonts w:asciiTheme="minorHAnsi" w:eastAsiaTheme="minorHAnsi" w:hAnsiTheme="minorHAnsi" w:cstheme="minorBidi"/>
          <w:snapToGrid/>
          <w:sz w:val="24"/>
          <w:szCs w:val="22"/>
        </w:rPr>
        <w:t xml:space="preserve"> equivalent cost per milligram basis with the </w:t>
      </w:r>
      <w:r w:rsidR="00A07720">
        <w:rPr>
          <w:rFonts w:asciiTheme="minorHAnsi" w:eastAsiaTheme="minorHAnsi" w:hAnsiTheme="minorHAnsi" w:cstheme="minorBidi"/>
          <w:snapToGrid/>
          <w:sz w:val="24"/>
          <w:szCs w:val="22"/>
        </w:rPr>
        <w:t>10 mg/mL forms</w:t>
      </w:r>
      <w:r w:rsidR="008D74ED">
        <w:rPr>
          <w:rFonts w:asciiTheme="minorHAnsi" w:eastAsiaTheme="minorHAnsi" w:hAnsiTheme="minorHAnsi" w:cstheme="minorBidi"/>
          <w:snapToGrid/>
          <w:sz w:val="24"/>
          <w:szCs w:val="22"/>
        </w:rPr>
        <w:t xml:space="preserve"> (</w:t>
      </w:r>
      <w:r w:rsidR="00A26CCA">
        <w:rPr>
          <w:rFonts w:asciiTheme="minorHAnsi" w:eastAsiaTheme="minorHAnsi" w:hAnsiTheme="minorHAnsi" w:cstheme="minorBidi"/>
          <w:snapToGrid/>
          <w:sz w:val="24"/>
          <w:szCs w:val="22"/>
        </w:rPr>
        <w:t>Public Summary Document apomorphine November 2016)</w:t>
      </w:r>
      <w:r w:rsidR="00A07720">
        <w:rPr>
          <w:rFonts w:asciiTheme="minorHAnsi" w:eastAsiaTheme="minorHAnsi" w:hAnsiTheme="minorHAnsi" w:cstheme="minorBidi"/>
          <w:snapToGrid/>
          <w:sz w:val="24"/>
          <w:szCs w:val="22"/>
        </w:rPr>
        <w:t xml:space="preserve">. The PBAC considered the 50 mg/10 mL syringe form at the July 2016 meeting where it was recommended on </w:t>
      </w:r>
      <w:r w:rsidR="00A07720" w:rsidRPr="00A07720">
        <w:rPr>
          <w:rFonts w:asciiTheme="minorHAnsi" w:eastAsiaTheme="minorHAnsi" w:hAnsiTheme="minorHAnsi" w:cstheme="minorBidi"/>
          <w:snapToGrid/>
          <w:sz w:val="24"/>
          <w:szCs w:val="22"/>
        </w:rPr>
        <w:t xml:space="preserve">an equivalent cost per milligram basis with the </w:t>
      </w:r>
      <w:r w:rsidR="00A07720">
        <w:rPr>
          <w:rFonts w:asciiTheme="minorHAnsi" w:eastAsiaTheme="minorHAnsi" w:hAnsiTheme="minorHAnsi" w:cstheme="minorBidi"/>
          <w:snapToGrid/>
          <w:sz w:val="24"/>
          <w:szCs w:val="22"/>
        </w:rPr>
        <w:t>50</w:t>
      </w:r>
      <w:r w:rsidR="00A07720" w:rsidRPr="00A07720">
        <w:rPr>
          <w:rFonts w:asciiTheme="minorHAnsi" w:eastAsiaTheme="minorHAnsi" w:hAnsiTheme="minorHAnsi" w:cstheme="minorBidi"/>
          <w:snapToGrid/>
          <w:sz w:val="24"/>
          <w:szCs w:val="22"/>
        </w:rPr>
        <w:t xml:space="preserve"> mg/</w:t>
      </w:r>
      <w:r w:rsidR="00A07720">
        <w:rPr>
          <w:rFonts w:asciiTheme="minorHAnsi" w:eastAsiaTheme="minorHAnsi" w:hAnsiTheme="minorHAnsi" w:cstheme="minorBidi"/>
          <w:snapToGrid/>
          <w:sz w:val="24"/>
          <w:szCs w:val="22"/>
        </w:rPr>
        <w:t xml:space="preserve">5 </w:t>
      </w:r>
      <w:r w:rsidR="00A07720" w:rsidRPr="00A07720">
        <w:rPr>
          <w:rFonts w:asciiTheme="minorHAnsi" w:eastAsiaTheme="minorHAnsi" w:hAnsiTheme="minorHAnsi" w:cstheme="minorBidi"/>
          <w:snapToGrid/>
          <w:sz w:val="24"/>
          <w:szCs w:val="22"/>
        </w:rPr>
        <w:t xml:space="preserve">mL </w:t>
      </w:r>
      <w:r w:rsidR="00A07720">
        <w:rPr>
          <w:rFonts w:asciiTheme="minorHAnsi" w:eastAsiaTheme="minorHAnsi" w:hAnsiTheme="minorHAnsi" w:cstheme="minorBidi"/>
          <w:snapToGrid/>
          <w:sz w:val="24"/>
          <w:szCs w:val="22"/>
        </w:rPr>
        <w:t xml:space="preserve">vial </w:t>
      </w:r>
      <w:r w:rsidR="00A07720" w:rsidRPr="00A07720">
        <w:rPr>
          <w:rFonts w:asciiTheme="minorHAnsi" w:eastAsiaTheme="minorHAnsi" w:hAnsiTheme="minorHAnsi" w:cstheme="minorBidi"/>
          <w:snapToGrid/>
          <w:sz w:val="24"/>
          <w:szCs w:val="22"/>
        </w:rPr>
        <w:t>form</w:t>
      </w:r>
      <w:r w:rsidR="00A07720">
        <w:rPr>
          <w:rFonts w:asciiTheme="minorHAnsi" w:eastAsiaTheme="minorHAnsi" w:hAnsiTheme="minorHAnsi" w:cstheme="minorBidi"/>
          <w:snapToGrid/>
          <w:sz w:val="24"/>
          <w:szCs w:val="22"/>
        </w:rPr>
        <w:t xml:space="preserve"> for which it was considered to be most likely to be substituted</w:t>
      </w:r>
      <w:r w:rsidR="00A26CCA">
        <w:rPr>
          <w:rFonts w:asciiTheme="minorHAnsi" w:eastAsiaTheme="minorHAnsi" w:hAnsiTheme="minorHAnsi" w:cstheme="minorBidi"/>
          <w:snapToGrid/>
          <w:sz w:val="24"/>
          <w:szCs w:val="22"/>
        </w:rPr>
        <w:t xml:space="preserve"> (Public Summary Document apomorphine July 2016)</w:t>
      </w:r>
      <w:r w:rsidR="00A07720" w:rsidRPr="00A07720">
        <w:rPr>
          <w:rFonts w:asciiTheme="minorHAnsi" w:eastAsiaTheme="minorHAnsi" w:hAnsiTheme="minorHAnsi" w:cstheme="minorBidi"/>
          <w:snapToGrid/>
          <w:sz w:val="24"/>
          <w:szCs w:val="22"/>
        </w:rPr>
        <w:t>.</w:t>
      </w:r>
    </w:p>
    <w:p w:rsidR="004C6767" w:rsidRPr="004C6767" w:rsidRDefault="004C6767" w:rsidP="004C6767">
      <w:pPr>
        <w:pStyle w:val="ListParagraph"/>
        <w:widowControl/>
        <w:spacing w:before="120" w:after="160"/>
        <w:contextualSpacing w:val="0"/>
        <w:rPr>
          <w:rFonts w:asciiTheme="minorHAnsi" w:eastAsiaTheme="minorHAnsi" w:hAnsiTheme="minorHAnsi" w:cstheme="minorBidi"/>
          <w:snapToGrid/>
          <w:sz w:val="24"/>
          <w:szCs w:val="22"/>
        </w:rPr>
      </w:pPr>
      <w:r w:rsidRPr="004C6767">
        <w:rPr>
          <w:rFonts w:asciiTheme="minorHAnsi" w:hAnsiTheme="minorHAnsi"/>
          <w:i/>
          <w:sz w:val="24"/>
          <w:szCs w:val="24"/>
        </w:rPr>
        <w:t xml:space="preserve">For more detail on PBAC’s view, see section </w:t>
      </w:r>
      <w:r w:rsidR="000A5669">
        <w:rPr>
          <w:rFonts w:asciiTheme="minorHAnsi" w:hAnsiTheme="minorHAnsi"/>
          <w:i/>
          <w:sz w:val="24"/>
          <w:szCs w:val="24"/>
        </w:rPr>
        <w:t>6</w:t>
      </w:r>
      <w:r w:rsidR="000A5669" w:rsidRPr="004C6767">
        <w:rPr>
          <w:rFonts w:asciiTheme="minorHAnsi" w:hAnsiTheme="minorHAnsi"/>
          <w:i/>
          <w:sz w:val="24"/>
          <w:szCs w:val="24"/>
        </w:rPr>
        <w:t xml:space="preserve"> </w:t>
      </w:r>
      <w:r w:rsidRPr="004C6767">
        <w:rPr>
          <w:rFonts w:asciiTheme="minorHAnsi" w:hAnsiTheme="minorHAnsi"/>
          <w:i/>
          <w:sz w:val="24"/>
          <w:szCs w:val="24"/>
        </w:rPr>
        <w:t>PBAC outcome.</w:t>
      </w:r>
    </w:p>
    <w:p w:rsidR="005A3173" w:rsidRPr="00E42BDB" w:rsidRDefault="005A3173" w:rsidP="00D31150">
      <w:pPr>
        <w:pStyle w:val="PBACHeading1"/>
        <w:spacing w:before="240" w:after="120"/>
        <w:ind w:left="709" w:hanging="709"/>
        <w:rPr>
          <w:rFonts w:asciiTheme="minorHAnsi" w:hAnsiTheme="minorHAnsi"/>
          <w:sz w:val="32"/>
          <w:szCs w:val="32"/>
        </w:rPr>
      </w:pPr>
      <w:r w:rsidRPr="003C2FB5">
        <w:rPr>
          <w:rFonts w:asciiTheme="minorHAnsi" w:hAnsiTheme="minorHAnsi"/>
          <w:sz w:val="32"/>
          <w:szCs w:val="32"/>
        </w:rPr>
        <w:t>Comparator</w:t>
      </w:r>
    </w:p>
    <w:p w:rsidR="00C35996" w:rsidRPr="003F6614" w:rsidRDefault="00FF2801"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minor submission nominated</w:t>
      </w:r>
      <w:r w:rsidR="007417A8">
        <w:rPr>
          <w:rFonts w:asciiTheme="minorHAnsi" w:eastAsiaTheme="minorHAnsi" w:hAnsiTheme="minorHAnsi" w:cstheme="minorBidi"/>
          <w:snapToGrid/>
          <w:sz w:val="24"/>
          <w:szCs w:val="22"/>
        </w:rPr>
        <w:t xml:space="preserve"> apomorphine hydrochloride 20 mg/2 mL ampoule</w:t>
      </w:r>
      <w:r w:rsidR="00BC0A7E">
        <w:rPr>
          <w:rFonts w:asciiTheme="minorHAnsi" w:eastAsiaTheme="minorHAnsi" w:hAnsiTheme="minorHAnsi" w:cstheme="minorBidi"/>
          <w:snapToGrid/>
          <w:sz w:val="24"/>
          <w:szCs w:val="22"/>
        </w:rPr>
        <w:t xml:space="preserve"> as the main comparator</w:t>
      </w:r>
      <w:r w:rsidR="00476245" w:rsidRPr="001B2BBC">
        <w:rPr>
          <w:rFonts w:asciiTheme="minorHAnsi" w:eastAsiaTheme="minorHAnsi" w:hAnsiTheme="minorHAnsi" w:cstheme="minorBidi"/>
          <w:snapToGrid/>
          <w:sz w:val="24"/>
          <w:szCs w:val="22"/>
        </w:rPr>
        <w:t>.</w:t>
      </w:r>
      <w:r w:rsidR="007B54B2" w:rsidRPr="004C1338">
        <w:rPr>
          <w:rFonts w:asciiTheme="minorHAnsi" w:eastAsiaTheme="minorHAnsi" w:hAnsiTheme="minorHAnsi" w:cstheme="minorBidi"/>
          <w:snapToGrid/>
          <w:sz w:val="24"/>
          <w:szCs w:val="22"/>
        </w:rPr>
        <w:t xml:space="preserve"> </w:t>
      </w:r>
    </w:p>
    <w:p w:rsidR="000768E9" w:rsidRDefault="007417A8" w:rsidP="007B54B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C6767">
        <w:rPr>
          <w:rFonts w:asciiTheme="minorHAnsi" w:eastAsiaTheme="minorHAnsi" w:hAnsiTheme="minorHAnsi" w:cstheme="minorBidi"/>
          <w:snapToGrid/>
          <w:sz w:val="24"/>
          <w:szCs w:val="22"/>
        </w:rPr>
        <w:t xml:space="preserve">The sponsor </w:t>
      </w:r>
      <w:r w:rsidR="003F6614" w:rsidRPr="004C6767">
        <w:rPr>
          <w:rFonts w:asciiTheme="minorHAnsi" w:eastAsiaTheme="minorHAnsi" w:hAnsiTheme="minorHAnsi" w:cstheme="minorBidi"/>
          <w:snapToGrid/>
          <w:sz w:val="24"/>
          <w:szCs w:val="22"/>
        </w:rPr>
        <w:t>claimed</w:t>
      </w:r>
      <w:r w:rsidRPr="004C6767">
        <w:rPr>
          <w:rFonts w:asciiTheme="minorHAnsi" w:eastAsiaTheme="minorHAnsi" w:hAnsiTheme="minorHAnsi" w:cstheme="minorBidi"/>
          <w:snapToGrid/>
          <w:sz w:val="24"/>
          <w:szCs w:val="22"/>
        </w:rPr>
        <w:t xml:space="preserve"> that </w:t>
      </w:r>
      <w:r w:rsidR="007B54B2" w:rsidRPr="004C6767">
        <w:rPr>
          <w:rFonts w:asciiTheme="minorHAnsi" w:eastAsiaTheme="minorHAnsi" w:hAnsiTheme="minorHAnsi" w:cstheme="minorBidi"/>
          <w:snapToGrid/>
          <w:sz w:val="24"/>
          <w:szCs w:val="22"/>
        </w:rPr>
        <w:t xml:space="preserve">the </w:t>
      </w:r>
      <w:r w:rsidRPr="004C6767">
        <w:rPr>
          <w:rFonts w:asciiTheme="minorHAnsi" w:eastAsiaTheme="minorHAnsi" w:hAnsiTheme="minorHAnsi" w:cstheme="minorBidi"/>
          <w:snapToGrid/>
          <w:sz w:val="24"/>
          <w:szCs w:val="22"/>
        </w:rPr>
        <w:t>apomorphine 30 mg in 3 mL multi-dose injector pen is as safe and as effective as other forms of apomorphine</w:t>
      </w:r>
      <w:r w:rsidR="0071345D" w:rsidRPr="004C6767">
        <w:rPr>
          <w:rFonts w:asciiTheme="minorHAnsi" w:eastAsiaTheme="minorHAnsi" w:hAnsiTheme="minorHAnsi" w:cstheme="minorBidi"/>
          <w:snapToGrid/>
          <w:sz w:val="24"/>
          <w:szCs w:val="22"/>
        </w:rPr>
        <w:t xml:space="preserve">. </w:t>
      </w:r>
    </w:p>
    <w:p w:rsidR="007417A8" w:rsidRPr="004C6767" w:rsidRDefault="000768E9" w:rsidP="007B54B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7B54B2" w:rsidRPr="004C6767">
        <w:rPr>
          <w:rFonts w:asciiTheme="minorHAnsi" w:eastAsiaTheme="minorHAnsi" w:hAnsiTheme="minorHAnsi" w:cstheme="minorBidi"/>
          <w:snapToGrid/>
          <w:sz w:val="24"/>
          <w:szCs w:val="22"/>
        </w:rPr>
        <w:t xml:space="preserve">he </w:t>
      </w:r>
      <w:r w:rsidR="00D461CC">
        <w:rPr>
          <w:rFonts w:asciiTheme="minorHAnsi" w:eastAsiaTheme="minorHAnsi" w:hAnsiTheme="minorHAnsi" w:cstheme="minorBidi"/>
          <w:snapToGrid/>
          <w:sz w:val="24"/>
          <w:szCs w:val="22"/>
        </w:rPr>
        <w:t>PBAC</w:t>
      </w:r>
      <w:r w:rsidR="00D461CC" w:rsidRPr="004C6767">
        <w:rPr>
          <w:rFonts w:asciiTheme="minorHAnsi" w:eastAsiaTheme="minorHAnsi" w:hAnsiTheme="minorHAnsi" w:cstheme="minorBidi"/>
          <w:snapToGrid/>
          <w:sz w:val="24"/>
          <w:szCs w:val="22"/>
        </w:rPr>
        <w:t xml:space="preserve"> </w:t>
      </w:r>
      <w:r w:rsidR="00D461CC">
        <w:rPr>
          <w:rFonts w:asciiTheme="minorHAnsi" w:eastAsiaTheme="minorHAnsi" w:hAnsiTheme="minorHAnsi" w:cstheme="minorBidi"/>
          <w:snapToGrid/>
          <w:sz w:val="24"/>
          <w:szCs w:val="22"/>
        </w:rPr>
        <w:t>considered</w:t>
      </w:r>
      <w:r w:rsidR="00D461CC" w:rsidRPr="004C6767">
        <w:rPr>
          <w:rFonts w:asciiTheme="minorHAnsi" w:eastAsiaTheme="minorHAnsi" w:hAnsiTheme="minorHAnsi" w:cstheme="minorBidi"/>
          <w:snapToGrid/>
          <w:sz w:val="24"/>
          <w:szCs w:val="22"/>
        </w:rPr>
        <w:t xml:space="preserve"> </w:t>
      </w:r>
      <w:r w:rsidR="007B54B2" w:rsidRPr="004C6767">
        <w:rPr>
          <w:rFonts w:asciiTheme="minorHAnsi" w:eastAsiaTheme="minorHAnsi" w:hAnsiTheme="minorHAnsi" w:cstheme="minorBidi"/>
          <w:snapToGrid/>
          <w:sz w:val="24"/>
          <w:szCs w:val="22"/>
        </w:rPr>
        <w:t>that all other forms of apomorphine would also be appropriate comparators</w:t>
      </w:r>
      <w:r w:rsidR="007417A8" w:rsidRPr="004C6767">
        <w:rPr>
          <w:rFonts w:asciiTheme="minorHAnsi" w:eastAsiaTheme="minorHAnsi" w:hAnsiTheme="minorHAnsi" w:cstheme="minorBidi"/>
          <w:snapToGrid/>
          <w:sz w:val="24"/>
          <w:szCs w:val="22"/>
        </w:rPr>
        <w:t>.</w:t>
      </w:r>
    </w:p>
    <w:p w:rsidR="004C6767" w:rsidRPr="004C6767" w:rsidRDefault="004C6767" w:rsidP="004C6767">
      <w:pPr>
        <w:spacing w:before="120" w:after="160"/>
        <w:ind w:firstLine="709"/>
        <w:rPr>
          <w:rFonts w:asciiTheme="minorHAnsi" w:eastAsiaTheme="minorHAnsi" w:hAnsiTheme="minorHAnsi" w:cstheme="minorBidi"/>
          <w:szCs w:val="22"/>
        </w:rPr>
      </w:pPr>
      <w:r w:rsidRPr="004C6767">
        <w:rPr>
          <w:rFonts w:asciiTheme="minorHAnsi" w:hAnsiTheme="minorHAnsi"/>
          <w:i/>
        </w:rPr>
        <w:t xml:space="preserve">For more detail on PBAC’s view, see section </w:t>
      </w:r>
      <w:r w:rsidR="000A5669">
        <w:rPr>
          <w:rFonts w:asciiTheme="minorHAnsi" w:hAnsiTheme="minorHAnsi"/>
          <w:i/>
        </w:rPr>
        <w:t>6</w:t>
      </w:r>
      <w:r w:rsidR="000A5669" w:rsidRPr="004C6767">
        <w:rPr>
          <w:rFonts w:asciiTheme="minorHAnsi" w:hAnsiTheme="minorHAnsi"/>
          <w:i/>
        </w:rPr>
        <w:t xml:space="preserve"> </w:t>
      </w:r>
      <w:r w:rsidRPr="004C6767">
        <w:rPr>
          <w:rFonts w:asciiTheme="minorHAnsi" w:hAnsiTheme="minorHAnsi"/>
          <w:i/>
        </w:rPr>
        <w:t>PBAC outcome.</w:t>
      </w:r>
    </w:p>
    <w:p w:rsidR="000B558D" w:rsidRPr="003C2FB5"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3C2FB5">
        <w:rPr>
          <w:rFonts w:asciiTheme="minorHAnsi" w:hAnsiTheme="minorHAnsi"/>
          <w:sz w:val="32"/>
          <w:szCs w:val="32"/>
        </w:rPr>
        <w:t>C</w:t>
      </w:r>
      <w:r w:rsidR="00D84934" w:rsidRPr="003C2FB5">
        <w:rPr>
          <w:rFonts w:asciiTheme="minorHAnsi" w:hAnsiTheme="minorHAnsi"/>
          <w:sz w:val="32"/>
          <w:szCs w:val="32"/>
        </w:rPr>
        <w:t>onsideration of the evidence</w:t>
      </w:r>
    </w:p>
    <w:p w:rsidR="004C6767" w:rsidRPr="00525B39" w:rsidRDefault="004C6767" w:rsidP="00ED34FE">
      <w:pPr>
        <w:pStyle w:val="Heading2"/>
        <w:rPr>
          <w:snapToGrid w:val="0"/>
        </w:rPr>
      </w:pPr>
      <w:r w:rsidRPr="00525B39">
        <w:rPr>
          <w:snapToGrid w:val="0"/>
        </w:rPr>
        <w:t>Sponsor hearing</w:t>
      </w:r>
    </w:p>
    <w:p w:rsidR="004C6767" w:rsidRPr="00525B39" w:rsidRDefault="004C6767" w:rsidP="007310B1">
      <w:pPr>
        <w:widowControl w:val="0"/>
        <w:numPr>
          <w:ilvl w:val="1"/>
          <w:numId w:val="5"/>
        </w:numPr>
        <w:spacing w:after="120"/>
        <w:jc w:val="both"/>
        <w:rPr>
          <w:rFonts w:asciiTheme="minorHAnsi" w:hAnsiTheme="minorHAnsi" w:cs="Arial"/>
          <w:bCs/>
          <w:snapToGrid w:val="0"/>
        </w:rPr>
      </w:pPr>
      <w:r w:rsidRPr="00525B39">
        <w:rPr>
          <w:rFonts w:asciiTheme="minorHAnsi" w:hAnsiTheme="minorHAnsi" w:cs="Arial"/>
          <w:bCs/>
          <w:snapToGrid w:val="0"/>
        </w:rPr>
        <w:t>There was no hearing for this item</w:t>
      </w:r>
      <w:r w:rsidR="007310B1">
        <w:rPr>
          <w:rFonts w:asciiTheme="minorHAnsi" w:hAnsiTheme="minorHAnsi" w:cs="Arial"/>
          <w:bCs/>
          <w:snapToGrid w:val="0"/>
        </w:rPr>
        <w:t>.</w:t>
      </w:r>
    </w:p>
    <w:p w:rsidR="004C6767" w:rsidRPr="00525B39" w:rsidRDefault="004C6767" w:rsidP="00ED34FE">
      <w:pPr>
        <w:pStyle w:val="Heading2"/>
        <w:rPr>
          <w:snapToGrid w:val="0"/>
        </w:rPr>
      </w:pPr>
      <w:r w:rsidRPr="00525B39">
        <w:rPr>
          <w:snapToGrid w:val="0"/>
        </w:rPr>
        <w:t>Consumer comments</w:t>
      </w:r>
    </w:p>
    <w:p w:rsidR="004C6767" w:rsidRPr="00525B39" w:rsidRDefault="007310B1" w:rsidP="004C6767">
      <w:pPr>
        <w:widowControl w:val="0"/>
        <w:numPr>
          <w:ilvl w:val="1"/>
          <w:numId w:val="5"/>
        </w:numPr>
        <w:spacing w:after="120"/>
        <w:jc w:val="both"/>
        <w:rPr>
          <w:rFonts w:asciiTheme="minorHAnsi" w:hAnsiTheme="minorHAnsi" w:cs="Arial"/>
          <w:bCs/>
          <w:snapToGrid w:val="0"/>
        </w:rPr>
      </w:pPr>
      <w:r w:rsidRPr="007310B1">
        <w:rPr>
          <w:rFonts w:asciiTheme="minorHAnsi" w:hAnsiTheme="minorHAnsi" w:cs="Arial"/>
          <w:bCs/>
          <w:snapToGrid w:val="0"/>
        </w:rPr>
        <w:t xml:space="preserve">The PBAC noted that there </w:t>
      </w:r>
      <w:r w:rsidR="00C11080" w:rsidRPr="007310B1">
        <w:rPr>
          <w:rFonts w:asciiTheme="minorHAnsi" w:hAnsiTheme="minorHAnsi" w:cs="Arial"/>
          <w:bCs/>
          <w:snapToGrid w:val="0"/>
        </w:rPr>
        <w:t>w</w:t>
      </w:r>
      <w:r w:rsidR="00C11080">
        <w:rPr>
          <w:rFonts w:asciiTheme="minorHAnsi" w:hAnsiTheme="minorHAnsi" w:cs="Arial"/>
          <w:bCs/>
          <w:snapToGrid w:val="0"/>
        </w:rPr>
        <w:t>ere</w:t>
      </w:r>
      <w:r w:rsidR="00C11080" w:rsidRPr="007310B1">
        <w:rPr>
          <w:rFonts w:asciiTheme="minorHAnsi" w:hAnsiTheme="minorHAnsi" w:cs="Arial"/>
          <w:bCs/>
          <w:snapToGrid w:val="0"/>
        </w:rPr>
        <w:t xml:space="preserve"> </w:t>
      </w:r>
      <w:r w:rsidRPr="007310B1">
        <w:rPr>
          <w:rFonts w:asciiTheme="minorHAnsi" w:hAnsiTheme="minorHAnsi" w:cs="Arial"/>
          <w:bCs/>
          <w:snapToGrid w:val="0"/>
        </w:rPr>
        <w:t>no consumer comment</w:t>
      </w:r>
      <w:r w:rsidR="00C11080">
        <w:rPr>
          <w:rFonts w:asciiTheme="minorHAnsi" w:hAnsiTheme="minorHAnsi" w:cs="Arial"/>
          <w:bCs/>
          <w:snapToGrid w:val="0"/>
        </w:rPr>
        <w:t>s</w:t>
      </w:r>
      <w:r w:rsidRPr="007310B1">
        <w:rPr>
          <w:rFonts w:asciiTheme="minorHAnsi" w:hAnsiTheme="minorHAnsi" w:cs="Arial"/>
          <w:bCs/>
          <w:snapToGrid w:val="0"/>
        </w:rPr>
        <w:t xml:space="preserve"> for this submission.</w:t>
      </w:r>
    </w:p>
    <w:p w:rsidR="00D84934" w:rsidRPr="00ED34FE" w:rsidRDefault="00D84934" w:rsidP="00ED34FE">
      <w:pPr>
        <w:pStyle w:val="Heading2"/>
      </w:pPr>
      <w:r w:rsidRPr="00ED34FE">
        <w:t>Clinical trials</w:t>
      </w:r>
    </w:p>
    <w:p w:rsidR="0076420C" w:rsidRPr="004C6767" w:rsidRDefault="00890CA2" w:rsidP="007B54B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4C6767">
        <w:rPr>
          <w:rFonts w:asciiTheme="minorHAnsi" w:eastAsiaTheme="minorHAnsi" w:hAnsiTheme="minorHAnsi" w:cstheme="minorBidi"/>
          <w:snapToGrid/>
          <w:sz w:val="24"/>
          <w:szCs w:val="22"/>
        </w:rPr>
        <w:t xml:space="preserve">The </w:t>
      </w:r>
      <w:r w:rsidR="0071345D" w:rsidRPr="004C6767">
        <w:rPr>
          <w:rFonts w:asciiTheme="minorHAnsi" w:eastAsiaTheme="minorHAnsi" w:hAnsiTheme="minorHAnsi" w:cstheme="minorBidi"/>
          <w:snapToGrid/>
          <w:sz w:val="24"/>
          <w:szCs w:val="22"/>
        </w:rPr>
        <w:t xml:space="preserve">submission stated </w:t>
      </w:r>
      <w:r w:rsidRPr="004C6767">
        <w:rPr>
          <w:rFonts w:asciiTheme="minorHAnsi" w:eastAsiaTheme="minorHAnsi" w:hAnsiTheme="minorHAnsi" w:cstheme="minorBidi"/>
          <w:snapToGrid/>
          <w:sz w:val="24"/>
          <w:szCs w:val="22"/>
        </w:rPr>
        <w:t xml:space="preserve">that the apomorphine multiple dose pen injection delivers the same medicine as provided in the PBS-listed formulation, therefore no clinical </w:t>
      </w:r>
      <w:r w:rsidR="0076420C" w:rsidRPr="004C6767">
        <w:rPr>
          <w:rFonts w:asciiTheme="minorHAnsi" w:eastAsiaTheme="minorHAnsi" w:hAnsiTheme="minorHAnsi" w:cstheme="minorBidi"/>
          <w:snapToGrid/>
          <w:sz w:val="24"/>
          <w:szCs w:val="22"/>
        </w:rPr>
        <w:t xml:space="preserve">trials </w:t>
      </w:r>
      <w:r w:rsidR="00FF2801" w:rsidRPr="004C6767">
        <w:rPr>
          <w:rFonts w:asciiTheme="minorHAnsi" w:eastAsiaTheme="minorHAnsi" w:hAnsiTheme="minorHAnsi" w:cstheme="minorBidi"/>
          <w:snapToGrid/>
          <w:sz w:val="24"/>
          <w:szCs w:val="22"/>
        </w:rPr>
        <w:t>were</w:t>
      </w:r>
      <w:r w:rsidR="0076420C" w:rsidRPr="004C6767">
        <w:rPr>
          <w:rFonts w:asciiTheme="minorHAnsi" w:eastAsiaTheme="minorHAnsi" w:hAnsiTheme="minorHAnsi" w:cstheme="minorBidi"/>
          <w:snapToGrid/>
          <w:sz w:val="24"/>
          <w:szCs w:val="22"/>
        </w:rPr>
        <w:t xml:space="preserve"> presented in the submission.</w:t>
      </w:r>
      <w:r w:rsidR="007B54B2" w:rsidRPr="004C6767">
        <w:rPr>
          <w:rFonts w:asciiTheme="minorHAnsi" w:eastAsiaTheme="minorHAnsi" w:hAnsiTheme="minorHAnsi" w:cstheme="minorBidi"/>
          <w:snapToGrid/>
          <w:sz w:val="24"/>
          <w:szCs w:val="22"/>
        </w:rPr>
        <w:t xml:space="preserve"> The </w:t>
      </w:r>
      <w:r w:rsidR="00D461CC">
        <w:rPr>
          <w:rFonts w:asciiTheme="minorHAnsi" w:eastAsiaTheme="minorHAnsi" w:hAnsiTheme="minorHAnsi" w:cstheme="minorBidi"/>
          <w:snapToGrid/>
          <w:sz w:val="24"/>
          <w:szCs w:val="22"/>
        </w:rPr>
        <w:t>PBAC</w:t>
      </w:r>
      <w:r w:rsidR="00D461CC" w:rsidRPr="004C6767">
        <w:rPr>
          <w:rFonts w:asciiTheme="minorHAnsi" w:eastAsiaTheme="minorHAnsi" w:hAnsiTheme="minorHAnsi" w:cstheme="minorBidi"/>
          <w:snapToGrid/>
          <w:sz w:val="24"/>
          <w:szCs w:val="22"/>
        </w:rPr>
        <w:t xml:space="preserve"> </w:t>
      </w:r>
      <w:r w:rsidR="007B54B2" w:rsidRPr="004C6767">
        <w:rPr>
          <w:rFonts w:asciiTheme="minorHAnsi" w:eastAsiaTheme="minorHAnsi" w:hAnsiTheme="minorHAnsi" w:cstheme="minorBidi"/>
          <w:snapToGrid/>
          <w:sz w:val="24"/>
          <w:szCs w:val="22"/>
        </w:rPr>
        <w:t>note</w:t>
      </w:r>
      <w:r w:rsidR="004C1338" w:rsidRPr="004C6767">
        <w:rPr>
          <w:rFonts w:asciiTheme="minorHAnsi" w:eastAsiaTheme="minorHAnsi" w:hAnsiTheme="minorHAnsi" w:cstheme="minorBidi"/>
          <w:snapToGrid/>
          <w:sz w:val="24"/>
          <w:szCs w:val="22"/>
        </w:rPr>
        <w:t>d</w:t>
      </w:r>
      <w:r w:rsidR="007B54B2" w:rsidRPr="004C6767">
        <w:rPr>
          <w:rFonts w:asciiTheme="minorHAnsi" w:eastAsiaTheme="minorHAnsi" w:hAnsiTheme="minorHAnsi" w:cstheme="minorBidi"/>
          <w:snapToGrid/>
          <w:sz w:val="24"/>
          <w:szCs w:val="22"/>
        </w:rPr>
        <w:t xml:space="preserve"> that this form has a different delivery method, self</w:t>
      </w:r>
      <w:r w:rsidR="00071936" w:rsidRPr="004C6767">
        <w:rPr>
          <w:rFonts w:asciiTheme="minorHAnsi" w:eastAsiaTheme="minorHAnsi" w:hAnsiTheme="minorHAnsi" w:cstheme="minorBidi"/>
          <w:snapToGrid/>
          <w:sz w:val="24"/>
          <w:szCs w:val="22"/>
        </w:rPr>
        <w:t>/carer</w:t>
      </w:r>
      <w:r w:rsidR="007B54B2" w:rsidRPr="004C6767">
        <w:rPr>
          <w:rFonts w:asciiTheme="minorHAnsi" w:eastAsiaTheme="minorHAnsi" w:hAnsiTheme="minorHAnsi" w:cstheme="minorBidi"/>
          <w:snapToGrid/>
          <w:sz w:val="24"/>
          <w:szCs w:val="22"/>
        </w:rPr>
        <w:t xml:space="preserve">-injection, as compared to all other forms of apomorphine listed on the PBS that require </w:t>
      </w:r>
      <w:r w:rsidR="00071936" w:rsidRPr="004C6767">
        <w:rPr>
          <w:rFonts w:asciiTheme="minorHAnsi" w:eastAsiaTheme="minorHAnsi" w:hAnsiTheme="minorHAnsi" w:cstheme="minorBidi"/>
          <w:snapToGrid/>
          <w:sz w:val="24"/>
          <w:szCs w:val="22"/>
        </w:rPr>
        <w:t xml:space="preserve">either extraction from a vial by the patient or a carer or </w:t>
      </w:r>
      <w:r w:rsidR="007B54B2" w:rsidRPr="004C6767">
        <w:rPr>
          <w:rFonts w:asciiTheme="minorHAnsi" w:eastAsiaTheme="minorHAnsi" w:hAnsiTheme="minorHAnsi" w:cstheme="minorBidi"/>
          <w:snapToGrid/>
          <w:sz w:val="24"/>
          <w:szCs w:val="22"/>
        </w:rPr>
        <w:t>continuous subcutaneous infusion.</w:t>
      </w:r>
      <w:r w:rsidR="00C307A5" w:rsidRPr="004C6767">
        <w:rPr>
          <w:rFonts w:asciiTheme="minorHAnsi" w:eastAsiaTheme="minorHAnsi" w:hAnsiTheme="minorHAnsi" w:cstheme="minorBidi"/>
          <w:snapToGrid/>
          <w:sz w:val="24"/>
          <w:szCs w:val="22"/>
        </w:rPr>
        <w:t xml:space="preserve"> </w:t>
      </w:r>
      <w:r w:rsidR="00D461CC">
        <w:rPr>
          <w:rFonts w:asciiTheme="minorHAnsi" w:eastAsiaTheme="minorHAnsi" w:hAnsiTheme="minorHAnsi" w:cstheme="minorBidi"/>
          <w:snapToGrid/>
          <w:sz w:val="24"/>
          <w:szCs w:val="22"/>
        </w:rPr>
        <w:t xml:space="preserve">In the Pre-PBAC response, the sponsor stated that the multi-dose pen injector has been approved for use by several overseas regulatory agencies </w:t>
      </w:r>
      <w:r w:rsidR="00B27B6B">
        <w:rPr>
          <w:rFonts w:asciiTheme="minorHAnsi" w:eastAsiaTheme="minorHAnsi" w:hAnsiTheme="minorHAnsi" w:cstheme="minorBidi"/>
          <w:snapToGrid/>
          <w:sz w:val="24"/>
          <w:szCs w:val="22"/>
        </w:rPr>
        <w:t xml:space="preserve">for </w:t>
      </w:r>
      <w:r w:rsidR="00D461CC">
        <w:rPr>
          <w:rFonts w:asciiTheme="minorHAnsi" w:eastAsiaTheme="minorHAnsi" w:hAnsiTheme="minorHAnsi" w:cstheme="minorBidi"/>
          <w:snapToGrid/>
          <w:sz w:val="24"/>
          <w:szCs w:val="22"/>
        </w:rPr>
        <w:t>over 15 years and is available in over 30 countries.</w:t>
      </w:r>
    </w:p>
    <w:p w:rsidR="00DF26A7" w:rsidRPr="004C6767" w:rsidRDefault="008B5AA9" w:rsidP="003F6614">
      <w:pPr>
        <w:pStyle w:val="ListParagraph"/>
        <w:widowControl/>
        <w:numPr>
          <w:ilvl w:val="1"/>
          <w:numId w:val="14"/>
        </w:numPr>
        <w:spacing w:after="120"/>
        <w:contextualSpacing w:val="0"/>
        <w:rPr>
          <w:rFonts w:asciiTheme="minorHAnsi" w:hAnsiTheme="minorHAnsi"/>
          <w:sz w:val="24"/>
          <w:szCs w:val="24"/>
        </w:rPr>
      </w:pPr>
      <w:r w:rsidRPr="004C6767">
        <w:rPr>
          <w:rFonts w:asciiTheme="minorHAnsi" w:eastAsiaTheme="minorHAnsi" w:hAnsiTheme="minorHAnsi" w:cstheme="minorBidi"/>
          <w:snapToGrid/>
          <w:color w:val="000000" w:themeColor="text1"/>
          <w:sz w:val="24"/>
          <w:szCs w:val="22"/>
        </w:rPr>
        <w:t xml:space="preserve">The </w:t>
      </w:r>
      <w:r w:rsidR="00D461CC">
        <w:rPr>
          <w:rFonts w:asciiTheme="minorHAnsi" w:eastAsiaTheme="minorHAnsi" w:hAnsiTheme="minorHAnsi" w:cstheme="minorBidi"/>
          <w:snapToGrid/>
          <w:color w:val="000000" w:themeColor="text1"/>
          <w:sz w:val="24"/>
          <w:szCs w:val="22"/>
        </w:rPr>
        <w:t>PBAC</w:t>
      </w:r>
      <w:r w:rsidR="00D461CC" w:rsidRPr="004C6767">
        <w:rPr>
          <w:rFonts w:asciiTheme="minorHAnsi" w:eastAsiaTheme="minorHAnsi" w:hAnsiTheme="minorHAnsi" w:cstheme="minorBidi"/>
          <w:snapToGrid/>
          <w:color w:val="000000" w:themeColor="text1"/>
          <w:sz w:val="24"/>
          <w:szCs w:val="22"/>
        </w:rPr>
        <w:t xml:space="preserve"> </w:t>
      </w:r>
      <w:r w:rsidRPr="004C6767">
        <w:rPr>
          <w:rFonts w:asciiTheme="minorHAnsi" w:eastAsiaTheme="minorHAnsi" w:hAnsiTheme="minorHAnsi" w:cstheme="minorBidi"/>
          <w:snapToGrid/>
          <w:color w:val="000000" w:themeColor="text1"/>
          <w:sz w:val="24"/>
          <w:szCs w:val="22"/>
        </w:rPr>
        <w:t>note</w:t>
      </w:r>
      <w:r w:rsidR="004C1338" w:rsidRPr="004C6767">
        <w:rPr>
          <w:rFonts w:asciiTheme="minorHAnsi" w:eastAsiaTheme="minorHAnsi" w:hAnsiTheme="minorHAnsi" w:cstheme="minorBidi"/>
          <w:snapToGrid/>
          <w:color w:val="000000" w:themeColor="text1"/>
          <w:sz w:val="24"/>
          <w:szCs w:val="22"/>
        </w:rPr>
        <w:t>d</w:t>
      </w:r>
      <w:r w:rsidRPr="004C6767">
        <w:rPr>
          <w:rFonts w:asciiTheme="minorHAnsi" w:eastAsiaTheme="minorHAnsi" w:hAnsiTheme="minorHAnsi" w:cstheme="minorBidi"/>
          <w:snapToGrid/>
          <w:color w:val="000000" w:themeColor="text1"/>
          <w:sz w:val="24"/>
          <w:szCs w:val="22"/>
        </w:rPr>
        <w:t xml:space="preserve"> that </w:t>
      </w:r>
      <w:r w:rsidR="00A43F8B" w:rsidRPr="004C6767">
        <w:rPr>
          <w:rFonts w:asciiTheme="minorHAnsi" w:eastAsiaTheme="minorHAnsi" w:hAnsiTheme="minorHAnsi" w:cstheme="minorBidi"/>
          <w:snapToGrid/>
          <w:color w:val="000000" w:themeColor="text1"/>
          <w:sz w:val="24"/>
          <w:szCs w:val="22"/>
        </w:rPr>
        <w:t xml:space="preserve">sodium bisulfite 1.51 mg/mL is included in the </w:t>
      </w:r>
      <w:r w:rsidR="00A26CCA" w:rsidRPr="004C6767">
        <w:rPr>
          <w:rFonts w:asciiTheme="minorHAnsi" w:eastAsiaTheme="minorHAnsi" w:hAnsiTheme="minorHAnsi" w:cstheme="minorBidi"/>
          <w:snapToGrid/>
          <w:color w:val="000000" w:themeColor="text1"/>
          <w:sz w:val="24"/>
          <w:szCs w:val="22"/>
        </w:rPr>
        <w:t xml:space="preserve">formulation used in the </w:t>
      </w:r>
      <w:r w:rsidR="00A43F8B" w:rsidRPr="004C6767">
        <w:rPr>
          <w:rFonts w:asciiTheme="minorHAnsi" w:eastAsiaTheme="minorHAnsi" w:hAnsiTheme="minorHAnsi" w:cstheme="minorBidi"/>
          <w:snapToGrid/>
          <w:color w:val="000000" w:themeColor="text1"/>
          <w:sz w:val="24"/>
          <w:szCs w:val="22"/>
        </w:rPr>
        <w:t>multiple dose pen injector instead of sodium metabisulfite 1</w:t>
      </w:r>
      <w:r w:rsidR="00331F1D" w:rsidRPr="004C6767">
        <w:rPr>
          <w:rFonts w:asciiTheme="minorHAnsi" w:eastAsiaTheme="minorHAnsi" w:hAnsiTheme="minorHAnsi" w:cstheme="minorBidi"/>
          <w:snapToGrid/>
          <w:color w:val="000000" w:themeColor="text1"/>
          <w:sz w:val="24"/>
          <w:szCs w:val="22"/>
        </w:rPr>
        <w:t> </w:t>
      </w:r>
      <w:r w:rsidR="00A43F8B" w:rsidRPr="004C6767">
        <w:rPr>
          <w:rFonts w:asciiTheme="minorHAnsi" w:eastAsiaTheme="minorHAnsi" w:hAnsiTheme="minorHAnsi" w:cstheme="minorBidi"/>
          <w:snapToGrid/>
          <w:color w:val="000000" w:themeColor="text1"/>
          <w:sz w:val="24"/>
          <w:szCs w:val="22"/>
        </w:rPr>
        <w:t xml:space="preserve">mg/mL </w:t>
      </w:r>
      <w:r w:rsidR="00A26CCA" w:rsidRPr="004C6767">
        <w:rPr>
          <w:rFonts w:asciiTheme="minorHAnsi" w:eastAsiaTheme="minorHAnsi" w:hAnsiTheme="minorHAnsi" w:cstheme="minorBidi"/>
          <w:snapToGrid/>
          <w:color w:val="000000" w:themeColor="text1"/>
          <w:sz w:val="24"/>
          <w:szCs w:val="22"/>
        </w:rPr>
        <w:t xml:space="preserve">used </w:t>
      </w:r>
      <w:r w:rsidR="00A43F8B" w:rsidRPr="004C6767">
        <w:rPr>
          <w:rFonts w:asciiTheme="minorHAnsi" w:eastAsiaTheme="minorHAnsi" w:hAnsiTheme="minorHAnsi" w:cstheme="minorBidi"/>
          <w:snapToGrid/>
          <w:color w:val="000000" w:themeColor="text1"/>
          <w:sz w:val="24"/>
          <w:szCs w:val="22"/>
        </w:rPr>
        <w:t xml:space="preserve">in the other formulations. </w:t>
      </w:r>
      <w:r w:rsidR="00662FBB" w:rsidRPr="004C6767">
        <w:rPr>
          <w:rFonts w:asciiTheme="minorHAnsi" w:eastAsiaTheme="minorHAnsi" w:hAnsiTheme="minorHAnsi" w:cstheme="minorBidi"/>
          <w:snapToGrid/>
          <w:color w:val="000000" w:themeColor="text1"/>
          <w:sz w:val="24"/>
          <w:szCs w:val="22"/>
        </w:rPr>
        <w:t xml:space="preserve">The </w:t>
      </w:r>
      <w:r w:rsidR="003F6614" w:rsidRPr="004C6767">
        <w:rPr>
          <w:rFonts w:asciiTheme="minorHAnsi" w:eastAsiaTheme="minorHAnsi" w:hAnsiTheme="minorHAnsi" w:cstheme="minorBidi"/>
          <w:snapToGrid/>
          <w:color w:val="000000" w:themeColor="text1"/>
          <w:sz w:val="24"/>
          <w:szCs w:val="22"/>
        </w:rPr>
        <w:t>submission stated</w:t>
      </w:r>
      <w:r w:rsidR="00662FBB" w:rsidRPr="004C6767">
        <w:rPr>
          <w:rFonts w:asciiTheme="minorHAnsi" w:eastAsiaTheme="minorHAnsi" w:hAnsiTheme="minorHAnsi" w:cstheme="minorBidi"/>
          <w:snapToGrid/>
          <w:color w:val="000000" w:themeColor="text1"/>
          <w:sz w:val="24"/>
          <w:szCs w:val="22"/>
        </w:rPr>
        <w:t xml:space="preserve"> that contraindications relating to hypersensitivity to these antioxidants are not expected to have any impact on the circumstances </w:t>
      </w:r>
      <w:r w:rsidR="000F76FF">
        <w:rPr>
          <w:rFonts w:asciiTheme="minorHAnsi" w:eastAsiaTheme="minorHAnsi" w:hAnsiTheme="minorHAnsi" w:cstheme="minorBidi"/>
          <w:snapToGrid/>
          <w:color w:val="000000" w:themeColor="text1"/>
          <w:sz w:val="24"/>
          <w:szCs w:val="22"/>
        </w:rPr>
        <w:t xml:space="preserve">of </w:t>
      </w:r>
      <w:r w:rsidR="00662FBB" w:rsidRPr="004C6767">
        <w:rPr>
          <w:rFonts w:asciiTheme="minorHAnsi" w:eastAsiaTheme="minorHAnsi" w:hAnsiTheme="minorHAnsi" w:cstheme="minorBidi"/>
          <w:snapToGrid/>
          <w:color w:val="000000" w:themeColor="text1"/>
          <w:sz w:val="24"/>
          <w:szCs w:val="22"/>
        </w:rPr>
        <w:t xml:space="preserve">use of these products. </w:t>
      </w:r>
    </w:p>
    <w:p w:rsidR="003C2FB5" w:rsidRPr="008306F3" w:rsidRDefault="005A3173" w:rsidP="00ED34FE">
      <w:pPr>
        <w:pStyle w:val="Heading2"/>
      </w:pPr>
      <w:r w:rsidRPr="003C2FB5">
        <w:t>Clinical claim</w:t>
      </w:r>
    </w:p>
    <w:p w:rsidR="00F57A6D" w:rsidRPr="005E1885" w:rsidRDefault="00FF2801" w:rsidP="003F661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C6767">
        <w:rPr>
          <w:rFonts w:asciiTheme="minorHAnsi" w:eastAsiaTheme="minorHAnsi" w:hAnsiTheme="minorHAnsi" w:cstheme="minorBidi"/>
          <w:snapToGrid/>
          <w:sz w:val="24"/>
          <w:szCs w:val="22"/>
        </w:rPr>
        <w:t>The submission claimed</w:t>
      </w:r>
      <w:r w:rsidR="00BB7EC3" w:rsidRPr="004C6767">
        <w:rPr>
          <w:rFonts w:asciiTheme="minorHAnsi" w:eastAsiaTheme="minorHAnsi" w:hAnsiTheme="minorHAnsi" w:cstheme="minorBidi"/>
          <w:snapToGrid/>
          <w:sz w:val="24"/>
          <w:szCs w:val="22"/>
        </w:rPr>
        <w:t xml:space="preserve"> non-inferior comparative effectiveness and non-inferior comparative safety of </w:t>
      </w:r>
      <w:r w:rsidR="00662FBB" w:rsidRPr="004C6767">
        <w:rPr>
          <w:rFonts w:asciiTheme="minorHAnsi" w:eastAsiaTheme="minorHAnsi" w:hAnsiTheme="minorHAnsi" w:cstheme="minorBidi"/>
          <w:snapToGrid/>
          <w:sz w:val="24"/>
          <w:szCs w:val="22"/>
        </w:rPr>
        <w:t xml:space="preserve">the apomorphine 30 mg/3 mL </w:t>
      </w:r>
      <w:r w:rsidR="00BB7EC3" w:rsidRPr="004C6767">
        <w:rPr>
          <w:rFonts w:asciiTheme="minorHAnsi" w:eastAsiaTheme="minorHAnsi" w:hAnsiTheme="minorHAnsi" w:cstheme="minorBidi"/>
          <w:snapToGrid/>
          <w:sz w:val="24"/>
          <w:szCs w:val="22"/>
        </w:rPr>
        <w:t xml:space="preserve">compared with </w:t>
      </w:r>
      <w:r w:rsidR="00662FBB" w:rsidRPr="004C6767">
        <w:rPr>
          <w:rFonts w:asciiTheme="minorHAnsi" w:eastAsiaTheme="minorHAnsi" w:hAnsiTheme="minorHAnsi" w:cstheme="minorBidi"/>
          <w:snapToGrid/>
          <w:sz w:val="24"/>
          <w:szCs w:val="22"/>
        </w:rPr>
        <w:t>the other existing formulations of ap</w:t>
      </w:r>
      <w:r w:rsidR="008B5AA9" w:rsidRPr="004C6767">
        <w:rPr>
          <w:rFonts w:asciiTheme="minorHAnsi" w:eastAsiaTheme="minorHAnsi" w:hAnsiTheme="minorHAnsi" w:cstheme="minorBidi"/>
          <w:snapToGrid/>
          <w:sz w:val="24"/>
          <w:szCs w:val="22"/>
        </w:rPr>
        <w:t>o</w:t>
      </w:r>
      <w:r w:rsidR="00662FBB" w:rsidRPr="004C6767">
        <w:rPr>
          <w:rFonts w:asciiTheme="minorHAnsi" w:eastAsiaTheme="minorHAnsi" w:hAnsiTheme="minorHAnsi" w:cstheme="minorBidi"/>
          <w:snapToGrid/>
          <w:sz w:val="24"/>
          <w:szCs w:val="22"/>
        </w:rPr>
        <w:t>morphine</w:t>
      </w:r>
      <w:r w:rsidR="00662FBB" w:rsidRPr="004C6767">
        <w:rPr>
          <w:rFonts w:asciiTheme="minorHAnsi" w:hAnsiTheme="minorHAnsi"/>
          <w:b/>
          <w:sz w:val="24"/>
          <w:szCs w:val="24"/>
        </w:rPr>
        <w:t>.</w:t>
      </w:r>
      <w:r w:rsidR="00C307A5" w:rsidRPr="004C6767">
        <w:rPr>
          <w:rFonts w:asciiTheme="minorHAnsi" w:hAnsiTheme="minorHAnsi"/>
          <w:sz w:val="24"/>
          <w:szCs w:val="24"/>
        </w:rPr>
        <w:t xml:space="preserve">  The </w:t>
      </w:r>
      <w:r w:rsidR="00D461CC">
        <w:rPr>
          <w:rFonts w:asciiTheme="minorHAnsi" w:hAnsiTheme="minorHAnsi"/>
          <w:sz w:val="24"/>
          <w:szCs w:val="24"/>
        </w:rPr>
        <w:t>PBAC</w:t>
      </w:r>
      <w:r w:rsidR="00C307A5" w:rsidRPr="004C6767">
        <w:rPr>
          <w:rFonts w:asciiTheme="minorHAnsi" w:hAnsiTheme="minorHAnsi"/>
          <w:sz w:val="24"/>
          <w:szCs w:val="24"/>
        </w:rPr>
        <w:t xml:space="preserve"> note</w:t>
      </w:r>
      <w:r w:rsidR="004C1338" w:rsidRPr="004C6767">
        <w:rPr>
          <w:rFonts w:asciiTheme="minorHAnsi" w:hAnsiTheme="minorHAnsi"/>
          <w:sz w:val="24"/>
          <w:szCs w:val="24"/>
        </w:rPr>
        <w:t>d</w:t>
      </w:r>
      <w:r w:rsidR="00C307A5" w:rsidRPr="004C6767">
        <w:rPr>
          <w:rFonts w:asciiTheme="minorHAnsi" w:hAnsiTheme="minorHAnsi"/>
          <w:sz w:val="24"/>
          <w:szCs w:val="24"/>
        </w:rPr>
        <w:t xml:space="preserve"> that no clinical trials were supplied with this submission to support</w:t>
      </w:r>
      <w:r w:rsidR="00071936" w:rsidRPr="004C6767">
        <w:rPr>
          <w:rFonts w:asciiTheme="minorHAnsi" w:hAnsiTheme="minorHAnsi"/>
          <w:sz w:val="24"/>
          <w:szCs w:val="24"/>
        </w:rPr>
        <w:t xml:space="preserve"> efficacy and safety of</w:t>
      </w:r>
      <w:r w:rsidR="00C307A5" w:rsidRPr="004C6767">
        <w:rPr>
          <w:rFonts w:asciiTheme="minorHAnsi" w:hAnsiTheme="minorHAnsi"/>
          <w:sz w:val="24"/>
          <w:szCs w:val="24"/>
        </w:rPr>
        <w:t xml:space="preserve"> the proposed </w:t>
      </w:r>
      <w:r w:rsidR="000F76FF">
        <w:rPr>
          <w:rFonts w:asciiTheme="minorHAnsi" w:hAnsiTheme="minorHAnsi"/>
          <w:sz w:val="24"/>
          <w:szCs w:val="24"/>
        </w:rPr>
        <w:t>self</w:t>
      </w:r>
      <w:r w:rsidR="000F76FF">
        <w:rPr>
          <w:rFonts w:asciiTheme="minorHAnsi" w:hAnsiTheme="minorHAnsi"/>
          <w:sz w:val="24"/>
          <w:szCs w:val="24"/>
        </w:rPr>
        <w:noBreakHyphen/>
      </w:r>
      <w:r w:rsidR="00071936" w:rsidRPr="004C6767">
        <w:rPr>
          <w:rFonts w:asciiTheme="minorHAnsi" w:hAnsiTheme="minorHAnsi"/>
          <w:sz w:val="24"/>
          <w:szCs w:val="24"/>
        </w:rPr>
        <w:t>administered form</w:t>
      </w:r>
      <w:r w:rsidR="00C307A5" w:rsidRPr="004C6767">
        <w:rPr>
          <w:rFonts w:asciiTheme="minorHAnsi" w:hAnsiTheme="minorHAnsi"/>
          <w:sz w:val="24"/>
          <w:szCs w:val="24"/>
        </w:rPr>
        <w:t xml:space="preserve"> </w:t>
      </w:r>
      <w:r w:rsidR="00071936" w:rsidRPr="004C6767">
        <w:rPr>
          <w:rFonts w:asciiTheme="minorHAnsi" w:hAnsiTheme="minorHAnsi"/>
          <w:sz w:val="24"/>
          <w:szCs w:val="24"/>
        </w:rPr>
        <w:t>over the current forms which require extraction</w:t>
      </w:r>
      <w:r w:rsidR="00C307A5" w:rsidRPr="004C6767">
        <w:rPr>
          <w:rFonts w:asciiTheme="minorHAnsi" w:hAnsiTheme="minorHAnsi"/>
          <w:sz w:val="24"/>
          <w:szCs w:val="24"/>
        </w:rPr>
        <w:t>.</w:t>
      </w:r>
    </w:p>
    <w:p w:rsidR="00B27B6B" w:rsidRPr="004F1754" w:rsidRDefault="000768E9" w:rsidP="004F175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F1754">
        <w:rPr>
          <w:rFonts w:asciiTheme="minorHAnsi" w:eastAsiaTheme="minorHAnsi" w:hAnsiTheme="minorHAnsi" w:cstheme="minorBidi"/>
          <w:snapToGrid/>
          <w:sz w:val="24"/>
          <w:szCs w:val="22"/>
        </w:rPr>
        <w:t>I</w:t>
      </w:r>
      <w:r w:rsidR="00D461CC" w:rsidRPr="004F1754">
        <w:rPr>
          <w:rFonts w:asciiTheme="minorHAnsi" w:eastAsiaTheme="minorHAnsi" w:hAnsiTheme="minorHAnsi" w:cstheme="minorBidi"/>
          <w:snapToGrid/>
          <w:sz w:val="24"/>
          <w:szCs w:val="22"/>
        </w:rPr>
        <w:t xml:space="preserve">n </w:t>
      </w:r>
      <w:r w:rsidR="00B27B6B" w:rsidRPr="004F1754">
        <w:rPr>
          <w:rFonts w:asciiTheme="minorHAnsi" w:eastAsiaTheme="minorHAnsi" w:hAnsiTheme="minorHAnsi" w:cstheme="minorBidi"/>
          <w:snapToGrid/>
          <w:sz w:val="24"/>
          <w:szCs w:val="22"/>
        </w:rPr>
        <w:t xml:space="preserve">the </w:t>
      </w:r>
      <w:r w:rsidR="00D461CC" w:rsidRPr="004F1754">
        <w:rPr>
          <w:rFonts w:asciiTheme="minorHAnsi" w:eastAsiaTheme="minorHAnsi" w:hAnsiTheme="minorHAnsi" w:cstheme="minorBidi"/>
          <w:snapToGrid/>
          <w:sz w:val="24"/>
          <w:szCs w:val="22"/>
        </w:rPr>
        <w:t xml:space="preserve">Pre-PBAC response, the sponsor </w:t>
      </w:r>
      <w:r w:rsidRPr="004F1754">
        <w:rPr>
          <w:rFonts w:asciiTheme="minorHAnsi" w:eastAsiaTheme="minorHAnsi" w:hAnsiTheme="minorHAnsi" w:cstheme="minorBidi"/>
          <w:snapToGrid/>
          <w:sz w:val="24"/>
          <w:szCs w:val="22"/>
        </w:rPr>
        <w:t xml:space="preserve">described </w:t>
      </w:r>
      <w:r w:rsidR="00D461CC" w:rsidRPr="004F1754">
        <w:rPr>
          <w:rFonts w:asciiTheme="minorHAnsi" w:eastAsiaTheme="minorHAnsi" w:hAnsiTheme="minorHAnsi" w:cstheme="minorBidi"/>
          <w:snapToGrid/>
          <w:sz w:val="24"/>
          <w:szCs w:val="22"/>
        </w:rPr>
        <w:t xml:space="preserve">an open label study </w:t>
      </w:r>
      <w:r w:rsidR="00425380" w:rsidRPr="004F1754">
        <w:rPr>
          <w:rFonts w:asciiTheme="minorHAnsi" w:eastAsiaTheme="minorHAnsi" w:hAnsiTheme="minorHAnsi" w:cstheme="minorBidi"/>
          <w:snapToGrid/>
          <w:sz w:val="24"/>
          <w:szCs w:val="22"/>
        </w:rPr>
        <w:t>involving</w:t>
      </w:r>
      <w:r w:rsidR="00D461CC" w:rsidRPr="004F1754">
        <w:rPr>
          <w:rFonts w:asciiTheme="minorHAnsi" w:eastAsiaTheme="minorHAnsi" w:hAnsiTheme="minorHAnsi" w:cstheme="minorBidi"/>
          <w:snapToGrid/>
          <w:sz w:val="24"/>
          <w:szCs w:val="22"/>
        </w:rPr>
        <w:t xml:space="preserve"> 546 participants from 61 centres in the United States</w:t>
      </w:r>
      <w:r w:rsidR="00425380" w:rsidRPr="004F1754">
        <w:rPr>
          <w:rFonts w:asciiTheme="minorHAnsi" w:eastAsiaTheme="minorHAnsi" w:hAnsiTheme="minorHAnsi" w:cstheme="minorBidi"/>
          <w:snapToGrid/>
          <w:sz w:val="24"/>
          <w:szCs w:val="22"/>
        </w:rPr>
        <w:t>, which was to assess the safety and adverse effects of subcutaneous apomorphine injections over a six-year period. The sponsor concluded that no differences in the delivery method were noted. However, the study was</w:t>
      </w:r>
      <w:r w:rsidR="00B27B6B" w:rsidRPr="004F1754">
        <w:rPr>
          <w:rFonts w:asciiTheme="minorHAnsi" w:eastAsiaTheme="minorHAnsi" w:hAnsiTheme="minorHAnsi" w:cstheme="minorBidi"/>
          <w:snapToGrid/>
          <w:sz w:val="24"/>
          <w:szCs w:val="22"/>
        </w:rPr>
        <w:t xml:space="preserve"> not supplied with the response nor was it</w:t>
      </w:r>
      <w:r w:rsidR="00425380" w:rsidRPr="004F1754">
        <w:rPr>
          <w:rFonts w:asciiTheme="minorHAnsi" w:eastAsiaTheme="minorHAnsi" w:hAnsiTheme="minorHAnsi" w:cstheme="minorBidi"/>
          <w:snapToGrid/>
          <w:sz w:val="24"/>
          <w:szCs w:val="22"/>
        </w:rPr>
        <w:t xml:space="preserve"> </w:t>
      </w:r>
      <w:r w:rsidR="00B27B6B" w:rsidRPr="004F1754">
        <w:rPr>
          <w:rFonts w:asciiTheme="minorHAnsi" w:eastAsiaTheme="minorHAnsi" w:hAnsiTheme="minorHAnsi" w:cstheme="minorBidi"/>
          <w:snapToGrid/>
          <w:sz w:val="24"/>
          <w:szCs w:val="22"/>
        </w:rPr>
        <w:t xml:space="preserve">independently </w:t>
      </w:r>
      <w:r w:rsidR="00425380" w:rsidRPr="004F1754">
        <w:rPr>
          <w:rFonts w:asciiTheme="minorHAnsi" w:eastAsiaTheme="minorHAnsi" w:hAnsiTheme="minorHAnsi" w:cstheme="minorBidi"/>
          <w:snapToGrid/>
          <w:sz w:val="24"/>
          <w:szCs w:val="22"/>
        </w:rPr>
        <w:t>validated by the Department</w:t>
      </w:r>
      <w:r w:rsidR="00DE7DA6" w:rsidRPr="004F1754">
        <w:rPr>
          <w:rFonts w:asciiTheme="minorHAnsi" w:eastAsiaTheme="minorHAnsi" w:hAnsiTheme="minorHAnsi" w:cstheme="minorBidi"/>
          <w:snapToGrid/>
          <w:sz w:val="24"/>
          <w:szCs w:val="22"/>
        </w:rPr>
        <w:t xml:space="preserve"> in the evaluation process</w:t>
      </w:r>
      <w:r w:rsidRPr="004F1754">
        <w:rPr>
          <w:rFonts w:asciiTheme="minorHAnsi" w:eastAsiaTheme="minorHAnsi" w:hAnsiTheme="minorHAnsi" w:cstheme="minorBidi"/>
          <w:snapToGrid/>
          <w:sz w:val="24"/>
          <w:szCs w:val="22"/>
        </w:rPr>
        <w:t>.</w:t>
      </w:r>
    </w:p>
    <w:p w:rsidR="005A3173" w:rsidRPr="000768E9" w:rsidRDefault="005A3173" w:rsidP="00ED34FE">
      <w:pPr>
        <w:pStyle w:val="Heading2"/>
      </w:pPr>
      <w:r w:rsidRPr="000768E9">
        <w:t>Economic analysis</w:t>
      </w:r>
    </w:p>
    <w:p w:rsidR="009B0F67" w:rsidRPr="003F6614" w:rsidRDefault="003F6614" w:rsidP="003F6614">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3F6614">
        <w:rPr>
          <w:rFonts w:asciiTheme="minorHAnsi" w:eastAsiaTheme="minorHAnsi" w:hAnsiTheme="minorHAnsi" w:cstheme="minorBidi"/>
          <w:snapToGrid/>
          <w:sz w:val="24"/>
          <w:szCs w:val="22"/>
        </w:rPr>
        <w:t>A</w:t>
      </w:r>
      <w:r w:rsidR="00C00DA7" w:rsidRPr="003F6614">
        <w:rPr>
          <w:rFonts w:asciiTheme="minorHAnsi" w:eastAsiaTheme="minorHAnsi" w:hAnsiTheme="minorHAnsi" w:cstheme="minorBidi"/>
          <w:snapToGrid/>
          <w:sz w:val="24"/>
          <w:szCs w:val="22"/>
        </w:rPr>
        <w:t xml:space="preserve">n economic comparison </w:t>
      </w:r>
      <w:r w:rsidR="00FF2801" w:rsidRPr="003F6614">
        <w:rPr>
          <w:rFonts w:asciiTheme="minorHAnsi" w:eastAsiaTheme="minorHAnsi" w:hAnsiTheme="minorHAnsi" w:cstheme="minorBidi"/>
          <w:snapToGrid/>
          <w:sz w:val="24"/>
          <w:szCs w:val="22"/>
        </w:rPr>
        <w:t>wa</w:t>
      </w:r>
      <w:r w:rsidR="00C00DA7" w:rsidRPr="003F6614">
        <w:rPr>
          <w:rFonts w:asciiTheme="minorHAnsi" w:eastAsiaTheme="minorHAnsi" w:hAnsiTheme="minorHAnsi" w:cstheme="minorBidi"/>
          <w:snapToGrid/>
          <w:sz w:val="24"/>
          <w:szCs w:val="22"/>
        </w:rPr>
        <w:t>s</w:t>
      </w:r>
      <w:r w:rsidR="006B338D">
        <w:rPr>
          <w:rFonts w:asciiTheme="minorHAnsi" w:eastAsiaTheme="minorHAnsi" w:hAnsiTheme="minorHAnsi" w:cstheme="minorBidi"/>
          <w:snapToGrid/>
          <w:sz w:val="24"/>
          <w:szCs w:val="22"/>
        </w:rPr>
        <w:t xml:space="preserve"> considered</w:t>
      </w:r>
      <w:r w:rsidR="00B27B6B">
        <w:rPr>
          <w:rFonts w:asciiTheme="minorHAnsi" w:eastAsiaTheme="minorHAnsi" w:hAnsiTheme="minorHAnsi" w:cstheme="minorBidi"/>
          <w:snapToGrid/>
          <w:sz w:val="24"/>
          <w:szCs w:val="22"/>
        </w:rPr>
        <w:t>,</w:t>
      </w:r>
      <w:r w:rsidR="006B338D">
        <w:rPr>
          <w:rFonts w:asciiTheme="minorHAnsi" w:eastAsiaTheme="minorHAnsi" w:hAnsiTheme="minorHAnsi" w:cstheme="minorBidi"/>
          <w:snapToGrid/>
          <w:sz w:val="24"/>
          <w:szCs w:val="22"/>
        </w:rPr>
        <w:t xml:space="preserve"> by the submission</w:t>
      </w:r>
      <w:r w:rsidR="00B27B6B">
        <w:rPr>
          <w:rFonts w:asciiTheme="minorHAnsi" w:eastAsiaTheme="minorHAnsi" w:hAnsiTheme="minorHAnsi" w:cstheme="minorBidi"/>
          <w:snapToGrid/>
          <w:sz w:val="24"/>
          <w:szCs w:val="22"/>
        </w:rPr>
        <w:t>,</w:t>
      </w:r>
      <w:r w:rsidR="006B338D">
        <w:rPr>
          <w:rFonts w:asciiTheme="minorHAnsi" w:eastAsiaTheme="minorHAnsi" w:hAnsiTheme="minorHAnsi" w:cstheme="minorBidi"/>
          <w:snapToGrid/>
          <w:sz w:val="24"/>
          <w:szCs w:val="22"/>
        </w:rPr>
        <w:t xml:space="preserve"> to</w:t>
      </w:r>
      <w:r w:rsidR="00C00DA7" w:rsidRPr="003F6614">
        <w:rPr>
          <w:rFonts w:asciiTheme="minorHAnsi" w:eastAsiaTheme="minorHAnsi" w:hAnsiTheme="minorHAnsi" w:cstheme="minorBidi"/>
          <w:snapToGrid/>
          <w:sz w:val="24"/>
          <w:szCs w:val="22"/>
        </w:rPr>
        <w:t xml:space="preserve"> not</w:t>
      </w:r>
      <w:r w:rsidR="006B338D">
        <w:rPr>
          <w:rFonts w:asciiTheme="minorHAnsi" w:eastAsiaTheme="minorHAnsi" w:hAnsiTheme="minorHAnsi" w:cstheme="minorBidi"/>
          <w:snapToGrid/>
          <w:sz w:val="24"/>
          <w:szCs w:val="22"/>
        </w:rPr>
        <w:t xml:space="preserve"> be</w:t>
      </w:r>
      <w:r w:rsidR="00C00DA7" w:rsidRPr="003F6614">
        <w:rPr>
          <w:rFonts w:asciiTheme="minorHAnsi" w:eastAsiaTheme="minorHAnsi" w:hAnsiTheme="minorHAnsi" w:cstheme="minorBidi"/>
          <w:snapToGrid/>
          <w:sz w:val="24"/>
          <w:szCs w:val="22"/>
        </w:rPr>
        <w:t xml:space="preserve"> relevant</w:t>
      </w:r>
      <w:r w:rsidRPr="003F6614">
        <w:rPr>
          <w:rFonts w:asciiTheme="minorHAnsi" w:eastAsiaTheme="minorHAnsi" w:hAnsiTheme="minorHAnsi" w:cstheme="minorBidi"/>
          <w:snapToGrid/>
          <w:sz w:val="24"/>
          <w:szCs w:val="22"/>
        </w:rPr>
        <w:t xml:space="preserve"> due to the new form of apomorphine </w:t>
      </w:r>
      <w:r w:rsidR="00B27B6B">
        <w:rPr>
          <w:rFonts w:asciiTheme="minorHAnsi" w:eastAsiaTheme="minorHAnsi" w:hAnsiTheme="minorHAnsi" w:cstheme="minorBidi"/>
          <w:snapToGrid/>
          <w:sz w:val="24"/>
          <w:szCs w:val="22"/>
        </w:rPr>
        <w:t xml:space="preserve">being expected to </w:t>
      </w:r>
      <w:r w:rsidRPr="003F6614">
        <w:rPr>
          <w:rFonts w:asciiTheme="minorHAnsi" w:eastAsiaTheme="minorHAnsi" w:hAnsiTheme="minorHAnsi" w:cstheme="minorBidi"/>
          <w:snapToGrid/>
          <w:sz w:val="24"/>
          <w:szCs w:val="22"/>
        </w:rPr>
        <w:t>only replace the existing listings</w:t>
      </w:r>
      <w:r w:rsidR="006B338D">
        <w:rPr>
          <w:rFonts w:asciiTheme="minorHAnsi" w:eastAsiaTheme="minorHAnsi" w:hAnsiTheme="minorHAnsi" w:cstheme="minorBidi"/>
          <w:snapToGrid/>
          <w:sz w:val="24"/>
          <w:szCs w:val="22"/>
        </w:rPr>
        <w:t xml:space="preserve"> and therefore </w:t>
      </w:r>
      <w:r w:rsidR="00B27B6B">
        <w:rPr>
          <w:rFonts w:asciiTheme="minorHAnsi" w:eastAsiaTheme="minorHAnsi" w:hAnsiTheme="minorHAnsi" w:cstheme="minorBidi"/>
          <w:snapToGrid/>
          <w:sz w:val="24"/>
          <w:szCs w:val="22"/>
        </w:rPr>
        <w:t xml:space="preserve">be </w:t>
      </w:r>
      <w:r w:rsidR="006B338D">
        <w:rPr>
          <w:rFonts w:asciiTheme="minorHAnsi" w:eastAsiaTheme="minorHAnsi" w:hAnsiTheme="minorHAnsi" w:cstheme="minorBidi"/>
          <w:snapToGrid/>
          <w:sz w:val="24"/>
          <w:szCs w:val="22"/>
        </w:rPr>
        <w:t>cost neutral to the Government</w:t>
      </w:r>
      <w:r w:rsidR="009B0F67" w:rsidRPr="003F6614">
        <w:rPr>
          <w:rFonts w:asciiTheme="minorHAnsi" w:eastAsiaTheme="minorHAnsi" w:hAnsiTheme="minorHAnsi" w:cstheme="minorBidi"/>
          <w:snapToGrid/>
          <w:sz w:val="24"/>
          <w:szCs w:val="22"/>
        </w:rPr>
        <w:t>.</w:t>
      </w:r>
    </w:p>
    <w:p w:rsidR="003C2FB5" w:rsidRPr="008306F3" w:rsidRDefault="00A55FEE" w:rsidP="00ED34FE">
      <w:pPr>
        <w:pStyle w:val="Heading2"/>
      </w:pPr>
      <w:r w:rsidRPr="003C2FB5">
        <w:t>Drug cost/patient/</w:t>
      </w:r>
      <w:r w:rsidR="008B5AA9" w:rsidRPr="003C2FB5" w:rsidDel="008B5AA9">
        <w:t xml:space="preserve"> </w:t>
      </w:r>
      <w:r w:rsidRPr="003C2FB5">
        <w:t>year: $</w:t>
      </w:r>
      <w:r w:rsidR="008B5AA9">
        <w:t xml:space="preserve"> </w:t>
      </w:r>
      <w:r w:rsidR="00754FB8">
        <w:t>3,312.09</w:t>
      </w:r>
    </w:p>
    <w:p w:rsidR="00C91D09" w:rsidRPr="004C6767" w:rsidRDefault="000F76FF"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The s</w:t>
      </w:r>
      <w:r w:rsidR="00C91D09" w:rsidRPr="004C6767">
        <w:rPr>
          <w:rFonts w:asciiTheme="minorHAnsi" w:eastAsiaTheme="minorHAnsi" w:hAnsiTheme="minorHAnsi" w:cstheme="minorBidi"/>
          <w:snapToGrid/>
          <w:sz w:val="24"/>
          <w:szCs w:val="22"/>
        </w:rPr>
        <w:t xml:space="preserve">ponsor calculated drug cost at the same price per mg as the 20 mg in 2 mL ampoule form on a cost-minimisation approach. </w:t>
      </w:r>
    </w:p>
    <w:p w:rsidR="00B27B6B" w:rsidRDefault="00983B5F"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Although the </w:t>
      </w:r>
      <w:r w:rsidRPr="004C6767">
        <w:rPr>
          <w:rFonts w:asciiTheme="minorHAnsi" w:eastAsiaTheme="minorHAnsi" w:hAnsiTheme="minorHAnsi" w:cstheme="minorBidi"/>
          <w:snapToGrid/>
          <w:sz w:val="24"/>
          <w:szCs w:val="22"/>
        </w:rPr>
        <w:t>submission stated that the daily dose was typically in the range of 3 to 30 mg/day</w:t>
      </w:r>
      <w:r>
        <w:rPr>
          <w:rFonts w:asciiTheme="minorHAnsi" w:eastAsiaTheme="minorHAnsi" w:hAnsiTheme="minorHAnsi" w:cstheme="minorBidi"/>
          <w:snapToGrid/>
          <w:sz w:val="24"/>
          <w:szCs w:val="22"/>
        </w:rPr>
        <w:t xml:space="preserve">, the </w:t>
      </w:r>
      <w:r w:rsidR="00C91D09" w:rsidRPr="004C6767">
        <w:rPr>
          <w:rFonts w:asciiTheme="minorHAnsi" w:eastAsiaTheme="minorHAnsi" w:hAnsiTheme="minorHAnsi" w:cstheme="minorBidi"/>
          <w:snapToGrid/>
          <w:sz w:val="24"/>
          <w:szCs w:val="22"/>
        </w:rPr>
        <w:t>presented calculation assumed a</w:t>
      </w:r>
      <w:r w:rsidR="00C307A5" w:rsidRPr="004C6767">
        <w:rPr>
          <w:rFonts w:asciiTheme="minorHAnsi" w:eastAsiaTheme="minorHAnsi" w:hAnsiTheme="minorHAnsi" w:cstheme="minorBidi"/>
          <w:snapToGrid/>
          <w:sz w:val="24"/>
          <w:szCs w:val="22"/>
        </w:rPr>
        <w:t>n</w:t>
      </w:r>
      <w:r w:rsidR="00E002E7">
        <w:rPr>
          <w:rFonts w:asciiTheme="minorHAnsi" w:eastAsiaTheme="minorHAnsi" w:hAnsiTheme="minorHAnsi" w:cstheme="minorBidi"/>
          <w:snapToGrid/>
          <w:sz w:val="24"/>
          <w:szCs w:val="22"/>
        </w:rPr>
        <w:t xml:space="preserve"> estimate of 10 mg/</w:t>
      </w:r>
      <w:r w:rsidR="00C91D09" w:rsidRPr="004C6767">
        <w:rPr>
          <w:rFonts w:asciiTheme="minorHAnsi" w:eastAsiaTheme="minorHAnsi" w:hAnsiTheme="minorHAnsi" w:cstheme="minorBidi"/>
          <w:snapToGrid/>
          <w:sz w:val="24"/>
          <w:szCs w:val="22"/>
        </w:rPr>
        <w:t>day as the equi-effective dose</w:t>
      </w:r>
      <w:r w:rsidR="00944B86">
        <w:rPr>
          <w:rFonts w:asciiTheme="minorHAnsi" w:eastAsiaTheme="minorHAnsi" w:hAnsiTheme="minorHAnsi" w:cstheme="minorBidi"/>
          <w:snapToGrid/>
          <w:sz w:val="24"/>
          <w:szCs w:val="22"/>
        </w:rPr>
        <w:t xml:space="preserve">. </w:t>
      </w:r>
      <w:r>
        <w:rPr>
          <w:rFonts w:asciiTheme="minorHAnsi" w:eastAsiaTheme="minorHAnsi" w:hAnsiTheme="minorHAnsi" w:cstheme="minorBidi"/>
          <w:snapToGrid/>
          <w:sz w:val="24"/>
          <w:szCs w:val="22"/>
        </w:rPr>
        <w:t>I</w:t>
      </w:r>
      <w:r w:rsidR="00944B86">
        <w:rPr>
          <w:rFonts w:asciiTheme="minorHAnsi" w:eastAsiaTheme="minorHAnsi" w:hAnsiTheme="minorHAnsi" w:cstheme="minorBidi"/>
          <w:snapToGrid/>
          <w:sz w:val="24"/>
          <w:szCs w:val="22"/>
        </w:rPr>
        <w:t xml:space="preserve">n the Pre-PBAC response, </w:t>
      </w:r>
      <w:r w:rsidR="000768E9">
        <w:rPr>
          <w:rFonts w:asciiTheme="minorHAnsi" w:eastAsiaTheme="minorHAnsi" w:hAnsiTheme="minorHAnsi" w:cstheme="minorBidi"/>
          <w:snapToGrid/>
          <w:sz w:val="24"/>
          <w:szCs w:val="22"/>
        </w:rPr>
        <w:t xml:space="preserve">due to a calculation error, </w:t>
      </w:r>
      <w:r w:rsidR="00944B86">
        <w:rPr>
          <w:rFonts w:asciiTheme="minorHAnsi" w:eastAsiaTheme="minorHAnsi" w:hAnsiTheme="minorHAnsi" w:cstheme="minorBidi"/>
          <w:snapToGrid/>
          <w:sz w:val="24"/>
          <w:szCs w:val="22"/>
        </w:rPr>
        <w:t xml:space="preserve">the sponsor adjusted </w:t>
      </w:r>
      <w:r w:rsidR="00A84B55">
        <w:rPr>
          <w:rFonts w:asciiTheme="minorHAnsi" w:eastAsiaTheme="minorHAnsi" w:hAnsiTheme="minorHAnsi" w:cstheme="minorBidi"/>
          <w:snapToGrid/>
          <w:sz w:val="24"/>
          <w:szCs w:val="22"/>
        </w:rPr>
        <w:t xml:space="preserve">the drug cost/patient/year </w:t>
      </w:r>
      <w:r w:rsidR="00944B86">
        <w:rPr>
          <w:rFonts w:asciiTheme="minorHAnsi" w:eastAsiaTheme="minorHAnsi" w:hAnsiTheme="minorHAnsi" w:cstheme="minorBidi"/>
          <w:snapToGrid/>
          <w:sz w:val="24"/>
          <w:szCs w:val="22"/>
        </w:rPr>
        <w:t>to $3,312.09 on the basis of an AEMP of $136.02</w:t>
      </w:r>
      <w:r w:rsidR="00B27B6B">
        <w:rPr>
          <w:rFonts w:asciiTheme="minorHAnsi" w:eastAsiaTheme="minorHAnsi" w:hAnsiTheme="minorHAnsi" w:cstheme="minorBidi"/>
          <w:snapToGrid/>
          <w:sz w:val="24"/>
          <w:szCs w:val="22"/>
        </w:rPr>
        <w:t xml:space="preserve"> per pack</w:t>
      </w:r>
      <w:r w:rsidR="00944B86">
        <w:rPr>
          <w:rFonts w:asciiTheme="minorHAnsi" w:eastAsiaTheme="minorHAnsi" w:hAnsiTheme="minorHAnsi" w:cstheme="minorBidi"/>
          <w:snapToGrid/>
          <w:sz w:val="24"/>
          <w:szCs w:val="22"/>
        </w:rPr>
        <w:t>.</w:t>
      </w:r>
    </w:p>
    <w:p w:rsidR="0046203E" w:rsidRPr="00F07436" w:rsidRDefault="000768E9" w:rsidP="00F07436">
      <w:pPr>
        <w:pStyle w:val="ListParagraph"/>
        <w:widowControl/>
        <w:numPr>
          <w:ilvl w:val="1"/>
          <w:numId w:val="14"/>
        </w:numPr>
        <w:spacing w:after="120"/>
        <w:contextualSpacing w:val="0"/>
        <w:rPr>
          <w:rFonts w:eastAsiaTheme="minorHAnsi"/>
          <w:snapToGrid/>
        </w:rPr>
      </w:pPr>
      <w:r w:rsidRPr="00B27B6B">
        <w:rPr>
          <w:rFonts w:asciiTheme="minorHAnsi" w:eastAsiaTheme="minorHAnsi" w:hAnsiTheme="minorHAnsi" w:cstheme="minorBidi"/>
          <w:snapToGrid/>
          <w:sz w:val="24"/>
          <w:szCs w:val="22"/>
        </w:rPr>
        <w:t>As part of the evaluation process, the Department conducted an utilisation analysis of apomorphine based on Medicare statisti</w:t>
      </w:r>
      <w:r w:rsidR="00964039" w:rsidRPr="00B27B6B">
        <w:rPr>
          <w:rFonts w:asciiTheme="minorHAnsi" w:eastAsiaTheme="minorHAnsi" w:hAnsiTheme="minorHAnsi" w:cstheme="minorBidi"/>
          <w:snapToGrid/>
          <w:sz w:val="24"/>
          <w:szCs w:val="22"/>
        </w:rPr>
        <w:t>c between</w:t>
      </w:r>
      <w:r w:rsidRPr="00B27B6B">
        <w:rPr>
          <w:rFonts w:asciiTheme="minorHAnsi" w:eastAsiaTheme="minorHAnsi" w:hAnsiTheme="minorHAnsi" w:cstheme="minorBidi"/>
          <w:snapToGrid/>
          <w:sz w:val="24"/>
          <w:szCs w:val="22"/>
        </w:rPr>
        <w:t xml:space="preserve"> </w:t>
      </w:r>
      <w:r w:rsidR="00C014F6" w:rsidRPr="00B27B6B">
        <w:rPr>
          <w:rFonts w:asciiTheme="minorHAnsi" w:eastAsiaTheme="minorHAnsi" w:hAnsiTheme="minorHAnsi" w:cstheme="minorBidi"/>
          <w:snapToGrid/>
          <w:sz w:val="24"/>
          <w:szCs w:val="22"/>
        </w:rPr>
        <w:t xml:space="preserve">the years </w:t>
      </w:r>
      <w:r w:rsidRPr="00B27B6B">
        <w:rPr>
          <w:rFonts w:asciiTheme="minorHAnsi" w:eastAsiaTheme="minorHAnsi" w:hAnsiTheme="minorHAnsi" w:cstheme="minorBidi"/>
          <w:snapToGrid/>
          <w:sz w:val="24"/>
          <w:szCs w:val="22"/>
        </w:rPr>
        <w:t xml:space="preserve">2014 to 2017. </w:t>
      </w:r>
      <w:r w:rsidR="00944B86" w:rsidRPr="00B27B6B">
        <w:rPr>
          <w:rFonts w:asciiTheme="minorHAnsi" w:eastAsiaTheme="minorHAnsi" w:hAnsiTheme="minorHAnsi" w:cstheme="minorBidi"/>
          <w:snapToGrid/>
          <w:sz w:val="24"/>
          <w:szCs w:val="22"/>
        </w:rPr>
        <w:t xml:space="preserve">The PBAC </w:t>
      </w:r>
      <w:r w:rsidR="00983B5F" w:rsidRPr="00B27B6B">
        <w:rPr>
          <w:rFonts w:asciiTheme="minorHAnsi" w:eastAsiaTheme="minorHAnsi" w:hAnsiTheme="minorHAnsi" w:cstheme="minorBidi"/>
          <w:snapToGrid/>
          <w:sz w:val="24"/>
          <w:szCs w:val="22"/>
        </w:rPr>
        <w:t xml:space="preserve">noted </w:t>
      </w:r>
      <w:r w:rsidR="00CB36D4" w:rsidRPr="00B27B6B">
        <w:rPr>
          <w:rFonts w:asciiTheme="minorHAnsi" w:eastAsiaTheme="minorHAnsi" w:hAnsiTheme="minorHAnsi" w:cstheme="minorBidi"/>
          <w:snapToGrid/>
          <w:sz w:val="24"/>
          <w:szCs w:val="22"/>
        </w:rPr>
        <w:t xml:space="preserve">that </w:t>
      </w:r>
      <w:r w:rsidRPr="00B27B6B">
        <w:rPr>
          <w:rFonts w:asciiTheme="minorHAnsi" w:eastAsiaTheme="minorHAnsi" w:hAnsiTheme="minorHAnsi" w:cstheme="minorBidi"/>
          <w:snapToGrid/>
          <w:sz w:val="24"/>
          <w:szCs w:val="22"/>
        </w:rPr>
        <w:t xml:space="preserve">the analysis </w:t>
      </w:r>
      <w:r w:rsidR="00983B5F" w:rsidRPr="00B27B6B">
        <w:rPr>
          <w:rFonts w:asciiTheme="minorHAnsi" w:eastAsiaTheme="minorHAnsi" w:hAnsiTheme="minorHAnsi" w:cstheme="minorBidi"/>
          <w:snapToGrid/>
          <w:sz w:val="24"/>
          <w:szCs w:val="22"/>
        </w:rPr>
        <w:t>indicated an average cost of around $18,000 per patient per year</w:t>
      </w:r>
      <w:r w:rsidRPr="00B27B6B">
        <w:rPr>
          <w:rFonts w:asciiTheme="minorHAnsi" w:eastAsiaTheme="minorHAnsi" w:hAnsiTheme="minorHAnsi" w:cstheme="minorBidi"/>
          <w:snapToGrid/>
          <w:sz w:val="24"/>
          <w:szCs w:val="22"/>
        </w:rPr>
        <w:t>, which was</w:t>
      </w:r>
      <w:r w:rsidR="00983B5F" w:rsidRPr="00B27B6B">
        <w:rPr>
          <w:rFonts w:asciiTheme="minorHAnsi" w:eastAsiaTheme="minorHAnsi" w:hAnsiTheme="minorHAnsi" w:cstheme="minorBidi"/>
          <w:snapToGrid/>
          <w:sz w:val="24"/>
          <w:szCs w:val="22"/>
        </w:rPr>
        <w:t xml:space="preserve"> significantly higher than the submission’s estimat</w:t>
      </w:r>
      <w:r w:rsidR="000F76FF">
        <w:rPr>
          <w:rFonts w:asciiTheme="minorHAnsi" w:eastAsiaTheme="minorHAnsi" w:hAnsiTheme="minorHAnsi" w:cstheme="minorBidi"/>
          <w:snapToGrid/>
          <w:sz w:val="24"/>
          <w:szCs w:val="22"/>
        </w:rPr>
        <w:t>e</w:t>
      </w:r>
      <w:r w:rsidR="00983B5F" w:rsidRPr="00B27B6B">
        <w:rPr>
          <w:rFonts w:asciiTheme="minorHAnsi" w:eastAsiaTheme="minorHAnsi" w:hAnsiTheme="minorHAnsi" w:cstheme="minorBidi"/>
          <w:snapToGrid/>
          <w:sz w:val="24"/>
          <w:szCs w:val="22"/>
        </w:rPr>
        <w:t xml:space="preserve">. </w:t>
      </w:r>
      <w:r w:rsidR="00FC7538">
        <w:rPr>
          <w:rFonts w:asciiTheme="minorHAnsi" w:eastAsiaTheme="minorHAnsi" w:hAnsiTheme="minorHAnsi" w:cstheme="minorBidi"/>
          <w:snapToGrid/>
          <w:sz w:val="24"/>
          <w:szCs w:val="22"/>
        </w:rPr>
        <w:t>T</w:t>
      </w:r>
      <w:r w:rsidR="00A84B55" w:rsidRPr="00FC7538">
        <w:rPr>
          <w:rFonts w:asciiTheme="minorHAnsi" w:eastAsiaTheme="minorHAnsi" w:hAnsiTheme="minorHAnsi" w:cstheme="minorBidi"/>
          <w:snapToGrid/>
          <w:sz w:val="24"/>
          <w:szCs w:val="22"/>
        </w:rPr>
        <w:t>he PBAC considered that the</w:t>
      </w:r>
      <w:r w:rsidR="00FC7538">
        <w:rPr>
          <w:rFonts w:asciiTheme="minorHAnsi" w:eastAsiaTheme="minorHAnsi" w:hAnsiTheme="minorHAnsi" w:cstheme="minorBidi"/>
          <w:snapToGrid/>
          <w:sz w:val="24"/>
          <w:szCs w:val="22"/>
        </w:rPr>
        <w:t xml:space="preserve"> submissions’</w:t>
      </w:r>
      <w:r w:rsidR="00A84B55" w:rsidRPr="00FC7538">
        <w:rPr>
          <w:rFonts w:asciiTheme="minorHAnsi" w:eastAsiaTheme="minorHAnsi" w:hAnsiTheme="minorHAnsi" w:cstheme="minorBidi"/>
          <w:snapToGrid/>
          <w:sz w:val="24"/>
          <w:szCs w:val="22"/>
        </w:rPr>
        <w:t xml:space="preserve"> estimated daily dose of </w:t>
      </w:r>
      <w:r w:rsidR="00FC7538">
        <w:rPr>
          <w:rFonts w:asciiTheme="minorHAnsi" w:eastAsiaTheme="minorHAnsi" w:hAnsiTheme="minorHAnsi" w:cstheme="minorBidi"/>
          <w:snapToGrid/>
          <w:sz w:val="24"/>
          <w:szCs w:val="22"/>
        </w:rPr>
        <w:t xml:space="preserve">10 mg/day </w:t>
      </w:r>
      <w:r w:rsidR="00A84B55" w:rsidRPr="00FC7538">
        <w:rPr>
          <w:rFonts w:asciiTheme="minorHAnsi" w:eastAsiaTheme="minorHAnsi" w:hAnsiTheme="minorHAnsi" w:cstheme="minorBidi"/>
          <w:snapToGrid/>
          <w:sz w:val="24"/>
          <w:szCs w:val="22"/>
        </w:rPr>
        <w:t>apomorphine</w:t>
      </w:r>
      <w:r w:rsidR="00CB36D4" w:rsidRPr="00FC7538">
        <w:rPr>
          <w:rFonts w:asciiTheme="minorHAnsi" w:eastAsiaTheme="minorHAnsi" w:hAnsiTheme="minorHAnsi" w:cstheme="minorBidi"/>
          <w:snapToGrid/>
          <w:sz w:val="24"/>
          <w:szCs w:val="22"/>
        </w:rPr>
        <w:t>, and hence the drug cost</w:t>
      </w:r>
      <w:r w:rsidR="00FC7538">
        <w:rPr>
          <w:rFonts w:asciiTheme="minorHAnsi" w:eastAsiaTheme="minorHAnsi" w:hAnsiTheme="minorHAnsi" w:cstheme="minorBidi"/>
          <w:snapToGrid/>
          <w:sz w:val="24"/>
          <w:szCs w:val="22"/>
        </w:rPr>
        <w:t>/patient/year</w:t>
      </w:r>
      <w:r w:rsidR="00A84B55" w:rsidRPr="00FC7538">
        <w:rPr>
          <w:rFonts w:asciiTheme="minorHAnsi" w:eastAsiaTheme="minorHAnsi" w:hAnsiTheme="minorHAnsi" w:cstheme="minorBidi"/>
          <w:snapToGrid/>
          <w:sz w:val="24"/>
          <w:szCs w:val="22"/>
        </w:rPr>
        <w:t xml:space="preserve"> was underestimated.  </w:t>
      </w:r>
    </w:p>
    <w:p w:rsidR="0046203E" w:rsidRPr="00F07436" w:rsidRDefault="00983B5F" w:rsidP="00456737">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T</w:t>
      </w:r>
      <w:r w:rsidR="00944B86">
        <w:rPr>
          <w:rFonts w:asciiTheme="minorHAnsi" w:eastAsiaTheme="minorHAnsi" w:hAnsiTheme="minorHAnsi" w:cstheme="minorBidi"/>
          <w:snapToGrid/>
          <w:sz w:val="24"/>
          <w:szCs w:val="22"/>
        </w:rPr>
        <w:t xml:space="preserve">he result </w:t>
      </w:r>
      <w:r>
        <w:rPr>
          <w:rFonts w:asciiTheme="minorHAnsi" w:eastAsiaTheme="minorHAnsi" w:hAnsiTheme="minorHAnsi" w:cstheme="minorBidi"/>
          <w:snapToGrid/>
          <w:sz w:val="24"/>
          <w:szCs w:val="22"/>
        </w:rPr>
        <w:t>of the utilisation</w:t>
      </w:r>
      <w:r w:rsidR="0046203E">
        <w:rPr>
          <w:rFonts w:asciiTheme="minorHAnsi" w:eastAsiaTheme="minorHAnsi" w:hAnsiTheme="minorHAnsi" w:cstheme="minorBidi"/>
          <w:snapToGrid/>
          <w:sz w:val="24"/>
          <w:szCs w:val="22"/>
        </w:rPr>
        <w:t xml:space="preserve"> analysis</w:t>
      </w:r>
      <w:r>
        <w:rPr>
          <w:rFonts w:asciiTheme="minorHAnsi" w:eastAsiaTheme="minorHAnsi" w:hAnsiTheme="minorHAnsi" w:cstheme="minorBidi"/>
          <w:snapToGrid/>
          <w:sz w:val="24"/>
          <w:szCs w:val="22"/>
        </w:rPr>
        <w:t xml:space="preserve"> </w:t>
      </w:r>
      <w:r w:rsidR="00944B86">
        <w:rPr>
          <w:rFonts w:asciiTheme="minorHAnsi" w:eastAsiaTheme="minorHAnsi" w:hAnsiTheme="minorHAnsi" w:cstheme="minorBidi"/>
          <w:snapToGrid/>
          <w:sz w:val="24"/>
          <w:szCs w:val="22"/>
        </w:rPr>
        <w:t xml:space="preserve">is </w:t>
      </w:r>
      <w:r w:rsidR="000F76FF">
        <w:rPr>
          <w:rFonts w:asciiTheme="minorHAnsi" w:eastAsiaTheme="minorHAnsi" w:hAnsiTheme="minorHAnsi" w:cstheme="minorBidi"/>
          <w:snapToGrid/>
          <w:sz w:val="24"/>
          <w:szCs w:val="22"/>
        </w:rPr>
        <w:t>summarised in T</w:t>
      </w:r>
      <w:r w:rsidR="00944B86">
        <w:rPr>
          <w:rFonts w:asciiTheme="minorHAnsi" w:eastAsiaTheme="minorHAnsi" w:hAnsiTheme="minorHAnsi" w:cstheme="minorBidi"/>
          <w:snapToGrid/>
          <w:sz w:val="24"/>
          <w:szCs w:val="22"/>
        </w:rPr>
        <w:t>able 1 below:</w:t>
      </w:r>
    </w:p>
    <w:p w:rsidR="0046203E" w:rsidRPr="00ED34FE" w:rsidRDefault="0046203E" w:rsidP="00ED34FE">
      <w:pPr>
        <w:pStyle w:val="Caption"/>
        <w:keepNext/>
        <w:spacing w:after="0"/>
        <w:rPr>
          <w:rStyle w:val="CommentReference"/>
        </w:rPr>
      </w:pPr>
      <w:r w:rsidRPr="00ED34FE">
        <w:rPr>
          <w:rStyle w:val="CommentReference"/>
        </w:rPr>
        <w:t>Table 1</w:t>
      </w:r>
      <w:r w:rsidR="00E002E7" w:rsidRPr="00ED34FE">
        <w:rPr>
          <w:rStyle w:val="CommentReference"/>
        </w:rPr>
        <w:t>.</w:t>
      </w:r>
      <w:r w:rsidRPr="00ED34FE">
        <w:rPr>
          <w:rStyle w:val="CommentReference"/>
        </w:rPr>
        <w:t xml:space="preserve"> </w:t>
      </w:r>
      <w:r w:rsidR="00E002E7" w:rsidRPr="00ED34FE">
        <w:rPr>
          <w:rStyle w:val="CommentReference"/>
        </w:rPr>
        <w:t>U</w:t>
      </w:r>
      <w:r w:rsidRPr="00ED34FE">
        <w:rPr>
          <w:rStyle w:val="CommentReference"/>
        </w:rPr>
        <w:t>tilisation analysis of apomorphine between 2014 and 2017</w:t>
      </w:r>
      <w:r w:rsidR="00E002E7" w:rsidRPr="00ED34FE">
        <w:rPr>
          <w:rStyle w:val="CommentReference"/>
        </w:rPr>
        <w:t>.</w:t>
      </w:r>
      <w:r w:rsidRPr="00ED34FE">
        <w:rPr>
          <w:rStyle w:val="CommentReference"/>
        </w:rPr>
        <w:t xml:space="preserve"> </w:t>
      </w:r>
    </w:p>
    <w:tbl>
      <w:tblPr>
        <w:tblW w:w="882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59"/>
        <w:gridCol w:w="1790"/>
        <w:gridCol w:w="1426"/>
        <w:gridCol w:w="1426"/>
        <w:gridCol w:w="1426"/>
      </w:tblGrid>
      <w:tr w:rsidR="00553476" w:rsidRPr="00456737" w:rsidTr="004F1754">
        <w:trPr>
          <w:trHeight w:val="308"/>
        </w:trPr>
        <w:tc>
          <w:tcPr>
            <w:tcW w:w="2759" w:type="dxa"/>
            <w:shd w:val="clear" w:color="auto" w:fill="FFFFFF" w:themeFill="background1"/>
            <w:noWrap/>
            <w:tcMar>
              <w:top w:w="0" w:type="dxa"/>
              <w:left w:w="108" w:type="dxa"/>
              <w:bottom w:w="0" w:type="dxa"/>
              <w:right w:w="108" w:type="dxa"/>
            </w:tcMar>
            <w:vAlign w:val="bottom"/>
            <w:hideMark/>
          </w:tcPr>
          <w:p w:rsidR="00553476" w:rsidRPr="00944B86" w:rsidRDefault="00553476" w:rsidP="00E002E7">
            <w:pPr>
              <w:keepNext/>
              <w:rPr>
                <w:rFonts w:asciiTheme="minorHAnsi" w:eastAsiaTheme="minorHAnsi" w:hAnsiTheme="minorHAnsi"/>
                <w:b/>
                <w:bCs/>
                <w:color w:val="000000"/>
                <w:sz w:val="20"/>
                <w:szCs w:val="20"/>
              </w:rPr>
            </w:pPr>
          </w:p>
        </w:tc>
        <w:tc>
          <w:tcPr>
            <w:tcW w:w="1790" w:type="dxa"/>
            <w:shd w:val="clear" w:color="auto" w:fill="FFFFFF" w:themeFill="background1"/>
            <w:noWrap/>
            <w:tcMar>
              <w:top w:w="0" w:type="dxa"/>
              <w:left w:w="108" w:type="dxa"/>
              <w:bottom w:w="0" w:type="dxa"/>
              <w:right w:w="108" w:type="dxa"/>
            </w:tcMar>
            <w:vAlign w:val="bottom"/>
            <w:hideMark/>
          </w:tcPr>
          <w:p w:rsidR="00553476" w:rsidRPr="00456737" w:rsidRDefault="00553476" w:rsidP="00E002E7">
            <w:pPr>
              <w:keepNext/>
              <w:jc w:val="right"/>
              <w:rPr>
                <w:rFonts w:asciiTheme="minorHAnsi" w:eastAsiaTheme="minorHAnsi" w:hAnsiTheme="minorHAnsi"/>
                <w:b/>
                <w:bCs/>
                <w:color w:val="000000"/>
                <w:sz w:val="20"/>
                <w:szCs w:val="20"/>
              </w:rPr>
            </w:pPr>
            <w:r w:rsidRPr="00456737">
              <w:rPr>
                <w:rFonts w:asciiTheme="minorHAnsi" w:hAnsiTheme="minorHAnsi"/>
                <w:b/>
                <w:bCs/>
                <w:color w:val="000000"/>
                <w:sz w:val="20"/>
                <w:szCs w:val="20"/>
              </w:rPr>
              <w:t>2014</w:t>
            </w:r>
          </w:p>
        </w:tc>
        <w:tc>
          <w:tcPr>
            <w:tcW w:w="1426" w:type="dxa"/>
            <w:shd w:val="clear" w:color="auto" w:fill="FFFFFF" w:themeFill="background1"/>
            <w:noWrap/>
            <w:tcMar>
              <w:top w:w="0" w:type="dxa"/>
              <w:left w:w="108" w:type="dxa"/>
              <w:bottom w:w="0" w:type="dxa"/>
              <w:right w:w="108" w:type="dxa"/>
            </w:tcMar>
            <w:vAlign w:val="bottom"/>
            <w:hideMark/>
          </w:tcPr>
          <w:p w:rsidR="00553476" w:rsidRPr="00456737" w:rsidRDefault="00553476" w:rsidP="00E002E7">
            <w:pPr>
              <w:keepNext/>
              <w:jc w:val="right"/>
              <w:rPr>
                <w:rFonts w:asciiTheme="minorHAnsi" w:eastAsiaTheme="minorHAnsi" w:hAnsiTheme="minorHAnsi"/>
                <w:b/>
                <w:bCs/>
                <w:color w:val="000000"/>
                <w:sz w:val="20"/>
                <w:szCs w:val="20"/>
              </w:rPr>
            </w:pPr>
            <w:r w:rsidRPr="00456737">
              <w:rPr>
                <w:rFonts w:asciiTheme="minorHAnsi" w:hAnsiTheme="minorHAnsi"/>
                <w:b/>
                <w:bCs/>
                <w:color w:val="000000"/>
                <w:sz w:val="20"/>
                <w:szCs w:val="20"/>
              </w:rPr>
              <w:t>2015</w:t>
            </w:r>
          </w:p>
        </w:tc>
        <w:tc>
          <w:tcPr>
            <w:tcW w:w="1426" w:type="dxa"/>
            <w:shd w:val="clear" w:color="auto" w:fill="FFFFFF" w:themeFill="background1"/>
            <w:noWrap/>
            <w:tcMar>
              <w:top w:w="0" w:type="dxa"/>
              <w:left w:w="108" w:type="dxa"/>
              <w:bottom w:w="0" w:type="dxa"/>
              <w:right w:w="108" w:type="dxa"/>
            </w:tcMar>
            <w:vAlign w:val="bottom"/>
            <w:hideMark/>
          </w:tcPr>
          <w:p w:rsidR="00553476" w:rsidRPr="00456737" w:rsidRDefault="00553476" w:rsidP="00E002E7">
            <w:pPr>
              <w:keepNext/>
              <w:jc w:val="right"/>
              <w:rPr>
                <w:rFonts w:asciiTheme="minorHAnsi" w:eastAsiaTheme="minorHAnsi" w:hAnsiTheme="minorHAnsi"/>
                <w:b/>
                <w:bCs/>
                <w:color w:val="000000"/>
                <w:sz w:val="20"/>
                <w:szCs w:val="20"/>
              </w:rPr>
            </w:pPr>
            <w:r w:rsidRPr="00456737">
              <w:rPr>
                <w:rFonts w:asciiTheme="minorHAnsi" w:hAnsiTheme="minorHAnsi"/>
                <w:b/>
                <w:bCs/>
                <w:color w:val="000000"/>
                <w:sz w:val="20"/>
                <w:szCs w:val="20"/>
              </w:rPr>
              <w:t>2016</w:t>
            </w:r>
          </w:p>
        </w:tc>
        <w:tc>
          <w:tcPr>
            <w:tcW w:w="1426" w:type="dxa"/>
            <w:shd w:val="clear" w:color="auto" w:fill="FFFFFF" w:themeFill="background1"/>
            <w:noWrap/>
            <w:tcMar>
              <w:top w:w="0" w:type="dxa"/>
              <w:left w:w="108" w:type="dxa"/>
              <w:bottom w:w="0" w:type="dxa"/>
              <w:right w:w="108" w:type="dxa"/>
            </w:tcMar>
            <w:vAlign w:val="bottom"/>
            <w:hideMark/>
          </w:tcPr>
          <w:p w:rsidR="00553476" w:rsidRPr="00456737" w:rsidRDefault="00553476" w:rsidP="00E002E7">
            <w:pPr>
              <w:keepNext/>
              <w:jc w:val="right"/>
              <w:rPr>
                <w:rFonts w:asciiTheme="minorHAnsi" w:eastAsiaTheme="minorHAnsi" w:hAnsiTheme="minorHAnsi"/>
                <w:b/>
                <w:bCs/>
                <w:color w:val="000000"/>
                <w:sz w:val="20"/>
                <w:szCs w:val="20"/>
              </w:rPr>
            </w:pPr>
            <w:r w:rsidRPr="00456737">
              <w:rPr>
                <w:rFonts w:asciiTheme="minorHAnsi" w:hAnsiTheme="minorHAnsi"/>
                <w:b/>
                <w:bCs/>
                <w:color w:val="000000"/>
                <w:sz w:val="20"/>
                <w:szCs w:val="20"/>
              </w:rPr>
              <w:t>2017</w:t>
            </w:r>
          </w:p>
        </w:tc>
      </w:tr>
      <w:tr w:rsidR="00553476" w:rsidRPr="00456737" w:rsidTr="005E1885">
        <w:trPr>
          <w:trHeight w:val="21"/>
        </w:trPr>
        <w:tc>
          <w:tcPr>
            <w:tcW w:w="2759" w:type="dxa"/>
            <w:noWrap/>
            <w:tcMar>
              <w:top w:w="0" w:type="dxa"/>
              <w:left w:w="108" w:type="dxa"/>
              <w:bottom w:w="0" w:type="dxa"/>
              <w:right w:w="108" w:type="dxa"/>
            </w:tcMar>
            <w:vAlign w:val="center"/>
            <w:hideMark/>
          </w:tcPr>
          <w:p w:rsidR="00553476" w:rsidRPr="00456737" w:rsidRDefault="00553476" w:rsidP="00E002E7">
            <w:pPr>
              <w:keepNext/>
              <w:spacing w:line="20" w:lineRule="atLeast"/>
              <w:rPr>
                <w:rFonts w:asciiTheme="minorHAnsi" w:eastAsiaTheme="minorHAnsi" w:hAnsiTheme="minorHAnsi"/>
                <w:sz w:val="20"/>
                <w:szCs w:val="20"/>
              </w:rPr>
            </w:pPr>
            <w:r w:rsidRPr="00456737">
              <w:rPr>
                <w:rFonts w:asciiTheme="minorHAnsi" w:hAnsiTheme="minorHAnsi"/>
                <w:sz w:val="20"/>
                <w:szCs w:val="20"/>
              </w:rPr>
              <w:t>Prescriptions</w:t>
            </w:r>
          </w:p>
        </w:tc>
        <w:tc>
          <w:tcPr>
            <w:tcW w:w="1790"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2,180</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2,034</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1,853</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1,776</w:t>
            </w:r>
          </w:p>
        </w:tc>
      </w:tr>
      <w:tr w:rsidR="00553476" w:rsidRPr="00456737" w:rsidTr="005E1885">
        <w:trPr>
          <w:trHeight w:val="21"/>
        </w:trPr>
        <w:tc>
          <w:tcPr>
            <w:tcW w:w="2759" w:type="dxa"/>
            <w:noWrap/>
            <w:tcMar>
              <w:top w:w="0" w:type="dxa"/>
              <w:left w:w="108" w:type="dxa"/>
              <w:bottom w:w="0" w:type="dxa"/>
              <w:right w:w="108" w:type="dxa"/>
            </w:tcMar>
            <w:vAlign w:val="center"/>
            <w:hideMark/>
          </w:tcPr>
          <w:p w:rsidR="00553476" w:rsidRPr="00456737" w:rsidRDefault="00553476" w:rsidP="00E002E7">
            <w:pPr>
              <w:keepNext/>
              <w:spacing w:line="20" w:lineRule="atLeast"/>
              <w:rPr>
                <w:rFonts w:asciiTheme="minorHAnsi" w:eastAsiaTheme="minorHAnsi" w:hAnsiTheme="minorHAnsi"/>
                <w:sz w:val="20"/>
                <w:szCs w:val="20"/>
              </w:rPr>
            </w:pPr>
            <w:r w:rsidRPr="00456737">
              <w:rPr>
                <w:rFonts w:asciiTheme="minorHAnsi" w:hAnsiTheme="minorHAnsi"/>
                <w:sz w:val="20"/>
                <w:szCs w:val="20"/>
              </w:rPr>
              <w:t>Govt Expenditure</w:t>
            </w:r>
          </w:p>
        </w:tc>
        <w:tc>
          <w:tcPr>
            <w:tcW w:w="1790"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$7,321,184</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$7,787,513</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$6,348,543</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$6,965,389</w:t>
            </w:r>
          </w:p>
        </w:tc>
      </w:tr>
      <w:tr w:rsidR="00553476" w:rsidRPr="00456737" w:rsidTr="005E1885">
        <w:trPr>
          <w:trHeight w:val="21"/>
        </w:trPr>
        <w:tc>
          <w:tcPr>
            <w:tcW w:w="2759" w:type="dxa"/>
            <w:noWrap/>
            <w:tcMar>
              <w:top w:w="0" w:type="dxa"/>
              <w:left w:w="108" w:type="dxa"/>
              <w:bottom w:w="0" w:type="dxa"/>
              <w:right w:w="108" w:type="dxa"/>
            </w:tcMar>
            <w:vAlign w:val="bottom"/>
            <w:hideMark/>
          </w:tcPr>
          <w:p w:rsidR="00553476" w:rsidRPr="00456737" w:rsidRDefault="00553476" w:rsidP="00E002E7">
            <w:pPr>
              <w:keepNext/>
              <w:spacing w:line="20" w:lineRule="atLeast"/>
              <w:rPr>
                <w:rFonts w:asciiTheme="minorHAnsi" w:eastAsiaTheme="minorHAnsi" w:hAnsiTheme="minorHAnsi"/>
                <w:sz w:val="20"/>
                <w:szCs w:val="20"/>
              </w:rPr>
            </w:pPr>
            <w:r w:rsidRPr="00456737">
              <w:rPr>
                <w:rFonts w:asciiTheme="minorHAnsi" w:hAnsiTheme="minorHAnsi"/>
                <w:sz w:val="20"/>
                <w:szCs w:val="20"/>
              </w:rPr>
              <w:t xml:space="preserve">Govt Exp per Script </w:t>
            </w:r>
          </w:p>
        </w:tc>
        <w:tc>
          <w:tcPr>
            <w:tcW w:w="1790"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$3,358</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$3,829</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$3,426</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$3,922</w:t>
            </w:r>
          </w:p>
        </w:tc>
      </w:tr>
      <w:tr w:rsidR="00553476" w:rsidRPr="00456737" w:rsidTr="005E1885">
        <w:trPr>
          <w:trHeight w:val="21"/>
        </w:trPr>
        <w:tc>
          <w:tcPr>
            <w:tcW w:w="2759" w:type="dxa"/>
            <w:noWrap/>
            <w:tcMar>
              <w:top w:w="0" w:type="dxa"/>
              <w:left w:w="108" w:type="dxa"/>
              <w:bottom w:w="0" w:type="dxa"/>
              <w:right w:w="108" w:type="dxa"/>
            </w:tcMar>
            <w:vAlign w:val="bottom"/>
            <w:hideMark/>
          </w:tcPr>
          <w:p w:rsidR="00553476" w:rsidRPr="00456737" w:rsidRDefault="00553476" w:rsidP="00E002E7">
            <w:pPr>
              <w:keepNext/>
              <w:rPr>
                <w:rFonts w:asciiTheme="minorHAnsi" w:hAnsiTheme="minorHAnsi"/>
                <w:sz w:val="20"/>
                <w:szCs w:val="20"/>
              </w:rPr>
            </w:pPr>
          </w:p>
        </w:tc>
        <w:tc>
          <w:tcPr>
            <w:tcW w:w="1790" w:type="dxa"/>
            <w:noWrap/>
            <w:tcMar>
              <w:top w:w="0" w:type="dxa"/>
              <w:left w:w="108" w:type="dxa"/>
              <w:bottom w:w="0" w:type="dxa"/>
              <w:right w:w="108" w:type="dxa"/>
            </w:tcMar>
            <w:vAlign w:val="center"/>
            <w:hideMark/>
          </w:tcPr>
          <w:p w:rsidR="00553476" w:rsidRPr="00456737" w:rsidRDefault="00553476" w:rsidP="00E002E7">
            <w:pPr>
              <w:keepNext/>
              <w:rPr>
                <w:rFonts w:asciiTheme="minorHAnsi" w:hAnsiTheme="minorHAnsi"/>
                <w:sz w:val="20"/>
                <w:szCs w:val="20"/>
              </w:rPr>
            </w:pPr>
          </w:p>
        </w:tc>
        <w:tc>
          <w:tcPr>
            <w:tcW w:w="1426" w:type="dxa"/>
            <w:noWrap/>
            <w:tcMar>
              <w:top w:w="0" w:type="dxa"/>
              <w:left w:w="108" w:type="dxa"/>
              <w:bottom w:w="0" w:type="dxa"/>
              <w:right w:w="108" w:type="dxa"/>
            </w:tcMar>
            <w:vAlign w:val="center"/>
            <w:hideMark/>
          </w:tcPr>
          <w:p w:rsidR="00553476" w:rsidRPr="00456737" w:rsidRDefault="00553476" w:rsidP="00E002E7">
            <w:pPr>
              <w:keepNext/>
              <w:rPr>
                <w:rFonts w:asciiTheme="minorHAnsi" w:hAnsiTheme="minorHAnsi"/>
                <w:sz w:val="20"/>
                <w:szCs w:val="20"/>
              </w:rPr>
            </w:pPr>
          </w:p>
        </w:tc>
        <w:tc>
          <w:tcPr>
            <w:tcW w:w="1426" w:type="dxa"/>
            <w:noWrap/>
            <w:tcMar>
              <w:top w:w="0" w:type="dxa"/>
              <w:left w:w="108" w:type="dxa"/>
              <w:bottom w:w="0" w:type="dxa"/>
              <w:right w:w="108" w:type="dxa"/>
            </w:tcMar>
            <w:vAlign w:val="center"/>
            <w:hideMark/>
          </w:tcPr>
          <w:p w:rsidR="00553476" w:rsidRPr="00456737" w:rsidRDefault="00553476" w:rsidP="00E002E7">
            <w:pPr>
              <w:keepNext/>
              <w:rPr>
                <w:rFonts w:asciiTheme="minorHAnsi" w:hAnsiTheme="minorHAnsi"/>
                <w:sz w:val="20"/>
                <w:szCs w:val="20"/>
              </w:rPr>
            </w:pPr>
          </w:p>
        </w:tc>
        <w:tc>
          <w:tcPr>
            <w:tcW w:w="1426" w:type="dxa"/>
            <w:noWrap/>
            <w:tcMar>
              <w:top w:w="0" w:type="dxa"/>
              <w:left w:w="108" w:type="dxa"/>
              <w:bottom w:w="0" w:type="dxa"/>
              <w:right w:w="108" w:type="dxa"/>
            </w:tcMar>
            <w:vAlign w:val="center"/>
            <w:hideMark/>
          </w:tcPr>
          <w:p w:rsidR="00553476" w:rsidRPr="00456737" w:rsidRDefault="00553476" w:rsidP="00E002E7">
            <w:pPr>
              <w:keepNext/>
              <w:rPr>
                <w:rFonts w:asciiTheme="minorHAnsi" w:hAnsiTheme="minorHAnsi"/>
                <w:sz w:val="20"/>
                <w:szCs w:val="20"/>
              </w:rPr>
            </w:pPr>
          </w:p>
        </w:tc>
      </w:tr>
      <w:tr w:rsidR="00553476" w:rsidRPr="00456737" w:rsidTr="005E1885">
        <w:trPr>
          <w:trHeight w:val="21"/>
        </w:trPr>
        <w:tc>
          <w:tcPr>
            <w:tcW w:w="2759" w:type="dxa"/>
            <w:noWrap/>
            <w:tcMar>
              <w:top w:w="0" w:type="dxa"/>
              <w:left w:w="108" w:type="dxa"/>
              <w:bottom w:w="0" w:type="dxa"/>
              <w:right w:w="108" w:type="dxa"/>
            </w:tcMar>
            <w:vAlign w:val="bottom"/>
            <w:hideMark/>
          </w:tcPr>
          <w:p w:rsidR="00553476" w:rsidRPr="00456737" w:rsidRDefault="00553476" w:rsidP="00E002E7">
            <w:pPr>
              <w:keepNext/>
              <w:spacing w:line="20" w:lineRule="atLeast"/>
              <w:rPr>
                <w:rFonts w:asciiTheme="minorHAnsi" w:eastAsiaTheme="minorHAnsi" w:hAnsiTheme="minorHAnsi"/>
                <w:sz w:val="20"/>
                <w:szCs w:val="20"/>
              </w:rPr>
            </w:pPr>
            <w:r w:rsidRPr="00456737">
              <w:rPr>
                <w:rFonts w:asciiTheme="minorHAnsi" w:hAnsiTheme="minorHAnsi"/>
                <w:sz w:val="20"/>
                <w:szCs w:val="20"/>
              </w:rPr>
              <w:t>Patients</w:t>
            </w:r>
          </w:p>
        </w:tc>
        <w:tc>
          <w:tcPr>
            <w:tcW w:w="1790"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411</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407</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381</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388</w:t>
            </w:r>
          </w:p>
        </w:tc>
      </w:tr>
      <w:tr w:rsidR="00553476" w:rsidRPr="00456737" w:rsidTr="005E1885">
        <w:trPr>
          <w:trHeight w:val="21"/>
        </w:trPr>
        <w:tc>
          <w:tcPr>
            <w:tcW w:w="2759" w:type="dxa"/>
            <w:noWrap/>
            <w:tcMar>
              <w:top w:w="0" w:type="dxa"/>
              <w:left w:w="108" w:type="dxa"/>
              <w:bottom w:w="0" w:type="dxa"/>
              <w:right w:w="108" w:type="dxa"/>
            </w:tcMar>
            <w:vAlign w:val="bottom"/>
            <w:hideMark/>
          </w:tcPr>
          <w:p w:rsidR="00553476" w:rsidRPr="00456737" w:rsidRDefault="00553476" w:rsidP="00E002E7">
            <w:pPr>
              <w:keepNext/>
              <w:spacing w:line="20" w:lineRule="atLeast"/>
              <w:rPr>
                <w:rFonts w:asciiTheme="minorHAnsi" w:eastAsiaTheme="minorHAnsi" w:hAnsiTheme="minorHAnsi"/>
                <w:sz w:val="20"/>
                <w:szCs w:val="20"/>
              </w:rPr>
            </w:pPr>
            <w:r w:rsidRPr="00456737">
              <w:rPr>
                <w:rFonts w:asciiTheme="minorHAnsi" w:hAnsiTheme="minorHAnsi"/>
                <w:sz w:val="20"/>
                <w:szCs w:val="20"/>
              </w:rPr>
              <w:t>Prescriptions per patient</w:t>
            </w:r>
          </w:p>
        </w:tc>
        <w:tc>
          <w:tcPr>
            <w:tcW w:w="1790"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5.30</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5.00</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4.86</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4.58</w:t>
            </w:r>
          </w:p>
        </w:tc>
      </w:tr>
      <w:tr w:rsidR="00553476" w:rsidRPr="00944B86" w:rsidTr="005E1885">
        <w:trPr>
          <w:trHeight w:val="21"/>
        </w:trPr>
        <w:tc>
          <w:tcPr>
            <w:tcW w:w="2759" w:type="dxa"/>
            <w:noWrap/>
            <w:tcMar>
              <w:top w:w="0" w:type="dxa"/>
              <w:left w:w="108" w:type="dxa"/>
              <w:bottom w:w="0" w:type="dxa"/>
              <w:right w:w="108" w:type="dxa"/>
            </w:tcMar>
            <w:vAlign w:val="bottom"/>
            <w:hideMark/>
          </w:tcPr>
          <w:p w:rsidR="00553476" w:rsidRPr="00456737" w:rsidRDefault="00553476" w:rsidP="00E002E7">
            <w:pPr>
              <w:keepNext/>
              <w:spacing w:line="20" w:lineRule="atLeast"/>
              <w:rPr>
                <w:rFonts w:asciiTheme="minorHAnsi" w:eastAsiaTheme="minorHAnsi" w:hAnsiTheme="minorHAnsi"/>
                <w:sz w:val="20"/>
                <w:szCs w:val="20"/>
              </w:rPr>
            </w:pPr>
            <w:r w:rsidRPr="00456737">
              <w:rPr>
                <w:rFonts w:asciiTheme="minorHAnsi" w:hAnsiTheme="minorHAnsi"/>
                <w:sz w:val="20"/>
                <w:szCs w:val="20"/>
              </w:rPr>
              <w:t>Govt Exp per patient</w:t>
            </w:r>
          </w:p>
        </w:tc>
        <w:tc>
          <w:tcPr>
            <w:tcW w:w="1790"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$17,813</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$19,134</w:t>
            </w:r>
          </w:p>
        </w:tc>
        <w:tc>
          <w:tcPr>
            <w:tcW w:w="1426" w:type="dxa"/>
            <w:noWrap/>
            <w:tcMar>
              <w:top w:w="0" w:type="dxa"/>
              <w:left w:w="108" w:type="dxa"/>
              <w:bottom w:w="0" w:type="dxa"/>
              <w:right w:w="108" w:type="dxa"/>
            </w:tcMar>
            <w:vAlign w:val="center"/>
            <w:hideMark/>
          </w:tcPr>
          <w:p w:rsidR="00553476" w:rsidRPr="00456737"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$16,663</w:t>
            </w:r>
          </w:p>
        </w:tc>
        <w:tc>
          <w:tcPr>
            <w:tcW w:w="1426" w:type="dxa"/>
            <w:noWrap/>
            <w:tcMar>
              <w:top w:w="0" w:type="dxa"/>
              <w:left w:w="108" w:type="dxa"/>
              <w:bottom w:w="0" w:type="dxa"/>
              <w:right w:w="108" w:type="dxa"/>
            </w:tcMar>
            <w:vAlign w:val="center"/>
            <w:hideMark/>
          </w:tcPr>
          <w:p w:rsidR="00553476" w:rsidRPr="00944B86" w:rsidRDefault="00553476" w:rsidP="00E002E7">
            <w:pPr>
              <w:keepNext/>
              <w:spacing w:line="20" w:lineRule="atLeast"/>
              <w:jc w:val="right"/>
              <w:rPr>
                <w:rFonts w:asciiTheme="minorHAnsi" w:eastAsiaTheme="minorHAnsi" w:hAnsiTheme="minorHAnsi"/>
                <w:sz w:val="20"/>
                <w:szCs w:val="20"/>
              </w:rPr>
            </w:pPr>
            <w:r w:rsidRPr="00456737">
              <w:rPr>
                <w:rFonts w:asciiTheme="minorHAnsi" w:hAnsiTheme="minorHAnsi"/>
                <w:sz w:val="20"/>
                <w:szCs w:val="20"/>
              </w:rPr>
              <w:t>$17,952</w:t>
            </w:r>
          </w:p>
        </w:tc>
      </w:tr>
    </w:tbl>
    <w:p w:rsidR="00944B86" w:rsidRPr="000F76FF" w:rsidRDefault="0046203E" w:rsidP="00944B86">
      <w:pPr>
        <w:rPr>
          <w:rFonts w:asciiTheme="minorHAnsi" w:eastAsiaTheme="minorHAnsi" w:hAnsiTheme="minorHAnsi" w:cs="Arial"/>
          <w:sz w:val="16"/>
          <w:szCs w:val="18"/>
          <w:lang w:eastAsia="en-US"/>
        </w:rPr>
      </w:pPr>
      <w:r w:rsidRPr="000F76FF">
        <w:rPr>
          <w:rFonts w:asciiTheme="minorHAnsi" w:eastAsiaTheme="minorHAnsi" w:hAnsiTheme="minorHAnsi" w:cs="Arial"/>
          <w:sz w:val="16"/>
          <w:szCs w:val="18"/>
          <w:lang w:eastAsia="en-US"/>
        </w:rPr>
        <w:t xml:space="preserve">Source: </w:t>
      </w:r>
      <w:r w:rsidR="00C441E4" w:rsidRPr="00C441E4">
        <w:rPr>
          <w:rFonts w:asciiTheme="minorHAnsi" w:eastAsiaTheme="minorHAnsi" w:hAnsiTheme="minorHAnsi" w:cs="Arial"/>
          <w:sz w:val="16"/>
          <w:szCs w:val="18"/>
          <w:lang w:eastAsia="en-US"/>
        </w:rPr>
        <w:t>DHS Prescription database (2014 to 2017 based on date of supply)”</w:t>
      </w:r>
    </w:p>
    <w:p w:rsidR="005A3173" w:rsidRPr="008306F3" w:rsidRDefault="005A3173" w:rsidP="00ED34FE">
      <w:pPr>
        <w:pStyle w:val="Heading2"/>
      </w:pPr>
      <w:r w:rsidRPr="003C2FB5">
        <w:t>Estimated PBS usage &amp; financial implications</w:t>
      </w:r>
    </w:p>
    <w:p w:rsidR="00186BFF" w:rsidRPr="004C6767" w:rsidRDefault="00140509" w:rsidP="00186BFF">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4C6767">
        <w:rPr>
          <w:rFonts w:asciiTheme="minorHAnsi" w:eastAsiaTheme="minorHAnsi" w:hAnsiTheme="minorHAnsi" w:cstheme="minorBidi"/>
          <w:snapToGrid/>
          <w:color w:val="000000" w:themeColor="text1"/>
          <w:sz w:val="24"/>
          <w:szCs w:val="22"/>
        </w:rPr>
        <w:t>The minor submission used a market share approach</w:t>
      </w:r>
      <w:r w:rsidR="003F6614" w:rsidRPr="004C6767">
        <w:rPr>
          <w:rFonts w:asciiTheme="minorHAnsi" w:eastAsiaTheme="minorHAnsi" w:hAnsiTheme="minorHAnsi" w:cstheme="minorBidi"/>
          <w:snapToGrid/>
          <w:color w:val="000000" w:themeColor="text1"/>
          <w:sz w:val="24"/>
          <w:szCs w:val="22"/>
        </w:rPr>
        <w:t>, and estimated</w:t>
      </w:r>
      <w:r w:rsidR="00186BFF" w:rsidRPr="004C6767">
        <w:rPr>
          <w:rFonts w:asciiTheme="minorHAnsi" w:eastAsiaTheme="minorHAnsi" w:hAnsiTheme="minorHAnsi" w:cstheme="minorBidi"/>
          <w:snapToGrid/>
          <w:color w:val="000000" w:themeColor="text1"/>
          <w:sz w:val="24"/>
          <w:szCs w:val="22"/>
        </w:rPr>
        <w:t xml:space="preserve"> </w:t>
      </w:r>
      <w:r w:rsidR="003F6614" w:rsidRPr="004C6767">
        <w:rPr>
          <w:rFonts w:asciiTheme="minorHAnsi" w:eastAsiaTheme="minorHAnsi" w:hAnsiTheme="minorHAnsi" w:cstheme="minorBidi"/>
          <w:snapToGrid/>
          <w:color w:val="000000" w:themeColor="text1"/>
          <w:sz w:val="24"/>
          <w:szCs w:val="22"/>
        </w:rPr>
        <w:t xml:space="preserve">that there would be </w:t>
      </w:r>
      <w:r w:rsidR="00186BFF" w:rsidRPr="004C6767">
        <w:rPr>
          <w:rFonts w:asciiTheme="minorHAnsi" w:eastAsiaTheme="minorHAnsi" w:hAnsiTheme="minorHAnsi" w:cstheme="minorBidi"/>
          <w:snapToGrid/>
          <w:color w:val="000000" w:themeColor="text1"/>
          <w:sz w:val="24"/>
          <w:szCs w:val="22"/>
        </w:rPr>
        <w:t xml:space="preserve">no financial implications to the PBS as the </w:t>
      </w:r>
      <w:r w:rsidR="003F6614" w:rsidRPr="004C6767">
        <w:rPr>
          <w:rFonts w:asciiTheme="minorHAnsi" w:eastAsiaTheme="minorHAnsi" w:hAnsiTheme="minorHAnsi" w:cstheme="minorBidi"/>
          <w:snapToGrid/>
          <w:color w:val="000000" w:themeColor="text1"/>
          <w:sz w:val="24"/>
          <w:szCs w:val="22"/>
        </w:rPr>
        <w:t>requested listing would</w:t>
      </w:r>
      <w:r w:rsidR="00186BFF" w:rsidRPr="004C6767">
        <w:rPr>
          <w:rFonts w:asciiTheme="minorHAnsi" w:eastAsiaTheme="minorHAnsi" w:hAnsiTheme="minorHAnsi" w:cstheme="minorBidi"/>
          <w:snapToGrid/>
          <w:color w:val="000000" w:themeColor="text1"/>
          <w:sz w:val="24"/>
          <w:szCs w:val="22"/>
        </w:rPr>
        <w:t xml:space="preserve"> partially replace exiti</w:t>
      </w:r>
      <w:r w:rsidR="003F6614" w:rsidRPr="004C6767">
        <w:rPr>
          <w:rFonts w:asciiTheme="minorHAnsi" w:eastAsiaTheme="minorHAnsi" w:hAnsiTheme="minorHAnsi" w:cstheme="minorBidi"/>
          <w:snapToGrid/>
          <w:color w:val="000000" w:themeColor="text1"/>
          <w:sz w:val="24"/>
          <w:szCs w:val="22"/>
        </w:rPr>
        <w:t>ng PBS-listed formulations, but</w:t>
      </w:r>
      <w:r w:rsidR="00186BFF" w:rsidRPr="004C6767">
        <w:rPr>
          <w:rFonts w:asciiTheme="minorHAnsi" w:eastAsiaTheme="minorHAnsi" w:hAnsiTheme="minorHAnsi" w:cstheme="minorBidi"/>
          <w:snapToGrid/>
          <w:color w:val="000000" w:themeColor="text1"/>
          <w:sz w:val="24"/>
          <w:szCs w:val="22"/>
        </w:rPr>
        <w:t xml:space="preserve"> </w:t>
      </w:r>
      <w:r w:rsidR="003F6614" w:rsidRPr="004C6767">
        <w:rPr>
          <w:rFonts w:asciiTheme="minorHAnsi" w:eastAsiaTheme="minorHAnsi" w:hAnsiTheme="minorHAnsi" w:cstheme="minorBidi"/>
          <w:snapToGrid/>
          <w:color w:val="000000" w:themeColor="text1"/>
          <w:sz w:val="24"/>
          <w:szCs w:val="22"/>
        </w:rPr>
        <w:t xml:space="preserve">would </w:t>
      </w:r>
      <w:r w:rsidR="00186BFF" w:rsidRPr="004C6767">
        <w:rPr>
          <w:rFonts w:asciiTheme="minorHAnsi" w:eastAsiaTheme="minorHAnsi" w:hAnsiTheme="minorHAnsi" w:cstheme="minorBidi"/>
          <w:snapToGrid/>
          <w:color w:val="000000" w:themeColor="text1"/>
          <w:sz w:val="24"/>
          <w:szCs w:val="22"/>
        </w:rPr>
        <w:t xml:space="preserve">not expected to increase the PD market beyond the current growth rate. </w:t>
      </w:r>
      <w:r w:rsidR="00C307A5" w:rsidRPr="004C6767">
        <w:rPr>
          <w:rFonts w:asciiTheme="minorHAnsi" w:eastAsiaTheme="minorHAnsi" w:hAnsiTheme="minorHAnsi" w:cstheme="minorBidi"/>
          <w:snapToGrid/>
          <w:color w:val="000000" w:themeColor="text1"/>
          <w:sz w:val="24"/>
          <w:szCs w:val="22"/>
        </w:rPr>
        <w:t xml:space="preserve">The </w:t>
      </w:r>
      <w:r w:rsidR="00DC1B7E" w:rsidRPr="004C6767">
        <w:rPr>
          <w:rFonts w:asciiTheme="minorHAnsi" w:eastAsiaTheme="minorHAnsi" w:hAnsiTheme="minorHAnsi" w:cstheme="minorBidi"/>
          <w:snapToGrid/>
          <w:color w:val="000000" w:themeColor="text1"/>
          <w:sz w:val="24"/>
          <w:szCs w:val="22"/>
        </w:rPr>
        <w:t>S</w:t>
      </w:r>
      <w:r w:rsidR="00C307A5" w:rsidRPr="004C6767">
        <w:rPr>
          <w:rFonts w:asciiTheme="minorHAnsi" w:eastAsiaTheme="minorHAnsi" w:hAnsiTheme="minorHAnsi" w:cstheme="minorBidi"/>
          <w:snapToGrid/>
          <w:color w:val="000000" w:themeColor="text1"/>
          <w:sz w:val="24"/>
          <w:szCs w:val="22"/>
        </w:rPr>
        <w:t>ecretariat note</w:t>
      </w:r>
      <w:r w:rsidR="004C1338" w:rsidRPr="004C6767">
        <w:rPr>
          <w:rFonts w:asciiTheme="minorHAnsi" w:eastAsiaTheme="minorHAnsi" w:hAnsiTheme="minorHAnsi" w:cstheme="minorBidi"/>
          <w:snapToGrid/>
          <w:color w:val="000000" w:themeColor="text1"/>
          <w:sz w:val="24"/>
          <w:szCs w:val="22"/>
        </w:rPr>
        <w:t>d</w:t>
      </w:r>
      <w:r w:rsidR="00C307A5" w:rsidRPr="004C6767">
        <w:rPr>
          <w:rFonts w:asciiTheme="minorHAnsi" w:eastAsiaTheme="minorHAnsi" w:hAnsiTheme="minorHAnsi" w:cstheme="minorBidi"/>
          <w:snapToGrid/>
          <w:color w:val="000000" w:themeColor="text1"/>
          <w:sz w:val="24"/>
          <w:szCs w:val="22"/>
        </w:rPr>
        <w:t xml:space="preserve"> that this would be the first</w:t>
      </w:r>
      <w:r w:rsidR="00071936" w:rsidRPr="004C6767">
        <w:rPr>
          <w:rFonts w:asciiTheme="minorHAnsi" w:eastAsiaTheme="minorHAnsi" w:hAnsiTheme="minorHAnsi" w:cstheme="minorBidi"/>
          <w:snapToGrid/>
          <w:color w:val="000000" w:themeColor="text1"/>
          <w:sz w:val="24"/>
          <w:szCs w:val="22"/>
        </w:rPr>
        <w:t xml:space="preserve"> non-extractable</w:t>
      </w:r>
      <w:r w:rsidR="00C307A5" w:rsidRPr="004C6767">
        <w:rPr>
          <w:rFonts w:asciiTheme="minorHAnsi" w:eastAsiaTheme="minorHAnsi" w:hAnsiTheme="minorHAnsi" w:cstheme="minorBidi"/>
          <w:snapToGrid/>
          <w:color w:val="000000" w:themeColor="text1"/>
          <w:sz w:val="24"/>
          <w:szCs w:val="22"/>
        </w:rPr>
        <w:t xml:space="preserve"> self-administered form of apomorphine available on the PBS and therefore the assumption of no growth in the PD market may not be reasonable due to the ease of use in this setting and the possibility of use in patients with less severe disease.</w:t>
      </w:r>
    </w:p>
    <w:p w:rsidR="00BB7EC3" w:rsidRPr="00F07436" w:rsidRDefault="003714CD" w:rsidP="00C00DA7">
      <w:pPr>
        <w:pStyle w:val="ListParagraph"/>
        <w:widowControl/>
        <w:numPr>
          <w:ilvl w:val="1"/>
          <w:numId w:val="14"/>
        </w:numPr>
        <w:spacing w:after="120"/>
        <w:contextualSpacing w:val="0"/>
        <w:rPr>
          <w:rFonts w:asciiTheme="minorHAnsi" w:eastAsiaTheme="minorHAnsi" w:hAnsiTheme="minorHAnsi" w:cstheme="minorBidi"/>
          <w:snapToGrid/>
          <w:color w:val="000000" w:themeColor="text1"/>
          <w:sz w:val="24"/>
          <w:szCs w:val="22"/>
        </w:rPr>
      </w:pPr>
      <w:r w:rsidRPr="004C6767">
        <w:rPr>
          <w:rFonts w:asciiTheme="minorHAnsi" w:eastAsiaTheme="minorHAnsi" w:hAnsiTheme="minorHAnsi" w:cstheme="minorBidi"/>
          <w:snapToGrid/>
          <w:color w:val="000000" w:themeColor="text1"/>
          <w:sz w:val="24"/>
          <w:szCs w:val="22"/>
        </w:rPr>
        <w:t xml:space="preserve">The submission also assumed that no net change in MBS items was estimated because all services associated with eligibility, monitoring, clinical management, administration of the medicine, and AEs were assumed to remain the same </w:t>
      </w:r>
      <w:r w:rsidR="0069448A" w:rsidRPr="004C6767">
        <w:rPr>
          <w:rFonts w:asciiTheme="minorHAnsi" w:eastAsiaTheme="minorHAnsi" w:hAnsiTheme="minorHAnsi" w:cstheme="minorBidi"/>
          <w:snapToGrid/>
          <w:color w:val="000000" w:themeColor="text1"/>
          <w:sz w:val="24"/>
          <w:szCs w:val="22"/>
        </w:rPr>
        <w:t xml:space="preserve">as those associate with </w:t>
      </w:r>
      <w:r w:rsidRPr="004C6767">
        <w:rPr>
          <w:rFonts w:asciiTheme="minorHAnsi" w:eastAsiaTheme="minorHAnsi" w:hAnsiTheme="minorHAnsi" w:cstheme="minorBidi"/>
          <w:snapToGrid/>
          <w:color w:val="000000" w:themeColor="text1"/>
          <w:sz w:val="24"/>
          <w:szCs w:val="22"/>
        </w:rPr>
        <w:t xml:space="preserve">the </w:t>
      </w:r>
      <w:r w:rsidR="0069448A" w:rsidRPr="004C6767">
        <w:rPr>
          <w:rFonts w:asciiTheme="minorHAnsi" w:eastAsiaTheme="minorHAnsi" w:hAnsiTheme="minorHAnsi" w:cstheme="minorBidi"/>
          <w:snapToGrid/>
          <w:color w:val="000000" w:themeColor="text1"/>
          <w:sz w:val="24"/>
          <w:szCs w:val="22"/>
        </w:rPr>
        <w:t xml:space="preserve">currently </w:t>
      </w:r>
      <w:r w:rsidRPr="004C6767">
        <w:rPr>
          <w:rFonts w:asciiTheme="minorHAnsi" w:eastAsiaTheme="minorHAnsi" w:hAnsiTheme="minorHAnsi" w:cstheme="minorBidi"/>
          <w:snapToGrid/>
          <w:color w:val="000000" w:themeColor="text1"/>
          <w:sz w:val="24"/>
          <w:szCs w:val="22"/>
        </w:rPr>
        <w:t>listed apomorphines.</w:t>
      </w:r>
    </w:p>
    <w:p w:rsidR="004C6767" w:rsidRDefault="004C6767" w:rsidP="00F07436">
      <w:pPr>
        <w:ind w:firstLine="720"/>
        <w:jc w:val="both"/>
        <w:rPr>
          <w:rFonts w:asciiTheme="minorHAnsi" w:hAnsiTheme="minorHAnsi"/>
          <w:i/>
        </w:rPr>
      </w:pPr>
      <w:r w:rsidRPr="004C6767">
        <w:rPr>
          <w:rFonts w:asciiTheme="minorHAnsi" w:hAnsiTheme="minorHAnsi"/>
          <w:i/>
        </w:rPr>
        <w:t xml:space="preserve">For more detail on PBAC’s view, see section </w:t>
      </w:r>
      <w:r w:rsidR="000A5669">
        <w:rPr>
          <w:rFonts w:asciiTheme="minorHAnsi" w:hAnsiTheme="minorHAnsi"/>
          <w:i/>
        </w:rPr>
        <w:t>6</w:t>
      </w:r>
      <w:r w:rsidR="000A5669" w:rsidRPr="004C6767">
        <w:rPr>
          <w:rFonts w:asciiTheme="minorHAnsi" w:hAnsiTheme="minorHAnsi"/>
          <w:i/>
        </w:rPr>
        <w:t xml:space="preserve"> </w:t>
      </w:r>
      <w:r w:rsidRPr="004C6767">
        <w:rPr>
          <w:rFonts w:asciiTheme="minorHAnsi" w:hAnsiTheme="minorHAnsi"/>
          <w:i/>
        </w:rPr>
        <w:t>PBAC outcome.</w:t>
      </w:r>
    </w:p>
    <w:p w:rsidR="004C6767" w:rsidRPr="00ED34FE" w:rsidRDefault="004C6767" w:rsidP="00ED34FE">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ED34FE">
        <w:rPr>
          <w:rFonts w:asciiTheme="minorHAnsi" w:hAnsiTheme="minorHAnsi"/>
          <w:sz w:val="32"/>
          <w:szCs w:val="32"/>
        </w:rPr>
        <w:t>PBAC Outcome</w:t>
      </w:r>
    </w:p>
    <w:p w:rsidR="00870273" w:rsidRDefault="004C6767" w:rsidP="00211850">
      <w:pPr>
        <w:widowControl w:val="0"/>
        <w:numPr>
          <w:ilvl w:val="1"/>
          <w:numId w:val="5"/>
        </w:numPr>
        <w:spacing w:after="120"/>
        <w:jc w:val="both"/>
        <w:rPr>
          <w:rFonts w:asciiTheme="minorHAnsi" w:hAnsiTheme="minorHAnsi" w:cs="Arial"/>
          <w:bCs/>
          <w:snapToGrid w:val="0"/>
          <w:lang w:val="en-GB"/>
        </w:rPr>
      </w:pPr>
      <w:r w:rsidRPr="00525B39">
        <w:rPr>
          <w:rFonts w:asciiTheme="minorHAnsi" w:hAnsiTheme="minorHAnsi" w:cs="Arial"/>
          <w:bCs/>
          <w:snapToGrid w:val="0"/>
          <w:lang w:val="en-GB"/>
        </w:rPr>
        <w:t xml:space="preserve">The PBAC recommended the </w:t>
      </w:r>
      <w:r w:rsidR="00870273">
        <w:rPr>
          <w:rFonts w:asciiTheme="minorHAnsi" w:hAnsiTheme="minorHAnsi" w:cs="Arial"/>
          <w:bCs/>
          <w:snapToGrid w:val="0"/>
          <w:lang w:val="en-GB"/>
        </w:rPr>
        <w:t xml:space="preserve">Authority Required </w:t>
      </w:r>
      <w:r w:rsidRPr="00525B39">
        <w:rPr>
          <w:rFonts w:asciiTheme="minorHAnsi" w:hAnsiTheme="minorHAnsi" w:cs="Arial"/>
          <w:bCs/>
          <w:snapToGrid w:val="0"/>
          <w:lang w:val="en-GB"/>
        </w:rPr>
        <w:t xml:space="preserve">listing of </w:t>
      </w:r>
      <w:r w:rsidR="00D40F2E">
        <w:rPr>
          <w:rFonts w:asciiTheme="minorHAnsi" w:hAnsiTheme="minorHAnsi" w:cs="Arial"/>
          <w:bCs/>
          <w:snapToGrid w:val="0"/>
          <w:lang w:val="en-GB"/>
        </w:rPr>
        <w:t>a new form of apomorphine (30</w:t>
      </w:r>
      <w:r w:rsidR="00870273">
        <w:rPr>
          <w:rFonts w:asciiTheme="minorHAnsi" w:hAnsiTheme="minorHAnsi" w:cs="Arial"/>
          <w:bCs/>
          <w:snapToGrid w:val="0"/>
          <w:lang w:val="en-GB"/>
        </w:rPr>
        <w:t> mg in 3 mL) delivered in a disposable multiple dose pen injector system for the treatment of Parkinson’s disease (PD), on the basis that it should be available under Section 100</w:t>
      </w:r>
      <w:r w:rsidR="00BE0C19">
        <w:rPr>
          <w:rFonts w:asciiTheme="minorHAnsi" w:hAnsiTheme="minorHAnsi" w:cs="Arial"/>
          <w:bCs/>
          <w:snapToGrid w:val="0"/>
          <w:lang w:val="en-GB"/>
        </w:rPr>
        <w:t>,</w:t>
      </w:r>
      <w:r w:rsidR="00870273">
        <w:rPr>
          <w:rFonts w:asciiTheme="minorHAnsi" w:hAnsiTheme="minorHAnsi" w:cs="Arial"/>
          <w:bCs/>
          <w:snapToGrid w:val="0"/>
          <w:lang w:val="en-GB"/>
        </w:rPr>
        <w:t xml:space="preserve"> Highly Specialised Drugs (HSD) Program.</w:t>
      </w:r>
    </w:p>
    <w:p w:rsidR="00870273" w:rsidRDefault="00870273" w:rsidP="00456737">
      <w:pPr>
        <w:widowControl w:val="0"/>
        <w:numPr>
          <w:ilvl w:val="1"/>
          <w:numId w:val="5"/>
        </w:numPr>
        <w:spacing w:after="120"/>
        <w:jc w:val="both"/>
        <w:rPr>
          <w:rFonts w:asciiTheme="minorHAnsi" w:hAnsiTheme="minorHAnsi" w:cs="Arial"/>
          <w:bCs/>
          <w:snapToGrid w:val="0"/>
          <w:lang w:val="en-GB"/>
        </w:rPr>
      </w:pPr>
      <w:r>
        <w:rPr>
          <w:rFonts w:asciiTheme="minorHAnsi" w:hAnsiTheme="minorHAnsi" w:cs="Arial"/>
          <w:bCs/>
          <w:snapToGrid w:val="0"/>
          <w:lang w:val="en-GB"/>
        </w:rPr>
        <w:t xml:space="preserve">The PBAC </w:t>
      </w:r>
      <w:r w:rsidR="00BE0C19">
        <w:rPr>
          <w:rFonts w:asciiTheme="minorHAnsi" w:hAnsiTheme="minorHAnsi" w:cs="Arial"/>
          <w:bCs/>
          <w:snapToGrid w:val="0"/>
          <w:lang w:val="en-GB"/>
        </w:rPr>
        <w:t>wa</w:t>
      </w:r>
      <w:r>
        <w:rPr>
          <w:rFonts w:asciiTheme="minorHAnsi" w:hAnsiTheme="minorHAnsi" w:cs="Arial"/>
          <w:bCs/>
          <w:snapToGrid w:val="0"/>
          <w:lang w:val="en-GB"/>
        </w:rPr>
        <w:t xml:space="preserve">s satisfied that the new form would provide a wider dosing range for </w:t>
      </w:r>
      <w:r w:rsidR="00C014F6">
        <w:rPr>
          <w:rFonts w:asciiTheme="minorHAnsi" w:hAnsiTheme="minorHAnsi" w:cs="Arial"/>
          <w:bCs/>
          <w:snapToGrid w:val="0"/>
          <w:lang w:val="en-GB"/>
        </w:rPr>
        <w:t xml:space="preserve">apomorphine </w:t>
      </w:r>
      <w:r>
        <w:rPr>
          <w:rFonts w:asciiTheme="minorHAnsi" w:hAnsiTheme="minorHAnsi" w:cs="Arial"/>
          <w:bCs/>
          <w:snapToGrid w:val="0"/>
          <w:lang w:val="en-GB"/>
        </w:rPr>
        <w:t>and a more convenient delivery method to</w:t>
      </w:r>
      <w:r w:rsidR="005E1885">
        <w:rPr>
          <w:rFonts w:asciiTheme="minorHAnsi" w:hAnsiTheme="minorHAnsi" w:cs="Arial"/>
          <w:bCs/>
          <w:snapToGrid w:val="0"/>
          <w:lang w:val="en-GB"/>
        </w:rPr>
        <w:t xml:space="preserve"> PD patients and</w:t>
      </w:r>
      <w:r>
        <w:rPr>
          <w:rFonts w:asciiTheme="minorHAnsi" w:hAnsiTheme="minorHAnsi" w:cs="Arial"/>
          <w:bCs/>
          <w:snapToGrid w:val="0"/>
          <w:lang w:val="en-GB"/>
        </w:rPr>
        <w:t xml:space="preserve"> their carers.</w:t>
      </w:r>
    </w:p>
    <w:p w:rsidR="00870273" w:rsidRDefault="00870273" w:rsidP="00456737">
      <w:pPr>
        <w:widowControl w:val="0"/>
        <w:numPr>
          <w:ilvl w:val="1"/>
          <w:numId w:val="5"/>
        </w:numPr>
        <w:spacing w:after="120"/>
        <w:jc w:val="both"/>
        <w:rPr>
          <w:rFonts w:asciiTheme="minorHAnsi" w:hAnsiTheme="minorHAnsi" w:cs="Arial"/>
          <w:bCs/>
          <w:snapToGrid w:val="0"/>
          <w:lang w:val="en-GB"/>
        </w:rPr>
      </w:pPr>
      <w:r w:rsidRPr="005E1885">
        <w:rPr>
          <w:rFonts w:asciiTheme="minorHAnsi" w:hAnsiTheme="minorHAnsi" w:cs="Arial"/>
          <w:bCs/>
          <w:snapToGrid w:val="0"/>
          <w:lang w:val="en-GB"/>
        </w:rPr>
        <w:t xml:space="preserve">The </w:t>
      </w:r>
      <w:r w:rsidR="007B0745">
        <w:rPr>
          <w:rFonts w:asciiTheme="minorHAnsi" w:hAnsiTheme="minorHAnsi" w:cs="Arial"/>
          <w:bCs/>
          <w:snapToGrid w:val="0"/>
          <w:lang w:val="en-GB"/>
        </w:rPr>
        <w:t>PBAC</w:t>
      </w:r>
      <w:r w:rsidRPr="005E1885">
        <w:rPr>
          <w:rFonts w:asciiTheme="minorHAnsi" w:hAnsiTheme="minorHAnsi" w:cs="Arial"/>
          <w:bCs/>
          <w:snapToGrid w:val="0"/>
          <w:lang w:val="en-GB"/>
        </w:rPr>
        <w:t xml:space="preserve"> considered that the maximum quantity should be consistent with other forms of apomorphine listed on the PBS (i.e. equivalent to maximum quantity of 60 and a total of 300 units</w:t>
      </w:r>
      <w:r w:rsidR="00BE0C19">
        <w:rPr>
          <w:rFonts w:asciiTheme="minorHAnsi" w:hAnsiTheme="minorHAnsi" w:cs="Arial"/>
          <w:bCs/>
          <w:snapToGrid w:val="0"/>
          <w:lang w:val="en-GB"/>
        </w:rPr>
        <w:t xml:space="preserve"> for a total of </w:t>
      </w:r>
      <w:r w:rsidR="00B958FF">
        <w:rPr>
          <w:rFonts w:asciiTheme="minorHAnsi" w:hAnsiTheme="minorHAnsi" w:cs="Arial"/>
          <w:bCs/>
          <w:snapToGrid w:val="0"/>
          <w:lang w:val="en-GB"/>
        </w:rPr>
        <w:t>9,000 mg apomorphine</w:t>
      </w:r>
      <w:r w:rsidRPr="005E1885">
        <w:rPr>
          <w:rFonts w:asciiTheme="minorHAnsi" w:hAnsiTheme="minorHAnsi" w:cs="Arial"/>
          <w:bCs/>
          <w:snapToGrid w:val="0"/>
          <w:lang w:val="en-GB"/>
        </w:rPr>
        <w:t>)</w:t>
      </w:r>
      <w:r w:rsidR="00C441E4">
        <w:rPr>
          <w:rFonts w:asciiTheme="minorHAnsi" w:hAnsiTheme="minorHAnsi" w:cs="Arial"/>
          <w:bCs/>
          <w:snapToGrid w:val="0"/>
          <w:lang w:val="en-GB"/>
        </w:rPr>
        <w:t xml:space="preserve"> at the same cost per mg as the currently listed forms </w:t>
      </w:r>
      <w:r w:rsidR="00C441E4" w:rsidRPr="005E1885">
        <w:rPr>
          <w:rFonts w:asciiTheme="minorHAnsi" w:hAnsiTheme="minorHAnsi" w:cs="Arial"/>
          <w:bCs/>
          <w:snapToGrid w:val="0"/>
          <w:lang w:val="en-GB"/>
        </w:rPr>
        <w:t>of apomorphine</w:t>
      </w:r>
      <w:r w:rsidRPr="005E1885">
        <w:rPr>
          <w:rFonts w:asciiTheme="minorHAnsi" w:hAnsiTheme="minorHAnsi" w:cs="Arial"/>
          <w:bCs/>
          <w:snapToGrid w:val="0"/>
          <w:lang w:val="en-GB"/>
        </w:rPr>
        <w:t>.</w:t>
      </w:r>
    </w:p>
    <w:p w:rsidR="007B0745" w:rsidRPr="004C6767" w:rsidRDefault="007B0745" w:rsidP="00456737">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4C6767">
        <w:rPr>
          <w:rFonts w:asciiTheme="minorHAnsi" w:eastAsiaTheme="minorHAnsi" w:hAnsiTheme="minorHAnsi" w:cstheme="minorBidi"/>
          <w:snapToGrid/>
          <w:sz w:val="24"/>
          <w:szCs w:val="22"/>
        </w:rPr>
        <w:t xml:space="preserve">The </w:t>
      </w:r>
      <w:r>
        <w:rPr>
          <w:rFonts w:asciiTheme="minorHAnsi" w:eastAsiaTheme="minorHAnsi" w:hAnsiTheme="minorHAnsi" w:cstheme="minorBidi"/>
          <w:snapToGrid/>
          <w:sz w:val="24"/>
          <w:szCs w:val="22"/>
        </w:rPr>
        <w:t>PBAC</w:t>
      </w:r>
      <w:r w:rsidRPr="004C6767">
        <w:rPr>
          <w:rFonts w:asciiTheme="minorHAnsi" w:eastAsiaTheme="minorHAnsi" w:hAnsiTheme="minorHAnsi" w:cstheme="minorBidi"/>
          <w:snapToGrid/>
          <w:sz w:val="24"/>
          <w:szCs w:val="22"/>
        </w:rPr>
        <w:t xml:space="preserve"> note</w:t>
      </w:r>
      <w:r>
        <w:rPr>
          <w:rFonts w:asciiTheme="minorHAnsi" w:eastAsiaTheme="minorHAnsi" w:hAnsiTheme="minorHAnsi" w:cstheme="minorBidi"/>
          <w:snapToGrid/>
          <w:sz w:val="24"/>
          <w:szCs w:val="22"/>
        </w:rPr>
        <w:t>d</w:t>
      </w:r>
      <w:r w:rsidRPr="004C6767">
        <w:rPr>
          <w:rFonts w:asciiTheme="minorHAnsi" w:eastAsiaTheme="minorHAnsi" w:hAnsiTheme="minorHAnsi" w:cstheme="minorBidi"/>
          <w:snapToGrid/>
          <w:sz w:val="24"/>
          <w:szCs w:val="22"/>
        </w:rPr>
        <w:t xml:space="preserve"> that this </w:t>
      </w:r>
      <w:r w:rsidR="00C014F6">
        <w:rPr>
          <w:rFonts w:asciiTheme="minorHAnsi" w:eastAsiaTheme="minorHAnsi" w:hAnsiTheme="minorHAnsi" w:cstheme="minorBidi"/>
          <w:snapToGrid/>
          <w:sz w:val="24"/>
          <w:szCs w:val="22"/>
        </w:rPr>
        <w:t>was</w:t>
      </w:r>
      <w:r w:rsidRPr="004C6767">
        <w:rPr>
          <w:rFonts w:asciiTheme="minorHAnsi" w:eastAsiaTheme="minorHAnsi" w:hAnsiTheme="minorHAnsi" w:cstheme="minorBidi"/>
          <w:snapToGrid/>
          <w:sz w:val="24"/>
          <w:szCs w:val="22"/>
        </w:rPr>
        <w:t xml:space="preserve"> the first form of apomorphine that </w:t>
      </w:r>
      <w:r w:rsidR="00C014F6">
        <w:rPr>
          <w:rFonts w:asciiTheme="minorHAnsi" w:eastAsiaTheme="minorHAnsi" w:hAnsiTheme="minorHAnsi" w:cstheme="minorBidi"/>
          <w:snapToGrid/>
          <w:sz w:val="24"/>
          <w:szCs w:val="22"/>
        </w:rPr>
        <w:t>was</w:t>
      </w:r>
      <w:r w:rsidRPr="004C6767">
        <w:rPr>
          <w:rFonts w:asciiTheme="minorHAnsi" w:eastAsiaTheme="minorHAnsi" w:hAnsiTheme="minorHAnsi" w:cstheme="minorBidi"/>
          <w:snapToGrid/>
          <w:sz w:val="24"/>
          <w:szCs w:val="22"/>
        </w:rPr>
        <w:t xml:space="preserve"> not specifically for either extraction, from a vial and caregiver/patient administration or con</w:t>
      </w:r>
      <w:r w:rsidR="000F76FF">
        <w:rPr>
          <w:rFonts w:asciiTheme="minorHAnsi" w:eastAsiaTheme="minorHAnsi" w:hAnsiTheme="minorHAnsi" w:cstheme="minorBidi"/>
          <w:snapToGrid/>
          <w:sz w:val="24"/>
          <w:szCs w:val="22"/>
        </w:rPr>
        <w:t xml:space="preserve">tinuous subcutaneous injection which </w:t>
      </w:r>
      <w:r w:rsidR="00B958FF">
        <w:rPr>
          <w:rFonts w:asciiTheme="minorHAnsi" w:eastAsiaTheme="minorHAnsi" w:hAnsiTheme="minorHAnsi" w:cstheme="minorBidi"/>
          <w:snapToGrid/>
          <w:sz w:val="24"/>
          <w:szCs w:val="22"/>
        </w:rPr>
        <w:t>may</w:t>
      </w:r>
      <w:r>
        <w:rPr>
          <w:rFonts w:asciiTheme="minorHAnsi" w:eastAsiaTheme="minorHAnsi" w:hAnsiTheme="minorHAnsi" w:cstheme="minorBidi"/>
          <w:snapToGrid/>
          <w:sz w:val="24"/>
          <w:szCs w:val="22"/>
        </w:rPr>
        <w:t xml:space="preserve"> be beneficial to </w:t>
      </w:r>
      <w:r w:rsidR="00B958FF">
        <w:rPr>
          <w:rFonts w:asciiTheme="minorHAnsi" w:eastAsiaTheme="minorHAnsi" w:hAnsiTheme="minorHAnsi" w:cstheme="minorBidi"/>
          <w:snapToGrid/>
          <w:sz w:val="24"/>
          <w:szCs w:val="22"/>
        </w:rPr>
        <w:t>some</w:t>
      </w:r>
      <w:r w:rsidR="00D461CC">
        <w:rPr>
          <w:rFonts w:asciiTheme="minorHAnsi" w:eastAsiaTheme="minorHAnsi" w:hAnsiTheme="minorHAnsi" w:cstheme="minorBidi"/>
          <w:snapToGrid/>
          <w:sz w:val="24"/>
          <w:szCs w:val="22"/>
        </w:rPr>
        <w:t xml:space="preserve"> patients and the carers</w:t>
      </w:r>
      <w:r w:rsidRPr="004C6767">
        <w:rPr>
          <w:rFonts w:asciiTheme="minorHAnsi" w:eastAsiaTheme="minorHAnsi" w:hAnsiTheme="minorHAnsi" w:cstheme="minorBidi"/>
          <w:snapToGrid/>
          <w:sz w:val="24"/>
          <w:szCs w:val="22"/>
        </w:rPr>
        <w:t>.</w:t>
      </w:r>
    </w:p>
    <w:p w:rsidR="00870273" w:rsidRDefault="00870273" w:rsidP="00456737">
      <w:pPr>
        <w:widowControl w:val="0"/>
        <w:numPr>
          <w:ilvl w:val="1"/>
          <w:numId w:val="5"/>
        </w:numPr>
        <w:spacing w:after="120"/>
        <w:jc w:val="both"/>
        <w:rPr>
          <w:rFonts w:asciiTheme="minorHAnsi" w:hAnsiTheme="minorHAnsi" w:cs="Arial"/>
          <w:bCs/>
          <w:snapToGrid w:val="0"/>
          <w:lang w:val="en-GB"/>
        </w:rPr>
      </w:pPr>
      <w:r w:rsidRPr="005E1885">
        <w:rPr>
          <w:rFonts w:asciiTheme="minorHAnsi" w:hAnsiTheme="minorHAnsi" w:cs="Arial"/>
          <w:bCs/>
          <w:snapToGrid w:val="0"/>
          <w:lang w:val="en-GB"/>
        </w:rPr>
        <w:t xml:space="preserve">The </w:t>
      </w:r>
      <w:r>
        <w:rPr>
          <w:rFonts w:asciiTheme="minorHAnsi" w:hAnsiTheme="minorHAnsi" w:cs="Arial"/>
          <w:bCs/>
          <w:snapToGrid w:val="0"/>
          <w:lang w:val="en-GB"/>
        </w:rPr>
        <w:t>PBAC</w:t>
      </w:r>
      <w:r w:rsidRPr="005E1885">
        <w:rPr>
          <w:rFonts w:asciiTheme="minorHAnsi" w:hAnsiTheme="minorHAnsi" w:cs="Arial"/>
          <w:bCs/>
          <w:snapToGrid w:val="0"/>
          <w:lang w:val="en-GB"/>
        </w:rPr>
        <w:t xml:space="preserve"> noted that there may be a potential risk of leakage to less severe PD patients due to the convenient delivery method. However, the </w:t>
      </w:r>
      <w:r>
        <w:rPr>
          <w:rFonts w:asciiTheme="minorHAnsi" w:hAnsiTheme="minorHAnsi" w:cs="Arial"/>
          <w:bCs/>
          <w:snapToGrid w:val="0"/>
          <w:lang w:val="en-GB"/>
        </w:rPr>
        <w:t>PBAC</w:t>
      </w:r>
      <w:r w:rsidRPr="005E1885">
        <w:rPr>
          <w:rFonts w:asciiTheme="minorHAnsi" w:hAnsiTheme="minorHAnsi" w:cs="Arial"/>
          <w:bCs/>
          <w:snapToGrid w:val="0"/>
          <w:lang w:val="en-GB"/>
        </w:rPr>
        <w:t xml:space="preserve"> considered that this risk would be relatively low because of the estimated small patient population</w:t>
      </w:r>
      <w:r w:rsidR="00B958FF">
        <w:rPr>
          <w:rFonts w:asciiTheme="minorHAnsi" w:hAnsiTheme="minorHAnsi" w:cs="Arial"/>
          <w:bCs/>
          <w:snapToGrid w:val="0"/>
          <w:lang w:val="en-GB"/>
        </w:rPr>
        <w:t xml:space="preserve"> for this indication</w:t>
      </w:r>
      <w:r w:rsidRPr="005E1885">
        <w:rPr>
          <w:rFonts w:asciiTheme="minorHAnsi" w:hAnsiTheme="minorHAnsi" w:cs="Arial"/>
          <w:bCs/>
          <w:snapToGrid w:val="0"/>
          <w:lang w:val="en-GB"/>
        </w:rPr>
        <w:t>.</w:t>
      </w:r>
      <w:r w:rsidR="000E1CAC">
        <w:rPr>
          <w:rFonts w:asciiTheme="minorHAnsi" w:hAnsiTheme="minorHAnsi" w:cs="Arial"/>
          <w:bCs/>
          <w:snapToGrid w:val="0"/>
          <w:lang w:val="en-GB"/>
        </w:rPr>
        <w:t xml:space="preserve"> </w:t>
      </w:r>
    </w:p>
    <w:p w:rsidR="004F1754" w:rsidRDefault="00870273" w:rsidP="00456737">
      <w:pPr>
        <w:widowControl w:val="0"/>
        <w:numPr>
          <w:ilvl w:val="1"/>
          <w:numId w:val="5"/>
        </w:numPr>
        <w:spacing w:after="120"/>
        <w:jc w:val="both"/>
        <w:rPr>
          <w:rFonts w:asciiTheme="minorHAnsi" w:hAnsiTheme="minorHAnsi" w:cs="Arial"/>
          <w:bCs/>
          <w:snapToGrid w:val="0"/>
          <w:lang w:val="en-GB"/>
        </w:rPr>
      </w:pPr>
      <w:r w:rsidRPr="005E1885">
        <w:rPr>
          <w:rFonts w:asciiTheme="minorHAnsi" w:hAnsiTheme="minorHAnsi" w:cs="Arial"/>
          <w:bCs/>
          <w:snapToGrid w:val="0"/>
          <w:lang w:val="en-GB"/>
        </w:rPr>
        <w:t xml:space="preserve">The PBAC </w:t>
      </w:r>
      <w:r w:rsidR="00553476">
        <w:rPr>
          <w:rFonts w:asciiTheme="minorHAnsi" w:hAnsiTheme="minorHAnsi" w:cs="Arial"/>
          <w:bCs/>
          <w:snapToGrid w:val="0"/>
          <w:lang w:val="en-GB"/>
        </w:rPr>
        <w:t>advised that the Early Supply Rule should not apply as it</w:t>
      </w:r>
      <w:r w:rsidR="00B958FF">
        <w:rPr>
          <w:rFonts w:asciiTheme="minorHAnsi" w:hAnsiTheme="minorHAnsi" w:cs="Arial"/>
          <w:bCs/>
          <w:snapToGrid w:val="0"/>
          <w:lang w:val="en-GB"/>
        </w:rPr>
        <w:t xml:space="preserve"> currently</w:t>
      </w:r>
      <w:r w:rsidR="00553476">
        <w:rPr>
          <w:rFonts w:asciiTheme="minorHAnsi" w:hAnsiTheme="minorHAnsi" w:cs="Arial"/>
          <w:bCs/>
          <w:snapToGrid w:val="0"/>
          <w:lang w:val="en-GB"/>
        </w:rPr>
        <w:t xml:space="preserve"> does not apply to Section 100 items or for the other forms of apomorphine. </w:t>
      </w:r>
      <w:r w:rsidR="00375713">
        <w:rPr>
          <w:rFonts w:asciiTheme="minorHAnsi" w:hAnsiTheme="minorHAnsi" w:cs="Arial"/>
          <w:bCs/>
          <w:snapToGrid w:val="0"/>
          <w:lang w:val="en-GB"/>
        </w:rPr>
        <w:t xml:space="preserve"> </w:t>
      </w:r>
    </w:p>
    <w:p w:rsidR="00375713" w:rsidRPr="00870273" w:rsidRDefault="00375713" w:rsidP="00456737">
      <w:pPr>
        <w:widowControl w:val="0"/>
        <w:numPr>
          <w:ilvl w:val="1"/>
          <w:numId w:val="5"/>
        </w:numPr>
        <w:spacing w:after="120"/>
        <w:jc w:val="both"/>
        <w:rPr>
          <w:rFonts w:asciiTheme="minorHAnsi" w:hAnsiTheme="minorHAnsi" w:cs="Arial"/>
          <w:bCs/>
          <w:snapToGrid w:val="0"/>
          <w:lang w:val="en-GB"/>
        </w:rPr>
      </w:pPr>
      <w:r w:rsidRPr="005E1885">
        <w:rPr>
          <w:rFonts w:asciiTheme="minorHAnsi" w:hAnsiTheme="minorHAnsi" w:cs="Arial"/>
          <w:bCs/>
          <w:snapToGrid w:val="0"/>
          <w:lang w:val="en-GB"/>
        </w:rPr>
        <w:t xml:space="preserve">The PBAC noted that this submission is not eligible for an Independent Review as it received a positive recommendation. </w:t>
      </w:r>
    </w:p>
    <w:p w:rsidR="004C6767" w:rsidRPr="00525B39" w:rsidRDefault="004C6767" w:rsidP="00456737">
      <w:pPr>
        <w:spacing w:before="240"/>
        <w:jc w:val="both"/>
        <w:rPr>
          <w:rFonts w:asciiTheme="minorHAnsi" w:hAnsiTheme="minorHAnsi" w:cs="Arial"/>
          <w:b/>
          <w:bCs/>
          <w:snapToGrid w:val="0"/>
          <w:lang w:val="en-GB"/>
        </w:rPr>
      </w:pPr>
      <w:r w:rsidRPr="00525B39">
        <w:rPr>
          <w:rFonts w:asciiTheme="minorHAnsi" w:hAnsiTheme="minorHAnsi" w:cs="Arial"/>
          <w:b/>
          <w:bCs/>
          <w:snapToGrid w:val="0"/>
          <w:lang w:val="en-GB"/>
        </w:rPr>
        <w:t>Outcome:</w:t>
      </w:r>
    </w:p>
    <w:p w:rsidR="004C6767" w:rsidRPr="00650FEA" w:rsidRDefault="004C6767" w:rsidP="00650FEA">
      <w:pPr>
        <w:jc w:val="both"/>
        <w:rPr>
          <w:rFonts w:asciiTheme="minorHAnsi" w:hAnsiTheme="minorHAnsi" w:cs="Arial"/>
          <w:bCs/>
          <w:snapToGrid w:val="0"/>
          <w:lang w:val="en-GB"/>
        </w:rPr>
      </w:pPr>
      <w:r w:rsidRPr="00525B39">
        <w:rPr>
          <w:rFonts w:asciiTheme="minorHAnsi" w:hAnsiTheme="minorHAnsi" w:cs="Arial"/>
          <w:bCs/>
          <w:snapToGrid w:val="0"/>
          <w:lang w:val="en-GB"/>
        </w:rPr>
        <w:t xml:space="preserve">Recommended </w:t>
      </w:r>
    </w:p>
    <w:p w:rsidR="00F07436" w:rsidRPr="00ED34FE" w:rsidRDefault="004C6767" w:rsidP="00ED34FE">
      <w:pPr>
        <w:pStyle w:val="PBACHeading1"/>
        <w:spacing w:before="240" w:after="120"/>
        <w:rPr>
          <w:rFonts w:asciiTheme="minorHAnsi" w:hAnsiTheme="minorHAnsi"/>
          <w:i/>
          <w:sz w:val="32"/>
          <w:szCs w:val="32"/>
          <w:lang w:val="en-GB"/>
        </w:rPr>
      </w:pPr>
      <w:r w:rsidRPr="00ED34FE">
        <w:rPr>
          <w:rFonts w:asciiTheme="minorHAnsi" w:hAnsiTheme="minorHAnsi"/>
          <w:sz w:val="32"/>
          <w:szCs w:val="32"/>
          <w:lang w:val="en-GB"/>
        </w:rPr>
        <w:t>Recommended listing</w:t>
      </w:r>
    </w:p>
    <w:tbl>
      <w:tblPr>
        <w:tblW w:w="5000" w:type="pct"/>
        <w:tblLook w:val="0000" w:firstRow="0" w:lastRow="0" w:firstColumn="0" w:lastColumn="0" w:noHBand="0" w:noVBand="0"/>
      </w:tblPr>
      <w:tblGrid>
        <w:gridCol w:w="1919"/>
        <w:gridCol w:w="1331"/>
        <w:gridCol w:w="684"/>
        <w:gridCol w:w="839"/>
        <w:gridCol w:w="1421"/>
        <w:gridCol w:w="2235"/>
        <w:gridCol w:w="813"/>
      </w:tblGrid>
      <w:tr w:rsidR="000A5669" w:rsidRPr="0039782C" w:rsidTr="002B053E">
        <w:trPr>
          <w:cantSplit/>
          <w:trHeight w:val="465"/>
        </w:trPr>
        <w:tc>
          <w:tcPr>
            <w:tcW w:w="1758" w:type="pct"/>
            <w:gridSpan w:val="2"/>
            <w:tcBorders>
              <w:bottom w:val="single" w:sz="4" w:space="0" w:color="auto"/>
            </w:tcBorders>
          </w:tcPr>
          <w:p w:rsidR="000A5669" w:rsidRPr="0039782C" w:rsidRDefault="000A5669" w:rsidP="00507270">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0A5669" w:rsidRPr="0039782C" w:rsidRDefault="000A5669" w:rsidP="00507270">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370" w:type="pct"/>
            <w:tcBorders>
              <w:bottom w:val="single" w:sz="4" w:space="0" w:color="auto"/>
            </w:tcBorders>
          </w:tcPr>
          <w:p w:rsidR="000A5669" w:rsidRPr="0039782C" w:rsidRDefault="000A5669" w:rsidP="00507270">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0A5669" w:rsidRPr="0039782C" w:rsidRDefault="000A5669" w:rsidP="00507270">
            <w:pPr>
              <w:keepNext/>
              <w:spacing w:before="40" w:after="40"/>
              <w:jc w:val="both"/>
              <w:rPr>
                <w:rFonts w:ascii="Arial Narrow" w:hAnsi="Arial Narrow" w:cs="Arial"/>
                <w:b/>
                <w:sz w:val="20"/>
                <w:szCs w:val="20"/>
              </w:rPr>
            </w:pPr>
            <w:r w:rsidRPr="0039782C">
              <w:rPr>
                <w:rFonts w:ascii="Arial Narrow" w:hAnsi="Arial Narrow" w:cs="Arial"/>
                <w:b/>
                <w:sz w:val="20"/>
                <w:szCs w:val="20"/>
              </w:rPr>
              <w:t>Qty</w:t>
            </w:r>
          </w:p>
        </w:tc>
        <w:tc>
          <w:tcPr>
            <w:tcW w:w="454" w:type="pct"/>
            <w:tcBorders>
              <w:bottom w:val="single" w:sz="4" w:space="0" w:color="auto"/>
            </w:tcBorders>
          </w:tcPr>
          <w:p w:rsidR="000A5669" w:rsidRPr="0039782C" w:rsidRDefault="000A5669" w:rsidP="00507270">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0A5669" w:rsidRPr="0039782C" w:rsidRDefault="000A5669" w:rsidP="00507270">
            <w:pPr>
              <w:keepNext/>
              <w:spacing w:before="40" w:after="40"/>
              <w:jc w:val="both"/>
              <w:rPr>
                <w:rFonts w:ascii="Arial Narrow" w:hAnsi="Arial Narrow" w:cs="Arial"/>
                <w:b/>
                <w:sz w:val="20"/>
                <w:szCs w:val="20"/>
              </w:rPr>
            </w:pPr>
            <w:r w:rsidRPr="0039782C">
              <w:rPr>
                <w:rFonts w:ascii="Arial Narrow" w:hAnsi="Arial Narrow" w:cs="Arial"/>
                <w:b/>
                <w:sz w:val="20"/>
                <w:szCs w:val="20"/>
              </w:rPr>
              <w:t>Rpts</w:t>
            </w:r>
          </w:p>
        </w:tc>
        <w:tc>
          <w:tcPr>
            <w:tcW w:w="2418" w:type="pct"/>
            <w:gridSpan w:val="3"/>
            <w:tcBorders>
              <w:bottom w:val="single" w:sz="4" w:space="0" w:color="auto"/>
            </w:tcBorders>
          </w:tcPr>
          <w:p w:rsidR="000A5669" w:rsidRPr="0039782C" w:rsidRDefault="000A5669" w:rsidP="00507270">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0A5669" w:rsidRPr="00260CE3" w:rsidTr="002B053E">
        <w:trPr>
          <w:cantSplit/>
          <w:trHeight w:val="567"/>
        </w:trPr>
        <w:tc>
          <w:tcPr>
            <w:tcW w:w="1758" w:type="pct"/>
            <w:gridSpan w:val="2"/>
            <w:tcBorders>
              <w:top w:val="single" w:sz="4" w:space="0" w:color="auto"/>
            </w:tcBorders>
          </w:tcPr>
          <w:p w:rsidR="000A5669" w:rsidRPr="00260CE3" w:rsidRDefault="000A5669" w:rsidP="00507270">
            <w:pPr>
              <w:keepNext/>
              <w:spacing w:before="40" w:after="40"/>
              <w:jc w:val="both"/>
              <w:rPr>
                <w:rFonts w:ascii="Arial Narrow" w:hAnsi="Arial Narrow" w:cs="Arial"/>
                <w:sz w:val="20"/>
                <w:szCs w:val="20"/>
              </w:rPr>
            </w:pPr>
            <w:r>
              <w:rPr>
                <w:rFonts w:ascii="Arial Narrow" w:hAnsi="Arial Narrow" w:cs="Arial"/>
                <w:smallCaps/>
                <w:sz w:val="20"/>
                <w:szCs w:val="20"/>
              </w:rPr>
              <w:t>apomorphine</w:t>
            </w:r>
          </w:p>
          <w:p w:rsidR="000A5669" w:rsidRDefault="000A5669" w:rsidP="00507270">
            <w:pPr>
              <w:keepNext/>
              <w:spacing w:before="40" w:after="40"/>
              <w:jc w:val="both"/>
              <w:rPr>
                <w:rFonts w:ascii="Arial Narrow" w:hAnsi="Arial Narrow" w:cs="Arial"/>
                <w:sz w:val="20"/>
                <w:szCs w:val="20"/>
              </w:rPr>
            </w:pPr>
            <w:r>
              <w:rPr>
                <w:rFonts w:ascii="Arial Narrow" w:hAnsi="Arial Narrow" w:cs="Arial"/>
                <w:sz w:val="20"/>
                <w:szCs w:val="20"/>
              </w:rPr>
              <w:t>apomorphine hydrochloride</w:t>
            </w:r>
          </w:p>
          <w:p w:rsidR="000A5669" w:rsidRPr="00260CE3" w:rsidRDefault="000A5669" w:rsidP="00507270">
            <w:pPr>
              <w:keepNext/>
              <w:spacing w:before="40" w:after="40"/>
              <w:jc w:val="both"/>
              <w:rPr>
                <w:rFonts w:ascii="Arial Narrow" w:hAnsi="Arial Narrow" w:cs="Arial"/>
                <w:sz w:val="20"/>
                <w:szCs w:val="20"/>
              </w:rPr>
            </w:pPr>
            <w:r>
              <w:rPr>
                <w:rFonts w:ascii="Arial Narrow" w:hAnsi="Arial Narrow" w:cs="Arial"/>
                <w:sz w:val="20"/>
                <w:szCs w:val="20"/>
              </w:rPr>
              <w:t>30 mg/ 3 mL injection cartridge, 5 × 3 mL pens</w:t>
            </w:r>
          </w:p>
        </w:tc>
        <w:tc>
          <w:tcPr>
            <w:tcW w:w="370" w:type="pct"/>
            <w:tcBorders>
              <w:top w:val="single" w:sz="4" w:space="0" w:color="auto"/>
            </w:tcBorders>
          </w:tcPr>
          <w:p w:rsidR="000A5669" w:rsidRPr="00260CE3" w:rsidRDefault="000A5669" w:rsidP="00507270">
            <w:pPr>
              <w:keepNext/>
              <w:spacing w:before="40" w:after="40"/>
              <w:jc w:val="both"/>
              <w:rPr>
                <w:rFonts w:ascii="Arial Narrow" w:hAnsi="Arial Narrow" w:cs="Arial"/>
                <w:sz w:val="20"/>
                <w:szCs w:val="20"/>
              </w:rPr>
            </w:pPr>
          </w:p>
          <w:p w:rsidR="000A5669" w:rsidRPr="00680F85" w:rsidRDefault="000A5669" w:rsidP="00507270">
            <w:pPr>
              <w:keepNext/>
              <w:spacing w:before="40" w:after="40"/>
              <w:jc w:val="both"/>
              <w:rPr>
                <w:rFonts w:ascii="Arial Narrow" w:hAnsi="Arial Narrow" w:cs="Arial"/>
                <w:sz w:val="20"/>
                <w:szCs w:val="20"/>
              </w:rPr>
            </w:pPr>
            <w:r w:rsidRPr="00DC1B7E">
              <w:rPr>
                <w:rFonts w:ascii="Arial Narrow" w:hAnsi="Arial Narrow" w:cs="Arial"/>
                <w:sz w:val="20"/>
                <w:szCs w:val="20"/>
              </w:rPr>
              <w:t>60</w:t>
            </w:r>
          </w:p>
        </w:tc>
        <w:tc>
          <w:tcPr>
            <w:tcW w:w="454" w:type="pct"/>
            <w:tcBorders>
              <w:top w:val="single" w:sz="4" w:space="0" w:color="auto"/>
            </w:tcBorders>
          </w:tcPr>
          <w:p w:rsidR="000A5669" w:rsidRPr="00260CE3" w:rsidRDefault="000A5669" w:rsidP="00507270">
            <w:pPr>
              <w:keepNext/>
              <w:spacing w:before="40" w:after="40"/>
              <w:jc w:val="both"/>
              <w:rPr>
                <w:rFonts w:ascii="Arial Narrow" w:hAnsi="Arial Narrow" w:cs="Arial"/>
                <w:sz w:val="20"/>
                <w:szCs w:val="20"/>
              </w:rPr>
            </w:pPr>
          </w:p>
          <w:p w:rsidR="000A5669" w:rsidRPr="00260CE3" w:rsidRDefault="000A5669" w:rsidP="00507270">
            <w:pPr>
              <w:keepNext/>
              <w:spacing w:before="40" w:after="40"/>
              <w:jc w:val="both"/>
              <w:rPr>
                <w:rFonts w:ascii="Arial Narrow" w:hAnsi="Arial Narrow" w:cs="Arial"/>
                <w:sz w:val="20"/>
                <w:szCs w:val="20"/>
              </w:rPr>
            </w:pPr>
            <w:r>
              <w:rPr>
                <w:rFonts w:ascii="Arial Narrow" w:hAnsi="Arial Narrow" w:cs="Arial"/>
                <w:sz w:val="20"/>
                <w:szCs w:val="20"/>
              </w:rPr>
              <w:t>5</w:t>
            </w:r>
          </w:p>
        </w:tc>
        <w:tc>
          <w:tcPr>
            <w:tcW w:w="769" w:type="pct"/>
            <w:tcBorders>
              <w:top w:val="single" w:sz="4" w:space="0" w:color="auto"/>
            </w:tcBorders>
          </w:tcPr>
          <w:p w:rsidR="000A5669" w:rsidRDefault="000A5669" w:rsidP="00507270">
            <w:pPr>
              <w:keepNext/>
              <w:spacing w:before="40" w:after="40"/>
              <w:jc w:val="both"/>
              <w:rPr>
                <w:rFonts w:ascii="Arial Narrow" w:hAnsi="Arial Narrow" w:cs="Arial"/>
                <w:sz w:val="20"/>
                <w:szCs w:val="20"/>
              </w:rPr>
            </w:pPr>
          </w:p>
          <w:p w:rsidR="000A5669" w:rsidRPr="00260CE3" w:rsidRDefault="000A5669" w:rsidP="00507270">
            <w:pPr>
              <w:keepNext/>
              <w:spacing w:before="40" w:after="40"/>
              <w:jc w:val="both"/>
              <w:rPr>
                <w:rFonts w:ascii="Arial Narrow" w:hAnsi="Arial Narrow" w:cs="Arial"/>
                <w:sz w:val="20"/>
                <w:szCs w:val="20"/>
              </w:rPr>
            </w:pPr>
            <w:r>
              <w:rPr>
                <w:rFonts w:ascii="Arial Narrow" w:hAnsi="Arial Narrow" w:cs="Arial"/>
                <w:sz w:val="20"/>
                <w:szCs w:val="20"/>
              </w:rPr>
              <w:t>MOVAPO</w:t>
            </w:r>
            <w:r w:rsidRPr="00BA6D3D">
              <w:rPr>
                <w:rFonts w:ascii="Arial Narrow" w:hAnsi="Arial Narrow" w:cs="Arial"/>
                <w:sz w:val="20"/>
                <w:szCs w:val="20"/>
                <w:vertAlign w:val="superscript"/>
              </w:rPr>
              <w:t>®</w:t>
            </w:r>
            <w:r>
              <w:rPr>
                <w:rFonts w:ascii="Arial Narrow" w:hAnsi="Arial Narrow" w:cs="Arial"/>
                <w:sz w:val="20"/>
                <w:szCs w:val="20"/>
              </w:rPr>
              <w:t> PEN</w:t>
            </w:r>
          </w:p>
        </w:tc>
        <w:tc>
          <w:tcPr>
            <w:tcW w:w="1649" w:type="pct"/>
            <w:gridSpan w:val="2"/>
            <w:tcBorders>
              <w:top w:val="single" w:sz="4" w:space="0" w:color="auto"/>
            </w:tcBorders>
          </w:tcPr>
          <w:p w:rsidR="000A5669" w:rsidRDefault="000A5669" w:rsidP="002B053E">
            <w:pPr>
              <w:keepNext/>
              <w:spacing w:before="40" w:after="40"/>
              <w:jc w:val="both"/>
              <w:rPr>
                <w:rFonts w:ascii="Arial Narrow" w:hAnsi="Arial Narrow" w:cs="Arial"/>
                <w:sz w:val="20"/>
                <w:szCs w:val="20"/>
              </w:rPr>
            </w:pPr>
          </w:p>
          <w:p w:rsidR="000A5669" w:rsidRPr="00260CE3" w:rsidRDefault="002B053E" w:rsidP="002B053E">
            <w:pPr>
              <w:keepNext/>
              <w:spacing w:before="40" w:after="40"/>
              <w:jc w:val="both"/>
              <w:rPr>
                <w:rFonts w:ascii="Arial Narrow" w:hAnsi="Arial Narrow" w:cs="Arial"/>
                <w:sz w:val="20"/>
                <w:szCs w:val="20"/>
              </w:rPr>
            </w:pPr>
            <w:r>
              <w:rPr>
                <w:rFonts w:ascii="Arial Narrow" w:hAnsi="Arial Narrow" w:cs="Arial"/>
                <w:sz w:val="20"/>
                <w:szCs w:val="20"/>
              </w:rPr>
              <w:t>Stada</w:t>
            </w:r>
            <w:r w:rsidR="000A5669">
              <w:rPr>
                <w:rFonts w:ascii="Arial Narrow" w:hAnsi="Arial Narrow" w:cs="Arial"/>
                <w:sz w:val="20"/>
                <w:szCs w:val="20"/>
              </w:rPr>
              <w:t xml:space="preserve"> Pharmaceuticals Australia Pty Ltd</w:t>
            </w:r>
          </w:p>
        </w:tc>
      </w:tr>
      <w:tr w:rsidR="000A5669" w:rsidRPr="00260CE3" w:rsidTr="002B053E">
        <w:trPr>
          <w:gridAfter w:val="1"/>
          <w:wAfter w:w="440" w:type="pct"/>
          <w:cantSplit/>
          <w:trHeight w:val="360"/>
        </w:trPr>
        <w:tc>
          <w:tcPr>
            <w:tcW w:w="4560" w:type="pct"/>
            <w:gridSpan w:val="6"/>
            <w:tcBorders>
              <w:bottom w:val="single" w:sz="4" w:space="0" w:color="auto"/>
            </w:tcBorders>
          </w:tcPr>
          <w:p w:rsidR="000A5669" w:rsidRPr="00A124E4" w:rsidRDefault="000A5669" w:rsidP="00507270">
            <w:pPr>
              <w:spacing w:before="40" w:after="40"/>
              <w:jc w:val="both"/>
              <w:rPr>
                <w:rFonts w:ascii="Arial Narrow" w:hAnsi="Arial Narrow" w:cs="Arial"/>
                <w:sz w:val="20"/>
                <w:szCs w:val="20"/>
              </w:rPr>
            </w:pPr>
          </w:p>
        </w:tc>
      </w:tr>
      <w:tr w:rsidR="000A5669" w:rsidRPr="00260CE3" w:rsidTr="002B053E">
        <w:trPr>
          <w:cantSplit/>
          <w:trHeight w:val="360"/>
        </w:trPr>
        <w:tc>
          <w:tcPr>
            <w:tcW w:w="1038" w:type="pct"/>
            <w:tcBorders>
              <w:top w:val="single" w:sz="4" w:space="0" w:color="auto"/>
              <w:left w:val="single" w:sz="4" w:space="0" w:color="auto"/>
              <w:bottom w:val="single" w:sz="4" w:space="0" w:color="auto"/>
              <w:right w:val="single" w:sz="4" w:space="0" w:color="auto"/>
            </w:tcBorders>
          </w:tcPr>
          <w:p w:rsidR="000A5669" w:rsidRPr="00375F04" w:rsidRDefault="000A5669" w:rsidP="00507270">
            <w:pPr>
              <w:spacing w:before="40" w:after="40"/>
              <w:jc w:val="both"/>
              <w:rPr>
                <w:rFonts w:ascii="Arial Narrow" w:hAnsi="Arial Narrow" w:cs="Arial"/>
                <w:b/>
                <w:sz w:val="20"/>
                <w:szCs w:val="20"/>
              </w:rPr>
            </w:pPr>
            <w:r w:rsidRPr="00375F04">
              <w:rPr>
                <w:rFonts w:ascii="Arial Narrow" w:hAnsi="Arial Narrow" w:cs="Arial"/>
                <w:b/>
                <w:sz w:val="20"/>
                <w:szCs w:val="20"/>
              </w:rPr>
              <w:t xml:space="preserve">Category / </w:t>
            </w:r>
          </w:p>
          <w:p w:rsidR="000A5669" w:rsidRPr="00260CE3" w:rsidRDefault="000A5669" w:rsidP="00507270">
            <w:pPr>
              <w:spacing w:before="40" w:after="40"/>
              <w:jc w:val="both"/>
              <w:rPr>
                <w:rFonts w:ascii="Arial Narrow" w:hAnsi="Arial Narrow" w:cs="Arial"/>
                <w:b/>
                <w:sz w:val="20"/>
                <w:szCs w:val="20"/>
              </w:rPr>
            </w:pPr>
            <w:r w:rsidRPr="00375F04">
              <w:rPr>
                <w:rFonts w:ascii="Arial Narrow" w:hAnsi="Arial Narrow" w:cs="Arial"/>
                <w:b/>
                <w:sz w:val="20"/>
                <w:szCs w:val="20"/>
              </w:rPr>
              <w:t>Program</w:t>
            </w:r>
          </w:p>
        </w:tc>
        <w:tc>
          <w:tcPr>
            <w:tcW w:w="3962" w:type="pct"/>
            <w:gridSpan w:val="6"/>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rPr>
                <w:rFonts w:ascii="Arial Narrow" w:hAnsi="Arial Narrow" w:cs="Arial"/>
                <w:sz w:val="20"/>
                <w:szCs w:val="20"/>
              </w:rPr>
            </w:pPr>
            <w:r w:rsidRPr="00260CE3">
              <w:rPr>
                <w:rFonts w:ascii="Arial Narrow" w:hAnsi="Arial Narrow" w:cs="Arial"/>
                <w:sz w:val="20"/>
                <w:szCs w:val="20"/>
              </w:rPr>
              <w:t>Section 100 – Highly Specialised Drugs Program</w:t>
            </w:r>
          </w:p>
          <w:p w:rsidR="000A5669" w:rsidRPr="00260CE3" w:rsidRDefault="000A5669" w:rsidP="00507270">
            <w:pPr>
              <w:spacing w:before="40" w:after="40"/>
              <w:rPr>
                <w:rFonts w:ascii="Arial Narrow" w:hAnsi="Arial Narrow" w:cs="Arial"/>
                <w:sz w:val="20"/>
                <w:szCs w:val="20"/>
              </w:rPr>
            </w:pPr>
          </w:p>
        </w:tc>
      </w:tr>
      <w:tr w:rsidR="000A5669" w:rsidRPr="00260CE3" w:rsidTr="002B053E">
        <w:trPr>
          <w:cantSplit/>
          <w:trHeight w:val="360"/>
        </w:trPr>
        <w:tc>
          <w:tcPr>
            <w:tcW w:w="1038" w:type="pct"/>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62" w:type="pct"/>
            <w:gridSpan w:val="6"/>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0A5669" w:rsidRPr="00260CE3" w:rsidRDefault="000A5669" w:rsidP="00507270">
            <w:pPr>
              <w:spacing w:before="40" w:after="4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0A5669" w:rsidRPr="00260CE3" w:rsidTr="002B053E">
        <w:trPr>
          <w:cantSplit/>
          <w:trHeight w:val="360"/>
        </w:trPr>
        <w:tc>
          <w:tcPr>
            <w:tcW w:w="1038" w:type="pct"/>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62" w:type="pct"/>
            <w:gridSpan w:val="6"/>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rPr>
                <w:rFonts w:ascii="Arial Narrow" w:hAnsi="Arial Narrow" w:cs="Arial"/>
                <w:sz w:val="20"/>
                <w:szCs w:val="20"/>
              </w:rPr>
            </w:pPr>
            <w:r>
              <w:rPr>
                <w:rFonts w:ascii="Arial Narrow" w:hAnsi="Arial Narrow" w:cs="Arial"/>
                <w:sz w:val="20"/>
                <w:szCs w:val="20"/>
              </w:rPr>
              <w:t>Parkinson Disease</w:t>
            </w:r>
          </w:p>
        </w:tc>
      </w:tr>
      <w:tr w:rsidR="000A5669" w:rsidRPr="00260CE3" w:rsidTr="002B053E">
        <w:trPr>
          <w:cantSplit/>
          <w:trHeight w:val="360"/>
        </w:trPr>
        <w:tc>
          <w:tcPr>
            <w:tcW w:w="1038" w:type="pct"/>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0A5669" w:rsidRPr="00260CE3" w:rsidRDefault="000A5669" w:rsidP="00507270">
            <w:pPr>
              <w:spacing w:before="40" w:after="40"/>
              <w:rPr>
                <w:rFonts w:ascii="Arial Narrow" w:hAnsi="Arial Narrow" w:cs="Arial"/>
                <w:sz w:val="20"/>
                <w:szCs w:val="20"/>
              </w:rPr>
            </w:pPr>
          </w:p>
        </w:tc>
        <w:tc>
          <w:tcPr>
            <w:tcW w:w="3962" w:type="pct"/>
            <w:gridSpan w:val="6"/>
            <w:tcBorders>
              <w:top w:val="single" w:sz="4" w:space="0" w:color="auto"/>
              <w:left w:val="single" w:sz="4" w:space="0" w:color="auto"/>
              <w:bottom w:val="single" w:sz="4" w:space="0" w:color="auto"/>
              <w:right w:val="single" w:sz="4" w:space="0" w:color="auto"/>
            </w:tcBorders>
          </w:tcPr>
          <w:p w:rsidR="000A5669" w:rsidRPr="00106BCF" w:rsidRDefault="000A5669" w:rsidP="00507270">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0A5669" w:rsidRPr="00106BCF" w:rsidRDefault="000A5669" w:rsidP="00507270">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0A5669" w:rsidRPr="00106BCF" w:rsidRDefault="000A5669" w:rsidP="00507270">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0A5669" w:rsidRPr="00106BCF" w:rsidRDefault="000A5669" w:rsidP="00507270">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p w:rsidR="000A5669" w:rsidRPr="00260CE3" w:rsidRDefault="000A5669" w:rsidP="00507270">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23254">
              <w:rPr>
                <w:rFonts w:ascii="Arial Narrow" w:hAnsi="Arial Narrow" w:cs="Arial"/>
                <w:sz w:val="20"/>
                <w:szCs w:val="20"/>
              </w:rPr>
            </w:r>
            <w:r w:rsidR="00523254">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(Public only)</w:t>
            </w:r>
          </w:p>
        </w:tc>
      </w:tr>
      <w:tr w:rsidR="000A5669" w:rsidRPr="00260CE3" w:rsidTr="002B053E">
        <w:trPr>
          <w:cantSplit/>
          <w:trHeight w:val="360"/>
        </w:trPr>
        <w:tc>
          <w:tcPr>
            <w:tcW w:w="1038" w:type="pct"/>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0A5669" w:rsidRPr="00260CE3" w:rsidRDefault="000A5669" w:rsidP="00507270">
            <w:pPr>
              <w:spacing w:before="40" w:after="40"/>
              <w:jc w:val="both"/>
              <w:rPr>
                <w:rFonts w:ascii="Arial Narrow" w:hAnsi="Arial Narrow" w:cs="Arial"/>
                <w:sz w:val="20"/>
                <w:szCs w:val="20"/>
              </w:rPr>
            </w:pPr>
          </w:p>
        </w:tc>
        <w:tc>
          <w:tcPr>
            <w:tcW w:w="3962" w:type="pct"/>
            <w:gridSpan w:val="6"/>
            <w:tcBorders>
              <w:top w:val="single" w:sz="4" w:space="0" w:color="auto"/>
              <w:left w:val="single" w:sz="4" w:space="0" w:color="auto"/>
              <w:bottom w:val="single" w:sz="4" w:space="0" w:color="auto"/>
              <w:right w:val="single" w:sz="4" w:space="0" w:color="auto"/>
            </w:tcBorders>
          </w:tcPr>
          <w:p w:rsidR="000A5669" w:rsidRPr="00260CE3" w:rsidRDefault="000A5669" w:rsidP="00507270">
            <w:pPr>
              <w:spacing w:before="40" w:after="40"/>
              <w:jc w:val="both"/>
              <w:rPr>
                <w:rFonts w:ascii="Arial Narrow" w:hAnsi="Arial Narrow" w:cs="Arial"/>
                <w:sz w:val="20"/>
                <w:szCs w:val="20"/>
              </w:rPr>
            </w:pPr>
            <w:r>
              <w:rPr>
                <w:rFonts w:ascii="Arial Narrow" w:hAnsi="Arial Narrow" w:cs="Arial"/>
                <w:sz w:val="20"/>
                <w:szCs w:val="20"/>
              </w:rPr>
              <w:t>Patient must have experienced severely disabling motor fluctuations which have not responded to other therapy</w:t>
            </w:r>
            <w:r w:rsidRPr="00260CE3">
              <w:rPr>
                <w:rFonts w:ascii="Arial Narrow" w:hAnsi="Arial Narrow" w:cs="Arial"/>
                <w:sz w:val="20"/>
                <w:szCs w:val="20"/>
              </w:rPr>
              <w:t xml:space="preserve"> </w:t>
            </w:r>
          </w:p>
        </w:tc>
      </w:tr>
    </w:tbl>
    <w:p w:rsidR="002B053E" w:rsidRPr="00ED34FE" w:rsidRDefault="002B053E" w:rsidP="00ED34FE">
      <w:pPr>
        <w:pStyle w:val="PBACHeading1"/>
        <w:spacing w:before="240" w:after="120"/>
        <w:rPr>
          <w:rFonts w:asciiTheme="minorHAnsi" w:eastAsiaTheme="minorHAnsi" w:hAnsiTheme="minorHAnsi"/>
          <w:sz w:val="32"/>
          <w:szCs w:val="32"/>
        </w:rPr>
      </w:pPr>
      <w:r w:rsidRPr="00ED34FE">
        <w:rPr>
          <w:rFonts w:asciiTheme="minorHAnsi" w:eastAsiaTheme="minorHAnsi" w:hAnsiTheme="minorHAnsi"/>
          <w:sz w:val="32"/>
          <w:szCs w:val="32"/>
        </w:rPr>
        <w:t>Context for Decision</w:t>
      </w:r>
    </w:p>
    <w:p w:rsidR="002B053E" w:rsidRDefault="002B053E" w:rsidP="00ED34FE">
      <w:pPr>
        <w:rPr>
          <w:rFonts w:asciiTheme="minorHAnsi" w:eastAsiaTheme="minorHAnsi" w:hAnsiTheme="minorHAnsi"/>
        </w:rPr>
      </w:pPr>
      <w:r w:rsidRPr="00C51C28">
        <w:rPr>
          <w:rFonts w:asciiTheme="minorHAnsi" w:eastAsiaTheme="minorHAnsi" w:hAnsiTheme="minorHAnsi"/>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2B053E" w:rsidRPr="002B053E" w:rsidRDefault="002B053E" w:rsidP="00ED34FE">
      <w:pPr>
        <w:pStyle w:val="PBACHeading1"/>
        <w:keepNext/>
        <w:numPr>
          <w:ilvl w:val="0"/>
          <w:numId w:val="5"/>
        </w:numPr>
        <w:spacing w:before="240" w:after="120"/>
        <w:rPr>
          <w:rFonts w:asciiTheme="minorHAnsi" w:eastAsiaTheme="minorHAnsi" w:hAnsiTheme="minorHAnsi" w:cstheme="minorBidi"/>
          <w:snapToGrid/>
          <w:sz w:val="32"/>
          <w:szCs w:val="32"/>
        </w:rPr>
      </w:pPr>
      <w:r w:rsidRPr="002B053E">
        <w:rPr>
          <w:rFonts w:asciiTheme="minorHAnsi" w:eastAsiaTheme="minorHAnsi" w:hAnsiTheme="minorHAnsi" w:cstheme="minorBidi"/>
          <w:snapToGrid/>
          <w:sz w:val="32"/>
          <w:szCs w:val="32"/>
        </w:rPr>
        <w:t>Sponsor’s Comment</w:t>
      </w:r>
    </w:p>
    <w:p w:rsidR="00F64CC1" w:rsidRPr="0071340B" w:rsidRDefault="002B053E" w:rsidP="00F35584">
      <w:pPr>
        <w:spacing w:after="120"/>
        <w:rPr>
          <w:rFonts w:asciiTheme="minorHAnsi" w:hAnsiTheme="minorHAnsi"/>
          <w:sz w:val="22"/>
          <w:szCs w:val="22"/>
        </w:rPr>
      </w:pPr>
      <w:r w:rsidRPr="00E26A7A">
        <w:rPr>
          <w:rFonts w:asciiTheme="minorHAnsi" w:eastAsiaTheme="minorHAnsi" w:hAnsiTheme="minorHAnsi"/>
          <w:bCs/>
        </w:rPr>
        <w:t>The sponsor had no comment.</w:t>
      </w:r>
    </w:p>
    <w:sectPr w:rsidR="00F64CC1" w:rsidRPr="0071340B" w:rsidSect="00564F7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254" w:rsidRDefault="00523254">
      <w:r>
        <w:separator/>
      </w:r>
    </w:p>
    <w:p w:rsidR="00523254" w:rsidRDefault="00523254"/>
  </w:endnote>
  <w:endnote w:type="continuationSeparator" w:id="0">
    <w:p w:rsidR="00523254" w:rsidRDefault="00523254">
      <w:r>
        <w:continuationSeparator/>
      </w:r>
    </w:p>
    <w:p w:rsidR="00523254" w:rsidRDefault="0052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Default="00F8047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80475" w:rsidRDefault="00F80475">
    <w:pPr>
      <w:pStyle w:val="Footer"/>
    </w:pPr>
  </w:p>
  <w:p w:rsidR="00F80475" w:rsidRDefault="00F8047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67" w:rsidRDefault="004C6767" w:rsidP="004C6767">
    <w:pPr>
      <w:pStyle w:val="Footer"/>
      <w:ind w:left="360"/>
      <w:jc w:val="center"/>
      <w:rPr>
        <w:rFonts w:ascii="Calibri" w:hAnsi="Calibri" w:cs="Arial"/>
        <w:b/>
        <w:sz w:val="20"/>
      </w:rPr>
    </w:pPr>
  </w:p>
  <w:p w:rsidR="004C6767" w:rsidRPr="00F90A91" w:rsidRDefault="004C6767" w:rsidP="004C6767">
    <w:pPr>
      <w:pStyle w:val="Footer"/>
      <w:ind w:left="360"/>
      <w:jc w:val="center"/>
      <w:rPr>
        <w:rFonts w:ascii="Calibri" w:hAnsi="Calibri" w:cs="Arial"/>
        <w:b/>
        <w:sz w:val="20"/>
      </w:rP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523254">
      <w:rPr>
        <w:rFonts w:ascii="Calibri" w:hAnsi="Calibri" w:cs="Arial"/>
        <w:b/>
        <w:noProof/>
        <w:sz w:val="20"/>
      </w:rPr>
      <w:t>1</w:t>
    </w:r>
    <w:r w:rsidRPr="00F90A91">
      <w:rPr>
        <w:rFonts w:ascii="Calibri" w:hAnsi="Calibri" w:cs="Arial"/>
        <w:b/>
        <w:noProof/>
        <w:sz w:val="20"/>
      </w:rPr>
      <w:fldChar w:fldCharType="end"/>
    </w:r>
  </w:p>
  <w:p w:rsidR="00F80475" w:rsidRPr="004C6767" w:rsidRDefault="00F80475" w:rsidP="004C676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F80475" w:rsidTr="005A3173">
      <w:trPr>
        <w:trHeight w:val="151"/>
      </w:trPr>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F80475" w:rsidRPr="005A3173" w:rsidRDefault="00F8047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80475" w:rsidRPr="005A3173" w:rsidRDefault="00F80475" w:rsidP="005A3173">
          <w:pPr>
            <w:pStyle w:val="Header"/>
            <w:spacing w:line="276" w:lineRule="auto"/>
            <w:rPr>
              <w:rFonts w:ascii="Calibri" w:eastAsia="MS Gothic" w:hAnsi="Calibri"/>
              <w:b/>
              <w:bCs/>
              <w:color w:val="4F81BD"/>
            </w:rPr>
          </w:pPr>
        </w:p>
      </w:tc>
    </w:tr>
    <w:tr w:rsidR="00F80475" w:rsidTr="005A3173">
      <w:trPr>
        <w:trHeight w:val="150"/>
      </w:trPr>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c>
        <w:tcPr>
          <w:tcW w:w="0" w:type="auto"/>
          <w:vMerge/>
          <w:vAlign w:val="center"/>
          <w:hideMark/>
        </w:tcPr>
        <w:p w:rsidR="00F80475" w:rsidRPr="005A3173" w:rsidRDefault="00F80475" w:rsidP="005A3173">
          <w:pPr>
            <w:rPr>
              <w:rFonts w:ascii="Calibri" w:hAnsi="Calibri"/>
              <w:color w:val="365F91"/>
              <w:sz w:val="22"/>
              <w:szCs w:val="22"/>
            </w:rPr>
          </w:pPr>
        </w:p>
      </w:tc>
      <w:tc>
        <w:tcPr>
          <w:tcW w:w="2250" w:type="pct"/>
          <w:tcBorders>
            <w:top w:val="single" w:sz="4" w:space="0" w:color="4F81BD"/>
            <w:left w:val="nil"/>
            <w:bottom w:val="nil"/>
            <w:right w:val="nil"/>
          </w:tcBorders>
        </w:tcPr>
        <w:p w:rsidR="00F80475" w:rsidRPr="005A3173" w:rsidRDefault="00F80475" w:rsidP="005A3173">
          <w:pPr>
            <w:pStyle w:val="Header"/>
            <w:spacing w:line="276" w:lineRule="auto"/>
            <w:rPr>
              <w:rFonts w:ascii="Calibri" w:eastAsia="MS Gothic" w:hAnsi="Calibri"/>
              <w:b/>
              <w:bCs/>
              <w:color w:val="4F81BD"/>
            </w:rPr>
          </w:pPr>
        </w:p>
      </w:tc>
    </w:tr>
  </w:tbl>
  <w:p w:rsidR="00F80475" w:rsidRPr="007C0F57" w:rsidRDefault="00F8047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F80475" w:rsidRPr="007C0F57" w:rsidRDefault="00F80475" w:rsidP="007C0F57">
    <w:pPr>
      <w:pStyle w:val="Footer"/>
      <w:jc w:val="center"/>
      <w:rPr>
        <w:b/>
        <w:i/>
        <w:sz w:val="20"/>
        <w:szCs w:val="20"/>
      </w:rPr>
    </w:pPr>
    <w:r w:rsidRPr="007C0F57">
      <w:rPr>
        <w:b/>
        <w:i/>
        <w:sz w:val="20"/>
        <w:szCs w:val="20"/>
      </w:rPr>
      <w:t>Commercial-in-Confidence</w:t>
    </w:r>
  </w:p>
  <w:p w:rsidR="00F80475" w:rsidRDefault="00F804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254" w:rsidRDefault="00523254">
      <w:r>
        <w:separator/>
      </w:r>
    </w:p>
    <w:p w:rsidR="00523254" w:rsidRDefault="00523254"/>
  </w:footnote>
  <w:footnote w:type="continuationSeparator" w:id="0">
    <w:p w:rsidR="00523254" w:rsidRDefault="00523254">
      <w:r>
        <w:continuationSeparator/>
      </w:r>
    </w:p>
    <w:p w:rsidR="00523254" w:rsidRDefault="005232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F80475" w:rsidRPr="008E0D90" w:rsidTr="00A06225">
      <w:trPr>
        <w:trHeight w:val="151"/>
      </w:trPr>
      <w:tc>
        <w:tcPr>
          <w:tcW w:w="2389"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c>
        <w:tcPr>
          <w:tcW w:w="333" w:type="pct"/>
          <w:vMerge w:val="restart"/>
          <w:noWrap/>
          <w:vAlign w:val="center"/>
          <w:hideMark/>
        </w:tcPr>
        <w:p w:rsidR="00F80475" w:rsidRPr="00A06225" w:rsidRDefault="00F8047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80475" w:rsidRPr="00A06225" w:rsidRDefault="00F80475">
          <w:pPr>
            <w:pStyle w:val="Header"/>
            <w:spacing w:line="276" w:lineRule="auto"/>
            <w:rPr>
              <w:rFonts w:ascii="Cambria" w:eastAsia="MS Gothic" w:hAnsi="Cambria"/>
              <w:b/>
              <w:bCs/>
              <w:color w:val="4F81BD"/>
            </w:rPr>
          </w:pPr>
        </w:p>
      </w:tc>
    </w:tr>
    <w:tr w:rsidR="00F80475" w:rsidRPr="008E0D90" w:rsidTr="00A06225">
      <w:trPr>
        <w:trHeight w:val="150"/>
      </w:trPr>
      <w:tc>
        <w:tcPr>
          <w:tcW w:w="2389"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c>
        <w:tcPr>
          <w:tcW w:w="0" w:type="auto"/>
          <w:vMerge/>
          <w:vAlign w:val="center"/>
          <w:hideMark/>
        </w:tcPr>
        <w:p w:rsidR="00F80475" w:rsidRPr="00A06225" w:rsidRDefault="00F80475">
          <w:pPr>
            <w:rPr>
              <w:rFonts w:ascii="Cambria" w:hAnsi="Cambria"/>
              <w:color w:val="4F81BD"/>
              <w:sz w:val="22"/>
              <w:szCs w:val="22"/>
            </w:rPr>
          </w:pPr>
        </w:p>
      </w:tc>
      <w:tc>
        <w:tcPr>
          <w:tcW w:w="2278" w:type="pct"/>
          <w:tcBorders>
            <w:top w:val="single" w:sz="4" w:space="0" w:color="4F81BD"/>
            <w:left w:val="nil"/>
            <w:bottom w:val="nil"/>
            <w:right w:val="nil"/>
          </w:tcBorders>
        </w:tcPr>
        <w:p w:rsidR="00F80475" w:rsidRPr="00A06225" w:rsidRDefault="00F80475">
          <w:pPr>
            <w:pStyle w:val="Header"/>
            <w:spacing w:line="276" w:lineRule="auto"/>
            <w:rPr>
              <w:rFonts w:ascii="Cambria" w:eastAsia="MS Gothic" w:hAnsi="Cambria"/>
              <w:b/>
              <w:bCs/>
              <w:color w:val="4F81BD"/>
            </w:rPr>
          </w:pPr>
        </w:p>
      </w:tc>
    </w:tr>
  </w:tbl>
  <w:p w:rsidR="00F80475" w:rsidRDefault="00F80475">
    <w:pPr>
      <w:pStyle w:val="Header"/>
    </w:pPr>
  </w:p>
  <w:p w:rsidR="00F80475" w:rsidRDefault="00F8047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767" w:rsidRPr="00F90A91" w:rsidRDefault="002B053E" w:rsidP="004C6767">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4C6767" w:rsidRPr="00F90A91">
      <w:rPr>
        <w:rFonts w:asciiTheme="minorHAnsi" w:hAnsiTheme="minorHAnsi" w:cs="Arial"/>
        <w:i/>
        <w:color w:val="808080"/>
        <w:sz w:val="22"/>
      </w:rPr>
      <w:t xml:space="preserve"> – </w:t>
    </w:r>
    <w:r w:rsidR="004C6767">
      <w:rPr>
        <w:rFonts w:asciiTheme="minorHAnsi" w:hAnsiTheme="minorHAnsi" w:cs="Arial"/>
        <w:i/>
        <w:color w:val="808080"/>
        <w:sz w:val="22"/>
      </w:rPr>
      <w:t>March 2018</w:t>
    </w:r>
    <w:r w:rsidR="004C6767" w:rsidRPr="00F90A91">
      <w:rPr>
        <w:rFonts w:asciiTheme="minorHAnsi" w:hAnsiTheme="minorHAnsi" w:cs="Arial"/>
        <w:i/>
        <w:color w:val="808080"/>
        <w:sz w:val="22"/>
      </w:rPr>
      <w:t xml:space="preserve"> PBAC Meeting</w:t>
    </w:r>
  </w:p>
  <w:p w:rsidR="00F80475" w:rsidRDefault="00F8047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54" w:rsidRDefault="005232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B4515AE"/>
    <w:multiLevelType w:val="hybridMultilevel"/>
    <w:tmpl w:val="EB92E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C14669"/>
    <w:multiLevelType w:val="hybridMultilevel"/>
    <w:tmpl w:val="C3DE8D5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24D0C60"/>
    <w:multiLevelType w:val="hybridMultilevel"/>
    <w:tmpl w:val="E4066EE2"/>
    <w:lvl w:ilvl="0" w:tplc="0C09000F">
      <w:start w:val="1"/>
      <w:numFmt w:val="decimal"/>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0F487E5A"/>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asciiTheme="minorHAnsi" w:hAnsiTheme="minorHAnsi"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6"/>
  </w:num>
  <w:num w:numId="5">
    <w:abstractNumId w:val="19"/>
  </w:num>
  <w:num w:numId="6">
    <w:abstractNumId w:val="8"/>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15"/>
  </w:num>
  <w:num w:numId="16">
    <w:abstractNumId w:val="17"/>
  </w:num>
  <w:num w:numId="17">
    <w:abstractNumId w:val="6"/>
  </w:num>
  <w:num w:numId="18">
    <w:abstractNumId w:val="18"/>
  </w:num>
  <w:num w:numId="19">
    <w:abstractNumId w:val="5"/>
  </w:num>
  <w:num w:numId="20">
    <w:abstractNumId w:val="2"/>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335D"/>
    <w:rsid w:val="0002464A"/>
    <w:rsid w:val="0003106B"/>
    <w:rsid w:val="000421A1"/>
    <w:rsid w:val="0004240E"/>
    <w:rsid w:val="0004583A"/>
    <w:rsid w:val="00045E26"/>
    <w:rsid w:val="000514B5"/>
    <w:rsid w:val="00060E64"/>
    <w:rsid w:val="00066755"/>
    <w:rsid w:val="00071936"/>
    <w:rsid w:val="000768E9"/>
    <w:rsid w:val="00077143"/>
    <w:rsid w:val="00082169"/>
    <w:rsid w:val="000969AD"/>
    <w:rsid w:val="000A5669"/>
    <w:rsid w:val="000B558D"/>
    <w:rsid w:val="000B6931"/>
    <w:rsid w:val="000C6996"/>
    <w:rsid w:val="000D23BA"/>
    <w:rsid w:val="000E1CAC"/>
    <w:rsid w:val="000E681E"/>
    <w:rsid w:val="000F0003"/>
    <w:rsid w:val="000F4E6A"/>
    <w:rsid w:val="000F76FF"/>
    <w:rsid w:val="00104227"/>
    <w:rsid w:val="001107BF"/>
    <w:rsid w:val="0012417C"/>
    <w:rsid w:val="00140509"/>
    <w:rsid w:val="00142395"/>
    <w:rsid w:val="00142714"/>
    <w:rsid w:val="001452ED"/>
    <w:rsid w:val="00163329"/>
    <w:rsid w:val="00164623"/>
    <w:rsid w:val="00165B64"/>
    <w:rsid w:val="00170F15"/>
    <w:rsid w:val="00177E74"/>
    <w:rsid w:val="001830CE"/>
    <w:rsid w:val="0018643B"/>
    <w:rsid w:val="00186BFF"/>
    <w:rsid w:val="00196307"/>
    <w:rsid w:val="001A33EA"/>
    <w:rsid w:val="001B017F"/>
    <w:rsid w:val="001B2BBC"/>
    <w:rsid w:val="001B5129"/>
    <w:rsid w:val="001B587C"/>
    <w:rsid w:val="001C1195"/>
    <w:rsid w:val="001F1850"/>
    <w:rsid w:val="001F7E04"/>
    <w:rsid w:val="00203FAC"/>
    <w:rsid w:val="00211850"/>
    <w:rsid w:val="00213CFB"/>
    <w:rsid w:val="00217BE1"/>
    <w:rsid w:val="00271BA1"/>
    <w:rsid w:val="002762FA"/>
    <w:rsid w:val="00277505"/>
    <w:rsid w:val="0029458F"/>
    <w:rsid w:val="002A104C"/>
    <w:rsid w:val="002A4960"/>
    <w:rsid w:val="002B053E"/>
    <w:rsid w:val="002B1AE6"/>
    <w:rsid w:val="002B2DE8"/>
    <w:rsid w:val="002B30F8"/>
    <w:rsid w:val="002B5596"/>
    <w:rsid w:val="002C212F"/>
    <w:rsid w:val="002D3725"/>
    <w:rsid w:val="002D4543"/>
    <w:rsid w:val="002E3153"/>
    <w:rsid w:val="002E72CA"/>
    <w:rsid w:val="00300AD6"/>
    <w:rsid w:val="00317C6C"/>
    <w:rsid w:val="00326E79"/>
    <w:rsid w:val="00327B67"/>
    <w:rsid w:val="00331F1D"/>
    <w:rsid w:val="0033518A"/>
    <w:rsid w:val="003367EF"/>
    <w:rsid w:val="00341AE4"/>
    <w:rsid w:val="00342784"/>
    <w:rsid w:val="003555B6"/>
    <w:rsid w:val="00363AFA"/>
    <w:rsid w:val="003645DF"/>
    <w:rsid w:val="00367C1C"/>
    <w:rsid w:val="003714CD"/>
    <w:rsid w:val="00375713"/>
    <w:rsid w:val="00375F04"/>
    <w:rsid w:val="003872CF"/>
    <w:rsid w:val="0039782C"/>
    <w:rsid w:val="003A5B4A"/>
    <w:rsid w:val="003B23C5"/>
    <w:rsid w:val="003B2A75"/>
    <w:rsid w:val="003B6124"/>
    <w:rsid w:val="003C2FB5"/>
    <w:rsid w:val="003D09A4"/>
    <w:rsid w:val="003D4AC4"/>
    <w:rsid w:val="003D63B7"/>
    <w:rsid w:val="003E468B"/>
    <w:rsid w:val="003F3228"/>
    <w:rsid w:val="003F5C8C"/>
    <w:rsid w:val="003F6614"/>
    <w:rsid w:val="003F678B"/>
    <w:rsid w:val="004011AF"/>
    <w:rsid w:val="004252EC"/>
    <w:rsid w:val="00425380"/>
    <w:rsid w:val="00434B56"/>
    <w:rsid w:val="004465BD"/>
    <w:rsid w:val="00456737"/>
    <w:rsid w:val="0046203E"/>
    <w:rsid w:val="00466ADA"/>
    <w:rsid w:val="00476245"/>
    <w:rsid w:val="00483035"/>
    <w:rsid w:val="00485940"/>
    <w:rsid w:val="004A2484"/>
    <w:rsid w:val="004A5A85"/>
    <w:rsid w:val="004A6EAB"/>
    <w:rsid w:val="004A71D1"/>
    <w:rsid w:val="004B5640"/>
    <w:rsid w:val="004B7E46"/>
    <w:rsid w:val="004C1338"/>
    <w:rsid w:val="004C1BD7"/>
    <w:rsid w:val="004C31FE"/>
    <w:rsid w:val="004C6767"/>
    <w:rsid w:val="004C691D"/>
    <w:rsid w:val="004C6C07"/>
    <w:rsid w:val="004D1F6E"/>
    <w:rsid w:val="004D5633"/>
    <w:rsid w:val="004E692D"/>
    <w:rsid w:val="004F1754"/>
    <w:rsid w:val="00501554"/>
    <w:rsid w:val="00514CD7"/>
    <w:rsid w:val="00515AB4"/>
    <w:rsid w:val="00523254"/>
    <w:rsid w:val="005319B2"/>
    <w:rsid w:val="00532402"/>
    <w:rsid w:val="00532C74"/>
    <w:rsid w:val="00534E2E"/>
    <w:rsid w:val="00544552"/>
    <w:rsid w:val="00553476"/>
    <w:rsid w:val="00564F72"/>
    <w:rsid w:val="00576D04"/>
    <w:rsid w:val="00577C4D"/>
    <w:rsid w:val="00581932"/>
    <w:rsid w:val="005963BB"/>
    <w:rsid w:val="005A2D3D"/>
    <w:rsid w:val="005A3173"/>
    <w:rsid w:val="005A3223"/>
    <w:rsid w:val="005A3DA3"/>
    <w:rsid w:val="005A52C4"/>
    <w:rsid w:val="005D03AB"/>
    <w:rsid w:val="005D5017"/>
    <w:rsid w:val="005E1333"/>
    <w:rsid w:val="005E1885"/>
    <w:rsid w:val="00601A91"/>
    <w:rsid w:val="00602BA3"/>
    <w:rsid w:val="00612E34"/>
    <w:rsid w:val="00614159"/>
    <w:rsid w:val="00617C00"/>
    <w:rsid w:val="006263BF"/>
    <w:rsid w:val="0062748A"/>
    <w:rsid w:val="00630A2C"/>
    <w:rsid w:val="0063682E"/>
    <w:rsid w:val="00637C8E"/>
    <w:rsid w:val="006436CD"/>
    <w:rsid w:val="00650FEA"/>
    <w:rsid w:val="00651169"/>
    <w:rsid w:val="00653D69"/>
    <w:rsid w:val="00662FBB"/>
    <w:rsid w:val="006670BE"/>
    <w:rsid w:val="00670A76"/>
    <w:rsid w:val="006711AA"/>
    <w:rsid w:val="00672B57"/>
    <w:rsid w:val="006734F9"/>
    <w:rsid w:val="0067426F"/>
    <w:rsid w:val="00675622"/>
    <w:rsid w:val="0067747D"/>
    <w:rsid w:val="00680F85"/>
    <w:rsid w:val="006906DB"/>
    <w:rsid w:val="00691E6C"/>
    <w:rsid w:val="0069448A"/>
    <w:rsid w:val="00696129"/>
    <w:rsid w:val="00697CF2"/>
    <w:rsid w:val="006A12A5"/>
    <w:rsid w:val="006B0D94"/>
    <w:rsid w:val="006B338D"/>
    <w:rsid w:val="006B485D"/>
    <w:rsid w:val="006C24FE"/>
    <w:rsid w:val="006C708E"/>
    <w:rsid w:val="006D6EC7"/>
    <w:rsid w:val="006F5125"/>
    <w:rsid w:val="00702B6F"/>
    <w:rsid w:val="00703B23"/>
    <w:rsid w:val="00707FB1"/>
    <w:rsid w:val="0071340B"/>
    <w:rsid w:val="0071345D"/>
    <w:rsid w:val="007174BB"/>
    <w:rsid w:val="0072025D"/>
    <w:rsid w:val="007310B1"/>
    <w:rsid w:val="007353D3"/>
    <w:rsid w:val="007417A8"/>
    <w:rsid w:val="00754FB8"/>
    <w:rsid w:val="0076420C"/>
    <w:rsid w:val="007753C2"/>
    <w:rsid w:val="007838B8"/>
    <w:rsid w:val="007B0745"/>
    <w:rsid w:val="007B54B2"/>
    <w:rsid w:val="007C0F57"/>
    <w:rsid w:val="007C40B6"/>
    <w:rsid w:val="007C729F"/>
    <w:rsid w:val="007E1D28"/>
    <w:rsid w:val="007F2641"/>
    <w:rsid w:val="007F7C36"/>
    <w:rsid w:val="00806796"/>
    <w:rsid w:val="008151D6"/>
    <w:rsid w:val="00826F6D"/>
    <w:rsid w:val="008306F3"/>
    <w:rsid w:val="00856522"/>
    <w:rsid w:val="00856DDD"/>
    <w:rsid w:val="00863D69"/>
    <w:rsid w:val="00863E68"/>
    <w:rsid w:val="00870273"/>
    <w:rsid w:val="00882085"/>
    <w:rsid w:val="00883188"/>
    <w:rsid w:val="00890CA2"/>
    <w:rsid w:val="008942AF"/>
    <w:rsid w:val="00897D58"/>
    <w:rsid w:val="00897F22"/>
    <w:rsid w:val="008A1956"/>
    <w:rsid w:val="008A4843"/>
    <w:rsid w:val="008A4937"/>
    <w:rsid w:val="008A50F1"/>
    <w:rsid w:val="008A5DBD"/>
    <w:rsid w:val="008A6AAB"/>
    <w:rsid w:val="008B5AA9"/>
    <w:rsid w:val="008B741E"/>
    <w:rsid w:val="008D1B5C"/>
    <w:rsid w:val="008D3C82"/>
    <w:rsid w:val="008D447E"/>
    <w:rsid w:val="008D74ED"/>
    <w:rsid w:val="008D7A41"/>
    <w:rsid w:val="008E3680"/>
    <w:rsid w:val="008E5870"/>
    <w:rsid w:val="008F1434"/>
    <w:rsid w:val="008F7355"/>
    <w:rsid w:val="009067B7"/>
    <w:rsid w:val="00930937"/>
    <w:rsid w:val="00933E6C"/>
    <w:rsid w:val="00937958"/>
    <w:rsid w:val="00942160"/>
    <w:rsid w:val="00944B86"/>
    <w:rsid w:val="0095146F"/>
    <w:rsid w:val="009602C5"/>
    <w:rsid w:val="00962223"/>
    <w:rsid w:val="00964039"/>
    <w:rsid w:val="00966D0D"/>
    <w:rsid w:val="00974C21"/>
    <w:rsid w:val="00983B5F"/>
    <w:rsid w:val="009B0F67"/>
    <w:rsid w:val="009C703C"/>
    <w:rsid w:val="009D3CAA"/>
    <w:rsid w:val="009F4E46"/>
    <w:rsid w:val="009F5B65"/>
    <w:rsid w:val="009F5F2E"/>
    <w:rsid w:val="00A014AA"/>
    <w:rsid w:val="00A06225"/>
    <w:rsid w:val="00A07720"/>
    <w:rsid w:val="00A124E4"/>
    <w:rsid w:val="00A128E6"/>
    <w:rsid w:val="00A17FDB"/>
    <w:rsid w:val="00A20F36"/>
    <w:rsid w:val="00A26CCA"/>
    <w:rsid w:val="00A34E6C"/>
    <w:rsid w:val="00A37C8D"/>
    <w:rsid w:val="00A43F8B"/>
    <w:rsid w:val="00A5273B"/>
    <w:rsid w:val="00A53A9D"/>
    <w:rsid w:val="00A55FEE"/>
    <w:rsid w:val="00A62C1A"/>
    <w:rsid w:val="00A6426D"/>
    <w:rsid w:val="00A64D39"/>
    <w:rsid w:val="00A665C1"/>
    <w:rsid w:val="00A70622"/>
    <w:rsid w:val="00A70977"/>
    <w:rsid w:val="00A745E5"/>
    <w:rsid w:val="00A77613"/>
    <w:rsid w:val="00A8390C"/>
    <w:rsid w:val="00A84B55"/>
    <w:rsid w:val="00A928BD"/>
    <w:rsid w:val="00A96AF7"/>
    <w:rsid w:val="00A974A0"/>
    <w:rsid w:val="00AA4D1C"/>
    <w:rsid w:val="00AB1B67"/>
    <w:rsid w:val="00AC193C"/>
    <w:rsid w:val="00AC5206"/>
    <w:rsid w:val="00AD0C83"/>
    <w:rsid w:val="00AE11A5"/>
    <w:rsid w:val="00AE13E2"/>
    <w:rsid w:val="00AE22D3"/>
    <w:rsid w:val="00AF0932"/>
    <w:rsid w:val="00AF577F"/>
    <w:rsid w:val="00AF62DF"/>
    <w:rsid w:val="00AF68CC"/>
    <w:rsid w:val="00B1059E"/>
    <w:rsid w:val="00B176C8"/>
    <w:rsid w:val="00B205AA"/>
    <w:rsid w:val="00B22E84"/>
    <w:rsid w:val="00B25F75"/>
    <w:rsid w:val="00B26B3F"/>
    <w:rsid w:val="00B27B6B"/>
    <w:rsid w:val="00B35850"/>
    <w:rsid w:val="00B40665"/>
    <w:rsid w:val="00B43E90"/>
    <w:rsid w:val="00B467DC"/>
    <w:rsid w:val="00B523D9"/>
    <w:rsid w:val="00B56118"/>
    <w:rsid w:val="00B6773F"/>
    <w:rsid w:val="00B801BA"/>
    <w:rsid w:val="00B84D5C"/>
    <w:rsid w:val="00B958FF"/>
    <w:rsid w:val="00BA1422"/>
    <w:rsid w:val="00BA6D3D"/>
    <w:rsid w:val="00BB69F5"/>
    <w:rsid w:val="00BB7EC3"/>
    <w:rsid w:val="00BC0A7E"/>
    <w:rsid w:val="00BC4B9A"/>
    <w:rsid w:val="00BD784C"/>
    <w:rsid w:val="00BE0C19"/>
    <w:rsid w:val="00BF109C"/>
    <w:rsid w:val="00BF4CB6"/>
    <w:rsid w:val="00C00DA7"/>
    <w:rsid w:val="00C014F6"/>
    <w:rsid w:val="00C03CD7"/>
    <w:rsid w:val="00C11080"/>
    <w:rsid w:val="00C12768"/>
    <w:rsid w:val="00C27B58"/>
    <w:rsid w:val="00C307A5"/>
    <w:rsid w:val="00C35996"/>
    <w:rsid w:val="00C441E4"/>
    <w:rsid w:val="00C4747E"/>
    <w:rsid w:val="00C5342C"/>
    <w:rsid w:val="00C603D4"/>
    <w:rsid w:val="00C6256A"/>
    <w:rsid w:val="00C77891"/>
    <w:rsid w:val="00C91449"/>
    <w:rsid w:val="00C918DF"/>
    <w:rsid w:val="00C91D09"/>
    <w:rsid w:val="00C92D10"/>
    <w:rsid w:val="00C97652"/>
    <w:rsid w:val="00CB36D4"/>
    <w:rsid w:val="00CE10C4"/>
    <w:rsid w:val="00CE27B5"/>
    <w:rsid w:val="00D004FD"/>
    <w:rsid w:val="00D0321E"/>
    <w:rsid w:val="00D1455A"/>
    <w:rsid w:val="00D2656A"/>
    <w:rsid w:val="00D31150"/>
    <w:rsid w:val="00D3138B"/>
    <w:rsid w:val="00D3280C"/>
    <w:rsid w:val="00D3406A"/>
    <w:rsid w:val="00D34698"/>
    <w:rsid w:val="00D40F2E"/>
    <w:rsid w:val="00D41835"/>
    <w:rsid w:val="00D4572C"/>
    <w:rsid w:val="00D461CC"/>
    <w:rsid w:val="00D469B2"/>
    <w:rsid w:val="00D741EB"/>
    <w:rsid w:val="00D83605"/>
    <w:rsid w:val="00D84934"/>
    <w:rsid w:val="00D91271"/>
    <w:rsid w:val="00DA2CB5"/>
    <w:rsid w:val="00DA4BAC"/>
    <w:rsid w:val="00DC1B7E"/>
    <w:rsid w:val="00DC5E70"/>
    <w:rsid w:val="00DE6D27"/>
    <w:rsid w:val="00DE7DA6"/>
    <w:rsid w:val="00DF217D"/>
    <w:rsid w:val="00DF26A7"/>
    <w:rsid w:val="00E002E7"/>
    <w:rsid w:val="00E15627"/>
    <w:rsid w:val="00E164B3"/>
    <w:rsid w:val="00E16910"/>
    <w:rsid w:val="00E26A7A"/>
    <w:rsid w:val="00E32F8D"/>
    <w:rsid w:val="00E376C2"/>
    <w:rsid w:val="00E42BDB"/>
    <w:rsid w:val="00E57EEB"/>
    <w:rsid w:val="00E62D94"/>
    <w:rsid w:val="00E65E54"/>
    <w:rsid w:val="00E70983"/>
    <w:rsid w:val="00E80155"/>
    <w:rsid w:val="00E848C0"/>
    <w:rsid w:val="00E910C8"/>
    <w:rsid w:val="00E91B96"/>
    <w:rsid w:val="00E941A1"/>
    <w:rsid w:val="00E95CE3"/>
    <w:rsid w:val="00EA2825"/>
    <w:rsid w:val="00EA78E9"/>
    <w:rsid w:val="00EB0B63"/>
    <w:rsid w:val="00EB1936"/>
    <w:rsid w:val="00EB5088"/>
    <w:rsid w:val="00ED1644"/>
    <w:rsid w:val="00ED2593"/>
    <w:rsid w:val="00ED34FE"/>
    <w:rsid w:val="00ED7D9C"/>
    <w:rsid w:val="00EE55E1"/>
    <w:rsid w:val="00EF44A0"/>
    <w:rsid w:val="00EF4FED"/>
    <w:rsid w:val="00F050BD"/>
    <w:rsid w:val="00F05657"/>
    <w:rsid w:val="00F07436"/>
    <w:rsid w:val="00F25578"/>
    <w:rsid w:val="00F258E5"/>
    <w:rsid w:val="00F300BC"/>
    <w:rsid w:val="00F3334E"/>
    <w:rsid w:val="00F35584"/>
    <w:rsid w:val="00F36CCB"/>
    <w:rsid w:val="00F374E5"/>
    <w:rsid w:val="00F4381D"/>
    <w:rsid w:val="00F43AF2"/>
    <w:rsid w:val="00F50EC4"/>
    <w:rsid w:val="00F550CF"/>
    <w:rsid w:val="00F57A6D"/>
    <w:rsid w:val="00F638CC"/>
    <w:rsid w:val="00F64CC1"/>
    <w:rsid w:val="00F72317"/>
    <w:rsid w:val="00F72ED0"/>
    <w:rsid w:val="00F80475"/>
    <w:rsid w:val="00F8247A"/>
    <w:rsid w:val="00F9629A"/>
    <w:rsid w:val="00F97EFC"/>
    <w:rsid w:val="00FA5883"/>
    <w:rsid w:val="00FA6055"/>
    <w:rsid w:val="00FB322F"/>
    <w:rsid w:val="00FB442F"/>
    <w:rsid w:val="00FC1929"/>
    <w:rsid w:val="00FC5B46"/>
    <w:rsid w:val="00FC7538"/>
    <w:rsid w:val="00FD125E"/>
    <w:rsid w:val="00FD6D8E"/>
    <w:rsid w:val="00FE0A5D"/>
    <w:rsid w:val="00FE0E94"/>
    <w:rsid w:val="00FE4FE1"/>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ED34FE"/>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ED34FE"/>
    <w:rPr>
      <w:rFonts w:ascii="Arial Narrow" w:hAnsi="Arial Narrow"/>
      <w:color w:val="auto"/>
      <w:sz w:val="20"/>
      <w:szCs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ED34FE"/>
    <w:rPr>
      <w:rFonts w:asciiTheme="minorHAnsi" w:eastAsiaTheme="majorEastAsia" w:hAnsiTheme="minorHAnsi" w:cstheme="majorBidi"/>
      <w:b/>
      <w:i/>
      <w:sz w:val="28"/>
      <w:szCs w:val="28"/>
      <w:lang w:eastAsia="en-US"/>
    </w:rPr>
  </w:style>
  <w:style w:type="paragraph" w:styleId="Caption">
    <w:name w:val="caption"/>
    <w:basedOn w:val="Normal"/>
    <w:next w:val="Normal"/>
    <w:unhideWhenUsed/>
    <w:qFormat/>
    <w:rsid w:val="0046203E"/>
    <w:pPr>
      <w:spacing w:after="200"/>
    </w:pPr>
    <w:rPr>
      <w:b/>
      <w:bCs/>
      <w:color w:val="4F81BD" w:themeColor="accent1"/>
      <w:sz w:val="18"/>
      <w:szCs w:val="18"/>
    </w:rPr>
  </w:style>
  <w:style w:type="paragraph" w:styleId="Revision">
    <w:name w:val="Revision"/>
    <w:hidden/>
    <w:uiPriority w:val="71"/>
    <w:rsid w:val="0045673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ED34FE"/>
    <w:pPr>
      <w:keepNext/>
      <w:keepLines/>
      <w:spacing w:before="120" w:after="120"/>
      <w:outlineLvl w:val="1"/>
    </w:pPr>
    <w:rPr>
      <w:rFonts w:asciiTheme="minorHAnsi" w:eastAsiaTheme="majorEastAsia" w:hAnsiTheme="minorHAnsi" w:cstheme="majorBidi"/>
      <w:b/>
      <w:i/>
      <w:sz w:val="28"/>
      <w:szCs w:val="28"/>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34"/>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ED34FE"/>
    <w:rPr>
      <w:rFonts w:ascii="Arial Narrow" w:hAnsi="Arial Narrow"/>
      <w:color w:val="auto"/>
      <w:sz w:val="20"/>
      <w:szCs w:val="20"/>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ED34FE"/>
    <w:rPr>
      <w:rFonts w:asciiTheme="minorHAnsi" w:eastAsiaTheme="majorEastAsia" w:hAnsiTheme="minorHAnsi" w:cstheme="majorBidi"/>
      <w:b/>
      <w:i/>
      <w:sz w:val="28"/>
      <w:szCs w:val="28"/>
      <w:lang w:eastAsia="en-US"/>
    </w:rPr>
  </w:style>
  <w:style w:type="paragraph" w:styleId="Caption">
    <w:name w:val="caption"/>
    <w:basedOn w:val="Normal"/>
    <w:next w:val="Normal"/>
    <w:unhideWhenUsed/>
    <w:qFormat/>
    <w:rsid w:val="0046203E"/>
    <w:pPr>
      <w:spacing w:after="200"/>
    </w:pPr>
    <w:rPr>
      <w:b/>
      <w:bCs/>
      <w:color w:val="4F81BD" w:themeColor="accent1"/>
      <w:sz w:val="18"/>
      <w:szCs w:val="18"/>
    </w:rPr>
  </w:style>
  <w:style w:type="paragraph" w:styleId="Revision">
    <w:name w:val="Revision"/>
    <w:hidden/>
    <w:uiPriority w:val="71"/>
    <w:rsid w:val="0045673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6827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4C93-F954-4CC1-BE33-2E8FAA64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1792</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2018-06-19T05:43:00Z</dcterms:created>
  <dcterms:modified xsi:type="dcterms:W3CDTF">2018-06-19T05:43:00Z</dcterms:modified>
</cp:coreProperties>
</file>