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07" w:rsidRPr="00B70749" w:rsidRDefault="009D2709" w:rsidP="009F5BE2">
      <w:pPr>
        <w:pStyle w:val="Title"/>
        <w:spacing w:before="120" w:after="160"/>
        <w:ind w:left="709" w:hanging="709"/>
        <w:outlineLvl w:val="9"/>
        <w:rPr>
          <w:rFonts w:asciiTheme="minorHAnsi" w:hAnsiTheme="minorHAnsi"/>
          <w:sz w:val="36"/>
          <w:szCs w:val="36"/>
        </w:rPr>
      </w:pPr>
      <w:bookmarkStart w:id="0" w:name="_GoBack"/>
      <w:bookmarkEnd w:id="0"/>
      <w:r w:rsidRPr="00B70749">
        <w:rPr>
          <w:rFonts w:asciiTheme="minorHAnsi" w:hAnsiTheme="minorHAnsi"/>
          <w:sz w:val="36"/>
          <w:szCs w:val="36"/>
        </w:rPr>
        <w:t>4</w:t>
      </w:r>
      <w:r w:rsidR="0004240E" w:rsidRPr="00B70749">
        <w:rPr>
          <w:rFonts w:asciiTheme="minorHAnsi" w:hAnsiTheme="minorHAnsi"/>
          <w:sz w:val="36"/>
          <w:szCs w:val="36"/>
        </w:rPr>
        <w:t>.</w:t>
      </w:r>
      <w:r w:rsidR="006A4CF8" w:rsidRPr="00B70749">
        <w:rPr>
          <w:rFonts w:asciiTheme="minorHAnsi" w:hAnsiTheme="minorHAnsi"/>
          <w:sz w:val="36"/>
          <w:szCs w:val="36"/>
        </w:rPr>
        <w:t>08</w:t>
      </w:r>
      <w:r w:rsidR="007C0F57" w:rsidRPr="00B70749">
        <w:rPr>
          <w:rFonts w:asciiTheme="minorHAnsi" w:hAnsiTheme="minorHAnsi"/>
          <w:sz w:val="36"/>
          <w:szCs w:val="36"/>
        </w:rPr>
        <w:tab/>
      </w:r>
      <w:r w:rsidRPr="00B70749">
        <w:rPr>
          <w:rFonts w:asciiTheme="minorHAnsi" w:hAnsiTheme="minorHAnsi"/>
          <w:sz w:val="36"/>
          <w:szCs w:val="36"/>
        </w:rPr>
        <w:t>BARICITINIB</w:t>
      </w:r>
      <w:r w:rsidR="008A50F1" w:rsidRPr="00B70749">
        <w:rPr>
          <w:rFonts w:asciiTheme="minorHAnsi" w:hAnsiTheme="minorHAnsi"/>
          <w:sz w:val="36"/>
          <w:szCs w:val="36"/>
        </w:rPr>
        <w:t xml:space="preserve"> </w:t>
      </w:r>
      <w:r w:rsidR="008A50F1" w:rsidRPr="00B70749">
        <w:rPr>
          <w:rFonts w:asciiTheme="minorHAnsi" w:hAnsiTheme="minorHAnsi"/>
          <w:sz w:val="36"/>
          <w:szCs w:val="36"/>
        </w:rPr>
        <w:br/>
      </w:r>
      <w:r w:rsidRPr="00B70749">
        <w:rPr>
          <w:rFonts w:asciiTheme="minorHAnsi" w:hAnsiTheme="minorHAnsi"/>
          <w:sz w:val="36"/>
          <w:szCs w:val="36"/>
        </w:rPr>
        <w:t xml:space="preserve">Tablet 2 mg, </w:t>
      </w:r>
    </w:p>
    <w:p w:rsidR="00EB3307" w:rsidRPr="00B70749" w:rsidRDefault="00EB3307" w:rsidP="009F5BE2">
      <w:pPr>
        <w:pStyle w:val="Title"/>
        <w:spacing w:before="120" w:after="160"/>
        <w:ind w:left="709" w:hanging="11"/>
        <w:outlineLvl w:val="9"/>
        <w:rPr>
          <w:rFonts w:asciiTheme="minorHAnsi" w:hAnsiTheme="minorHAnsi"/>
          <w:sz w:val="36"/>
          <w:szCs w:val="36"/>
        </w:rPr>
      </w:pPr>
      <w:r w:rsidRPr="00B70749">
        <w:rPr>
          <w:rFonts w:asciiTheme="minorHAnsi" w:hAnsiTheme="minorHAnsi"/>
          <w:sz w:val="36"/>
          <w:szCs w:val="36"/>
        </w:rPr>
        <w:t>Tablet 4 mg,</w:t>
      </w:r>
    </w:p>
    <w:p w:rsidR="00C27B58" w:rsidRPr="00B70749" w:rsidRDefault="009D2709" w:rsidP="009F5BE2">
      <w:pPr>
        <w:pStyle w:val="Title"/>
        <w:spacing w:before="120" w:after="160"/>
        <w:ind w:left="709" w:hanging="11"/>
        <w:outlineLvl w:val="9"/>
        <w:rPr>
          <w:rFonts w:asciiTheme="minorHAnsi" w:hAnsiTheme="minorHAnsi"/>
          <w:sz w:val="36"/>
          <w:szCs w:val="36"/>
        </w:rPr>
      </w:pPr>
      <w:r w:rsidRPr="00B70749">
        <w:rPr>
          <w:rFonts w:asciiTheme="minorHAnsi" w:hAnsiTheme="minorHAnsi"/>
          <w:sz w:val="36"/>
          <w:szCs w:val="36"/>
        </w:rPr>
        <w:t>Olumiant®, Eli Lil</w:t>
      </w:r>
      <w:r w:rsidR="00472713" w:rsidRPr="00B70749">
        <w:rPr>
          <w:rFonts w:asciiTheme="minorHAnsi" w:hAnsiTheme="minorHAnsi"/>
          <w:sz w:val="36"/>
          <w:szCs w:val="36"/>
        </w:rPr>
        <w:t>l</w:t>
      </w:r>
      <w:r w:rsidRPr="00B70749">
        <w:rPr>
          <w:rFonts w:asciiTheme="minorHAnsi" w:hAnsiTheme="minorHAnsi"/>
          <w:sz w:val="36"/>
          <w:szCs w:val="36"/>
        </w:rPr>
        <w:t>y Australia Pty Ltd</w:t>
      </w:r>
    </w:p>
    <w:p w:rsidR="008A50F1" w:rsidRPr="00B70749" w:rsidRDefault="00CE10C4" w:rsidP="0017584F">
      <w:pPr>
        <w:pStyle w:val="Heading1"/>
        <w:rPr>
          <w:szCs w:val="32"/>
        </w:rPr>
      </w:pPr>
      <w:r w:rsidRPr="00B70749">
        <w:rPr>
          <w:szCs w:val="32"/>
        </w:rPr>
        <w:t xml:space="preserve">Purpose of </w:t>
      </w:r>
      <w:r w:rsidR="0004240E" w:rsidRPr="00B70749">
        <w:rPr>
          <w:szCs w:val="32"/>
        </w:rPr>
        <w:t>Application</w:t>
      </w:r>
    </w:p>
    <w:p w:rsidR="009D2709" w:rsidRPr="00B70749" w:rsidRDefault="00EF44A0" w:rsidP="00C671A5">
      <w:pPr>
        <w:pStyle w:val="ListParagraph"/>
        <w:widowControl/>
        <w:numPr>
          <w:ilvl w:val="1"/>
          <w:numId w:val="5"/>
        </w:numPr>
        <w:spacing w:after="120"/>
        <w:contextualSpacing w:val="0"/>
        <w:rPr>
          <w:rFonts w:ascii="Calibri" w:hAnsi="Calibri"/>
          <w:sz w:val="24"/>
          <w:szCs w:val="24"/>
        </w:rPr>
      </w:pPr>
      <w:r w:rsidRPr="00B70749">
        <w:rPr>
          <w:rFonts w:ascii="Calibri" w:eastAsiaTheme="minorHAnsi" w:hAnsi="Calibri" w:cstheme="minorBidi"/>
          <w:snapToGrid/>
          <w:sz w:val="24"/>
          <w:szCs w:val="24"/>
        </w:rPr>
        <w:t>The mi</w:t>
      </w:r>
      <w:r w:rsidR="00FF2801" w:rsidRPr="00B70749">
        <w:rPr>
          <w:rFonts w:ascii="Calibri" w:eastAsiaTheme="minorHAnsi" w:hAnsi="Calibri" w:cstheme="minorBidi"/>
          <w:snapToGrid/>
          <w:sz w:val="24"/>
          <w:szCs w:val="24"/>
        </w:rPr>
        <w:t xml:space="preserve">nor </w:t>
      </w:r>
      <w:r w:rsidR="00C671A5" w:rsidRPr="00B70749">
        <w:rPr>
          <w:rFonts w:ascii="Calibri" w:eastAsiaTheme="minorHAnsi" w:hAnsi="Calibri" w:cstheme="minorBidi"/>
          <w:snapToGrid/>
          <w:sz w:val="24"/>
          <w:szCs w:val="24"/>
        </w:rPr>
        <w:t>re</w:t>
      </w:r>
      <w:r w:rsidR="00FF2801" w:rsidRPr="00B70749">
        <w:rPr>
          <w:rFonts w:ascii="Calibri" w:eastAsiaTheme="minorHAnsi" w:hAnsi="Calibri" w:cstheme="minorBidi"/>
          <w:snapToGrid/>
          <w:sz w:val="24"/>
          <w:szCs w:val="24"/>
        </w:rPr>
        <w:t>submission requested</w:t>
      </w:r>
      <w:r w:rsidR="009D2709" w:rsidRPr="00B70749">
        <w:rPr>
          <w:rFonts w:ascii="Calibri" w:eastAsiaTheme="minorHAnsi" w:hAnsi="Calibri" w:cstheme="minorBidi"/>
          <w:snapToGrid/>
          <w:sz w:val="24"/>
          <w:szCs w:val="24"/>
        </w:rPr>
        <w:t xml:space="preserve"> </w:t>
      </w:r>
      <w:r w:rsidR="00395A72" w:rsidRPr="00B70749">
        <w:rPr>
          <w:rFonts w:ascii="Calibri" w:hAnsi="Calibri"/>
          <w:sz w:val="24"/>
          <w:szCs w:val="24"/>
        </w:rPr>
        <w:t xml:space="preserve">Authority Required general schedule </w:t>
      </w:r>
      <w:r w:rsidR="009D2709" w:rsidRPr="00B70749">
        <w:rPr>
          <w:rFonts w:ascii="Calibri" w:hAnsi="Calibri"/>
          <w:sz w:val="24"/>
          <w:szCs w:val="24"/>
        </w:rPr>
        <w:t>listing for baricitinib for treatment of severe rheumatoid arthritis (RA).</w:t>
      </w:r>
    </w:p>
    <w:p w:rsidR="006A12A5" w:rsidRPr="00B70749" w:rsidRDefault="006A12A5" w:rsidP="0017584F">
      <w:pPr>
        <w:pStyle w:val="Heading1"/>
        <w:rPr>
          <w:szCs w:val="32"/>
        </w:rPr>
      </w:pPr>
      <w:r w:rsidRPr="00B70749">
        <w:rPr>
          <w:szCs w:val="32"/>
        </w:rPr>
        <w:t>Requested listing</w:t>
      </w:r>
    </w:p>
    <w:p w:rsidR="00C671A5" w:rsidRPr="00B70749" w:rsidRDefault="009D2709" w:rsidP="004D4E6A">
      <w:pPr>
        <w:pStyle w:val="ListParagraph"/>
        <w:widowControl/>
        <w:numPr>
          <w:ilvl w:val="1"/>
          <w:numId w:val="14"/>
        </w:numPr>
        <w:spacing w:after="120"/>
        <w:contextualSpacing w:val="0"/>
      </w:pPr>
      <w:r w:rsidRPr="00B70749">
        <w:rPr>
          <w:rFonts w:ascii="Calibri" w:hAnsi="Calibri"/>
          <w:sz w:val="24"/>
          <w:szCs w:val="24"/>
        </w:rPr>
        <w:t xml:space="preserve">The requested listing was unchanged from </w:t>
      </w:r>
      <w:r w:rsidR="00AD5152" w:rsidRPr="00B70749">
        <w:rPr>
          <w:rFonts w:ascii="Calibri" w:hAnsi="Calibri"/>
          <w:sz w:val="24"/>
          <w:szCs w:val="24"/>
        </w:rPr>
        <w:t>the minor resubmission</w:t>
      </w:r>
      <w:r w:rsidR="00C671A5" w:rsidRPr="00B70749">
        <w:rPr>
          <w:rFonts w:ascii="Calibri" w:hAnsi="Calibri"/>
          <w:sz w:val="24"/>
          <w:szCs w:val="24"/>
        </w:rPr>
        <w:t xml:space="preserve"> at the </w:t>
      </w:r>
      <w:r w:rsidR="00AD5152" w:rsidRPr="00B70749">
        <w:rPr>
          <w:rFonts w:ascii="Calibri" w:hAnsi="Calibri"/>
          <w:sz w:val="24"/>
          <w:szCs w:val="24"/>
        </w:rPr>
        <w:t>November</w:t>
      </w:r>
      <w:r w:rsidRPr="00B70749">
        <w:rPr>
          <w:rFonts w:ascii="Calibri" w:hAnsi="Calibri"/>
          <w:sz w:val="24"/>
          <w:szCs w:val="24"/>
        </w:rPr>
        <w:t xml:space="preserve"> 2017 </w:t>
      </w:r>
      <w:r w:rsidR="00C671A5" w:rsidRPr="00B70749">
        <w:rPr>
          <w:rFonts w:ascii="Calibri" w:hAnsi="Calibri"/>
          <w:sz w:val="24"/>
          <w:szCs w:val="24"/>
        </w:rPr>
        <w:t xml:space="preserve">PBAC </w:t>
      </w:r>
      <w:r w:rsidR="003A7C76" w:rsidRPr="00B70749">
        <w:rPr>
          <w:rFonts w:ascii="Calibri" w:hAnsi="Calibri"/>
          <w:sz w:val="24"/>
          <w:szCs w:val="24"/>
        </w:rPr>
        <w:t>meeting</w:t>
      </w:r>
      <w:r w:rsidR="00AD5152" w:rsidRPr="00B70749">
        <w:rPr>
          <w:rFonts w:ascii="Calibri" w:hAnsi="Calibri"/>
          <w:sz w:val="24"/>
          <w:szCs w:val="24"/>
        </w:rPr>
        <w:t xml:space="preserve">. This did not differ from the requested listing </w:t>
      </w:r>
      <w:r w:rsidR="009703AC">
        <w:rPr>
          <w:rFonts w:ascii="Calibri" w:hAnsi="Calibri"/>
          <w:sz w:val="24"/>
          <w:szCs w:val="24"/>
        </w:rPr>
        <w:t>in</w:t>
      </w:r>
      <w:r w:rsidR="009703AC" w:rsidRPr="00B70749">
        <w:rPr>
          <w:rFonts w:ascii="Calibri" w:hAnsi="Calibri"/>
          <w:sz w:val="24"/>
          <w:szCs w:val="24"/>
        </w:rPr>
        <w:t xml:space="preserve"> </w:t>
      </w:r>
      <w:r w:rsidR="00AD5152" w:rsidRPr="00B70749">
        <w:rPr>
          <w:rFonts w:ascii="Calibri" w:hAnsi="Calibri"/>
          <w:sz w:val="24"/>
          <w:szCs w:val="24"/>
        </w:rPr>
        <w:t>the original submission in July 2017,</w:t>
      </w:r>
      <w:r w:rsidR="00C671A5" w:rsidRPr="00B70749">
        <w:rPr>
          <w:rFonts w:ascii="Calibri" w:hAnsi="Calibri"/>
          <w:sz w:val="24"/>
          <w:szCs w:val="24"/>
        </w:rPr>
        <w:t xml:space="preserve"> with the exception of a lower requested DPMQ</w:t>
      </w:r>
      <w:r w:rsidR="00AD5152" w:rsidRPr="00B70749">
        <w:rPr>
          <w:rFonts w:ascii="Calibri" w:hAnsi="Calibri"/>
          <w:sz w:val="24"/>
          <w:szCs w:val="24"/>
        </w:rPr>
        <w:t>, which</w:t>
      </w:r>
      <w:r w:rsidR="009703AC">
        <w:rPr>
          <w:rFonts w:ascii="Calibri" w:hAnsi="Calibri"/>
          <w:sz w:val="24"/>
          <w:szCs w:val="24"/>
        </w:rPr>
        <w:t xml:space="preserve"> the sponsor claimed</w:t>
      </w:r>
      <w:r w:rsidR="00AD5152" w:rsidRPr="00B70749">
        <w:rPr>
          <w:rFonts w:ascii="Calibri" w:hAnsi="Calibri"/>
          <w:sz w:val="24"/>
          <w:szCs w:val="24"/>
        </w:rPr>
        <w:t xml:space="preserve"> </w:t>
      </w:r>
      <w:r w:rsidR="00395A72" w:rsidRPr="00B70749">
        <w:rPr>
          <w:rFonts w:ascii="Calibri" w:hAnsi="Calibri"/>
          <w:sz w:val="24"/>
          <w:szCs w:val="24"/>
        </w:rPr>
        <w:t xml:space="preserve">is the same as currently listed bDMARDs for RA. </w:t>
      </w:r>
      <w:r w:rsidR="00472713" w:rsidRPr="00B70749">
        <w:rPr>
          <w:rFonts w:ascii="Calibri" w:hAnsi="Calibri"/>
          <w:sz w:val="24"/>
          <w:szCs w:val="24"/>
        </w:rPr>
        <w:t>The submission proposed an</w:t>
      </w:r>
      <w:r w:rsidR="004D4E6A" w:rsidRPr="00B70749">
        <w:rPr>
          <w:rFonts w:ascii="Calibri" w:hAnsi="Calibri"/>
          <w:sz w:val="24"/>
          <w:szCs w:val="24"/>
        </w:rPr>
        <w:t xml:space="preserve"> initial treatment </w:t>
      </w:r>
      <w:r w:rsidR="00472713" w:rsidRPr="00B70749">
        <w:rPr>
          <w:rFonts w:ascii="Calibri" w:hAnsi="Calibri"/>
          <w:sz w:val="24"/>
          <w:szCs w:val="24"/>
        </w:rPr>
        <w:t xml:space="preserve">course </w:t>
      </w:r>
      <w:r w:rsidR="004D4E6A" w:rsidRPr="00B70749">
        <w:rPr>
          <w:rFonts w:ascii="Calibri" w:hAnsi="Calibri"/>
          <w:sz w:val="24"/>
          <w:szCs w:val="24"/>
        </w:rPr>
        <w:t xml:space="preserve">of 16 weeks duration, and </w:t>
      </w:r>
      <w:r w:rsidR="00472713" w:rsidRPr="00B70749">
        <w:rPr>
          <w:rFonts w:ascii="Calibri" w:hAnsi="Calibri"/>
          <w:sz w:val="24"/>
          <w:szCs w:val="24"/>
        </w:rPr>
        <w:t xml:space="preserve">a </w:t>
      </w:r>
      <w:r w:rsidR="004D4E6A" w:rsidRPr="00B70749">
        <w:rPr>
          <w:rFonts w:ascii="Calibri" w:hAnsi="Calibri"/>
          <w:sz w:val="24"/>
          <w:szCs w:val="24"/>
        </w:rPr>
        <w:t xml:space="preserve">continuing treatment </w:t>
      </w:r>
      <w:r w:rsidR="00472713" w:rsidRPr="00B70749">
        <w:rPr>
          <w:rFonts w:ascii="Calibri" w:hAnsi="Calibri"/>
          <w:sz w:val="24"/>
          <w:szCs w:val="24"/>
        </w:rPr>
        <w:t xml:space="preserve">course </w:t>
      </w:r>
      <w:r w:rsidR="004D4E6A" w:rsidRPr="00B70749">
        <w:rPr>
          <w:rFonts w:ascii="Calibri" w:hAnsi="Calibri"/>
          <w:sz w:val="24"/>
          <w:szCs w:val="24"/>
        </w:rPr>
        <w:t>of 24 weeks duration.</w:t>
      </w:r>
    </w:p>
    <w:p w:rsidR="00C603D4" w:rsidRPr="00B70749" w:rsidRDefault="00CE10C4" w:rsidP="0017584F">
      <w:pPr>
        <w:pStyle w:val="Heading1"/>
        <w:rPr>
          <w:szCs w:val="32"/>
        </w:rPr>
      </w:pPr>
      <w:r w:rsidRPr="00B70749">
        <w:rPr>
          <w:szCs w:val="32"/>
        </w:rPr>
        <w:t>Background</w:t>
      </w:r>
    </w:p>
    <w:p w:rsidR="00224F02" w:rsidRDefault="000A6B86" w:rsidP="000A6B8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t xml:space="preserve">This was the second resubmission for baricitinib to the PBAC. The original submission was discussed at the July 2017 PBAC meeting, </w:t>
      </w:r>
      <w:r w:rsidR="005E515E" w:rsidRPr="00B70749">
        <w:rPr>
          <w:rFonts w:asciiTheme="minorHAnsi" w:eastAsiaTheme="minorHAnsi" w:hAnsiTheme="minorHAnsi" w:cstheme="minorBidi"/>
          <w:snapToGrid/>
          <w:sz w:val="24"/>
          <w:szCs w:val="22"/>
        </w:rPr>
        <w:t xml:space="preserve">where </w:t>
      </w:r>
      <w:r w:rsidRPr="00B70749">
        <w:rPr>
          <w:rFonts w:asciiTheme="minorHAnsi" w:eastAsiaTheme="minorHAnsi" w:hAnsiTheme="minorHAnsi" w:cstheme="minorBidi"/>
          <w:snapToGrid/>
          <w:sz w:val="24"/>
          <w:szCs w:val="22"/>
        </w:rPr>
        <w:t>the PBAC was of a mind to reject baricitinib based on uncertain clinical need and efficacy, and concerns about the safety profile, particularly in relation to serious adverse events. However, the PBAC deferred making a recommendation on the listing pending the provision of the re</w:t>
      </w:r>
      <w:r w:rsidR="00D2407E">
        <w:rPr>
          <w:rFonts w:asciiTheme="minorHAnsi" w:eastAsiaTheme="minorHAnsi" w:hAnsiTheme="minorHAnsi" w:cstheme="minorBidi"/>
          <w:snapToGrid/>
          <w:sz w:val="24"/>
          <w:szCs w:val="22"/>
        </w:rPr>
        <w:t>levant TGA delegate’s overview.</w:t>
      </w:r>
    </w:p>
    <w:p w:rsidR="00224F02" w:rsidRPr="008E2BE0" w:rsidRDefault="005E515E" w:rsidP="008E2BE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t xml:space="preserve">A minor resubmission to the November 2017 PBAC meeting, which </w:t>
      </w:r>
      <w:r w:rsidR="00224F02" w:rsidRPr="00B70749">
        <w:rPr>
          <w:rFonts w:asciiTheme="minorHAnsi" w:eastAsiaTheme="minorHAnsi" w:hAnsiTheme="minorHAnsi" w:cstheme="minorBidi"/>
          <w:snapToGrid/>
          <w:sz w:val="24"/>
          <w:szCs w:val="22"/>
        </w:rPr>
        <w:t xml:space="preserve">sought to address </w:t>
      </w:r>
      <w:r w:rsidR="00827914">
        <w:rPr>
          <w:rFonts w:asciiTheme="minorHAnsi" w:eastAsiaTheme="minorHAnsi" w:hAnsiTheme="minorHAnsi" w:cstheme="minorBidi"/>
          <w:snapToGrid/>
          <w:sz w:val="24"/>
          <w:szCs w:val="22"/>
        </w:rPr>
        <w:t xml:space="preserve">the </w:t>
      </w:r>
      <w:r w:rsidR="00224F02" w:rsidRPr="00B70749">
        <w:rPr>
          <w:rFonts w:asciiTheme="minorHAnsi" w:eastAsiaTheme="minorHAnsi" w:hAnsiTheme="minorHAnsi" w:cstheme="minorBidi"/>
          <w:snapToGrid/>
          <w:sz w:val="24"/>
          <w:szCs w:val="22"/>
        </w:rPr>
        <w:t>PBAC</w:t>
      </w:r>
      <w:r w:rsidR="00827914">
        <w:rPr>
          <w:rFonts w:asciiTheme="minorHAnsi" w:eastAsiaTheme="minorHAnsi" w:hAnsiTheme="minorHAnsi" w:cstheme="minorBidi"/>
          <w:snapToGrid/>
          <w:sz w:val="24"/>
          <w:szCs w:val="22"/>
        </w:rPr>
        <w:t>’</w:t>
      </w:r>
      <w:r w:rsidR="00224F02" w:rsidRPr="00B70749">
        <w:rPr>
          <w:rFonts w:asciiTheme="minorHAnsi" w:eastAsiaTheme="minorHAnsi" w:hAnsiTheme="minorHAnsi" w:cstheme="minorBidi"/>
          <w:snapToGrid/>
          <w:sz w:val="24"/>
          <w:szCs w:val="22"/>
        </w:rPr>
        <w:t xml:space="preserve">s concerns around comparative efficacy, was deferred </w:t>
      </w:r>
      <w:r w:rsidR="009703AC">
        <w:rPr>
          <w:rFonts w:asciiTheme="minorHAnsi" w:eastAsiaTheme="minorHAnsi" w:hAnsiTheme="minorHAnsi" w:cstheme="minorBidi"/>
          <w:snapToGrid/>
          <w:sz w:val="24"/>
          <w:szCs w:val="22"/>
        </w:rPr>
        <w:t xml:space="preserve">without discussion </w:t>
      </w:r>
      <w:r w:rsidR="00224F02" w:rsidRPr="00B70749">
        <w:rPr>
          <w:rFonts w:asciiTheme="minorHAnsi" w:eastAsiaTheme="minorHAnsi" w:hAnsiTheme="minorHAnsi" w:cstheme="minorBidi"/>
          <w:snapToGrid/>
          <w:sz w:val="24"/>
          <w:szCs w:val="22"/>
        </w:rPr>
        <w:t>pending provision of the TGA delegate’s overview</w:t>
      </w:r>
      <w:r w:rsidR="009703AC">
        <w:rPr>
          <w:rFonts w:asciiTheme="minorHAnsi" w:eastAsiaTheme="minorHAnsi" w:hAnsiTheme="minorHAnsi" w:cstheme="minorBidi"/>
          <w:snapToGrid/>
          <w:sz w:val="24"/>
          <w:szCs w:val="22"/>
        </w:rPr>
        <w:t>, as</w:t>
      </w:r>
      <w:r w:rsidR="00224F02" w:rsidRPr="00B70749">
        <w:rPr>
          <w:rFonts w:asciiTheme="minorHAnsi" w:eastAsiaTheme="minorHAnsi" w:hAnsiTheme="minorHAnsi" w:cstheme="minorBidi"/>
          <w:snapToGrid/>
          <w:sz w:val="24"/>
          <w:szCs w:val="22"/>
        </w:rPr>
        <w:t xml:space="preserve"> </w:t>
      </w:r>
      <w:r w:rsidR="009703AC">
        <w:rPr>
          <w:rFonts w:asciiTheme="minorHAnsi" w:eastAsiaTheme="minorHAnsi" w:hAnsiTheme="minorHAnsi" w:cstheme="minorBidi"/>
          <w:snapToGrid/>
          <w:sz w:val="24"/>
          <w:szCs w:val="22"/>
        </w:rPr>
        <w:t>t</w:t>
      </w:r>
      <w:r w:rsidR="00224F02" w:rsidRPr="008E2BE0">
        <w:rPr>
          <w:rFonts w:asciiTheme="minorHAnsi" w:eastAsiaTheme="minorHAnsi" w:hAnsiTheme="minorHAnsi" w:cstheme="minorBidi"/>
          <w:snapToGrid/>
          <w:sz w:val="24"/>
          <w:szCs w:val="22"/>
        </w:rPr>
        <w:t>he Committee considered the outcomes of the TGA’s evaluation of safety were germane to the PBAC deliberations.</w:t>
      </w:r>
    </w:p>
    <w:p w:rsidR="00224F02" w:rsidRPr="008E2BE0" w:rsidRDefault="00224F02" w:rsidP="00224F0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t xml:space="preserve">The March 2018 minor resubmission remained unchanged from </w:t>
      </w:r>
      <w:r w:rsidR="00827914">
        <w:rPr>
          <w:rFonts w:asciiTheme="minorHAnsi" w:eastAsiaTheme="minorHAnsi" w:hAnsiTheme="minorHAnsi" w:cstheme="minorBidi"/>
          <w:snapToGrid/>
          <w:sz w:val="24"/>
          <w:szCs w:val="22"/>
        </w:rPr>
        <w:t>the November 2017 resubmission.</w:t>
      </w:r>
    </w:p>
    <w:p w:rsidR="0094439A" w:rsidRPr="00827914" w:rsidRDefault="0094439A" w:rsidP="00827914">
      <w:pPr>
        <w:spacing w:before="240" w:after="120"/>
        <w:rPr>
          <w:rFonts w:asciiTheme="minorHAnsi" w:eastAsiaTheme="majorEastAsia" w:hAnsiTheme="minorHAnsi" w:cstheme="majorBidi"/>
          <w:b/>
          <w:i/>
          <w:sz w:val="28"/>
          <w:szCs w:val="28"/>
          <w:lang w:eastAsia="en-US"/>
        </w:rPr>
      </w:pPr>
      <w:r w:rsidRPr="00827914">
        <w:rPr>
          <w:rFonts w:asciiTheme="minorHAnsi" w:eastAsiaTheme="majorEastAsia" w:hAnsiTheme="minorHAnsi" w:cstheme="majorBidi"/>
          <w:b/>
          <w:i/>
          <w:sz w:val="28"/>
          <w:szCs w:val="28"/>
          <w:lang w:eastAsia="en-US"/>
        </w:rPr>
        <w:t xml:space="preserve">Registration </w:t>
      </w:r>
      <w:r w:rsidR="00C24B62" w:rsidRPr="00827914">
        <w:rPr>
          <w:rFonts w:asciiTheme="minorHAnsi" w:eastAsiaTheme="majorEastAsia" w:hAnsiTheme="minorHAnsi" w:cstheme="majorBidi"/>
          <w:b/>
          <w:i/>
          <w:sz w:val="28"/>
          <w:szCs w:val="28"/>
          <w:lang w:eastAsia="en-US"/>
        </w:rPr>
        <w:t>status</w:t>
      </w:r>
    </w:p>
    <w:p w:rsidR="00A64658" w:rsidRPr="00B70749" w:rsidRDefault="002C7D69" w:rsidP="00E1498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t xml:space="preserve">The TGA delegate’s overview was received on 15 January 2018. </w:t>
      </w:r>
      <w:r w:rsidR="007A7CE0">
        <w:rPr>
          <w:rFonts w:asciiTheme="minorHAnsi" w:eastAsiaTheme="minorHAnsi" w:hAnsiTheme="minorHAnsi" w:cstheme="minorBidi"/>
          <w:noProof/>
          <w:snapToGrid/>
          <w:color w:val="000000"/>
          <w:sz w:val="24"/>
          <w:szCs w:val="22"/>
          <w:highlight w:val="black"/>
        </w:rPr>
        <w:t>'''''''' ''''''''''''''''' '''''''' ''' ''''''''''''''' '''' ''''''''''''''''''''''''''' '''''''' ''''''' '''''''''''''''''''''''' '''''''''''''''' ''''''''''''''''''''' '''''' ''''''''''' '''''''''''' ''''' ''''''''''''''''' '''''''' ''''''' '''''''''''' ''''' ''''''''' '''''''' ''''' ''''''''''' ''''''''''''''''''''''''''''</w:t>
      </w:r>
      <w:r w:rsidR="005B2791" w:rsidRPr="00B70749">
        <w:rPr>
          <w:rFonts w:asciiTheme="minorHAnsi" w:eastAsiaTheme="minorHAnsi" w:hAnsiTheme="minorHAnsi" w:cstheme="minorBidi"/>
          <w:snapToGrid/>
          <w:sz w:val="24"/>
          <w:szCs w:val="22"/>
        </w:rPr>
        <w:t xml:space="preserve"> the delegate </w:t>
      </w:r>
      <w:r w:rsidR="007A7CE0">
        <w:rPr>
          <w:rFonts w:asciiTheme="minorHAnsi" w:eastAsiaTheme="minorHAnsi" w:hAnsiTheme="minorHAnsi" w:cstheme="minorBidi"/>
          <w:noProof/>
          <w:snapToGrid/>
          <w:color w:val="000000"/>
          <w:sz w:val="24"/>
          <w:szCs w:val="22"/>
          <w:highlight w:val="black"/>
        </w:rPr>
        <w:t>'''''''' '''''''''''' ''''' '''''''''''''' ''' '''''''''''''''''''''' ''''''''''''''''''''''' ''''' '''''''''''''''''''' ''''''</w:t>
      </w:r>
      <w:r w:rsidR="005B2791" w:rsidRPr="00B70749">
        <w:rPr>
          <w:rFonts w:asciiTheme="minorHAnsi" w:eastAsiaTheme="minorHAnsi" w:hAnsiTheme="minorHAnsi" w:cstheme="minorBidi"/>
          <w:snapToGrid/>
          <w:sz w:val="24"/>
          <w:szCs w:val="22"/>
        </w:rPr>
        <w:t xml:space="preserve"> sought the ACM’s advice on the issues of concern.</w:t>
      </w:r>
    </w:p>
    <w:p w:rsidR="000A6B86" w:rsidRPr="00B70749" w:rsidRDefault="005B2791" w:rsidP="000E1D1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lastRenderedPageBreak/>
        <w:t xml:space="preserve">The ACM considered baricitinib to have an overall positive benefit-risk profile for its proposed indication. </w:t>
      </w:r>
      <w:r w:rsidR="008C020C" w:rsidRPr="00B70749">
        <w:rPr>
          <w:rFonts w:asciiTheme="minorHAnsi" w:eastAsiaTheme="minorHAnsi" w:hAnsiTheme="minorHAnsi" w:cstheme="minorBidi"/>
          <w:snapToGrid/>
          <w:sz w:val="24"/>
          <w:szCs w:val="22"/>
        </w:rPr>
        <w:t>The ACM advised:</w:t>
      </w:r>
    </w:p>
    <w:p w:rsidR="008C020C" w:rsidRPr="007A7CE0" w:rsidRDefault="008C020C" w:rsidP="008C020C">
      <w:pPr>
        <w:pStyle w:val="ListParagraph"/>
        <w:widowControl/>
        <w:numPr>
          <w:ilvl w:val="0"/>
          <w:numId w:val="16"/>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t xml:space="preserve">4 mg to be the usual dose, and </w:t>
      </w:r>
      <w:r w:rsidR="003E7046" w:rsidRPr="00B70749">
        <w:rPr>
          <w:rFonts w:asciiTheme="minorHAnsi" w:eastAsiaTheme="minorHAnsi" w:hAnsiTheme="minorHAnsi" w:cstheme="minorBidi"/>
          <w:snapToGrid/>
          <w:sz w:val="24"/>
          <w:szCs w:val="22"/>
        </w:rPr>
        <w:t xml:space="preserve">that </w:t>
      </w:r>
      <w:r w:rsidRPr="00B70749">
        <w:rPr>
          <w:rFonts w:asciiTheme="minorHAnsi" w:eastAsiaTheme="minorHAnsi" w:hAnsiTheme="minorHAnsi" w:cstheme="minorBidi"/>
          <w:snapToGrid/>
          <w:sz w:val="24"/>
          <w:szCs w:val="22"/>
        </w:rPr>
        <w:t xml:space="preserve">2 mg </w:t>
      </w:r>
      <w:r w:rsidR="003E7046" w:rsidRPr="00B70749">
        <w:rPr>
          <w:rFonts w:asciiTheme="minorHAnsi" w:eastAsiaTheme="minorHAnsi" w:hAnsiTheme="minorHAnsi" w:cstheme="minorBidi"/>
          <w:snapToGrid/>
          <w:sz w:val="24"/>
          <w:szCs w:val="22"/>
        </w:rPr>
        <w:t>is the</w:t>
      </w:r>
      <w:r w:rsidRPr="00B70749">
        <w:rPr>
          <w:rFonts w:asciiTheme="minorHAnsi" w:eastAsiaTheme="minorHAnsi" w:hAnsiTheme="minorHAnsi" w:cstheme="minorBidi"/>
          <w:snapToGrid/>
          <w:sz w:val="24"/>
          <w:szCs w:val="22"/>
        </w:rPr>
        <w:t xml:space="preserve"> recommended </w:t>
      </w:r>
      <w:r w:rsidR="003E7046" w:rsidRPr="00B70749">
        <w:rPr>
          <w:rFonts w:asciiTheme="minorHAnsi" w:eastAsiaTheme="minorHAnsi" w:hAnsiTheme="minorHAnsi" w:cstheme="minorBidi"/>
          <w:snapToGrid/>
          <w:sz w:val="24"/>
          <w:szCs w:val="22"/>
        </w:rPr>
        <w:t xml:space="preserve">dose </w:t>
      </w:r>
      <w:r w:rsidRPr="00B70749">
        <w:rPr>
          <w:rFonts w:asciiTheme="minorHAnsi" w:eastAsiaTheme="minorHAnsi" w:hAnsiTheme="minorHAnsi" w:cstheme="minorBidi"/>
          <w:snapToGrid/>
          <w:sz w:val="24"/>
          <w:szCs w:val="22"/>
        </w:rPr>
        <w:t xml:space="preserve">in patients with moderate renal impairment. </w:t>
      </w:r>
      <w:r w:rsidRPr="00C52736">
        <w:rPr>
          <w:rFonts w:asciiTheme="minorHAnsi" w:eastAsiaTheme="minorHAnsi" w:hAnsiTheme="minorHAnsi" w:cstheme="minorBidi"/>
          <w:snapToGrid/>
          <w:sz w:val="24"/>
          <w:szCs w:val="22"/>
        </w:rPr>
        <w:t xml:space="preserve">This was based on </w:t>
      </w:r>
      <w:r w:rsidR="007A7CE0">
        <w:rPr>
          <w:rFonts w:asciiTheme="minorHAnsi" w:eastAsiaTheme="minorHAnsi" w:hAnsiTheme="minorHAnsi" w:cstheme="minorBidi"/>
          <w:noProof/>
          <w:snapToGrid/>
          <w:color w:val="000000"/>
          <w:sz w:val="24"/>
          <w:szCs w:val="22"/>
          <w:highlight w:val="black"/>
        </w:rPr>
        <w:t>''''''' ''' '''''''''''''' '''''''''' ''''''''''' ''''''''''' ''''''''''''''''''''''' ''''''''''''''''' '''''''''' '''''' '' ''''''''''''''' ''''''''''</w:t>
      </w:r>
      <w:r w:rsidRPr="00B0264E">
        <w:rPr>
          <w:rFonts w:asciiTheme="minorHAnsi" w:eastAsiaTheme="minorHAnsi" w:hAnsiTheme="minorHAnsi" w:cstheme="minorBidi"/>
          <w:snapToGrid/>
          <w:sz w:val="24"/>
          <w:szCs w:val="22"/>
        </w:rPr>
        <w:t xml:space="preserve"> </w:t>
      </w:r>
      <w:r w:rsidRPr="00C52736">
        <w:rPr>
          <w:rFonts w:asciiTheme="minorHAnsi" w:eastAsiaTheme="minorHAnsi" w:hAnsiTheme="minorHAnsi" w:cstheme="minorBidi"/>
          <w:snapToGrid/>
          <w:sz w:val="24"/>
          <w:szCs w:val="22"/>
        </w:rPr>
        <w:t>and</w:t>
      </w:r>
      <w:r w:rsidR="00C3212D" w:rsidRPr="00C52736">
        <w:rPr>
          <w:rFonts w:asciiTheme="minorHAnsi" w:eastAsiaTheme="minorHAnsi" w:hAnsiTheme="minorHAnsi" w:cstheme="minorBidi"/>
          <w:snapToGrid/>
          <w:sz w:val="24"/>
          <w:szCs w:val="22"/>
        </w:rPr>
        <w:t xml:space="preserve"> that</w:t>
      </w:r>
      <w:r w:rsidRPr="00C52736">
        <w:rPr>
          <w:rFonts w:asciiTheme="minorHAnsi" w:eastAsiaTheme="minorHAnsi" w:hAnsiTheme="minorHAnsi" w:cstheme="minorBidi"/>
          <w:snapToGrid/>
          <w:sz w:val="24"/>
          <w:szCs w:val="22"/>
        </w:rPr>
        <w:t xml:space="preserve"> the</w:t>
      </w:r>
      <w:r w:rsidRPr="00B70749">
        <w:rPr>
          <w:rFonts w:asciiTheme="minorHAnsi" w:eastAsiaTheme="minorHAnsi" w:hAnsiTheme="minorHAnsi" w:cstheme="minorBidi"/>
          <w:snapToGrid/>
          <w:sz w:val="24"/>
          <w:szCs w:val="22"/>
        </w:rPr>
        <w:t xml:space="preserve"> 4 mg</w:t>
      </w:r>
      <w:r w:rsidR="00C3212D" w:rsidRPr="00B70749">
        <w:rPr>
          <w:rFonts w:asciiTheme="minorHAnsi" w:eastAsiaTheme="minorHAnsi" w:hAnsiTheme="minorHAnsi" w:cstheme="minorBidi"/>
          <w:snapToGrid/>
          <w:sz w:val="24"/>
          <w:szCs w:val="22"/>
        </w:rPr>
        <w:t>/day dose</w:t>
      </w:r>
      <w:r w:rsidRPr="00B70749">
        <w:rPr>
          <w:rFonts w:asciiTheme="minorHAnsi" w:eastAsiaTheme="minorHAnsi" w:hAnsiTheme="minorHAnsi" w:cstheme="minorBidi"/>
          <w:snapToGrid/>
          <w:sz w:val="24"/>
          <w:szCs w:val="22"/>
        </w:rPr>
        <w:t xml:space="preserve"> provided a more rapid onset and a </w:t>
      </w:r>
      <w:r w:rsidR="00C3212D" w:rsidRPr="00B70749">
        <w:rPr>
          <w:rFonts w:asciiTheme="minorHAnsi" w:eastAsiaTheme="minorHAnsi" w:hAnsiTheme="minorHAnsi" w:cstheme="minorBidi"/>
          <w:snapToGrid/>
          <w:sz w:val="24"/>
          <w:szCs w:val="22"/>
        </w:rPr>
        <w:t xml:space="preserve">numerically </w:t>
      </w:r>
      <w:r w:rsidRPr="00B70749">
        <w:rPr>
          <w:rFonts w:asciiTheme="minorHAnsi" w:eastAsiaTheme="minorHAnsi" w:hAnsiTheme="minorHAnsi" w:cstheme="minorBidi"/>
          <w:snapToGrid/>
          <w:sz w:val="24"/>
          <w:szCs w:val="22"/>
        </w:rPr>
        <w:t xml:space="preserve">higher </w:t>
      </w:r>
      <w:r w:rsidR="00C3212D" w:rsidRPr="00B70749">
        <w:rPr>
          <w:rFonts w:asciiTheme="minorHAnsi" w:eastAsiaTheme="minorHAnsi" w:hAnsiTheme="minorHAnsi" w:cstheme="minorBidi"/>
          <w:snapToGrid/>
          <w:sz w:val="24"/>
          <w:szCs w:val="22"/>
        </w:rPr>
        <w:t xml:space="preserve">clinical </w:t>
      </w:r>
      <w:r w:rsidRPr="00B70749">
        <w:rPr>
          <w:rFonts w:asciiTheme="minorHAnsi" w:eastAsiaTheme="minorHAnsi" w:hAnsiTheme="minorHAnsi" w:cstheme="minorBidi"/>
          <w:snapToGrid/>
          <w:sz w:val="24"/>
          <w:szCs w:val="22"/>
        </w:rPr>
        <w:t>response rate</w:t>
      </w:r>
      <w:r w:rsidR="00C3212D" w:rsidRPr="00B70749">
        <w:rPr>
          <w:rFonts w:asciiTheme="minorHAnsi" w:eastAsiaTheme="minorHAnsi" w:hAnsiTheme="minorHAnsi" w:cstheme="minorBidi"/>
          <w:snapToGrid/>
          <w:sz w:val="24"/>
          <w:szCs w:val="22"/>
        </w:rPr>
        <w:t xml:space="preserve"> than the 2 mg/day dose</w:t>
      </w:r>
      <w:r w:rsidRPr="00B70749">
        <w:rPr>
          <w:rFonts w:asciiTheme="minorHAnsi" w:eastAsiaTheme="minorHAnsi" w:hAnsiTheme="minorHAnsi" w:cstheme="minorBidi"/>
          <w:snapToGrid/>
          <w:sz w:val="24"/>
          <w:szCs w:val="22"/>
        </w:rPr>
        <w:t xml:space="preserve">. </w:t>
      </w:r>
      <w:r w:rsidR="007A7CE0">
        <w:rPr>
          <w:rFonts w:asciiTheme="minorHAnsi" w:eastAsiaTheme="minorHAnsi" w:hAnsiTheme="minorHAnsi" w:cstheme="minorBidi"/>
          <w:noProof/>
          <w:snapToGrid/>
          <w:color w:val="000000"/>
          <w:sz w:val="24"/>
          <w:szCs w:val="22"/>
          <w:highlight w:val="black"/>
        </w:rPr>
        <w:t>''''''' '''''''''''' '''''''''''''' '''''''' ''''''' ''''''' '''''''''' ''' ''''''''' '''''''''''''''''''''''''' ''''''''''''''''</w:t>
      </w:r>
    </w:p>
    <w:p w:rsidR="001C5411" w:rsidRPr="007A7CE0" w:rsidRDefault="007A7CE0" w:rsidP="003E7046">
      <w:pPr>
        <w:pStyle w:val="ListParagraph"/>
        <w:widowControl/>
        <w:numPr>
          <w:ilvl w:val="0"/>
          <w:numId w:val="16"/>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noProof/>
          <w:snapToGrid/>
          <w:color w:val="000000"/>
          <w:sz w:val="24"/>
          <w:szCs w:val="22"/>
          <w:highlight w:val="black"/>
        </w:rPr>
        <w:t>''''''' '''''''' '''' ''''''''''''''' '''''''''''''''''''''''''''''''''''' '''''''''' '''''''''''''' ''''' '''''''''''''''''''''</w:t>
      </w:r>
      <w:r w:rsidR="008C020C" w:rsidRPr="00B70749">
        <w:rPr>
          <w:rFonts w:asciiTheme="minorHAnsi" w:eastAsiaTheme="minorHAnsi" w:hAnsiTheme="minorHAnsi" w:cstheme="minorBidi"/>
          <w:snapToGrid/>
          <w:sz w:val="24"/>
          <w:szCs w:val="22"/>
        </w:rPr>
        <w:t xml:space="preserve"> The ACM suggested amendment of the product information to advise on the risk of VTE and how to manage it, </w:t>
      </w:r>
      <w:r>
        <w:rPr>
          <w:rFonts w:asciiTheme="minorHAnsi" w:eastAsiaTheme="minorHAnsi" w:hAnsiTheme="minorHAnsi" w:cstheme="minorBidi"/>
          <w:noProof/>
          <w:snapToGrid/>
          <w:color w:val="000000"/>
          <w:sz w:val="24"/>
          <w:szCs w:val="22"/>
          <w:highlight w:val="black"/>
        </w:rPr>
        <w:t>'''''''' '''''''''''''' ''''''' ''' ''''''''''''''' '''''''' ''''''''' ''''''' '''''''''''''''''''' '''' ''' ''''''''''''''''' '''' '''''''' ''''''' ''''''''' ''''''''''''''''''''''''''''''''''</w:t>
      </w:r>
    </w:p>
    <w:p w:rsidR="00EA1EE8" w:rsidRPr="00B70749" w:rsidRDefault="00EA1EE8" w:rsidP="00EA1EE8">
      <w:pPr>
        <w:pStyle w:val="ListParagraph"/>
        <w:widowControl/>
        <w:numPr>
          <w:ilvl w:val="0"/>
          <w:numId w:val="16"/>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t xml:space="preserve">The </w:t>
      </w:r>
      <w:r w:rsidR="00C3212D" w:rsidRPr="00B70749">
        <w:rPr>
          <w:rFonts w:asciiTheme="minorHAnsi" w:eastAsiaTheme="minorHAnsi" w:hAnsiTheme="minorHAnsi" w:cstheme="minorBidi"/>
          <w:snapToGrid/>
          <w:sz w:val="24"/>
          <w:szCs w:val="22"/>
        </w:rPr>
        <w:t xml:space="preserve">recommended </w:t>
      </w:r>
      <w:r w:rsidRPr="00B70749">
        <w:rPr>
          <w:rFonts w:asciiTheme="minorHAnsi" w:eastAsiaTheme="minorHAnsi" w:hAnsiTheme="minorHAnsi" w:cstheme="minorBidi"/>
          <w:snapToGrid/>
          <w:sz w:val="24"/>
          <w:szCs w:val="22"/>
        </w:rPr>
        <w:t>dose was not substantially affected by body weight.</w:t>
      </w:r>
    </w:p>
    <w:p w:rsidR="00EA1EE8" w:rsidRPr="007A7CE0" w:rsidRDefault="00EA1EE8" w:rsidP="00EA1EE8">
      <w:pPr>
        <w:pStyle w:val="ListParagraph"/>
        <w:widowControl/>
        <w:numPr>
          <w:ilvl w:val="0"/>
          <w:numId w:val="16"/>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t xml:space="preserve">Pregnancy Category D was reasonable </w:t>
      </w:r>
      <w:r w:rsidR="007A7CE0">
        <w:rPr>
          <w:rFonts w:asciiTheme="minorHAnsi" w:eastAsiaTheme="minorHAnsi" w:hAnsiTheme="minorHAnsi" w:cstheme="minorBidi"/>
          <w:noProof/>
          <w:snapToGrid/>
          <w:color w:val="000000"/>
          <w:sz w:val="24"/>
          <w:szCs w:val="22"/>
          <w:highlight w:val="black"/>
        </w:rPr>
        <w:t>''''''''''' '''''' '''''''''''''''''' ''''''''''' ''''''''''''''''''''' ''''''''''''' '''''''''''''' ''''' ''''''''''''''''''''' ''''''''' ''''''''''' ''''''' '''''''''''''''''''</w:t>
      </w:r>
    </w:p>
    <w:p w:rsidR="00EA1EE8" w:rsidRPr="00B70749" w:rsidRDefault="00EA1EE8" w:rsidP="00EA1EE8">
      <w:pPr>
        <w:pStyle w:val="ListParagraph"/>
        <w:widowControl/>
        <w:numPr>
          <w:ilvl w:val="0"/>
          <w:numId w:val="16"/>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t xml:space="preserve">The benefit-risk balance was favourable. Efficacy had been demonstrated in patients who are methotrexate (MTX) naïve, inadequate responders to MTX, and inadequate responders to TNF inhibitors. </w:t>
      </w:r>
      <w:r w:rsidR="007A7CE0">
        <w:rPr>
          <w:rFonts w:asciiTheme="minorHAnsi" w:eastAsiaTheme="minorHAnsi" w:hAnsiTheme="minorHAnsi" w:cstheme="minorBidi"/>
          <w:noProof/>
          <w:snapToGrid/>
          <w:color w:val="000000"/>
          <w:sz w:val="24"/>
          <w:szCs w:val="22"/>
          <w:highlight w:val="black"/>
        </w:rPr>
        <w:t>''''''''''''''' ''''''''''''' '''''''''''''''' ''''''''''' '''' ''''' ''''''''''''''''''''' ''''' '''''' '''''' '''' '''''''' '''''''''''''''''''''' '''''''''' '''''''' ''''''''''''' '''''''''''''''''''</w:t>
      </w:r>
    </w:p>
    <w:p w:rsidR="00314FFC" w:rsidRDefault="007A7CE0" w:rsidP="00AD4B1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noProof/>
          <w:snapToGrid/>
          <w:color w:val="000000"/>
          <w:sz w:val="24"/>
          <w:szCs w:val="22"/>
          <w:highlight w:val="black"/>
        </w:rPr>
        <w:t>'''''''' ''''''''''''''''''' '''''''''''''''' ''''''''''''''' ''''''' ''''''''' ''' ''''''' ''' ''''''''''''''''''''' ''''''''''''' ''''''''''''''''' ''''''''''''''''''''' '''''''' '''''''''''''''''''' ''''''''' ''''''' '''''''' ''''''''''' ''' ''''' '''''''''''''''''' '''''' '''' '''''''' ''' '''''''''''''''' ''''''''' ''''''' ''''''' ''''''''' '''''''''''' ''''''' ''''''''''''''' ''''''''''''''''''''' ''''''''''''''''''' '''''''' ''''''' '''''''''''' ''''''' '''''''''''''''''' ''''''''' '''' ''''' ''''' ''''''''''''''''' '''''''''''' ''''''''''''''''' '''''''' '''''''''''' ''''''' ''''''''''''''''' '''''''''''' '''''' ''''''' '''''' ''''''''''''''''''''''</w:t>
      </w:r>
      <w:r w:rsidR="00AD4B1E">
        <w:rPr>
          <w:rFonts w:asciiTheme="minorHAnsi" w:eastAsiaTheme="minorHAnsi" w:hAnsiTheme="minorHAnsi" w:cstheme="minorBidi"/>
          <w:snapToGrid/>
          <w:sz w:val="24"/>
          <w:szCs w:val="22"/>
        </w:rPr>
        <w:t xml:space="preserve"> </w:t>
      </w:r>
      <w:r w:rsidR="00314FFC">
        <w:rPr>
          <w:rFonts w:asciiTheme="minorHAnsi" w:eastAsiaTheme="minorHAnsi" w:hAnsiTheme="minorHAnsi" w:cstheme="minorBidi"/>
          <w:snapToGrid/>
          <w:sz w:val="24"/>
          <w:szCs w:val="22"/>
        </w:rPr>
        <w:t>The risk of VTE has been noted in the baricitinib Product Information (pg.4-5)</w:t>
      </w:r>
      <w:r w:rsidR="007B73EC">
        <w:rPr>
          <w:rFonts w:asciiTheme="minorHAnsi" w:eastAsiaTheme="minorHAnsi" w:hAnsiTheme="minorHAnsi" w:cstheme="minorBidi"/>
          <w:snapToGrid/>
          <w:sz w:val="24"/>
          <w:szCs w:val="22"/>
        </w:rPr>
        <w:t xml:space="preserve"> and the provision of a patient alert card to prescribers has been agreed to by the pre-PBAC response.</w:t>
      </w:r>
    </w:p>
    <w:p w:rsidR="00224F02" w:rsidRPr="00827914" w:rsidRDefault="00E14986" w:rsidP="004312A1">
      <w:pPr>
        <w:pStyle w:val="ListParagraph"/>
        <w:widowControl/>
        <w:numPr>
          <w:ilvl w:val="1"/>
          <w:numId w:val="14"/>
        </w:numPr>
        <w:spacing w:after="120"/>
        <w:contextualSpacing w:val="0"/>
        <w:rPr>
          <w:rFonts w:asciiTheme="minorHAnsi" w:hAnsiTheme="minorHAnsi"/>
          <w:b/>
          <w:sz w:val="24"/>
          <w:szCs w:val="24"/>
        </w:rPr>
      </w:pPr>
      <w:r w:rsidRPr="00FB0312">
        <w:rPr>
          <w:rFonts w:asciiTheme="minorHAnsi" w:eastAsiaTheme="minorHAnsi" w:hAnsiTheme="minorHAnsi" w:cstheme="minorBidi"/>
          <w:snapToGrid/>
          <w:sz w:val="24"/>
          <w:szCs w:val="22"/>
        </w:rPr>
        <w:t xml:space="preserve">Following the positive </w:t>
      </w:r>
      <w:r w:rsidR="00CF17F8">
        <w:rPr>
          <w:rFonts w:asciiTheme="minorHAnsi" w:eastAsiaTheme="minorHAnsi" w:hAnsiTheme="minorHAnsi" w:cstheme="minorBidi"/>
          <w:snapToGrid/>
          <w:sz w:val="24"/>
          <w:szCs w:val="22"/>
        </w:rPr>
        <w:t xml:space="preserve">advice </w:t>
      </w:r>
      <w:r w:rsidRPr="00FB0312">
        <w:rPr>
          <w:rFonts w:asciiTheme="minorHAnsi" w:eastAsiaTheme="minorHAnsi" w:hAnsiTheme="minorHAnsi" w:cstheme="minorBidi"/>
          <w:snapToGrid/>
          <w:sz w:val="24"/>
          <w:szCs w:val="22"/>
        </w:rPr>
        <w:t xml:space="preserve">from the ACM, </w:t>
      </w:r>
      <w:r w:rsidR="00CF17F8">
        <w:rPr>
          <w:rFonts w:asciiTheme="minorHAnsi" w:eastAsiaTheme="minorHAnsi" w:hAnsiTheme="minorHAnsi" w:cstheme="minorBidi"/>
          <w:snapToGrid/>
          <w:sz w:val="24"/>
          <w:szCs w:val="22"/>
        </w:rPr>
        <w:t xml:space="preserve">the TGA delegate decided to approve </w:t>
      </w:r>
      <w:r w:rsidRPr="00FB0312">
        <w:rPr>
          <w:rFonts w:asciiTheme="minorHAnsi" w:eastAsiaTheme="minorHAnsi" w:hAnsiTheme="minorHAnsi" w:cstheme="minorBidi"/>
          <w:snapToGrid/>
          <w:sz w:val="24"/>
          <w:szCs w:val="22"/>
        </w:rPr>
        <w:t>b</w:t>
      </w:r>
      <w:r w:rsidR="008E086B" w:rsidRPr="00FB0312">
        <w:rPr>
          <w:rFonts w:asciiTheme="minorHAnsi" w:eastAsiaTheme="minorHAnsi" w:hAnsiTheme="minorHAnsi" w:cstheme="minorBidi"/>
          <w:snapToGrid/>
          <w:sz w:val="24"/>
          <w:szCs w:val="22"/>
        </w:rPr>
        <w:t>aricitinib</w:t>
      </w:r>
      <w:r w:rsidR="00CF17F8">
        <w:rPr>
          <w:rFonts w:asciiTheme="minorHAnsi" w:eastAsiaTheme="minorHAnsi" w:hAnsiTheme="minorHAnsi" w:cstheme="minorBidi"/>
          <w:snapToGrid/>
          <w:sz w:val="24"/>
          <w:szCs w:val="22"/>
        </w:rPr>
        <w:t>. It was included on the</w:t>
      </w:r>
      <w:r w:rsidR="008E086B" w:rsidRPr="00FB0312">
        <w:rPr>
          <w:rFonts w:asciiTheme="minorHAnsi" w:eastAsiaTheme="minorHAnsi" w:hAnsiTheme="minorHAnsi" w:cstheme="minorBidi"/>
          <w:snapToGrid/>
          <w:sz w:val="24"/>
          <w:szCs w:val="22"/>
        </w:rPr>
        <w:t xml:space="preserve"> ARTG on 23 January 2018 for the treatment of moderate to severe active rheumatoid arthritis in adult patients who have responded inadequately, or who are intolerant, to one or more DMARDs.</w:t>
      </w:r>
    </w:p>
    <w:p w:rsidR="005F2478" w:rsidRPr="00B70749" w:rsidRDefault="005F2478" w:rsidP="005F2478">
      <w:pPr>
        <w:pStyle w:val="ListParagraph"/>
        <w:widowControl/>
        <w:spacing w:after="120"/>
        <w:contextualSpacing w:val="0"/>
        <w:rPr>
          <w:rFonts w:asciiTheme="minorHAnsi" w:hAnsiTheme="minorHAnsi"/>
          <w:i/>
          <w:sz w:val="24"/>
        </w:rPr>
      </w:pPr>
      <w:r w:rsidRPr="008E2BE0">
        <w:rPr>
          <w:rFonts w:asciiTheme="minorHAnsi" w:hAnsiTheme="minorHAnsi"/>
          <w:i/>
          <w:sz w:val="24"/>
        </w:rPr>
        <w:t>For more detail on PBAC’s view, see section 6 PBAC outcome.</w:t>
      </w:r>
    </w:p>
    <w:p w:rsidR="005A3173" w:rsidRPr="00B70749" w:rsidRDefault="005A3173" w:rsidP="0017584F">
      <w:pPr>
        <w:pStyle w:val="Heading1"/>
        <w:rPr>
          <w:szCs w:val="32"/>
        </w:rPr>
      </w:pPr>
      <w:r w:rsidRPr="00B70749">
        <w:rPr>
          <w:szCs w:val="32"/>
        </w:rPr>
        <w:t>Comparator</w:t>
      </w:r>
    </w:p>
    <w:p w:rsidR="008A1956" w:rsidRDefault="00476245" w:rsidP="00347050">
      <w:pPr>
        <w:pStyle w:val="ListParagraph"/>
        <w:widowControl/>
        <w:numPr>
          <w:ilvl w:val="1"/>
          <w:numId w:val="14"/>
        </w:numPr>
        <w:spacing w:before="120" w:after="160"/>
        <w:contextualSpacing w:val="0"/>
        <w:rPr>
          <w:rFonts w:asciiTheme="minorHAnsi" w:hAnsiTheme="minorHAnsi"/>
          <w:sz w:val="24"/>
          <w:szCs w:val="24"/>
        </w:rPr>
      </w:pPr>
      <w:r w:rsidRPr="00B70749">
        <w:rPr>
          <w:rFonts w:asciiTheme="minorHAnsi" w:hAnsiTheme="minorHAnsi"/>
          <w:sz w:val="24"/>
          <w:szCs w:val="24"/>
        </w:rPr>
        <w:t xml:space="preserve">The </w:t>
      </w:r>
      <w:r w:rsidR="00115BBD" w:rsidRPr="00B70749">
        <w:rPr>
          <w:rFonts w:asciiTheme="minorHAnsi" w:hAnsiTheme="minorHAnsi"/>
          <w:sz w:val="24"/>
          <w:szCs w:val="24"/>
        </w:rPr>
        <w:t>original</w:t>
      </w:r>
      <w:r w:rsidRPr="00B70749">
        <w:rPr>
          <w:rFonts w:asciiTheme="minorHAnsi" w:hAnsiTheme="minorHAnsi"/>
          <w:sz w:val="24"/>
          <w:szCs w:val="24"/>
        </w:rPr>
        <w:t xml:space="preserve"> major submission considered by the PBAC in </w:t>
      </w:r>
      <w:r w:rsidR="00347050" w:rsidRPr="00B70749">
        <w:rPr>
          <w:rFonts w:asciiTheme="minorHAnsi" w:hAnsiTheme="minorHAnsi"/>
          <w:sz w:val="24"/>
          <w:szCs w:val="24"/>
        </w:rPr>
        <w:t>July 2017</w:t>
      </w:r>
      <w:r w:rsidR="00FF2801" w:rsidRPr="00B70749">
        <w:rPr>
          <w:rFonts w:asciiTheme="minorHAnsi" w:hAnsiTheme="minorHAnsi"/>
          <w:sz w:val="24"/>
          <w:szCs w:val="24"/>
        </w:rPr>
        <w:t xml:space="preserve"> nominated </w:t>
      </w:r>
      <w:r w:rsidR="00347050" w:rsidRPr="00B70749">
        <w:rPr>
          <w:rFonts w:asciiTheme="minorHAnsi" w:hAnsiTheme="minorHAnsi"/>
          <w:sz w:val="24"/>
          <w:szCs w:val="24"/>
        </w:rPr>
        <w:t>adalimumab as the main comparator</w:t>
      </w:r>
      <w:r w:rsidR="0039677E" w:rsidRPr="00B70749">
        <w:rPr>
          <w:rFonts w:asciiTheme="minorHAnsi" w:hAnsiTheme="minorHAnsi"/>
          <w:sz w:val="24"/>
          <w:szCs w:val="24"/>
        </w:rPr>
        <w:t>, with tofacitinib listed as a supplementary comparator</w:t>
      </w:r>
      <w:r w:rsidR="00FF2801" w:rsidRPr="00B70749">
        <w:rPr>
          <w:rFonts w:asciiTheme="minorHAnsi" w:hAnsiTheme="minorHAnsi"/>
          <w:sz w:val="24"/>
          <w:szCs w:val="24"/>
        </w:rPr>
        <w:t xml:space="preserve">. </w:t>
      </w:r>
      <w:r w:rsidR="00CF17F8">
        <w:rPr>
          <w:rFonts w:asciiTheme="minorHAnsi" w:hAnsiTheme="minorHAnsi"/>
          <w:sz w:val="24"/>
          <w:szCs w:val="24"/>
        </w:rPr>
        <w:t>At that time, t</w:t>
      </w:r>
      <w:r w:rsidR="00347050" w:rsidRPr="00B70749">
        <w:rPr>
          <w:rFonts w:asciiTheme="minorHAnsi" w:hAnsiTheme="minorHAnsi"/>
          <w:sz w:val="24"/>
          <w:szCs w:val="24"/>
        </w:rPr>
        <w:t xml:space="preserve">he PBAC considered that any of the currently PBS listed bDMARDs could be an appropriate comparator. </w:t>
      </w:r>
      <w:r w:rsidR="00472713" w:rsidRPr="00B70749">
        <w:rPr>
          <w:rFonts w:asciiTheme="minorHAnsi" w:hAnsiTheme="minorHAnsi"/>
          <w:sz w:val="24"/>
          <w:szCs w:val="24"/>
        </w:rPr>
        <w:t>The comparator was updated</w:t>
      </w:r>
      <w:r w:rsidRPr="00B70749">
        <w:rPr>
          <w:rFonts w:asciiTheme="minorHAnsi" w:hAnsiTheme="minorHAnsi"/>
          <w:sz w:val="24"/>
          <w:szCs w:val="24"/>
        </w:rPr>
        <w:t xml:space="preserve"> to</w:t>
      </w:r>
      <w:r w:rsidR="00893B24" w:rsidRPr="00B70749">
        <w:rPr>
          <w:rFonts w:asciiTheme="minorHAnsi" w:hAnsiTheme="minorHAnsi"/>
          <w:sz w:val="24"/>
          <w:szCs w:val="24"/>
        </w:rPr>
        <w:t xml:space="preserve"> tofacitinib in the </w:t>
      </w:r>
      <w:r w:rsidR="00115BBD" w:rsidRPr="00B70749">
        <w:rPr>
          <w:rFonts w:asciiTheme="minorHAnsi" w:hAnsiTheme="minorHAnsi"/>
          <w:sz w:val="24"/>
          <w:szCs w:val="24"/>
        </w:rPr>
        <w:t>November 2017</w:t>
      </w:r>
      <w:r w:rsidR="00CF17F8">
        <w:rPr>
          <w:rFonts w:asciiTheme="minorHAnsi" w:hAnsiTheme="minorHAnsi"/>
          <w:sz w:val="24"/>
          <w:szCs w:val="24"/>
        </w:rPr>
        <w:t xml:space="preserve"> and March 2018</w:t>
      </w:r>
      <w:r w:rsidR="00115BBD" w:rsidRPr="00B70749">
        <w:rPr>
          <w:rFonts w:asciiTheme="minorHAnsi" w:hAnsiTheme="minorHAnsi"/>
          <w:sz w:val="24"/>
          <w:szCs w:val="24"/>
        </w:rPr>
        <w:t xml:space="preserve"> </w:t>
      </w:r>
      <w:r w:rsidR="00893B24" w:rsidRPr="00B70749">
        <w:rPr>
          <w:rFonts w:asciiTheme="minorHAnsi" w:hAnsiTheme="minorHAnsi"/>
          <w:sz w:val="24"/>
          <w:szCs w:val="24"/>
        </w:rPr>
        <w:t>minor resubmission</w:t>
      </w:r>
      <w:r w:rsidR="00CF17F8">
        <w:rPr>
          <w:rFonts w:asciiTheme="minorHAnsi" w:hAnsiTheme="minorHAnsi"/>
          <w:sz w:val="24"/>
          <w:szCs w:val="24"/>
        </w:rPr>
        <w:t>s</w:t>
      </w:r>
      <w:r w:rsidR="00D27AD1" w:rsidRPr="00B70749">
        <w:rPr>
          <w:rFonts w:asciiTheme="minorHAnsi" w:hAnsiTheme="minorHAnsi"/>
          <w:sz w:val="24"/>
          <w:szCs w:val="24"/>
        </w:rPr>
        <w:t xml:space="preserve">, as it was </w:t>
      </w:r>
      <w:r w:rsidR="00D27AD1" w:rsidRPr="00B70749">
        <w:rPr>
          <w:rFonts w:asciiTheme="minorHAnsi" w:hAnsiTheme="minorHAnsi"/>
          <w:sz w:val="24"/>
          <w:szCs w:val="24"/>
        </w:rPr>
        <w:lastRenderedPageBreak/>
        <w:t>considered</w:t>
      </w:r>
      <w:r w:rsidR="00CF17F8">
        <w:rPr>
          <w:rFonts w:asciiTheme="minorHAnsi" w:hAnsiTheme="minorHAnsi"/>
          <w:sz w:val="24"/>
          <w:szCs w:val="24"/>
        </w:rPr>
        <w:t xml:space="preserve"> by the sponsor</w:t>
      </w:r>
      <w:r w:rsidR="00D27AD1" w:rsidRPr="00B70749">
        <w:rPr>
          <w:rFonts w:asciiTheme="minorHAnsi" w:hAnsiTheme="minorHAnsi"/>
          <w:sz w:val="24"/>
          <w:szCs w:val="24"/>
        </w:rPr>
        <w:t xml:space="preserve"> to be </w:t>
      </w:r>
      <w:r w:rsidR="00C24B62">
        <w:rPr>
          <w:rFonts w:asciiTheme="minorHAnsi" w:hAnsiTheme="minorHAnsi"/>
          <w:sz w:val="24"/>
          <w:szCs w:val="24"/>
        </w:rPr>
        <w:t xml:space="preserve">an </w:t>
      </w:r>
      <w:r w:rsidR="00115BBD" w:rsidRPr="00B70749">
        <w:rPr>
          <w:rFonts w:asciiTheme="minorHAnsi" w:hAnsiTheme="minorHAnsi"/>
          <w:sz w:val="24"/>
          <w:szCs w:val="24"/>
        </w:rPr>
        <w:t xml:space="preserve">appropriate </w:t>
      </w:r>
      <w:r w:rsidR="00C24B62">
        <w:rPr>
          <w:rFonts w:asciiTheme="minorHAnsi" w:hAnsiTheme="minorHAnsi"/>
          <w:sz w:val="24"/>
          <w:szCs w:val="24"/>
        </w:rPr>
        <w:t xml:space="preserve">comparator </w:t>
      </w:r>
      <w:r w:rsidR="00115BBD" w:rsidRPr="00B70749">
        <w:rPr>
          <w:rFonts w:asciiTheme="minorHAnsi" w:hAnsiTheme="minorHAnsi"/>
          <w:sz w:val="24"/>
          <w:szCs w:val="24"/>
        </w:rPr>
        <w:t>given that it is a pharmacological analogue of baricitinib</w:t>
      </w:r>
      <w:r w:rsidR="00827914">
        <w:rPr>
          <w:rFonts w:asciiTheme="minorHAnsi" w:hAnsiTheme="minorHAnsi"/>
          <w:sz w:val="24"/>
          <w:szCs w:val="24"/>
        </w:rPr>
        <w:t>.</w:t>
      </w:r>
    </w:p>
    <w:p w:rsidR="00CF17F8" w:rsidRDefault="00CF17F8" w:rsidP="00CF17F8">
      <w:pPr>
        <w:pStyle w:val="ListParagraph"/>
        <w:numPr>
          <w:ilvl w:val="1"/>
          <w:numId w:val="14"/>
        </w:numPr>
        <w:rPr>
          <w:rFonts w:asciiTheme="minorHAnsi" w:hAnsiTheme="minorHAnsi"/>
          <w:sz w:val="24"/>
          <w:szCs w:val="24"/>
        </w:rPr>
      </w:pPr>
      <w:r w:rsidRPr="00CF17F8">
        <w:rPr>
          <w:rFonts w:asciiTheme="minorHAnsi" w:hAnsiTheme="minorHAnsi"/>
          <w:sz w:val="24"/>
          <w:szCs w:val="24"/>
        </w:rPr>
        <w:t xml:space="preserve">The pre-PBAC response </w:t>
      </w:r>
      <w:r>
        <w:rPr>
          <w:rFonts w:asciiTheme="minorHAnsi" w:hAnsiTheme="minorHAnsi"/>
          <w:sz w:val="24"/>
          <w:szCs w:val="24"/>
        </w:rPr>
        <w:t>reiterated</w:t>
      </w:r>
      <w:r w:rsidRPr="00CF17F8">
        <w:rPr>
          <w:rFonts w:asciiTheme="minorHAnsi" w:hAnsiTheme="minorHAnsi"/>
          <w:sz w:val="24"/>
          <w:szCs w:val="24"/>
        </w:rPr>
        <w:t xml:space="preserve"> that the choice of comparator for pricing of baricitinib should</w:t>
      </w:r>
      <w:r>
        <w:rPr>
          <w:rFonts w:asciiTheme="minorHAnsi" w:hAnsiTheme="minorHAnsi"/>
          <w:sz w:val="24"/>
          <w:szCs w:val="24"/>
        </w:rPr>
        <w:t xml:space="preserve"> not</w:t>
      </w:r>
      <w:r w:rsidRPr="00CF17F8">
        <w:rPr>
          <w:rFonts w:asciiTheme="minorHAnsi" w:hAnsiTheme="minorHAnsi"/>
          <w:sz w:val="24"/>
          <w:szCs w:val="24"/>
        </w:rPr>
        <w:t xml:space="preserve"> be any other bDMARD for the treatment of RA. It </w:t>
      </w:r>
      <w:r>
        <w:rPr>
          <w:rFonts w:asciiTheme="minorHAnsi" w:hAnsiTheme="minorHAnsi"/>
          <w:sz w:val="24"/>
          <w:szCs w:val="24"/>
        </w:rPr>
        <w:t>argued</w:t>
      </w:r>
      <w:r w:rsidRPr="00CF17F8">
        <w:rPr>
          <w:rFonts w:asciiTheme="minorHAnsi" w:hAnsiTheme="minorHAnsi"/>
          <w:sz w:val="24"/>
          <w:szCs w:val="24"/>
        </w:rPr>
        <w:t xml:space="preserve"> that baricitinib would most likely replace adalimumab in clinical practice, and that tofacitinib would remain the appropriate comparator as it is a pharmacological analogue of baricitinib. The pre-PBAC response reasserted that the price of baricitinib should be equivalent to that of tofacitinib.</w:t>
      </w:r>
    </w:p>
    <w:p w:rsidR="00B160E5" w:rsidRPr="00CF17F8" w:rsidRDefault="00B160E5" w:rsidP="00F6298D">
      <w:pPr>
        <w:pStyle w:val="ListParagraph"/>
        <w:rPr>
          <w:rFonts w:asciiTheme="minorHAnsi" w:hAnsiTheme="minorHAnsi"/>
          <w:sz w:val="24"/>
          <w:szCs w:val="24"/>
        </w:rPr>
      </w:pPr>
    </w:p>
    <w:p w:rsidR="00B160E5" w:rsidRDefault="002B2F6B" w:rsidP="00F6298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CF17F8">
        <w:rPr>
          <w:rFonts w:asciiTheme="minorHAnsi" w:eastAsiaTheme="minorHAnsi" w:hAnsiTheme="minorHAnsi" w:cstheme="minorBidi"/>
          <w:snapToGrid/>
          <w:sz w:val="24"/>
          <w:szCs w:val="22"/>
        </w:rPr>
        <w:t xml:space="preserve">The PBAC </w:t>
      </w:r>
      <w:r w:rsidR="00CF17F8" w:rsidRPr="00CF17F8">
        <w:rPr>
          <w:rFonts w:asciiTheme="minorHAnsi" w:eastAsiaTheme="minorHAnsi" w:hAnsiTheme="minorHAnsi" w:cstheme="minorBidi"/>
          <w:snapToGrid/>
          <w:sz w:val="24"/>
          <w:szCs w:val="22"/>
        </w:rPr>
        <w:t xml:space="preserve">noted it </w:t>
      </w:r>
      <w:r w:rsidRPr="00CF17F8">
        <w:rPr>
          <w:rFonts w:asciiTheme="minorHAnsi" w:eastAsiaTheme="minorHAnsi" w:hAnsiTheme="minorHAnsi" w:cstheme="minorBidi"/>
          <w:snapToGrid/>
          <w:sz w:val="24"/>
          <w:szCs w:val="22"/>
        </w:rPr>
        <w:t>could only recommend listing baricitinib at a higher price than the alternative therapy or therapies if it is satisfied that it provides, for some patients, a significant improvement in efficacy or reduction of toxicity over the alt</w:t>
      </w:r>
      <w:r w:rsidR="00D2407E">
        <w:rPr>
          <w:rFonts w:asciiTheme="minorHAnsi" w:eastAsiaTheme="minorHAnsi" w:hAnsiTheme="minorHAnsi" w:cstheme="minorBidi"/>
          <w:snapToGrid/>
          <w:sz w:val="24"/>
          <w:szCs w:val="22"/>
        </w:rPr>
        <w:t xml:space="preserve">ernative therapy or therapies. </w:t>
      </w:r>
      <w:r w:rsidRPr="00CF17F8">
        <w:rPr>
          <w:rFonts w:asciiTheme="minorHAnsi" w:eastAsiaTheme="minorHAnsi" w:hAnsiTheme="minorHAnsi" w:cstheme="minorBidi"/>
          <w:snapToGrid/>
          <w:sz w:val="24"/>
          <w:szCs w:val="22"/>
        </w:rPr>
        <w:t>The alternative therapies in this case</w:t>
      </w:r>
      <w:r w:rsidRPr="00127F57">
        <w:rPr>
          <w:rFonts w:asciiTheme="minorHAnsi" w:eastAsiaTheme="minorHAnsi" w:hAnsiTheme="minorHAnsi" w:cstheme="minorBidi"/>
          <w:snapToGrid/>
          <w:sz w:val="24"/>
          <w:szCs w:val="22"/>
        </w:rPr>
        <w:t xml:space="preserve"> include all other bDMARDs for the treatment of RA. Since there are no data to establish superiority over other bDMARDs for RA, there is no justification for the price of baricitinib to be higher than </w:t>
      </w:r>
      <w:r w:rsidR="00B409E5" w:rsidRPr="00127F57">
        <w:rPr>
          <w:rFonts w:asciiTheme="minorHAnsi" w:eastAsiaTheme="minorHAnsi" w:hAnsiTheme="minorHAnsi" w:cstheme="minorBidi"/>
          <w:snapToGrid/>
          <w:sz w:val="24"/>
          <w:szCs w:val="22"/>
        </w:rPr>
        <w:t xml:space="preserve">any </w:t>
      </w:r>
      <w:r w:rsidRPr="00127F57">
        <w:rPr>
          <w:rFonts w:asciiTheme="minorHAnsi" w:eastAsiaTheme="minorHAnsi" w:hAnsiTheme="minorHAnsi" w:cstheme="minorBidi"/>
          <w:snapToGrid/>
          <w:sz w:val="24"/>
          <w:szCs w:val="22"/>
        </w:rPr>
        <w:t>other bDMARD for RA</w:t>
      </w:r>
      <w:r w:rsidR="00B160E5">
        <w:rPr>
          <w:rFonts w:asciiTheme="minorHAnsi" w:eastAsiaTheme="minorHAnsi" w:hAnsiTheme="minorHAnsi" w:cstheme="minorBidi"/>
          <w:snapToGrid/>
          <w:sz w:val="24"/>
          <w:szCs w:val="22"/>
        </w:rPr>
        <w:t>.</w:t>
      </w:r>
    </w:p>
    <w:p w:rsidR="00B70749" w:rsidRPr="00CF17F8" w:rsidRDefault="00B70749" w:rsidP="00127F57">
      <w:pPr>
        <w:pStyle w:val="ListParagraph"/>
        <w:widowControl/>
        <w:spacing w:after="120"/>
        <w:contextualSpacing w:val="0"/>
        <w:rPr>
          <w:rFonts w:asciiTheme="minorHAnsi" w:hAnsiTheme="minorHAnsi"/>
          <w:i/>
          <w:sz w:val="24"/>
        </w:rPr>
      </w:pPr>
      <w:r w:rsidRPr="00CF17F8">
        <w:rPr>
          <w:rFonts w:asciiTheme="minorHAnsi" w:hAnsiTheme="minorHAnsi"/>
          <w:i/>
          <w:sz w:val="24"/>
        </w:rPr>
        <w:t xml:space="preserve">For more detail on PBAC’s view, see section </w:t>
      </w:r>
      <w:r w:rsidR="007342CC" w:rsidRPr="00CF17F8">
        <w:rPr>
          <w:rFonts w:asciiTheme="minorHAnsi" w:hAnsiTheme="minorHAnsi"/>
          <w:i/>
          <w:sz w:val="24"/>
        </w:rPr>
        <w:t>6</w:t>
      </w:r>
      <w:r w:rsidRPr="00CF17F8">
        <w:rPr>
          <w:rFonts w:asciiTheme="minorHAnsi" w:hAnsiTheme="minorHAnsi"/>
          <w:i/>
          <w:sz w:val="24"/>
        </w:rPr>
        <w:t xml:space="preserve"> PBAC outcome.</w:t>
      </w:r>
    </w:p>
    <w:p w:rsidR="000B558D" w:rsidRPr="00B70749" w:rsidRDefault="008D7A41" w:rsidP="009F5BE2">
      <w:pPr>
        <w:pStyle w:val="Heading1"/>
      </w:pPr>
      <w:r w:rsidRPr="00B70749">
        <w:t>C</w:t>
      </w:r>
      <w:r w:rsidR="00D84934" w:rsidRPr="00B70749">
        <w:t>onsideration of the evidence</w:t>
      </w:r>
    </w:p>
    <w:p w:rsidR="00AD1214" w:rsidRPr="00705978" w:rsidRDefault="00AD1214" w:rsidP="009F5BE2">
      <w:pPr>
        <w:pStyle w:val="Heading2"/>
        <w:rPr>
          <w:snapToGrid w:val="0"/>
        </w:rPr>
      </w:pPr>
      <w:r w:rsidRPr="00705978">
        <w:rPr>
          <w:snapToGrid w:val="0"/>
        </w:rPr>
        <w:t>Sponsor hearing</w:t>
      </w:r>
    </w:p>
    <w:p w:rsidR="00AD1214" w:rsidRPr="00705978" w:rsidRDefault="00AD1214" w:rsidP="00AD1214">
      <w:pPr>
        <w:widowControl w:val="0"/>
        <w:numPr>
          <w:ilvl w:val="1"/>
          <w:numId w:val="5"/>
        </w:numPr>
        <w:spacing w:after="120"/>
        <w:jc w:val="both"/>
        <w:rPr>
          <w:rFonts w:asciiTheme="minorHAnsi" w:hAnsiTheme="minorHAnsi" w:cs="Arial"/>
          <w:bCs/>
          <w:snapToGrid w:val="0"/>
        </w:rPr>
      </w:pPr>
      <w:r w:rsidRPr="00705978">
        <w:rPr>
          <w:rFonts w:asciiTheme="minorHAnsi" w:hAnsiTheme="minorHAnsi" w:cs="Arial"/>
          <w:bCs/>
          <w:snapToGrid w:val="0"/>
        </w:rPr>
        <w:t>There was no hearing for this ite</w:t>
      </w:r>
      <w:r w:rsidR="00FB4A7A">
        <w:rPr>
          <w:rFonts w:asciiTheme="minorHAnsi" w:hAnsiTheme="minorHAnsi" w:cs="Arial"/>
          <w:bCs/>
          <w:snapToGrid w:val="0"/>
        </w:rPr>
        <w:t>m as it was a minor submission.</w:t>
      </w:r>
    </w:p>
    <w:p w:rsidR="00AD1214" w:rsidRPr="00705978" w:rsidRDefault="00AD1214" w:rsidP="009F5BE2">
      <w:pPr>
        <w:pStyle w:val="Heading2"/>
        <w:rPr>
          <w:snapToGrid w:val="0"/>
        </w:rPr>
      </w:pPr>
      <w:r w:rsidRPr="00705978">
        <w:rPr>
          <w:snapToGrid w:val="0"/>
        </w:rPr>
        <w:t>Consumer comments</w:t>
      </w:r>
    </w:p>
    <w:p w:rsidR="001368A9" w:rsidRPr="00705978" w:rsidRDefault="001368A9" w:rsidP="001368A9">
      <w:pPr>
        <w:widowControl w:val="0"/>
        <w:numPr>
          <w:ilvl w:val="1"/>
          <w:numId w:val="5"/>
        </w:numPr>
        <w:spacing w:after="120"/>
        <w:jc w:val="both"/>
        <w:rPr>
          <w:rFonts w:asciiTheme="minorHAnsi" w:hAnsiTheme="minorHAnsi" w:cs="Arial"/>
          <w:bCs/>
          <w:snapToGrid w:val="0"/>
        </w:rPr>
      </w:pPr>
      <w:r w:rsidRPr="00705978">
        <w:rPr>
          <w:rFonts w:asciiTheme="minorHAnsi" w:hAnsiTheme="minorHAnsi" w:cs="Arial"/>
          <w:bCs/>
          <w:snapToGrid w:val="0"/>
        </w:rPr>
        <w:t>The PBAC noted that no consumer comme</w:t>
      </w:r>
      <w:r w:rsidR="00FB4A7A">
        <w:rPr>
          <w:rFonts w:asciiTheme="minorHAnsi" w:hAnsiTheme="minorHAnsi" w:cs="Arial"/>
          <w:bCs/>
          <w:snapToGrid w:val="0"/>
        </w:rPr>
        <w:t>nts were received for this item</w:t>
      </w:r>
      <w:r w:rsidRPr="00705978">
        <w:rPr>
          <w:rFonts w:asciiTheme="minorHAnsi" w:hAnsiTheme="minorHAnsi" w:cs="Arial"/>
          <w:bCs/>
          <w:snapToGrid w:val="0"/>
        </w:rPr>
        <w:t>.</w:t>
      </w:r>
    </w:p>
    <w:p w:rsidR="00D84934" w:rsidRPr="009F5BE2" w:rsidRDefault="00D84934" w:rsidP="009F5BE2">
      <w:pPr>
        <w:pStyle w:val="Heading2"/>
      </w:pPr>
      <w:r w:rsidRPr="009F5BE2">
        <w:t>Clinical trials</w:t>
      </w:r>
    </w:p>
    <w:p w:rsidR="0039677E" w:rsidRPr="00B70749" w:rsidRDefault="009F4E46" w:rsidP="00C03413">
      <w:pPr>
        <w:pStyle w:val="ListParagraph"/>
        <w:widowControl/>
        <w:numPr>
          <w:ilvl w:val="1"/>
          <w:numId w:val="14"/>
        </w:numPr>
        <w:spacing w:before="120" w:after="160"/>
        <w:contextualSpacing w:val="0"/>
        <w:rPr>
          <w:rFonts w:asciiTheme="minorHAnsi" w:hAnsiTheme="minorHAnsi"/>
          <w:sz w:val="24"/>
          <w:szCs w:val="24"/>
        </w:rPr>
      </w:pPr>
      <w:r w:rsidRPr="00B70749">
        <w:rPr>
          <w:rFonts w:asciiTheme="minorHAnsi" w:hAnsiTheme="minorHAnsi"/>
          <w:sz w:val="24"/>
          <w:szCs w:val="24"/>
        </w:rPr>
        <w:t xml:space="preserve">The </w:t>
      </w:r>
      <w:r w:rsidR="00A35992" w:rsidRPr="00B70749">
        <w:rPr>
          <w:rFonts w:asciiTheme="minorHAnsi" w:hAnsiTheme="minorHAnsi"/>
          <w:sz w:val="24"/>
          <w:szCs w:val="24"/>
        </w:rPr>
        <w:t xml:space="preserve">July 2017 major submission was based on one head-to-head trial comparing baricitinib to placebo and to adalimumab, with four other placebo-controlled trials </w:t>
      </w:r>
      <w:r w:rsidR="00827914">
        <w:rPr>
          <w:rFonts w:asciiTheme="minorHAnsi" w:hAnsiTheme="minorHAnsi"/>
          <w:sz w:val="24"/>
          <w:szCs w:val="24"/>
        </w:rPr>
        <w:t>used as supplementary evidence.</w:t>
      </w:r>
    </w:p>
    <w:p w:rsidR="00A35992" w:rsidRPr="00B70749" w:rsidRDefault="0058505D" w:rsidP="00A35992">
      <w:pPr>
        <w:pStyle w:val="ListParagraph"/>
        <w:widowControl/>
        <w:numPr>
          <w:ilvl w:val="1"/>
          <w:numId w:val="14"/>
        </w:numPr>
        <w:spacing w:before="120" w:after="160"/>
        <w:contextualSpacing w:val="0"/>
        <w:rPr>
          <w:rFonts w:asciiTheme="minorHAnsi" w:hAnsiTheme="minorHAnsi"/>
          <w:sz w:val="24"/>
          <w:szCs w:val="24"/>
        </w:rPr>
      </w:pPr>
      <w:r w:rsidRPr="00B70749">
        <w:rPr>
          <w:rFonts w:asciiTheme="minorHAnsi" w:hAnsiTheme="minorHAnsi"/>
          <w:sz w:val="24"/>
          <w:szCs w:val="24"/>
        </w:rPr>
        <w:t>No head-to-head trials comparing baricinitib and tof</w:t>
      </w:r>
      <w:r w:rsidR="00472713" w:rsidRPr="00B70749">
        <w:rPr>
          <w:rFonts w:asciiTheme="minorHAnsi" w:hAnsiTheme="minorHAnsi"/>
          <w:sz w:val="24"/>
          <w:szCs w:val="24"/>
        </w:rPr>
        <w:t>acitinib we</w:t>
      </w:r>
      <w:r w:rsidRPr="00B70749">
        <w:rPr>
          <w:rFonts w:asciiTheme="minorHAnsi" w:hAnsiTheme="minorHAnsi"/>
          <w:sz w:val="24"/>
          <w:szCs w:val="24"/>
        </w:rPr>
        <w:t>re available. As such, a</w:t>
      </w:r>
      <w:r w:rsidR="00A35992" w:rsidRPr="00B70749">
        <w:rPr>
          <w:rFonts w:asciiTheme="minorHAnsi" w:hAnsiTheme="minorHAnsi"/>
          <w:sz w:val="24"/>
          <w:szCs w:val="24"/>
        </w:rPr>
        <w:t>n indirect comparison against tofacitinib</w:t>
      </w:r>
      <w:r w:rsidR="0090288E" w:rsidRPr="00B70749">
        <w:rPr>
          <w:rFonts w:asciiTheme="minorHAnsi" w:hAnsiTheme="minorHAnsi"/>
          <w:sz w:val="24"/>
          <w:szCs w:val="24"/>
        </w:rPr>
        <w:t>,</w:t>
      </w:r>
      <w:r w:rsidR="00A35992" w:rsidRPr="00B70749">
        <w:rPr>
          <w:rFonts w:asciiTheme="minorHAnsi" w:hAnsiTheme="minorHAnsi"/>
          <w:sz w:val="24"/>
          <w:szCs w:val="24"/>
        </w:rPr>
        <w:t xml:space="preserve"> </w:t>
      </w:r>
      <w:r w:rsidR="0090288E" w:rsidRPr="00B70749">
        <w:rPr>
          <w:rFonts w:asciiTheme="minorHAnsi" w:hAnsiTheme="minorHAnsi"/>
          <w:sz w:val="24"/>
          <w:szCs w:val="24"/>
        </w:rPr>
        <w:t xml:space="preserve">using placebo and adalimumab as common references, </w:t>
      </w:r>
      <w:r w:rsidR="00A35992" w:rsidRPr="00B70749">
        <w:rPr>
          <w:rFonts w:asciiTheme="minorHAnsi" w:hAnsiTheme="minorHAnsi"/>
          <w:sz w:val="24"/>
          <w:szCs w:val="24"/>
        </w:rPr>
        <w:t xml:space="preserve">was included in an attachment to the major submission, and was presented in Attachment 2 of the commentary. </w:t>
      </w:r>
      <w:r w:rsidR="00C03413" w:rsidRPr="00B70749">
        <w:rPr>
          <w:rFonts w:asciiTheme="minorHAnsi" w:hAnsiTheme="minorHAnsi"/>
          <w:sz w:val="24"/>
          <w:szCs w:val="24"/>
        </w:rPr>
        <w:t xml:space="preserve">The </w:t>
      </w:r>
      <w:r w:rsidR="00FC6820">
        <w:rPr>
          <w:rFonts w:asciiTheme="minorHAnsi" w:hAnsiTheme="minorHAnsi"/>
          <w:sz w:val="24"/>
          <w:szCs w:val="24"/>
        </w:rPr>
        <w:t xml:space="preserve">initial </w:t>
      </w:r>
      <w:r w:rsidR="00C03413" w:rsidRPr="00B70749">
        <w:rPr>
          <w:rFonts w:asciiTheme="minorHAnsi" w:hAnsiTheme="minorHAnsi"/>
          <w:sz w:val="24"/>
          <w:szCs w:val="24"/>
        </w:rPr>
        <w:t>submission had not made a clinical claim against tofacitinib, and t</w:t>
      </w:r>
      <w:r w:rsidR="00A35992" w:rsidRPr="00B70749">
        <w:rPr>
          <w:rFonts w:asciiTheme="minorHAnsi" w:hAnsiTheme="minorHAnsi"/>
          <w:sz w:val="24"/>
          <w:szCs w:val="24"/>
        </w:rPr>
        <w:t>he PBAC did not consider the clinical evidence for the comparison against tofacitinib at the July 2017 meeting</w:t>
      </w:r>
      <w:r w:rsidR="00827914">
        <w:rPr>
          <w:rFonts w:asciiTheme="minorHAnsi" w:hAnsiTheme="minorHAnsi"/>
          <w:sz w:val="24"/>
          <w:szCs w:val="24"/>
        </w:rPr>
        <w:t>.</w:t>
      </w:r>
    </w:p>
    <w:p w:rsidR="00A35992" w:rsidRPr="00B70749" w:rsidRDefault="00C13F12" w:rsidP="00A35992">
      <w:pPr>
        <w:pStyle w:val="ListParagraph"/>
        <w:widowControl/>
        <w:numPr>
          <w:ilvl w:val="1"/>
          <w:numId w:val="14"/>
        </w:numPr>
        <w:spacing w:before="120" w:after="160"/>
        <w:contextualSpacing w:val="0"/>
        <w:rPr>
          <w:rFonts w:asciiTheme="minorHAnsi" w:hAnsiTheme="minorHAnsi"/>
          <w:sz w:val="24"/>
          <w:szCs w:val="24"/>
        </w:rPr>
      </w:pPr>
      <w:r w:rsidRPr="00B70749">
        <w:rPr>
          <w:rFonts w:asciiTheme="minorHAnsi" w:hAnsiTheme="minorHAnsi"/>
          <w:sz w:val="24"/>
          <w:szCs w:val="24"/>
        </w:rPr>
        <w:t>The November 2017</w:t>
      </w:r>
      <w:r w:rsidR="0090288E" w:rsidRPr="00B70749">
        <w:rPr>
          <w:rFonts w:asciiTheme="minorHAnsi" w:hAnsiTheme="minorHAnsi"/>
          <w:sz w:val="24"/>
          <w:szCs w:val="24"/>
        </w:rPr>
        <w:t xml:space="preserve"> </w:t>
      </w:r>
      <w:r w:rsidR="00FC6820">
        <w:rPr>
          <w:rFonts w:asciiTheme="minorHAnsi" w:hAnsiTheme="minorHAnsi"/>
          <w:sz w:val="24"/>
          <w:szCs w:val="24"/>
        </w:rPr>
        <w:t xml:space="preserve">and March 2018 </w:t>
      </w:r>
      <w:r w:rsidR="0090288E" w:rsidRPr="00B70749">
        <w:rPr>
          <w:rFonts w:asciiTheme="minorHAnsi" w:hAnsiTheme="minorHAnsi"/>
          <w:sz w:val="24"/>
          <w:szCs w:val="24"/>
        </w:rPr>
        <w:t>minor resubmission</w:t>
      </w:r>
      <w:r w:rsidR="00FC6820">
        <w:rPr>
          <w:rFonts w:asciiTheme="minorHAnsi" w:hAnsiTheme="minorHAnsi"/>
          <w:sz w:val="24"/>
          <w:szCs w:val="24"/>
        </w:rPr>
        <w:t>s</w:t>
      </w:r>
      <w:r w:rsidR="0090288E" w:rsidRPr="00B70749">
        <w:rPr>
          <w:rFonts w:asciiTheme="minorHAnsi" w:hAnsiTheme="minorHAnsi"/>
          <w:sz w:val="24"/>
          <w:szCs w:val="24"/>
        </w:rPr>
        <w:t xml:space="preserve"> </w:t>
      </w:r>
      <w:r w:rsidR="00CF66B0" w:rsidRPr="00B70749">
        <w:rPr>
          <w:rFonts w:asciiTheme="minorHAnsi" w:hAnsiTheme="minorHAnsi"/>
          <w:sz w:val="24"/>
          <w:szCs w:val="24"/>
        </w:rPr>
        <w:t>w</w:t>
      </w:r>
      <w:r w:rsidR="00FC6820">
        <w:rPr>
          <w:rFonts w:asciiTheme="minorHAnsi" w:hAnsiTheme="minorHAnsi"/>
          <w:sz w:val="24"/>
          <w:szCs w:val="24"/>
        </w:rPr>
        <w:t>ere</w:t>
      </w:r>
      <w:r w:rsidR="00943294" w:rsidRPr="00B70749">
        <w:rPr>
          <w:rFonts w:asciiTheme="minorHAnsi" w:hAnsiTheme="minorHAnsi"/>
          <w:sz w:val="24"/>
          <w:szCs w:val="24"/>
        </w:rPr>
        <w:t xml:space="preserve"> based on the indirect comparison against tofacitinib</w:t>
      </w:r>
      <w:r w:rsidR="00827914">
        <w:rPr>
          <w:rFonts w:asciiTheme="minorHAnsi" w:hAnsiTheme="minorHAnsi"/>
          <w:sz w:val="24"/>
          <w:szCs w:val="24"/>
        </w:rPr>
        <w:t>. No new trials were presented.</w:t>
      </w:r>
    </w:p>
    <w:p w:rsidR="005A3173" w:rsidRPr="00827914" w:rsidRDefault="005A3173" w:rsidP="009F5BE2">
      <w:pPr>
        <w:pStyle w:val="Heading2"/>
      </w:pPr>
      <w:r w:rsidRPr="00827914">
        <w:t>Comparative effectiveness</w:t>
      </w:r>
    </w:p>
    <w:p w:rsidR="00DF26A7" w:rsidRPr="00B70749" w:rsidRDefault="0058505D" w:rsidP="0058505D">
      <w:pPr>
        <w:pStyle w:val="ListParagraph"/>
        <w:widowControl/>
        <w:numPr>
          <w:ilvl w:val="1"/>
          <w:numId w:val="14"/>
        </w:numPr>
        <w:spacing w:before="120" w:after="160"/>
        <w:contextualSpacing w:val="0"/>
        <w:rPr>
          <w:rFonts w:asciiTheme="minorHAnsi" w:hAnsiTheme="minorHAnsi"/>
          <w:sz w:val="24"/>
          <w:szCs w:val="24"/>
        </w:rPr>
      </w:pPr>
      <w:r w:rsidRPr="00B70749">
        <w:rPr>
          <w:rFonts w:asciiTheme="minorHAnsi" w:hAnsiTheme="minorHAnsi"/>
          <w:sz w:val="24"/>
          <w:szCs w:val="24"/>
        </w:rPr>
        <w:t xml:space="preserve">In July 2017, the PBAC did not accept the submission’s claim that baricitinib was superior in terms of effectiveness compared to adalimumab. </w:t>
      </w:r>
    </w:p>
    <w:p w:rsidR="006555A6" w:rsidRPr="00B70749" w:rsidRDefault="0058505D" w:rsidP="0058505D">
      <w:pPr>
        <w:pStyle w:val="ListParagraph"/>
        <w:widowControl/>
        <w:numPr>
          <w:ilvl w:val="1"/>
          <w:numId w:val="14"/>
        </w:numPr>
        <w:spacing w:before="120" w:after="160"/>
        <w:contextualSpacing w:val="0"/>
        <w:rPr>
          <w:rFonts w:asciiTheme="minorHAnsi" w:hAnsiTheme="minorHAnsi"/>
          <w:sz w:val="24"/>
          <w:szCs w:val="24"/>
        </w:rPr>
      </w:pPr>
      <w:r w:rsidRPr="00B70749">
        <w:rPr>
          <w:rFonts w:asciiTheme="minorHAnsi" w:hAnsiTheme="minorHAnsi"/>
          <w:sz w:val="24"/>
          <w:szCs w:val="24"/>
        </w:rPr>
        <w:t>In considering the indirect comparison against tofacitinib, the</w:t>
      </w:r>
      <w:r w:rsidR="00525CAF" w:rsidRPr="00B70749">
        <w:rPr>
          <w:rFonts w:asciiTheme="minorHAnsi" w:hAnsiTheme="minorHAnsi"/>
          <w:sz w:val="24"/>
          <w:szCs w:val="24"/>
        </w:rPr>
        <w:t xml:space="preserve"> July 2017</w:t>
      </w:r>
      <w:r w:rsidRPr="00B70749">
        <w:rPr>
          <w:rFonts w:asciiTheme="minorHAnsi" w:hAnsiTheme="minorHAnsi"/>
          <w:sz w:val="24"/>
          <w:szCs w:val="24"/>
        </w:rPr>
        <w:t xml:space="preserve"> evaluation noted that no statistically significant differences were observed for baric</w:t>
      </w:r>
      <w:r w:rsidR="00D2407E">
        <w:rPr>
          <w:rFonts w:asciiTheme="minorHAnsi" w:hAnsiTheme="minorHAnsi"/>
          <w:sz w:val="24"/>
          <w:szCs w:val="24"/>
        </w:rPr>
        <w:t>itinib compared to tofacitinib.</w:t>
      </w:r>
    </w:p>
    <w:p w:rsidR="00525CAF" w:rsidRPr="00B70749" w:rsidRDefault="00525CAF" w:rsidP="00525CAF">
      <w:pPr>
        <w:pStyle w:val="TableHeader"/>
        <w:keepNext/>
        <w:keepLines/>
      </w:pPr>
      <w:bookmarkStart w:id="1" w:name="RANGE!T2"/>
      <w:r w:rsidRPr="00B70749">
        <w:t xml:space="preserve">Table 1: ACR20 at 12 weeks in cDMARD-IR and bDMARD-IR </w:t>
      </w:r>
      <w:bookmarkEnd w:id="1"/>
      <w:r w:rsidR="00C24B62" w:rsidRPr="00103748">
        <w:t>populations</w:t>
      </w:r>
    </w:p>
    <w:tbl>
      <w:tblPr>
        <w:tblStyle w:val="TableGrid"/>
        <w:tblW w:w="0" w:type="auto"/>
        <w:tblLayout w:type="fixed"/>
        <w:tblCellMar>
          <w:left w:w="28" w:type="dxa"/>
          <w:right w:w="28" w:type="dxa"/>
        </w:tblCellMar>
        <w:tblLook w:val="04A0" w:firstRow="1" w:lastRow="0" w:firstColumn="1" w:lastColumn="0" w:noHBand="0" w:noVBand="1"/>
        <w:tblCaption w:val="Table 1: ACR20 at 12 weeks in cDMARD-IR and bDMARD-IR populations"/>
      </w:tblPr>
      <w:tblGrid>
        <w:gridCol w:w="828"/>
        <w:gridCol w:w="900"/>
        <w:gridCol w:w="1260"/>
        <w:gridCol w:w="1260"/>
        <w:gridCol w:w="1560"/>
        <w:gridCol w:w="1560"/>
        <w:gridCol w:w="1560"/>
      </w:tblGrid>
      <w:tr w:rsidR="00EB3307" w:rsidRPr="00B70749" w:rsidTr="00FB2ABB">
        <w:trPr>
          <w:trHeight w:val="320"/>
          <w:tblHeader/>
        </w:trPr>
        <w:tc>
          <w:tcPr>
            <w:tcW w:w="1728" w:type="dxa"/>
            <w:gridSpan w:val="2"/>
            <w:shd w:val="clear" w:color="auto" w:fill="auto"/>
            <w:noWrap/>
            <w:vAlign w:val="center"/>
            <w:hideMark/>
          </w:tcPr>
          <w:p w:rsidR="00525CAF" w:rsidRPr="00B70749" w:rsidRDefault="00525CAF" w:rsidP="00805B2D">
            <w:pPr>
              <w:pStyle w:val="TableText0"/>
            </w:pPr>
            <w:r w:rsidRPr="00B70749">
              <w:t>Trial</w:t>
            </w:r>
          </w:p>
        </w:tc>
        <w:tc>
          <w:tcPr>
            <w:tcW w:w="1260" w:type="dxa"/>
            <w:shd w:val="clear" w:color="auto" w:fill="auto"/>
            <w:noWrap/>
            <w:vAlign w:val="center"/>
            <w:hideMark/>
          </w:tcPr>
          <w:p w:rsidR="00525CAF" w:rsidRPr="00B70749" w:rsidRDefault="00525CAF" w:rsidP="00805B2D">
            <w:pPr>
              <w:pStyle w:val="TableText0"/>
              <w:jc w:val="center"/>
              <w:rPr>
                <w:rFonts w:eastAsiaTheme="majorEastAsia" w:cstheme="majorBidi"/>
                <w:szCs w:val="28"/>
              </w:rPr>
            </w:pPr>
            <w:r w:rsidRPr="00B70749">
              <w:t>Treatment</w:t>
            </w:r>
          </w:p>
          <w:p w:rsidR="00525CAF" w:rsidRPr="00B70749" w:rsidRDefault="00525CAF" w:rsidP="00805B2D">
            <w:pPr>
              <w:pStyle w:val="TableText0"/>
              <w:jc w:val="center"/>
              <w:rPr>
                <w:rFonts w:eastAsiaTheme="majorEastAsia" w:cstheme="majorBidi"/>
                <w:szCs w:val="28"/>
              </w:rPr>
            </w:pPr>
            <w:r w:rsidRPr="00B70749">
              <w:t>n/N (%)</w:t>
            </w:r>
          </w:p>
        </w:tc>
        <w:tc>
          <w:tcPr>
            <w:tcW w:w="1260" w:type="dxa"/>
            <w:shd w:val="clear" w:color="auto" w:fill="auto"/>
            <w:noWrap/>
            <w:vAlign w:val="center"/>
            <w:hideMark/>
          </w:tcPr>
          <w:p w:rsidR="00525CAF" w:rsidRPr="00B70749" w:rsidRDefault="00525CAF" w:rsidP="00805B2D">
            <w:pPr>
              <w:pStyle w:val="TableText0"/>
              <w:jc w:val="center"/>
              <w:rPr>
                <w:rFonts w:eastAsiaTheme="majorEastAsia" w:cstheme="majorBidi"/>
                <w:szCs w:val="28"/>
              </w:rPr>
            </w:pPr>
            <w:r w:rsidRPr="00B70749">
              <w:t>Control</w:t>
            </w:r>
          </w:p>
          <w:p w:rsidR="00525CAF" w:rsidRPr="00B70749" w:rsidRDefault="00525CAF" w:rsidP="00805B2D">
            <w:pPr>
              <w:pStyle w:val="TableText0"/>
              <w:jc w:val="center"/>
              <w:rPr>
                <w:rFonts w:eastAsiaTheme="majorEastAsia" w:cstheme="majorBidi"/>
                <w:szCs w:val="28"/>
              </w:rPr>
            </w:pPr>
            <w:r w:rsidRPr="00B70749">
              <w:t>n/N (%)</w:t>
            </w:r>
          </w:p>
        </w:tc>
        <w:tc>
          <w:tcPr>
            <w:tcW w:w="1560" w:type="dxa"/>
            <w:shd w:val="clear" w:color="auto" w:fill="auto"/>
            <w:noWrap/>
            <w:vAlign w:val="center"/>
            <w:hideMark/>
          </w:tcPr>
          <w:p w:rsidR="00525CAF" w:rsidRPr="00B70749" w:rsidRDefault="00525CAF" w:rsidP="00805B2D">
            <w:pPr>
              <w:pStyle w:val="TableText0"/>
              <w:jc w:val="center"/>
              <w:rPr>
                <w:rFonts w:eastAsiaTheme="majorEastAsia" w:cstheme="majorBidi"/>
                <w:szCs w:val="28"/>
              </w:rPr>
            </w:pPr>
            <w:r w:rsidRPr="00B70749">
              <w:t>RD (95% CI)</w:t>
            </w:r>
          </w:p>
        </w:tc>
        <w:tc>
          <w:tcPr>
            <w:tcW w:w="1560" w:type="dxa"/>
            <w:shd w:val="clear" w:color="auto" w:fill="auto"/>
            <w:noWrap/>
            <w:vAlign w:val="center"/>
            <w:hideMark/>
          </w:tcPr>
          <w:p w:rsidR="00525CAF" w:rsidRPr="00B70749" w:rsidRDefault="00525CAF" w:rsidP="00805B2D">
            <w:pPr>
              <w:pStyle w:val="TableText0"/>
              <w:jc w:val="center"/>
              <w:rPr>
                <w:rFonts w:eastAsiaTheme="majorEastAsia" w:cstheme="majorBidi"/>
                <w:szCs w:val="28"/>
              </w:rPr>
            </w:pPr>
            <w:r w:rsidRPr="00B70749">
              <w:t>OR (95% CI)</w:t>
            </w:r>
          </w:p>
        </w:tc>
        <w:tc>
          <w:tcPr>
            <w:tcW w:w="1560" w:type="dxa"/>
            <w:shd w:val="clear" w:color="auto" w:fill="auto"/>
            <w:noWrap/>
            <w:vAlign w:val="center"/>
            <w:hideMark/>
          </w:tcPr>
          <w:p w:rsidR="00525CAF" w:rsidRPr="00B70749" w:rsidRDefault="00525CAF" w:rsidP="00805B2D">
            <w:pPr>
              <w:pStyle w:val="TableText0"/>
              <w:jc w:val="center"/>
              <w:rPr>
                <w:rFonts w:eastAsiaTheme="majorEastAsia" w:cstheme="majorBidi"/>
                <w:szCs w:val="28"/>
              </w:rPr>
            </w:pPr>
            <w:r w:rsidRPr="00B70749">
              <w:t>RR (95% CI)</w:t>
            </w:r>
          </w:p>
        </w:tc>
      </w:tr>
      <w:tr w:rsidR="00EB3307" w:rsidRPr="00B70749" w:rsidTr="00805B2D">
        <w:trPr>
          <w:trHeight w:val="320"/>
        </w:trPr>
        <w:tc>
          <w:tcPr>
            <w:tcW w:w="8928" w:type="dxa"/>
            <w:gridSpan w:val="7"/>
            <w:noWrap/>
            <w:vAlign w:val="center"/>
            <w:hideMark/>
          </w:tcPr>
          <w:p w:rsidR="00525CAF" w:rsidRPr="00B70749" w:rsidRDefault="00525CAF" w:rsidP="00805B2D">
            <w:pPr>
              <w:pStyle w:val="TableText0"/>
              <w:rPr>
                <w:b/>
              </w:rPr>
            </w:pPr>
            <w:r w:rsidRPr="00B70749">
              <w:rPr>
                <w:b/>
              </w:rPr>
              <w:t>cDMARD-IR population, via Ada</w:t>
            </w:r>
          </w:p>
        </w:tc>
      </w:tr>
      <w:tr w:rsidR="00EB3307" w:rsidRPr="00B70749" w:rsidTr="00805B2D">
        <w:trPr>
          <w:trHeight w:val="320"/>
        </w:trPr>
        <w:tc>
          <w:tcPr>
            <w:tcW w:w="828" w:type="dxa"/>
            <w:noWrap/>
            <w:vAlign w:val="center"/>
            <w:hideMark/>
          </w:tcPr>
          <w:p w:rsidR="00525CAF" w:rsidRPr="00B70749" w:rsidRDefault="00525CAF" w:rsidP="00805B2D">
            <w:pPr>
              <w:pStyle w:val="TableText0"/>
            </w:pPr>
            <w:r w:rsidRPr="00B70749">
              <w:t>Bari</w:t>
            </w:r>
          </w:p>
        </w:tc>
        <w:tc>
          <w:tcPr>
            <w:tcW w:w="900" w:type="dxa"/>
            <w:noWrap/>
            <w:vAlign w:val="center"/>
            <w:hideMark/>
          </w:tcPr>
          <w:p w:rsidR="00525CAF" w:rsidRPr="00B70749" w:rsidRDefault="00525CAF" w:rsidP="00805B2D">
            <w:pPr>
              <w:pStyle w:val="TableText0"/>
            </w:pPr>
            <w:r w:rsidRPr="00B70749">
              <w:t>JADV</w:t>
            </w:r>
          </w:p>
        </w:tc>
        <w:tc>
          <w:tcPr>
            <w:tcW w:w="1260" w:type="dxa"/>
            <w:noWrap/>
            <w:vAlign w:val="center"/>
            <w:hideMark/>
          </w:tcPr>
          <w:p w:rsidR="00525CAF" w:rsidRPr="00B70749" w:rsidRDefault="00525CAF" w:rsidP="00805B2D">
            <w:pPr>
              <w:pStyle w:val="TableText0"/>
              <w:jc w:val="center"/>
            </w:pPr>
            <w:r w:rsidRPr="00B70749">
              <w:t>339/487 (70)</w:t>
            </w:r>
          </w:p>
        </w:tc>
        <w:tc>
          <w:tcPr>
            <w:tcW w:w="1260" w:type="dxa"/>
            <w:noWrap/>
            <w:vAlign w:val="center"/>
            <w:hideMark/>
          </w:tcPr>
          <w:p w:rsidR="00525CAF" w:rsidRPr="00B70749" w:rsidRDefault="00525CAF" w:rsidP="00805B2D">
            <w:pPr>
              <w:pStyle w:val="TableText0"/>
              <w:jc w:val="center"/>
              <w:rPr>
                <w:rFonts w:eastAsiaTheme="majorEastAsia" w:cstheme="majorBidi"/>
                <w:b/>
                <w:szCs w:val="28"/>
              </w:rPr>
            </w:pPr>
            <w:r w:rsidRPr="00B70749">
              <w:t>202/330 (61)</w:t>
            </w:r>
          </w:p>
        </w:tc>
        <w:tc>
          <w:tcPr>
            <w:tcW w:w="1560" w:type="dxa"/>
            <w:noWrap/>
            <w:vAlign w:val="center"/>
            <w:hideMark/>
          </w:tcPr>
          <w:p w:rsidR="00525CAF" w:rsidRPr="00B70749" w:rsidRDefault="00525CAF" w:rsidP="00805B2D">
            <w:pPr>
              <w:pStyle w:val="TableText0"/>
              <w:jc w:val="center"/>
              <w:rPr>
                <w:b/>
              </w:rPr>
            </w:pPr>
            <w:r w:rsidRPr="00B70749">
              <w:rPr>
                <w:b/>
              </w:rPr>
              <w:t>0.08 (0.02, 0.15)</w:t>
            </w:r>
          </w:p>
        </w:tc>
        <w:tc>
          <w:tcPr>
            <w:tcW w:w="1560" w:type="dxa"/>
            <w:noWrap/>
            <w:vAlign w:val="center"/>
            <w:hideMark/>
          </w:tcPr>
          <w:p w:rsidR="00525CAF" w:rsidRPr="00B70749" w:rsidRDefault="00525CAF" w:rsidP="00805B2D">
            <w:pPr>
              <w:pStyle w:val="TableText0"/>
              <w:jc w:val="center"/>
              <w:rPr>
                <w:b/>
              </w:rPr>
            </w:pPr>
            <w:r w:rsidRPr="00B70749">
              <w:rPr>
                <w:b/>
              </w:rPr>
              <w:t>1.45 (1.08, 1.95)</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320"/>
        </w:trPr>
        <w:tc>
          <w:tcPr>
            <w:tcW w:w="828" w:type="dxa"/>
            <w:noWrap/>
            <w:vAlign w:val="center"/>
            <w:hideMark/>
          </w:tcPr>
          <w:p w:rsidR="00525CAF" w:rsidRPr="00B70749" w:rsidRDefault="00525CAF" w:rsidP="00805B2D">
            <w:pPr>
              <w:pStyle w:val="TableText0"/>
            </w:pPr>
            <w:r w:rsidRPr="00B70749">
              <w:t>Tofa</w:t>
            </w:r>
          </w:p>
        </w:tc>
        <w:tc>
          <w:tcPr>
            <w:tcW w:w="900" w:type="dxa"/>
            <w:noWrap/>
            <w:vAlign w:val="center"/>
            <w:hideMark/>
          </w:tcPr>
          <w:p w:rsidR="00525CAF" w:rsidRPr="00B70749" w:rsidRDefault="00525CAF" w:rsidP="00805B2D">
            <w:pPr>
              <w:pStyle w:val="TableText0"/>
            </w:pPr>
            <w:r w:rsidRPr="00B70749">
              <w:t>1064</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r>
      <w:tr w:rsidR="00EB3307" w:rsidRPr="00B70749" w:rsidTr="00805B2D">
        <w:trPr>
          <w:trHeight w:val="90"/>
        </w:trPr>
        <w:tc>
          <w:tcPr>
            <w:tcW w:w="4248" w:type="dxa"/>
            <w:gridSpan w:val="4"/>
            <w:noWrap/>
            <w:vAlign w:val="center"/>
            <w:hideMark/>
          </w:tcPr>
          <w:p w:rsidR="00525CAF" w:rsidRPr="00B70749" w:rsidRDefault="00525CAF" w:rsidP="00805B2D">
            <w:pPr>
              <w:pStyle w:val="TableText0"/>
            </w:pPr>
            <w:r w:rsidRPr="00B70749">
              <w:t>Bari vs Tofa (via Ada)</w:t>
            </w:r>
          </w:p>
        </w:tc>
        <w:tc>
          <w:tcPr>
            <w:tcW w:w="15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r>
      <w:tr w:rsidR="00EB3307" w:rsidRPr="00B70749" w:rsidTr="00805B2D">
        <w:trPr>
          <w:trHeight w:val="320"/>
        </w:trPr>
        <w:tc>
          <w:tcPr>
            <w:tcW w:w="8928" w:type="dxa"/>
            <w:gridSpan w:val="7"/>
            <w:noWrap/>
            <w:vAlign w:val="center"/>
            <w:hideMark/>
          </w:tcPr>
          <w:p w:rsidR="00525CAF" w:rsidRPr="00B70749" w:rsidRDefault="00525CAF" w:rsidP="00805B2D">
            <w:pPr>
              <w:pStyle w:val="TableText0"/>
              <w:rPr>
                <w:b/>
                <w:bCs/>
              </w:rPr>
            </w:pPr>
            <w:r w:rsidRPr="00B70749">
              <w:rPr>
                <w:b/>
                <w:bCs/>
              </w:rPr>
              <w:t>cDMARD-IR population, via PBO</w:t>
            </w:r>
          </w:p>
        </w:tc>
      </w:tr>
      <w:tr w:rsidR="00EB3307" w:rsidRPr="00B70749" w:rsidTr="00805B2D">
        <w:trPr>
          <w:trHeight w:val="154"/>
        </w:trPr>
        <w:tc>
          <w:tcPr>
            <w:tcW w:w="828" w:type="dxa"/>
            <w:vMerge w:val="restart"/>
            <w:noWrap/>
            <w:vAlign w:val="center"/>
            <w:hideMark/>
          </w:tcPr>
          <w:p w:rsidR="00525CAF" w:rsidRPr="00B70749" w:rsidRDefault="00525CAF" w:rsidP="00805B2D">
            <w:pPr>
              <w:pStyle w:val="TableText0"/>
            </w:pPr>
            <w:r w:rsidRPr="00B70749">
              <w:t>Bari</w:t>
            </w:r>
          </w:p>
        </w:tc>
        <w:tc>
          <w:tcPr>
            <w:tcW w:w="900" w:type="dxa"/>
            <w:noWrap/>
            <w:vAlign w:val="center"/>
            <w:hideMark/>
          </w:tcPr>
          <w:p w:rsidR="00525CAF" w:rsidRPr="00B70749" w:rsidRDefault="00525CAF" w:rsidP="00805B2D">
            <w:pPr>
              <w:pStyle w:val="TableText0"/>
            </w:pPr>
            <w:r w:rsidRPr="00B70749">
              <w:t>JADA</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320"/>
        </w:trPr>
        <w:tc>
          <w:tcPr>
            <w:tcW w:w="828" w:type="dxa"/>
            <w:vMerge/>
            <w:noWrap/>
            <w:vAlign w:val="center"/>
            <w:hideMark/>
          </w:tcPr>
          <w:p w:rsidR="00525CAF" w:rsidRPr="00B70749" w:rsidRDefault="00525CAF" w:rsidP="00805B2D">
            <w:pPr>
              <w:pStyle w:val="TableText0"/>
            </w:pPr>
          </w:p>
        </w:tc>
        <w:tc>
          <w:tcPr>
            <w:tcW w:w="900" w:type="dxa"/>
            <w:noWrap/>
            <w:vAlign w:val="center"/>
            <w:hideMark/>
          </w:tcPr>
          <w:p w:rsidR="00525CAF" w:rsidRPr="00B70749" w:rsidRDefault="00525CAF" w:rsidP="00805B2D">
            <w:pPr>
              <w:pStyle w:val="TableText0"/>
            </w:pPr>
            <w:r w:rsidRPr="00B70749">
              <w:t>JADN</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320"/>
        </w:trPr>
        <w:tc>
          <w:tcPr>
            <w:tcW w:w="828" w:type="dxa"/>
            <w:vMerge/>
            <w:noWrap/>
            <w:vAlign w:val="center"/>
            <w:hideMark/>
          </w:tcPr>
          <w:p w:rsidR="00525CAF" w:rsidRPr="00B70749" w:rsidRDefault="00525CAF" w:rsidP="00805B2D">
            <w:pPr>
              <w:pStyle w:val="TableText0"/>
            </w:pPr>
          </w:p>
        </w:tc>
        <w:tc>
          <w:tcPr>
            <w:tcW w:w="900" w:type="dxa"/>
            <w:noWrap/>
            <w:vAlign w:val="center"/>
            <w:hideMark/>
          </w:tcPr>
          <w:p w:rsidR="00525CAF" w:rsidRPr="00B70749" w:rsidRDefault="00525CAF" w:rsidP="00805B2D">
            <w:pPr>
              <w:pStyle w:val="TableText0"/>
            </w:pPr>
            <w:r w:rsidRPr="00B70749">
              <w:t>JADV</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B0264E">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168"/>
        </w:trPr>
        <w:tc>
          <w:tcPr>
            <w:tcW w:w="828" w:type="dxa"/>
            <w:vMerge/>
            <w:noWrap/>
            <w:vAlign w:val="center"/>
            <w:hideMark/>
          </w:tcPr>
          <w:p w:rsidR="00525CAF" w:rsidRPr="00B70749" w:rsidRDefault="00525CAF" w:rsidP="00805B2D">
            <w:pPr>
              <w:pStyle w:val="TableText0"/>
            </w:pPr>
          </w:p>
        </w:tc>
        <w:tc>
          <w:tcPr>
            <w:tcW w:w="900" w:type="dxa"/>
            <w:noWrap/>
            <w:vAlign w:val="center"/>
            <w:hideMark/>
          </w:tcPr>
          <w:p w:rsidR="00525CAF" w:rsidRPr="00B70749" w:rsidRDefault="00525CAF" w:rsidP="00805B2D">
            <w:pPr>
              <w:pStyle w:val="TableText0"/>
            </w:pPr>
            <w:r w:rsidRPr="00B70749">
              <w:t>JADX</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320"/>
        </w:trPr>
        <w:tc>
          <w:tcPr>
            <w:tcW w:w="4248" w:type="dxa"/>
            <w:gridSpan w:val="4"/>
            <w:noWrap/>
            <w:vAlign w:val="center"/>
            <w:hideMark/>
          </w:tcPr>
          <w:p w:rsidR="00525CAF" w:rsidRPr="00B70749" w:rsidRDefault="00525CAF" w:rsidP="00805B2D">
            <w:pPr>
              <w:pStyle w:val="TableText0"/>
            </w:pPr>
            <w:r w:rsidRPr="00B70749">
              <w:t>Meta-analysis, Bari vs PBO</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320"/>
        </w:trPr>
        <w:tc>
          <w:tcPr>
            <w:tcW w:w="828" w:type="dxa"/>
            <w:vMerge w:val="restart"/>
            <w:noWrap/>
            <w:vAlign w:val="center"/>
            <w:hideMark/>
          </w:tcPr>
          <w:p w:rsidR="00525CAF" w:rsidRPr="00B70749" w:rsidRDefault="00525CAF" w:rsidP="00805B2D">
            <w:pPr>
              <w:pStyle w:val="TableText0"/>
            </w:pPr>
            <w:r w:rsidRPr="00B70749">
              <w:t>Tofa</w:t>
            </w:r>
          </w:p>
        </w:tc>
        <w:tc>
          <w:tcPr>
            <w:tcW w:w="900" w:type="dxa"/>
            <w:noWrap/>
            <w:vAlign w:val="center"/>
            <w:hideMark/>
          </w:tcPr>
          <w:p w:rsidR="00525CAF" w:rsidRPr="00B70749" w:rsidRDefault="00525CAF" w:rsidP="00805B2D">
            <w:pPr>
              <w:pStyle w:val="TableText0"/>
            </w:pPr>
            <w:r w:rsidRPr="00B70749">
              <w:t>1025</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320"/>
        </w:trPr>
        <w:tc>
          <w:tcPr>
            <w:tcW w:w="828" w:type="dxa"/>
            <w:vMerge/>
            <w:noWrap/>
            <w:vAlign w:val="center"/>
            <w:hideMark/>
          </w:tcPr>
          <w:p w:rsidR="00525CAF" w:rsidRPr="00B70749" w:rsidRDefault="00525CAF" w:rsidP="00805B2D">
            <w:pPr>
              <w:pStyle w:val="TableText0"/>
            </w:pPr>
          </w:p>
        </w:tc>
        <w:tc>
          <w:tcPr>
            <w:tcW w:w="900" w:type="dxa"/>
            <w:noWrap/>
            <w:vAlign w:val="center"/>
            <w:hideMark/>
          </w:tcPr>
          <w:p w:rsidR="00525CAF" w:rsidRPr="00B70749" w:rsidRDefault="00525CAF" w:rsidP="00805B2D">
            <w:pPr>
              <w:pStyle w:val="TableText0"/>
            </w:pPr>
            <w:r w:rsidRPr="00B70749">
              <w:t>1044</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320"/>
        </w:trPr>
        <w:tc>
          <w:tcPr>
            <w:tcW w:w="828" w:type="dxa"/>
            <w:vMerge/>
            <w:noWrap/>
            <w:vAlign w:val="center"/>
            <w:hideMark/>
          </w:tcPr>
          <w:p w:rsidR="00525CAF" w:rsidRPr="00B70749" w:rsidRDefault="00525CAF" w:rsidP="00805B2D">
            <w:pPr>
              <w:pStyle w:val="TableText0"/>
            </w:pPr>
          </w:p>
        </w:tc>
        <w:tc>
          <w:tcPr>
            <w:tcW w:w="900" w:type="dxa"/>
            <w:noWrap/>
            <w:vAlign w:val="center"/>
            <w:hideMark/>
          </w:tcPr>
          <w:p w:rsidR="00525CAF" w:rsidRPr="00B70749" w:rsidRDefault="00525CAF" w:rsidP="00805B2D">
            <w:pPr>
              <w:pStyle w:val="TableText0"/>
            </w:pPr>
            <w:r w:rsidRPr="00B70749">
              <w:t>1046</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320"/>
        </w:trPr>
        <w:tc>
          <w:tcPr>
            <w:tcW w:w="828" w:type="dxa"/>
            <w:vMerge/>
            <w:noWrap/>
            <w:vAlign w:val="center"/>
            <w:hideMark/>
          </w:tcPr>
          <w:p w:rsidR="00525CAF" w:rsidRPr="00B70749" w:rsidRDefault="00525CAF" w:rsidP="00805B2D">
            <w:pPr>
              <w:pStyle w:val="TableText0"/>
            </w:pPr>
          </w:p>
        </w:tc>
        <w:tc>
          <w:tcPr>
            <w:tcW w:w="900" w:type="dxa"/>
            <w:noWrap/>
            <w:vAlign w:val="center"/>
            <w:hideMark/>
          </w:tcPr>
          <w:p w:rsidR="00525CAF" w:rsidRPr="00B70749" w:rsidRDefault="00525CAF" w:rsidP="00805B2D">
            <w:pPr>
              <w:pStyle w:val="TableText0"/>
            </w:pPr>
            <w:r w:rsidRPr="00B70749">
              <w:t>1064</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300"/>
        </w:trPr>
        <w:tc>
          <w:tcPr>
            <w:tcW w:w="4248" w:type="dxa"/>
            <w:gridSpan w:val="4"/>
            <w:noWrap/>
            <w:vAlign w:val="center"/>
            <w:hideMark/>
          </w:tcPr>
          <w:p w:rsidR="00525CAF" w:rsidRPr="00B70749" w:rsidRDefault="00525CAF" w:rsidP="00805B2D">
            <w:pPr>
              <w:pStyle w:val="TableText0"/>
            </w:pPr>
            <w:r w:rsidRPr="00B70749">
              <w:t>Meta-analysis, Tofa vs PBO</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107"/>
        </w:trPr>
        <w:tc>
          <w:tcPr>
            <w:tcW w:w="4248" w:type="dxa"/>
            <w:gridSpan w:val="4"/>
            <w:noWrap/>
            <w:vAlign w:val="center"/>
            <w:hideMark/>
          </w:tcPr>
          <w:p w:rsidR="00525CAF" w:rsidRPr="00B70749" w:rsidRDefault="00525CAF" w:rsidP="00805B2D">
            <w:pPr>
              <w:pStyle w:val="TableText0"/>
            </w:pPr>
            <w:r w:rsidRPr="00B70749">
              <w:t>Bari vs Tofa (via PBO)</w:t>
            </w:r>
          </w:p>
        </w:tc>
        <w:tc>
          <w:tcPr>
            <w:tcW w:w="15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r>
      <w:tr w:rsidR="00EB3307" w:rsidRPr="00B70749" w:rsidTr="00805B2D">
        <w:trPr>
          <w:trHeight w:val="320"/>
        </w:trPr>
        <w:tc>
          <w:tcPr>
            <w:tcW w:w="8928" w:type="dxa"/>
            <w:gridSpan w:val="7"/>
            <w:noWrap/>
            <w:vAlign w:val="center"/>
            <w:hideMark/>
          </w:tcPr>
          <w:p w:rsidR="00525CAF" w:rsidRPr="00B70749" w:rsidRDefault="00525CAF" w:rsidP="00805B2D">
            <w:pPr>
              <w:pStyle w:val="TableText0"/>
              <w:rPr>
                <w:b/>
              </w:rPr>
            </w:pPr>
            <w:r w:rsidRPr="00B70749">
              <w:rPr>
                <w:b/>
              </w:rPr>
              <w:t>bDMARD-IR population, via placebo</w:t>
            </w:r>
          </w:p>
        </w:tc>
      </w:tr>
      <w:tr w:rsidR="00EB3307" w:rsidRPr="00B70749" w:rsidTr="00805B2D">
        <w:trPr>
          <w:trHeight w:val="300"/>
        </w:trPr>
        <w:tc>
          <w:tcPr>
            <w:tcW w:w="828" w:type="dxa"/>
            <w:noWrap/>
            <w:vAlign w:val="center"/>
            <w:hideMark/>
          </w:tcPr>
          <w:p w:rsidR="00525CAF" w:rsidRPr="00B70749" w:rsidRDefault="00525CAF" w:rsidP="00805B2D">
            <w:pPr>
              <w:pStyle w:val="TableText0"/>
            </w:pPr>
            <w:r w:rsidRPr="00B70749">
              <w:t>Bari</w:t>
            </w:r>
          </w:p>
        </w:tc>
        <w:tc>
          <w:tcPr>
            <w:tcW w:w="900" w:type="dxa"/>
            <w:noWrap/>
            <w:vAlign w:val="center"/>
            <w:hideMark/>
          </w:tcPr>
          <w:p w:rsidR="00525CAF" w:rsidRPr="00B70749" w:rsidRDefault="00525CAF" w:rsidP="00805B2D">
            <w:pPr>
              <w:pStyle w:val="TableText0"/>
            </w:pPr>
            <w:r w:rsidRPr="00B70749">
              <w:t>JADW</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300"/>
        </w:trPr>
        <w:tc>
          <w:tcPr>
            <w:tcW w:w="828" w:type="dxa"/>
            <w:noWrap/>
            <w:vAlign w:val="center"/>
            <w:hideMark/>
          </w:tcPr>
          <w:p w:rsidR="00525CAF" w:rsidRPr="00B70749" w:rsidRDefault="00525CAF" w:rsidP="00805B2D">
            <w:pPr>
              <w:pStyle w:val="TableText0"/>
            </w:pPr>
            <w:r w:rsidRPr="00B70749">
              <w:t>Tofa</w:t>
            </w:r>
          </w:p>
        </w:tc>
        <w:tc>
          <w:tcPr>
            <w:tcW w:w="900" w:type="dxa"/>
            <w:noWrap/>
            <w:vAlign w:val="center"/>
            <w:hideMark/>
          </w:tcPr>
          <w:p w:rsidR="00525CAF" w:rsidRPr="00B70749" w:rsidRDefault="00525CAF" w:rsidP="00805B2D">
            <w:pPr>
              <w:pStyle w:val="TableText0"/>
            </w:pPr>
            <w:r w:rsidRPr="00B70749">
              <w:t>1032</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tcPr>
          <w:p w:rsidR="00525CAF" w:rsidRPr="007A7CE0" w:rsidRDefault="007A7CE0" w:rsidP="00805B2D">
            <w:pPr>
              <w:pStyle w:val="TableText0"/>
              <w:jc w:val="center"/>
              <w:rPr>
                <w:b/>
                <w:highlight w:val="black"/>
              </w:rPr>
            </w:pPr>
            <w:r>
              <w:rPr>
                <w:b/>
                <w:noProof/>
                <w:color w:val="000000"/>
                <w:highlight w:val="black"/>
              </w:rPr>
              <w:t>'''''''' '''''''' '''''''''</w:t>
            </w:r>
          </w:p>
        </w:tc>
        <w:tc>
          <w:tcPr>
            <w:tcW w:w="1560" w:type="dxa"/>
            <w:noWrap/>
            <w:vAlign w:val="center"/>
            <w:hideMark/>
          </w:tcPr>
          <w:p w:rsidR="00525CAF" w:rsidRPr="007A7CE0" w:rsidRDefault="007A7CE0" w:rsidP="00805B2D">
            <w:pPr>
              <w:pStyle w:val="TableText0"/>
              <w:jc w:val="center"/>
              <w:rPr>
                <w:b/>
                <w:highlight w:val="black"/>
              </w:rPr>
            </w:pPr>
            <w:r>
              <w:rPr>
                <w:b/>
                <w:noProof/>
                <w:color w:val="000000"/>
                <w:highlight w:val="black"/>
              </w:rPr>
              <w:t>''''''''' ''''''''''' ''''''''''</w:t>
            </w:r>
          </w:p>
        </w:tc>
      </w:tr>
      <w:tr w:rsidR="00EB3307" w:rsidRPr="00B70749" w:rsidTr="00805B2D">
        <w:trPr>
          <w:trHeight w:val="90"/>
        </w:trPr>
        <w:tc>
          <w:tcPr>
            <w:tcW w:w="4248" w:type="dxa"/>
            <w:gridSpan w:val="4"/>
            <w:noWrap/>
            <w:vAlign w:val="center"/>
            <w:hideMark/>
          </w:tcPr>
          <w:p w:rsidR="00525CAF" w:rsidRPr="00B70749" w:rsidRDefault="00525CAF" w:rsidP="00805B2D">
            <w:pPr>
              <w:pStyle w:val="TableText0"/>
            </w:pPr>
            <w:r w:rsidRPr="00B70749">
              <w:t>Bari vs Tofa (via PBO)</w:t>
            </w:r>
          </w:p>
        </w:tc>
        <w:tc>
          <w:tcPr>
            <w:tcW w:w="15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7A7CE0" w:rsidRDefault="007A7CE0" w:rsidP="00805B2D">
            <w:pPr>
              <w:pStyle w:val="TableText0"/>
              <w:jc w:val="center"/>
              <w:rPr>
                <w:rFonts w:eastAsiaTheme="majorEastAsia" w:cstheme="majorBidi"/>
                <w:b/>
                <w:szCs w:val="28"/>
                <w:highlight w:val="black"/>
              </w:rPr>
            </w:pPr>
            <w:r>
              <w:rPr>
                <w:noProof/>
                <w:color w:val="000000"/>
                <w:highlight w:val="black"/>
              </w:rPr>
              <w:t>'''''''''''' ''''''''''''' ''''''''''''</w:t>
            </w:r>
          </w:p>
        </w:tc>
      </w:tr>
    </w:tbl>
    <w:p w:rsidR="00525CAF" w:rsidRPr="00B70749" w:rsidRDefault="00525CAF" w:rsidP="00525CAF">
      <w:pPr>
        <w:pStyle w:val="TableFooter"/>
      </w:pPr>
      <w:r w:rsidRPr="00B70749">
        <w:t>Source: Table Att2.6.3 of the July 2017 Commentary</w:t>
      </w:r>
    </w:p>
    <w:p w:rsidR="00525CAF" w:rsidRPr="00B70749" w:rsidRDefault="00525CAF" w:rsidP="00525CAF">
      <w:pPr>
        <w:pStyle w:val="TableFooter"/>
      </w:pPr>
      <w:r w:rsidRPr="00B70749">
        <w:t>Ada = adalimumab; Bari = baricitinib; bDMARD = biological disease modifying anti-rheumatic drug; cDMARD = conventional disease modifying anti-rheumatic drug; CI = confidence interval; IR = inadequate response; OR = odds ratio; PBO = placebo; RD = risk difference; RR = risk ratio; Tofa = tofacitinib</w:t>
      </w:r>
    </w:p>
    <w:p w:rsidR="00525CAF" w:rsidRPr="00B70749" w:rsidRDefault="00525CAF" w:rsidP="00525CAF">
      <w:pPr>
        <w:pStyle w:val="TableFooter"/>
      </w:pPr>
      <w:r w:rsidRPr="00B70749">
        <w:rPr>
          <w:rFonts w:eastAsia="Calibri"/>
        </w:rPr>
        <w:t>Bold typography indicates statistically significant differences</w:t>
      </w:r>
    </w:p>
    <w:p w:rsidR="00525CAF" w:rsidRPr="00A60CB2" w:rsidRDefault="00525CAF" w:rsidP="00525CAF">
      <w:pPr>
        <w:pStyle w:val="ListParagraph"/>
        <w:widowControl/>
        <w:numPr>
          <w:ilvl w:val="1"/>
          <w:numId w:val="14"/>
        </w:numPr>
        <w:spacing w:before="120" w:after="160"/>
        <w:contextualSpacing w:val="0"/>
        <w:rPr>
          <w:rFonts w:asciiTheme="minorHAnsi" w:hAnsiTheme="minorHAnsi"/>
          <w:sz w:val="28"/>
          <w:szCs w:val="24"/>
        </w:rPr>
      </w:pPr>
      <w:r w:rsidRPr="00B70749">
        <w:rPr>
          <w:rFonts w:asciiTheme="minorHAnsi" w:hAnsiTheme="minorHAnsi"/>
          <w:sz w:val="24"/>
        </w:rPr>
        <w:t>In the March 2015 consideration of tofacitinib for rheumatoid arthritis, the PBAC accepted that tofacitinib was non-inferior in terms of comparative efficacy to adalimumab using ACR outcome measures (</w:t>
      </w:r>
      <w:r w:rsidR="006555A6" w:rsidRPr="00B70749">
        <w:rPr>
          <w:rFonts w:asciiTheme="minorHAnsi" w:hAnsiTheme="minorHAnsi"/>
          <w:sz w:val="24"/>
        </w:rPr>
        <w:t>t</w:t>
      </w:r>
      <w:r w:rsidRPr="00B70749">
        <w:rPr>
          <w:rFonts w:asciiTheme="minorHAnsi" w:hAnsiTheme="minorHAnsi"/>
          <w:sz w:val="24"/>
        </w:rPr>
        <w:t>ofacitinib Public Summary Document, March 2015).</w:t>
      </w:r>
    </w:p>
    <w:p w:rsidR="005A3173" w:rsidRPr="00827914" w:rsidRDefault="005A3173" w:rsidP="009F5BE2">
      <w:pPr>
        <w:pStyle w:val="Heading2"/>
      </w:pPr>
      <w:r w:rsidRPr="00827914">
        <w:t>Comparative harms</w:t>
      </w:r>
    </w:p>
    <w:p w:rsidR="0058505D" w:rsidRPr="00B70749" w:rsidRDefault="0058505D" w:rsidP="00EE330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t>In July 2017, the PBAC considered that the sponsor’s claim of equivalent safety</w:t>
      </w:r>
      <w:r w:rsidR="00EE330F" w:rsidRPr="00B70749">
        <w:rPr>
          <w:rFonts w:asciiTheme="minorHAnsi" w:eastAsiaTheme="minorHAnsi" w:hAnsiTheme="minorHAnsi" w:cstheme="minorBidi"/>
          <w:snapToGrid/>
          <w:sz w:val="24"/>
          <w:szCs w:val="22"/>
        </w:rPr>
        <w:t xml:space="preserve"> to adalimumab</w:t>
      </w:r>
      <w:r w:rsidRPr="00B70749">
        <w:rPr>
          <w:rFonts w:asciiTheme="minorHAnsi" w:eastAsiaTheme="minorHAnsi" w:hAnsiTheme="minorHAnsi" w:cstheme="minorBidi"/>
          <w:snapToGrid/>
          <w:sz w:val="24"/>
          <w:szCs w:val="22"/>
        </w:rPr>
        <w:t xml:space="preserve"> was not adequately supported by the data. In particular, the PBAC expressed concerns about the higher number of serious adverse events</w:t>
      </w:r>
      <w:r w:rsidR="00FB379E">
        <w:rPr>
          <w:rFonts w:asciiTheme="minorHAnsi" w:eastAsiaTheme="minorHAnsi" w:hAnsiTheme="minorHAnsi" w:cstheme="minorBidi"/>
          <w:snapToGrid/>
          <w:sz w:val="24"/>
          <w:szCs w:val="22"/>
        </w:rPr>
        <w:t xml:space="preserve"> (SAEs)</w:t>
      </w:r>
      <w:r w:rsidR="00827914">
        <w:rPr>
          <w:rFonts w:asciiTheme="minorHAnsi" w:eastAsiaTheme="minorHAnsi" w:hAnsiTheme="minorHAnsi" w:cstheme="minorBidi"/>
          <w:snapToGrid/>
          <w:sz w:val="24"/>
          <w:szCs w:val="22"/>
        </w:rPr>
        <w:t xml:space="preserve"> in the baricitinib group.</w:t>
      </w:r>
    </w:p>
    <w:p w:rsidR="00C32009" w:rsidRPr="00B70749" w:rsidRDefault="00C32009" w:rsidP="0058505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t xml:space="preserve">The </w:t>
      </w:r>
      <w:r w:rsidR="00F96961" w:rsidRPr="00B70749">
        <w:rPr>
          <w:rFonts w:asciiTheme="minorHAnsi" w:eastAsiaTheme="minorHAnsi" w:hAnsiTheme="minorHAnsi" w:cstheme="minorBidi"/>
          <w:snapToGrid/>
          <w:sz w:val="24"/>
          <w:szCs w:val="22"/>
        </w:rPr>
        <w:t xml:space="preserve">November 2017 </w:t>
      </w:r>
      <w:r w:rsidR="00FC6820">
        <w:rPr>
          <w:rFonts w:asciiTheme="minorHAnsi" w:eastAsiaTheme="minorHAnsi" w:hAnsiTheme="minorHAnsi" w:cstheme="minorBidi"/>
          <w:snapToGrid/>
          <w:sz w:val="24"/>
          <w:szCs w:val="22"/>
        </w:rPr>
        <w:t xml:space="preserve">and March 2018 </w:t>
      </w:r>
      <w:r w:rsidRPr="00B70749">
        <w:rPr>
          <w:rFonts w:asciiTheme="minorHAnsi" w:eastAsiaTheme="minorHAnsi" w:hAnsiTheme="minorHAnsi" w:cstheme="minorBidi"/>
          <w:snapToGrid/>
          <w:sz w:val="24"/>
          <w:szCs w:val="22"/>
        </w:rPr>
        <w:t>minor resubmission</w:t>
      </w:r>
      <w:r w:rsidR="00FC6820">
        <w:rPr>
          <w:rFonts w:asciiTheme="minorHAnsi" w:eastAsiaTheme="minorHAnsi" w:hAnsiTheme="minorHAnsi" w:cstheme="minorBidi"/>
          <w:snapToGrid/>
          <w:sz w:val="24"/>
          <w:szCs w:val="22"/>
        </w:rPr>
        <w:t>s</w:t>
      </w:r>
      <w:r w:rsidRPr="00B70749">
        <w:rPr>
          <w:rFonts w:asciiTheme="minorHAnsi" w:eastAsiaTheme="minorHAnsi" w:hAnsiTheme="minorHAnsi" w:cstheme="minorBidi"/>
          <w:snapToGrid/>
          <w:sz w:val="24"/>
          <w:szCs w:val="22"/>
        </w:rPr>
        <w:t xml:space="preserve"> presented safety </w:t>
      </w:r>
      <w:r w:rsidR="00472713" w:rsidRPr="00B70749">
        <w:rPr>
          <w:rFonts w:asciiTheme="minorHAnsi" w:eastAsiaTheme="minorHAnsi" w:hAnsiTheme="minorHAnsi" w:cstheme="minorBidi"/>
          <w:snapToGrid/>
          <w:sz w:val="24"/>
          <w:szCs w:val="22"/>
        </w:rPr>
        <w:t xml:space="preserve">results </w:t>
      </w:r>
      <w:r w:rsidR="005A524E" w:rsidRPr="00B70749">
        <w:rPr>
          <w:rFonts w:asciiTheme="minorHAnsi" w:eastAsiaTheme="minorHAnsi" w:hAnsiTheme="minorHAnsi" w:cstheme="minorBidi"/>
          <w:snapToGrid/>
          <w:sz w:val="24"/>
          <w:szCs w:val="22"/>
        </w:rPr>
        <w:t>for</w:t>
      </w:r>
      <w:r w:rsidRPr="00B70749">
        <w:rPr>
          <w:rFonts w:asciiTheme="minorHAnsi" w:eastAsiaTheme="minorHAnsi" w:hAnsiTheme="minorHAnsi" w:cstheme="minorBidi"/>
          <w:snapToGrid/>
          <w:sz w:val="24"/>
          <w:szCs w:val="22"/>
        </w:rPr>
        <w:t xml:space="preserve"> baricitinib and tofacitinib</w:t>
      </w:r>
      <w:r w:rsidR="005A524E" w:rsidRPr="00B70749">
        <w:rPr>
          <w:rFonts w:asciiTheme="minorHAnsi" w:eastAsiaTheme="minorHAnsi" w:hAnsiTheme="minorHAnsi" w:cstheme="minorBidi"/>
          <w:snapToGrid/>
          <w:sz w:val="24"/>
          <w:szCs w:val="22"/>
        </w:rPr>
        <w:t xml:space="preserve">. Safety results were not compared by indirect comparisons due to potential differences in adverse event reporting and analysis between trials. The submission considered that there was no clinically meaningful difference in the safety profiles </w:t>
      </w:r>
      <w:r w:rsidR="00827914">
        <w:rPr>
          <w:rFonts w:asciiTheme="minorHAnsi" w:eastAsiaTheme="minorHAnsi" w:hAnsiTheme="minorHAnsi" w:cstheme="minorBidi"/>
          <w:snapToGrid/>
          <w:sz w:val="24"/>
          <w:szCs w:val="22"/>
        </w:rPr>
        <w:t>of baricitinib and tofacitinib.</w:t>
      </w:r>
    </w:p>
    <w:p w:rsidR="00FC6820" w:rsidRDefault="002F688D" w:rsidP="00827914">
      <w:pPr>
        <w:pStyle w:val="ListParagraph"/>
        <w:numPr>
          <w:ilvl w:val="1"/>
          <w:numId w:val="14"/>
        </w:numPr>
        <w:spacing w:after="120"/>
        <w:contextualSpacing w:val="0"/>
        <w:rPr>
          <w:rFonts w:asciiTheme="minorHAnsi" w:eastAsiaTheme="minorHAnsi" w:hAnsiTheme="minorHAnsi" w:cstheme="minorBidi"/>
          <w:snapToGrid/>
          <w:sz w:val="24"/>
          <w:szCs w:val="22"/>
        </w:rPr>
      </w:pPr>
      <w:r w:rsidRPr="00B70749">
        <w:rPr>
          <w:rFonts w:asciiTheme="minorHAnsi" w:eastAsiaTheme="minorHAnsi" w:hAnsiTheme="minorHAnsi" w:cstheme="minorBidi"/>
          <w:snapToGrid/>
          <w:sz w:val="24"/>
          <w:szCs w:val="22"/>
        </w:rPr>
        <w:t xml:space="preserve">The pre-PBAC response from the </w:t>
      </w:r>
      <w:r w:rsidR="006031BD">
        <w:rPr>
          <w:rFonts w:asciiTheme="minorHAnsi" w:eastAsiaTheme="minorHAnsi" w:hAnsiTheme="minorHAnsi" w:cstheme="minorBidi"/>
          <w:snapToGrid/>
          <w:sz w:val="24"/>
          <w:szCs w:val="22"/>
        </w:rPr>
        <w:t>November</w:t>
      </w:r>
      <w:r w:rsidR="006031BD" w:rsidRPr="00B70749">
        <w:rPr>
          <w:rFonts w:asciiTheme="minorHAnsi" w:eastAsiaTheme="minorHAnsi" w:hAnsiTheme="minorHAnsi" w:cstheme="minorBidi"/>
          <w:snapToGrid/>
          <w:sz w:val="24"/>
          <w:szCs w:val="22"/>
        </w:rPr>
        <w:t xml:space="preserve"> </w:t>
      </w:r>
      <w:r w:rsidRPr="00B70749">
        <w:rPr>
          <w:rFonts w:asciiTheme="minorHAnsi" w:eastAsiaTheme="minorHAnsi" w:hAnsiTheme="minorHAnsi" w:cstheme="minorBidi"/>
          <w:snapToGrid/>
          <w:sz w:val="24"/>
          <w:szCs w:val="22"/>
        </w:rPr>
        <w:t xml:space="preserve">2017 PBAC meeting made reference to the comparison between tofacitinib and adalimumab (Tofacitinib PSD; March 2015 PBAC meeting), in which tofacitinib showed a statistically significant difference in greater number of patients with serious adverse events. The </w:t>
      </w:r>
      <w:r w:rsidR="006031BD">
        <w:rPr>
          <w:rFonts w:asciiTheme="minorHAnsi" w:eastAsiaTheme="minorHAnsi" w:hAnsiTheme="minorHAnsi" w:cstheme="minorBidi"/>
          <w:snapToGrid/>
          <w:sz w:val="24"/>
          <w:szCs w:val="22"/>
        </w:rPr>
        <w:t xml:space="preserve">November 2017 </w:t>
      </w:r>
      <w:r w:rsidRPr="00B70749">
        <w:rPr>
          <w:rFonts w:asciiTheme="minorHAnsi" w:eastAsiaTheme="minorHAnsi" w:hAnsiTheme="minorHAnsi" w:cstheme="minorBidi"/>
          <w:snapToGrid/>
          <w:sz w:val="24"/>
          <w:szCs w:val="22"/>
        </w:rPr>
        <w:t>pre-PBAC response claimed the results were in line with the comparison of serious adverse events rates between baricitinib and adalimumab, and asserted that the PBAC had previously accepted a similar comparative safety profile for tofacitinib, which resulted in a positive recommendation for tofacitinib based on</w:t>
      </w:r>
      <w:r w:rsidR="00827914">
        <w:rPr>
          <w:rFonts w:asciiTheme="minorHAnsi" w:eastAsiaTheme="minorHAnsi" w:hAnsiTheme="minorHAnsi" w:cstheme="minorBidi"/>
          <w:snapToGrid/>
          <w:sz w:val="24"/>
          <w:szCs w:val="22"/>
        </w:rPr>
        <w:t xml:space="preserve"> non-inferiority to adalimumab.</w:t>
      </w:r>
    </w:p>
    <w:p w:rsidR="002F688D" w:rsidRDefault="00FB379E" w:rsidP="00827914">
      <w:pPr>
        <w:pStyle w:val="ListParagraph"/>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March</w:t>
      </w:r>
      <w:r w:rsidR="00FD3C97">
        <w:rPr>
          <w:rFonts w:asciiTheme="minorHAnsi" w:eastAsiaTheme="minorHAnsi" w:hAnsiTheme="minorHAnsi" w:cstheme="minorBidi"/>
          <w:snapToGrid/>
          <w:sz w:val="24"/>
          <w:szCs w:val="22"/>
        </w:rPr>
        <w:t xml:space="preserve"> 2018 pre-PBAC response</w:t>
      </w:r>
      <w:r w:rsidR="00FC6820">
        <w:rPr>
          <w:rFonts w:asciiTheme="minorHAnsi" w:eastAsiaTheme="minorHAnsi" w:hAnsiTheme="minorHAnsi" w:cstheme="minorBidi"/>
          <w:snapToGrid/>
          <w:color w:val="FF0000"/>
          <w:sz w:val="24"/>
          <w:szCs w:val="22"/>
        </w:rPr>
        <w:t xml:space="preserve"> </w:t>
      </w:r>
      <w:r w:rsidR="00FC6820" w:rsidRPr="00F6298D">
        <w:rPr>
          <w:rFonts w:asciiTheme="minorHAnsi" w:eastAsiaTheme="minorHAnsi" w:hAnsiTheme="minorHAnsi" w:cstheme="minorBidi"/>
          <w:snapToGrid/>
          <w:sz w:val="24"/>
          <w:szCs w:val="22"/>
        </w:rPr>
        <w:t>again</w:t>
      </w:r>
      <w:r w:rsidR="007D4C0B" w:rsidRPr="00F6298D">
        <w:rPr>
          <w:rFonts w:asciiTheme="minorHAnsi" w:eastAsiaTheme="minorHAnsi" w:hAnsiTheme="minorHAnsi" w:cstheme="minorBidi"/>
          <w:snapToGrid/>
          <w:sz w:val="24"/>
          <w:szCs w:val="22"/>
        </w:rPr>
        <w:t xml:space="preserve"> </w:t>
      </w:r>
      <w:r w:rsidR="00834FED">
        <w:rPr>
          <w:rFonts w:asciiTheme="minorHAnsi" w:eastAsiaTheme="minorHAnsi" w:hAnsiTheme="minorHAnsi" w:cstheme="minorBidi"/>
          <w:snapToGrid/>
          <w:sz w:val="24"/>
          <w:szCs w:val="22"/>
        </w:rPr>
        <w:t>requested</w:t>
      </w:r>
      <w:r w:rsidR="00FD3C97">
        <w:rPr>
          <w:rFonts w:asciiTheme="minorHAnsi" w:eastAsiaTheme="minorHAnsi" w:hAnsiTheme="minorHAnsi" w:cstheme="minorBidi"/>
          <w:snapToGrid/>
          <w:sz w:val="24"/>
          <w:szCs w:val="22"/>
        </w:rPr>
        <w:t xml:space="preserve"> the </w:t>
      </w:r>
      <w:r w:rsidR="00834FED">
        <w:rPr>
          <w:rFonts w:asciiTheme="minorHAnsi" w:eastAsiaTheme="minorHAnsi" w:hAnsiTheme="minorHAnsi" w:cstheme="minorBidi"/>
          <w:snapToGrid/>
          <w:sz w:val="24"/>
          <w:szCs w:val="22"/>
        </w:rPr>
        <w:t xml:space="preserve">similar comparative safety profile for tofacitinib that resulted in a positive recommendation be considered in the PBAC </w:t>
      </w:r>
      <w:r w:rsidR="00291DB0">
        <w:rPr>
          <w:rFonts w:asciiTheme="minorHAnsi" w:eastAsiaTheme="minorHAnsi" w:hAnsiTheme="minorHAnsi" w:cstheme="minorBidi"/>
          <w:snapToGrid/>
          <w:sz w:val="24"/>
          <w:szCs w:val="22"/>
        </w:rPr>
        <w:t>deliberation</w:t>
      </w:r>
      <w:r w:rsidR="00FC6820">
        <w:rPr>
          <w:rFonts w:asciiTheme="minorHAnsi" w:eastAsiaTheme="minorHAnsi" w:hAnsiTheme="minorHAnsi" w:cstheme="minorBidi"/>
          <w:snapToGrid/>
          <w:sz w:val="24"/>
          <w:szCs w:val="22"/>
        </w:rPr>
        <w:t>s</w:t>
      </w:r>
      <w:r w:rsidR="00834FED">
        <w:rPr>
          <w:rFonts w:asciiTheme="minorHAnsi" w:eastAsiaTheme="minorHAnsi" w:hAnsiTheme="minorHAnsi" w:cstheme="minorBidi"/>
          <w:snapToGrid/>
          <w:sz w:val="24"/>
          <w:szCs w:val="22"/>
        </w:rPr>
        <w:t xml:space="preserve"> for baricitinib.</w:t>
      </w:r>
    </w:p>
    <w:p w:rsidR="00FB379E" w:rsidRPr="00B70749" w:rsidRDefault="00FB379E" w:rsidP="00EE330F">
      <w:pPr>
        <w:pStyle w:val="ListParagraph"/>
        <w:numPr>
          <w:ilvl w:val="1"/>
          <w:numId w:val="14"/>
        </w:numPr>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March 2018 pre-PBAC response</w:t>
      </w:r>
      <w:r w:rsidR="007D4C0B">
        <w:rPr>
          <w:rFonts w:asciiTheme="minorHAnsi" w:eastAsiaTheme="minorHAnsi" w:hAnsiTheme="minorHAnsi" w:cstheme="minorBidi"/>
          <w:snapToGrid/>
          <w:sz w:val="24"/>
          <w:szCs w:val="22"/>
        </w:rPr>
        <w:t xml:space="preserve"> </w:t>
      </w:r>
      <w:r w:rsidR="00FC6820" w:rsidRPr="00A60CB2">
        <w:rPr>
          <w:rFonts w:asciiTheme="minorHAnsi" w:eastAsiaTheme="minorHAnsi" w:hAnsiTheme="minorHAnsi" w:cstheme="minorBidi"/>
          <w:snapToGrid/>
          <w:sz w:val="24"/>
          <w:szCs w:val="22"/>
        </w:rPr>
        <w:t>also</w:t>
      </w:r>
      <w:r w:rsidRPr="00A60CB2">
        <w:rPr>
          <w:rFonts w:asciiTheme="minorHAnsi" w:eastAsiaTheme="minorHAnsi" w:hAnsiTheme="minorHAnsi" w:cstheme="minorBidi"/>
          <w:snapToGrid/>
          <w:sz w:val="24"/>
          <w:szCs w:val="22"/>
        </w:rPr>
        <w:t xml:space="preserve"> </w:t>
      </w:r>
      <w:r w:rsidR="00291DB0">
        <w:rPr>
          <w:rFonts w:asciiTheme="minorHAnsi" w:eastAsiaTheme="minorHAnsi" w:hAnsiTheme="minorHAnsi" w:cstheme="minorBidi"/>
          <w:snapToGrid/>
          <w:sz w:val="24"/>
          <w:szCs w:val="22"/>
        </w:rPr>
        <w:t>stated</w:t>
      </w:r>
      <w:r>
        <w:rPr>
          <w:rFonts w:asciiTheme="minorHAnsi" w:eastAsiaTheme="minorHAnsi" w:hAnsiTheme="minorHAnsi" w:cstheme="minorBidi"/>
          <w:snapToGrid/>
          <w:sz w:val="24"/>
          <w:szCs w:val="22"/>
        </w:rPr>
        <w:t xml:space="preserve"> the </w:t>
      </w:r>
      <w:r w:rsidR="003F08B9">
        <w:rPr>
          <w:rFonts w:asciiTheme="minorHAnsi" w:eastAsiaTheme="minorHAnsi" w:hAnsiTheme="minorHAnsi" w:cstheme="minorBidi"/>
          <w:snapToGrid/>
          <w:sz w:val="24"/>
          <w:szCs w:val="22"/>
        </w:rPr>
        <w:t xml:space="preserve">finding of </w:t>
      </w:r>
      <w:r w:rsidR="00291DB0">
        <w:rPr>
          <w:rFonts w:asciiTheme="minorHAnsi" w:eastAsiaTheme="minorHAnsi" w:hAnsiTheme="minorHAnsi" w:cstheme="minorBidi"/>
          <w:snapToGrid/>
          <w:sz w:val="24"/>
          <w:szCs w:val="22"/>
        </w:rPr>
        <w:t>higher rate</w:t>
      </w:r>
      <w:r w:rsidR="003F08B9">
        <w:rPr>
          <w:rFonts w:asciiTheme="minorHAnsi" w:eastAsiaTheme="minorHAnsi" w:hAnsiTheme="minorHAnsi" w:cstheme="minorBidi"/>
          <w:snapToGrid/>
          <w:sz w:val="24"/>
          <w:szCs w:val="22"/>
        </w:rPr>
        <w:t>s</w:t>
      </w:r>
      <w:r w:rsidR="00291DB0">
        <w:rPr>
          <w:rFonts w:asciiTheme="minorHAnsi" w:eastAsiaTheme="minorHAnsi" w:hAnsiTheme="minorHAnsi" w:cstheme="minorBidi"/>
          <w:snapToGrid/>
          <w:sz w:val="24"/>
          <w:szCs w:val="22"/>
        </w:rPr>
        <w:t xml:space="preserve"> of SAEs in baricitinib </w:t>
      </w:r>
      <w:r w:rsidR="003F08B9">
        <w:rPr>
          <w:rFonts w:asciiTheme="minorHAnsi" w:eastAsiaTheme="minorHAnsi" w:hAnsiTheme="minorHAnsi" w:cstheme="minorBidi"/>
          <w:snapToGrid/>
          <w:sz w:val="24"/>
          <w:szCs w:val="22"/>
        </w:rPr>
        <w:t>compared to</w:t>
      </w:r>
      <w:r w:rsidR="00291DB0">
        <w:rPr>
          <w:rFonts w:asciiTheme="minorHAnsi" w:eastAsiaTheme="minorHAnsi" w:hAnsiTheme="minorHAnsi" w:cstheme="minorBidi"/>
          <w:snapToGrid/>
          <w:sz w:val="24"/>
          <w:szCs w:val="22"/>
        </w:rPr>
        <w:t xml:space="preserve"> adalimumab may not be </w:t>
      </w:r>
      <w:r w:rsidR="003F08B9">
        <w:rPr>
          <w:rFonts w:asciiTheme="minorHAnsi" w:eastAsiaTheme="minorHAnsi" w:hAnsiTheme="minorHAnsi" w:cstheme="minorBidi"/>
          <w:snapToGrid/>
          <w:sz w:val="24"/>
          <w:szCs w:val="22"/>
        </w:rPr>
        <w:t>legitimate</w:t>
      </w:r>
      <w:r w:rsidR="00291DB0">
        <w:rPr>
          <w:rFonts w:asciiTheme="minorHAnsi" w:eastAsiaTheme="minorHAnsi" w:hAnsiTheme="minorHAnsi" w:cstheme="minorBidi"/>
          <w:snapToGrid/>
          <w:sz w:val="24"/>
          <w:szCs w:val="22"/>
        </w:rPr>
        <w:t>, as baricitinib showed equivalent rates of SAEs to placebo (4.7% vs 4.5% respectively)</w:t>
      </w:r>
      <w:r w:rsidR="00D00FC3">
        <w:rPr>
          <w:rFonts w:asciiTheme="minorHAnsi" w:eastAsiaTheme="minorHAnsi" w:hAnsiTheme="minorHAnsi" w:cstheme="minorBidi"/>
          <w:snapToGrid/>
          <w:sz w:val="24"/>
          <w:szCs w:val="22"/>
        </w:rPr>
        <w:t xml:space="preserve"> in the JADV trial</w:t>
      </w:r>
      <w:r w:rsidR="00291DB0">
        <w:rPr>
          <w:rFonts w:asciiTheme="minorHAnsi" w:eastAsiaTheme="minorHAnsi" w:hAnsiTheme="minorHAnsi" w:cstheme="minorBidi"/>
          <w:snapToGrid/>
          <w:sz w:val="24"/>
          <w:szCs w:val="22"/>
        </w:rPr>
        <w:t xml:space="preserve">, whilst adalimumab showed lower rates of SAEs (1.8%) </w:t>
      </w:r>
      <w:r w:rsidR="003F08B9">
        <w:rPr>
          <w:rFonts w:asciiTheme="minorHAnsi" w:eastAsiaTheme="minorHAnsi" w:hAnsiTheme="minorHAnsi" w:cstheme="minorBidi"/>
          <w:snapToGrid/>
          <w:sz w:val="24"/>
          <w:szCs w:val="22"/>
        </w:rPr>
        <w:t xml:space="preserve">compared </w:t>
      </w:r>
      <w:r w:rsidR="00291DB0">
        <w:rPr>
          <w:rFonts w:asciiTheme="minorHAnsi" w:eastAsiaTheme="minorHAnsi" w:hAnsiTheme="minorHAnsi" w:cstheme="minorBidi"/>
          <w:snapToGrid/>
          <w:sz w:val="24"/>
          <w:szCs w:val="22"/>
        </w:rPr>
        <w:t>to placebo.</w:t>
      </w:r>
      <w:r w:rsidR="00D00FC3">
        <w:rPr>
          <w:rFonts w:asciiTheme="minorHAnsi" w:eastAsiaTheme="minorHAnsi" w:hAnsiTheme="minorHAnsi" w:cstheme="minorBidi"/>
          <w:snapToGrid/>
          <w:sz w:val="24"/>
          <w:szCs w:val="22"/>
        </w:rPr>
        <w:t xml:space="preserve"> The pre-PBAC response questioned how an immunomodulatory agent could have a lower SAE rate than placebo, which was supported by the TGA </w:t>
      </w:r>
      <w:r w:rsidR="00917AC6">
        <w:rPr>
          <w:rFonts w:asciiTheme="minorHAnsi" w:eastAsiaTheme="minorHAnsi" w:hAnsiTheme="minorHAnsi" w:cstheme="minorBidi"/>
          <w:snapToGrid/>
          <w:sz w:val="24"/>
          <w:szCs w:val="22"/>
        </w:rPr>
        <w:t xml:space="preserve">clinical </w:t>
      </w:r>
      <w:r w:rsidR="00D00FC3">
        <w:rPr>
          <w:rFonts w:asciiTheme="minorHAnsi" w:eastAsiaTheme="minorHAnsi" w:hAnsiTheme="minorHAnsi" w:cstheme="minorBidi"/>
          <w:snapToGrid/>
          <w:sz w:val="24"/>
          <w:szCs w:val="22"/>
        </w:rPr>
        <w:t xml:space="preserve">evaluation report for adalimumab which showed </w:t>
      </w:r>
      <w:r w:rsidR="0029695A">
        <w:rPr>
          <w:rFonts w:asciiTheme="minorHAnsi" w:eastAsiaTheme="minorHAnsi" w:hAnsiTheme="minorHAnsi" w:cstheme="minorBidi"/>
          <w:snapToGrid/>
          <w:sz w:val="24"/>
          <w:szCs w:val="22"/>
        </w:rPr>
        <w:t xml:space="preserve">10.7% of adalimumab-treated patients reported </w:t>
      </w:r>
      <w:r w:rsidR="00917AC6">
        <w:rPr>
          <w:rFonts w:asciiTheme="minorHAnsi" w:eastAsiaTheme="minorHAnsi" w:hAnsiTheme="minorHAnsi" w:cstheme="minorBidi"/>
          <w:snapToGrid/>
          <w:sz w:val="24"/>
          <w:szCs w:val="22"/>
        </w:rPr>
        <w:t xml:space="preserve">treatment-emergent </w:t>
      </w:r>
      <w:r w:rsidR="00D00FC3">
        <w:rPr>
          <w:rFonts w:asciiTheme="minorHAnsi" w:eastAsiaTheme="minorHAnsi" w:hAnsiTheme="minorHAnsi" w:cstheme="minorBidi"/>
          <w:snapToGrid/>
          <w:sz w:val="24"/>
          <w:szCs w:val="22"/>
        </w:rPr>
        <w:t>SAEs</w:t>
      </w:r>
      <w:r w:rsidR="0029695A">
        <w:rPr>
          <w:rFonts w:asciiTheme="minorHAnsi" w:eastAsiaTheme="minorHAnsi" w:hAnsiTheme="minorHAnsi" w:cstheme="minorBidi"/>
          <w:snapToGrid/>
          <w:sz w:val="24"/>
          <w:szCs w:val="22"/>
        </w:rPr>
        <w:t xml:space="preserve"> (Humira AusPAR, Table 18, pg.55)</w:t>
      </w:r>
      <w:r w:rsidR="00D00FC3">
        <w:rPr>
          <w:rFonts w:asciiTheme="minorHAnsi" w:eastAsiaTheme="minorHAnsi" w:hAnsiTheme="minorHAnsi" w:cstheme="minorBidi"/>
          <w:snapToGrid/>
          <w:sz w:val="24"/>
          <w:szCs w:val="22"/>
        </w:rPr>
        <w:t>.</w:t>
      </w:r>
    </w:p>
    <w:p w:rsidR="003C2FB5" w:rsidRPr="00827914" w:rsidRDefault="005A3173" w:rsidP="009F5BE2">
      <w:pPr>
        <w:pStyle w:val="Heading2"/>
      </w:pPr>
      <w:r w:rsidRPr="00827914">
        <w:t>Clinical claim</w:t>
      </w:r>
    </w:p>
    <w:p w:rsidR="00F57A6D" w:rsidRPr="008E2BE0" w:rsidRDefault="00FF2801" w:rsidP="005A524E">
      <w:pPr>
        <w:pStyle w:val="ListParagraph"/>
        <w:widowControl/>
        <w:numPr>
          <w:ilvl w:val="1"/>
          <w:numId w:val="14"/>
        </w:numPr>
        <w:spacing w:after="120"/>
        <w:contextualSpacing w:val="0"/>
        <w:rPr>
          <w:rFonts w:asciiTheme="minorHAnsi" w:hAnsiTheme="minorHAnsi"/>
          <w:sz w:val="24"/>
          <w:szCs w:val="24"/>
        </w:rPr>
      </w:pPr>
      <w:r w:rsidRPr="00B70749">
        <w:rPr>
          <w:rFonts w:asciiTheme="minorHAnsi" w:hAnsiTheme="minorHAnsi"/>
          <w:sz w:val="24"/>
          <w:szCs w:val="24"/>
        </w:rPr>
        <w:t>The submission claimed</w:t>
      </w:r>
      <w:r w:rsidR="00BB7EC3" w:rsidRPr="00B70749">
        <w:rPr>
          <w:rFonts w:asciiTheme="minorHAnsi" w:hAnsiTheme="minorHAnsi"/>
          <w:sz w:val="24"/>
          <w:szCs w:val="24"/>
        </w:rPr>
        <w:t xml:space="preserve"> </w:t>
      </w:r>
      <w:r w:rsidR="005A524E" w:rsidRPr="00B70749">
        <w:rPr>
          <w:rFonts w:asciiTheme="minorHAnsi" w:hAnsiTheme="minorHAnsi"/>
          <w:sz w:val="24"/>
          <w:szCs w:val="24"/>
        </w:rPr>
        <w:t>non-inferior</w:t>
      </w:r>
      <w:r w:rsidR="00BB7EC3" w:rsidRPr="00B70749">
        <w:rPr>
          <w:rFonts w:asciiTheme="minorHAnsi" w:hAnsiTheme="minorHAnsi"/>
          <w:sz w:val="24"/>
          <w:szCs w:val="24"/>
        </w:rPr>
        <w:t xml:space="preserve"> comparative effectiveness and </w:t>
      </w:r>
      <w:r w:rsidR="005A524E" w:rsidRPr="00B70749">
        <w:rPr>
          <w:rFonts w:asciiTheme="minorHAnsi" w:hAnsiTheme="minorHAnsi"/>
          <w:sz w:val="24"/>
          <w:szCs w:val="24"/>
        </w:rPr>
        <w:t xml:space="preserve">equivalent </w:t>
      </w:r>
      <w:r w:rsidR="00BB7EC3" w:rsidRPr="00B70749">
        <w:rPr>
          <w:rFonts w:asciiTheme="minorHAnsi" w:hAnsiTheme="minorHAnsi"/>
          <w:sz w:val="24"/>
          <w:szCs w:val="24"/>
        </w:rPr>
        <w:t xml:space="preserve">safety of </w:t>
      </w:r>
      <w:r w:rsidR="005A524E" w:rsidRPr="00B70749">
        <w:rPr>
          <w:rFonts w:asciiTheme="minorHAnsi" w:hAnsiTheme="minorHAnsi"/>
          <w:sz w:val="24"/>
          <w:szCs w:val="24"/>
        </w:rPr>
        <w:t>baricitinib</w:t>
      </w:r>
      <w:r w:rsidR="00BB7EC3" w:rsidRPr="00B70749">
        <w:rPr>
          <w:rFonts w:asciiTheme="minorHAnsi" w:hAnsiTheme="minorHAnsi"/>
          <w:sz w:val="24"/>
          <w:szCs w:val="24"/>
        </w:rPr>
        <w:t xml:space="preserve"> compared with </w:t>
      </w:r>
      <w:r w:rsidR="00D2407E">
        <w:rPr>
          <w:rFonts w:asciiTheme="minorHAnsi" w:hAnsiTheme="minorHAnsi"/>
          <w:sz w:val="24"/>
          <w:szCs w:val="24"/>
        </w:rPr>
        <w:t>tofacitinib.</w:t>
      </w:r>
    </w:p>
    <w:p w:rsidR="00AD1214" w:rsidRPr="008E2BE0" w:rsidRDefault="00AD1214" w:rsidP="00AD1214">
      <w:pPr>
        <w:pStyle w:val="ListParagraph"/>
        <w:widowControl/>
        <w:numPr>
          <w:ilvl w:val="1"/>
          <w:numId w:val="14"/>
        </w:numPr>
        <w:spacing w:after="120"/>
        <w:contextualSpacing w:val="0"/>
        <w:rPr>
          <w:rFonts w:asciiTheme="minorHAnsi" w:hAnsiTheme="minorHAnsi"/>
          <w:sz w:val="24"/>
          <w:szCs w:val="24"/>
        </w:rPr>
      </w:pPr>
      <w:r w:rsidRPr="008E2BE0">
        <w:rPr>
          <w:rFonts w:asciiTheme="minorHAnsi" w:hAnsiTheme="minorHAnsi"/>
          <w:sz w:val="24"/>
          <w:szCs w:val="24"/>
        </w:rPr>
        <w:t>The PBAC considered that the claim of non-inferior comparative effectiveness was reasonable.</w:t>
      </w:r>
    </w:p>
    <w:p w:rsidR="00AD1214" w:rsidRPr="008E2BE0" w:rsidRDefault="00AD1214" w:rsidP="00AD1214">
      <w:pPr>
        <w:pStyle w:val="ListParagraph"/>
        <w:widowControl/>
        <w:numPr>
          <w:ilvl w:val="1"/>
          <w:numId w:val="14"/>
        </w:numPr>
        <w:spacing w:after="120"/>
        <w:contextualSpacing w:val="0"/>
        <w:rPr>
          <w:rFonts w:asciiTheme="minorHAnsi" w:hAnsiTheme="minorHAnsi"/>
          <w:sz w:val="24"/>
          <w:szCs w:val="24"/>
        </w:rPr>
      </w:pPr>
      <w:r w:rsidRPr="008E2BE0">
        <w:rPr>
          <w:rFonts w:asciiTheme="minorHAnsi" w:hAnsiTheme="minorHAnsi"/>
          <w:sz w:val="24"/>
          <w:szCs w:val="24"/>
        </w:rPr>
        <w:t>The PBAC considered that the claim of non-inferior comparative safety was reasonable.</w:t>
      </w:r>
    </w:p>
    <w:p w:rsidR="005A3173" w:rsidRPr="00827914" w:rsidRDefault="005A3173" w:rsidP="009F5BE2">
      <w:pPr>
        <w:pStyle w:val="Heading2"/>
      </w:pPr>
      <w:r w:rsidRPr="00827914">
        <w:t>Economic analysis</w:t>
      </w:r>
    </w:p>
    <w:p w:rsidR="002B2F6B" w:rsidRPr="00B70749" w:rsidRDefault="009B0F67" w:rsidP="0024520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70749">
        <w:rPr>
          <w:rFonts w:asciiTheme="minorHAnsi" w:hAnsiTheme="minorHAnsi"/>
          <w:sz w:val="24"/>
          <w:szCs w:val="24"/>
        </w:rPr>
        <w:t xml:space="preserve">In the major submission considered by PBAC </w:t>
      </w:r>
      <w:r w:rsidR="00245200" w:rsidRPr="00B70749">
        <w:rPr>
          <w:rFonts w:asciiTheme="minorHAnsi" w:hAnsiTheme="minorHAnsi"/>
          <w:sz w:val="24"/>
          <w:szCs w:val="24"/>
        </w:rPr>
        <w:t>in July 2017</w:t>
      </w:r>
      <w:r w:rsidRPr="00B70749">
        <w:rPr>
          <w:rFonts w:asciiTheme="minorHAnsi" w:hAnsiTheme="minorHAnsi"/>
          <w:sz w:val="24"/>
          <w:szCs w:val="24"/>
        </w:rPr>
        <w:t xml:space="preserve">, the submission presented a </w:t>
      </w:r>
      <w:r w:rsidR="00245200" w:rsidRPr="00B70749">
        <w:rPr>
          <w:rFonts w:asciiTheme="minorHAnsi" w:hAnsiTheme="minorHAnsi"/>
          <w:sz w:val="24"/>
          <w:szCs w:val="24"/>
        </w:rPr>
        <w:t xml:space="preserve">cost-utility analysis based on the clinical claim of superior comparative effectiveness to adalimumab. The </w:t>
      </w:r>
      <w:r w:rsidR="00FA6A2F">
        <w:rPr>
          <w:rFonts w:asciiTheme="minorHAnsi" w:hAnsiTheme="minorHAnsi"/>
          <w:sz w:val="24"/>
          <w:szCs w:val="24"/>
        </w:rPr>
        <w:t xml:space="preserve">July 2017 </w:t>
      </w:r>
      <w:r w:rsidR="00245200" w:rsidRPr="00B70749">
        <w:rPr>
          <w:rFonts w:asciiTheme="minorHAnsi" w:hAnsiTheme="minorHAnsi"/>
          <w:sz w:val="24"/>
          <w:szCs w:val="24"/>
        </w:rPr>
        <w:t xml:space="preserve">pre-PBAC response stated a willingness to accept listing on a cost-minimisation basis against tofacitinib. </w:t>
      </w:r>
      <w:r w:rsidR="00805B2D">
        <w:rPr>
          <w:rFonts w:asciiTheme="minorHAnsi" w:hAnsiTheme="minorHAnsi"/>
          <w:sz w:val="24"/>
          <w:szCs w:val="24"/>
        </w:rPr>
        <w:t>At that time, t</w:t>
      </w:r>
      <w:r w:rsidR="00245200" w:rsidRPr="00B70749">
        <w:rPr>
          <w:rFonts w:asciiTheme="minorHAnsi" w:hAnsiTheme="minorHAnsi"/>
          <w:sz w:val="24"/>
          <w:szCs w:val="24"/>
        </w:rPr>
        <w:t>he PBAC accepted that a cost-minimisation against the least costly comparator might be a reasonable approach</w:t>
      </w:r>
      <w:r w:rsidR="00D2407E">
        <w:rPr>
          <w:rFonts w:asciiTheme="minorHAnsi" w:hAnsiTheme="minorHAnsi"/>
          <w:sz w:val="24"/>
          <w:szCs w:val="24"/>
        </w:rPr>
        <w:t>.</w:t>
      </w:r>
    </w:p>
    <w:p w:rsidR="00245200" w:rsidRPr="00B70749" w:rsidRDefault="00B73C05" w:rsidP="006555A6">
      <w:pPr>
        <w:pStyle w:val="ListParagraph"/>
        <w:widowControl/>
        <w:numPr>
          <w:ilvl w:val="1"/>
          <w:numId w:val="14"/>
        </w:numPr>
        <w:spacing w:after="120"/>
        <w:contextualSpacing w:val="0"/>
        <w:rPr>
          <w:rFonts w:asciiTheme="minorHAnsi" w:hAnsiTheme="minorHAnsi"/>
          <w:sz w:val="24"/>
          <w:szCs w:val="24"/>
        </w:rPr>
      </w:pPr>
      <w:r w:rsidRPr="00B70749">
        <w:rPr>
          <w:rFonts w:asciiTheme="minorHAnsi" w:hAnsiTheme="minorHAnsi"/>
          <w:sz w:val="24"/>
          <w:szCs w:val="24"/>
        </w:rPr>
        <w:t xml:space="preserve">The resubmission estimated equi-effective doses for a cost-minimisation to be: </w:t>
      </w:r>
    </w:p>
    <w:p w:rsidR="002F688D" w:rsidRPr="00B70749" w:rsidRDefault="002F688D" w:rsidP="002F688D">
      <w:pPr>
        <w:pStyle w:val="ListParagraph"/>
        <w:widowControl/>
        <w:spacing w:after="120"/>
        <w:contextualSpacing w:val="0"/>
        <w:rPr>
          <w:rFonts w:asciiTheme="minorHAnsi" w:hAnsiTheme="minorHAnsi"/>
          <w:sz w:val="24"/>
          <w:szCs w:val="24"/>
        </w:rPr>
      </w:pPr>
      <w:r w:rsidRPr="00B70749">
        <w:rPr>
          <w:rFonts w:asciiTheme="minorHAnsi" w:hAnsiTheme="minorHAnsi"/>
          <w:sz w:val="24"/>
          <w:szCs w:val="24"/>
        </w:rPr>
        <w:t>baricitinib 4 mg = tofacitinib 10 mg</w:t>
      </w:r>
    </w:p>
    <w:p w:rsidR="005A3173" w:rsidRPr="00827914" w:rsidRDefault="005A3173" w:rsidP="009F5BE2">
      <w:pPr>
        <w:pStyle w:val="Heading2"/>
      </w:pPr>
      <w:r w:rsidRPr="00827914">
        <w:t>Estimated PBS usage &amp; financial implications</w:t>
      </w:r>
    </w:p>
    <w:p w:rsidR="00C00528" w:rsidRPr="00B70749" w:rsidRDefault="00FF2801" w:rsidP="00B73C0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70749">
        <w:rPr>
          <w:rFonts w:asciiTheme="minorHAnsi" w:hAnsiTheme="minorHAnsi"/>
          <w:sz w:val="24"/>
          <w:szCs w:val="24"/>
        </w:rPr>
        <w:t xml:space="preserve">The minor </w:t>
      </w:r>
      <w:r w:rsidR="003F7E16" w:rsidRPr="00B70749">
        <w:rPr>
          <w:rFonts w:asciiTheme="minorHAnsi" w:hAnsiTheme="minorHAnsi"/>
          <w:sz w:val="24"/>
          <w:szCs w:val="24"/>
        </w:rPr>
        <w:t>re</w:t>
      </w:r>
      <w:r w:rsidRPr="00B70749">
        <w:rPr>
          <w:rFonts w:asciiTheme="minorHAnsi" w:hAnsiTheme="minorHAnsi"/>
          <w:sz w:val="24"/>
          <w:szCs w:val="24"/>
        </w:rPr>
        <w:t xml:space="preserve">submission </w:t>
      </w:r>
      <w:r w:rsidR="00B73C05" w:rsidRPr="00B70749">
        <w:rPr>
          <w:rFonts w:asciiTheme="minorHAnsi" w:hAnsiTheme="minorHAnsi"/>
          <w:sz w:val="24"/>
          <w:szCs w:val="24"/>
        </w:rPr>
        <w:t xml:space="preserve">did not update </w:t>
      </w:r>
      <w:r w:rsidRPr="00B70749">
        <w:rPr>
          <w:rFonts w:asciiTheme="minorHAnsi" w:hAnsiTheme="minorHAnsi"/>
          <w:sz w:val="24"/>
          <w:szCs w:val="24"/>
        </w:rPr>
        <w:t>estimated</w:t>
      </w:r>
      <w:r w:rsidR="00C00DA7" w:rsidRPr="00B70749">
        <w:rPr>
          <w:rFonts w:asciiTheme="minorHAnsi" w:hAnsiTheme="minorHAnsi"/>
          <w:sz w:val="24"/>
          <w:szCs w:val="24"/>
        </w:rPr>
        <w:t xml:space="preserve"> </w:t>
      </w:r>
      <w:r w:rsidR="00B73C05" w:rsidRPr="00B70749">
        <w:rPr>
          <w:rFonts w:asciiTheme="minorHAnsi" w:hAnsiTheme="minorHAnsi"/>
          <w:sz w:val="24"/>
          <w:szCs w:val="24"/>
        </w:rPr>
        <w:t xml:space="preserve">PBS usage and </w:t>
      </w:r>
      <w:r w:rsidR="00C00DA7" w:rsidRPr="00B70749">
        <w:rPr>
          <w:rFonts w:asciiTheme="minorHAnsi" w:hAnsiTheme="minorHAnsi"/>
          <w:sz w:val="24"/>
          <w:szCs w:val="24"/>
        </w:rPr>
        <w:t>financial implications</w:t>
      </w:r>
      <w:r w:rsidR="00B73C05" w:rsidRPr="00B70749">
        <w:rPr>
          <w:rFonts w:asciiTheme="minorHAnsi" w:hAnsiTheme="minorHAnsi"/>
          <w:sz w:val="24"/>
          <w:szCs w:val="24"/>
        </w:rPr>
        <w:t>. If recommended for listing on the PBS on a cost-minimisation basis, there should be no</w:t>
      </w:r>
      <w:r w:rsidR="0064086D">
        <w:rPr>
          <w:rFonts w:asciiTheme="minorHAnsi" w:hAnsiTheme="minorHAnsi"/>
          <w:sz w:val="24"/>
          <w:szCs w:val="24"/>
        </w:rPr>
        <w:t>, or minimal</w:t>
      </w:r>
      <w:r w:rsidR="00B73C05" w:rsidRPr="00B70749">
        <w:rPr>
          <w:rFonts w:asciiTheme="minorHAnsi" w:hAnsiTheme="minorHAnsi"/>
          <w:sz w:val="24"/>
          <w:szCs w:val="24"/>
        </w:rPr>
        <w:t xml:space="preserve"> net financial implication</w:t>
      </w:r>
      <w:r w:rsidR="0064086D">
        <w:rPr>
          <w:rFonts w:asciiTheme="minorHAnsi" w:hAnsiTheme="minorHAnsi"/>
          <w:sz w:val="24"/>
          <w:szCs w:val="24"/>
        </w:rPr>
        <w:t>s</w:t>
      </w:r>
      <w:r w:rsidR="00B73C05" w:rsidRPr="00B70749">
        <w:rPr>
          <w:rFonts w:asciiTheme="minorHAnsi" w:hAnsiTheme="minorHAnsi"/>
          <w:sz w:val="24"/>
          <w:szCs w:val="24"/>
        </w:rPr>
        <w:t xml:space="preserve"> as baricitinib would substitute for other bDMARDs.</w:t>
      </w:r>
    </w:p>
    <w:p w:rsidR="00C00528" w:rsidRPr="00B70749" w:rsidRDefault="00C00528" w:rsidP="00B73C0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70749">
        <w:rPr>
          <w:rFonts w:asciiTheme="minorHAnsi" w:hAnsiTheme="minorHAnsi"/>
          <w:sz w:val="24"/>
          <w:szCs w:val="24"/>
        </w:rPr>
        <w:t>The minor resubmission noted that tofacitinib is listed on the PBS subject to Special Pricing Arrangements (SPA), and ha</w:t>
      </w:r>
      <w:r w:rsidR="00805B2D">
        <w:rPr>
          <w:rFonts w:asciiTheme="minorHAnsi" w:hAnsiTheme="minorHAnsi"/>
          <w:sz w:val="24"/>
          <w:szCs w:val="24"/>
        </w:rPr>
        <w:t>s</w:t>
      </w:r>
      <w:r w:rsidRPr="00B70749">
        <w:rPr>
          <w:rFonts w:asciiTheme="minorHAnsi" w:hAnsiTheme="minorHAnsi"/>
          <w:sz w:val="24"/>
          <w:szCs w:val="24"/>
        </w:rPr>
        <w:t xml:space="preserve"> requested a</w:t>
      </w:r>
      <w:r w:rsidR="00175F83" w:rsidRPr="00B70749">
        <w:rPr>
          <w:rFonts w:asciiTheme="minorHAnsi" w:hAnsiTheme="minorHAnsi"/>
          <w:sz w:val="24"/>
          <w:szCs w:val="24"/>
        </w:rPr>
        <w:t>n</w:t>
      </w:r>
      <w:r w:rsidRPr="00B70749">
        <w:rPr>
          <w:rFonts w:asciiTheme="minorHAnsi" w:hAnsiTheme="minorHAnsi"/>
          <w:sz w:val="24"/>
          <w:szCs w:val="24"/>
        </w:rPr>
        <w:t xml:space="preserve"> SPA for baricitinib </w:t>
      </w:r>
      <w:r w:rsidR="00175F83" w:rsidRPr="00B70749">
        <w:rPr>
          <w:rFonts w:asciiTheme="minorHAnsi" w:hAnsiTheme="minorHAnsi"/>
          <w:sz w:val="24"/>
          <w:szCs w:val="24"/>
        </w:rPr>
        <w:t>that reflects a cost-minimisation approach to</w:t>
      </w:r>
      <w:r w:rsidRPr="00B70749">
        <w:rPr>
          <w:rFonts w:asciiTheme="minorHAnsi" w:hAnsiTheme="minorHAnsi"/>
          <w:sz w:val="24"/>
          <w:szCs w:val="24"/>
        </w:rPr>
        <w:t xml:space="preserve"> the </w:t>
      </w:r>
      <w:r w:rsidR="00175F83" w:rsidRPr="00B70749">
        <w:rPr>
          <w:rFonts w:asciiTheme="minorHAnsi" w:hAnsiTheme="minorHAnsi"/>
          <w:sz w:val="24"/>
          <w:szCs w:val="24"/>
        </w:rPr>
        <w:t xml:space="preserve">effective </w:t>
      </w:r>
      <w:r w:rsidRPr="00B70749">
        <w:rPr>
          <w:rFonts w:asciiTheme="minorHAnsi" w:hAnsiTheme="minorHAnsi"/>
          <w:sz w:val="24"/>
          <w:szCs w:val="24"/>
        </w:rPr>
        <w:t>price of tofacitinib.</w:t>
      </w:r>
    </w:p>
    <w:p w:rsidR="00B70749" w:rsidRPr="00B70749" w:rsidRDefault="00B70749" w:rsidP="00B70749">
      <w:pPr>
        <w:pStyle w:val="ListParagraph"/>
        <w:widowControl/>
        <w:spacing w:after="120"/>
        <w:contextualSpacing w:val="0"/>
        <w:rPr>
          <w:rFonts w:asciiTheme="minorHAnsi" w:hAnsiTheme="minorHAnsi"/>
          <w:i/>
          <w:sz w:val="24"/>
        </w:rPr>
      </w:pPr>
      <w:r w:rsidRPr="008E2BE0">
        <w:rPr>
          <w:rFonts w:asciiTheme="minorHAnsi" w:hAnsiTheme="minorHAnsi"/>
          <w:i/>
          <w:sz w:val="24"/>
        </w:rPr>
        <w:t xml:space="preserve">For more detail on PBAC’s view, see section </w:t>
      </w:r>
      <w:r w:rsidR="007342CC" w:rsidRPr="008E2BE0">
        <w:rPr>
          <w:rFonts w:asciiTheme="minorHAnsi" w:hAnsiTheme="minorHAnsi"/>
          <w:i/>
          <w:sz w:val="24"/>
        </w:rPr>
        <w:t>6</w:t>
      </w:r>
      <w:r w:rsidRPr="008E2BE0">
        <w:rPr>
          <w:rFonts w:asciiTheme="minorHAnsi" w:hAnsiTheme="minorHAnsi"/>
          <w:i/>
          <w:sz w:val="24"/>
        </w:rPr>
        <w:t xml:space="preserve"> PBAC outcome.</w:t>
      </w:r>
    </w:p>
    <w:p w:rsidR="00AD1214" w:rsidRPr="009F5BE2" w:rsidRDefault="00AD1214" w:rsidP="009F5BE2">
      <w:pPr>
        <w:pStyle w:val="Heading1"/>
      </w:pPr>
      <w:r w:rsidRPr="009F5BE2">
        <w:t>PBAC Outcome</w:t>
      </w:r>
    </w:p>
    <w:p w:rsidR="002F44CA" w:rsidRDefault="002F44CA" w:rsidP="002F44CA">
      <w:pPr>
        <w:widowControl w:val="0"/>
        <w:numPr>
          <w:ilvl w:val="1"/>
          <w:numId w:val="5"/>
        </w:numPr>
        <w:spacing w:after="120"/>
        <w:jc w:val="both"/>
        <w:rPr>
          <w:rFonts w:asciiTheme="minorHAnsi" w:hAnsiTheme="minorHAnsi" w:cs="Arial"/>
          <w:bCs/>
          <w:snapToGrid w:val="0"/>
          <w:lang w:val="en-GB" w:eastAsia="en-US"/>
        </w:rPr>
      </w:pPr>
      <w:r w:rsidRPr="006706F6">
        <w:rPr>
          <w:rFonts w:asciiTheme="minorHAnsi" w:hAnsiTheme="minorHAnsi" w:cs="Arial"/>
          <w:bCs/>
          <w:snapToGrid w:val="0"/>
          <w:lang w:val="en-GB" w:eastAsia="en-US"/>
        </w:rPr>
        <w:t xml:space="preserve">The PBAC recommended the listing of baricitinib on a cost-minimisation basis against the least costly </w:t>
      </w:r>
      <w:r w:rsidR="00EB7B2D">
        <w:rPr>
          <w:rFonts w:asciiTheme="minorHAnsi" w:hAnsiTheme="minorHAnsi" w:cs="Arial"/>
          <w:bCs/>
          <w:snapToGrid w:val="0"/>
          <w:lang w:val="en-GB" w:eastAsia="en-US"/>
        </w:rPr>
        <w:t>biological disease modifying anti-rheumatic drug (</w:t>
      </w:r>
      <w:r w:rsidRPr="006706F6">
        <w:rPr>
          <w:rFonts w:asciiTheme="minorHAnsi" w:hAnsiTheme="minorHAnsi" w:cs="Arial"/>
          <w:bCs/>
          <w:snapToGrid w:val="0"/>
          <w:lang w:val="en-GB" w:eastAsia="en-US"/>
        </w:rPr>
        <w:t>bDMARD</w:t>
      </w:r>
      <w:r w:rsidR="00EB7B2D">
        <w:rPr>
          <w:rFonts w:asciiTheme="minorHAnsi" w:hAnsiTheme="minorHAnsi" w:cs="Arial"/>
          <w:bCs/>
          <w:snapToGrid w:val="0"/>
          <w:lang w:val="en-GB" w:eastAsia="en-US"/>
        </w:rPr>
        <w:t>)</w:t>
      </w:r>
      <w:r w:rsidRPr="006706F6">
        <w:rPr>
          <w:rFonts w:asciiTheme="minorHAnsi" w:hAnsiTheme="minorHAnsi" w:cs="Arial"/>
          <w:bCs/>
          <w:snapToGrid w:val="0"/>
          <w:lang w:val="en-GB" w:eastAsia="en-US"/>
        </w:rPr>
        <w:t xml:space="preserve"> for rheumatoid arthritis.</w:t>
      </w:r>
    </w:p>
    <w:p w:rsidR="00B160E5" w:rsidRDefault="00B160E5" w:rsidP="002F44CA">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noted that </w:t>
      </w:r>
      <w:r w:rsidR="00127F57">
        <w:rPr>
          <w:rFonts w:asciiTheme="minorHAnsi" w:hAnsiTheme="minorHAnsi" w:cs="Arial"/>
          <w:bCs/>
          <w:snapToGrid w:val="0"/>
          <w:lang w:val="en-GB" w:eastAsia="en-US"/>
        </w:rPr>
        <w:t>the sponsor is required to carry out pharmacovigilance in accordance with the Risk Manag</w:t>
      </w:r>
      <w:r w:rsidR="00827914">
        <w:rPr>
          <w:rFonts w:asciiTheme="minorHAnsi" w:hAnsiTheme="minorHAnsi" w:cs="Arial"/>
          <w:bCs/>
          <w:snapToGrid w:val="0"/>
          <w:lang w:val="en-GB" w:eastAsia="en-US"/>
        </w:rPr>
        <w:t>ement Plan agreed with the TGA.</w:t>
      </w:r>
    </w:p>
    <w:p w:rsidR="00FD23AB" w:rsidRPr="00FD23AB" w:rsidRDefault="003C64DA" w:rsidP="00FD23AB">
      <w:pPr>
        <w:widowControl w:val="0"/>
        <w:numPr>
          <w:ilvl w:val="1"/>
          <w:numId w:val="5"/>
        </w:numPr>
        <w:spacing w:after="120"/>
        <w:jc w:val="both"/>
        <w:rPr>
          <w:rFonts w:asciiTheme="minorHAnsi" w:hAnsiTheme="minorHAnsi" w:cs="Arial"/>
          <w:bCs/>
          <w:snapToGrid w:val="0"/>
          <w:lang w:val="en-GB" w:eastAsia="en-US"/>
        </w:rPr>
      </w:pPr>
      <w:r w:rsidRPr="00FD23AB">
        <w:rPr>
          <w:rFonts w:asciiTheme="minorHAnsi" w:hAnsiTheme="minorHAnsi" w:cs="Arial"/>
          <w:bCs/>
          <w:snapToGrid w:val="0"/>
          <w:lang w:val="en-GB" w:eastAsia="en-US"/>
        </w:rPr>
        <w:t xml:space="preserve">In making this recommendation, the </w:t>
      </w:r>
      <w:r w:rsidR="00FD23AB" w:rsidRPr="00FD23AB">
        <w:rPr>
          <w:rFonts w:asciiTheme="minorHAnsi" w:hAnsiTheme="minorHAnsi" w:cs="Arial"/>
          <w:bCs/>
          <w:snapToGrid w:val="0"/>
          <w:lang w:val="en-GB" w:eastAsia="en-US"/>
        </w:rPr>
        <w:t>PBAC recalled that it had previously considered abatacept, adalimumab, certolizumab pegol, etanercept, golimumab, infliximab, rituximab, tocilizumab and tofacitinib</w:t>
      </w:r>
      <w:r w:rsidR="00FD23AB" w:rsidRPr="00FD23AB">
        <w:t xml:space="preserve"> </w:t>
      </w:r>
      <w:r w:rsidR="00FD23AB" w:rsidRPr="00FD23AB">
        <w:rPr>
          <w:rFonts w:asciiTheme="minorHAnsi" w:hAnsiTheme="minorHAnsi" w:cs="Arial"/>
          <w:bCs/>
          <w:snapToGrid w:val="0"/>
          <w:lang w:val="en-GB" w:eastAsia="en-US"/>
        </w:rPr>
        <w:t xml:space="preserve">should be treated as interchangeable on an individual patient basis for </w:t>
      </w:r>
      <w:r w:rsidR="00FD23AB">
        <w:rPr>
          <w:rFonts w:asciiTheme="minorHAnsi" w:hAnsiTheme="minorHAnsi" w:cs="Arial"/>
          <w:bCs/>
          <w:snapToGrid w:val="0"/>
          <w:lang w:val="en-GB" w:eastAsia="en-US"/>
        </w:rPr>
        <w:t>the treatment of rheumatoid arthritis</w:t>
      </w:r>
      <w:r w:rsidR="00FD23AB" w:rsidRPr="00FD23AB">
        <w:rPr>
          <w:rFonts w:asciiTheme="minorHAnsi" w:hAnsiTheme="minorHAnsi" w:cs="Arial"/>
          <w:bCs/>
          <w:snapToGrid w:val="0"/>
          <w:lang w:val="en-GB" w:eastAsia="en-US"/>
        </w:rPr>
        <w:t>.</w:t>
      </w:r>
    </w:p>
    <w:p w:rsidR="00FD23AB" w:rsidRPr="00FD23AB" w:rsidRDefault="00FD23AB" w:rsidP="00FD23AB">
      <w:pPr>
        <w:widowControl w:val="0"/>
        <w:numPr>
          <w:ilvl w:val="1"/>
          <w:numId w:val="5"/>
        </w:numPr>
        <w:spacing w:after="120"/>
        <w:jc w:val="both"/>
        <w:rPr>
          <w:rFonts w:asciiTheme="minorHAnsi" w:hAnsiTheme="minorHAnsi" w:cs="Arial"/>
          <w:bCs/>
          <w:snapToGrid w:val="0"/>
          <w:lang w:val="en-GB" w:eastAsia="en-US"/>
        </w:rPr>
      </w:pPr>
      <w:r w:rsidRPr="00FD23AB">
        <w:rPr>
          <w:rFonts w:asciiTheme="minorHAnsi" w:hAnsiTheme="minorHAnsi" w:cs="Arial"/>
          <w:bCs/>
          <w:snapToGrid w:val="0"/>
          <w:lang w:val="en-GB" w:eastAsia="en-US"/>
        </w:rPr>
        <w:t xml:space="preserve">The PBAC </w:t>
      </w:r>
      <w:r>
        <w:rPr>
          <w:rFonts w:asciiTheme="minorHAnsi" w:hAnsiTheme="minorHAnsi" w:cs="Arial"/>
          <w:bCs/>
          <w:snapToGrid w:val="0"/>
          <w:lang w:val="en-GB" w:eastAsia="en-US"/>
        </w:rPr>
        <w:t xml:space="preserve">therefore </w:t>
      </w:r>
      <w:r w:rsidRPr="00FD23AB">
        <w:rPr>
          <w:rFonts w:asciiTheme="minorHAnsi" w:hAnsiTheme="minorHAnsi" w:cs="Arial"/>
          <w:bCs/>
          <w:snapToGrid w:val="0"/>
          <w:lang w:val="en-GB" w:eastAsia="en-US"/>
        </w:rPr>
        <w:t xml:space="preserve">considered that any of the currently PBS listed bDMARDs </w:t>
      </w:r>
      <w:r w:rsidR="0064086D">
        <w:rPr>
          <w:rFonts w:asciiTheme="minorHAnsi" w:hAnsiTheme="minorHAnsi" w:cs="Arial"/>
          <w:bCs/>
          <w:snapToGrid w:val="0"/>
          <w:lang w:val="en-GB" w:eastAsia="en-US"/>
        </w:rPr>
        <w:t xml:space="preserve">for RA </w:t>
      </w:r>
      <w:r w:rsidRPr="00FD23AB">
        <w:rPr>
          <w:rFonts w:asciiTheme="minorHAnsi" w:hAnsiTheme="minorHAnsi" w:cs="Arial"/>
          <w:bCs/>
          <w:snapToGrid w:val="0"/>
          <w:lang w:val="en-GB" w:eastAsia="en-US"/>
        </w:rPr>
        <w:t xml:space="preserve">could be an </w:t>
      </w:r>
      <w:r w:rsidR="00846F84">
        <w:rPr>
          <w:rFonts w:asciiTheme="minorHAnsi" w:hAnsiTheme="minorHAnsi" w:cs="Arial"/>
          <w:bCs/>
          <w:snapToGrid w:val="0"/>
          <w:lang w:val="en-GB" w:eastAsia="en-US"/>
        </w:rPr>
        <w:t>alternative therapy to bar</w:t>
      </w:r>
      <w:r w:rsidR="00A03819">
        <w:rPr>
          <w:rFonts w:asciiTheme="minorHAnsi" w:hAnsiTheme="minorHAnsi" w:cs="Arial"/>
          <w:bCs/>
          <w:snapToGrid w:val="0"/>
          <w:lang w:val="en-GB" w:eastAsia="en-US"/>
        </w:rPr>
        <w:t>i</w:t>
      </w:r>
      <w:r w:rsidR="00846F84">
        <w:rPr>
          <w:rFonts w:asciiTheme="minorHAnsi" w:hAnsiTheme="minorHAnsi" w:cs="Arial"/>
          <w:bCs/>
          <w:snapToGrid w:val="0"/>
          <w:lang w:val="en-GB" w:eastAsia="en-US"/>
        </w:rPr>
        <w:t>citinib</w:t>
      </w:r>
      <w:r w:rsidRPr="00FD23AB">
        <w:rPr>
          <w:rFonts w:asciiTheme="minorHAnsi" w:hAnsiTheme="minorHAnsi" w:cs="Arial"/>
          <w:bCs/>
          <w:snapToGrid w:val="0"/>
          <w:lang w:val="en-GB" w:eastAsia="en-US"/>
        </w:rPr>
        <w:t>,</w:t>
      </w:r>
      <w:r w:rsidR="0064086D">
        <w:rPr>
          <w:rFonts w:asciiTheme="minorHAnsi" w:hAnsiTheme="minorHAnsi" w:cs="Arial"/>
          <w:bCs/>
          <w:snapToGrid w:val="0"/>
          <w:lang w:val="en-GB" w:eastAsia="en-US"/>
        </w:rPr>
        <w:t xml:space="preserve"> </w:t>
      </w:r>
      <w:r w:rsidR="00333FD3">
        <w:rPr>
          <w:rFonts w:asciiTheme="minorHAnsi" w:hAnsiTheme="minorHAnsi" w:cs="Arial"/>
          <w:bCs/>
          <w:snapToGrid w:val="0"/>
          <w:lang w:val="en-GB" w:eastAsia="en-US"/>
        </w:rPr>
        <w:t>that</w:t>
      </w:r>
      <w:r w:rsidR="0064086D">
        <w:rPr>
          <w:rFonts w:asciiTheme="minorHAnsi" w:hAnsiTheme="minorHAnsi" w:cs="Arial"/>
          <w:bCs/>
          <w:snapToGrid w:val="0"/>
          <w:lang w:val="en-GB" w:eastAsia="en-US"/>
        </w:rPr>
        <w:t xml:space="preserve"> </w:t>
      </w:r>
      <w:r w:rsidR="00333FD3">
        <w:rPr>
          <w:rFonts w:asciiTheme="minorHAnsi" w:hAnsiTheme="minorHAnsi" w:cs="Arial"/>
          <w:bCs/>
          <w:snapToGrid w:val="0"/>
          <w:lang w:val="en-GB" w:eastAsia="en-US"/>
        </w:rPr>
        <w:t xml:space="preserve">baracitinib </w:t>
      </w:r>
      <w:r w:rsidR="0064086D">
        <w:rPr>
          <w:rFonts w:asciiTheme="minorHAnsi" w:hAnsiTheme="minorHAnsi" w:cs="Arial"/>
          <w:bCs/>
          <w:snapToGrid w:val="0"/>
          <w:lang w:val="en-GB" w:eastAsia="en-US"/>
        </w:rPr>
        <w:t xml:space="preserve">could be considered equi-effective to any of the </w:t>
      </w:r>
      <w:r w:rsidR="00D2407E">
        <w:rPr>
          <w:rFonts w:asciiTheme="minorHAnsi" w:hAnsiTheme="minorHAnsi" w:cs="Arial"/>
          <w:bCs/>
          <w:snapToGrid w:val="0"/>
          <w:lang w:val="en-GB" w:eastAsia="en-US"/>
        </w:rPr>
        <w:t>medicines</w:t>
      </w:r>
      <w:r w:rsidR="0064086D">
        <w:rPr>
          <w:rFonts w:asciiTheme="minorHAnsi" w:hAnsiTheme="minorHAnsi" w:cs="Arial"/>
          <w:bCs/>
          <w:snapToGrid w:val="0"/>
          <w:lang w:val="en-GB" w:eastAsia="en-US"/>
        </w:rPr>
        <w:t xml:space="preserve"> listed at para</w:t>
      </w:r>
      <w:r w:rsidR="00D2407E">
        <w:rPr>
          <w:rFonts w:asciiTheme="minorHAnsi" w:hAnsiTheme="minorHAnsi" w:cs="Arial"/>
          <w:bCs/>
          <w:snapToGrid w:val="0"/>
          <w:lang w:val="en-GB" w:eastAsia="en-US"/>
        </w:rPr>
        <w:t>graph</w:t>
      </w:r>
      <w:r w:rsidR="0064086D">
        <w:rPr>
          <w:rFonts w:asciiTheme="minorHAnsi" w:hAnsiTheme="minorHAnsi" w:cs="Arial"/>
          <w:bCs/>
          <w:snapToGrid w:val="0"/>
          <w:lang w:val="en-GB" w:eastAsia="en-US"/>
        </w:rPr>
        <w:t xml:space="preserve"> 6.3,</w:t>
      </w:r>
      <w:r w:rsidRPr="00FD23AB">
        <w:rPr>
          <w:rFonts w:asciiTheme="minorHAnsi" w:hAnsiTheme="minorHAnsi" w:cs="Arial"/>
          <w:bCs/>
          <w:snapToGrid w:val="0"/>
          <w:lang w:val="en-GB" w:eastAsia="en-US"/>
        </w:rPr>
        <w:t xml:space="preserve"> and that</w:t>
      </w:r>
      <w:r w:rsidR="00827914">
        <w:rPr>
          <w:rFonts w:asciiTheme="minorHAnsi" w:hAnsiTheme="minorHAnsi" w:cs="Arial"/>
          <w:bCs/>
          <w:snapToGrid w:val="0"/>
          <w:lang w:val="en-GB" w:eastAsia="en-US"/>
        </w:rPr>
        <w:t>,</w:t>
      </w:r>
      <w:r w:rsidRPr="00FD23AB">
        <w:rPr>
          <w:rFonts w:asciiTheme="minorHAnsi" w:hAnsiTheme="minorHAnsi" w:cs="Arial"/>
          <w:bCs/>
          <w:snapToGrid w:val="0"/>
          <w:lang w:val="en-GB" w:eastAsia="en-US"/>
        </w:rPr>
        <w:t xml:space="preserve"> in the absence of demonstrated superior comparative effectiveness or safety over the alternative bDMARDs, </w:t>
      </w:r>
      <w:r>
        <w:rPr>
          <w:rFonts w:asciiTheme="minorHAnsi" w:hAnsiTheme="minorHAnsi" w:cs="Arial"/>
          <w:bCs/>
          <w:snapToGrid w:val="0"/>
          <w:lang w:val="en-GB" w:eastAsia="en-US"/>
        </w:rPr>
        <w:t xml:space="preserve">baricitinb </w:t>
      </w:r>
      <w:r w:rsidRPr="00FD23AB">
        <w:rPr>
          <w:rFonts w:asciiTheme="minorHAnsi" w:hAnsiTheme="minorHAnsi" w:cs="Arial"/>
          <w:bCs/>
          <w:snapToGrid w:val="0"/>
          <w:lang w:val="en-GB" w:eastAsia="en-US"/>
        </w:rPr>
        <w:t>should be cost-minimised to the least costly bDMARD</w:t>
      </w:r>
      <w:r w:rsidR="00846F84">
        <w:rPr>
          <w:rFonts w:asciiTheme="minorHAnsi" w:hAnsiTheme="minorHAnsi" w:cs="Arial"/>
          <w:bCs/>
          <w:snapToGrid w:val="0"/>
          <w:lang w:val="en-GB" w:eastAsia="en-US"/>
        </w:rPr>
        <w:t xml:space="preserve"> for rheumatoid arthritis</w:t>
      </w:r>
      <w:r w:rsidR="00827914">
        <w:rPr>
          <w:rFonts w:asciiTheme="minorHAnsi" w:hAnsiTheme="minorHAnsi" w:cs="Arial"/>
          <w:bCs/>
          <w:snapToGrid w:val="0"/>
          <w:lang w:val="en-GB" w:eastAsia="en-US"/>
        </w:rPr>
        <w:t>.</w:t>
      </w:r>
      <w:r w:rsidR="00D2407E">
        <w:rPr>
          <w:rFonts w:asciiTheme="minorHAnsi" w:hAnsiTheme="minorHAnsi" w:cs="Arial"/>
          <w:bCs/>
          <w:snapToGrid w:val="0"/>
          <w:lang w:val="en-GB" w:eastAsia="en-US"/>
        </w:rPr>
        <w:t xml:space="preserve"> The PBAC agreed with the resubmission’s proposed equi-effective doses between baricitinib and tofacitinib, and recommended that the appropriate equi-effective doses between baricitinib and the least costly bDMARD for rheumatoid arthritis be derived with reference to its previously recommended equi-effective doses collated in the PBS Therapeutic Relativity Sheets.</w:t>
      </w:r>
    </w:p>
    <w:p w:rsidR="002F44CA" w:rsidRPr="00FD23AB" w:rsidRDefault="002F44CA" w:rsidP="003C2B9C">
      <w:pPr>
        <w:widowControl w:val="0"/>
        <w:numPr>
          <w:ilvl w:val="1"/>
          <w:numId w:val="5"/>
        </w:numPr>
        <w:spacing w:after="120"/>
        <w:jc w:val="both"/>
        <w:rPr>
          <w:rFonts w:asciiTheme="minorHAnsi" w:hAnsiTheme="minorHAnsi" w:cs="Arial"/>
          <w:bCs/>
          <w:snapToGrid w:val="0"/>
          <w:lang w:val="en-GB" w:eastAsia="en-US"/>
        </w:rPr>
      </w:pPr>
      <w:r w:rsidRPr="00FD23AB">
        <w:rPr>
          <w:rFonts w:asciiTheme="minorHAnsi" w:hAnsiTheme="minorHAnsi" w:cs="Arial"/>
          <w:bCs/>
          <w:snapToGrid w:val="0"/>
          <w:lang w:val="en-GB" w:eastAsia="en-US"/>
        </w:rPr>
        <w:t xml:space="preserve">The PBAC </w:t>
      </w:r>
      <w:r w:rsidR="00FD23AB">
        <w:rPr>
          <w:rFonts w:asciiTheme="minorHAnsi" w:hAnsiTheme="minorHAnsi" w:cs="Arial"/>
          <w:bCs/>
          <w:snapToGrid w:val="0"/>
          <w:lang w:val="en-GB" w:eastAsia="en-US"/>
        </w:rPr>
        <w:t xml:space="preserve">noted </w:t>
      </w:r>
      <w:r w:rsidRPr="00FD23AB">
        <w:rPr>
          <w:rFonts w:asciiTheme="minorHAnsi" w:hAnsiTheme="minorHAnsi" w:cs="Arial"/>
          <w:bCs/>
          <w:snapToGrid w:val="0"/>
          <w:lang w:val="en-GB" w:eastAsia="en-US"/>
        </w:rPr>
        <w:t xml:space="preserve">that the </w:t>
      </w:r>
      <w:r w:rsidR="003C2B9C" w:rsidRPr="00FD23AB">
        <w:rPr>
          <w:rFonts w:asciiTheme="minorHAnsi" w:hAnsiTheme="minorHAnsi" w:cs="Arial"/>
          <w:bCs/>
          <w:snapToGrid w:val="0"/>
          <w:lang w:val="en-GB" w:eastAsia="en-US"/>
        </w:rPr>
        <w:t xml:space="preserve">uptake of tofacitinib has been lower than expected and </w:t>
      </w:r>
      <w:r w:rsidR="00FD23AB">
        <w:rPr>
          <w:rFonts w:asciiTheme="minorHAnsi" w:hAnsiTheme="minorHAnsi" w:cs="Arial"/>
          <w:bCs/>
          <w:snapToGrid w:val="0"/>
          <w:lang w:val="en-GB" w:eastAsia="en-US"/>
        </w:rPr>
        <w:t xml:space="preserve">considered that upon PBS </w:t>
      </w:r>
      <w:r w:rsidRPr="00FD23AB">
        <w:rPr>
          <w:rFonts w:asciiTheme="minorHAnsi" w:hAnsiTheme="minorHAnsi" w:cs="Arial"/>
          <w:bCs/>
          <w:snapToGrid w:val="0"/>
          <w:lang w:val="en-GB" w:eastAsia="en-US"/>
        </w:rPr>
        <w:t>listing</w:t>
      </w:r>
      <w:r w:rsidR="00FD23AB">
        <w:rPr>
          <w:rFonts w:asciiTheme="minorHAnsi" w:hAnsiTheme="minorHAnsi" w:cs="Arial"/>
          <w:bCs/>
          <w:snapToGrid w:val="0"/>
          <w:lang w:val="en-GB" w:eastAsia="en-US"/>
        </w:rPr>
        <w:t>,</w:t>
      </w:r>
      <w:r w:rsidRPr="00FD23AB">
        <w:rPr>
          <w:rFonts w:asciiTheme="minorHAnsi" w:hAnsiTheme="minorHAnsi" w:cs="Arial"/>
          <w:bCs/>
          <w:snapToGrid w:val="0"/>
          <w:lang w:val="en-GB" w:eastAsia="en-US"/>
        </w:rPr>
        <w:t xml:space="preserve"> baricitinib </w:t>
      </w:r>
      <w:r w:rsidR="005E3FFA" w:rsidRPr="00FD23AB">
        <w:rPr>
          <w:rFonts w:asciiTheme="minorHAnsi" w:hAnsiTheme="minorHAnsi" w:cs="Arial"/>
          <w:bCs/>
          <w:snapToGrid w:val="0"/>
          <w:lang w:val="en-GB" w:eastAsia="en-US"/>
        </w:rPr>
        <w:t>is likely to rapidly gain market share</w:t>
      </w:r>
      <w:r w:rsidRPr="00FD23AB">
        <w:rPr>
          <w:rFonts w:asciiTheme="minorHAnsi" w:hAnsiTheme="minorHAnsi" w:cs="Arial"/>
          <w:bCs/>
          <w:snapToGrid w:val="0"/>
          <w:lang w:val="en-GB" w:eastAsia="en-US"/>
        </w:rPr>
        <w:t xml:space="preserve">, as </w:t>
      </w:r>
      <w:r w:rsidR="00846F84">
        <w:rPr>
          <w:rFonts w:asciiTheme="minorHAnsi" w:hAnsiTheme="minorHAnsi" w:cs="Arial"/>
          <w:bCs/>
          <w:snapToGrid w:val="0"/>
          <w:lang w:val="en-GB" w:eastAsia="en-US"/>
        </w:rPr>
        <w:t xml:space="preserve">its once daily </w:t>
      </w:r>
      <w:r w:rsidRPr="00FD23AB">
        <w:rPr>
          <w:rFonts w:asciiTheme="minorHAnsi" w:hAnsiTheme="minorHAnsi" w:cs="Arial"/>
          <w:bCs/>
          <w:snapToGrid w:val="0"/>
          <w:lang w:val="en-GB" w:eastAsia="en-US"/>
        </w:rPr>
        <w:t xml:space="preserve">dosing </w:t>
      </w:r>
      <w:r w:rsidR="00846F84">
        <w:rPr>
          <w:rFonts w:asciiTheme="minorHAnsi" w:hAnsiTheme="minorHAnsi" w:cs="Arial"/>
          <w:bCs/>
          <w:snapToGrid w:val="0"/>
          <w:lang w:val="en-GB" w:eastAsia="en-US"/>
        </w:rPr>
        <w:t>may be perceived as</w:t>
      </w:r>
      <w:r w:rsidRPr="00FD23AB">
        <w:rPr>
          <w:rFonts w:asciiTheme="minorHAnsi" w:hAnsiTheme="minorHAnsi" w:cs="Arial"/>
          <w:bCs/>
          <w:snapToGrid w:val="0"/>
          <w:lang w:val="en-GB" w:eastAsia="en-US"/>
        </w:rPr>
        <w:t xml:space="preserve"> more convenient</w:t>
      </w:r>
      <w:r w:rsidR="00846F84">
        <w:rPr>
          <w:rFonts w:asciiTheme="minorHAnsi" w:hAnsiTheme="minorHAnsi" w:cs="Arial"/>
          <w:bCs/>
          <w:snapToGrid w:val="0"/>
          <w:lang w:val="en-GB" w:eastAsia="en-US"/>
        </w:rPr>
        <w:t>, it</w:t>
      </w:r>
      <w:r w:rsidRPr="00FD23AB">
        <w:rPr>
          <w:rFonts w:asciiTheme="minorHAnsi" w:hAnsiTheme="minorHAnsi" w:cs="Arial"/>
          <w:bCs/>
          <w:snapToGrid w:val="0"/>
          <w:lang w:val="en-GB" w:eastAsia="en-US"/>
        </w:rPr>
        <w:t xml:space="preserve"> </w:t>
      </w:r>
      <w:r w:rsidR="0064086D">
        <w:rPr>
          <w:rFonts w:asciiTheme="minorHAnsi" w:hAnsiTheme="minorHAnsi" w:cs="Arial"/>
          <w:bCs/>
          <w:snapToGrid w:val="0"/>
          <w:lang w:val="en-GB" w:eastAsia="en-US"/>
        </w:rPr>
        <w:t xml:space="preserve"> may have</w:t>
      </w:r>
      <w:r w:rsidRPr="00FD23AB">
        <w:rPr>
          <w:rFonts w:asciiTheme="minorHAnsi" w:hAnsiTheme="minorHAnsi" w:cs="Arial"/>
          <w:bCs/>
          <w:snapToGrid w:val="0"/>
          <w:lang w:val="en-GB" w:eastAsia="en-US"/>
        </w:rPr>
        <w:t xml:space="preserve"> a perceived superiority over tofacitinib, and </w:t>
      </w:r>
      <w:r w:rsidR="00846F84">
        <w:rPr>
          <w:rFonts w:asciiTheme="minorHAnsi" w:hAnsiTheme="minorHAnsi" w:cs="Arial"/>
          <w:bCs/>
          <w:snapToGrid w:val="0"/>
          <w:lang w:val="en-GB" w:eastAsia="en-US"/>
        </w:rPr>
        <w:t>the</w:t>
      </w:r>
      <w:r w:rsidR="003C2B9C" w:rsidRPr="00FD23AB">
        <w:rPr>
          <w:rFonts w:asciiTheme="minorHAnsi" w:hAnsiTheme="minorHAnsi" w:cs="Arial"/>
          <w:bCs/>
          <w:snapToGrid w:val="0"/>
          <w:lang w:val="en-GB" w:eastAsia="en-US"/>
        </w:rPr>
        <w:t xml:space="preserve"> time to</w:t>
      </w:r>
      <w:r w:rsidRPr="00FD23AB">
        <w:rPr>
          <w:rFonts w:asciiTheme="minorHAnsi" w:hAnsiTheme="minorHAnsi" w:cs="Arial"/>
          <w:bCs/>
          <w:snapToGrid w:val="0"/>
          <w:lang w:val="en-GB" w:eastAsia="en-US"/>
        </w:rPr>
        <w:t xml:space="preserve"> response </w:t>
      </w:r>
      <w:r w:rsidR="00846F84">
        <w:rPr>
          <w:rFonts w:asciiTheme="minorHAnsi" w:hAnsiTheme="minorHAnsi" w:cs="Arial"/>
          <w:bCs/>
          <w:snapToGrid w:val="0"/>
          <w:lang w:val="en-GB" w:eastAsia="en-US"/>
        </w:rPr>
        <w:t xml:space="preserve">is </w:t>
      </w:r>
      <w:r w:rsidRPr="00FD23AB">
        <w:rPr>
          <w:rFonts w:asciiTheme="minorHAnsi" w:hAnsiTheme="minorHAnsi" w:cs="Arial"/>
          <w:bCs/>
          <w:snapToGrid w:val="0"/>
          <w:lang w:val="en-GB" w:eastAsia="en-US"/>
        </w:rPr>
        <w:t xml:space="preserve">quicker than most </w:t>
      </w:r>
      <w:r w:rsidR="00827914">
        <w:rPr>
          <w:rFonts w:asciiTheme="minorHAnsi" w:hAnsiTheme="minorHAnsi" w:cs="Arial"/>
          <w:bCs/>
          <w:snapToGrid w:val="0"/>
          <w:lang w:val="en-GB" w:eastAsia="en-US"/>
        </w:rPr>
        <w:t>of the injectable alternatives.</w:t>
      </w:r>
    </w:p>
    <w:p w:rsidR="002F44CA" w:rsidRPr="00F842AA" w:rsidRDefault="002F44CA" w:rsidP="002F44CA">
      <w:pPr>
        <w:widowControl w:val="0"/>
        <w:numPr>
          <w:ilvl w:val="1"/>
          <w:numId w:val="5"/>
        </w:numPr>
        <w:spacing w:after="120"/>
        <w:jc w:val="both"/>
        <w:rPr>
          <w:rFonts w:asciiTheme="minorHAnsi" w:hAnsiTheme="minorHAnsi" w:cs="Arial"/>
          <w:bCs/>
          <w:snapToGrid w:val="0"/>
          <w:lang w:val="en-GB" w:eastAsia="en-US"/>
        </w:rPr>
      </w:pPr>
      <w:r w:rsidRPr="00F842AA">
        <w:rPr>
          <w:rFonts w:asciiTheme="minorHAnsi" w:hAnsiTheme="minorHAnsi" w:cs="Arial"/>
          <w:bCs/>
          <w:snapToGrid w:val="0"/>
          <w:lang w:val="en-GB" w:eastAsia="en-US"/>
        </w:rPr>
        <w:t>The PBAC advised that baricitinib is not suitable for presc</w:t>
      </w:r>
      <w:r w:rsidR="00827914">
        <w:rPr>
          <w:rFonts w:asciiTheme="minorHAnsi" w:hAnsiTheme="minorHAnsi" w:cs="Arial"/>
          <w:bCs/>
          <w:snapToGrid w:val="0"/>
          <w:lang w:val="en-GB" w:eastAsia="en-US"/>
        </w:rPr>
        <w:t>ribing by nurse practitioners.</w:t>
      </w:r>
    </w:p>
    <w:p w:rsidR="002F44CA" w:rsidRDefault="002F44CA" w:rsidP="002F44CA">
      <w:pPr>
        <w:widowControl w:val="0"/>
        <w:numPr>
          <w:ilvl w:val="1"/>
          <w:numId w:val="5"/>
        </w:numPr>
        <w:spacing w:after="120"/>
        <w:jc w:val="both"/>
        <w:rPr>
          <w:rFonts w:asciiTheme="minorHAnsi" w:hAnsiTheme="minorHAnsi" w:cs="Arial"/>
          <w:bCs/>
          <w:snapToGrid w:val="0"/>
          <w:lang w:val="en-GB" w:eastAsia="en-US"/>
        </w:rPr>
      </w:pPr>
      <w:r w:rsidRPr="007F2280">
        <w:rPr>
          <w:rFonts w:asciiTheme="minorHAnsi" w:hAnsiTheme="minorHAnsi" w:cs="Arial"/>
          <w:bCs/>
          <w:snapToGrid w:val="0"/>
          <w:lang w:val="en-GB" w:eastAsia="en-US"/>
        </w:rPr>
        <w:t xml:space="preserve">The PBAC recommended that the </w:t>
      </w:r>
      <w:r w:rsidR="00827914">
        <w:rPr>
          <w:rFonts w:asciiTheme="minorHAnsi" w:hAnsiTheme="minorHAnsi" w:cs="Arial"/>
          <w:bCs/>
          <w:snapToGrid w:val="0"/>
          <w:lang w:val="en-GB" w:eastAsia="en-US"/>
        </w:rPr>
        <w:t>Early Supply Rule should apply.</w:t>
      </w:r>
    </w:p>
    <w:p w:rsidR="00414851" w:rsidRPr="007F2280" w:rsidRDefault="00414851" w:rsidP="002F44CA">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advised that the restriction is complex and will include a note update that will flow on to the other bDMARDs used in the treatment of </w:t>
      </w:r>
      <w:r w:rsidR="00691D88" w:rsidRPr="006706F6">
        <w:rPr>
          <w:rFonts w:asciiTheme="minorHAnsi" w:hAnsiTheme="minorHAnsi" w:cs="Arial"/>
          <w:bCs/>
          <w:snapToGrid w:val="0"/>
          <w:lang w:val="en-GB" w:eastAsia="en-US"/>
        </w:rPr>
        <w:t>rheumatoid arthritis</w:t>
      </w:r>
      <w:r>
        <w:rPr>
          <w:rFonts w:asciiTheme="minorHAnsi" w:hAnsiTheme="minorHAnsi" w:cs="Arial"/>
          <w:bCs/>
          <w:snapToGrid w:val="0"/>
          <w:lang w:val="en-GB" w:eastAsia="en-US"/>
        </w:rPr>
        <w:t>.</w:t>
      </w:r>
    </w:p>
    <w:p w:rsidR="002F44CA" w:rsidRPr="00827914" w:rsidRDefault="002F44CA" w:rsidP="002F44CA">
      <w:pPr>
        <w:widowControl w:val="0"/>
        <w:numPr>
          <w:ilvl w:val="1"/>
          <w:numId w:val="5"/>
        </w:numPr>
        <w:spacing w:after="120"/>
        <w:jc w:val="both"/>
        <w:rPr>
          <w:rFonts w:asciiTheme="minorHAnsi" w:hAnsiTheme="minorHAnsi" w:cs="Arial"/>
          <w:bCs/>
          <w:snapToGrid w:val="0"/>
          <w:lang w:val="en-GB" w:eastAsia="en-US"/>
        </w:rPr>
      </w:pPr>
      <w:r w:rsidRPr="002F1E13">
        <w:rPr>
          <w:rFonts w:asciiTheme="minorHAnsi" w:hAnsiTheme="minorHAnsi" w:cs="Arial"/>
          <w:bCs/>
          <w:snapToGrid w:val="0"/>
          <w:lang w:val="en-GB" w:eastAsia="en-US"/>
        </w:rPr>
        <w:t>The PBAC noted that this submission is not eligible for an Independent Review as it received a</w:t>
      </w:r>
      <w:r>
        <w:rPr>
          <w:rFonts w:asciiTheme="minorHAnsi" w:hAnsiTheme="minorHAnsi" w:cs="Arial"/>
          <w:bCs/>
          <w:snapToGrid w:val="0"/>
          <w:lang w:val="en-GB" w:eastAsia="en-US"/>
        </w:rPr>
        <w:t xml:space="preserve"> positive</w:t>
      </w:r>
      <w:r w:rsidRPr="002F1E13">
        <w:rPr>
          <w:rFonts w:asciiTheme="minorHAnsi" w:hAnsiTheme="minorHAnsi" w:cs="Arial"/>
          <w:bCs/>
          <w:snapToGrid w:val="0"/>
          <w:lang w:val="en-GB" w:eastAsia="en-US"/>
        </w:rPr>
        <w:t xml:space="preserve"> recommendation.</w:t>
      </w:r>
    </w:p>
    <w:p w:rsidR="002F1E13" w:rsidRPr="008727C7" w:rsidRDefault="00583164" w:rsidP="002F1E13">
      <w:pPr>
        <w:widowControl w:val="0"/>
        <w:numPr>
          <w:ilvl w:val="1"/>
          <w:numId w:val="5"/>
        </w:numPr>
        <w:spacing w:after="120"/>
        <w:jc w:val="both"/>
        <w:rPr>
          <w:rFonts w:asciiTheme="minorHAnsi" w:hAnsiTheme="minorHAnsi" w:cs="Arial"/>
          <w:bCs/>
          <w:snapToGrid w:val="0"/>
          <w:lang w:val="en-GB" w:eastAsia="en-US"/>
        </w:rPr>
      </w:pPr>
      <w:r w:rsidRPr="00371A9F">
        <w:rPr>
          <w:rFonts w:asciiTheme="minorHAnsi" w:hAnsiTheme="minorHAnsi"/>
        </w:rPr>
        <w:t xml:space="preserve">Under section 101(3BA) of the </w:t>
      </w:r>
      <w:r w:rsidRPr="00D11CDE">
        <w:rPr>
          <w:rFonts w:asciiTheme="minorHAnsi" w:hAnsiTheme="minorHAnsi"/>
          <w:i/>
        </w:rPr>
        <w:t>National Health Act 1953</w:t>
      </w:r>
      <w:r w:rsidRPr="00371A9F">
        <w:rPr>
          <w:rFonts w:asciiTheme="minorHAnsi" w:hAnsiTheme="minorHAnsi"/>
        </w:rPr>
        <w:t xml:space="preserve">, the </w:t>
      </w:r>
      <w:r w:rsidR="00846F84">
        <w:rPr>
          <w:rFonts w:asciiTheme="minorHAnsi" w:hAnsiTheme="minorHAnsi" w:cs="Arial"/>
          <w:bCs/>
          <w:snapToGrid w:val="0"/>
          <w:lang w:val="en-GB" w:eastAsia="en-US"/>
        </w:rPr>
        <w:t xml:space="preserve">PBAC advised that baricitinib should be treated as interchangeable on an individual patient basis with </w:t>
      </w:r>
      <w:r w:rsidR="00846F84" w:rsidRPr="00846F84">
        <w:rPr>
          <w:rFonts w:asciiTheme="minorHAnsi" w:hAnsiTheme="minorHAnsi" w:cs="Arial"/>
          <w:bCs/>
          <w:snapToGrid w:val="0"/>
          <w:lang w:val="en-GB" w:eastAsia="en-US"/>
        </w:rPr>
        <w:t>abatacept, adalimumab, certolizumab pegol, etanercept, golimumab, infliximab, rituximab, tocilizumab and tofacitinib</w:t>
      </w:r>
      <w:r w:rsidR="00846F84">
        <w:rPr>
          <w:rFonts w:asciiTheme="minorHAnsi" w:hAnsiTheme="minorHAnsi" w:cs="Arial"/>
          <w:bCs/>
          <w:snapToGrid w:val="0"/>
          <w:lang w:val="en-GB" w:eastAsia="en-US"/>
        </w:rPr>
        <w:t xml:space="preserve"> for the treatment of rheumatoid arthritis.</w:t>
      </w:r>
    </w:p>
    <w:p w:rsidR="00AD1214" w:rsidRPr="00125C46" w:rsidRDefault="00AD1214" w:rsidP="002F1E13">
      <w:pPr>
        <w:widowControl w:val="0"/>
        <w:spacing w:after="120"/>
        <w:jc w:val="both"/>
        <w:rPr>
          <w:rFonts w:asciiTheme="minorHAnsi" w:hAnsiTheme="minorHAnsi" w:cs="Arial"/>
          <w:b/>
          <w:bCs/>
          <w:snapToGrid w:val="0"/>
          <w:lang w:val="en-GB" w:eastAsia="en-US"/>
        </w:rPr>
      </w:pPr>
      <w:r w:rsidRPr="00125C46">
        <w:rPr>
          <w:rFonts w:asciiTheme="minorHAnsi" w:hAnsiTheme="minorHAnsi" w:cs="Arial"/>
          <w:b/>
          <w:bCs/>
          <w:snapToGrid w:val="0"/>
          <w:lang w:val="en-GB" w:eastAsia="en-US"/>
        </w:rPr>
        <w:t>Outcome:</w:t>
      </w:r>
    </w:p>
    <w:p w:rsidR="00AD1214" w:rsidRPr="008727C7" w:rsidRDefault="00AD1214" w:rsidP="008727C7">
      <w:pPr>
        <w:spacing w:after="120"/>
        <w:jc w:val="both"/>
        <w:rPr>
          <w:rFonts w:asciiTheme="minorHAnsi" w:hAnsiTheme="minorHAnsi" w:cs="Arial"/>
          <w:bCs/>
          <w:snapToGrid w:val="0"/>
          <w:lang w:val="en-GB" w:eastAsia="en-US"/>
        </w:rPr>
      </w:pPr>
      <w:r w:rsidRPr="00125C46">
        <w:rPr>
          <w:rFonts w:asciiTheme="minorHAnsi" w:hAnsiTheme="minorHAnsi" w:cs="Arial"/>
          <w:bCs/>
          <w:snapToGrid w:val="0"/>
          <w:lang w:val="en-GB" w:eastAsia="en-US"/>
        </w:rPr>
        <w:t>Recommended</w:t>
      </w:r>
    </w:p>
    <w:p w:rsidR="00AD1214" w:rsidRPr="00827914" w:rsidRDefault="00AD1214" w:rsidP="009F5BE2">
      <w:pPr>
        <w:pStyle w:val="Heading1"/>
        <w:rPr>
          <w:lang w:val="en-GB"/>
        </w:rPr>
      </w:pPr>
      <w:r w:rsidRPr="004312A1">
        <w:rPr>
          <w:lang w:val="en-GB"/>
        </w:rPr>
        <w:t>Recommended listing</w:t>
      </w:r>
    </w:p>
    <w:p w:rsidR="00387370" w:rsidRPr="00387370" w:rsidRDefault="00AD1214" w:rsidP="0017584F">
      <w:pPr>
        <w:pStyle w:val="ListParagraph"/>
        <w:numPr>
          <w:ilvl w:val="1"/>
          <w:numId w:val="5"/>
        </w:numPr>
        <w:spacing w:after="120"/>
        <w:contextualSpacing w:val="0"/>
        <w:rPr>
          <w:rFonts w:asciiTheme="minorHAnsi" w:hAnsiTheme="minorHAnsi"/>
          <w:bCs/>
          <w:sz w:val="28"/>
          <w:szCs w:val="24"/>
        </w:rPr>
      </w:pPr>
      <w:r w:rsidRPr="004312A1">
        <w:rPr>
          <w:rFonts w:asciiTheme="minorHAnsi" w:hAnsiTheme="minorHAnsi"/>
          <w:bCs/>
          <w:sz w:val="24"/>
        </w:rPr>
        <w:t>Add new item:</w:t>
      </w:r>
    </w:p>
    <w:p w:rsidR="00990127" w:rsidRPr="00387370" w:rsidRDefault="00387370" w:rsidP="00827914">
      <w:pPr>
        <w:pStyle w:val="ListParagraph"/>
        <w:spacing w:after="120"/>
        <w:contextualSpacing w:val="0"/>
        <w:rPr>
          <w:rFonts w:asciiTheme="minorHAnsi" w:hAnsiTheme="minorHAnsi"/>
          <w:bCs/>
          <w:sz w:val="28"/>
          <w:szCs w:val="24"/>
        </w:rPr>
      </w:pPr>
      <w:r w:rsidRPr="00990127">
        <w:rPr>
          <w:rFonts w:asciiTheme="minorHAnsi" w:hAnsiTheme="minorHAnsi"/>
          <w:bCs/>
          <w:sz w:val="24"/>
          <w:szCs w:val="24"/>
        </w:rPr>
        <w:t>The submission requested the same restriction wording and number of repeats for baricitinib as for the currently listed bDMARDS for rheumatoid arthritis, therefore these restrictions have not been duplicated here.</w:t>
      </w:r>
    </w:p>
    <w:p w:rsidR="00AD1214" w:rsidRPr="00387370" w:rsidRDefault="00990127" w:rsidP="0017584F">
      <w:pPr>
        <w:pStyle w:val="ListParagraph"/>
        <w:numPr>
          <w:ilvl w:val="1"/>
          <w:numId w:val="5"/>
        </w:numPr>
        <w:spacing w:after="240"/>
        <w:rPr>
          <w:rFonts w:asciiTheme="minorHAnsi" w:hAnsiTheme="minorHAnsi"/>
          <w:bCs/>
          <w:sz w:val="28"/>
          <w:szCs w:val="24"/>
        </w:rPr>
      </w:pPr>
      <w:r w:rsidRPr="00387370">
        <w:rPr>
          <w:rFonts w:asciiTheme="minorHAnsi" w:hAnsiTheme="minorHAnsi"/>
          <w:bCs/>
          <w:sz w:val="24"/>
          <w:szCs w:val="24"/>
        </w:rPr>
        <w:t>The proposed grandfather restriction is included below.</w:t>
      </w:r>
    </w:p>
    <w:tbl>
      <w:tblPr>
        <w:tblW w:w="5000" w:type="pct"/>
        <w:tblCellMar>
          <w:left w:w="28" w:type="dxa"/>
          <w:right w:w="28" w:type="dxa"/>
        </w:tblCellMar>
        <w:tblLook w:val="0000" w:firstRow="0" w:lastRow="0" w:firstColumn="0" w:lastColumn="0" w:noHBand="0" w:noVBand="0"/>
      </w:tblPr>
      <w:tblGrid>
        <w:gridCol w:w="32"/>
        <w:gridCol w:w="2785"/>
        <w:gridCol w:w="445"/>
        <w:gridCol w:w="737"/>
        <w:gridCol w:w="661"/>
        <w:gridCol w:w="332"/>
        <w:gridCol w:w="1558"/>
        <w:gridCol w:w="2532"/>
      </w:tblGrid>
      <w:tr w:rsidR="002A5627" w:rsidRPr="0017584F" w:rsidTr="00234C42">
        <w:trPr>
          <w:cantSplit/>
          <w:trHeight w:val="471"/>
        </w:trPr>
        <w:tc>
          <w:tcPr>
            <w:tcW w:w="1795" w:type="pct"/>
            <w:gridSpan w:val="3"/>
            <w:tcBorders>
              <w:bottom w:val="single" w:sz="4" w:space="0" w:color="auto"/>
            </w:tcBorders>
          </w:tcPr>
          <w:p w:rsidR="002A5627" w:rsidRPr="0017584F" w:rsidRDefault="002A5627" w:rsidP="0017584F">
            <w:pPr>
              <w:pStyle w:val="Tabletext"/>
              <w:spacing w:after="0"/>
              <w:rPr>
                <w:rFonts w:ascii="Arial Narrow" w:hAnsi="Arial Narrow"/>
                <w:b/>
              </w:rPr>
            </w:pPr>
            <w:r w:rsidRPr="0017584F">
              <w:rPr>
                <w:rFonts w:ascii="Arial Narrow" w:hAnsi="Arial Narrow"/>
                <w:b/>
              </w:rPr>
              <w:t>Name, Restriction,</w:t>
            </w:r>
          </w:p>
          <w:p w:rsidR="002A5627" w:rsidRPr="0017584F" w:rsidRDefault="002A5627" w:rsidP="00805B2D">
            <w:pPr>
              <w:pStyle w:val="Tabletext"/>
              <w:rPr>
                <w:rFonts w:ascii="Arial Narrow" w:hAnsi="Arial Narrow"/>
                <w:b/>
              </w:rPr>
            </w:pPr>
            <w:r w:rsidRPr="0017584F">
              <w:rPr>
                <w:rFonts w:ascii="Arial Narrow" w:hAnsi="Arial Narrow"/>
                <w:b/>
              </w:rPr>
              <w:t>Manner of administration and form</w:t>
            </w:r>
          </w:p>
        </w:tc>
        <w:tc>
          <w:tcPr>
            <w:tcW w:w="406" w:type="pct"/>
            <w:tcBorders>
              <w:bottom w:val="single" w:sz="4" w:space="0" w:color="auto"/>
            </w:tcBorders>
          </w:tcPr>
          <w:p w:rsidR="002A5627" w:rsidRPr="0017584F" w:rsidRDefault="002A5627" w:rsidP="00805B2D">
            <w:pPr>
              <w:pStyle w:val="Tabletext"/>
              <w:rPr>
                <w:rFonts w:ascii="Arial Narrow" w:hAnsi="Arial Narrow"/>
                <w:b/>
              </w:rPr>
            </w:pPr>
            <w:r w:rsidRPr="0017584F">
              <w:rPr>
                <w:rFonts w:ascii="Arial Narrow" w:hAnsi="Arial Narrow"/>
                <w:b/>
              </w:rPr>
              <w:t>Max.</w:t>
            </w:r>
          </w:p>
          <w:p w:rsidR="002A5627" w:rsidRPr="0017584F" w:rsidRDefault="002A5627" w:rsidP="00805B2D">
            <w:pPr>
              <w:pStyle w:val="Tabletext"/>
              <w:rPr>
                <w:rFonts w:ascii="Arial Narrow" w:hAnsi="Arial Narrow"/>
                <w:b/>
              </w:rPr>
            </w:pPr>
            <w:r w:rsidRPr="0017584F">
              <w:rPr>
                <w:rFonts w:ascii="Arial Narrow" w:hAnsi="Arial Narrow"/>
                <w:b/>
              </w:rPr>
              <w:t>Qty</w:t>
            </w:r>
          </w:p>
        </w:tc>
        <w:tc>
          <w:tcPr>
            <w:tcW w:w="364" w:type="pct"/>
            <w:tcBorders>
              <w:bottom w:val="single" w:sz="4" w:space="0" w:color="auto"/>
            </w:tcBorders>
          </w:tcPr>
          <w:p w:rsidR="002A5627" w:rsidRPr="0017584F" w:rsidRDefault="002A5627" w:rsidP="00805B2D">
            <w:pPr>
              <w:pStyle w:val="Tabletext"/>
              <w:rPr>
                <w:rFonts w:ascii="Arial Narrow" w:hAnsi="Arial Narrow"/>
                <w:b/>
              </w:rPr>
            </w:pPr>
            <w:r w:rsidRPr="0017584F">
              <w:rPr>
                <w:rFonts w:ascii="Arial Narrow" w:hAnsi="Arial Narrow"/>
                <w:b/>
              </w:rPr>
              <w:t>№.of</w:t>
            </w:r>
          </w:p>
          <w:p w:rsidR="002A5627" w:rsidRPr="0017584F" w:rsidRDefault="002A5627" w:rsidP="00805B2D">
            <w:pPr>
              <w:pStyle w:val="Tabletext"/>
              <w:rPr>
                <w:rFonts w:ascii="Arial Narrow" w:hAnsi="Arial Narrow"/>
                <w:b/>
              </w:rPr>
            </w:pPr>
            <w:r w:rsidRPr="0017584F">
              <w:rPr>
                <w:rFonts w:ascii="Arial Narrow" w:hAnsi="Arial Narrow"/>
                <w:b/>
              </w:rPr>
              <w:t>Rpts</w:t>
            </w:r>
          </w:p>
        </w:tc>
        <w:tc>
          <w:tcPr>
            <w:tcW w:w="183" w:type="pct"/>
            <w:tcBorders>
              <w:bottom w:val="single" w:sz="4" w:space="0" w:color="auto"/>
            </w:tcBorders>
          </w:tcPr>
          <w:p w:rsidR="002A5627" w:rsidRPr="0017584F" w:rsidRDefault="002A5627" w:rsidP="00805B2D">
            <w:pPr>
              <w:pStyle w:val="Tabletext"/>
              <w:rPr>
                <w:rFonts w:ascii="Arial Narrow" w:hAnsi="Arial Narrow"/>
                <w:b/>
              </w:rPr>
            </w:pPr>
          </w:p>
        </w:tc>
        <w:tc>
          <w:tcPr>
            <w:tcW w:w="2253" w:type="pct"/>
            <w:gridSpan w:val="2"/>
            <w:tcBorders>
              <w:bottom w:val="single" w:sz="4" w:space="0" w:color="auto"/>
            </w:tcBorders>
          </w:tcPr>
          <w:p w:rsidR="002A5627" w:rsidRPr="0017584F" w:rsidRDefault="002A5627" w:rsidP="00805B2D">
            <w:pPr>
              <w:pStyle w:val="Tabletext"/>
              <w:rPr>
                <w:rFonts w:ascii="Arial Narrow" w:hAnsi="Arial Narrow"/>
                <w:b/>
              </w:rPr>
            </w:pPr>
            <w:r w:rsidRPr="0017584F">
              <w:rPr>
                <w:rFonts w:ascii="Arial Narrow" w:hAnsi="Arial Narrow"/>
                <w:b/>
              </w:rPr>
              <w:t>Proprietary Name and Manufacturer</w:t>
            </w:r>
          </w:p>
        </w:tc>
      </w:tr>
      <w:tr w:rsidR="002A5627" w:rsidRPr="00AA2DD4" w:rsidTr="00234C42">
        <w:trPr>
          <w:cantSplit/>
          <w:trHeight w:val="577"/>
        </w:trPr>
        <w:tc>
          <w:tcPr>
            <w:tcW w:w="1795" w:type="pct"/>
            <w:gridSpan w:val="3"/>
            <w:tcBorders>
              <w:top w:val="single" w:sz="4" w:space="0" w:color="auto"/>
              <w:bottom w:val="single" w:sz="4" w:space="0" w:color="auto"/>
            </w:tcBorders>
          </w:tcPr>
          <w:p w:rsidR="002A5627" w:rsidRPr="0017584F" w:rsidRDefault="002A5627" w:rsidP="00805B2D">
            <w:pPr>
              <w:pStyle w:val="Tabletext"/>
              <w:rPr>
                <w:rFonts w:ascii="Arial Narrow" w:hAnsi="Arial Narrow"/>
                <w:i/>
              </w:rPr>
            </w:pPr>
            <w:r w:rsidRPr="0017584F">
              <w:rPr>
                <w:rFonts w:ascii="Arial Narrow" w:hAnsi="Arial Narrow"/>
                <w:i/>
              </w:rPr>
              <w:t>BARICITINIB</w:t>
            </w:r>
          </w:p>
          <w:p w:rsidR="002A5627" w:rsidRPr="0017584F" w:rsidRDefault="002A5627" w:rsidP="00805B2D">
            <w:pPr>
              <w:pStyle w:val="Tabletext"/>
              <w:rPr>
                <w:rFonts w:ascii="Arial Narrow" w:hAnsi="Arial Narrow"/>
                <w:i/>
              </w:rPr>
            </w:pPr>
            <w:r w:rsidRPr="0017584F">
              <w:rPr>
                <w:rFonts w:ascii="Arial Narrow" w:hAnsi="Arial Narrow"/>
                <w:i/>
              </w:rPr>
              <w:t>2 mg film-coated tablet, 28</w:t>
            </w:r>
          </w:p>
          <w:p w:rsidR="002A5627" w:rsidRPr="001E2A47" w:rsidRDefault="002A5627" w:rsidP="00805B2D">
            <w:pPr>
              <w:pStyle w:val="Tabletext"/>
              <w:rPr>
                <w:i/>
              </w:rPr>
            </w:pPr>
            <w:r w:rsidRPr="0017584F">
              <w:rPr>
                <w:rFonts w:ascii="Arial Narrow" w:hAnsi="Arial Narrow"/>
                <w:i/>
              </w:rPr>
              <w:t>4 mg film-coated tablet, 28</w:t>
            </w:r>
          </w:p>
        </w:tc>
        <w:tc>
          <w:tcPr>
            <w:tcW w:w="406" w:type="pct"/>
            <w:tcBorders>
              <w:top w:val="single" w:sz="4" w:space="0" w:color="auto"/>
              <w:bottom w:val="single" w:sz="4" w:space="0" w:color="auto"/>
            </w:tcBorders>
          </w:tcPr>
          <w:p w:rsidR="002A5627" w:rsidRPr="0017584F" w:rsidRDefault="002A5627" w:rsidP="00805B2D">
            <w:pPr>
              <w:pStyle w:val="Tabletext"/>
              <w:rPr>
                <w:rFonts w:ascii="Arial Narrow" w:hAnsi="Arial Narrow"/>
              </w:rPr>
            </w:pPr>
          </w:p>
          <w:p w:rsidR="002A5627" w:rsidRPr="0017584F" w:rsidRDefault="002A5627" w:rsidP="00805B2D">
            <w:pPr>
              <w:pStyle w:val="Tabletext"/>
              <w:rPr>
                <w:rFonts w:ascii="Arial Narrow" w:hAnsi="Arial Narrow"/>
              </w:rPr>
            </w:pPr>
            <w:r w:rsidRPr="0017584F">
              <w:rPr>
                <w:rFonts w:ascii="Arial Narrow" w:hAnsi="Arial Narrow"/>
              </w:rPr>
              <w:t>1</w:t>
            </w:r>
          </w:p>
          <w:p w:rsidR="002A5627" w:rsidRPr="0017584F" w:rsidRDefault="002A5627" w:rsidP="00805B2D">
            <w:pPr>
              <w:pStyle w:val="Tabletext"/>
              <w:rPr>
                <w:rFonts w:ascii="Arial Narrow" w:hAnsi="Arial Narrow"/>
              </w:rPr>
            </w:pPr>
            <w:r w:rsidRPr="0017584F">
              <w:rPr>
                <w:rFonts w:ascii="Arial Narrow" w:hAnsi="Arial Narrow"/>
              </w:rPr>
              <w:t>1</w:t>
            </w:r>
          </w:p>
        </w:tc>
        <w:tc>
          <w:tcPr>
            <w:tcW w:w="364" w:type="pct"/>
            <w:tcBorders>
              <w:top w:val="single" w:sz="4" w:space="0" w:color="auto"/>
              <w:bottom w:val="single" w:sz="4" w:space="0" w:color="auto"/>
            </w:tcBorders>
          </w:tcPr>
          <w:p w:rsidR="002A5627" w:rsidRPr="0017584F" w:rsidRDefault="002A5627" w:rsidP="00805B2D">
            <w:pPr>
              <w:pStyle w:val="Tabletext"/>
              <w:rPr>
                <w:rFonts w:ascii="Arial Narrow" w:hAnsi="Arial Narrow"/>
              </w:rPr>
            </w:pPr>
          </w:p>
          <w:p w:rsidR="002A5627" w:rsidRPr="0017584F" w:rsidRDefault="002A5627" w:rsidP="00805B2D">
            <w:pPr>
              <w:pStyle w:val="Tabletext"/>
              <w:rPr>
                <w:rFonts w:ascii="Arial Narrow" w:hAnsi="Arial Narrow"/>
              </w:rPr>
            </w:pPr>
            <w:r w:rsidRPr="0017584F">
              <w:rPr>
                <w:rFonts w:ascii="Arial Narrow" w:hAnsi="Arial Narrow"/>
              </w:rPr>
              <w:t>3</w:t>
            </w:r>
          </w:p>
          <w:p w:rsidR="002A5627" w:rsidRPr="0017584F" w:rsidRDefault="002A5627" w:rsidP="00805B2D">
            <w:pPr>
              <w:pStyle w:val="Tabletext"/>
              <w:rPr>
                <w:rFonts w:ascii="Arial Narrow" w:hAnsi="Arial Narrow"/>
              </w:rPr>
            </w:pPr>
            <w:r w:rsidRPr="0017584F">
              <w:rPr>
                <w:rFonts w:ascii="Arial Narrow" w:hAnsi="Arial Narrow"/>
              </w:rPr>
              <w:t>3</w:t>
            </w:r>
          </w:p>
        </w:tc>
        <w:tc>
          <w:tcPr>
            <w:tcW w:w="183" w:type="pct"/>
            <w:tcBorders>
              <w:top w:val="single" w:sz="4" w:space="0" w:color="auto"/>
              <w:bottom w:val="single" w:sz="4" w:space="0" w:color="auto"/>
            </w:tcBorders>
          </w:tcPr>
          <w:p w:rsidR="002A5627" w:rsidRPr="0017584F" w:rsidRDefault="002A5627" w:rsidP="00805B2D">
            <w:pPr>
              <w:pStyle w:val="Tabletext"/>
              <w:rPr>
                <w:rFonts w:ascii="Arial Narrow" w:hAnsi="Arial Narrow"/>
              </w:rPr>
            </w:pPr>
          </w:p>
          <w:p w:rsidR="002A5627" w:rsidRPr="0017584F" w:rsidRDefault="002A5627" w:rsidP="00805B2D">
            <w:pPr>
              <w:pStyle w:val="Tabletext"/>
              <w:rPr>
                <w:rFonts w:ascii="Arial Narrow" w:hAnsi="Arial Narrow"/>
              </w:rPr>
            </w:pPr>
          </w:p>
        </w:tc>
        <w:tc>
          <w:tcPr>
            <w:tcW w:w="858" w:type="pct"/>
            <w:tcBorders>
              <w:top w:val="single" w:sz="4" w:space="0" w:color="auto"/>
              <w:bottom w:val="single" w:sz="4" w:space="0" w:color="auto"/>
            </w:tcBorders>
          </w:tcPr>
          <w:p w:rsidR="002A5627" w:rsidRPr="0017584F" w:rsidRDefault="002A5627" w:rsidP="0017584F">
            <w:pPr>
              <w:pStyle w:val="Tabletext"/>
              <w:rPr>
                <w:rFonts w:ascii="Arial Narrow" w:hAnsi="Arial Narrow"/>
              </w:rPr>
            </w:pPr>
            <w:r w:rsidRPr="0017584F">
              <w:rPr>
                <w:rFonts w:ascii="Arial Narrow" w:hAnsi="Arial Narrow"/>
              </w:rPr>
              <w:t>Olumiant®</w:t>
            </w:r>
          </w:p>
        </w:tc>
        <w:tc>
          <w:tcPr>
            <w:tcW w:w="1395" w:type="pct"/>
            <w:tcBorders>
              <w:top w:val="single" w:sz="4" w:space="0" w:color="auto"/>
              <w:bottom w:val="single" w:sz="4" w:space="0" w:color="auto"/>
            </w:tcBorders>
          </w:tcPr>
          <w:p w:rsidR="002A5627" w:rsidRPr="0017584F" w:rsidRDefault="002A5627" w:rsidP="0017584F">
            <w:pPr>
              <w:pStyle w:val="Tabletext"/>
              <w:rPr>
                <w:rFonts w:ascii="Arial Narrow" w:hAnsi="Arial Narrow"/>
              </w:rPr>
            </w:pPr>
            <w:r w:rsidRPr="0017584F">
              <w:rPr>
                <w:rFonts w:ascii="Arial Narrow" w:hAnsi="Arial Narrow"/>
              </w:rPr>
              <w:t>Eli Lilly Australia Pty Ltd</w:t>
            </w:r>
          </w:p>
        </w:tc>
      </w:tr>
      <w:tr w:rsidR="002A5627" w:rsidRPr="0017584F" w:rsidTr="00234C42">
        <w:tblPrEx>
          <w:tblCellMar>
            <w:left w:w="108" w:type="dxa"/>
            <w:right w:w="108" w:type="dxa"/>
          </w:tblCellMar>
        </w:tblPrEx>
        <w:trPr>
          <w:gridBefore w:val="1"/>
          <w:wBefore w:w="17" w:type="pct"/>
          <w:cantSplit/>
          <w:trHeight w:val="239"/>
        </w:trPr>
        <w:tc>
          <w:tcPr>
            <w:tcW w:w="1533" w:type="pct"/>
            <w:tcBorders>
              <w:top w:val="single" w:sz="4" w:space="0" w:color="auto"/>
              <w:left w:val="single" w:sz="4" w:space="0" w:color="auto"/>
              <w:bottom w:val="single" w:sz="4" w:space="0" w:color="auto"/>
              <w:right w:val="single" w:sz="4" w:space="0" w:color="auto"/>
            </w:tcBorders>
          </w:tcPr>
          <w:p w:rsidR="002A5627" w:rsidRPr="0017584F" w:rsidRDefault="002A5627" w:rsidP="0017584F">
            <w:pPr>
              <w:keepNext/>
              <w:spacing w:after="120"/>
              <w:jc w:val="both"/>
              <w:rPr>
                <w:rFonts w:ascii="Arial Narrow" w:hAnsi="Arial Narrow" w:cs="Arial"/>
                <w:b/>
                <w:i/>
                <w:sz w:val="20"/>
                <w:szCs w:val="20"/>
              </w:rPr>
            </w:pPr>
            <w:r w:rsidRPr="0017584F">
              <w:rPr>
                <w:rFonts w:ascii="Arial Narrow" w:hAnsi="Arial Narrow" w:cs="Arial"/>
                <w:b/>
                <w:i/>
                <w:sz w:val="20"/>
                <w:szCs w:val="20"/>
              </w:rPr>
              <w:t>Category / Program</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17584F" w:rsidRDefault="002A5627" w:rsidP="0017584F">
            <w:pPr>
              <w:pStyle w:val="Tabletext"/>
              <w:keepNext/>
              <w:rPr>
                <w:rFonts w:ascii="Arial Narrow" w:hAnsi="Arial Narrow"/>
                <w:i/>
              </w:rPr>
            </w:pPr>
            <w:r w:rsidRPr="0017584F">
              <w:rPr>
                <w:rFonts w:ascii="Arial Narrow" w:hAnsi="Arial Narrow"/>
                <w:i/>
              </w:rPr>
              <w:t>GENERAL – General Schedule (Code GE)</w:t>
            </w:r>
          </w:p>
        </w:tc>
      </w:tr>
      <w:tr w:rsidR="002A5627" w:rsidRPr="0017584F" w:rsidTr="00234C42">
        <w:tblPrEx>
          <w:tblCellMar>
            <w:left w:w="108" w:type="dxa"/>
            <w:right w:w="108" w:type="dxa"/>
          </w:tblCellMar>
        </w:tblPrEx>
        <w:trPr>
          <w:gridBefore w:val="1"/>
          <w:wBefore w:w="17" w:type="pct"/>
          <w:cantSplit/>
          <w:trHeight w:val="360"/>
        </w:trPr>
        <w:tc>
          <w:tcPr>
            <w:tcW w:w="1533" w:type="pct"/>
            <w:tcBorders>
              <w:top w:val="single" w:sz="4" w:space="0" w:color="auto"/>
              <w:left w:val="single" w:sz="4" w:space="0" w:color="auto"/>
              <w:bottom w:val="single" w:sz="4" w:space="0" w:color="auto"/>
              <w:right w:val="single" w:sz="4" w:space="0" w:color="auto"/>
            </w:tcBorders>
          </w:tcPr>
          <w:p w:rsidR="002A5627" w:rsidRPr="0017584F" w:rsidRDefault="002A5627" w:rsidP="00805B2D">
            <w:pPr>
              <w:jc w:val="both"/>
              <w:rPr>
                <w:rFonts w:ascii="Arial Narrow" w:hAnsi="Arial Narrow" w:cs="Arial"/>
                <w:b/>
                <w:i/>
                <w:sz w:val="20"/>
                <w:szCs w:val="20"/>
              </w:rPr>
            </w:pPr>
            <w:r w:rsidRPr="0017584F">
              <w:rPr>
                <w:rFonts w:ascii="Arial Narrow" w:hAnsi="Arial Narrow" w:cs="Arial"/>
                <w:b/>
                <w:i/>
                <w:sz w:val="20"/>
                <w:szCs w:val="20"/>
              </w:rPr>
              <w:t>Prescriber type:</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17584F" w:rsidRDefault="002A5627" w:rsidP="00805B2D">
            <w:pPr>
              <w:pStyle w:val="Tabletext"/>
              <w:rPr>
                <w:rFonts w:ascii="Arial Narrow" w:hAnsi="Arial Narrow"/>
                <w:i/>
              </w:rPr>
            </w:pPr>
            <w:r w:rsidRPr="0017584F">
              <w:rPr>
                <w:rFonts w:ascii="Arial Narrow" w:hAnsi="Arial Narrow"/>
                <w:i/>
              </w:rPr>
              <w:fldChar w:fldCharType="begin">
                <w:ffData>
                  <w:name w:val="Check1"/>
                  <w:enabled/>
                  <w:calcOnExit w:val="0"/>
                  <w:checkBox>
                    <w:sizeAuto/>
                    <w:default w:val="0"/>
                  </w:checkBox>
                </w:ffData>
              </w:fldChar>
            </w:r>
            <w:r w:rsidRPr="0017584F">
              <w:rPr>
                <w:rFonts w:ascii="Arial Narrow" w:hAnsi="Arial Narrow"/>
                <w:i/>
              </w:rPr>
              <w:instrText xml:space="preserve"> FORMCHECKBOX </w:instrText>
            </w:r>
            <w:r w:rsidR="007A7CE0">
              <w:rPr>
                <w:rFonts w:ascii="Arial Narrow" w:hAnsi="Arial Narrow"/>
                <w:i/>
              </w:rPr>
            </w:r>
            <w:r w:rsidR="007A7CE0">
              <w:rPr>
                <w:rFonts w:ascii="Arial Narrow" w:hAnsi="Arial Narrow"/>
                <w:i/>
              </w:rPr>
              <w:fldChar w:fldCharType="separate"/>
            </w:r>
            <w:r w:rsidRPr="0017584F">
              <w:rPr>
                <w:rFonts w:ascii="Arial Narrow" w:hAnsi="Arial Narrow"/>
                <w:i/>
              </w:rPr>
              <w:fldChar w:fldCharType="end"/>
            </w:r>
            <w:r w:rsidRPr="0017584F">
              <w:rPr>
                <w:rFonts w:ascii="Arial Narrow" w:hAnsi="Arial Narrow"/>
                <w:i/>
              </w:rPr>
              <w:t xml:space="preserve">Dental  </w:t>
            </w:r>
            <w:r w:rsidRPr="0017584F">
              <w:rPr>
                <w:rFonts w:ascii="Arial Narrow" w:hAnsi="Arial Narrow"/>
                <w:i/>
              </w:rPr>
              <w:fldChar w:fldCharType="begin">
                <w:ffData>
                  <w:name w:val=""/>
                  <w:enabled/>
                  <w:calcOnExit w:val="0"/>
                  <w:checkBox>
                    <w:sizeAuto/>
                    <w:default w:val="1"/>
                  </w:checkBox>
                </w:ffData>
              </w:fldChar>
            </w:r>
            <w:r w:rsidRPr="0017584F">
              <w:rPr>
                <w:rFonts w:ascii="Arial Narrow" w:hAnsi="Arial Narrow"/>
                <w:i/>
              </w:rPr>
              <w:instrText xml:space="preserve"> FORMCHECKBOX </w:instrText>
            </w:r>
            <w:r w:rsidR="007A7CE0">
              <w:rPr>
                <w:rFonts w:ascii="Arial Narrow" w:hAnsi="Arial Narrow"/>
                <w:i/>
              </w:rPr>
            </w:r>
            <w:r w:rsidR="007A7CE0">
              <w:rPr>
                <w:rFonts w:ascii="Arial Narrow" w:hAnsi="Arial Narrow"/>
                <w:i/>
              </w:rPr>
              <w:fldChar w:fldCharType="separate"/>
            </w:r>
            <w:r w:rsidRPr="0017584F">
              <w:rPr>
                <w:rFonts w:ascii="Arial Narrow" w:hAnsi="Arial Narrow"/>
                <w:i/>
              </w:rPr>
              <w:fldChar w:fldCharType="end"/>
            </w:r>
            <w:r w:rsidRPr="0017584F">
              <w:rPr>
                <w:rFonts w:ascii="Arial Narrow" w:hAnsi="Arial Narrow"/>
                <w:i/>
              </w:rPr>
              <w:t xml:space="preserve">Medical Practitioners  </w:t>
            </w:r>
            <w:r w:rsidRPr="0017584F">
              <w:rPr>
                <w:rFonts w:ascii="Arial Narrow" w:hAnsi="Arial Narrow"/>
                <w:i/>
              </w:rPr>
              <w:fldChar w:fldCharType="begin">
                <w:ffData>
                  <w:name w:val="Check3"/>
                  <w:enabled/>
                  <w:calcOnExit w:val="0"/>
                  <w:checkBox>
                    <w:sizeAuto/>
                    <w:default w:val="0"/>
                  </w:checkBox>
                </w:ffData>
              </w:fldChar>
            </w:r>
            <w:r w:rsidRPr="0017584F">
              <w:rPr>
                <w:rFonts w:ascii="Arial Narrow" w:hAnsi="Arial Narrow"/>
                <w:i/>
              </w:rPr>
              <w:instrText xml:space="preserve"> FORMCHECKBOX </w:instrText>
            </w:r>
            <w:r w:rsidR="007A7CE0">
              <w:rPr>
                <w:rFonts w:ascii="Arial Narrow" w:hAnsi="Arial Narrow"/>
                <w:i/>
              </w:rPr>
            </w:r>
            <w:r w:rsidR="007A7CE0">
              <w:rPr>
                <w:rFonts w:ascii="Arial Narrow" w:hAnsi="Arial Narrow"/>
                <w:i/>
              </w:rPr>
              <w:fldChar w:fldCharType="separate"/>
            </w:r>
            <w:r w:rsidRPr="0017584F">
              <w:rPr>
                <w:rFonts w:ascii="Arial Narrow" w:hAnsi="Arial Narrow"/>
                <w:i/>
              </w:rPr>
              <w:fldChar w:fldCharType="end"/>
            </w:r>
            <w:r w:rsidRPr="0017584F">
              <w:rPr>
                <w:rFonts w:ascii="Arial Narrow" w:hAnsi="Arial Narrow"/>
                <w:i/>
              </w:rPr>
              <w:t xml:space="preserve">Nurse practitioners  </w:t>
            </w:r>
            <w:r w:rsidRPr="0017584F">
              <w:rPr>
                <w:rFonts w:ascii="Arial Narrow" w:hAnsi="Arial Narrow"/>
                <w:i/>
              </w:rPr>
              <w:fldChar w:fldCharType="begin">
                <w:ffData>
                  <w:name w:val=""/>
                  <w:enabled/>
                  <w:calcOnExit w:val="0"/>
                  <w:checkBox>
                    <w:sizeAuto/>
                    <w:default w:val="0"/>
                  </w:checkBox>
                </w:ffData>
              </w:fldChar>
            </w:r>
            <w:r w:rsidRPr="0017584F">
              <w:rPr>
                <w:rFonts w:ascii="Arial Narrow" w:hAnsi="Arial Narrow"/>
                <w:i/>
              </w:rPr>
              <w:instrText xml:space="preserve"> FORMCHECKBOX </w:instrText>
            </w:r>
            <w:r w:rsidR="007A7CE0">
              <w:rPr>
                <w:rFonts w:ascii="Arial Narrow" w:hAnsi="Arial Narrow"/>
                <w:i/>
              </w:rPr>
            </w:r>
            <w:r w:rsidR="007A7CE0">
              <w:rPr>
                <w:rFonts w:ascii="Arial Narrow" w:hAnsi="Arial Narrow"/>
                <w:i/>
              </w:rPr>
              <w:fldChar w:fldCharType="separate"/>
            </w:r>
            <w:r w:rsidRPr="0017584F">
              <w:rPr>
                <w:rFonts w:ascii="Arial Narrow" w:hAnsi="Arial Narrow"/>
                <w:i/>
              </w:rPr>
              <w:fldChar w:fldCharType="end"/>
            </w:r>
            <w:r w:rsidRPr="0017584F">
              <w:rPr>
                <w:rFonts w:ascii="Arial Narrow" w:hAnsi="Arial Narrow"/>
                <w:i/>
              </w:rPr>
              <w:t>Optometrists</w:t>
            </w:r>
          </w:p>
          <w:p w:rsidR="002A5627" w:rsidRPr="0017584F" w:rsidRDefault="002A5627" w:rsidP="00805B2D">
            <w:pPr>
              <w:pStyle w:val="Tabletext"/>
              <w:rPr>
                <w:rFonts w:ascii="Arial Narrow" w:hAnsi="Arial Narrow"/>
                <w:i/>
              </w:rPr>
            </w:pPr>
            <w:r w:rsidRPr="0017584F">
              <w:rPr>
                <w:rFonts w:ascii="Arial Narrow" w:hAnsi="Arial Narrow"/>
                <w:i/>
              </w:rPr>
              <w:fldChar w:fldCharType="begin">
                <w:ffData>
                  <w:name w:val="Check5"/>
                  <w:enabled/>
                  <w:calcOnExit w:val="0"/>
                  <w:checkBox>
                    <w:sizeAuto/>
                    <w:default w:val="0"/>
                  </w:checkBox>
                </w:ffData>
              </w:fldChar>
            </w:r>
            <w:r w:rsidRPr="0017584F">
              <w:rPr>
                <w:rFonts w:ascii="Arial Narrow" w:hAnsi="Arial Narrow"/>
                <w:i/>
              </w:rPr>
              <w:instrText xml:space="preserve"> FORMCHECKBOX </w:instrText>
            </w:r>
            <w:r w:rsidR="007A7CE0">
              <w:rPr>
                <w:rFonts w:ascii="Arial Narrow" w:hAnsi="Arial Narrow"/>
                <w:i/>
              </w:rPr>
            </w:r>
            <w:r w:rsidR="007A7CE0">
              <w:rPr>
                <w:rFonts w:ascii="Arial Narrow" w:hAnsi="Arial Narrow"/>
                <w:i/>
              </w:rPr>
              <w:fldChar w:fldCharType="separate"/>
            </w:r>
            <w:r w:rsidRPr="0017584F">
              <w:rPr>
                <w:rFonts w:ascii="Arial Narrow" w:hAnsi="Arial Narrow"/>
                <w:i/>
              </w:rPr>
              <w:fldChar w:fldCharType="end"/>
            </w:r>
            <w:r w:rsidRPr="0017584F">
              <w:rPr>
                <w:rFonts w:ascii="Arial Narrow" w:hAnsi="Arial Narrow"/>
                <w:i/>
              </w:rPr>
              <w:t>Midwives</w:t>
            </w:r>
          </w:p>
        </w:tc>
      </w:tr>
      <w:tr w:rsidR="002A5627" w:rsidRPr="0017584F" w:rsidTr="00234C42">
        <w:tblPrEx>
          <w:tblCellMar>
            <w:left w:w="108" w:type="dxa"/>
            <w:right w:w="108" w:type="dxa"/>
          </w:tblCellMar>
        </w:tblPrEx>
        <w:trPr>
          <w:gridBefore w:val="1"/>
          <w:wBefore w:w="17" w:type="pct"/>
          <w:cantSplit/>
          <w:trHeight w:val="360"/>
        </w:trPr>
        <w:tc>
          <w:tcPr>
            <w:tcW w:w="1533" w:type="pct"/>
            <w:tcBorders>
              <w:top w:val="single" w:sz="4" w:space="0" w:color="auto"/>
              <w:left w:val="single" w:sz="4" w:space="0" w:color="auto"/>
              <w:bottom w:val="single" w:sz="4" w:space="0" w:color="auto"/>
              <w:right w:val="single" w:sz="4" w:space="0" w:color="auto"/>
            </w:tcBorders>
          </w:tcPr>
          <w:p w:rsidR="002A5627" w:rsidRPr="0017584F" w:rsidRDefault="002A5627" w:rsidP="00805B2D">
            <w:pPr>
              <w:jc w:val="both"/>
              <w:rPr>
                <w:rFonts w:ascii="Arial Narrow" w:hAnsi="Arial Narrow" w:cs="Arial"/>
                <w:b/>
                <w:i/>
                <w:sz w:val="20"/>
                <w:szCs w:val="20"/>
              </w:rPr>
            </w:pPr>
            <w:r w:rsidRPr="0017584F">
              <w:rPr>
                <w:rFonts w:ascii="Arial Narrow" w:hAnsi="Arial Narrow" w:cs="Arial"/>
                <w:b/>
                <w:i/>
                <w:sz w:val="20"/>
                <w:szCs w:val="20"/>
              </w:rPr>
              <w:t>Severity:</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17584F" w:rsidRDefault="002A5627" w:rsidP="00805B2D">
            <w:pPr>
              <w:pStyle w:val="Tabletext"/>
              <w:rPr>
                <w:rFonts w:ascii="Arial Narrow" w:hAnsi="Arial Narrow"/>
                <w:i/>
              </w:rPr>
            </w:pPr>
            <w:r w:rsidRPr="0017584F">
              <w:rPr>
                <w:rFonts w:ascii="Arial Narrow" w:hAnsi="Arial Narrow"/>
                <w:i/>
              </w:rPr>
              <w:t>Severe active</w:t>
            </w:r>
          </w:p>
        </w:tc>
      </w:tr>
      <w:tr w:rsidR="002A5627" w:rsidRPr="0017584F" w:rsidTr="00234C42">
        <w:tblPrEx>
          <w:tblCellMar>
            <w:left w:w="108" w:type="dxa"/>
            <w:right w:w="108" w:type="dxa"/>
          </w:tblCellMar>
        </w:tblPrEx>
        <w:trPr>
          <w:gridBefore w:val="1"/>
          <w:wBefore w:w="17" w:type="pct"/>
          <w:cantSplit/>
          <w:trHeight w:val="360"/>
        </w:trPr>
        <w:tc>
          <w:tcPr>
            <w:tcW w:w="1533" w:type="pct"/>
            <w:tcBorders>
              <w:top w:val="single" w:sz="4" w:space="0" w:color="auto"/>
              <w:left w:val="single" w:sz="4" w:space="0" w:color="auto"/>
              <w:bottom w:val="single" w:sz="4" w:space="0" w:color="auto"/>
              <w:right w:val="single" w:sz="4" w:space="0" w:color="auto"/>
            </w:tcBorders>
          </w:tcPr>
          <w:p w:rsidR="002A5627" w:rsidRPr="0017584F" w:rsidRDefault="002A5627" w:rsidP="00805B2D">
            <w:pPr>
              <w:jc w:val="both"/>
              <w:rPr>
                <w:rFonts w:ascii="Arial Narrow" w:hAnsi="Arial Narrow" w:cs="Arial"/>
                <w:b/>
                <w:i/>
                <w:sz w:val="20"/>
                <w:szCs w:val="20"/>
              </w:rPr>
            </w:pPr>
            <w:r w:rsidRPr="0017584F">
              <w:rPr>
                <w:rFonts w:ascii="Arial Narrow" w:hAnsi="Arial Narrow" w:cs="Arial"/>
                <w:b/>
                <w:i/>
                <w:sz w:val="20"/>
                <w:szCs w:val="20"/>
              </w:rPr>
              <w:t>Condition:</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17584F" w:rsidRDefault="002A5627" w:rsidP="00805B2D">
            <w:pPr>
              <w:pStyle w:val="Tabletext"/>
              <w:rPr>
                <w:rFonts w:ascii="Arial Narrow" w:hAnsi="Arial Narrow"/>
                <w:i/>
              </w:rPr>
            </w:pPr>
            <w:r w:rsidRPr="0017584F">
              <w:rPr>
                <w:rFonts w:ascii="Arial Narrow" w:hAnsi="Arial Narrow"/>
                <w:i/>
              </w:rPr>
              <w:t>Rheumatoid arthritis</w:t>
            </w:r>
          </w:p>
        </w:tc>
      </w:tr>
      <w:tr w:rsidR="002A5627" w:rsidRPr="0017584F" w:rsidTr="00234C42">
        <w:tblPrEx>
          <w:tblCellMar>
            <w:left w:w="108" w:type="dxa"/>
            <w:right w:w="108" w:type="dxa"/>
          </w:tblCellMar>
        </w:tblPrEx>
        <w:trPr>
          <w:gridBefore w:val="1"/>
          <w:wBefore w:w="17" w:type="pct"/>
          <w:cantSplit/>
          <w:trHeight w:val="360"/>
        </w:trPr>
        <w:tc>
          <w:tcPr>
            <w:tcW w:w="1533" w:type="pct"/>
            <w:tcBorders>
              <w:top w:val="single" w:sz="4" w:space="0" w:color="auto"/>
              <w:left w:val="single" w:sz="4" w:space="0" w:color="auto"/>
              <w:bottom w:val="single" w:sz="4" w:space="0" w:color="auto"/>
              <w:right w:val="single" w:sz="4" w:space="0" w:color="auto"/>
            </w:tcBorders>
          </w:tcPr>
          <w:p w:rsidR="002A5627" w:rsidRPr="0017584F" w:rsidRDefault="002A5627" w:rsidP="00805B2D">
            <w:pPr>
              <w:jc w:val="both"/>
              <w:rPr>
                <w:rFonts w:ascii="Arial Narrow" w:hAnsi="Arial Narrow" w:cs="Arial"/>
                <w:b/>
                <w:i/>
                <w:sz w:val="20"/>
                <w:szCs w:val="20"/>
              </w:rPr>
            </w:pPr>
            <w:r w:rsidRPr="0017584F">
              <w:rPr>
                <w:rFonts w:ascii="Arial Narrow" w:hAnsi="Arial Narrow" w:cs="Arial"/>
                <w:b/>
                <w:i/>
                <w:sz w:val="20"/>
                <w:szCs w:val="20"/>
              </w:rPr>
              <w:t>PBS Indication:</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17584F" w:rsidRDefault="002A5627" w:rsidP="00805B2D">
            <w:pPr>
              <w:pStyle w:val="Tabletext"/>
              <w:rPr>
                <w:rFonts w:ascii="Arial Narrow" w:hAnsi="Arial Narrow"/>
                <w:i/>
              </w:rPr>
            </w:pPr>
            <w:r w:rsidRPr="0017584F">
              <w:rPr>
                <w:rFonts w:ascii="Arial Narrow" w:hAnsi="Arial Narrow"/>
                <w:i/>
              </w:rPr>
              <w:t>Severe active rheumatoid arthritis</w:t>
            </w:r>
          </w:p>
        </w:tc>
      </w:tr>
      <w:tr w:rsidR="002A5627" w:rsidRPr="0017584F" w:rsidTr="00234C42">
        <w:tblPrEx>
          <w:tblCellMar>
            <w:left w:w="108" w:type="dxa"/>
            <w:right w:w="108" w:type="dxa"/>
          </w:tblCellMar>
        </w:tblPrEx>
        <w:trPr>
          <w:gridBefore w:val="1"/>
          <w:wBefore w:w="17" w:type="pct"/>
          <w:cantSplit/>
          <w:trHeight w:val="360"/>
        </w:trPr>
        <w:tc>
          <w:tcPr>
            <w:tcW w:w="1533" w:type="pct"/>
            <w:tcBorders>
              <w:top w:val="single" w:sz="4" w:space="0" w:color="auto"/>
              <w:left w:val="single" w:sz="4" w:space="0" w:color="auto"/>
              <w:bottom w:val="single" w:sz="4" w:space="0" w:color="auto"/>
              <w:right w:val="single" w:sz="4" w:space="0" w:color="auto"/>
            </w:tcBorders>
          </w:tcPr>
          <w:p w:rsidR="002A5627" w:rsidRPr="0017584F" w:rsidRDefault="002A5627" w:rsidP="00805B2D">
            <w:pPr>
              <w:jc w:val="both"/>
              <w:rPr>
                <w:rFonts w:ascii="Arial Narrow" w:hAnsi="Arial Narrow" w:cs="Arial"/>
                <w:i/>
                <w:sz w:val="20"/>
                <w:szCs w:val="20"/>
              </w:rPr>
            </w:pPr>
            <w:r w:rsidRPr="0017584F">
              <w:rPr>
                <w:rFonts w:ascii="Arial Narrow" w:hAnsi="Arial Narrow" w:cs="Arial"/>
                <w:b/>
                <w:i/>
                <w:sz w:val="20"/>
                <w:szCs w:val="20"/>
              </w:rPr>
              <w:t>Treatment phase:</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17584F" w:rsidRDefault="002A5627" w:rsidP="00805B2D">
            <w:pPr>
              <w:pStyle w:val="Tabletext"/>
              <w:rPr>
                <w:rFonts w:ascii="Arial Narrow" w:hAnsi="Arial Narrow"/>
                <w:i/>
              </w:rPr>
            </w:pPr>
            <w:r w:rsidRPr="0017584F">
              <w:rPr>
                <w:rFonts w:ascii="Arial Narrow" w:hAnsi="Arial Narrow"/>
                <w:i/>
              </w:rPr>
              <w:t>Initial treatment - Initial 3 (Grandfather patients)</w:t>
            </w:r>
          </w:p>
        </w:tc>
      </w:tr>
      <w:tr w:rsidR="002A5627" w:rsidRPr="0017584F" w:rsidTr="00234C42">
        <w:tblPrEx>
          <w:tblCellMar>
            <w:left w:w="108" w:type="dxa"/>
            <w:right w:w="108" w:type="dxa"/>
          </w:tblCellMar>
        </w:tblPrEx>
        <w:trPr>
          <w:gridBefore w:val="1"/>
          <w:wBefore w:w="17" w:type="pct"/>
          <w:cantSplit/>
          <w:trHeight w:val="360"/>
        </w:trPr>
        <w:tc>
          <w:tcPr>
            <w:tcW w:w="1533" w:type="pct"/>
            <w:tcBorders>
              <w:top w:val="single" w:sz="4" w:space="0" w:color="auto"/>
              <w:left w:val="single" w:sz="4" w:space="0" w:color="auto"/>
              <w:bottom w:val="single" w:sz="4" w:space="0" w:color="auto"/>
              <w:right w:val="single" w:sz="4" w:space="0" w:color="auto"/>
            </w:tcBorders>
          </w:tcPr>
          <w:p w:rsidR="002A5627" w:rsidRPr="0017584F" w:rsidRDefault="002A5627" w:rsidP="00805B2D">
            <w:pPr>
              <w:jc w:val="both"/>
              <w:rPr>
                <w:rFonts w:ascii="Arial Narrow" w:hAnsi="Arial Narrow" w:cs="Arial"/>
                <w:b/>
                <w:i/>
                <w:sz w:val="20"/>
                <w:szCs w:val="20"/>
              </w:rPr>
            </w:pPr>
            <w:r w:rsidRPr="0017584F">
              <w:rPr>
                <w:rFonts w:ascii="Arial Narrow" w:hAnsi="Arial Narrow" w:cs="Arial"/>
                <w:b/>
                <w:i/>
                <w:sz w:val="20"/>
                <w:szCs w:val="20"/>
              </w:rPr>
              <w:t>Restriction Level / Method:</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17584F" w:rsidRDefault="002A5627" w:rsidP="00805B2D">
            <w:pPr>
              <w:pStyle w:val="Tabletext"/>
              <w:rPr>
                <w:rFonts w:ascii="Arial Narrow" w:hAnsi="Arial Narrow"/>
                <w:i/>
              </w:rPr>
            </w:pPr>
            <w:r w:rsidRPr="0017584F">
              <w:rPr>
                <w:rFonts w:ascii="Arial Narrow" w:hAnsi="Arial Narrow"/>
                <w:i/>
              </w:rPr>
              <w:fldChar w:fldCharType="begin">
                <w:ffData>
                  <w:name w:val="Check1"/>
                  <w:enabled/>
                  <w:calcOnExit w:val="0"/>
                  <w:checkBox>
                    <w:sizeAuto/>
                    <w:default w:val="0"/>
                  </w:checkBox>
                </w:ffData>
              </w:fldChar>
            </w:r>
            <w:r w:rsidRPr="0017584F">
              <w:rPr>
                <w:rFonts w:ascii="Arial Narrow" w:hAnsi="Arial Narrow"/>
                <w:i/>
              </w:rPr>
              <w:instrText xml:space="preserve"> FORMCHECKBOX </w:instrText>
            </w:r>
            <w:r w:rsidR="007A7CE0">
              <w:rPr>
                <w:rFonts w:ascii="Arial Narrow" w:hAnsi="Arial Narrow"/>
                <w:i/>
              </w:rPr>
            </w:r>
            <w:r w:rsidR="007A7CE0">
              <w:rPr>
                <w:rFonts w:ascii="Arial Narrow" w:hAnsi="Arial Narrow"/>
                <w:i/>
              </w:rPr>
              <w:fldChar w:fldCharType="separate"/>
            </w:r>
            <w:r w:rsidRPr="0017584F">
              <w:rPr>
                <w:rFonts w:ascii="Arial Narrow" w:hAnsi="Arial Narrow"/>
                <w:i/>
              </w:rPr>
              <w:fldChar w:fldCharType="end"/>
            </w:r>
            <w:r w:rsidRPr="0017584F">
              <w:rPr>
                <w:rFonts w:ascii="Arial Narrow" w:hAnsi="Arial Narrow"/>
                <w:i/>
              </w:rPr>
              <w:t>Restricted benefit</w:t>
            </w:r>
          </w:p>
          <w:p w:rsidR="002A5627" w:rsidRPr="0017584F" w:rsidRDefault="002A5627" w:rsidP="00805B2D">
            <w:pPr>
              <w:pStyle w:val="Tabletext"/>
              <w:rPr>
                <w:rFonts w:ascii="Arial Narrow" w:hAnsi="Arial Narrow"/>
                <w:i/>
              </w:rPr>
            </w:pPr>
            <w:r w:rsidRPr="0017584F">
              <w:rPr>
                <w:rFonts w:ascii="Arial Narrow" w:hAnsi="Arial Narrow"/>
                <w:i/>
              </w:rPr>
              <w:fldChar w:fldCharType="begin">
                <w:ffData>
                  <w:name w:val=""/>
                  <w:enabled/>
                  <w:calcOnExit w:val="0"/>
                  <w:checkBox>
                    <w:sizeAuto/>
                    <w:default w:val="1"/>
                  </w:checkBox>
                </w:ffData>
              </w:fldChar>
            </w:r>
            <w:r w:rsidRPr="0017584F">
              <w:rPr>
                <w:rFonts w:ascii="Arial Narrow" w:hAnsi="Arial Narrow"/>
                <w:i/>
              </w:rPr>
              <w:instrText xml:space="preserve"> FORMCHECKBOX </w:instrText>
            </w:r>
            <w:r w:rsidR="007A7CE0">
              <w:rPr>
                <w:rFonts w:ascii="Arial Narrow" w:hAnsi="Arial Narrow"/>
                <w:i/>
              </w:rPr>
            </w:r>
            <w:r w:rsidR="007A7CE0">
              <w:rPr>
                <w:rFonts w:ascii="Arial Narrow" w:hAnsi="Arial Narrow"/>
                <w:i/>
              </w:rPr>
              <w:fldChar w:fldCharType="separate"/>
            </w:r>
            <w:r w:rsidRPr="0017584F">
              <w:rPr>
                <w:rFonts w:ascii="Arial Narrow" w:hAnsi="Arial Narrow"/>
                <w:i/>
              </w:rPr>
              <w:fldChar w:fldCharType="end"/>
            </w:r>
            <w:r w:rsidRPr="0017584F">
              <w:rPr>
                <w:rFonts w:ascii="Arial Narrow" w:hAnsi="Arial Narrow"/>
                <w:i/>
              </w:rPr>
              <w:t>Authority Required - In Writing</w:t>
            </w:r>
          </w:p>
          <w:p w:rsidR="002A5627" w:rsidRPr="0017584F" w:rsidRDefault="002A5627" w:rsidP="00805B2D">
            <w:pPr>
              <w:pStyle w:val="Tabletext"/>
              <w:rPr>
                <w:rFonts w:ascii="Arial Narrow" w:hAnsi="Arial Narrow"/>
                <w:i/>
              </w:rPr>
            </w:pPr>
            <w:r w:rsidRPr="0017584F">
              <w:rPr>
                <w:rFonts w:ascii="Arial Narrow" w:hAnsi="Arial Narrow"/>
                <w:i/>
              </w:rPr>
              <w:fldChar w:fldCharType="begin">
                <w:ffData>
                  <w:name w:val="Check3"/>
                  <w:enabled/>
                  <w:calcOnExit w:val="0"/>
                  <w:checkBox>
                    <w:sizeAuto/>
                    <w:default w:val="1"/>
                  </w:checkBox>
                </w:ffData>
              </w:fldChar>
            </w:r>
            <w:r w:rsidRPr="0017584F">
              <w:rPr>
                <w:rFonts w:ascii="Arial Narrow" w:hAnsi="Arial Narrow"/>
                <w:i/>
              </w:rPr>
              <w:instrText xml:space="preserve"> </w:instrText>
            </w:r>
            <w:bookmarkStart w:id="2" w:name="Check3"/>
            <w:r w:rsidRPr="0017584F">
              <w:rPr>
                <w:rFonts w:ascii="Arial Narrow" w:hAnsi="Arial Narrow"/>
                <w:i/>
              </w:rPr>
              <w:instrText xml:space="preserve">FORMCHECKBOX </w:instrText>
            </w:r>
            <w:r w:rsidR="007A7CE0">
              <w:rPr>
                <w:rFonts w:ascii="Arial Narrow" w:hAnsi="Arial Narrow"/>
                <w:i/>
              </w:rPr>
            </w:r>
            <w:r w:rsidR="007A7CE0">
              <w:rPr>
                <w:rFonts w:ascii="Arial Narrow" w:hAnsi="Arial Narrow"/>
                <w:i/>
              </w:rPr>
              <w:fldChar w:fldCharType="separate"/>
            </w:r>
            <w:r w:rsidRPr="0017584F">
              <w:rPr>
                <w:rFonts w:ascii="Arial Narrow" w:hAnsi="Arial Narrow"/>
                <w:i/>
              </w:rPr>
              <w:fldChar w:fldCharType="end"/>
            </w:r>
            <w:bookmarkEnd w:id="2"/>
            <w:r w:rsidRPr="0017584F">
              <w:rPr>
                <w:rFonts w:ascii="Arial Narrow" w:hAnsi="Arial Narrow"/>
                <w:i/>
              </w:rPr>
              <w:t>Authority Required - Telephone</w:t>
            </w:r>
          </w:p>
          <w:p w:rsidR="002A5627" w:rsidRPr="0017584F" w:rsidRDefault="002A5627" w:rsidP="00805B2D">
            <w:pPr>
              <w:pStyle w:val="Tabletext"/>
              <w:rPr>
                <w:rFonts w:ascii="Arial Narrow" w:hAnsi="Arial Narrow"/>
                <w:i/>
              </w:rPr>
            </w:pPr>
            <w:r w:rsidRPr="0017584F">
              <w:rPr>
                <w:rFonts w:ascii="Arial Narrow" w:hAnsi="Arial Narrow"/>
                <w:i/>
              </w:rPr>
              <w:fldChar w:fldCharType="begin">
                <w:ffData>
                  <w:name w:val=""/>
                  <w:enabled/>
                  <w:calcOnExit w:val="0"/>
                  <w:checkBox>
                    <w:sizeAuto/>
                    <w:default w:val="0"/>
                  </w:checkBox>
                </w:ffData>
              </w:fldChar>
            </w:r>
            <w:r w:rsidRPr="0017584F">
              <w:rPr>
                <w:rFonts w:ascii="Arial Narrow" w:hAnsi="Arial Narrow"/>
                <w:i/>
              </w:rPr>
              <w:instrText xml:space="preserve"> FORMCHECKBOX </w:instrText>
            </w:r>
            <w:r w:rsidR="007A7CE0">
              <w:rPr>
                <w:rFonts w:ascii="Arial Narrow" w:hAnsi="Arial Narrow"/>
                <w:i/>
              </w:rPr>
            </w:r>
            <w:r w:rsidR="007A7CE0">
              <w:rPr>
                <w:rFonts w:ascii="Arial Narrow" w:hAnsi="Arial Narrow"/>
                <w:i/>
              </w:rPr>
              <w:fldChar w:fldCharType="separate"/>
            </w:r>
            <w:r w:rsidRPr="0017584F">
              <w:rPr>
                <w:rFonts w:ascii="Arial Narrow" w:hAnsi="Arial Narrow"/>
                <w:i/>
              </w:rPr>
              <w:fldChar w:fldCharType="end"/>
            </w:r>
            <w:r w:rsidRPr="0017584F">
              <w:rPr>
                <w:rFonts w:ascii="Arial Narrow" w:hAnsi="Arial Narrow"/>
                <w:i/>
              </w:rPr>
              <w:t>Authority Required - Emergency</w:t>
            </w:r>
          </w:p>
          <w:p w:rsidR="002A5627" w:rsidRPr="0017584F" w:rsidRDefault="002A5627" w:rsidP="00805B2D">
            <w:pPr>
              <w:pStyle w:val="Tabletext"/>
              <w:rPr>
                <w:rFonts w:ascii="Arial Narrow" w:hAnsi="Arial Narrow"/>
                <w:i/>
              </w:rPr>
            </w:pPr>
            <w:r w:rsidRPr="0017584F">
              <w:rPr>
                <w:rFonts w:ascii="Arial Narrow" w:hAnsi="Arial Narrow"/>
                <w:i/>
              </w:rPr>
              <w:fldChar w:fldCharType="begin">
                <w:ffData>
                  <w:name w:val="Check5"/>
                  <w:enabled/>
                  <w:calcOnExit w:val="0"/>
                  <w:checkBox>
                    <w:sizeAuto/>
                    <w:default w:val="1"/>
                  </w:checkBox>
                </w:ffData>
              </w:fldChar>
            </w:r>
            <w:r w:rsidRPr="0017584F">
              <w:rPr>
                <w:rFonts w:ascii="Arial Narrow" w:hAnsi="Arial Narrow"/>
                <w:i/>
              </w:rPr>
              <w:instrText xml:space="preserve"> </w:instrText>
            </w:r>
            <w:bookmarkStart w:id="3" w:name="Check5"/>
            <w:r w:rsidRPr="0017584F">
              <w:rPr>
                <w:rFonts w:ascii="Arial Narrow" w:hAnsi="Arial Narrow"/>
                <w:i/>
              </w:rPr>
              <w:instrText xml:space="preserve">FORMCHECKBOX </w:instrText>
            </w:r>
            <w:r w:rsidR="007A7CE0">
              <w:rPr>
                <w:rFonts w:ascii="Arial Narrow" w:hAnsi="Arial Narrow"/>
                <w:i/>
              </w:rPr>
            </w:r>
            <w:r w:rsidR="007A7CE0">
              <w:rPr>
                <w:rFonts w:ascii="Arial Narrow" w:hAnsi="Arial Narrow"/>
                <w:i/>
              </w:rPr>
              <w:fldChar w:fldCharType="separate"/>
            </w:r>
            <w:r w:rsidRPr="0017584F">
              <w:rPr>
                <w:rFonts w:ascii="Arial Narrow" w:hAnsi="Arial Narrow"/>
                <w:i/>
              </w:rPr>
              <w:fldChar w:fldCharType="end"/>
            </w:r>
            <w:bookmarkEnd w:id="3"/>
            <w:r w:rsidRPr="0017584F">
              <w:rPr>
                <w:rFonts w:ascii="Arial Narrow" w:hAnsi="Arial Narrow"/>
                <w:i/>
              </w:rPr>
              <w:t>Authority Required - Electronic</w:t>
            </w:r>
          </w:p>
          <w:p w:rsidR="002A5627" w:rsidRPr="0017584F" w:rsidRDefault="002A5627" w:rsidP="00805B2D">
            <w:pPr>
              <w:pStyle w:val="Tabletext"/>
              <w:rPr>
                <w:rFonts w:ascii="Arial Narrow" w:hAnsi="Arial Narrow"/>
                <w:i/>
              </w:rPr>
            </w:pPr>
            <w:r w:rsidRPr="0017584F">
              <w:rPr>
                <w:rFonts w:ascii="Arial Narrow" w:hAnsi="Arial Narrow"/>
                <w:i/>
              </w:rPr>
              <w:fldChar w:fldCharType="begin">
                <w:ffData>
                  <w:name w:val="Check5"/>
                  <w:enabled/>
                  <w:calcOnExit w:val="0"/>
                  <w:checkBox>
                    <w:sizeAuto/>
                    <w:default w:val="0"/>
                  </w:checkBox>
                </w:ffData>
              </w:fldChar>
            </w:r>
            <w:r w:rsidRPr="0017584F">
              <w:rPr>
                <w:rFonts w:ascii="Arial Narrow" w:hAnsi="Arial Narrow"/>
                <w:i/>
              </w:rPr>
              <w:instrText xml:space="preserve"> FORMCHECKBOX </w:instrText>
            </w:r>
            <w:r w:rsidR="007A7CE0">
              <w:rPr>
                <w:rFonts w:ascii="Arial Narrow" w:hAnsi="Arial Narrow"/>
                <w:i/>
              </w:rPr>
            </w:r>
            <w:r w:rsidR="007A7CE0">
              <w:rPr>
                <w:rFonts w:ascii="Arial Narrow" w:hAnsi="Arial Narrow"/>
                <w:i/>
              </w:rPr>
              <w:fldChar w:fldCharType="separate"/>
            </w:r>
            <w:r w:rsidRPr="0017584F">
              <w:rPr>
                <w:rFonts w:ascii="Arial Narrow" w:hAnsi="Arial Narrow"/>
                <w:i/>
              </w:rPr>
              <w:fldChar w:fldCharType="end"/>
            </w:r>
            <w:r w:rsidRPr="0017584F">
              <w:rPr>
                <w:rFonts w:ascii="Arial Narrow" w:hAnsi="Arial Narrow"/>
                <w:i/>
              </w:rPr>
              <w:t>Streamlined</w:t>
            </w:r>
          </w:p>
        </w:tc>
      </w:tr>
      <w:tr w:rsidR="002A5627" w:rsidRPr="0017584F" w:rsidTr="00234C42">
        <w:tblPrEx>
          <w:tblCellMar>
            <w:left w:w="108" w:type="dxa"/>
            <w:right w:w="108" w:type="dxa"/>
          </w:tblCellMar>
        </w:tblPrEx>
        <w:trPr>
          <w:gridBefore w:val="1"/>
          <w:wBefore w:w="17" w:type="pct"/>
          <w:cantSplit/>
          <w:trHeight w:val="360"/>
        </w:trPr>
        <w:tc>
          <w:tcPr>
            <w:tcW w:w="1533" w:type="pct"/>
            <w:tcBorders>
              <w:top w:val="single" w:sz="4" w:space="0" w:color="auto"/>
              <w:left w:val="single" w:sz="4" w:space="0" w:color="auto"/>
              <w:bottom w:val="single" w:sz="4" w:space="0" w:color="auto"/>
              <w:right w:val="single" w:sz="4" w:space="0" w:color="auto"/>
            </w:tcBorders>
          </w:tcPr>
          <w:p w:rsidR="002A5627" w:rsidRPr="0017584F" w:rsidRDefault="002A5627" w:rsidP="00805B2D">
            <w:pPr>
              <w:jc w:val="both"/>
              <w:rPr>
                <w:rFonts w:ascii="Arial Narrow" w:hAnsi="Arial Narrow" w:cs="Arial"/>
                <w:b/>
                <w:i/>
                <w:sz w:val="20"/>
                <w:szCs w:val="20"/>
              </w:rPr>
            </w:pPr>
            <w:r w:rsidRPr="0017584F">
              <w:rPr>
                <w:rFonts w:ascii="Arial Narrow" w:hAnsi="Arial Narrow" w:cs="Arial"/>
                <w:b/>
                <w:i/>
                <w:sz w:val="20"/>
                <w:szCs w:val="20"/>
              </w:rPr>
              <w:t>Treatment criteria:</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17584F" w:rsidRDefault="002A5627" w:rsidP="00805B2D">
            <w:pPr>
              <w:pStyle w:val="Tabletext"/>
              <w:rPr>
                <w:rFonts w:ascii="Arial Narrow" w:hAnsi="Arial Narrow"/>
                <w:i/>
              </w:rPr>
            </w:pPr>
            <w:r w:rsidRPr="0017584F">
              <w:rPr>
                <w:rFonts w:ascii="Arial Narrow" w:hAnsi="Arial Narrow"/>
                <w:i/>
              </w:rPr>
              <w:t>Must be treated by a rheumatologist; OR</w:t>
            </w:r>
          </w:p>
          <w:p w:rsidR="002A5627" w:rsidRPr="0017584F" w:rsidRDefault="002A5627" w:rsidP="00805B2D">
            <w:pPr>
              <w:pStyle w:val="Tabletext"/>
              <w:rPr>
                <w:rFonts w:ascii="Arial Narrow" w:hAnsi="Arial Narrow"/>
                <w:i/>
              </w:rPr>
            </w:pPr>
            <w:r w:rsidRPr="0017584F">
              <w:rPr>
                <w:rFonts w:ascii="Arial Narrow" w:hAnsi="Arial Narrow"/>
                <w:i/>
              </w:rPr>
              <w:t>Must be treated by a clinical immunologist with expertise in the management of rheumatoid arthritis.</w:t>
            </w:r>
          </w:p>
        </w:tc>
      </w:tr>
      <w:tr w:rsidR="002A5627" w:rsidRPr="0017584F" w:rsidTr="00234C42">
        <w:tblPrEx>
          <w:tblCellMar>
            <w:left w:w="108" w:type="dxa"/>
            <w:right w:w="108" w:type="dxa"/>
          </w:tblCellMar>
        </w:tblPrEx>
        <w:trPr>
          <w:gridBefore w:val="1"/>
          <w:wBefore w:w="17" w:type="pct"/>
          <w:cantSplit/>
          <w:trHeight w:val="360"/>
        </w:trPr>
        <w:tc>
          <w:tcPr>
            <w:tcW w:w="1533" w:type="pct"/>
            <w:tcBorders>
              <w:top w:val="single" w:sz="4" w:space="0" w:color="auto"/>
              <w:left w:val="single" w:sz="4" w:space="0" w:color="auto"/>
              <w:bottom w:val="single" w:sz="4" w:space="0" w:color="auto"/>
              <w:right w:val="single" w:sz="4" w:space="0" w:color="auto"/>
            </w:tcBorders>
          </w:tcPr>
          <w:p w:rsidR="002A5627" w:rsidRPr="0017584F" w:rsidRDefault="002A5627" w:rsidP="00805B2D">
            <w:pPr>
              <w:jc w:val="both"/>
              <w:rPr>
                <w:rFonts w:ascii="Arial Narrow" w:hAnsi="Arial Narrow" w:cs="Arial"/>
                <w:b/>
                <w:i/>
                <w:sz w:val="20"/>
                <w:szCs w:val="20"/>
              </w:rPr>
            </w:pPr>
            <w:r w:rsidRPr="0017584F">
              <w:rPr>
                <w:rFonts w:ascii="Arial Narrow" w:hAnsi="Arial Narrow" w:cs="Arial"/>
                <w:b/>
                <w:i/>
                <w:sz w:val="20"/>
                <w:szCs w:val="20"/>
              </w:rPr>
              <w:t>Clinical criteria:</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17584F" w:rsidRDefault="002A5627" w:rsidP="00805B2D">
            <w:pPr>
              <w:pStyle w:val="Tabletext"/>
              <w:rPr>
                <w:rFonts w:ascii="Arial Narrow" w:hAnsi="Arial Narrow"/>
                <w:i/>
              </w:rPr>
            </w:pPr>
            <w:r w:rsidRPr="0017584F">
              <w:rPr>
                <w:rFonts w:ascii="Arial Narrow" w:hAnsi="Arial Narrow"/>
                <w:i/>
              </w:rPr>
              <w:t>Patient must have a documented history of severe active rheumatoid arthritis,</w:t>
            </w:r>
          </w:p>
          <w:p w:rsidR="002A5627" w:rsidRPr="0017584F" w:rsidRDefault="002A5627" w:rsidP="00805B2D">
            <w:pPr>
              <w:pStyle w:val="Tabletext"/>
              <w:rPr>
                <w:rFonts w:ascii="Arial Narrow" w:hAnsi="Arial Narrow"/>
                <w:i/>
              </w:rPr>
            </w:pPr>
            <w:r w:rsidRPr="0017584F">
              <w:rPr>
                <w:rFonts w:ascii="Arial Narrow" w:hAnsi="Arial Narrow"/>
                <w:i/>
              </w:rPr>
              <w:t>AND</w:t>
            </w:r>
          </w:p>
          <w:p w:rsidR="002A5627" w:rsidRPr="0017584F" w:rsidRDefault="002A5627" w:rsidP="00805B2D">
            <w:pPr>
              <w:pStyle w:val="Tabletext"/>
              <w:rPr>
                <w:rFonts w:ascii="Arial Narrow" w:hAnsi="Arial Narrow"/>
                <w:i/>
              </w:rPr>
            </w:pPr>
            <w:r w:rsidRPr="0017584F">
              <w:rPr>
                <w:rFonts w:ascii="Arial Narrow" w:hAnsi="Arial Narrow"/>
                <w:i/>
              </w:rPr>
              <w:t xml:space="preserve">Patient must have been receiving treatment with this drug for this condition prior to [PBS LISTING DATE], </w:t>
            </w:r>
          </w:p>
          <w:p w:rsidR="002A5627" w:rsidRPr="0017584F" w:rsidRDefault="002A5627" w:rsidP="00805B2D">
            <w:pPr>
              <w:pStyle w:val="Tabletext"/>
              <w:rPr>
                <w:rFonts w:ascii="Arial Narrow" w:hAnsi="Arial Narrow"/>
                <w:i/>
              </w:rPr>
            </w:pPr>
            <w:r w:rsidRPr="0017584F">
              <w:rPr>
                <w:rFonts w:ascii="Arial Narrow" w:hAnsi="Arial Narrow"/>
                <w:i/>
              </w:rPr>
              <w:t>AND</w:t>
            </w:r>
          </w:p>
          <w:p w:rsidR="002A5627" w:rsidRPr="0017584F" w:rsidRDefault="002A5627" w:rsidP="00805B2D">
            <w:pPr>
              <w:pStyle w:val="Tabletext"/>
              <w:rPr>
                <w:rFonts w:ascii="Arial Narrow" w:hAnsi="Arial Narrow"/>
                <w:i/>
              </w:rPr>
            </w:pPr>
            <w:r w:rsidRPr="0017584F">
              <w:rPr>
                <w:rFonts w:ascii="Arial Narrow" w:hAnsi="Arial Narrow"/>
                <w:i/>
              </w:rPr>
              <w:t xml:space="preserve">Patient must be receiving treatment with this drug for this condition at the time of application, </w:t>
            </w:r>
          </w:p>
          <w:p w:rsidR="002A5627" w:rsidRPr="0017584F" w:rsidRDefault="002A5627" w:rsidP="00805B2D">
            <w:pPr>
              <w:pStyle w:val="Tabletext"/>
              <w:rPr>
                <w:rFonts w:ascii="Arial Narrow" w:hAnsi="Arial Narrow"/>
                <w:i/>
              </w:rPr>
            </w:pPr>
            <w:r w:rsidRPr="0017584F">
              <w:rPr>
                <w:rFonts w:ascii="Arial Narrow" w:hAnsi="Arial Narrow"/>
                <w:i/>
              </w:rPr>
              <w:t>AND</w:t>
            </w:r>
          </w:p>
          <w:p w:rsidR="002A5627" w:rsidRPr="0017584F" w:rsidRDefault="002A5627" w:rsidP="00805B2D">
            <w:pPr>
              <w:pStyle w:val="Tabletext"/>
              <w:rPr>
                <w:rFonts w:ascii="Arial Narrow" w:hAnsi="Arial Narrow"/>
                <w:i/>
              </w:rPr>
            </w:pPr>
            <w:r w:rsidRPr="0017584F">
              <w:rPr>
                <w:rFonts w:ascii="Arial Narrow" w:hAnsi="Arial Narrow"/>
                <w:i/>
              </w:rPr>
              <w:t>Patient must not receive more than 16 weeks of treatment under this restriction.</w:t>
            </w:r>
          </w:p>
        </w:tc>
      </w:tr>
      <w:tr w:rsidR="002A5627" w:rsidRPr="0017584F" w:rsidTr="00234C42">
        <w:tblPrEx>
          <w:tblCellMar>
            <w:left w:w="108" w:type="dxa"/>
            <w:right w:w="108" w:type="dxa"/>
          </w:tblCellMar>
        </w:tblPrEx>
        <w:trPr>
          <w:gridBefore w:val="1"/>
          <w:wBefore w:w="17" w:type="pct"/>
          <w:cantSplit/>
          <w:trHeight w:val="360"/>
        </w:trPr>
        <w:tc>
          <w:tcPr>
            <w:tcW w:w="1533" w:type="pct"/>
            <w:tcBorders>
              <w:top w:val="single" w:sz="4" w:space="0" w:color="auto"/>
              <w:left w:val="single" w:sz="4" w:space="0" w:color="auto"/>
              <w:bottom w:val="single" w:sz="4" w:space="0" w:color="auto"/>
              <w:right w:val="single" w:sz="4" w:space="0" w:color="auto"/>
            </w:tcBorders>
          </w:tcPr>
          <w:p w:rsidR="002A5627" w:rsidRPr="0017584F" w:rsidRDefault="002A5627" w:rsidP="00805B2D">
            <w:pPr>
              <w:jc w:val="both"/>
              <w:rPr>
                <w:rFonts w:ascii="Arial Narrow" w:hAnsi="Arial Narrow" w:cs="Arial"/>
                <w:b/>
                <w:i/>
                <w:sz w:val="20"/>
                <w:szCs w:val="20"/>
              </w:rPr>
            </w:pPr>
            <w:r w:rsidRPr="0017584F">
              <w:rPr>
                <w:rFonts w:ascii="Arial Narrow" w:hAnsi="Arial Narrow" w:cs="Arial"/>
                <w:b/>
                <w:i/>
                <w:sz w:val="20"/>
                <w:szCs w:val="20"/>
              </w:rPr>
              <w:t>Population criteria:</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17584F" w:rsidRDefault="002A5627" w:rsidP="00805B2D">
            <w:pPr>
              <w:pStyle w:val="Tabletext"/>
              <w:rPr>
                <w:rFonts w:ascii="Arial Narrow" w:hAnsi="Arial Narrow"/>
                <w:i/>
              </w:rPr>
            </w:pPr>
            <w:r w:rsidRPr="0017584F">
              <w:rPr>
                <w:rFonts w:ascii="Arial Narrow" w:hAnsi="Arial Narrow"/>
                <w:i/>
              </w:rPr>
              <w:t>Patient must be aged 18 years or older.</w:t>
            </w:r>
          </w:p>
        </w:tc>
      </w:tr>
      <w:tr w:rsidR="002A5627" w:rsidRPr="00260CE3" w:rsidTr="00234C42">
        <w:tblPrEx>
          <w:tblCellMar>
            <w:left w:w="108" w:type="dxa"/>
            <w:right w:w="108" w:type="dxa"/>
          </w:tblCellMar>
        </w:tblPrEx>
        <w:trPr>
          <w:gridBefore w:val="1"/>
          <w:wBefore w:w="17" w:type="pct"/>
          <w:cantSplit/>
          <w:trHeight w:val="360"/>
        </w:trPr>
        <w:tc>
          <w:tcPr>
            <w:tcW w:w="1533" w:type="pct"/>
            <w:tcBorders>
              <w:top w:val="single" w:sz="4" w:space="0" w:color="auto"/>
              <w:left w:val="single" w:sz="4" w:space="0" w:color="auto"/>
              <w:bottom w:val="single" w:sz="4" w:space="0" w:color="auto"/>
              <w:right w:val="single" w:sz="4" w:space="0" w:color="auto"/>
            </w:tcBorders>
          </w:tcPr>
          <w:p w:rsidR="002A5627" w:rsidRPr="001E2A47" w:rsidRDefault="002A5627" w:rsidP="00805B2D">
            <w:pPr>
              <w:jc w:val="both"/>
              <w:rPr>
                <w:rFonts w:ascii="Arial Narrow" w:hAnsi="Arial Narrow" w:cs="Arial"/>
                <w:b/>
                <w:i/>
                <w:sz w:val="20"/>
                <w:szCs w:val="20"/>
              </w:rPr>
            </w:pPr>
            <w:r w:rsidRPr="001E2A47">
              <w:rPr>
                <w:rFonts w:ascii="Arial Narrow" w:hAnsi="Arial Narrow" w:cs="Arial"/>
                <w:b/>
                <w:i/>
                <w:sz w:val="20"/>
                <w:szCs w:val="20"/>
              </w:rPr>
              <w:t>Prescriber Instructions</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1E2A47" w:rsidRDefault="002A5627" w:rsidP="00805B2D">
            <w:pPr>
              <w:pStyle w:val="Tabletext"/>
              <w:rPr>
                <w:i/>
              </w:rPr>
            </w:pPr>
            <w:r w:rsidRPr="001E2A47">
              <w:rPr>
                <w:i/>
              </w:rPr>
              <w:t>The authority application must be made in writing or online and must include the following (or electronic equivalent):</w:t>
            </w:r>
          </w:p>
          <w:p w:rsidR="002A5627" w:rsidRPr="001E2A47" w:rsidRDefault="002A5627" w:rsidP="00805B2D">
            <w:pPr>
              <w:pStyle w:val="Tabletext"/>
              <w:rPr>
                <w:i/>
              </w:rPr>
            </w:pPr>
            <w:r w:rsidRPr="001E2A47">
              <w:rPr>
                <w:i/>
              </w:rPr>
              <w:t>•</w:t>
            </w:r>
            <w:r w:rsidRPr="001E2A47">
              <w:rPr>
                <w:i/>
              </w:rPr>
              <w:tab/>
              <w:t>a completed authority prescription form; and</w:t>
            </w:r>
          </w:p>
          <w:p w:rsidR="002A5627" w:rsidRPr="001E2A47" w:rsidRDefault="002A5627" w:rsidP="00805B2D">
            <w:pPr>
              <w:pStyle w:val="Tabletext"/>
              <w:rPr>
                <w:i/>
              </w:rPr>
            </w:pPr>
            <w:r w:rsidRPr="001E2A47">
              <w:rPr>
                <w:i/>
              </w:rPr>
              <w:t>•</w:t>
            </w:r>
            <w:r w:rsidRPr="001E2A47">
              <w:rPr>
                <w:i/>
              </w:rPr>
              <w:tab/>
              <w:t xml:space="preserve">a completed Rheumatoid Arthritis PBS Authority Application - Supporting Information Form; and </w:t>
            </w:r>
          </w:p>
          <w:p w:rsidR="002A5627" w:rsidRPr="001E2A47" w:rsidRDefault="002A5627" w:rsidP="00805B2D">
            <w:pPr>
              <w:pStyle w:val="Tabletext"/>
              <w:rPr>
                <w:i/>
              </w:rPr>
            </w:pPr>
            <w:r w:rsidRPr="001E2A47">
              <w:rPr>
                <w:i/>
              </w:rPr>
              <w:t>•</w:t>
            </w:r>
            <w:r w:rsidRPr="001E2A47">
              <w:rPr>
                <w:i/>
              </w:rPr>
              <w:tab/>
              <w:t>a signed patient acknowledgement.</w:t>
            </w:r>
          </w:p>
          <w:p w:rsidR="002A5627" w:rsidRPr="001E2A47" w:rsidRDefault="002A5627" w:rsidP="00805B2D">
            <w:pPr>
              <w:pStyle w:val="Tabletext"/>
              <w:rPr>
                <w:i/>
              </w:rPr>
            </w:pPr>
            <w:r w:rsidRPr="001E2A47">
              <w:rPr>
                <w:i/>
              </w:rPr>
              <w:t xml:space="preserve">All applications for treatment with this drug for this condition under this restriction must include baseline joint count and ESR and/or CRP as determined at the completion of a 6 month intensive DMARD trial but prior to ceasing DMARD therapy. </w:t>
            </w:r>
          </w:p>
          <w:p w:rsidR="002A5627" w:rsidRPr="001E2A47" w:rsidRDefault="002A5627" w:rsidP="00805B2D">
            <w:pPr>
              <w:pStyle w:val="Tabletext"/>
              <w:rPr>
                <w:i/>
              </w:rPr>
            </w:pPr>
            <w:r w:rsidRPr="001E2A47">
              <w:rPr>
                <w:i/>
              </w:rPr>
              <w:t xml:space="preserve">If the requirement to demonstrate an elevated ESR or CRP cannot be met, the application must state the reasons why this criterion cannot be satisfied. </w:t>
            </w:r>
          </w:p>
          <w:p w:rsidR="002A5627" w:rsidRPr="001E2A47" w:rsidRDefault="002A5627" w:rsidP="00805B2D">
            <w:pPr>
              <w:pStyle w:val="Tabletext"/>
              <w:rPr>
                <w:i/>
              </w:rPr>
            </w:pPr>
            <w:r w:rsidRPr="001E2A47">
              <w:rPr>
                <w:i/>
              </w:rPr>
              <w:t>A patient may qualify for PBS-subsidised treatment under this restriction once only.</w:t>
            </w:r>
          </w:p>
        </w:tc>
      </w:tr>
      <w:tr w:rsidR="002A5627" w:rsidRPr="00234C42" w:rsidTr="00234C42">
        <w:tblPrEx>
          <w:tblCellMar>
            <w:left w:w="108" w:type="dxa"/>
            <w:right w:w="108" w:type="dxa"/>
          </w:tblCellMar>
        </w:tblPrEx>
        <w:trPr>
          <w:gridBefore w:val="1"/>
          <w:wBefore w:w="17" w:type="pct"/>
          <w:cantSplit/>
          <w:trHeight w:val="360"/>
        </w:trPr>
        <w:tc>
          <w:tcPr>
            <w:tcW w:w="1533" w:type="pct"/>
            <w:tcBorders>
              <w:top w:val="single" w:sz="4" w:space="0" w:color="auto"/>
              <w:left w:val="single" w:sz="4" w:space="0" w:color="auto"/>
              <w:bottom w:val="single" w:sz="4" w:space="0" w:color="auto"/>
              <w:right w:val="single" w:sz="4" w:space="0" w:color="auto"/>
            </w:tcBorders>
          </w:tcPr>
          <w:p w:rsidR="002A5627" w:rsidRPr="00234C42" w:rsidRDefault="002A5627" w:rsidP="00805B2D">
            <w:pPr>
              <w:jc w:val="both"/>
              <w:rPr>
                <w:rFonts w:ascii="Arial Narrow" w:hAnsi="Arial Narrow" w:cs="Arial"/>
                <w:b/>
                <w:i/>
                <w:sz w:val="20"/>
                <w:szCs w:val="20"/>
              </w:rPr>
            </w:pPr>
            <w:r w:rsidRPr="00234C42">
              <w:rPr>
                <w:rFonts w:ascii="Arial Narrow" w:hAnsi="Arial Narrow" w:cs="Arial"/>
                <w:b/>
                <w:i/>
                <w:sz w:val="20"/>
                <w:szCs w:val="20"/>
              </w:rPr>
              <w:t>Administrative Advice</w:t>
            </w:r>
          </w:p>
          <w:p w:rsidR="002A5627" w:rsidRPr="00234C42" w:rsidRDefault="002A5627" w:rsidP="00805B2D">
            <w:pPr>
              <w:jc w:val="both"/>
              <w:rPr>
                <w:rFonts w:ascii="Arial Narrow" w:hAnsi="Arial Narrow" w:cs="Arial"/>
                <w:b/>
                <w:i/>
                <w:sz w:val="20"/>
                <w:szCs w:val="20"/>
              </w:rPr>
            </w:pPr>
            <w:r w:rsidRPr="00234C42">
              <w:rPr>
                <w:rFonts w:ascii="Arial Narrow" w:hAnsi="Arial Narrow" w:cs="Arial"/>
                <w:b/>
                <w:i/>
                <w:sz w:val="20"/>
                <w:szCs w:val="20"/>
              </w:rPr>
              <w:t>(not included in LI)</w:t>
            </w:r>
          </w:p>
        </w:tc>
        <w:tc>
          <w:tcPr>
            <w:tcW w:w="3450" w:type="pct"/>
            <w:gridSpan w:val="6"/>
            <w:tcBorders>
              <w:top w:val="single" w:sz="4" w:space="0" w:color="auto"/>
              <w:left w:val="single" w:sz="4" w:space="0" w:color="auto"/>
              <w:bottom w:val="single" w:sz="4" w:space="0" w:color="auto"/>
              <w:right w:val="single" w:sz="4" w:space="0" w:color="auto"/>
            </w:tcBorders>
          </w:tcPr>
          <w:p w:rsidR="002A5627" w:rsidRPr="00234C42" w:rsidRDefault="002A5627" w:rsidP="00805B2D">
            <w:pPr>
              <w:pStyle w:val="Tabletext"/>
              <w:rPr>
                <w:rFonts w:ascii="Arial Narrow" w:hAnsi="Arial Narrow"/>
                <w:i/>
              </w:rPr>
            </w:pPr>
            <w:r w:rsidRPr="00234C42">
              <w:rPr>
                <w:rFonts w:ascii="Arial Narrow" w:hAnsi="Arial Narrow"/>
                <w:i/>
              </w:rPr>
              <w:t>Note:</w:t>
            </w:r>
          </w:p>
          <w:p w:rsidR="002A5627" w:rsidRPr="00234C42" w:rsidRDefault="002A5627" w:rsidP="00805B2D">
            <w:pPr>
              <w:pStyle w:val="Tabletext"/>
              <w:rPr>
                <w:rFonts w:ascii="Arial Narrow" w:hAnsi="Arial Narrow"/>
                <w:i/>
              </w:rPr>
            </w:pPr>
            <w:r w:rsidRPr="00234C42">
              <w:rPr>
                <w:rFonts w:ascii="Arial Narrow" w:hAnsi="Arial Narrow"/>
                <w:i/>
              </w:rPr>
              <w:t>Any queries concerning the arrangements to prescribe may be directed to the Department of Human Services on 1800 700 270 (hours of operation 8 a.m. to 5 p.m. EST Monday to Friday).</w:t>
            </w:r>
          </w:p>
          <w:p w:rsidR="002A5627" w:rsidRPr="00234C42" w:rsidRDefault="002A5627" w:rsidP="00805B2D">
            <w:pPr>
              <w:pStyle w:val="Tabletext"/>
              <w:rPr>
                <w:rFonts w:ascii="Arial Narrow" w:hAnsi="Arial Narrow"/>
                <w:i/>
              </w:rPr>
            </w:pPr>
            <w:r w:rsidRPr="00234C42">
              <w:rPr>
                <w:rFonts w:ascii="Arial Narrow" w:hAnsi="Arial Narrow"/>
                <w:i/>
              </w:rPr>
              <w:t>Prescribing information (including Authority Application forms and other relevant documentation as applicable) is available on the Department of Human Services website at www.humanservices.gov.au.</w:t>
            </w:r>
          </w:p>
          <w:p w:rsidR="002A5627" w:rsidRPr="00234C42" w:rsidRDefault="002A5627" w:rsidP="00805B2D">
            <w:pPr>
              <w:pStyle w:val="Tabletext"/>
              <w:rPr>
                <w:rFonts w:ascii="Arial Narrow" w:hAnsi="Arial Narrow"/>
                <w:i/>
              </w:rPr>
            </w:pPr>
            <w:r w:rsidRPr="00234C42">
              <w:rPr>
                <w:rFonts w:ascii="Arial Narrow" w:hAnsi="Arial Narrow"/>
                <w:i/>
              </w:rPr>
              <w:t>Applications for authority to prescribe should be forwarded to:</w:t>
            </w:r>
          </w:p>
          <w:p w:rsidR="002A5627" w:rsidRPr="00234C42" w:rsidRDefault="002A5627" w:rsidP="00234C42">
            <w:pPr>
              <w:pStyle w:val="Tabletext"/>
              <w:spacing w:after="0"/>
              <w:rPr>
                <w:rFonts w:ascii="Arial Narrow" w:hAnsi="Arial Narrow"/>
                <w:i/>
              </w:rPr>
            </w:pPr>
            <w:r w:rsidRPr="00234C42">
              <w:rPr>
                <w:rFonts w:ascii="Arial Narrow" w:hAnsi="Arial Narrow"/>
                <w:i/>
              </w:rPr>
              <w:t>Department of Human Services</w:t>
            </w:r>
          </w:p>
          <w:p w:rsidR="002A5627" w:rsidRPr="00234C42" w:rsidRDefault="002A5627" w:rsidP="00234C42">
            <w:pPr>
              <w:pStyle w:val="Tabletext"/>
              <w:spacing w:after="0"/>
              <w:rPr>
                <w:rFonts w:ascii="Arial Narrow" w:hAnsi="Arial Narrow"/>
                <w:i/>
              </w:rPr>
            </w:pPr>
            <w:r w:rsidRPr="00234C42">
              <w:rPr>
                <w:rFonts w:ascii="Arial Narrow" w:hAnsi="Arial Narrow"/>
                <w:i/>
              </w:rPr>
              <w:t>Prior Written Approval of Complex Drugs</w:t>
            </w:r>
          </w:p>
          <w:p w:rsidR="002A5627" w:rsidRPr="00234C42" w:rsidRDefault="002A5627" w:rsidP="00234C42">
            <w:pPr>
              <w:pStyle w:val="Tabletext"/>
              <w:spacing w:after="0"/>
              <w:rPr>
                <w:rFonts w:ascii="Arial Narrow" w:hAnsi="Arial Narrow"/>
                <w:i/>
              </w:rPr>
            </w:pPr>
            <w:r w:rsidRPr="00234C42">
              <w:rPr>
                <w:rFonts w:ascii="Arial Narrow" w:hAnsi="Arial Narrow"/>
                <w:i/>
              </w:rPr>
              <w:t>Reply Paid 9826</w:t>
            </w:r>
          </w:p>
          <w:p w:rsidR="002A5627" w:rsidRPr="00234C42" w:rsidRDefault="002A5627" w:rsidP="00234C42">
            <w:pPr>
              <w:pStyle w:val="Tabletext"/>
              <w:spacing w:after="0"/>
              <w:rPr>
                <w:rFonts w:ascii="Arial Narrow" w:hAnsi="Arial Narrow"/>
                <w:i/>
              </w:rPr>
            </w:pPr>
            <w:r w:rsidRPr="00234C42">
              <w:rPr>
                <w:rFonts w:ascii="Arial Narrow" w:hAnsi="Arial Narrow"/>
                <w:i/>
              </w:rPr>
              <w:t>HOBART TAS 7001</w:t>
            </w:r>
          </w:p>
        </w:tc>
      </w:tr>
    </w:tbl>
    <w:p w:rsidR="00550A32" w:rsidRDefault="00550A32" w:rsidP="009F5BE2">
      <w:pPr>
        <w:pStyle w:val="Heading1"/>
        <w:rPr>
          <w:rFonts w:eastAsiaTheme="majorEastAsia"/>
        </w:rPr>
      </w:pPr>
      <w:r>
        <w:rPr>
          <w:rFonts w:eastAsiaTheme="majorEastAsia"/>
        </w:rPr>
        <w:t>Context for Decision</w:t>
      </w:r>
    </w:p>
    <w:p w:rsidR="00550A32" w:rsidRPr="00DF018D" w:rsidRDefault="00550A32" w:rsidP="00550A32">
      <w:pPr>
        <w:ind w:left="709"/>
        <w:jc w:val="both"/>
        <w:rPr>
          <w:rFonts w:asciiTheme="minorHAnsi" w:hAnsiTheme="minorHAnsi" w:cs="Arial"/>
        </w:rPr>
      </w:pPr>
      <w:r w:rsidRPr="00DF018D">
        <w:rPr>
          <w:rFonts w:asciiTheme="minorHAnsi" w:eastAsiaTheme="minorHAnsi" w:hAnsiTheme="minorHAnsi" w:cstheme="minorBidi"/>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r w:rsidRPr="00DF018D">
        <w:rPr>
          <w:rFonts w:asciiTheme="minorHAnsi" w:hAnsiTheme="minorHAnsi" w:cs="Arial"/>
        </w:rPr>
        <w:t>.</w:t>
      </w:r>
    </w:p>
    <w:p w:rsidR="00550A32" w:rsidRDefault="00550A32" w:rsidP="009F5BE2">
      <w:pPr>
        <w:pStyle w:val="Heading1"/>
        <w:rPr>
          <w:rFonts w:eastAsiaTheme="majorEastAsia"/>
        </w:rPr>
      </w:pPr>
      <w:r>
        <w:rPr>
          <w:rFonts w:eastAsiaTheme="majorEastAsia"/>
        </w:rPr>
        <w:t>Sponsor’s Comment</w:t>
      </w:r>
    </w:p>
    <w:p w:rsidR="00550A32" w:rsidRPr="00B70749" w:rsidRDefault="00550A32" w:rsidP="00234C42">
      <w:pPr>
        <w:spacing w:after="120"/>
        <w:ind w:left="709"/>
        <w:jc w:val="both"/>
        <w:rPr>
          <w:rFonts w:asciiTheme="minorHAnsi" w:hAnsiTheme="minorHAnsi"/>
          <w:sz w:val="22"/>
          <w:szCs w:val="22"/>
        </w:rPr>
      </w:pPr>
      <w:r w:rsidRPr="00DF018D">
        <w:rPr>
          <w:rFonts w:asciiTheme="minorHAnsi" w:eastAsiaTheme="minorHAnsi" w:hAnsiTheme="minorHAnsi" w:cstheme="minorBidi"/>
          <w:lang w:eastAsia="en-US"/>
        </w:rPr>
        <w:t>The sponsor had no comment.</w:t>
      </w:r>
    </w:p>
    <w:sectPr w:rsidR="00550A32" w:rsidRPr="00B70749"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E0" w:rsidRDefault="007A7CE0">
      <w:r>
        <w:separator/>
      </w:r>
    </w:p>
    <w:p w:rsidR="007A7CE0" w:rsidRDefault="007A7CE0"/>
  </w:endnote>
  <w:endnote w:type="continuationSeparator" w:id="0">
    <w:p w:rsidR="007A7CE0" w:rsidRDefault="007A7CE0">
      <w:r>
        <w:continuationSeparator/>
      </w:r>
    </w:p>
    <w:p w:rsidR="007A7CE0" w:rsidRDefault="007A7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05B2D" w:rsidTr="005A3173">
      <w:trPr>
        <w:trHeight w:val="151"/>
      </w:trPr>
      <w:tc>
        <w:tcPr>
          <w:tcW w:w="2250" w:type="pct"/>
          <w:tcBorders>
            <w:top w:val="nil"/>
            <w:left w:val="nil"/>
            <w:bottom w:val="single" w:sz="4" w:space="0" w:color="4F81BD"/>
            <w:right w:val="nil"/>
          </w:tcBorders>
        </w:tcPr>
        <w:p w:rsidR="00805B2D" w:rsidRPr="005A3173" w:rsidRDefault="00805B2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5B2D" w:rsidRPr="005A3173" w:rsidRDefault="00805B2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5B2D" w:rsidRPr="005A3173" w:rsidRDefault="00805B2D" w:rsidP="005A3173">
          <w:pPr>
            <w:pStyle w:val="Header"/>
            <w:spacing w:line="276" w:lineRule="auto"/>
            <w:rPr>
              <w:rFonts w:ascii="Calibri" w:eastAsia="MS Gothic" w:hAnsi="Calibri"/>
              <w:b/>
              <w:bCs/>
              <w:color w:val="4F81BD"/>
            </w:rPr>
          </w:pPr>
        </w:p>
      </w:tc>
    </w:tr>
    <w:tr w:rsidR="00805B2D" w:rsidTr="005A3173">
      <w:trPr>
        <w:trHeight w:val="150"/>
      </w:trPr>
      <w:tc>
        <w:tcPr>
          <w:tcW w:w="2250" w:type="pct"/>
          <w:tcBorders>
            <w:top w:val="single" w:sz="4" w:space="0" w:color="4F81BD"/>
            <w:left w:val="nil"/>
            <w:bottom w:val="nil"/>
            <w:right w:val="nil"/>
          </w:tcBorders>
        </w:tcPr>
        <w:p w:rsidR="00805B2D" w:rsidRPr="005A3173" w:rsidRDefault="00805B2D" w:rsidP="005A3173">
          <w:pPr>
            <w:pStyle w:val="Header"/>
            <w:spacing w:line="276" w:lineRule="auto"/>
            <w:rPr>
              <w:rFonts w:ascii="Calibri" w:eastAsia="MS Gothic" w:hAnsi="Calibri"/>
              <w:b/>
              <w:bCs/>
              <w:color w:val="4F81BD"/>
            </w:rPr>
          </w:pPr>
        </w:p>
      </w:tc>
      <w:tc>
        <w:tcPr>
          <w:tcW w:w="0" w:type="auto"/>
          <w:vMerge/>
          <w:vAlign w:val="center"/>
          <w:hideMark/>
        </w:tcPr>
        <w:p w:rsidR="00805B2D" w:rsidRPr="005A3173" w:rsidRDefault="00805B2D"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5B2D" w:rsidRPr="005A3173" w:rsidRDefault="00805B2D" w:rsidP="005A3173">
          <w:pPr>
            <w:pStyle w:val="Header"/>
            <w:spacing w:line="276" w:lineRule="auto"/>
            <w:rPr>
              <w:rFonts w:ascii="Calibri" w:eastAsia="MS Gothic" w:hAnsi="Calibri"/>
              <w:b/>
              <w:bCs/>
              <w:color w:val="4F81BD"/>
            </w:rPr>
          </w:pPr>
        </w:p>
      </w:tc>
    </w:tr>
  </w:tbl>
  <w:p w:rsidR="00805B2D" w:rsidRDefault="00805B2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5B2D" w:rsidRDefault="00805B2D">
    <w:pPr>
      <w:pStyle w:val="Footer"/>
    </w:pPr>
  </w:p>
  <w:p w:rsidR="00805B2D" w:rsidRDefault="00805B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739738"/>
      <w:docPartObj>
        <w:docPartGallery w:val="Page Numbers (Bottom of Page)"/>
        <w:docPartUnique/>
      </w:docPartObj>
    </w:sdtPr>
    <w:sdtEndPr>
      <w:rPr>
        <w:noProof/>
      </w:rPr>
    </w:sdtEndPr>
    <w:sdtContent>
      <w:p w:rsidR="00805B2D" w:rsidRPr="00C82A8D" w:rsidRDefault="00805B2D">
        <w:pPr>
          <w:pStyle w:val="Footer"/>
          <w:jc w:val="center"/>
        </w:pPr>
        <w:r w:rsidRPr="00C82A8D">
          <w:rPr>
            <w:rFonts w:asciiTheme="minorHAnsi" w:hAnsiTheme="minorHAnsi"/>
          </w:rPr>
          <w:fldChar w:fldCharType="begin"/>
        </w:r>
        <w:r w:rsidRPr="00C82A8D">
          <w:rPr>
            <w:rFonts w:asciiTheme="minorHAnsi" w:hAnsiTheme="minorHAnsi"/>
          </w:rPr>
          <w:instrText xml:space="preserve"> PAGE   \* MERGEFORMAT </w:instrText>
        </w:r>
        <w:r w:rsidRPr="00C82A8D">
          <w:rPr>
            <w:rFonts w:asciiTheme="minorHAnsi" w:hAnsiTheme="minorHAnsi"/>
          </w:rPr>
          <w:fldChar w:fldCharType="separate"/>
        </w:r>
        <w:r w:rsidR="007A7CE0">
          <w:rPr>
            <w:rFonts w:asciiTheme="minorHAnsi" w:hAnsiTheme="minorHAnsi"/>
            <w:noProof/>
          </w:rPr>
          <w:t>1</w:t>
        </w:r>
        <w:r w:rsidRPr="00C82A8D">
          <w:rPr>
            <w:rFonts w:asciiTheme="minorHAnsi" w:hAnsiTheme="minorHAnsi"/>
            <w:noProof/>
          </w:rPr>
          <w:fldChar w:fldCharType="end"/>
        </w:r>
      </w:p>
    </w:sdtContent>
  </w:sdt>
  <w:p w:rsidR="00805B2D" w:rsidRPr="005E1333" w:rsidRDefault="00805B2D"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05B2D" w:rsidTr="005A3173">
      <w:trPr>
        <w:trHeight w:val="151"/>
      </w:trPr>
      <w:tc>
        <w:tcPr>
          <w:tcW w:w="2250" w:type="pct"/>
          <w:tcBorders>
            <w:top w:val="nil"/>
            <w:left w:val="nil"/>
            <w:bottom w:val="single" w:sz="4" w:space="0" w:color="4F81BD"/>
            <w:right w:val="nil"/>
          </w:tcBorders>
        </w:tcPr>
        <w:p w:rsidR="00805B2D" w:rsidRPr="005A3173" w:rsidRDefault="00805B2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5B2D" w:rsidRPr="005A3173" w:rsidRDefault="00805B2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5B2D" w:rsidRPr="005A3173" w:rsidRDefault="00805B2D" w:rsidP="005A3173">
          <w:pPr>
            <w:pStyle w:val="Header"/>
            <w:spacing w:line="276" w:lineRule="auto"/>
            <w:rPr>
              <w:rFonts w:ascii="Calibri" w:eastAsia="MS Gothic" w:hAnsi="Calibri"/>
              <w:b/>
              <w:bCs/>
              <w:color w:val="4F81BD"/>
            </w:rPr>
          </w:pPr>
        </w:p>
      </w:tc>
    </w:tr>
    <w:tr w:rsidR="00805B2D" w:rsidTr="005A3173">
      <w:trPr>
        <w:trHeight w:val="150"/>
      </w:trPr>
      <w:tc>
        <w:tcPr>
          <w:tcW w:w="2250" w:type="pct"/>
          <w:tcBorders>
            <w:top w:val="single" w:sz="4" w:space="0" w:color="4F81BD"/>
            <w:left w:val="nil"/>
            <w:bottom w:val="nil"/>
            <w:right w:val="nil"/>
          </w:tcBorders>
        </w:tcPr>
        <w:p w:rsidR="00805B2D" w:rsidRPr="005A3173" w:rsidRDefault="00805B2D" w:rsidP="005A3173">
          <w:pPr>
            <w:pStyle w:val="Header"/>
            <w:spacing w:line="276" w:lineRule="auto"/>
            <w:rPr>
              <w:rFonts w:ascii="Calibri" w:eastAsia="MS Gothic" w:hAnsi="Calibri"/>
              <w:b/>
              <w:bCs/>
              <w:color w:val="4F81BD"/>
            </w:rPr>
          </w:pPr>
        </w:p>
      </w:tc>
      <w:tc>
        <w:tcPr>
          <w:tcW w:w="0" w:type="auto"/>
          <w:vMerge/>
          <w:vAlign w:val="center"/>
          <w:hideMark/>
        </w:tcPr>
        <w:p w:rsidR="00805B2D" w:rsidRPr="005A3173" w:rsidRDefault="00805B2D"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5B2D" w:rsidRPr="005A3173" w:rsidRDefault="00805B2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05B2D" w:rsidTr="005A3173">
      <w:trPr>
        <w:trHeight w:val="151"/>
      </w:trPr>
      <w:tc>
        <w:tcPr>
          <w:tcW w:w="2250" w:type="pct"/>
          <w:tcBorders>
            <w:top w:val="nil"/>
            <w:left w:val="nil"/>
            <w:bottom w:val="single" w:sz="4" w:space="0" w:color="4F81BD"/>
            <w:right w:val="nil"/>
          </w:tcBorders>
        </w:tcPr>
        <w:p w:rsidR="00805B2D" w:rsidRPr="005A3173" w:rsidRDefault="00805B2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5B2D" w:rsidRPr="005A3173" w:rsidRDefault="00805B2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5B2D" w:rsidRPr="005A3173" w:rsidRDefault="00805B2D" w:rsidP="005A3173">
          <w:pPr>
            <w:pStyle w:val="Header"/>
            <w:spacing w:line="276" w:lineRule="auto"/>
            <w:rPr>
              <w:rFonts w:ascii="Calibri" w:eastAsia="MS Gothic" w:hAnsi="Calibri"/>
              <w:b/>
              <w:bCs/>
              <w:color w:val="4F81BD"/>
            </w:rPr>
          </w:pPr>
        </w:p>
      </w:tc>
    </w:tr>
    <w:tr w:rsidR="00805B2D" w:rsidTr="005A3173">
      <w:trPr>
        <w:trHeight w:val="150"/>
      </w:trPr>
      <w:tc>
        <w:tcPr>
          <w:tcW w:w="2250" w:type="pct"/>
          <w:tcBorders>
            <w:top w:val="single" w:sz="4" w:space="0" w:color="4F81BD"/>
            <w:left w:val="nil"/>
            <w:bottom w:val="nil"/>
            <w:right w:val="nil"/>
          </w:tcBorders>
        </w:tcPr>
        <w:p w:rsidR="00805B2D" w:rsidRPr="005A3173" w:rsidRDefault="00805B2D" w:rsidP="005A3173">
          <w:pPr>
            <w:pStyle w:val="Header"/>
            <w:spacing w:line="276" w:lineRule="auto"/>
            <w:rPr>
              <w:rFonts w:ascii="Calibri" w:eastAsia="MS Gothic" w:hAnsi="Calibri"/>
              <w:b/>
              <w:bCs/>
              <w:color w:val="4F81BD"/>
            </w:rPr>
          </w:pPr>
        </w:p>
      </w:tc>
      <w:tc>
        <w:tcPr>
          <w:tcW w:w="0" w:type="auto"/>
          <w:vMerge/>
          <w:vAlign w:val="center"/>
          <w:hideMark/>
        </w:tcPr>
        <w:p w:rsidR="00805B2D" w:rsidRPr="005A3173" w:rsidRDefault="00805B2D"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5B2D" w:rsidRPr="005A3173" w:rsidRDefault="00805B2D" w:rsidP="005A3173">
          <w:pPr>
            <w:pStyle w:val="Header"/>
            <w:spacing w:line="276" w:lineRule="auto"/>
            <w:rPr>
              <w:rFonts w:ascii="Calibri" w:eastAsia="MS Gothic" w:hAnsi="Calibri"/>
              <w:b/>
              <w:bCs/>
              <w:color w:val="4F81BD"/>
            </w:rPr>
          </w:pPr>
        </w:p>
      </w:tc>
    </w:tr>
  </w:tbl>
  <w:p w:rsidR="00805B2D" w:rsidRPr="007C0F57" w:rsidRDefault="00805B2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05B2D" w:rsidRPr="007C0F57" w:rsidRDefault="00805B2D" w:rsidP="007C0F57">
    <w:pPr>
      <w:pStyle w:val="Footer"/>
      <w:jc w:val="center"/>
      <w:rPr>
        <w:b/>
        <w:i/>
        <w:sz w:val="20"/>
        <w:szCs w:val="20"/>
      </w:rPr>
    </w:pPr>
    <w:r w:rsidRPr="007C0F57">
      <w:rPr>
        <w:b/>
        <w:i/>
        <w:sz w:val="20"/>
        <w:szCs w:val="20"/>
      </w:rPr>
      <w:t>Commercial-in-Confidence</w:t>
    </w:r>
  </w:p>
  <w:p w:rsidR="00805B2D" w:rsidRDefault="00805B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E0" w:rsidRDefault="007A7CE0">
      <w:r>
        <w:separator/>
      </w:r>
    </w:p>
    <w:p w:rsidR="007A7CE0" w:rsidRDefault="007A7CE0"/>
  </w:footnote>
  <w:footnote w:type="continuationSeparator" w:id="0">
    <w:p w:rsidR="007A7CE0" w:rsidRDefault="007A7CE0">
      <w:r>
        <w:continuationSeparator/>
      </w:r>
    </w:p>
    <w:p w:rsidR="007A7CE0" w:rsidRDefault="007A7C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05B2D" w:rsidRPr="008E0D90" w:rsidTr="00A06225">
      <w:trPr>
        <w:trHeight w:val="151"/>
      </w:trPr>
      <w:tc>
        <w:tcPr>
          <w:tcW w:w="2389" w:type="pct"/>
          <w:tcBorders>
            <w:top w:val="nil"/>
            <w:left w:val="nil"/>
            <w:bottom w:val="single" w:sz="4" w:space="0" w:color="4F81BD"/>
            <w:right w:val="nil"/>
          </w:tcBorders>
        </w:tcPr>
        <w:p w:rsidR="00805B2D" w:rsidRPr="00A06225" w:rsidRDefault="00805B2D">
          <w:pPr>
            <w:pStyle w:val="Header"/>
            <w:spacing w:line="276" w:lineRule="auto"/>
            <w:rPr>
              <w:rFonts w:ascii="Cambria" w:eastAsia="MS Gothic" w:hAnsi="Cambria"/>
              <w:b/>
              <w:bCs/>
              <w:color w:val="4F81BD"/>
            </w:rPr>
          </w:pPr>
        </w:p>
      </w:tc>
      <w:tc>
        <w:tcPr>
          <w:tcW w:w="333" w:type="pct"/>
          <w:vMerge w:val="restart"/>
          <w:noWrap/>
          <w:vAlign w:val="center"/>
          <w:hideMark/>
        </w:tcPr>
        <w:p w:rsidR="00805B2D" w:rsidRPr="00A06225" w:rsidRDefault="00805B2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05B2D" w:rsidRPr="00A06225" w:rsidRDefault="00805B2D">
          <w:pPr>
            <w:pStyle w:val="Header"/>
            <w:spacing w:line="276" w:lineRule="auto"/>
            <w:rPr>
              <w:rFonts w:ascii="Cambria" w:eastAsia="MS Gothic" w:hAnsi="Cambria"/>
              <w:b/>
              <w:bCs/>
              <w:color w:val="4F81BD"/>
            </w:rPr>
          </w:pPr>
        </w:p>
      </w:tc>
    </w:tr>
    <w:tr w:rsidR="00805B2D" w:rsidRPr="008E0D90" w:rsidTr="00A06225">
      <w:trPr>
        <w:trHeight w:val="150"/>
      </w:trPr>
      <w:tc>
        <w:tcPr>
          <w:tcW w:w="2389" w:type="pct"/>
          <w:tcBorders>
            <w:top w:val="single" w:sz="4" w:space="0" w:color="4F81BD"/>
            <w:left w:val="nil"/>
            <w:bottom w:val="nil"/>
            <w:right w:val="nil"/>
          </w:tcBorders>
        </w:tcPr>
        <w:p w:rsidR="00805B2D" w:rsidRPr="00A06225" w:rsidRDefault="00805B2D">
          <w:pPr>
            <w:pStyle w:val="Header"/>
            <w:spacing w:line="276" w:lineRule="auto"/>
            <w:rPr>
              <w:rFonts w:ascii="Cambria" w:eastAsia="MS Gothic" w:hAnsi="Cambria"/>
              <w:b/>
              <w:bCs/>
              <w:color w:val="4F81BD"/>
            </w:rPr>
          </w:pPr>
        </w:p>
      </w:tc>
      <w:tc>
        <w:tcPr>
          <w:tcW w:w="0" w:type="auto"/>
          <w:vMerge/>
          <w:vAlign w:val="center"/>
          <w:hideMark/>
        </w:tcPr>
        <w:p w:rsidR="00805B2D" w:rsidRPr="00A06225" w:rsidRDefault="00805B2D">
          <w:pPr>
            <w:rPr>
              <w:rFonts w:ascii="Cambria" w:hAnsi="Cambria"/>
              <w:color w:val="4F81BD"/>
              <w:sz w:val="22"/>
              <w:szCs w:val="22"/>
            </w:rPr>
          </w:pPr>
        </w:p>
      </w:tc>
      <w:tc>
        <w:tcPr>
          <w:tcW w:w="2278" w:type="pct"/>
          <w:tcBorders>
            <w:top w:val="single" w:sz="4" w:space="0" w:color="4F81BD"/>
            <w:left w:val="nil"/>
            <w:bottom w:val="nil"/>
            <w:right w:val="nil"/>
          </w:tcBorders>
        </w:tcPr>
        <w:p w:rsidR="00805B2D" w:rsidRPr="00A06225" w:rsidRDefault="00805B2D">
          <w:pPr>
            <w:pStyle w:val="Header"/>
            <w:spacing w:line="276" w:lineRule="auto"/>
            <w:rPr>
              <w:rFonts w:ascii="Cambria" w:eastAsia="MS Gothic" w:hAnsi="Cambria"/>
              <w:b/>
              <w:bCs/>
              <w:color w:val="4F81BD"/>
            </w:rPr>
          </w:pPr>
        </w:p>
      </w:tc>
    </w:tr>
  </w:tbl>
  <w:p w:rsidR="00805B2D" w:rsidRDefault="00805B2D">
    <w:pPr>
      <w:pStyle w:val="Header"/>
    </w:pPr>
  </w:p>
  <w:p w:rsidR="00805B2D" w:rsidRDefault="00805B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2D" w:rsidRDefault="00A84FBF" w:rsidP="00C82A8D">
    <w:pPr>
      <w:pStyle w:val="Header"/>
      <w:jc w:val="center"/>
      <w:rPr>
        <w:rFonts w:asciiTheme="minorHAnsi" w:hAnsiTheme="minorHAnsi" w:cs="Arial"/>
        <w:i/>
      </w:rPr>
    </w:pPr>
    <w:r>
      <w:rPr>
        <w:rFonts w:asciiTheme="minorHAnsi" w:hAnsiTheme="minorHAnsi" w:cs="Arial"/>
        <w:i/>
      </w:rPr>
      <w:t xml:space="preserve">Public Summary Document </w:t>
    </w:r>
    <w:r w:rsidR="00805B2D">
      <w:rPr>
        <w:rFonts w:asciiTheme="minorHAnsi" w:hAnsiTheme="minorHAnsi" w:cs="Arial"/>
        <w:i/>
      </w:rPr>
      <w:t>– March 2018 PBAC Meeting</w:t>
    </w:r>
  </w:p>
  <w:p w:rsidR="00805B2D" w:rsidRDefault="00805B2D"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BB" w:rsidRDefault="00FB2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F8E2331"/>
    <w:multiLevelType w:val="hybridMultilevel"/>
    <w:tmpl w:val="94E6B2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1F4562"/>
    <w:multiLevelType w:val="hybridMultilevel"/>
    <w:tmpl w:val="FF3E93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0C28980E"/>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6"/>
  </w:num>
  <w:num w:numId="5">
    <w:abstractNumId w:val="19"/>
  </w:num>
  <w:num w:numId="6">
    <w:abstractNumId w:val="7"/>
  </w:num>
  <w:num w:numId="7">
    <w:abstractNumId w:val="14"/>
  </w:num>
  <w:num w:numId="8">
    <w:abstractNumId w:val="4"/>
  </w:num>
  <w:num w:numId="9">
    <w:abstractNumId w:val="13"/>
  </w:num>
  <w:num w:numId="10">
    <w:abstractNumId w:val="12"/>
  </w:num>
  <w:num w:numId="11">
    <w:abstractNumId w:val="10"/>
  </w:num>
  <w:num w:numId="12">
    <w:abstractNumId w:val="1"/>
  </w:num>
  <w:num w:numId="13">
    <w:abstractNumId w:val="0"/>
  </w:num>
  <w:num w:numId="14">
    <w:abstractNumId w:val="19"/>
  </w:num>
  <w:num w:numId="15">
    <w:abstractNumId w:val="15"/>
  </w:num>
  <w:num w:numId="16">
    <w:abstractNumId w:val="11"/>
  </w:num>
  <w:num w:numId="17">
    <w:abstractNumId w:val="17"/>
  </w:num>
  <w:num w:numId="18">
    <w:abstractNumId w:val="18"/>
  </w:num>
  <w:num w:numId="19">
    <w:abstractNumId w:val="5"/>
  </w:num>
  <w:num w:numId="20">
    <w:abstractNumId w:val="2"/>
  </w:num>
  <w:num w:numId="21">
    <w:abstractNumId w:val="9"/>
  </w:num>
  <w:num w:numId="22">
    <w:abstractNumId w:val="19"/>
  </w:num>
  <w:num w:numId="23">
    <w:abstractNumId w:val="19"/>
  </w:num>
  <w:num w:numId="24">
    <w:abstractNumId w:val="19"/>
  </w:num>
  <w:num w:numId="2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3FD0"/>
    <w:rsid w:val="0002464A"/>
    <w:rsid w:val="0003106B"/>
    <w:rsid w:val="000421A1"/>
    <w:rsid w:val="0004240E"/>
    <w:rsid w:val="00045E26"/>
    <w:rsid w:val="000514B5"/>
    <w:rsid w:val="00060E64"/>
    <w:rsid w:val="00066755"/>
    <w:rsid w:val="00077143"/>
    <w:rsid w:val="00082169"/>
    <w:rsid w:val="00085032"/>
    <w:rsid w:val="000969AD"/>
    <w:rsid w:val="000A1163"/>
    <w:rsid w:val="000A6B86"/>
    <w:rsid w:val="000B558D"/>
    <w:rsid w:val="000C54E0"/>
    <w:rsid w:val="000C6996"/>
    <w:rsid w:val="000D218D"/>
    <w:rsid w:val="000D23BA"/>
    <w:rsid w:val="000E1D19"/>
    <w:rsid w:val="000E681E"/>
    <w:rsid w:val="000F0003"/>
    <w:rsid w:val="000F4E6A"/>
    <w:rsid w:val="00104227"/>
    <w:rsid w:val="001107BF"/>
    <w:rsid w:val="00115BBD"/>
    <w:rsid w:val="0012417C"/>
    <w:rsid w:val="00125C46"/>
    <w:rsid w:val="001277A9"/>
    <w:rsid w:val="00127F57"/>
    <w:rsid w:val="0013479C"/>
    <w:rsid w:val="001368A9"/>
    <w:rsid w:val="00142395"/>
    <w:rsid w:val="00142714"/>
    <w:rsid w:val="001452ED"/>
    <w:rsid w:val="00163329"/>
    <w:rsid w:val="00164623"/>
    <w:rsid w:val="00165B64"/>
    <w:rsid w:val="0017584F"/>
    <w:rsid w:val="00175F61"/>
    <w:rsid w:val="00175F83"/>
    <w:rsid w:val="001830CE"/>
    <w:rsid w:val="0018643B"/>
    <w:rsid w:val="001864DC"/>
    <w:rsid w:val="00196307"/>
    <w:rsid w:val="001A33EA"/>
    <w:rsid w:val="001B017F"/>
    <w:rsid w:val="001B25D6"/>
    <w:rsid w:val="001B2BBC"/>
    <w:rsid w:val="001B5129"/>
    <w:rsid w:val="001C1195"/>
    <w:rsid w:val="001C5411"/>
    <w:rsid w:val="001E1FD3"/>
    <w:rsid w:val="001F1850"/>
    <w:rsid w:val="001F62E9"/>
    <w:rsid w:val="00203FAC"/>
    <w:rsid w:val="00213CFB"/>
    <w:rsid w:val="00217BE1"/>
    <w:rsid w:val="00224F02"/>
    <w:rsid w:val="00234C42"/>
    <w:rsid w:val="00245200"/>
    <w:rsid w:val="00265B33"/>
    <w:rsid w:val="00271BA1"/>
    <w:rsid w:val="002762FA"/>
    <w:rsid w:val="00277505"/>
    <w:rsid w:val="00291DB0"/>
    <w:rsid w:val="0029292A"/>
    <w:rsid w:val="0029458F"/>
    <w:rsid w:val="0029695A"/>
    <w:rsid w:val="002A104C"/>
    <w:rsid w:val="002A4960"/>
    <w:rsid w:val="002A5627"/>
    <w:rsid w:val="002B1AE6"/>
    <w:rsid w:val="002B2DE8"/>
    <w:rsid w:val="002B2F6B"/>
    <w:rsid w:val="002B30F8"/>
    <w:rsid w:val="002B5596"/>
    <w:rsid w:val="002B5E4E"/>
    <w:rsid w:val="002C1FCB"/>
    <w:rsid w:val="002C212F"/>
    <w:rsid w:val="002C7D69"/>
    <w:rsid w:val="002D35D1"/>
    <w:rsid w:val="002D4543"/>
    <w:rsid w:val="002E3153"/>
    <w:rsid w:val="002E72CA"/>
    <w:rsid w:val="002F1E13"/>
    <w:rsid w:val="002F44CA"/>
    <w:rsid w:val="002F688D"/>
    <w:rsid w:val="00300AD6"/>
    <w:rsid w:val="00310B5E"/>
    <w:rsid w:val="00314FFC"/>
    <w:rsid w:val="00317C6C"/>
    <w:rsid w:val="00326E79"/>
    <w:rsid w:val="00333FD3"/>
    <w:rsid w:val="0033518A"/>
    <w:rsid w:val="00335857"/>
    <w:rsid w:val="003367EF"/>
    <w:rsid w:val="00341AE4"/>
    <w:rsid w:val="00343DE4"/>
    <w:rsid w:val="00347050"/>
    <w:rsid w:val="003872CF"/>
    <w:rsid w:val="00387370"/>
    <w:rsid w:val="00395A72"/>
    <w:rsid w:val="0039677E"/>
    <w:rsid w:val="0039782C"/>
    <w:rsid w:val="00397FB0"/>
    <w:rsid w:val="003A5B4A"/>
    <w:rsid w:val="003A7C76"/>
    <w:rsid w:val="003B23C5"/>
    <w:rsid w:val="003B2A75"/>
    <w:rsid w:val="003B6124"/>
    <w:rsid w:val="003C2B9C"/>
    <w:rsid w:val="003C2FB5"/>
    <w:rsid w:val="003C64DA"/>
    <w:rsid w:val="003D4AC4"/>
    <w:rsid w:val="003D63B7"/>
    <w:rsid w:val="003E468B"/>
    <w:rsid w:val="003E6B3C"/>
    <w:rsid w:val="003E7046"/>
    <w:rsid w:val="003F08B9"/>
    <w:rsid w:val="003F150F"/>
    <w:rsid w:val="003F20A3"/>
    <w:rsid w:val="003F3228"/>
    <w:rsid w:val="003F5C8C"/>
    <w:rsid w:val="003F7E16"/>
    <w:rsid w:val="004105FC"/>
    <w:rsid w:val="00410D8B"/>
    <w:rsid w:val="00414851"/>
    <w:rsid w:val="004252EC"/>
    <w:rsid w:val="0042737D"/>
    <w:rsid w:val="004312A1"/>
    <w:rsid w:val="004465BD"/>
    <w:rsid w:val="00454B33"/>
    <w:rsid w:val="00463D91"/>
    <w:rsid w:val="00466ADA"/>
    <w:rsid w:val="00472713"/>
    <w:rsid w:val="00476245"/>
    <w:rsid w:val="00483035"/>
    <w:rsid w:val="00485940"/>
    <w:rsid w:val="00495FD3"/>
    <w:rsid w:val="004A2484"/>
    <w:rsid w:val="004A5A85"/>
    <w:rsid w:val="004A71D1"/>
    <w:rsid w:val="004B5640"/>
    <w:rsid w:val="004C1BD7"/>
    <w:rsid w:val="004C31FE"/>
    <w:rsid w:val="004C4774"/>
    <w:rsid w:val="004C691D"/>
    <w:rsid w:val="004C6C07"/>
    <w:rsid w:val="004D4E6A"/>
    <w:rsid w:val="004E692D"/>
    <w:rsid w:val="004F6016"/>
    <w:rsid w:val="00501554"/>
    <w:rsid w:val="00514CD7"/>
    <w:rsid w:val="00525CAF"/>
    <w:rsid w:val="00526668"/>
    <w:rsid w:val="005319B2"/>
    <w:rsid w:val="00532402"/>
    <w:rsid w:val="00532C74"/>
    <w:rsid w:val="00534E2E"/>
    <w:rsid w:val="00544552"/>
    <w:rsid w:val="00545735"/>
    <w:rsid w:val="005457EA"/>
    <w:rsid w:val="00550199"/>
    <w:rsid w:val="00550A32"/>
    <w:rsid w:val="00577C4D"/>
    <w:rsid w:val="00581932"/>
    <w:rsid w:val="00583164"/>
    <w:rsid w:val="00583CD2"/>
    <w:rsid w:val="0058505D"/>
    <w:rsid w:val="005963BB"/>
    <w:rsid w:val="005A3173"/>
    <w:rsid w:val="005A3223"/>
    <w:rsid w:val="005A3DA3"/>
    <w:rsid w:val="005A524E"/>
    <w:rsid w:val="005A52C4"/>
    <w:rsid w:val="005B2791"/>
    <w:rsid w:val="005D03AB"/>
    <w:rsid w:val="005D4C45"/>
    <w:rsid w:val="005D5017"/>
    <w:rsid w:val="005E1333"/>
    <w:rsid w:val="005E3FFA"/>
    <w:rsid w:val="005E515E"/>
    <w:rsid w:val="005F2478"/>
    <w:rsid w:val="005F3E7F"/>
    <w:rsid w:val="00601A91"/>
    <w:rsid w:val="00602BA3"/>
    <w:rsid w:val="006031BD"/>
    <w:rsid w:val="00612E34"/>
    <w:rsid w:val="00614159"/>
    <w:rsid w:val="00617C00"/>
    <w:rsid w:val="006236FA"/>
    <w:rsid w:val="006263BF"/>
    <w:rsid w:val="0062748A"/>
    <w:rsid w:val="00630A2C"/>
    <w:rsid w:val="00630BE6"/>
    <w:rsid w:val="0063682E"/>
    <w:rsid w:val="0064086D"/>
    <w:rsid w:val="006436CD"/>
    <w:rsid w:val="00651169"/>
    <w:rsid w:val="00653D69"/>
    <w:rsid w:val="006555A6"/>
    <w:rsid w:val="006670BE"/>
    <w:rsid w:val="006706F6"/>
    <w:rsid w:val="00670A76"/>
    <w:rsid w:val="006711AA"/>
    <w:rsid w:val="00672B57"/>
    <w:rsid w:val="00675622"/>
    <w:rsid w:val="006906DB"/>
    <w:rsid w:val="00691D88"/>
    <w:rsid w:val="00691E6C"/>
    <w:rsid w:val="0069419C"/>
    <w:rsid w:val="00696129"/>
    <w:rsid w:val="00697CF2"/>
    <w:rsid w:val="006A12A5"/>
    <w:rsid w:val="006A4CF8"/>
    <w:rsid w:val="006B0D94"/>
    <w:rsid w:val="006B485D"/>
    <w:rsid w:val="006C708E"/>
    <w:rsid w:val="006D17E7"/>
    <w:rsid w:val="006D57AC"/>
    <w:rsid w:val="006D6EC7"/>
    <w:rsid w:val="006F440A"/>
    <w:rsid w:val="006F482D"/>
    <w:rsid w:val="006F5125"/>
    <w:rsid w:val="00702B6F"/>
    <w:rsid w:val="00705978"/>
    <w:rsid w:val="0071340B"/>
    <w:rsid w:val="007174BB"/>
    <w:rsid w:val="0072025D"/>
    <w:rsid w:val="007342CC"/>
    <w:rsid w:val="007353D3"/>
    <w:rsid w:val="0076420C"/>
    <w:rsid w:val="00773221"/>
    <w:rsid w:val="007753C2"/>
    <w:rsid w:val="007838B8"/>
    <w:rsid w:val="00793498"/>
    <w:rsid w:val="007A7CE0"/>
    <w:rsid w:val="007B73EC"/>
    <w:rsid w:val="007C0F57"/>
    <w:rsid w:val="007C40B6"/>
    <w:rsid w:val="007C729F"/>
    <w:rsid w:val="007D16F1"/>
    <w:rsid w:val="007D4C0B"/>
    <w:rsid w:val="007D6CA5"/>
    <w:rsid w:val="007E1D28"/>
    <w:rsid w:val="007E3BA0"/>
    <w:rsid w:val="007F2280"/>
    <w:rsid w:val="007F2641"/>
    <w:rsid w:val="007F6941"/>
    <w:rsid w:val="007F7C36"/>
    <w:rsid w:val="00805B2D"/>
    <w:rsid w:val="00806796"/>
    <w:rsid w:val="0080786F"/>
    <w:rsid w:val="008151D6"/>
    <w:rsid w:val="00823C70"/>
    <w:rsid w:val="00826F6D"/>
    <w:rsid w:val="00827914"/>
    <w:rsid w:val="008306F3"/>
    <w:rsid w:val="00834FED"/>
    <w:rsid w:val="00846F84"/>
    <w:rsid w:val="00856DDD"/>
    <w:rsid w:val="00863E68"/>
    <w:rsid w:val="00871C1D"/>
    <w:rsid w:val="008727C7"/>
    <w:rsid w:val="00875CAC"/>
    <w:rsid w:val="00882085"/>
    <w:rsid w:val="00883188"/>
    <w:rsid w:val="00885153"/>
    <w:rsid w:val="00893B24"/>
    <w:rsid w:val="00897D58"/>
    <w:rsid w:val="00897F22"/>
    <w:rsid w:val="008A1956"/>
    <w:rsid w:val="008A4937"/>
    <w:rsid w:val="008A50F1"/>
    <w:rsid w:val="008C020C"/>
    <w:rsid w:val="008C170B"/>
    <w:rsid w:val="008D1B5C"/>
    <w:rsid w:val="008D3C82"/>
    <w:rsid w:val="008D447E"/>
    <w:rsid w:val="008D7A41"/>
    <w:rsid w:val="008E086B"/>
    <w:rsid w:val="008E2BE0"/>
    <w:rsid w:val="008E3680"/>
    <w:rsid w:val="008E5870"/>
    <w:rsid w:val="008F1434"/>
    <w:rsid w:val="008F7355"/>
    <w:rsid w:val="0090288E"/>
    <w:rsid w:val="009067B7"/>
    <w:rsid w:val="00917AC6"/>
    <w:rsid w:val="00930937"/>
    <w:rsid w:val="00933E6C"/>
    <w:rsid w:val="00937958"/>
    <w:rsid w:val="00942160"/>
    <w:rsid w:val="00943294"/>
    <w:rsid w:val="009432F4"/>
    <w:rsid w:val="0094439A"/>
    <w:rsid w:val="0095146F"/>
    <w:rsid w:val="009602C5"/>
    <w:rsid w:val="00962223"/>
    <w:rsid w:val="00966D0D"/>
    <w:rsid w:val="009703AC"/>
    <w:rsid w:val="009703DC"/>
    <w:rsid w:val="00974C21"/>
    <w:rsid w:val="00990127"/>
    <w:rsid w:val="009B0F67"/>
    <w:rsid w:val="009C703C"/>
    <w:rsid w:val="009D2709"/>
    <w:rsid w:val="009D3CAA"/>
    <w:rsid w:val="009F4E46"/>
    <w:rsid w:val="009F5B65"/>
    <w:rsid w:val="009F5BE2"/>
    <w:rsid w:val="009F5F2E"/>
    <w:rsid w:val="00A03819"/>
    <w:rsid w:val="00A06225"/>
    <w:rsid w:val="00A11A22"/>
    <w:rsid w:val="00A128E6"/>
    <w:rsid w:val="00A2043D"/>
    <w:rsid w:val="00A34E6C"/>
    <w:rsid w:val="00A35992"/>
    <w:rsid w:val="00A37C8D"/>
    <w:rsid w:val="00A5273B"/>
    <w:rsid w:val="00A53A9D"/>
    <w:rsid w:val="00A55FEE"/>
    <w:rsid w:val="00A6075B"/>
    <w:rsid w:val="00A60CB2"/>
    <w:rsid w:val="00A62C1A"/>
    <w:rsid w:val="00A6426D"/>
    <w:rsid w:val="00A64658"/>
    <w:rsid w:val="00A665C1"/>
    <w:rsid w:val="00A70622"/>
    <w:rsid w:val="00A70977"/>
    <w:rsid w:val="00A71EBB"/>
    <w:rsid w:val="00A77613"/>
    <w:rsid w:val="00A8390C"/>
    <w:rsid w:val="00A84FBF"/>
    <w:rsid w:val="00A928BD"/>
    <w:rsid w:val="00AA4D1C"/>
    <w:rsid w:val="00AC193C"/>
    <w:rsid w:val="00AC5206"/>
    <w:rsid w:val="00AD1214"/>
    <w:rsid w:val="00AD4B1E"/>
    <w:rsid w:val="00AD5152"/>
    <w:rsid w:val="00AE11A5"/>
    <w:rsid w:val="00AE13E2"/>
    <w:rsid w:val="00AE22D3"/>
    <w:rsid w:val="00AE2FDC"/>
    <w:rsid w:val="00AF3F96"/>
    <w:rsid w:val="00AF62DF"/>
    <w:rsid w:val="00AF68CC"/>
    <w:rsid w:val="00B0264E"/>
    <w:rsid w:val="00B06B46"/>
    <w:rsid w:val="00B1059E"/>
    <w:rsid w:val="00B160E5"/>
    <w:rsid w:val="00B176C8"/>
    <w:rsid w:val="00B205AA"/>
    <w:rsid w:val="00B22E84"/>
    <w:rsid w:val="00B25F75"/>
    <w:rsid w:val="00B26B3F"/>
    <w:rsid w:val="00B409E5"/>
    <w:rsid w:val="00B43E90"/>
    <w:rsid w:val="00B467DC"/>
    <w:rsid w:val="00B56118"/>
    <w:rsid w:val="00B6773F"/>
    <w:rsid w:val="00B70749"/>
    <w:rsid w:val="00B73C05"/>
    <w:rsid w:val="00B801BA"/>
    <w:rsid w:val="00B84D5C"/>
    <w:rsid w:val="00B91FE6"/>
    <w:rsid w:val="00BB69F5"/>
    <w:rsid w:val="00BB7EC3"/>
    <w:rsid w:val="00BC4B9A"/>
    <w:rsid w:val="00BD784C"/>
    <w:rsid w:val="00BE614F"/>
    <w:rsid w:val="00BF4CB6"/>
    <w:rsid w:val="00C00528"/>
    <w:rsid w:val="00C00DA7"/>
    <w:rsid w:val="00C03413"/>
    <w:rsid w:val="00C12768"/>
    <w:rsid w:val="00C13F12"/>
    <w:rsid w:val="00C24B62"/>
    <w:rsid w:val="00C27B58"/>
    <w:rsid w:val="00C32009"/>
    <w:rsid w:val="00C3212D"/>
    <w:rsid w:val="00C35996"/>
    <w:rsid w:val="00C44893"/>
    <w:rsid w:val="00C4747E"/>
    <w:rsid w:val="00C52736"/>
    <w:rsid w:val="00C5342C"/>
    <w:rsid w:val="00C603D4"/>
    <w:rsid w:val="00C6256A"/>
    <w:rsid w:val="00C629AD"/>
    <w:rsid w:val="00C671A5"/>
    <w:rsid w:val="00C77891"/>
    <w:rsid w:val="00C82A8D"/>
    <w:rsid w:val="00C85443"/>
    <w:rsid w:val="00C90CED"/>
    <w:rsid w:val="00C91449"/>
    <w:rsid w:val="00C92D10"/>
    <w:rsid w:val="00CD7A74"/>
    <w:rsid w:val="00CE10C4"/>
    <w:rsid w:val="00CE27B5"/>
    <w:rsid w:val="00CF17F8"/>
    <w:rsid w:val="00CF66B0"/>
    <w:rsid w:val="00D00FC3"/>
    <w:rsid w:val="00D0321E"/>
    <w:rsid w:val="00D1455A"/>
    <w:rsid w:val="00D2407E"/>
    <w:rsid w:val="00D27AD1"/>
    <w:rsid w:val="00D31150"/>
    <w:rsid w:val="00D3138B"/>
    <w:rsid w:val="00D3280C"/>
    <w:rsid w:val="00D3406A"/>
    <w:rsid w:val="00D354A6"/>
    <w:rsid w:val="00D4572C"/>
    <w:rsid w:val="00D469B2"/>
    <w:rsid w:val="00D57BF9"/>
    <w:rsid w:val="00D70153"/>
    <w:rsid w:val="00D741EB"/>
    <w:rsid w:val="00D83605"/>
    <w:rsid w:val="00D84934"/>
    <w:rsid w:val="00D91271"/>
    <w:rsid w:val="00D97AFF"/>
    <w:rsid w:val="00DA25AB"/>
    <w:rsid w:val="00DA2641"/>
    <w:rsid w:val="00DA2CB5"/>
    <w:rsid w:val="00DA4BAC"/>
    <w:rsid w:val="00DA574C"/>
    <w:rsid w:val="00DE6D27"/>
    <w:rsid w:val="00DF217D"/>
    <w:rsid w:val="00DF26A7"/>
    <w:rsid w:val="00E14986"/>
    <w:rsid w:val="00E15627"/>
    <w:rsid w:val="00E164B3"/>
    <w:rsid w:val="00E16910"/>
    <w:rsid w:val="00E21954"/>
    <w:rsid w:val="00E31A23"/>
    <w:rsid w:val="00E42BDB"/>
    <w:rsid w:val="00E57EEB"/>
    <w:rsid w:val="00E62D94"/>
    <w:rsid w:val="00E65E54"/>
    <w:rsid w:val="00E76839"/>
    <w:rsid w:val="00E80155"/>
    <w:rsid w:val="00E848C0"/>
    <w:rsid w:val="00E91B96"/>
    <w:rsid w:val="00E925C2"/>
    <w:rsid w:val="00E941A1"/>
    <w:rsid w:val="00E95CE3"/>
    <w:rsid w:val="00EA1EE8"/>
    <w:rsid w:val="00EA2825"/>
    <w:rsid w:val="00EB0B63"/>
    <w:rsid w:val="00EB3307"/>
    <w:rsid w:val="00EB5088"/>
    <w:rsid w:val="00EB7B2D"/>
    <w:rsid w:val="00EC4DAE"/>
    <w:rsid w:val="00ED1644"/>
    <w:rsid w:val="00ED2583"/>
    <w:rsid w:val="00ED2593"/>
    <w:rsid w:val="00ED7D9C"/>
    <w:rsid w:val="00EE330F"/>
    <w:rsid w:val="00EF2AE3"/>
    <w:rsid w:val="00EF44A0"/>
    <w:rsid w:val="00EF4FED"/>
    <w:rsid w:val="00F050BD"/>
    <w:rsid w:val="00F05657"/>
    <w:rsid w:val="00F25578"/>
    <w:rsid w:val="00F258E5"/>
    <w:rsid w:val="00F300BC"/>
    <w:rsid w:val="00F3334E"/>
    <w:rsid w:val="00F36CCB"/>
    <w:rsid w:val="00F374E5"/>
    <w:rsid w:val="00F40CBD"/>
    <w:rsid w:val="00F43AF2"/>
    <w:rsid w:val="00F50EC4"/>
    <w:rsid w:val="00F51F6A"/>
    <w:rsid w:val="00F550CF"/>
    <w:rsid w:val="00F57A6D"/>
    <w:rsid w:val="00F6298D"/>
    <w:rsid w:val="00F632C9"/>
    <w:rsid w:val="00F638CC"/>
    <w:rsid w:val="00F64CC1"/>
    <w:rsid w:val="00F71B04"/>
    <w:rsid w:val="00F72317"/>
    <w:rsid w:val="00F76CC7"/>
    <w:rsid w:val="00F80475"/>
    <w:rsid w:val="00F8247A"/>
    <w:rsid w:val="00F842AA"/>
    <w:rsid w:val="00F9629A"/>
    <w:rsid w:val="00F96364"/>
    <w:rsid w:val="00F96961"/>
    <w:rsid w:val="00F97EFC"/>
    <w:rsid w:val="00FA1368"/>
    <w:rsid w:val="00FA5883"/>
    <w:rsid w:val="00FA6055"/>
    <w:rsid w:val="00FA6A2F"/>
    <w:rsid w:val="00FB0312"/>
    <w:rsid w:val="00FB2ABB"/>
    <w:rsid w:val="00FB322F"/>
    <w:rsid w:val="00FB379E"/>
    <w:rsid w:val="00FB442F"/>
    <w:rsid w:val="00FB4A7A"/>
    <w:rsid w:val="00FC1929"/>
    <w:rsid w:val="00FC5B46"/>
    <w:rsid w:val="00FC6820"/>
    <w:rsid w:val="00FD23AB"/>
    <w:rsid w:val="00FD3C97"/>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9F5BE2"/>
    <w:pPr>
      <w:widowControl w:val="0"/>
      <w:numPr>
        <w:numId w:val="5"/>
      </w:numPr>
      <w:spacing w:before="240" w:after="120"/>
      <w:jc w:val="both"/>
      <w:outlineLvl w:val="0"/>
    </w:pPr>
    <w:rPr>
      <w:rFonts w:asciiTheme="minorHAnsi" w:hAnsiTheme="minorHAnsi" w:cs="Arial"/>
      <w:b/>
      <w:bCs/>
      <w:snapToGrid w:val="0"/>
      <w:sz w:val="32"/>
      <w:lang w:eastAsia="en-US"/>
    </w:rPr>
  </w:style>
  <w:style w:type="paragraph" w:styleId="Heading2">
    <w:name w:val="heading 2"/>
    <w:basedOn w:val="Normal"/>
    <w:next w:val="Normal"/>
    <w:link w:val="Heading2Char"/>
    <w:uiPriority w:val="1"/>
    <w:qFormat/>
    <w:rsid w:val="009F5BE2"/>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9F5BE2"/>
    <w:rPr>
      <w:rFonts w:asciiTheme="minorHAnsi" w:hAnsiTheme="minorHAnsi" w:cs="Arial"/>
      <w:b/>
      <w:bCs/>
      <w:snapToGrid w:val="0"/>
      <w:sz w:val="32"/>
      <w:szCs w:val="24"/>
      <w:lang w:eastAsia="en-US"/>
    </w:rPr>
  </w:style>
  <w:style w:type="character" w:customStyle="1" w:styleId="Heading2Char">
    <w:name w:val="Heading 2 Char"/>
    <w:basedOn w:val="DefaultParagraphFont"/>
    <w:link w:val="Heading2"/>
    <w:uiPriority w:val="1"/>
    <w:rsid w:val="009F5BE2"/>
    <w:rPr>
      <w:rFonts w:asciiTheme="minorHAnsi" w:eastAsiaTheme="majorEastAsia" w:hAnsiTheme="minorHAnsi" w:cstheme="majorBidi"/>
      <w:b/>
      <w:i/>
      <w:sz w:val="28"/>
      <w:szCs w:val="28"/>
      <w:lang w:eastAsia="en-US"/>
    </w:rPr>
  </w:style>
  <w:style w:type="character" w:customStyle="1" w:styleId="TabletextChar">
    <w:name w:val="Table text Char"/>
    <w:link w:val="Tabletext"/>
    <w:uiPriority w:val="2"/>
    <w:rsid w:val="009D2709"/>
    <w:rPr>
      <w:rFonts w:ascii="Arial" w:hAnsi="Arial"/>
      <w:lang w:eastAsia="en-US"/>
    </w:rPr>
  </w:style>
  <w:style w:type="paragraph" w:customStyle="1" w:styleId="TableText0">
    <w:name w:val="Table Text"/>
    <w:basedOn w:val="Normal"/>
    <w:qFormat/>
    <w:rsid w:val="00525CAF"/>
    <w:pPr>
      <w:keepNext/>
      <w:spacing w:before="40" w:after="40"/>
    </w:pPr>
    <w:rPr>
      <w:rFonts w:ascii="Arial Narrow" w:eastAsiaTheme="minorHAnsi" w:hAnsi="Arial Narrow" w:cstheme="minorBidi"/>
      <w:sz w:val="20"/>
      <w:szCs w:val="22"/>
      <w:lang w:eastAsia="en-US"/>
    </w:rPr>
  </w:style>
  <w:style w:type="paragraph" w:customStyle="1" w:styleId="TableFooter">
    <w:name w:val="Table Footer"/>
    <w:basedOn w:val="Normal"/>
    <w:link w:val="TableFooterChar"/>
    <w:qFormat/>
    <w:rsid w:val="00525CAF"/>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525CAF"/>
    <w:rPr>
      <w:rFonts w:ascii="Arial Narrow" w:hAnsi="Arial Narrow" w:cs="Arial"/>
      <w:snapToGrid w:val="0"/>
      <w:sz w:val="18"/>
      <w:lang w:eastAsia="en-US"/>
    </w:rPr>
  </w:style>
  <w:style w:type="paragraph" w:customStyle="1" w:styleId="TableHeader">
    <w:name w:val="Table Header"/>
    <w:basedOn w:val="Normal"/>
    <w:next w:val="Normal"/>
    <w:uiPriority w:val="3"/>
    <w:qFormat/>
    <w:rsid w:val="00525CAF"/>
    <w:pPr>
      <w:widowControl w:val="0"/>
      <w:jc w:val="both"/>
    </w:pPr>
    <w:rPr>
      <w:rFonts w:ascii="Arial Narrow" w:hAnsi="Arial Narrow" w:cs="Arial"/>
      <w:b/>
      <w:snapToGrid w:val="0"/>
      <w:sz w:val="20"/>
      <w:szCs w:val="20"/>
      <w:lang w:eastAsia="en-US"/>
    </w:rPr>
  </w:style>
  <w:style w:type="paragraph" w:styleId="Revision">
    <w:name w:val="Revision"/>
    <w:hidden/>
    <w:uiPriority w:val="71"/>
    <w:rsid w:val="00F51F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9F5BE2"/>
    <w:pPr>
      <w:widowControl w:val="0"/>
      <w:numPr>
        <w:numId w:val="5"/>
      </w:numPr>
      <w:spacing w:before="240" w:after="120"/>
      <w:jc w:val="both"/>
      <w:outlineLvl w:val="0"/>
    </w:pPr>
    <w:rPr>
      <w:rFonts w:asciiTheme="minorHAnsi" w:hAnsiTheme="minorHAnsi" w:cs="Arial"/>
      <w:b/>
      <w:bCs/>
      <w:snapToGrid w:val="0"/>
      <w:sz w:val="32"/>
      <w:lang w:eastAsia="en-US"/>
    </w:rPr>
  </w:style>
  <w:style w:type="paragraph" w:styleId="Heading2">
    <w:name w:val="heading 2"/>
    <w:basedOn w:val="Normal"/>
    <w:next w:val="Normal"/>
    <w:link w:val="Heading2Char"/>
    <w:uiPriority w:val="1"/>
    <w:qFormat/>
    <w:rsid w:val="009F5BE2"/>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9F5BE2"/>
    <w:rPr>
      <w:rFonts w:asciiTheme="minorHAnsi" w:hAnsiTheme="minorHAnsi" w:cs="Arial"/>
      <w:b/>
      <w:bCs/>
      <w:snapToGrid w:val="0"/>
      <w:sz w:val="32"/>
      <w:szCs w:val="24"/>
      <w:lang w:eastAsia="en-US"/>
    </w:rPr>
  </w:style>
  <w:style w:type="character" w:customStyle="1" w:styleId="Heading2Char">
    <w:name w:val="Heading 2 Char"/>
    <w:basedOn w:val="DefaultParagraphFont"/>
    <w:link w:val="Heading2"/>
    <w:uiPriority w:val="1"/>
    <w:rsid w:val="009F5BE2"/>
    <w:rPr>
      <w:rFonts w:asciiTheme="minorHAnsi" w:eastAsiaTheme="majorEastAsia" w:hAnsiTheme="minorHAnsi" w:cstheme="majorBidi"/>
      <w:b/>
      <w:i/>
      <w:sz w:val="28"/>
      <w:szCs w:val="28"/>
      <w:lang w:eastAsia="en-US"/>
    </w:rPr>
  </w:style>
  <w:style w:type="character" w:customStyle="1" w:styleId="TabletextChar">
    <w:name w:val="Table text Char"/>
    <w:link w:val="Tabletext"/>
    <w:uiPriority w:val="2"/>
    <w:rsid w:val="009D2709"/>
    <w:rPr>
      <w:rFonts w:ascii="Arial" w:hAnsi="Arial"/>
      <w:lang w:eastAsia="en-US"/>
    </w:rPr>
  </w:style>
  <w:style w:type="paragraph" w:customStyle="1" w:styleId="TableText0">
    <w:name w:val="Table Text"/>
    <w:basedOn w:val="Normal"/>
    <w:qFormat/>
    <w:rsid w:val="00525CAF"/>
    <w:pPr>
      <w:keepNext/>
      <w:spacing w:before="40" w:after="40"/>
    </w:pPr>
    <w:rPr>
      <w:rFonts w:ascii="Arial Narrow" w:eastAsiaTheme="minorHAnsi" w:hAnsi="Arial Narrow" w:cstheme="minorBidi"/>
      <w:sz w:val="20"/>
      <w:szCs w:val="22"/>
      <w:lang w:eastAsia="en-US"/>
    </w:rPr>
  </w:style>
  <w:style w:type="paragraph" w:customStyle="1" w:styleId="TableFooter">
    <w:name w:val="Table Footer"/>
    <w:basedOn w:val="Normal"/>
    <w:link w:val="TableFooterChar"/>
    <w:qFormat/>
    <w:rsid w:val="00525CAF"/>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525CAF"/>
    <w:rPr>
      <w:rFonts w:ascii="Arial Narrow" w:hAnsi="Arial Narrow" w:cs="Arial"/>
      <w:snapToGrid w:val="0"/>
      <w:sz w:val="18"/>
      <w:lang w:eastAsia="en-US"/>
    </w:rPr>
  </w:style>
  <w:style w:type="paragraph" w:customStyle="1" w:styleId="TableHeader">
    <w:name w:val="Table Header"/>
    <w:basedOn w:val="Normal"/>
    <w:next w:val="Normal"/>
    <w:uiPriority w:val="3"/>
    <w:qFormat/>
    <w:rsid w:val="00525CAF"/>
    <w:pPr>
      <w:widowControl w:val="0"/>
      <w:jc w:val="both"/>
    </w:pPr>
    <w:rPr>
      <w:rFonts w:ascii="Arial Narrow" w:hAnsi="Arial Narrow" w:cs="Arial"/>
      <w:b/>
      <w:snapToGrid w:val="0"/>
      <w:sz w:val="20"/>
      <w:szCs w:val="20"/>
      <w:lang w:eastAsia="en-US"/>
    </w:rPr>
  </w:style>
  <w:style w:type="paragraph" w:styleId="Revision">
    <w:name w:val="Revision"/>
    <w:hidden/>
    <w:uiPriority w:val="71"/>
    <w:rsid w:val="00F51F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4B43-D4E4-480B-BF73-439A1442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2018-06-21T03:58:00Z</dcterms:created>
  <dcterms:modified xsi:type="dcterms:W3CDTF">2018-06-21T03:59:00Z</dcterms:modified>
</cp:coreProperties>
</file>