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B7" w:rsidRPr="005F47F8" w:rsidRDefault="00310800" w:rsidP="008119AC">
      <w:pPr>
        <w:rPr>
          <w:b/>
          <w:sz w:val="36"/>
          <w:szCs w:val="36"/>
        </w:rPr>
      </w:pPr>
      <w:bookmarkStart w:id="0" w:name="_Toc371170717"/>
      <w:r w:rsidRPr="005F47F8">
        <w:rPr>
          <w:b/>
          <w:sz w:val="36"/>
          <w:szCs w:val="36"/>
        </w:rPr>
        <w:t>5.01</w:t>
      </w:r>
      <w:r w:rsidR="008119AC" w:rsidRPr="005F47F8">
        <w:rPr>
          <w:b/>
          <w:sz w:val="36"/>
          <w:szCs w:val="36"/>
        </w:rPr>
        <w:tab/>
        <w:t xml:space="preserve">BENRALIZUMAB, </w:t>
      </w:r>
    </w:p>
    <w:p w:rsidR="006F3EB7" w:rsidRPr="005F47F8" w:rsidRDefault="008119AC" w:rsidP="004E7CC4">
      <w:pPr>
        <w:ind w:firstLine="720"/>
        <w:rPr>
          <w:b/>
          <w:sz w:val="36"/>
          <w:szCs w:val="36"/>
        </w:rPr>
      </w:pPr>
      <w:r w:rsidRPr="005F47F8">
        <w:rPr>
          <w:b/>
          <w:sz w:val="36"/>
          <w:szCs w:val="36"/>
        </w:rPr>
        <w:t xml:space="preserve">30 mg in 1 mL injection, </w:t>
      </w:r>
    </w:p>
    <w:p w:rsidR="008119AC" w:rsidRDefault="008119AC" w:rsidP="00977BE4">
      <w:pPr>
        <w:ind w:firstLine="720"/>
        <w:rPr>
          <w:b/>
          <w:sz w:val="36"/>
          <w:szCs w:val="36"/>
        </w:rPr>
      </w:pPr>
      <w:r w:rsidRPr="005F47F8">
        <w:rPr>
          <w:b/>
          <w:sz w:val="36"/>
          <w:szCs w:val="36"/>
        </w:rPr>
        <w:t>Fasenra</w:t>
      </w:r>
      <w:r w:rsidRPr="005F47F8">
        <w:rPr>
          <w:b/>
          <w:sz w:val="36"/>
          <w:szCs w:val="36"/>
          <w:vertAlign w:val="superscript"/>
        </w:rPr>
        <w:t>®</w:t>
      </w:r>
      <w:r w:rsidR="00337153" w:rsidRPr="005F47F8">
        <w:rPr>
          <w:b/>
          <w:sz w:val="36"/>
          <w:szCs w:val="36"/>
        </w:rPr>
        <w:t>, AstraZene</w:t>
      </w:r>
      <w:r w:rsidR="00741DFC">
        <w:rPr>
          <w:b/>
          <w:sz w:val="36"/>
          <w:szCs w:val="36"/>
        </w:rPr>
        <w:t>ca Pty Ltd</w:t>
      </w:r>
    </w:p>
    <w:p w:rsidR="00F272AD" w:rsidRPr="00F272AD" w:rsidRDefault="008119AC" w:rsidP="003E6ED7">
      <w:pPr>
        <w:pStyle w:val="PBACHeading1"/>
      </w:pPr>
      <w:bookmarkStart w:id="1" w:name="_Toc502912703"/>
      <w:r w:rsidRPr="00F272AD">
        <w:t>Purpose of Application</w:t>
      </w:r>
      <w:bookmarkEnd w:id="1"/>
      <w:r w:rsidR="00F272AD" w:rsidRPr="00F272AD">
        <w:t xml:space="preserve"> </w:t>
      </w:r>
    </w:p>
    <w:p w:rsidR="008119AC" w:rsidRPr="005F47F8" w:rsidRDefault="00167279" w:rsidP="004E7CC4">
      <w:pPr>
        <w:keepNext/>
        <w:keepLines/>
        <w:widowControl/>
        <w:numPr>
          <w:ilvl w:val="1"/>
          <w:numId w:val="1"/>
        </w:numPr>
        <w:spacing w:after="120"/>
        <w:ind w:left="709"/>
      </w:pPr>
      <w:r w:rsidRPr="005F47F8">
        <w:t xml:space="preserve">The submission requested a </w:t>
      </w:r>
      <w:r w:rsidR="008119AC" w:rsidRPr="005F47F8">
        <w:t xml:space="preserve">Section 100 (Highly Specialised Drug Program) listing for benralizumab </w:t>
      </w:r>
      <w:r w:rsidR="00FA24AF" w:rsidRPr="005F47F8">
        <w:t xml:space="preserve">subcutaneous injection </w:t>
      </w:r>
      <w:r w:rsidR="008119AC" w:rsidRPr="005F47F8">
        <w:t xml:space="preserve">for the treatment of uncontrolled severe eosinophilic asthma in patients aged 18 years and over. Benralizumab has not previously been considered by the PBAC. </w:t>
      </w:r>
    </w:p>
    <w:p w:rsidR="008119AC" w:rsidRDefault="008119AC" w:rsidP="00D70B99">
      <w:pPr>
        <w:widowControl/>
        <w:numPr>
          <w:ilvl w:val="1"/>
          <w:numId w:val="1"/>
        </w:numPr>
        <w:spacing w:after="120"/>
        <w:ind w:left="709"/>
      </w:pPr>
      <w:r w:rsidRPr="005F47F8">
        <w:t xml:space="preserve">Listing was requested on a cost-minimisation basis compared with mepolizumab and omalizumab. </w:t>
      </w:r>
    </w:p>
    <w:p w:rsidR="008119AC" w:rsidRPr="005F47F8" w:rsidRDefault="008119AC" w:rsidP="00F11F42">
      <w:pPr>
        <w:rPr>
          <w:rFonts w:ascii="Arial Narrow" w:hAnsi="Arial Narrow"/>
          <w:b/>
          <w:sz w:val="20"/>
          <w:szCs w:val="16"/>
        </w:rPr>
      </w:pPr>
      <w:r w:rsidRPr="005F47F8">
        <w:rPr>
          <w:rFonts w:ascii="Arial Narrow" w:hAnsi="Arial Narrow"/>
          <w:b/>
          <w:sz w:val="20"/>
          <w:szCs w:val="16"/>
        </w:rPr>
        <w:t>Table 1: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018"/>
      </w:tblGrid>
      <w:tr w:rsidR="008119AC" w:rsidRPr="005F47F8" w:rsidTr="002A2711">
        <w:trPr>
          <w:cantSplit/>
          <w:tblHeader/>
        </w:trPr>
        <w:tc>
          <w:tcPr>
            <w:tcW w:w="1162" w:type="dxa"/>
            <w:shd w:val="clear" w:color="auto" w:fill="auto"/>
            <w:tcMar>
              <w:left w:w="28" w:type="dxa"/>
              <w:right w:w="28" w:type="dxa"/>
            </w:tcMar>
          </w:tcPr>
          <w:p w:rsidR="008119AC" w:rsidRPr="005F47F8" w:rsidRDefault="008119AC" w:rsidP="00F11F42">
            <w:pPr>
              <w:widowControl/>
              <w:spacing w:before="20" w:after="20" w:line="276" w:lineRule="auto"/>
              <w:jc w:val="left"/>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Component</w:t>
            </w:r>
          </w:p>
        </w:tc>
        <w:tc>
          <w:tcPr>
            <w:tcW w:w="8018" w:type="dxa"/>
            <w:shd w:val="clear" w:color="auto" w:fill="auto"/>
            <w:tcMar>
              <w:left w:w="28" w:type="dxa"/>
              <w:right w:w="28" w:type="dxa"/>
            </w:tcMar>
          </w:tcPr>
          <w:p w:rsidR="008119AC" w:rsidRPr="005F47F8" w:rsidRDefault="008119AC" w:rsidP="00F11F42">
            <w:pPr>
              <w:widowControl/>
              <w:spacing w:before="20" w:after="20" w:line="276" w:lineRule="auto"/>
              <w:jc w:val="left"/>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Description</w:t>
            </w:r>
          </w:p>
        </w:tc>
      </w:tr>
      <w:tr w:rsidR="008119AC" w:rsidRPr="005F47F8" w:rsidTr="000C187A">
        <w:trPr>
          <w:cantSplit/>
        </w:trPr>
        <w:tc>
          <w:tcPr>
            <w:tcW w:w="1162" w:type="dxa"/>
            <w:shd w:val="clear" w:color="auto" w:fill="auto"/>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Population</w:t>
            </w:r>
          </w:p>
        </w:tc>
        <w:tc>
          <w:tcPr>
            <w:tcW w:w="8018" w:type="dxa"/>
            <w:tcMar>
              <w:left w:w="28" w:type="dxa"/>
              <w:right w:w="28" w:type="dxa"/>
            </w:tcMar>
            <w:vAlign w:val="center"/>
          </w:tcPr>
          <w:p w:rsidR="008119AC"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 xml:space="preserve">Adults aged </w:t>
            </w:r>
            <w:r w:rsidRPr="005F47F8">
              <w:rPr>
                <w:rFonts w:ascii="Arial Narrow" w:eastAsiaTheme="majorEastAsia" w:hAnsi="Arial Narrow" w:cs="Calibri"/>
                <w:snapToGrid/>
                <w:sz w:val="20"/>
                <w:szCs w:val="20"/>
                <w:lang w:bidi="en-US"/>
              </w:rPr>
              <w:t xml:space="preserve">≥ </w:t>
            </w:r>
            <w:r w:rsidRPr="005F47F8">
              <w:rPr>
                <w:rFonts w:ascii="Arial Narrow" w:eastAsiaTheme="majorEastAsia" w:hAnsi="Arial Narrow"/>
                <w:snapToGrid/>
                <w:sz w:val="20"/>
                <w:szCs w:val="20"/>
                <w:lang w:bidi="en-US"/>
              </w:rPr>
              <w:t>18 years with uncontrolled severe eosinophilic asthma</w:t>
            </w:r>
            <w:r w:rsidR="003D2CE9">
              <w:rPr>
                <w:rFonts w:ascii="Arial Narrow" w:eastAsiaTheme="majorEastAsia" w:hAnsi="Arial Narrow"/>
                <w:snapToGrid/>
                <w:sz w:val="20"/>
                <w:szCs w:val="20"/>
                <w:lang w:bidi="en-US"/>
              </w:rPr>
              <w:t xml:space="preserve"> </w:t>
            </w:r>
          </w:p>
          <w:p w:rsidR="00622C4C" w:rsidRPr="00AD10BE" w:rsidRDefault="00622C4C" w:rsidP="00F11F42">
            <w:pPr>
              <w:widowControl/>
              <w:spacing w:before="20" w:after="20" w:line="276" w:lineRule="auto"/>
              <w:jc w:val="left"/>
              <w:rPr>
                <w:rFonts w:ascii="Arial Narrow" w:eastAsiaTheme="majorEastAsia" w:hAnsi="Arial Narrow"/>
                <w:snapToGrid/>
                <w:sz w:val="20"/>
                <w:szCs w:val="20"/>
                <w:lang w:bidi="en-US"/>
              </w:rPr>
            </w:pPr>
            <w:r w:rsidRPr="00AD10BE">
              <w:rPr>
                <w:rFonts w:ascii="Arial Narrow" w:eastAsiaTheme="majorEastAsia" w:hAnsi="Arial Narrow"/>
                <w:snapToGrid/>
                <w:sz w:val="20"/>
                <w:szCs w:val="20"/>
                <w:lang w:bidi="en-US"/>
              </w:rPr>
              <w:t xml:space="preserve">TGA/PBAC Parallel Process: </w:t>
            </w:r>
            <w:r w:rsidRPr="00996614">
              <w:rPr>
                <w:rFonts w:ascii="Arial Narrow" w:eastAsiaTheme="majorEastAsia" w:hAnsi="Arial Narrow"/>
                <w:snapToGrid/>
                <w:sz w:val="20"/>
                <w:szCs w:val="20"/>
                <w:lang w:bidi="en-US"/>
              </w:rPr>
              <w:t>The TGA delegate recommended</w:t>
            </w:r>
            <w:r w:rsidRPr="00AD10BE">
              <w:rPr>
                <w:rFonts w:ascii="Arial Narrow" w:eastAsiaTheme="majorEastAsia" w:hAnsi="Arial Narrow"/>
                <w:snapToGrid/>
                <w:sz w:val="20"/>
                <w:szCs w:val="20"/>
                <w:lang w:bidi="en-US"/>
              </w:rPr>
              <w:t xml:space="preserve"> that benralizumab be registered for use in patients </w:t>
            </w:r>
            <w:r w:rsidR="00996614">
              <w:rPr>
                <w:rFonts w:ascii="Arial Narrow" w:eastAsiaTheme="majorEastAsia" w:hAnsi="Arial Narrow"/>
                <w:snapToGrid/>
                <w:sz w:val="20"/>
                <w:szCs w:val="20"/>
                <w:lang w:bidi="en-US"/>
              </w:rPr>
              <w:t>≥</w:t>
            </w:r>
            <w:r w:rsidRPr="00AD10BE">
              <w:rPr>
                <w:rFonts w:ascii="Arial Narrow" w:eastAsiaTheme="majorEastAsia" w:hAnsi="Arial Narrow"/>
                <w:snapToGrid/>
                <w:sz w:val="20"/>
                <w:szCs w:val="20"/>
                <w:lang w:bidi="en-US"/>
              </w:rPr>
              <w:t xml:space="preserve"> 12 years</w:t>
            </w:r>
            <w:r w:rsidR="00BD0A70">
              <w:rPr>
                <w:rFonts w:ascii="Arial Narrow" w:eastAsiaTheme="majorEastAsia" w:hAnsi="Arial Narrow"/>
                <w:snapToGrid/>
                <w:sz w:val="20"/>
                <w:szCs w:val="20"/>
                <w:lang w:bidi="en-US"/>
              </w:rPr>
              <w:t>;</w:t>
            </w:r>
            <w:r w:rsidR="00996614">
              <w:rPr>
                <w:rFonts w:ascii="Arial Narrow" w:eastAsiaTheme="majorEastAsia" w:hAnsi="Arial Narrow"/>
                <w:snapToGrid/>
                <w:sz w:val="20"/>
                <w:szCs w:val="20"/>
                <w:lang w:bidi="en-US"/>
              </w:rPr>
              <w:t xml:space="preserve"> the</w:t>
            </w:r>
            <w:r w:rsidRPr="00AD10BE">
              <w:rPr>
                <w:rFonts w:ascii="Arial Narrow" w:eastAsiaTheme="majorEastAsia" w:hAnsi="Arial Narrow"/>
                <w:snapToGrid/>
                <w:sz w:val="20"/>
                <w:szCs w:val="20"/>
                <w:lang w:bidi="en-US"/>
              </w:rPr>
              <w:t xml:space="preserve"> </w:t>
            </w:r>
            <w:r w:rsidR="00996614" w:rsidRPr="00996614">
              <w:rPr>
                <w:rFonts w:ascii="Arial Narrow" w:eastAsiaTheme="majorEastAsia" w:hAnsi="Arial Narrow"/>
                <w:snapToGrid/>
                <w:sz w:val="20"/>
                <w:szCs w:val="20"/>
                <w:lang w:bidi="en-US"/>
              </w:rPr>
              <w:t>Advisory Committee on Medicines</w:t>
            </w:r>
            <w:r w:rsidR="00996614">
              <w:rPr>
                <w:rFonts w:ascii="Arial Narrow" w:eastAsiaTheme="majorEastAsia" w:hAnsi="Arial Narrow"/>
                <w:snapToGrid/>
                <w:sz w:val="20"/>
                <w:szCs w:val="20"/>
                <w:lang w:bidi="en-US"/>
              </w:rPr>
              <w:t xml:space="preserve"> agreed with this</w:t>
            </w:r>
            <w:r w:rsidR="00BD0A70">
              <w:rPr>
                <w:rFonts w:ascii="Arial Narrow" w:eastAsiaTheme="majorEastAsia" w:hAnsi="Arial Narrow"/>
                <w:snapToGrid/>
                <w:sz w:val="20"/>
                <w:szCs w:val="20"/>
                <w:lang w:bidi="en-US"/>
              </w:rPr>
              <w:t>.</w:t>
            </w:r>
          </w:p>
        </w:tc>
      </w:tr>
      <w:tr w:rsidR="008119AC" w:rsidRPr="005F47F8" w:rsidTr="000C187A">
        <w:trPr>
          <w:cantSplit/>
        </w:trPr>
        <w:tc>
          <w:tcPr>
            <w:tcW w:w="1162" w:type="dxa"/>
            <w:shd w:val="clear" w:color="auto" w:fill="auto"/>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Intervention</w:t>
            </w:r>
          </w:p>
        </w:tc>
        <w:tc>
          <w:tcPr>
            <w:tcW w:w="8018" w:type="dxa"/>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 xml:space="preserve">Benralizumab 30 mg by SC injection every 4 weeks for the first 3 doses, and then every </w:t>
            </w:r>
            <w:r w:rsidR="00EF447B" w:rsidRPr="005F47F8">
              <w:rPr>
                <w:rFonts w:ascii="Arial Narrow" w:eastAsiaTheme="majorEastAsia" w:hAnsi="Arial Narrow"/>
                <w:snapToGrid/>
                <w:sz w:val="20"/>
                <w:szCs w:val="20"/>
                <w:lang w:bidi="en-US"/>
              </w:rPr>
              <w:t>8</w:t>
            </w:r>
            <w:r w:rsidRPr="005F47F8">
              <w:rPr>
                <w:rFonts w:ascii="Arial Narrow" w:eastAsiaTheme="majorEastAsia" w:hAnsi="Arial Narrow"/>
                <w:snapToGrid/>
                <w:sz w:val="20"/>
                <w:szCs w:val="20"/>
                <w:lang w:bidi="en-US"/>
              </w:rPr>
              <w:t xml:space="preserve"> weeks thereafter, as an add-on to ICS and LABA therapy.</w:t>
            </w:r>
          </w:p>
        </w:tc>
      </w:tr>
      <w:tr w:rsidR="008119AC" w:rsidRPr="005F47F8" w:rsidTr="000C187A">
        <w:trPr>
          <w:cantSplit/>
        </w:trPr>
        <w:tc>
          <w:tcPr>
            <w:tcW w:w="1162" w:type="dxa"/>
            <w:shd w:val="clear" w:color="auto" w:fill="auto"/>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Comparator</w:t>
            </w:r>
          </w:p>
        </w:tc>
        <w:tc>
          <w:tcPr>
            <w:tcW w:w="8018" w:type="dxa"/>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 xml:space="preserve">Mepolizumab 100 mg SC injection every 4 weeks; </w:t>
            </w:r>
            <w:r w:rsidR="00167279" w:rsidRPr="005F47F8">
              <w:rPr>
                <w:rFonts w:ascii="Arial Narrow" w:eastAsiaTheme="majorEastAsia" w:hAnsi="Arial Narrow"/>
                <w:snapToGrid/>
                <w:sz w:val="20"/>
                <w:szCs w:val="20"/>
                <w:lang w:bidi="en-US"/>
              </w:rPr>
              <w:t>or</w:t>
            </w:r>
          </w:p>
          <w:p w:rsidR="008119AC"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Omalizumab SC injection every 2 or 4 weeks, dose depends on patient weight and IgE levels.</w:t>
            </w:r>
          </w:p>
          <w:p w:rsidR="003D2CE9" w:rsidRPr="00AD10BE" w:rsidRDefault="003D2CE9" w:rsidP="00F11F42">
            <w:pPr>
              <w:widowControl/>
              <w:spacing w:before="20" w:after="20" w:line="276" w:lineRule="auto"/>
              <w:jc w:val="left"/>
              <w:rPr>
                <w:rFonts w:ascii="Arial Narrow" w:eastAsiaTheme="majorEastAsia" w:hAnsi="Arial Narrow"/>
                <w:snapToGrid/>
                <w:sz w:val="20"/>
                <w:szCs w:val="20"/>
                <w:lang w:bidi="en-US"/>
              </w:rPr>
            </w:pPr>
            <w:r w:rsidRPr="00AD10BE">
              <w:rPr>
                <w:rFonts w:ascii="Arial Narrow" w:eastAsiaTheme="majorEastAsia" w:hAnsi="Arial Narrow"/>
                <w:snapToGrid/>
                <w:sz w:val="20"/>
                <w:szCs w:val="20"/>
                <w:lang w:bidi="en-US"/>
              </w:rPr>
              <w:t xml:space="preserve">The </w:t>
            </w:r>
            <w:r w:rsidR="000446EB">
              <w:rPr>
                <w:rFonts w:ascii="Arial Narrow" w:eastAsiaTheme="majorEastAsia" w:hAnsi="Arial Narrow"/>
                <w:snapToGrid/>
                <w:sz w:val="20"/>
                <w:szCs w:val="20"/>
                <w:lang w:bidi="en-US"/>
              </w:rPr>
              <w:t>PBAC</w:t>
            </w:r>
            <w:r w:rsidRPr="00AD10BE">
              <w:rPr>
                <w:rFonts w:ascii="Arial Narrow" w:eastAsiaTheme="majorEastAsia" w:hAnsi="Arial Narrow"/>
                <w:snapToGrid/>
                <w:sz w:val="20"/>
                <w:szCs w:val="20"/>
                <w:lang w:bidi="en-US"/>
              </w:rPr>
              <w:t xml:space="preserve"> considered that mepolizumab was the appropriate main comparator.</w:t>
            </w:r>
          </w:p>
        </w:tc>
      </w:tr>
      <w:tr w:rsidR="008119AC" w:rsidRPr="005F47F8" w:rsidTr="000C187A">
        <w:trPr>
          <w:cantSplit/>
        </w:trPr>
        <w:tc>
          <w:tcPr>
            <w:tcW w:w="1162" w:type="dxa"/>
            <w:shd w:val="clear" w:color="auto" w:fill="auto"/>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Outcomes</w:t>
            </w:r>
          </w:p>
        </w:tc>
        <w:tc>
          <w:tcPr>
            <w:tcW w:w="8018" w:type="dxa"/>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Key outcome: annual asthma exacerbation rate (which aligned with “clinically significant asthma exacerbations” which was the key outcome accepted by the PBAC for mepolizumab).</w:t>
            </w:r>
          </w:p>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Secondary outcomes: reduction in OCS dose, ACQ score, safety.</w:t>
            </w:r>
          </w:p>
        </w:tc>
      </w:tr>
      <w:tr w:rsidR="008119AC" w:rsidRPr="005F47F8" w:rsidTr="000C187A">
        <w:trPr>
          <w:cantSplit/>
        </w:trPr>
        <w:tc>
          <w:tcPr>
            <w:tcW w:w="1162" w:type="dxa"/>
            <w:shd w:val="clear" w:color="auto" w:fill="auto"/>
            <w:tcMar>
              <w:left w:w="28" w:type="dxa"/>
              <w:right w:w="28" w:type="dxa"/>
            </w:tcMar>
            <w:vAlign w:val="center"/>
          </w:tcPr>
          <w:p w:rsidR="008119AC" w:rsidRPr="005F47F8" w:rsidRDefault="008119AC"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Clinical claim</w:t>
            </w:r>
          </w:p>
        </w:tc>
        <w:tc>
          <w:tcPr>
            <w:tcW w:w="8018" w:type="dxa"/>
            <w:tcMar>
              <w:left w:w="28" w:type="dxa"/>
              <w:right w:w="28" w:type="dxa"/>
            </w:tcMar>
            <w:vAlign w:val="center"/>
          </w:tcPr>
          <w:p w:rsidR="008119AC" w:rsidRPr="005F47F8" w:rsidRDefault="00A07C6B" w:rsidP="00F11F42">
            <w:pPr>
              <w:widowControl/>
              <w:spacing w:before="20" w:after="20" w:line="276" w:lineRule="auto"/>
              <w:jc w:val="left"/>
              <w:rPr>
                <w:rFonts w:ascii="Arial Narrow" w:eastAsiaTheme="majorEastAsia" w:hAnsi="Arial Narrow"/>
                <w:snapToGrid/>
                <w:sz w:val="20"/>
                <w:szCs w:val="20"/>
                <w:lang w:bidi="en-US"/>
              </w:rPr>
            </w:pPr>
            <w:r w:rsidRPr="005F47F8">
              <w:rPr>
                <w:rFonts w:ascii="Arial Narrow" w:eastAsiaTheme="majorEastAsia" w:hAnsi="Arial Narrow"/>
                <w:snapToGrid/>
                <w:sz w:val="20"/>
                <w:szCs w:val="20"/>
                <w:lang w:bidi="en-US"/>
              </w:rPr>
              <w:t>The submission claimed that b</w:t>
            </w:r>
            <w:r w:rsidR="008119AC" w:rsidRPr="005F47F8">
              <w:rPr>
                <w:rFonts w:ascii="Arial Narrow" w:eastAsiaTheme="majorEastAsia" w:hAnsi="Arial Narrow"/>
                <w:snapToGrid/>
                <w:sz w:val="20"/>
                <w:szCs w:val="20"/>
                <w:lang w:bidi="en-US"/>
              </w:rPr>
              <w:t xml:space="preserve">enralizumab </w:t>
            </w:r>
            <w:r w:rsidRPr="005F47F8">
              <w:rPr>
                <w:rFonts w:ascii="Arial Narrow" w:eastAsiaTheme="majorEastAsia" w:hAnsi="Arial Narrow"/>
                <w:snapToGrid/>
                <w:sz w:val="20"/>
                <w:szCs w:val="20"/>
                <w:lang w:bidi="en-US"/>
              </w:rPr>
              <w:t>wa</w:t>
            </w:r>
            <w:r w:rsidR="008119AC" w:rsidRPr="005F47F8">
              <w:rPr>
                <w:rFonts w:ascii="Arial Narrow" w:eastAsiaTheme="majorEastAsia" w:hAnsi="Arial Narrow"/>
                <w:snapToGrid/>
                <w:sz w:val="20"/>
                <w:szCs w:val="20"/>
                <w:lang w:bidi="en-US"/>
              </w:rPr>
              <w:t xml:space="preserve">s non-inferior to mepolizumab </w:t>
            </w:r>
            <w:r w:rsidRPr="005F47F8">
              <w:rPr>
                <w:rFonts w:ascii="Arial Narrow" w:eastAsiaTheme="majorEastAsia" w:hAnsi="Arial Narrow"/>
                <w:snapToGrid/>
                <w:sz w:val="20"/>
                <w:szCs w:val="20"/>
                <w:lang w:bidi="en-US"/>
              </w:rPr>
              <w:t xml:space="preserve">and omalizumab </w:t>
            </w:r>
            <w:r w:rsidR="008119AC" w:rsidRPr="005F47F8">
              <w:rPr>
                <w:rFonts w:ascii="Arial Narrow" w:eastAsiaTheme="majorEastAsia" w:hAnsi="Arial Narrow"/>
                <w:snapToGrid/>
                <w:sz w:val="20"/>
                <w:szCs w:val="20"/>
                <w:lang w:bidi="en-US"/>
              </w:rPr>
              <w:t>in reducing asthma exacerbations and has a comparable safety profile.</w:t>
            </w:r>
            <w:r w:rsidR="00691505" w:rsidRPr="005F47F8">
              <w:rPr>
                <w:rFonts w:ascii="Arial Narrow" w:eastAsiaTheme="majorEastAsia" w:hAnsi="Arial Narrow"/>
                <w:snapToGrid/>
                <w:sz w:val="20"/>
                <w:szCs w:val="20"/>
                <w:lang w:bidi="en-US"/>
              </w:rPr>
              <w:t xml:space="preserve"> </w:t>
            </w:r>
          </w:p>
        </w:tc>
      </w:tr>
    </w:tbl>
    <w:p w:rsidR="008119AC" w:rsidRPr="005F47F8" w:rsidRDefault="008119AC" w:rsidP="003E6ED7">
      <w:pPr>
        <w:rPr>
          <w:rFonts w:ascii="Arial Narrow" w:hAnsi="Arial Narrow"/>
          <w:sz w:val="18"/>
        </w:rPr>
      </w:pPr>
      <w:r w:rsidRPr="005F47F8">
        <w:rPr>
          <w:rFonts w:ascii="Arial Narrow" w:hAnsi="Arial Narrow"/>
          <w:sz w:val="18"/>
        </w:rPr>
        <w:t>Source: Table 1.1, p9 of the submission</w:t>
      </w:r>
    </w:p>
    <w:p w:rsidR="003C6BA2" w:rsidRPr="003E6ED7" w:rsidRDefault="008119AC" w:rsidP="003E6ED7">
      <w:pPr>
        <w:rPr>
          <w:rFonts w:ascii="Arial Narrow" w:hAnsi="Arial Narrow"/>
          <w:sz w:val="18"/>
        </w:rPr>
      </w:pPr>
      <w:r w:rsidRPr="005F47F8">
        <w:rPr>
          <w:rFonts w:ascii="Arial Narrow" w:hAnsi="Arial Narrow"/>
          <w:sz w:val="18"/>
        </w:rPr>
        <w:t xml:space="preserve">ACQ = asthma </w:t>
      </w:r>
      <w:r w:rsidR="000C187A" w:rsidRPr="005F47F8">
        <w:rPr>
          <w:rFonts w:ascii="Arial Narrow" w:hAnsi="Arial Narrow"/>
          <w:sz w:val="18"/>
        </w:rPr>
        <w:t xml:space="preserve">control </w:t>
      </w:r>
      <w:r w:rsidRPr="005F47F8">
        <w:rPr>
          <w:rFonts w:ascii="Arial Narrow" w:hAnsi="Arial Narrow"/>
          <w:sz w:val="18"/>
        </w:rPr>
        <w:t xml:space="preserve">questionnaire; IgE = immunoglobulin E; ICS = inhaled corticosteroids; LABA = long acting beta-agonist; OCS = oral corticosteroid; PBAC = Pharmaceutical Benefits Advisory Committee; SC = subcutaneous </w:t>
      </w:r>
    </w:p>
    <w:p w:rsidR="008119AC" w:rsidRPr="005F47F8" w:rsidRDefault="008119AC" w:rsidP="00127CDA">
      <w:pPr>
        <w:pStyle w:val="PBACHeading1"/>
        <w:keepNext/>
      </w:pPr>
      <w:bookmarkStart w:id="2" w:name="_Toc502912704"/>
      <w:bookmarkStart w:id="3" w:name="_GoBack"/>
      <w:r w:rsidRPr="005F47F8">
        <w:t>Requested listing</w:t>
      </w:r>
      <w:bookmarkEnd w:id="2"/>
    </w:p>
    <w:bookmarkEnd w:id="3"/>
    <w:p w:rsidR="008119AC" w:rsidRPr="005F47F8" w:rsidRDefault="008119AC" w:rsidP="00AB5844">
      <w:pPr>
        <w:keepNext/>
        <w:rPr>
          <w:rFonts w:ascii="Arial Narrow" w:hAnsi="Arial Narrow"/>
          <w:b/>
          <w:sz w:val="20"/>
          <w:szCs w:val="16"/>
        </w:rPr>
      </w:pPr>
    </w:p>
    <w:p w:rsidR="008119AC" w:rsidRPr="005F47F8" w:rsidRDefault="008119AC" w:rsidP="00AB5844">
      <w:pPr>
        <w:keepNext/>
      </w:pPr>
      <w:r w:rsidRPr="005F47F8">
        <w:rPr>
          <w:rFonts w:ascii="Arial Narrow" w:hAnsi="Arial Narrow"/>
          <w:b/>
          <w:sz w:val="20"/>
          <w:szCs w:val="16"/>
        </w:rPr>
        <w:t>Initial treatment phase (abridged)</w:t>
      </w:r>
    </w:p>
    <w:tbl>
      <w:tblPr>
        <w:tblW w:w="5000" w:type="pct"/>
        <w:tblLayout w:type="fixed"/>
        <w:tblCellMar>
          <w:left w:w="28" w:type="dxa"/>
          <w:right w:w="28" w:type="dxa"/>
        </w:tblCellMar>
        <w:tblLook w:val="0000" w:firstRow="0" w:lastRow="0" w:firstColumn="0" w:lastColumn="0" w:noHBand="0" w:noVBand="0"/>
      </w:tblPr>
      <w:tblGrid>
        <w:gridCol w:w="1567"/>
        <w:gridCol w:w="1434"/>
        <w:gridCol w:w="547"/>
        <w:gridCol w:w="676"/>
        <w:gridCol w:w="2709"/>
        <w:gridCol w:w="2031"/>
      </w:tblGrid>
      <w:tr w:rsidR="008119AC" w:rsidRPr="005F47F8" w:rsidTr="002A2711">
        <w:trPr>
          <w:cantSplit/>
          <w:trHeight w:val="463"/>
        </w:trPr>
        <w:tc>
          <w:tcPr>
            <w:tcW w:w="1674" w:type="pct"/>
            <w:gridSpan w:val="2"/>
            <w:tcBorders>
              <w:top w:val="single" w:sz="4" w:space="0" w:color="auto"/>
              <w:bottom w:val="single" w:sz="4" w:space="0" w:color="auto"/>
            </w:tcBorders>
            <w:vAlign w:val="center"/>
          </w:tcPr>
          <w:p w:rsidR="008119AC" w:rsidRPr="005F47F8" w:rsidRDefault="008119AC" w:rsidP="00AB5844">
            <w:pPr>
              <w:keepNext/>
              <w:jc w:val="left"/>
              <w:rPr>
                <w:rFonts w:ascii="Arial Narrow" w:hAnsi="Arial Narrow"/>
                <w:b/>
                <w:sz w:val="20"/>
              </w:rPr>
            </w:pPr>
            <w:r w:rsidRPr="005F47F8">
              <w:rPr>
                <w:rFonts w:ascii="Arial Narrow" w:hAnsi="Arial Narrow"/>
                <w:b/>
                <w:sz w:val="20"/>
              </w:rPr>
              <w:t>Name, Restriction,</w:t>
            </w:r>
          </w:p>
          <w:p w:rsidR="008119AC" w:rsidRPr="005F47F8" w:rsidRDefault="008119AC" w:rsidP="00AB5844">
            <w:pPr>
              <w:keepNext/>
              <w:rPr>
                <w:rFonts w:ascii="Arial Narrow" w:hAnsi="Arial Narrow"/>
                <w:b/>
                <w:sz w:val="20"/>
              </w:rPr>
            </w:pPr>
            <w:r w:rsidRPr="005F47F8">
              <w:rPr>
                <w:rFonts w:ascii="Arial Narrow" w:hAnsi="Arial Narrow"/>
                <w:b/>
                <w:sz w:val="20"/>
              </w:rPr>
              <w:t>Manner of administration and form</w:t>
            </w:r>
          </w:p>
        </w:tc>
        <w:tc>
          <w:tcPr>
            <w:tcW w:w="305"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rPr>
            </w:pPr>
            <w:r w:rsidRPr="005F47F8">
              <w:rPr>
                <w:rFonts w:ascii="Arial Narrow" w:hAnsi="Arial Narrow"/>
                <w:b/>
                <w:sz w:val="20"/>
              </w:rPr>
              <w:t>Max.</w:t>
            </w:r>
          </w:p>
          <w:p w:rsidR="008119AC" w:rsidRPr="005F47F8" w:rsidRDefault="008119AC" w:rsidP="00AB5844">
            <w:pPr>
              <w:keepNext/>
              <w:jc w:val="center"/>
              <w:rPr>
                <w:rFonts w:ascii="Arial Narrow" w:hAnsi="Arial Narrow"/>
                <w:b/>
                <w:sz w:val="20"/>
              </w:rPr>
            </w:pPr>
            <w:r w:rsidRPr="005F47F8">
              <w:rPr>
                <w:rFonts w:ascii="Arial Narrow" w:hAnsi="Arial Narrow"/>
                <w:b/>
                <w:sz w:val="20"/>
              </w:rPr>
              <w:t xml:space="preserve">Qty </w:t>
            </w:r>
          </w:p>
        </w:tc>
        <w:tc>
          <w:tcPr>
            <w:tcW w:w="377"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rPr>
            </w:pPr>
            <w:r w:rsidRPr="005F47F8">
              <w:rPr>
                <w:rFonts w:ascii="Arial Narrow" w:hAnsi="Arial Narrow" w:cs="Times New Roman"/>
                <w:b/>
                <w:sz w:val="20"/>
              </w:rPr>
              <w:t>№</w:t>
            </w:r>
            <w:r w:rsidRPr="005F47F8">
              <w:rPr>
                <w:rFonts w:ascii="Arial Narrow" w:hAnsi="Arial Narrow"/>
                <w:b/>
                <w:sz w:val="20"/>
              </w:rPr>
              <w:t>.of</w:t>
            </w:r>
          </w:p>
          <w:p w:rsidR="008119AC" w:rsidRPr="005F47F8" w:rsidRDefault="008119AC" w:rsidP="00AB5844">
            <w:pPr>
              <w:keepNext/>
              <w:jc w:val="center"/>
              <w:rPr>
                <w:rFonts w:ascii="Arial Narrow" w:hAnsi="Arial Narrow"/>
                <w:b/>
                <w:sz w:val="20"/>
              </w:rPr>
            </w:pPr>
            <w:r w:rsidRPr="005F47F8">
              <w:rPr>
                <w:rFonts w:ascii="Arial Narrow" w:hAnsi="Arial Narrow"/>
                <w:b/>
                <w:sz w:val="20"/>
              </w:rPr>
              <w:t>Rpts</w:t>
            </w:r>
          </w:p>
        </w:tc>
        <w:tc>
          <w:tcPr>
            <w:tcW w:w="1511"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rPr>
            </w:pPr>
            <w:r w:rsidRPr="005F47F8">
              <w:rPr>
                <w:rFonts w:ascii="Arial Narrow" w:hAnsi="Arial Narrow"/>
                <w:b/>
                <w:sz w:val="20"/>
              </w:rPr>
              <w:t xml:space="preserve">Dispensed Price for Max. Qty </w:t>
            </w:r>
          </w:p>
        </w:tc>
        <w:tc>
          <w:tcPr>
            <w:tcW w:w="1133"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lang w:val="fr-FR"/>
              </w:rPr>
            </w:pPr>
            <w:r w:rsidRPr="005F47F8">
              <w:rPr>
                <w:rFonts w:ascii="Arial Narrow" w:hAnsi="Arial Narrow"/>
                <w:b/>
                <w:sz w:val="20"/>
              </w:rPr>
              <w:t>Proprietary Name and Manufacturer</w:t>
            </w:r>
          </w:p>
        </w:tc>
      </w:tr>
      <w:tr w:rsidR="008119AC" w:rsidRPr="005F47F8" w:rsidTr="002A2711">
        <w:trPr>
          <w:cantSplit/>
          <w:trHeight w:val="469"/>
        </w:trPr>
        <w:tc>
          <w:tcPr>
            <w:tcW w:w="1674" w:type="pct"/>
            <w:gridSpan w:val="2"/>
          </w:tcPr>
          <w:p w:rsidR="008119AC" w:rsidRPr="005F47F8" w:rsidRDefault="008119AC" w:rsidP="00AB5844">
            <w:pPr>
              <w:keepNext/>
              <w:jc w:val="left"/>
              <w:rPr>
                <w:rFonts w:ascii="Arial Narrow" w:hAnsi="Arial Narrow"/>
                <w:sz w:val="20"/>
              </w:rPr>
            </w:pPr>
            <w:r w:rsidRPr="005F47F8">
              <w:rPr>
                <w:rFonts w:ascii="Arial Narrow" w:hAnsi="Arial Narrow"/>
                <w:smallCaps/>
                <w:sz w:val="20"/>
              </w:rPr>
              <w:t xml:space="preserve">BENRALIZUMAB </w:t>
            </w:r>
          </w:p>
          <w:p w:rsidR="008119AC" w:rsidRPr="005F47F8" w:rsidRDefault="008119AC" w:rsidP="00AB5844">
            <w:pPr>
              <w:keepNext/>
              <w:jc w:val="left"/>
              <w:rPr>
                <w:rFonts w:ascii="Arial Narrow" w:hAnsi="Arial Narrow"/>
                <w:sz w:val="20"/>
              </w:rPr>
            </w:pPr>
            <w:r w:rsidRPr="005F47F8">
              <w:rPr>
                <w:rFonts w:ascii="Arial Narrow" w:hAnsi="Arial Narrow"/>
                <w:sz w:val="20"/>
              </w:rPr>
              <w:t>30 mg in 1 mL injection (prefilled syringe)</w:t>
            </w:r>
          </w:p>
        </w:tc>
        <w:tc>
          <w:tcPr>
            <w:tcW w:w="305" w:type="pct"/>
            <w:tcBorders>
              <w:top w:val="single" w:sz="4" w:space="0" w:color="auto"/>
            </w:tcBorders>
          </w:tcPr>
          <w:p w:rsidR="008119AC" w:rsidRPr="005F47F8" w:rsidRDefault="008119AC" w:rsidP="00AB5844">
            <w:pPr>
              <w:keepNext/>
              <w:jc w:val="center"/>
              <w:rPr>
                <w:rFonts w:ascii="Arial Narrow" w:hAnsi="Arial Narrow"/>
                <w:sz w:val="20"/>
              </w:rPr>
            </w:pPr>
            <w:r w:rsidRPr="005F47F8">
              <w:rPr>
                <w:rFonts w:ascii="Arial Narrow" w:hAnsi="Arial Narrow"/>
                <w:sz w:val="20"/>
              </w:rPr>
              <w:t>1</w:t>
            </w:r>
          </w:p>
        </w:tc>
        <w:tc>
          <w:tcPr>
            <w:tcW w:w="377" w:type="pct"/>
            <w:tcBorders>
              <w:top w:val="single" w:sz="4" w:space="0" w:color="auto"/>
            </w:tcBorders>
          </w:tcPr>
          <w:p w:rsidR="008119AC" w:rsidRPr="005F47F8" w:rsidRDefault="008119AC" w:rsidP="00AB5844">
            <w:pPr>
              <w:keepNext/>
              <w:jc w:val="center"/>
              <w:rPr>
                <w:rFonts w:ascii="Arial Narrow" w:hAnsi="Arial Narrow"/>
                <w:sz w:val="20"/>
              </w:rPr>
            </w:pPr>
            <w:r w:rsidRPr="005F47F8">
              <w:rPr>
                <w:rFonts w:ascii="Arial Narrow" w:hAnsi="Arial Narrow"/>
                <w:sz w:val="20"/>
              </w:rPr>
              <w:t>4</w:t>
            </w:r>
          </w:p>
        </w:tc>
        <w:tc>
          <w:tcPr>
            <w:tcW w:w="1511" w:type="pct"/>
            <w:tcBorders>
              <w:top w:val="single" w:sz="4" w:space="0" w:color="auto"/>
            </w:tcBorders>
          </w:tcPr>
          <w:p w:rsidR="008119AC" w:rsidRPr="005F47F8" w:rsidRDefault="008119AC" w:rsidP="00AB5844">
            <w:pPr>
              <w:keepNext/>
              <w:jc w:val="center"/>
              <w:rPr>
                <w:rFonts w:ascii="Arial Narrow" w:hAnsi="Arial Narrow"/>
                <w:sz w:val="20"/>
              </w:rPr>
            </w:pPr>
            <w:r w:rsidRPr="005F47F8">
              <w:rPr>
                <w:rFonts w:ascii="Arial Narrow" w:hAnsi="Arial Narrow"/>
                <w:sz w:val="20"/>
              </w:rPr>
              <w:t>Public (published): $</w:t>
            </w:r>
            <w:r w:rsidR="00127CDA">
              <w:rPr>
                <w:rFonts w:ascii="Arial Narrow" w:hAnsi="Arial Narrow"/>
                <w:noProof/>
                <w:color w:val="000000"/>
                <w:sz w:val="20"/>
                <w:highlight w:val="black"/>
              </w:rPr>
              <w:t>'''''''''''''''''''''</w:t>
            </w:r>
          </w:p>
          <w:p w:rsidR="008119AC" w:rsidRPr="005F47F8" w:rsidRDefault="008119AC" w:rsidP="00AB5844">
            <w:pPr>
              <w:keepNext/>
              <w:jc w:val="center"/>
              <w:rPr>
                <w:rFonts w:ascii="Arial Narrow" w:hAnsi="Arial Narrow"/>
                <w:sz w:val="20"/>
              </w:rPr>
            </w:pPr>
            <w:r w:rsidRPr="005F47F8">
              <w:rPr>
                <w:rFonts w:ascii="Arial Narrow" w:hAnsi="Arial Narrow"/>
                <w:sz w:val="20"/>
              </w:rPr>
              <w:t>Private (published): $</w:t>
            </w:r>
            <w:r w:rsidR="00127CDA">
              <w:rPr>
                <w:rFonts w:ascii="Arial Narrow" w:hAnsi="Arial Narrow"/>
                <w:noProof/>
                <w:color w:val="000000"/>
                <w:sz w:val="20"/>
                <w:highlight w:val="black"/>
              </w:rPr>
              <w:t>''''''''''''''''''''</w:t>
            </w:r>
          </w:p>
          <w:p w:rsidR="008119AC" w:rsidRPr="005F47F8" w:rsidRDefault="008119AC" w:rsidP="00AB5844">
            <w:pPr>
              <w:keepNext/>
              <w:jc w:val="center"/>
              <w:rPr>
                <w:rFonts w:ascii="Arial Narrow" w:hAnsi="Arial Narrow"/>
                <w:sz w:val="20"/>
              </w:rPr>
            </w:pPr>
            <w:r w:rsidRPr="005F47F8">
              <w:rPr>
                <w:rFonts w:ascii="Arial Narrow" w:hAnsi="Arial Narrow"/>
                <w:sz w:val="20"/>
              </w:rPr>
              <w:t xml:space="preserve">Effective price: </w:t>
            </w:r>
            <w:r w:rsidR="009109C1" w:rsidRPr="005F47F8">
              <w:rPr>
                <w:rFonts w:ascii="Arial Narrow" w:hAnsi="Arial Narrow"/>
                <w:sz w:val="20"/>
              </w:rPr>
              <w:t>based on</w:t>
            </w:r>
            <w:r w:rsidR="00167279" w:rsidRPr="005F47F8">
              <w:rPr>
                <w:rFonts w:ascii="Arial Narrow" w:hAnsi="Arial Narrow"/>
                <w:sz w:val="20"/>
              </w:rPr>
              <w:t xml:space="preserve"> comparators</w:t>
            </w:r>
          </w:p>
        </w:tc>
        <w:tc>
          <w:tcPr>
            <w:tcW w:w="1133" w:type="pct"/>
          </w:tcPr>
          <w:p w:rsidR="008119AC" w:rsidRPr="005F47F8" w:rsidRDefault="008119AC" w:rsidP="00AB5844">
            <w:pPr>
              <w:keepNext/>
              <w:jc w:val="center"/>
              <w:rPr>
                <w:rFonts w:ascii="Arial Narrow" w:hAnsi="Arial Narrow"/>
                <w:sz w:val="20"/>
              </w:rPr>
            </w:pPr>
            <w:r w:rsidRPr="005F47F8">
              <w:rPr>
                <w:rFonts w:ascii="Arial Narrow" w:hAnsi="Arial Narrow"/>
                <w:sz w:val="20"/>
              </w:rPr>
              <w:t>Fasenra</w:t>
            </w:r>
            <w:r w:rsidRPr="005F47F8">
              <w:rPr>
                <w:rFonts w:ascii="Arial Narrow" w:hAnsi="Arial Narrow"/>
                <w:sz w:val="20"/>
                <w:vertAlign w:val="superscript"/>
              </w:rPr>
              <w:t>®</w:t>
            </w:r>
          </w:p>
          <w:p w:rsidR="008119AC" w:rsidRPr="005F47F8" w:rsidRDefault="00F11F42" w:rsidP="00AB5844">
            <w:pPr>
              <w:keepNext/>
              <w:jc w:val="center"/>
              <w:rPr>
                <w:rFonts w:ascii="Arial Narrow" w:hAnsi="Arial Narrow"/>
                <w:sz w:val="20"/>
              </w:rPr>
            </w:pPr>
            <w:r w:rsidRPr="005F47F8">
              <w:rPr>
                <w:rFonts w:ascii="Arial Narrow" w:hAnsi="Arial Narrow"/>
                <w:sz w:val="20"/>
              </w:rPr>
              <w:t>AstraZeneca</w:t>
            </w:r>
            <w:r w:rsidR="008119AC" w:rsidRPr="005F47F8">
              <w:rPr>
                <w:rFonts w:ascii="Arial Narrow" w:hAnsi="Arial Narrow"/>
                <w:sz w:val="20"/>
              </w:rPr>
              <w:t xml:space="preserve"> Pty Ltd</w:t>
            </w:r>
          </w:p>
        </w:tc>
      </w:tr>
      <w:tr w:rsidR="008119AC" w:rsidRPr="005F47F8" w:rsidTr="002A2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Category/Program:</w:t>
            </w:r>
          </w:p>
        </w:tc>
        <w:tc>
          <w:tcPr>
            <w:tcW w:w="4126"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Section 100  Highly Specialised Drug Program - public and private</w:t>
            </w:r>
          </w:p>
        </w:tc>
      </w:tr>
      <w:tr w:rsidR="008119AC" w:rsidRPr="005F47F8" w:rsidTr="002A2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PBS indication:</w:t>
            </w:r>
          </w:p>
        </w:tc>
        <w:tc>
          <w:tcPr>
            <w:tcW w:w="4126"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rPr>
              <w:t>Uncontrolled severe eosinophilic asthma</w:t>
            </w:r>
          </w:p>
        </w:tc>
      </w:tr>
      <w:tr w:rsidR="008119AC" w:rsidRPr="005F47F8" w:rsidTr="002A2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Treatment phase:</w:t>
            </w:r>
          </w:p>
        </w:tc>
        <w:tc>
          <w:tcPr>
            <w:tcW w:w="4126"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Initial</w:t>
            </w:r>
          </w:p>
        </w:tc>
      </w:tr>
      <w:tr w:rsidR="008119AC" w:rsidRPr="005F47F8" w:rsidTr="002A2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Restriction:</w:t>
            </w:r>
          </w:p>
        </w:tc>
        <w:tc>
          <w:tcPr>
            <w:tcW w:w="4126"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Authority Required – In Writing</w:t>
            </w:r>
          </w:p>
        </w:tc>
      </w:tr>
      <w:tr w:rsidR="008119AC" w:rsidRPr="005F47F8" w:rsidTr="002A2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Clinical criteria:</w:t>
            </w:r>
          </w:p>
        </w:tc>
        <w:tc>
          <w:tcPr>
            <w:tcW w:w="4126"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3F53CD">
            <w:pPr>
              <w:keepNext/>
              <w:widowControl/>
              <w:numPr>
                <w:ilvl w:val="0"/>
                <w:numId w:val="4"/>
              </w:numPr>
              <w:ind w:left="0"/>
              <w:rPr>
                <w:rFonts w:ascii="Arial Narrow" w:hAnsi="Arial Narrow"/>
                <w:snapToGrid/>
                <w:color w:val="222222"/>
                <w:sz w:val="20"/>
                <w:szCs w:val="20"/>
                <w:lang w:val="en-GB"/>
              </w:rPr>
            </w:pPr>
            <w:r w:rsidRPr="005F47F8">
              <w:rPr>
                <w:rFonts w:ascii="Arial Narrow" w:hAnsi="Arial Narrow"/>
                <w:snapToGrid/>
                <w:color w:val="222222"/>
                <w:sz w:val="20"/>
                <w:szCs w:val="20"/>
                <w:lang w:val="en-GB"/>
              </w:rPr>
              <w:t>Patient must have a duration of asthma of at least 1 year,</w:t>
            </w:r>
          </w:p>
          <w:p w:rsidR="008119AC" w:rsidRPr="005F47F8" w:rsidRDefault="008119AC" w:rsidP="00AB5844">
            <w:pPr>
              <w:keepNext/>
              <w:widowControl/>
              <w:rPr>
                <w:rFonts w:ascii="Arial Narrow" w:hAnsi="Arial Narrow"/>
                <w:snapToGrid/>
                <w:color w:val="222222"/>
                <w:sz w:val="20"/>
                <w:szCs w:val="20"/>
                <w:lang w:val="en-GB"/>
              </w:rPr>
            </w:pPr>
            <w:r w:rsidRPr="005F47F8">
              <w:rPr>
                <w:rFonts w:ascii="Arial Narrow" w:hAnsi="Arial Narrow"/>
                <w:bCs/>
                <w:snapToGrid/>
                <w:color w:val="222222"/>
                <w:sz w:val="20"/>
                <w:szCs w:val="20"/>
                <w:bdr w:val="none" w:sz="0" w:space="0" w:color="auto" w:frame="1"/>
                <w:lang w:val="en-GB"/>
              </w:rPr>
              <w:t>AND</w:t>
            </w:r>
          </w:p>
          <w:p w:rsidR="008119AC" w:rsidRPr="005F47F8" w:rsidRDefault="008119AC" w:rsidP="003F53CD">
            <w:pPr>
              <w:keepNext/>
              <w:widowControl/>
              <w:numPr>
                <w:ilvl w:val="0"/>
                <w:numId w:val="5"/>
              </w:numPr>
              <w:ind w:left="0"/>
              <w:rPr>
                <w:rFonts w:ascii="Arial Narrow" w:hAnsi="Arial Narrow"/>
                <w:snapToGrid/>
                <w:color w:val="222222"/>
                <w:sz w:val="20"/>
                <w:szCs w:val="20"/>
                <w:lang w:val="en-GB"/>
              </w:rPr>
            </w:pPr>
            <w:r w:rsidRPr="005F47F8">
              <w:rPr>
                <w:rFonts w:ascii="Arial Narrow" w:hAnsi="Arial Narrow"/>
                <w:snapToGrid/>
                <w:color w:val="222222"/>
                <w:sz w:val="20"/>
                <w:szCs w:val="20"/>
                <w:lang w:val="en-GB"/>
              </w:rPr>
              <w:t>Patient must have forced expiratory volume (FEV</w:t>
            </w:r>
            <w:r w:rsidRPr="005F47F8">
              <w:rPr>
                <w:rFonts w:ascii="Arial Narrow" w:hAnsi="Arial Narrow"/>
                <w:snapToGrid/>
                <w:color w:val="222222"/>
                <w:sz w:val="20"/>
                <w:szCs w:val="20"/>
                <w:vertAlign w:val="subscript"/>
                <w:lang w:val="en-GB"/>
              </w:rPr>
              <w:t>1</w:t>
            </w:r>
            <w:r w:rsidRPr="005F47F8">
              <w:rPr>
                <w:rFonts w:ascii="Arial Narrow" w:hAnsi="Arial Narrow"/>
                <w:snapToGrid/>
                <w:color w:val="222222"/>
                <w:sz w:val="20"/>
                <w:szCs w:val="20"/>
                <w:lang w:val="en-GB"/>
              </w:rPr>
              <w:t>) less than or equal to 80% predicted, documented on 1 or more occasions in the previous 12 months,</w:t>
            </w:r>
          </w:p>
          <w:p w:rsidR="008119AC" w:rsidRPr="005F47F8" w:rsidRDefault="008119AC" w:rsidP="00AB5844">
            <w:pPr>
              <w:keepNext/>
              <w:widowControl/>
              <w:rPr>
                <w:rFonts w:ascii="Arial Narrow" w:hAnsi="Arial Narrow"/>
                <w:snapToGrid/>
                <w:color w:val="222222"/>
                <w:sz w:val="20"/>
                <w:szCs w:val="20"/>
                <w:lang w:val="en-GB"/>
              </w:rPr>
            </w:pPr>
            <w:r w:rsidRPr="005F47F8">
              <w:rPr>
                <w:rFonts w:ascii="Arial Narrow" w:hAnsi="Arial Narrow"/>
                <w:bCs/>
                <w:snapToGrid/>
                <w:color w:val="222222"/>
                <w:sz w:val="20"/>
                <w:szCs w:val="20"/>
                <w:bdr w:val="none" w:sz="0" w:space="0" w:color="auto" w:frame="1"/>
                <w:lang w:val="en-GB"/>
              </w:rPr>
              <w:t>AND</w:t>
            </w:r>
          </w:p>
          <w:p w:rsidR="008119AC" w:rsidRPr="005F47F8" w:rsidRDefault="008119AC" w:rsidP="003F53CD">
            <w:pPr>
              <w:keepNext/>
              <w:widowControl/>
              <w:numPr>
                <w:ilvl w:val="0"/>
                <w:numId w:val="6"/>
              </w:numPr>
              <w:ind w:left="0"/>
              <w:rPr>
                <w:rFonts w:ascii="Arial Narrow" w:hAnsi="Arial Narrow"/>
                <w:snapToGrid/>
                <w:color w:val="222222"/>
                <w:sz w:val="20"/>
                <w:szCs w:val="20"/>
                <w:lang w:val="en-GB"/>
              </w:rPr>
            </w:pPr>
            <w:r w:rsidRPr="005F47F8">
              <w:rPr>
                <w:rFonts w:ascii="Arial Narrow" w:hAnsi="Arial Narrow"/>
                <w:snapToGrid/>
                <w:color w:val="222222"/>
                <w:sz w:val="20"/>
                <w:szCs w:val="20"/>
                <w:lang w:val="en-GB"/>
              </w:rPr>
              <w:t>Patient must have blood eosinophil count greater than or equal to 300 cells per microlitre in the last 6 weeks,</w:t>
            </w:r>
          </w:p>
          <w:p w:rsidR="008119AC" w:rsidRPr="005F47F8" w:rsidRDefault="008119AC" w:rsidP="00AB5844">
            <w:pPr>
              <w:keepNext/>
              <w:widowControl/>
              <w:rPr>
                <w:rFonts w:ascii="Arial Narrow" w:hAnsi="Arial Narrow"/>
                <w:snapToGrid/>
                <w:color w:val="222222"/>
                <w:sz w:val="20"/>
                <w:szCs w:val="20"/>
                <w:lang w:val="en-GB"/>
              </w:rPr>
            </w:pPr>
            <w:r w:rsidRPr="005F47F8">
              <w:rPr>
                <w:rFonts w:ascii="Arial Narrow" w:hAnsi="Arial Narrow"/>
                <w:bCs/>
                <w:snapToGrid/>
                <w:color w:val="222222"/>
                <w:sz w:val="20"/>
                <w:szCs w:val="20"/>
                <w:bdr w:val="none" w:sz="0" w:space="0" w:color="auto" w:frame="1"/>
                <w:lang w:val="en-GB"/>
              </w:rPr>
              <w:t>AND</w:t>
            </w:r>
          </w:p>
          <w:p w:rsidR="008119AC" w:rsidRPr="005F47F8" w:rsidRDefault="008119AC" w:rsidP="003F53CD">
            <w:pPr>
              <w:keepNext/>
              <w:widowControl/>
              <w:numPr>
                <w:ilvl w:val="0"/>
                <w:numId w:val="7"/>
              </w:numPr>
              <w:ind w:left="0"/>
              <w:rPr>
                <w:rFonts w:ascii="Arial Narrow" w:hAnsi="Arial Narrow"/>
                <w:snapToGrid/>
                <w:color w:val="222222"/>
                <w:sz w:val="20"/>
                <w:szCs w:val="20"/>
                <w:lang w:val="en-GB"/>
              </w:rPr>
            </w:pPr>
            <w:r w:rsidRPr="005F47F8">
              <w:rPr>
                <w:rFonts w:ascii="Arial Narrow" w:hAnsi="Arial Narrow"/>
                <w:snapToGrid/>
                <w:color w:val="222222"/>
                <w:sz w:val="20"/>
                <w:szCs w:val="20"/>
                <w:lang w:val="en-GB"/>
              </w:rPr>
              <w:t>Patient must have failed to achieve adequate control with optimised asthma therapy, despite formal assessment of and adherence to correct inhaler technique, which has been documented,</w:t>
            </w:r>
          </w:p>
          <w:p w:rsidR="008119AC" w:rsidRPr="005F47F8" w:rsidRDefault="008119AC" w:rsidP="00AB5844">
            <w:pPr>
              <w:keepNext/>
              <w:widowControl/>
              <w:rPr>
                <w:rFonts w:ascii="Arial Narrow" w:hAnsi="Arial Narrow"/>
                <w:snapToGrid/>
                <w:color w:val="222222"/>
                <w:sz w:val="20"/>
                <w:szCs w:val="20"/>
                <w:lang w:val="en-GB"/>
              </w:rPr>
            </w:pPr>
            <w:r w:rsidRPr="005F47F8">
              <w:rPr>
                <w:rFonts w:ascii="Arial Narrow" w:hAnsi="Arial Narrow"/>
                <w:bCs/>
                <w:snapToGrid/>
                <w:color w:val="222222"/>
                <w:sz w:val="20"/>
                <w:szCs w:val="20"/>
                <w:bdr w:val="none" w:sz="0" w:space="0" w:color="auto" w:frame="1"/>
                <w:lang w:val="en-GB"/>
              </w:rPr>
              <w:t>AND</w:t>
            </w:r>
          </w:p>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snapToGrid/>
                <w:color w:val="222222"/>
                <w:sz w:val="20"/>
                <w:szCs w:val="20"/>
              </w:rPr>
              <w:t>The treatment must not be used in combination with, or within 6 months of treatment with, PBS</w:t>
            </w:r>
            <w:r w:rsidRPr="005F47F8">
              <w:rPr>
                <w:rFonts w:ascii="Arial Narrow" w:hAnsi="Arial Narrow"/>
                <w:snapToGrid/>
                <w:color w:val="222222"/>
                <w:sz w:val="20"/>
                <w:szCs w:val="20"/>
              </w:rPr>
              <w:noBreakHyphen/>
              <w:t>subsidised omalizumab or mepolizumab.</w:t>
            </w:r>
          </w:p>
        </w:tc>
      </w:tr>
      <w:tr w:rsidR="008119AC" w:rsidRPr="005F47F8" w:rsidTr="002A2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4" w:type="pct"/>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color w:val="000000"/>
                <w:sz w:val="20"/>
                <w:szCs w:val="24"/>
                <w:lang w:eastAsia="en-AU"/>
              </w:rPr>
            </w:pPr>
            <w:r w:rsidRPr="005F47F8">
              <w:rPr>
                <w:rFonts w:ascii="Arial Narrow" w:hAnsi="Arial Narrow" w:cs="Times New Roman"/>
                <w:snapToGrid/>
                <w:sz w:val="20"/>
                <w:lang w:eastAsia="en-AU"/>
              </w:rPr>
              <w:t>Population criteria:</w:t>
            </w:r>
          </w:p>
        </w:tc>
        <w:tc>
          <w:tcPr>
            <w:tcW w:w="4126"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rPr>
                <w:rFonts w:ascii="Arial Narrow" w:hAnsi="Arial Narrow"/>
                <w:snapToGrid/>
                <w:color w:val="222222"/>
                <w:sz w:val="20"/>
                <w:szCs w:val="20"/>
                <w:lang w:eastAsia="en-AU" w:bidi="en-US"/>
              </w:rPr>
            </w:pPr>
            <w:r w:rsidRPr="005F47F8">
              <w:rPr>
                <w:rFonts w:ascii="Arial Narrow" w:hAnsi="Arial Narrow"/>
                <w:snapToGrid/>
                <w:color w:val="222222"/>
                <w:sz w:val="20"/>
                <w:szCs w:val="20"/>
                <w:lang w:eastAsia="en-AU" w:bidi="en-US"/>
              </w:rPr>
              <w:t>Patient must be aged 18 years or older.</w:t>
            </w:r>
          </w:p>
          <w:p w:rsidR="008119AC" w:rsidRPr="005F47F8" w:rsidRDefault="008119AC" w:rsidP="00AB5844">
            <w:pPr>
              <w:keepNext/>
              <w:widowControl/>
              <w:rPr>
                <w:rFonts w:ascii="Arial Narrow" w:hAnsi="Arial Narrow"/>
                <w:snapToGrid/>
                <w:color w:val="222222"/>
                <w:sz w:val="20"/>
                <w:szCs w:val="20"/>
                <w:lang w:val="en-GB"/>
              </w:rPr>
            </w:pPr>
            <w:r w:rsidRPr="005F47F8">
              <w:rPr>
                <w:rFonts w:ascii="Arial Narrow" w:hAnsi="Arial Narrow"/>
                <w:snapToGrid/>
                <w:color w:val="222222"/>
                <w:sz w:val="20"/>
                <w:szCs w:val="20"/>
                <w:lang w:val="en-GB"/>
              </w:rPr>
              <w:t>The following initiation criteria indicate failure to achieve adequate control and must be demonstrated in all patients at the time of the application:</w:t>
            </w:r>
          </w:p>
          <w:p w:rsidR="008119AC" w:rsidRPr="005F47F8" w:rsidRDefault="008119AC" w:rsidP="00AB5844">
            <w:pPr>
              <w:keepNext/>
              <w:widowControl/>
              <w:rPr>
                <w:rFonts w:ascii="Arial Narrow" w:hAnsi="Arial Narrow"/>
                <w:snapToGrid/>
                <w:color w:val="222222"/>
                <w:sz w:val="20"/>
                <w:szCs w:val="20"/>
                <w:lang w:val="en-GB"/>
              </w:rPr>
            </w:pPr>
            <w:r w:rsidRPr="005F47F8">
              <w:rPr>
                <w:rFonts w:ascii="Arial Narrow" w:hAnsi="Arial Narrow"/>
                <w:snapToGrid/>
                <w:color w:val="222222"/>
                <w:sz w:val="20"/>
                <w:szCs w:val="20"/>
                <w:lang w:val="en-GB"/>
              </w:rPr>
              <w:t>(a) an Asthma Control Questionnaire (ACQ</w:t>
            </w:r>
            <w:r w:rsidRPr="005F47F8">
              <w:rPr>
                <w:rFonts w:ascii="Arial Narrow" w:hAnsi="Arial Narrow"/>
                <w:snapToGrid/>
                <w:color w:val="222222"/>
                <w:sz w:val="20"/>
                <w:szCs w:val="20"/>
                <w:lang w:val="en-GB"/>
              </w:rPr>
              <w:noBreakHyphen/>
              <w:t>5) score of at least 2.0, as assessed in the previous month, AND</w:t>
            </w:r>
          </w:p>
          <w:p w:rsidR="008119AC" w:rsidRPr="005F47F8" w:rsidRDefault="008119AC" w:rsidP="00AB5844">
            <w:pPr>
              <w:keepNext/>
              <w:widowControl/>
              <w:jc w:val="left"/>
              <w:rPr>
                <w:rFonts w:ascii="Arial Narrow" w:hAnsi="Arial Narrow" w:cs="Times New Roman"/>
                <w:snapToGrid/>
                <w:color w:val="000000"/>
                <w:sz w:val="20"/>
                <w:szCs w:val="24"/>
                <w:lang w:eastAsia="en-AU"/>
              </w:rPr>
            </w:pPr>
            <w:r w:rsidRPr="005F47F8">
              <w:rPr>
                <w:rFonts w:ascii="Arial Narrow" w:hAnsi="Arial Narrow"/>
                <w:snapToGrid/>
                <w:color w:val="222222"/>
                <w:sz w:val="20"/>
                <w:szCs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tc>
      </w:tr>
    </w:tbl>
    <w:p w:rsidR="003E6ED7" w:rsidRDefault="003E6ED7" w:rsidP="00AB5844">
      <w:pPr>
        <w:keepNext/>
        <w:rPr>
          <w:rFonts w:ascii="Arial Narrow" w:hAnsi="Arial Narrow"/>
          <w:b/>
          <w:sz w:val="20"/>
          <w:szCs w:val="16"/>
        </w:rPr>
      </w:pPr>
    </w:p>
    <w:p w:rsidR="003E6ED7" w:rsidRDefault="003E6ED7">
      <w:pPr>
        <w:widowControl/>
        <w:jc w:val="left"/>
        <w:rPr>
          <w:rFonts w:ascii="Arial Narrow" w:hAnsi="Arial Narrow"/>
          <w:b/>
          <w:sz w:val="20"/>
          <w:szCs w:val="16"/>
        </w:rPr>
      </w:pPr>
      <w:r>
        <w:rPr>
          <w:rFonts w:ascii="Arial Narrow" w:hAnsi="Arial Narrow"/>
          <w:b/>
          <w:sz w:val="20"/>
          <w:szCs w:val="16"/>
        </w:rPr>
        <w:br w:type="page"/>
      </w:r>
    </w:p>
    <w:p w:rsidR="008119AC" w:rsidRPr="005F47F8" w:rsidRDefault="008119AC" w:rsidP="00AB5844">
      <w:pPr>
        <w:keepNext/>
      </w:pPr>
      <w:r w:rsidRPr="005F47F8">
        <w:rPr>
          <w:rFonts w:ascii="Arial Narrow" w:hAnsi="Arial Narrow"/>
          <w:b/>
          <w:sz w:val="20"/>
          <w:szCs w:val="16"/>
        </w:rPr>
        <w:lastRenderedPageBreak/>
        <w:t>Continuing treatment phase (abridged)</w:t>
      </w:r>
    </w:p>
    <w:tbl>
      <w:tblPr>
        <w:tblW w:w="5000" w:type="pct"/>
        <w:tblLayout w:type="fixed"/>
        <w:tblCellMar>
          <w:left w:w="28" w:type="dxa"/>
          <w:right w:w="28" w:type="dxa"/>
        </w:tblCellMar>
        <w:tblLook w:val="0000" w:firstRow="0" w:lastRow="0" w:firstColumn="0" w:lastColumn="0" w:noHBand="0" w:noVBand="0"/>
      </w:tblPr>
      <w:tblGrid>
        <w:gridCol w:w="26"/>
        <w:gridCol w:w="1562"/>
        <w:gridCol w:w="1413"/>
        <w:gridCol w:w="547"/>
        <w:gridCol w:w="676"/>
        <w:gridCol w:w="2709"/>
        <w:gridCol w:w="2031"/>
      </w:tblGrid>
      <w:tr w:rsidR="008119AC" w:rsidRPr="005F47F8" w:rsidTr="002A2711">
        <w:trPr>
          <w:cantSplit/>
          <w:trHeight w:val="463"/>
        </w:trPr>
        <w:tc>
          <w:tcPr>
            <w:tcW w:w="1674" w:type="pct"/>
            <w:gridSpan w:val="3"/>
            <w:tcBorders>
              <w:top w:val="single" w:sz="4" w:space="0" w:color="auto"/>
              <w:bottom w:val="single" w:sz="4" w:space="0" w:color="auto"/>
            </w:tcBorders>
            <w:vAlign w:val="center"/>
          </w:tcPr>
          <w:p w:rsidR="008119AC" w:rsidRPr="005F47F8" w:rsidRDefault="008119AC" w:rsidP="00AB5844">
            <w:pPr>
              <w:keepNext/>
              <w:jc w:val="left"/>
              <w:rPr>
                <w:rFonts w:ascii="Arial Narrow" w:hAnsi="Arial Narrow"/>
                <w:b/>
                <w:sz w:val="20"/>
              </w:rPr>
            </w:pPr>
            <w:r w:rsidRPr="005F47F8">
              <w:rPr>
                <w:rFonts w:ascii="Arial Narrow" w:hAnsi="Arial Narrow"/>
                <w:b/>
                <w:sz w:val="20"/>
              </w:rPr>
              <w:t>Name, Restriction,</w:t>
            </w:r>
          </w:p>
          <w:p w:rsidR="008119AC" w:rsidRPr="005F47F8" w:rsidRDefault="008119AC" w:rsidP="00AB5844">
            <w:pPr>
              <w:keepNext/>
              <w:rPr>
                <w:rFonts w:ascii="Arial Narrow" w:hAnsi="Arial Narrow"/>
                <w:b/>
                <w:sz w:val="20"/>
              </w:rPr>
            </w:pPr>
            <w:r w:rsidRPr="005F47F8">
              <w:rPr>
                <w:rFonts w:ascii="Arial Narrow" w:hAnsi="Arial Narrow"/>
                <w:b/>
                <w:sz w:val="20"/>
              </w:rPr>
              <w:t>Manner of administration and form</w:t>
            </w:r>
          </w:p>
        </w:tc>
        <w:tc>
          <w:tcPr>
            <w:tcW w:w="305"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rPr>
            </w:pPr>
            <w:r w:rsidRPr="005F47F8">
              <w:rPr>
                <w:rFonts w:ascii="Arial Narrow" w:hAnsi="Arial Narrow"/>
                <w:b/>
                <w:sz w:val="20"/>
              </w:rPr>
              <w:t>Max.</w:t>
            </w:r>
          </w:p>
          <w:p w:rsidR="008119AC" w:rsidRPr="005F47F8" w:rsidRDefault="008119AC" w:rsidP="00AB5844">
            <w:pPr>
              <w:keepNext/>
              <w:jc w:val="center"/>
              <w:rPr>
                <w:rFonts w:ascii="Arial Narrow" w:hAnsi="Arial Narrow"/>
                <w:b/>
                <w:sz w:val="20"/>
              </w:rPr>
            </w:pPr>
            <w:r w:rsidRPr="005F47F8">
              <w:rPr>
                <w:rFonts w:ascii="Arial Narrow" w:hAnsi="Arial Narrow"/>
                <w:b/>
                <w:sz w:val="20"/>
              </w:rPr>
              <w:t xml:space="preserve">Qty </w:t>
            </w:r>
          </w:p>
        </w:tc>
        <w:tc>
          <w:tcPr>
            <w:tcW w:w="377"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rPr>
            </w:pPr>
            <w:r w:rsidRPr="005F47F8">
              <w:rPr>
                <w:rFonts w:ascii="Arial Narrow" w:hAnsi="Arial Narrow" w:cs="Times New Roman"/>
                <w:b/>
                <w:sz w:val="20"/>
              </w:rPr>
              <w:t>№</w:t>
            </w:r>
            <w:r w:rsidRPr="005F47F8">
              <w:rPr>
                <w:rFonts w:ascii="Arial Narrow" w:hAnsi="Arial Narrow"/>
                <w:b/>
                <w:sz w:val="20"/>
              </w:rPr>
              <w:t>.of</w:t>
            </w:r>
          </w:p>
          <w:p w:rsidR="008119AC" w:rsidRPr="005F47F8" w:rsidRDefault="008119AC" w:rsidP="00AB5844">
            <w:pPr>
              <w:keepNext/>
              <w:jc w:val="center"/>
              <w:rPr>
                <w:rFonts w:ascii="Arial Narrow" w:hAnsi="Arial Narrow"/>
                <w:b/>
                <w:sz w:val="20"/>
              </w:rPr>
            </w:pPr>
            <w:r w:rsidRPr="005F47F8">
              <w:rPr>
                <w:rFonts w:ascii="Arial Narrow" w:hAnsi="Arial Narrow"/>
                <w:b/>
                <w:sz w:val="20"/>
              </w:rPr>
              <w:t>Rpts</w:t>
            </w:r>
          </w:p>
        </w:tc>
        <w:tc>
          <w:tcPr>
            <w:tcW w:w="1511"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rPr>
            </w:pPr>
            <w:r w:rsidRPr="005F47F8">
              <w:rPr>
                <w:rFonts w:ascii="Arial Narrow" w:hAnsi="Arial Narrow"/>
                <w:b/>
                <w:sz w:val="20"/>
              </w:rPr>
              <w:t xml:space="preserve">Dispensed Price for Max. Qty </w:t>
            </w:r>
          </w:p>
        </w:tc>
        <w:tc>
          <w:tcPr>
            <w:tcW w:w="1133" w:type="pct"/>
            <w:tcBorders>
              <w:top w:val="single" w:sz="4" w:space="0" w:color="auto"/>
              <w:bottom w:val="single" w:sz="4" w:space="0" w:color="auto"/>
            </w:tcBorders>
            <w:vAlign w:val="center"/>
          </w:tcPr>
          <w:p w:rsidR="008119AC" w:rsidRPr="005F47F8" w:rsidRDefault="008119AC" w:rsidP="00AB5844">
            <w:pPr>
              <w:keepNext/>
              <w:jc w:val="center"/>
              <w:rPr>
                <w:rFonts w:ascii="Arial Narrow" w:hAnsi="Arial Narrow"/>
                <w:b/>
                <w:sz w:val="20"/>
                <w:lang w:val="fr-FR"/>
              </w:rPr>
            </w:pPr>
            <w:r w:rsidRPr="005F47F8">
              <w:rPr>
                <w:rFonts w:ascii="Arial Narrow" w:hAnsi="Arial Narrow"/>
                <w:b/>
                <w:sz w:val="20"/>
              </w:rPr>
              <w:t>Proprietary Name and Manufacturer</w:t>
            </w:r>
          </w:p>
        </w:tc>
      </w:tr>
      <w:tr w:rsidR="008119AC" w:rsidRPr="005F47F8" w:rsidTr="002A2711">
        <w:trPr>
          <w:cantSplit/>
          <w:trHeight w:val="469"/>
        </w:trPr>
        <w:tc>
          <w:tcPr>
            <w:tcW w:w="1674" w:type="pct"/>
            <w:gridSpan w:val="3"/>
          </w:tcPr>
          <w:p w:rsidR="008119AC" w:rsidRPr="005F47F8" w:rsidRDefault="008119AC" w:rsidP="00AB5844">
            <w:pPr>
              <w:keepNext/>
              <w:jc w:val="left"/>
              <w:rPr>
                <w:rFonts w:ascii="Arial Narrow" w:hAnsi="Arial Narrow"/>
                <w:sz w:val="20"/>
              </w:rPr>
            </w:pPr>
            <w:r w:rsidRPr="005F47F8">
              <w:rPr>
                <w:rFonts w:ascii="Arial Narrow" w:hAnsi="Arial Narrow"/>
                <w:smallCaps/>
                <w:sz w:val="20"/>
              </w:rPr>
              <w:t xml:space="preserve">BENRALIZUMAB </w:t>
            </w:r>
          </w:p>
          <w:p w:rsidR="008119AC" w:rsidRPr="005F47F8" w:rsidRDefault="008119AC" w:rsidP="00AB5844">
            <w:pPr>
              <w:keepNext/>
              <w:jc w:val="left"/>
              <w:rPr>
                <w:rFonts w:ascii="Arial Narrow" w:hAnsi="Arial Narrow"/>
                <w:sz w:val="20"/>
              </w:rPr>
            </w:pPr>
            <w:r w:rsidRPr="005F47F8">
              <w:rPr>
                <w:rFonts w:ascii="Arial Narrow" w:hAnsi="Arial Narrow"/>
                <w:sz w:val="20"/>
              </w:rPr>
              <w:t>30 mg in 1 mL injection (prefilled syringe)</w:t>
            </w:r>
          </w:p>
        </w:tc>
        <w:tc>
          <w:tcPr>
            <w:tcW w:w="305" w:type="pct"/>
            <w:tcBorders>
              <w:top w:val="single" w:sz="4" w:space="0" w:color="auto"/>
            </w:tcBorders>
          </w:tcPr>
          <w:p w:rsidR="008119AC" w:rsidRPr="005F47F8" w:rsidRDefault="008119AC" w:rsidP="00AB5844">
            <w:pPr>
              <w:keepNext/>
              <w:jc w:val="center"/>
              <w:rPr>
                <w:rFonts w:ascii="Arial Narrow" w:hAnsi="Arial Narrow"/>
                <w:sz w:val="20"/>
              </w:rPr>
            </w:pPr>
            <w:r w:rsidRPr="005F47F8">
              <w:rPr>
                <w:rFonts w:ascii="Arial Narrow" w:hAnsi="Arial Narrow"/>
                <w:sz w:val="20"/>
              </w:rPr>
              <w:t>1</w:t>
            </w:r>
          </w:p>
        </w:tc>
        <w:tc>
          <w:tcPr>
            <w:tcW w:w="377" w:type="pct"/>
            <w:tcBorders>
              <w:top w:val="single" w:sz="4" w:space="0" w:color="auto"/>
            </w:tcBorders>
          </w:tcPr>
          <w:p w:rsidR="008119AC" w:rsidRPr="005F47F8" w:rsidRDefault="008119AC" w:rsidP="00AB5844">
            <w:pPr>
              <w:keepNext/>
              <w:jc w:val="center"/>
              <w:rPr>
                <w:rFonts w:ascii="Arial Narrow" w:hAnsi="Arial Narrow"/>
                <w:sz w:val="20"/>
              </w:rPr>
            </w:pPr>
            <w:r w:rsidRPr="005F47F8">
              <w:rPr>
                <w:rFonts w:ascii="Arial Narrow" w:hAnsi="Arial Narrow"/>
                <w:sz w:val="20"/>
              </w:rPr>
              <w:t>2</w:t>
            </w:r>
          </w:p>
        </w:tc>
        <w:tc>
          <w:tcPr>
            <w:tcW w:w="1511" w:type="pct"/>
            <w:tcBorders>
              <w:top w:val="single" w:sz="4" w:space="0" w:color="auto"/>
            </w:tcBorders>
          </w:tcPr>
          <w:p w:rsidR="008119AC" w:rsidRPr="005F47F8" w:rsidRDefault="008119AC" w:rsidP="00AB5844">
            <w:pPr>
              <w:keepNext/>
              <w:jc w:val="center"/>
              <w:rPr>
                <w:rFonts w:ascii="Arial Narrow" w:hAnsi="Arial Narrow"/>
                <w:sz w:val="20"/>
              </w:rPr>
            </w:pPr>
            <w:r w:rsidRPr="005F47F8">
              <w:rPr>
                <w:rFonts w:ascii="Arial Narrow" w:hAnsi="Arial Narrow"/>
                <w:sz w:val="20"/>
              </w:rPr>
              <w:t>Public (published): $</w:t>
            </w:r>
            <w:r w:rsidR="00127CDA">
              <w:rPr>
                <w:rFonts w:ascii="Arial Narrow" w:hAnsi="Arial Narrow"/>
                <w:noProof/>
                <w:color w:val="000000"/>
                <w:sz w:val="20"/>
                <w:highlight w:val="black"/>
              </w:rPr>
              <w:t>'''''''''''''''''''''''</w:t>
            </w:r>
          </w:p>
          <w:p w:rsidR="008119AC" w:rsidRPr="00127CDA" w:rsidRDefault="008119AC" w:rsidP="00AB5844">
            <w:pPr>
              <w:keepNext/>
              <w:jc w:val="center"/>
              <w:rPr>
                <w:rFonts w:ascii="Arial Narrow" w:hAnsi="Arial Narrow"/>
                <w:sz w:val="20"/>
              </w:rPr>
            </w:pPr>
            <w:r w:rsidRPr="005F47F8">
              <w:rPr>
                <w:rFonts w:ascii="Arial Narrow" w:hAnsi="Arial Narrow"/>
                <w:sz w:val="20"/>
              </w:rPr>
              <w:t>Private (published): $</w:t>
            </w:r>
            <w:r w:rsidR="00127CDA">
              <w:rPr>
                <w:rFonts w:ascii="Arial Narrow" w:hAnsi="Arial Narrow"/>
                <w:noProof/>
                <w:color w:val="000000"/>
                <w:sz w:val="20"/>
                <w:highlight w:val="black"/>
              </w:rPr>
              <w:t>'''''''''''''''''''</w:t>
            </w:r>
          </w:p>
          <w:p w:rsidR="008119AC" w:rsidRPr="005F47F8" w:rsidRDefault="008119AC" w:rsidP="00AB5844">
            <w:pPr>
              <w:keepNext/>
              <w:jc w:val="center"/>
              <w:rPr>
                <w:rFonts w:ascii="Arial Narrow" w:hAnsi="Arial Narrow"/>
                <w:sz w:val="20"/>
              </w:rPr>
            </w:pPr>
            <w:r w:rsidRPr="005F47F8">
              <w:rPr>
                <w:rFonts w:ascii="Arial Narrow" w:hAnsi="Arial Narrow"/>
                <w:sz w:val="20"/>
              </w:rPr>
              <w:t xml:space="preserve">Effective price: </w:t>
            </w:r>
            <w:r w:rsidR="009109C1" w:rsidRPr="005F47F8">
              <w:rPr>
                <w:rFonts w:ascii="Arial Narrow" w:hAnsi="Arial Narrow"/>
                <w:sz w:val="20"/>
              </w:rPr>
              <w:t xml:space="preserve">based on </w:t>
            </w:r>
            <w:r w:rsidR="00167279" w:rsidRPr="005F47F8">
              <w:rPr>
                <w:rFonts w:ascii="Arial Narrow" w:hAnsi="Arial Narrow"/>
                <w:sz w:val="20"/>
              </w:rPr>
              <w:t>comparators</w:t>
            </w:r>
          </w:p>
        </w:tc>
        <w:tc>
          <w:tcPr>
            <w:tcW w:w="1133" w:type="pct"/>
          </w:tcPr>
          <w:p w:rsidR="008119AC" w:rsidRPr="005F47F8" w:rsidRDefault="008119AC" w:rsidP="00AB5844">
            <w:pPr>
              <w:keepNext/>
              <w:jc w:val="center"/>
              <w:rPr>
                <w:rFonts w:ascii="Arial Narrow" w:hAnsi="Arial Narrow"/>
                <w:sz w:val="20"/>
              </w:rPr>
            </w:pPr>
            <w:r w:rsidRPr="005F47F8">
              <w:rPr>
                <w:rFonts w:ascii="Arial Narrow" w:hAnsi="Arial Narrow"/>
                <w:sz w:val="20"/>
              </w:rPr>
              <w:t>Fasenra</w:t>
            </w:r>
            <w:r w:rsidRPr="005F47F8">
              <w:rPr>
                <w:rFonts w:ascii="Arial Narrow" w:hAnsi="Arial Narrow"/>
                <w:sz w:val="20"/>
                <w:vertAlign w:val="superscript"/>
              </w:rPr>
              <w:t>®</w:t>
            </w:r>
          </w:p>
          <w:p w:rsidR="008119AC" w:rsidRPr="005F47F8" w:rsidRDefault="00F11F42" w:rsidP="00AB5844">
            <w:pPr>
              <w:keepNext/>
              <w:jc w:val="center"/>
              <w:rPr>
                <w:rFonts w:ascii="Arial Narrow" w:hAnsi="Arial Narrow"/>
                <w:sz w:val="20"/>
              </w:rPr>
            </w:pPr>
            <w:r w:rsidRPr="005F47F8">
              <w:rPr>
                <w:rFonts w:ascii="Arial Narrow" w:hAnsi="Arial Narrow"/>
                <w:sz w:val="20"/>
              </w:rPr>
              <w:t>AstraZeneca</w:t>
            </w:r>
            <w:r w:rsidR="008119AC" w:rsidRPr="005F47F8">
              <w:rPr>
                <w:rFonts w:ascii="Arial Narrow" w:hAnsi="Arial Narrow"/>
                <w:sz w:val="20"/>
              </w:rPr>
              <w:t xml:space="preserve"> Pty Ltd</w:t>
            </w:r>
          </w:p>
        </w:tc>
      </w:tr>
      <w:tr w:rsidR="008119AC" w:rsidRPr="005F47F8" w:rsidTr="000C1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Category/Program:</w:t>
            </w:r>
          </w:p>
        </w:tc>
        <w:tc>
          <w:tcPr>
            <w:tcW w:w="4114"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Section 100  Highly Specialised Drug Program - public and private</w:t>
            </w:r>
          </w:p>
        </w:tc>
      </w:tr>
      <w:tr w:rsidR="008119AC" w:rsidRPr="005F47F8" w:rsidTr="000C1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rPr>
            </w:pPr>
            <w:r w:rsidRPr="005F47F8">
              <w:rPr>
                <w:rFonts w:ascii="Arial Narrow" w:hAnsi="Arial Narrow" w:cs="Times New Roman"/>
                <w:snapToGrid/>
                <w:sz w:val="20"/>
                <w:lang w:eastAsia="en-AU"/>
              </w:rPr>
              <w:t>PBS indication:</w:t>
            </w:r>
          </w:p>
        </w:tc>
        <w:tc>
          <w:tcPr>
            <w:tcW w:w="4114"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rPr>
              <w:t>Uncontrolled severe eosinophilic asthma</w:t>
            </w:r>
          </w:p>
        </w:tc>
      </w:tr>
      <w:tr w:rsidR="008119AC" w:rsidRPr="005F47F8" w:rsidTr="000C1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Treatment phase:</w:t>
            </w:r>
          </w:p>
        </w:tc>
        <w:tc>
          <w:tcPr>
            <w:tcW w:w="4114"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Continuing</w:t>
            </w:r>
          </w:p>
        </w:tc>
      </w:tr>
      <w:tr w:rsidR="008119AC" w:rsidRPr="005F47F8" w:rsidTr="000C1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Restriction:</w:t>
            </w:r>
          </w:p>
        </w:tc>
        <w:tc>
          <w:tcPr>
            <w:tcW w:w="4114"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Authority Required – In Writing</w:t>
            </w:r>
          </w:p>
        </w:tc>
      </w:tr>
      <w:tr w:rsidR="008119AC" w:rsidRPr="005F47F8" w:rsidTr="000C1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cs="Times New Roman"/>
                <w:snapToGrid/>
                <w:sz w:val="20"/>
                <w:lang w:eastAsia="en-AU"/>
              </w:rPr>
              <w:t>Clinical criteria:</w:t>
            </w:r>
          </w:p>
        </w:tc>
        <w:tc>
          <w:tcPr>
            <w:tcW w:w="4114"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rPr>
                <w:rFonts w:ascii="Arial Narrow" w:hAnsi="Arial Narrow"/>
                <w:color w:val="222222"/>
                <w:sz w:val="20"/>
                <w:szCs w:val="20"/>
                <w:lang w:eastAsia="en-AU"/>
              </w:rPr>
            </w:pPr>
            <w:r w:rsidRPr="005F47F8">
              <w:rPr>
                <w:rFonts w:ascii="Arial Narrow" w:hAnsi="Arial Narrow"/>
                <w:color w:val="222222"/>
                <w:sz w:val="20"/>
                <w:szCs w:val="20"/>
                <w:lang w:eastAsia="en-AU"/>
              </w:rPr>
              <w:t>Patient must have demonstrated or sustained an adequate response to PBS</w:t>
            </w:r>
            <w:r w:rsidRPr="005F47F8">
              <w:rPr>
                <w:rFonts w:ascii="Arial Narrow" w:hAnsi="Arial Narrow"/>
                <w:color w:val="222222"/>
                <w:sz w:val="20"/>
                <w:szCs w:val="20"/>
                <w:lang w:eastAsia="en-AU"/>
              </w:rPr>
              <w:noBreakHyphen/>
              <w:t xml:space="preserve">subsidised treatment with this drug, </w:t>
            </w:r>
            <w:r w:rsidRPr="005F47F8">
              <w:rPr>
                <w:rFonts w:ascii="Arial Narrow" w:hAnsi="Arial Narrow"/>
                <w:b/>
                <w:color w:val="222222"/>
                <w:sz w:val="20"/>
                <w:szCs w:val="20"/>
                <w:lang w:eastAsia="en-AU"/>
              </w:rPr>
              <w:t>AND</w:t>
            </w:r>
          </w:p>
          <w:p w:rsidR="008119AC" w:rsidRPr="005F47F8" w:rsidRDefault="008119AC" w:rsidP="00AB5844">
            <w:pPr>
              <w:keepNext/>
              <w:widowControl/>
              <w:jc w:val="left"/>
              <w:rPr>
                <w:rFonts w:ascii="Arial Narrow" w:hAnsi="Arial Narrow" w:cs="Times New Roman"/>
                <w:snapToGrid/>
                <w:sz w:val="20"/>
                <w:lang w:eastAsia="en-AU"/>
              </w:rPr>
            </w:pPr>
            <w:r w:rsidRPr="005F47F8">
              <w:rPr>
                <w:rFonts w:ascii="Arial Narrow" w:hAnsi="Arial Narrow"/>
                <w:snapToGrid/>
                <w:color w:val="222222"/>
                <w:sz w:val="20"/>
                <w:szCs w:val="20"/>
                <w:lang w:eastAsia="en-AU"/>
              </w:rPr>
              <w:t>The treatment must not be used in combination with, or within 6 months of treatment with, PBS</w:t>
            </w:r>
            <w:r w:rsidRPr="005F47F8">
              <w:rPr>
                <w:rFonts w:ascii="Arial Narrow" w:hAnsi="Arial Narrow"/>
                <w:snapToGrid/>
                <w:color w:val="222222"/>
                <w:sz w:val="20"/>
                <w:szCs w:val="20"/>
                <w:lang w:eastAsia="en-AU"/>
              </w:rPr>
              <w:noBreakHyphen/>
              <w:t>subsidised omalizumab or mepolizumab.</w:t>
            </w:r>
          </w:p>
        </w:tc>
      </w:tr>
      <w:tr w:rsidR="008119AC" w:rsidRPr="005F47F8" w:rsidTr="000C1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widowControl/>
              <w:jc w:val="left"/>
              <w:rPr>
                <w:rFonts w:ascii="Arial Narrow" w:hAnsi="Arial Narrow" w:cs="Times New Roman"/>
                <w:snapToGrid/>
                <w:color w:val="000000"/>
                <w:sz w:val="20"/>
                <w:szCs w:val="24"/>
                <w:lang w:eastAsia="en-AU"/>
              </w:rPr>
            </w:pPr>
            <w:r w:rsidRPr="005F47F8">
              <w:rPr>
                <w:rFonts w:ascii="Arial Narrow" w:hAnsi="Arial Narrow" w:cs="Times New Roman"/>
                <w:snapToGrid/>
                <w:sz w:val="20"/>
                <w:lang w:eastAsia="en-AU"/>
              </w:rPr>
              <w:t>Population criteria:</w:t>
            </w:r>
          </w:p>
        </w:tc>
        <w:tc>
          <w:tcPr>
            <w:tcW w:w="4114" w:type="pct"/>
            <w:gridSpan w:val="5"/>
            <w:tcBorders>
              <w:top w:val="single" w:sz="4" w:space="0" w:color="auto"/>
              <w:left w:val="single" w:sz="4" w:space="0" w:color="auto"/>
              <w:bottom w:val="single" w:sz="4" w:space="0" w:color="auto"/>
              <w:right w:val="single" w:sz="4" w:space="0" w:color="auto"/>
            </w:tcBorders>
          </w:tcPr>
          <w:p w:rsidR="008119AC" w:rsidRPr="005F47F8" w:rsidRDefault="008119AC" w:rsidP="00AB5844">
            <w:pPr>
              <w:keepNext/>
              <w:rPr>
                <w:rFonts w:ascii="Arial Narrow" w:hAnsi="Arial Narrow"/>
                <w:color w:val="222222"/>
                <w:sz w:val="20"/>
                <w:szCs w:val="20"/>
                <w:lang w:eastAsia="en-AU"/>
              </w:rPr>
            </w:pPr>
            <w:r w:rsidRPr="005F47F8">
              <w:rPr>
                <w:rFonts w:ascii="Arial Narrow" w:hAnsi="Arial Narrow"/>
                <w:color w:val="222222"/>
                <w:sz w:val="20"/>
                <w:szCs w:val="20"/>
                <w:lang w:eastAsia="en-AU"/>
              </w:rPr>
              <w:t>Patient must be aged 18 years or older.</w:t>
            </w:r>
          </w:p>
          <w:p w:rsidR="008119AC" w:rsidRPr="005F47F8" w:rsidRDefault="008119AC" w:rsidP="00AB5844">
            <w:pPr>
              <w:keepNext/>
              <w:rPr>
                <w:rFonts w:ascii="Arial Narrow" w:hAnsi="Arial Narrow"/>
                <w:color w:val="222222"/>
                <w:sz w:val="20"/>
                <w:szCs w:val="20"/>
                <w:lang w:eastAsia="en-AU"/>
              </w:rPr>
            </w:pPr>
            <w:r w:rsidRPr="005F47F8">
              <w:rPr>
                <w:rFonts w:ascii="Arial Narrow" w:hAnsi="Arial Narrow"/>
                <w:color w:val="222222"/>
                <w:sz w:val="20"/>
                <w:szCs w:val="20"/>
                <w:lang w:eastAsia="en-AU"/>
              </w:rPr>
              <w:t xml:space="preserve">An adequate response to </w:t>
            </w:r>
            <w:r w:rsidRPr="00067849">
              <w:rPr>
                <w:rFonts w:ascii="Arial Narrow" w:hAnsi="Arial Narrow"/>
                <w:strike/>
                <w:color w:val="222222"/>
                <w:sz w:val="20"/>
                <w:szCs w:val="20"/>
                <w:lang w:eastAsia="en-AU"/>
              </w:rPr>
              <w:t>mepolizumab</w:t>
            </w:r>
            <w:r w:rsidRPr="005F47F8">
              <w:rPr>
                <w:rFonts w:ascii="Arial Narrow" w:hAnsi="Arial Narrow"/>
                <w:color w:val="222222"/>
                <w:sz w:val="20"/>
                <w:szCs w:val="20"/>
                <w:lang w:eastAsia="en-AU"/>
              </w:rPr>
              <w:t xml:space="preserve"> </w:t>
            </w:r>
            <w:r w:rsidR="00067849">
              <w:rPr>
                <w:rFonts w:ascii="Arial Narrow" w:hAnsi="Arial Narrow"/>
                <w:i/>
                <w:color w:val="222222"/>
                <w:sz w:val="20"/>
                <w:szCs w:val="20"/>
                <w:lang w:eastAsia="en-AU"/>
              </w:rPr>
              <w:t xml:space="preserve">benralizumab </w:t>
            </w:r>
            <w:r w:rsidRPr="005F47F8">
              <w:rPr>
                <w:rFonts w:ascii="Arial Narrow" w:hAnsi="Arial Narrow"/>
                <w:color w:val="222222"/>
                <w:sz w:val="20"/>
                <w:szCs w:val="20"/>
                <w:lang w:eastAsia="en-AU"/>
              </w:rPr>
              <w:t>treatment is defined as:</w:t>
            </w:r>
          </w:p>
          <w:p w:rsidR="008119AC" w:rsidRPr="005F47F8" w:rsidRDefault="008119AC" w:rsidP="00AB5844">
            <w:pPr>
              <w:keepNext/>
              <w:rPr>
                <w:rFonts w:ascii="Arial Narrow" w:hAnsi="Arial Narrow"/>
                <w:color w:val="222222"/>
                <w:sz w:val="20"/>
                <w:szCs w:val="20"/>
                <w:lang w:eastAsia="en-AU"/>
              </w:rPr>
            </w:pPr>
            <w:r w:rsidRPr="005F47F8">
              <w:rPr>
                <w:rFonts w:ascii="Arial Narrow" w:hAnsi="Arial Narrow"/>
                <w:color w:val="222222"/>
                <w:sz w:val="20"/>
                <w:szCs w:val="20"/>
                <w:lang w:eastAsia="en-AU"/>
              </w:rPr>
              <w:t>(a) a reduction in the Asthma Control Questionnaire (ACQ</w:t>
            </w:r>
            <w:r w:rsidRPr="005F47F8">
              <w:rPr>
                <w:rFonts w:ascii="Arial Narrow" w:hAnsi="Arial Narrow"/>
                <w:color w:val="222222"/>
                <w:sz w:val="20"/>
                <w:szCs w:val="20"/>
                <w:lang w:eastAsia="en-AU"/>
              </w:rPr>
              <w:noBreakHyphen/>
              <w:t>5) score of at least 0.5 from baseline,</w:t>
            </w:r>
          </w:p>
          <w:p w:rsidR="008119AC" w:rsidRPr="005F47F8" w:rsidRDefault="008119AC" w:rsidP="00AB5844">
            <w:pPr>
              <w:keepNext/>
              <w:rPr>
                <w:rFonts w:ascii="Arial Narrow" w:hAnsi="Arial Narrow"/>
                <w:b/>
                <w:color w:val="222222"/>
                <w:sz w:val="20"/>
                <w:szCs w:val="20"/>
                <w:lang w:eastAsia="en-AU"/>
              </w:rPr>
            </w:pPr>
            <w:r w:rsidRPr="005F47F8">
              <w:rPr>
                <w:rFonts w:ascii="Arial Narrow" w:hAnsi="Arial Narrow"/>
                <w:b/>
                <w:color w:val="222222"/>
                <w:sz w:val="20"/>
                <w:szCs w:val="20"/>
                <w:lang w:eastAsia="en-AU"/>
              </w:rPr>
              <w:t>OR</w:t>
            </w:r>
          </w:p>
          <w:p w:rsidR="008119AC" w:rsidRPr="005F47F8" w:rsidRDefault="008119AC" w:rsidP="00AB5844">
            <w:pPr>
              <w:keepNext/>
              <w:widowControl/>
              <w:jc w:val="left"/>
              <w:rPr>
                <w:rFonts w:ascii="Arial Narrow" w:hAnsi="Arial Narrow" w:cs="Times New Roman"/>
                <w:snapToGrid/>
                <w:color w:val="000000"/>
                <w:sz w:val="20"/>
                <w:szCs w:val="24"/>
                <w:lang w:eastAsia="en-AU"/>
              </w:rPr>
            </w:pPr>
            <w:r w:rsidRPr="005F47F8">
              <w:rPr>
                <w:rFonts w:ascii="Arial Narrow" w:hAnsi="Arial Narrow"/>
                <w:snapToGrid/>
                <w:color w:val="222222"/>
                <w:sz w:val="20"/>
                <w:szCs w:val="20"/>
                <w:lang w:eastAsia="en-AU"/>
              </w:rPr>
              <w:t>(b) maintenance OCS dose reduced by at least 25% from baseline, and no deterioration in ACQ</w:t>
            </w:r>
            <w:r w:rsidRPr="005F47F8">
              <w:rPr>
                <w:rFonts w:ascii="Arial Narrow" w:hAnsi="Arial Narrow"/>
                <w:snapToGrid/>
                <w:color w:val="222222"/>
                <w:sz w:val="20"/>
                <w:szCs w:val="20"/>
                <w:lang w:eastAsia="en-AU"/>
              </w:rPr>
              <w:noBreakHyphen/>
              <w:t>5 score from baseline.</w:t>
            </w:r>
          </w:p>
        </w:tc>
      </w:tr>
    </w:tbl>
    <w:p w:rsidR="00842E0D" w:rsidRPr="00AD10BE" w:rsidRDefault="00842E0D" w:rsidP="003E6ED7">
      <w:pPr>
        <w:keepNext/>
        <w:spacing w:before="240"/>
      </w:pPr>
      <w:r w:rsidRPr="00AD10BE">
        <w:rPr>
          <w:rFonts w:ascii="Arial Narrow" w:hAnsi="Arial Narrow"/>
          <w:b/>
          <w:sz w:val="20"/>
          <w:szCs w:val="16"/>
        </w:rPr>
        <w:t xml:space="preserve">Grandfathering restriction (abridged): As proposed in the </w:t>
      </w:r>
      <w:r w:rsidR="00622C4C" w:rsidRPr="00AD10BE">
        <w:rPr>
          <w:rFonts w:ascii="Arial Narrow" w:hAnsi="Arial Narrow"/>
          <w:b/>
          <w:sz w:val="20"/>
          <w:szCs w:val="16"/>
        </w:rPr>
        <w:t>Pre-Sub-Committee Response</w:t>
      </w:r>
    </w:p>
    <w:tbl>
      <w:tblPr>
        <w:tblW w:w="5000" w:type="pct"/>
        <w:tblLayout w:type="fixed"/>
        <w:tblCellMar>
          <w:left w:w="28" w:type="dxa"/>
          <w:right w:w="28" w:type="dxa"/>
        </w:tblCellMar>
        <w:tblLook w:val="0000" w:firstRow="0" w:lastRow="0" w:firstColumn="0" w:lastColumn="0" w:noHBand="0" w:noVBand="0"/>
      </w:tblPr>
      <w:tblGrid>
        <w:gridCol w:w="26"/>
        <w:gridCol w:w="1562"/>
        <w:gridCol w:w="1413"/>
        <w:gridCol w:w="547"/>
        <w:gridCol w:w="676"/>
        <w:gridCol w:w="2709"/>
        <w:gridCol w:w="2031"/>
      </w:tblGrid>
      <w:tr w:rsidR="00842E0D" w:rsidRPr="00AD10BE" w:rsidTr="00622C4C">
        <w:trPr>
          <w:cantSplit/>
          <w:trHeight w:val="463"/>
        </w:trPr>
        <w:tc>
          <w:tcPr>
            <w:tcW w:w="1674" w:type="pct"/>
            <w:gridSpan w:val="3"/>
            <w:tcBorders>
              <w:top w:val="single" w:sz="4" w:space="0" w:color="auto"/>
              <w:bottom w:val="single" w:sz="4" w:space="0" w:color="auto"/>
            </w:tcBorders>
            <w:vAlign w:val="center"/>
          </w:tcPr>
          <w:p w:rsidR="00842E0D" w:rsidRPr="00AD10BE" w:rsidRDefault="00842E0D" w:rsidP="00622C4C">
            <w:pPr>
              <w:keepNext/>
              <w:jc w:val="left"/>
              <w:rPr>
                <w:rFonts w:ascii="Arial Narrow" w:hAnsi="Arial Narrow"/>
                <w:b/>
                <w:sz w:val="20"/>
              </w:rPr>
            </w:pPr>
            <w:r w:rsidRPr="00AD10BE">
              <w:rPr>
                <w:rFonts w:ascii="Arial Narrow" w:hAnsi="Arial Narrow"/>
                <w:b/>
                <w:sz w:val="20"/>
              </w:rPr>
              <w:t>Name, Restriction,</w:t>
            </w:r>
          </w:p>
          <w:p w:rsidR="00842E0D" w:rsidRPr="00AD10BE" w:rsidRDefault="00842E0D" w:rsidP="00622C4C">
            <w:pPr>
              <w:keepNext/>
              <w:rPr>
                <w:rFonts w:ascii="Arial Narrow" w:hAnsi="Arial Narrow"/>
                <w:b/>
                <w:sz w:val="20"/>
              </w:rPr>
            </w:pPr>
            <w:r w:rsidRPr="00AD10BE">
              <w:rPr>
                <w:rFonts w:ascii="Arial Narrow" w:hAnsi="Arial Narrow"/>
                <w:b/>
                <w:sz w:val="20"/>
              </w:rPr>
              <w:t>Manner of administration and form</w:t>
            </w:r>
          </w:p>
        </w:tc>
        <w:tc>
          <w:tcPr>
            <w:tcW w:w="305" w:type="pct"/>
            <w:tcBorders>
              <w:top w:val="single" w:sz="4" w:space="0" w:color="auto"/>
              <w:bottom w:val="single" w:sz="4" w:space="0" w:color="auto"/>
            </w:tcBorders>
            <w:vAlign w:val="center"/>
          </w:tcPr>
          <w:p w:rsidR="00842E0D" w:rsidRPr="00AD10BE" w:rsidRDefault="00842E0D" w:rsidP="00622C4C">
            <w:pPr>
              <w:keepNext/>
              <w:jc w:val="center"/>
              <w:rPr>
                <w:rFonts w:ascii="Arial Narrow" w:hAnsi="Arial Narrow"/>
                <w:b/>
                <w:sz w:val="20"/>
              </w:rPr>
            </w:pPr>
            <w:r w:rsidRPr="00AD10BE">
              <w:rPr>
                <w:rFonts w:ascii="Arial Narrow" w:hAnsi="Arial Narrow"/>
                <w:b/>
                <w:sz w:val="20"/>
              </w:rPr>
              <w:t>Max.</w:t>
            </w:r>
          </w:p>
          <w:p w:rsidR="00842E0D" w:rsidRPr="00AD10BE" w:rsidRDefault="00842E0D" w:rsidP="00622C4C">
            <w:pPr>
              <w:keepNext/>
              <w:jc w:val="center"/>
              <w:rPr>
                <w:rFonts w:ascii="Arial Narrow" w:hAnsi="Arial Narrow"/>
                <w:b/>
                <w:sz w:val="20"/>
              </w:rPr>
            </w:pPr>
            <w:r w:rsidRPr="00AD10BE">
              <w:rPr>
                <w:rFonts w:ascii="Arial Narrow" w:hAnsi="Arial Narrow"/>
                <w:b/>
                <w:sz w:val="20"/>
              </w:rPr>
              <w:t xml:space="preserve">Qty </w:t>
            </w:r>
          </w:p>
        </w:tc>
        <w:tc>
          <w:tcPr>
            <w:tcW w:w="377" w:type="pct"/>
            <w:tcBorders>
              <w:top w:val="single" w:sz="4" w:space="0" w:color="auto"/>
              <w:bottom w:val="single" w:sz="4" w:space="0" w:color="auto"/>
            </w:tcBorders>
            <w:vAlign w:val="center"/>
          </w:tcPr>
          <w:p w:rsidR="00842E0D" w:rsidRPr="00AD10BE" w:rsidRDefault="00842E0D" w:rsidP="00622C4C">
            <w:pPr>
              <w:keepNext/>
              <w:jc w:val="center"/>
              <w:rPr>
                <w:rFonts w:ascii="Arial Narrow" w:hAnsi="Arial Narrow"/>
                <w:b/>
                <w:sz w:val="20"/>
              </w:rPr>
            </w:pPr>
            <w:r w:rsidRPr="00AD10BE">
              <w:rPr>
                <w:rFonts w:ascii="Arial Narrow" w:hAnsi="Arial Narrow" w:cs="Times New Roman"/>
                <w:b/>
                <w:sz w:val="20"/>
              </w:rPr>
              <w:t>№</w:t>
            </w:r>
            <w:r w:rsidRPr="00AD10BE">
              <w:rPr>
                <w:rFonts w:ascii="Arial Narrow" w:hAnsi="Arial Narrow"/>
                <w:b/>
                <w:sz w:val="20"/>
              </w:rPr>
              <w:t>.of</w:t>
            </w:r>
          </w:p>
          <w:p w:rsidR="00842E0D" w:rsidRPr="00AD10BE" w:rsidRDefault="00842E0D" w:rsidP="00622C4C">
            <w:pPr>
              <w:keepNext/>
              <w:jc w:val="center"/>
              <w:rPr>
                <w:rFonts w:ascii="Arial Narrow" w:hAnsi="Arial Narrow"/>
                <w:b/>
                <w:sz w:val="20"/>
              </w:rPr>
            </w:pPr>
            <w:r w:rsidRPr="00AD10BE">
              <w:rPr>
                <w:rFonts w:ascii="Arial Narrow" w:hAnsi="Arial Narrow"/>
                <w:b/>
                <w:sz w:val="20"/>
              </w:rPr>
              <w:t>Rpts</w:t>
            </w:r>
          </w:p>
        </w:tc>
        <w:tc>
          <w:tcPr>
            <w:tcW w:w="1511" w:type="pct"/>
            <w:tcBorders>
              <w:top w:val="single" w:sz="4" w:space="0" w:color="auto"/>
              <w:bottom w:val="single" w:sz="4" w:space="0" w:color="auto"/>
            </w:tcBorders>
            <w:vAlign w:val="center"/>
          </w:tcPr>
          <w:p w:rsidR="00842E0D" w:rsidRPr="00AD10BE" w:rsidRDefault="00842E0D" w:rsidP="00622C4C">
            <w:pPr>
              <w:keepNext/>
              <w:jc w:val="center"/>
              <w:rPr>
                <w:rFonts w:ascii="Arial Narrow" w:hAnsi="Arial Narrow"/>
                <w:b/>
                <w:sz w:val="20"/>
              </w:rPr>
            </w:pPr>
            <w:r w:rsidRPr="00AD10BE">
              <w:rPr>
                <w:rFonts w:ascii="Arial Narrow" w:hAnsi="Arial Narrow"/>
                <w:b/>
                <w:sz w:val="20"/>
              </w:rPr>
              <w:t xml:space="preserve">Dispensed Price for Max. Qty </w:t>
            </w:r>
          </w:p>
        </w:tc>
        <w:tc>
          <w:tcPr>
            <w:tcW w:w="1133" w:type="pct"/>
            <w:tcBorders>
              <w:top w:val="single" w:sz="4" w:space="0" w:color="auto"/>
              <w:bottom w:val="single" w:sz="4" w:space="0" w:color="auto"/>
            </w:tcBorders>
            <w:vAlign w:val="center"/>
          </w:tcPr>
          <w:p w:rsidR="00842E0D" w:rsidRPr="00AD10BE" w:rsidRDefault="00842E0D" w:rsidP="00622C4C">
            <w:pPr>
              <w:keepNext/>
              <w:jc w:val="center"/>
              <w:rPr>
                <w:rFonts w:ascii="Arial Narrow" w:hAnsi="Arial Narrow"/>
                <w:b/>
                <w:sz w:val="20"/>
                <w:lang w:val="fr-FR"/>
              </w:rPr>
            </w:pPr>
            <w:r w:rsidRPr="00AD10BE">
              <w:rPr>
                <w:rFonts w:ascii="Arial Narrow" w:hAnsi="Arial Narrow"/>
                <w:b/>
                <w:sz w:val="20"/>
              </w:rPr>
              <w:t>Proprietary Name and Manufacturer</w:t>
            </w:r>
          </w:p>
        </w:tc>
      </w:tr>
      <w:tr w:rsidR="00842E0D" w:rsidRPr="00AD10BE" w:rsidTr="00622C4C">
        <w:trPr>
          <w:cantSplit/>
          <w:trHeight w:val="469"/>
        </w:trPr>
        <w:tc>
          <w:tcPr>
            <w:tcW w:w="1674" w:type="pct"/>
            <w:gridSpan w:val="3"/>
          </w:tcPr>
          <w:p w:rsidR="00842E0D" w:rsidRPr="00AD10BE" w:rsidRDefault="00842E0D" w:rsidP="00622C4C">
            <w:pPr>
              <w:keepNext/>
              <w:jc w:val="left"/>
              <w:rPr>
                <w:rFonts w:ascii="Arial Narrow" w:hAnsi="Arial Narrow"/>
                <w:sz w:val="20"/>
              </w:rPr>
            </w:pPr>
            <w:r w:rsidRPr="00AD10BE">
              <w:rPr>
                <w:rFonts w:ascii="Arial Narrow" w:hAnsi="Arial Narrow"/>
                <w:smallCaps/>
                <w:sz w:val="20"/>
              </w:rPr>
              <w:t xml:space="preserve">BENRALIZUMAB </w:t>
            </w:r>
          </w:p>
          <w:p w:rsidR="00842E0D" w:rsidRPr="00AD10BE" w:rsidRDefault="00842E0D" w:rsidP="00622C4C">
            <w:pPr>
              <w:keepNext/>
              <w:jc w:val="left"/>
              <w:rPr>
                <w:rFonts w:ascii="Arial Narrow" w:hAnsi="Arial Narrow"/>
                <w:sz w:val="20"/>
              </w:rPr>
            </w:pPr>
            <w:r w:rsidRPr="00AD10BE">
              <w:rPr>
                <w:rFonts w:ascii="Arial Narrow" w:hAnsi="Arial Narrow"/>
                <w:sz w:val="20"/>
              </w:rPr>
              <w:t>30 mg in 1 mL injection (prefilled syringe)</w:t>
            </w:r>
          </w:p>
        </w:tc>
        <w:tc>
          <w:tcPr>
            <w:tcW w:w="305" w:type="pct"/>
            <w:tcBorders>
              <w:top w:val="single" w:sz="4" w:space="0" w:color="auto"/>
            </w:tcBorders>
          </w:tcPr>
          <w:p w:rsidR="00842E0D" w:rsidRPr="00AD10BE" w:rsidRDefault="004F6F51" w:rsidP="00622C4C">
            <w:pPr>
              <w:keepNext/>
              <w:jc w:val="center"/>
              <w:rPr>
                <w:rFonts w:ascii="Arial Narrow" w:hAnsi="Arial Narrow"/>
                <w:sz w:val="20"/>
              </w:rPr>
            </w:pPr>
            <w:r w:rsidRPr="00AD10BE">
              <w:rPr>
                <w:rFonts w:ascii="Arial Narrow" w:hAnsi="Arial Narrow"/>
                <w:sz w:val="20"/>
              </w:rPr>
              <w:t>1</w:t>
            </w:r>
          </w:p>
        </w:tc>
        <w:tc>
          <w:tcPr>
            <w:tcW w:w="377" w:type="pct"/>
            <w:tcBorders>
              <w:top w:val="single" w:sz="4" w:space="0" w:color="auto"/>
            </w:tcBorders>
          </w:tcPr>
          <w:p w:rsidR="00842E0D" w:rsidRPr="00AD10BE" w:rsidRDefault="004F6F51" w:rsidP="00622C4C">
            <w:pPr>
              <w:keepNext/>
              <w:jc w:val="center"/>
              <w:rPr>
                <w:rFonts w:ascii="Arial Narrow" w:hAnsi="Arial Narrow"/>
                <w:sz w:val="20"/>
              </w:rPr>
            </w:pPr>
            <w:r w:rsidRPr="00AD10BE">
              <w:rPr>
                <w:rFonts w:ascii="Arial Narrow" w:hAnsi="Arial Narrow"/>
                <w:sz w:val="20"/>
              </w:rPr>
              <w:t>2</w:t>
            </w:r>
          </w:p>
        </w:tc>
        <w:tc>
          <w:tcPr>
            <w:tcW w:w="1511" w:type="pct"/>
            <w:tcBorders>
              <w:top w:val="single" w:sz="4" w:space="0" w:color="auto"/>
            </w:tcBorders>
          </w:tcPr>
          <w:p w:rsidR="00842E0D" w:rsidRPr="00AD10BE" w:rsidRDefault="00842E0D" w:rsidP="00622C4C">
            <w:pPr>
              <w:keepNext/>
              <w:jc w:val="center"/>
              <w:rPr>
                <w:rFonts w:ascii="Arial Narrow" w:hAnsi="Arial Narrow"/>
                <w:sz w:val="20"/>
              </w:rPr>
            </w:pPr>
            <w:r w:rsidRPr="00AD10BE">
              <w:rPr>
                <w:rFonts w:ascii="Arial Narrow" w:hAnsi="Arial Narrow"/>
                <w:sz w:val="20"/>
              </w:rPr>
              <w:t>Public (published): $</w:t>
            </w:r>
            <w:r w:rsidR="00127CDA">
              <w:rPr>
                <w:rFonts w:ascii="Arial Narrow" w:hAnsi="Arial Narrow"/>
                <w:noProof/>
                <w:color w:val="000000"/>
                <w:sz w:val="20"/>
                <w:highlight w:val="black"/>
              </w:rPr>
              <w:t>'''''''''''''''''''''''</w:t>
            </w:r>
          </w:p>
          <w:p w:rsidR="00842E0D" w:rsidRPr="00AD10BE" w:rsidRDefault="00842E0D" w:rsidP="00622C4C">
            <w:pPr>
              <w:keepNext/>
              <w:jc w:val="center"/>
              <w:rPr>
                <w:rFonts w:ascii="Arial Narrow" w:hAnsi="Arial Narrow"/>
                <w:sz w:val="20"/>
              </w:rPr>
            </w:pPr>
            <w:r w:rsidRPr="00AD10BE">
              <w:rPr>
                <w:rFonts w:ascii="Arial Narrow" w:hAnsi="Arial Narrow"/>
                <w:sz w:val="20"/>
              </w:rPr>
              <w:t>Private (published): $</w:t>
            </w:r>
            <w:r w:rsidR="00127CDA">
              <w:rPr>
                <w:rFonts w:ascii="Arial Narrow" w:hAnsi="Arial Narrow"/>
                <w:noProof/>
                <w:color w:val="000000"/>
                <w:sz w:val="20"/>
                <w:highlight w:val="black"/>
              </w:rPr>
              <w:t>'''''''''''''''''''</w:t>
            </w:r>
          </w:p>
          <w:p w:rsidR="00842E0D" w:rsidRPr="00AD10BE" w:rsidRDefault="00842E0D" w:rsidP="00622C4C">
            <w:pPr>
              <w:keepNext/>
              <w:jc w:val="center"/>
              <w:rPr>
                <w:rFonts w:ascii="Arial Narrow" w:hAnsi="Arial Narrow"/>
                <w:sz w:val="20"/>
              </w:rPr>
            </w:pPr>
            <w:r w:rsidRPr="00AD10BE">
              <w:rPr>
                <w:rFonts w:ascii="Arial Narrow" w:hAnsi="Arial Narrow"/>
                <w:sz w:val="20"/>
              </w:rPr>
              <w:t>Effective price: based on comparators</w:t>
            </w:r>
          </w:p>
        </w:tc>
        <w:tc>
          <w:tcPr>
            <w:tcW w:w="1133" w:type="pct"/>
          </w:tcPr>
          <w:p w:rsidR="00842E0D" w:rsidRPr="00AD10BE" w:rsidRDefault="00842E0D" w:rsidP="00622C4C">
            <w:pPr>
              <w:keepNext/>
              <w:jc w:val="center"/>
              <w:rPr>
                <w:rFonts w:ascii="Arial Narrow" w:hAnsi="Arial Narrow"/>
                <w:sz w:val="20"/>
              </w:rPr>
            </w:pPr>
            <w:r w:rsidRPr="00AD10BE">
              <w:rPr>
                <w:rFonts w:ascii="Arial Narrow" w:hAnsi="Arial Narrow"/>
                <w:sz w:val="20"/>
              </w:rPr>
              <w:t>Fasenra</w:t>
            </w:r>
            <w:r w:rsidRPr="00AD10BE">
              <w:rPr>
                <w:rFonts w:ascii="Arial Narrow" w:hAnsi="Arial Narrow"/>
                <w:sz w:val="20"/>
                <w:vertAlign w:val="superscript"/>
              </w:rPr>
              <w:t>®</w:t>
            </w:r>
          </w:p>
          <w:p w:rsidR="00842E0D" w:rsidRPr="00AD10BE" w:rsidRDefault="00F11F42" w:rsidP="00622C4C">
            <w:pPr>
              <w:keepNext/>
              <w:jc w:val="center"/>
              <w:rPr>
                <w:rFonts w:ascii="Arial Narrow" w:hAnsi="Arial Narrow"/>
                <w:sz w:val="20"/>
              </w:rPr>
            </w:pPr>
            <w:r w:rsidRPr="00AD10BE">
              <w:rPr>
                <w:rFonts w:ascii="Arial Narrow" w:hAnsi="Arial Narrow"/>
                <w:sz w:val="20"/>
              </w:rPr>
              <w:t>AstraZeneca</w:t>
            </w:r>
            <w:r w:rsidR="00842E0D" w:rsidRPr="00AD10BE">
              <w:rPr>
                <w:rFonts w:ascii="Arial Narrow" w:hAnsi="Arial Narrow"/>
                <w:sz w:val="20"/>
              </w:rPr>
              <w:t xml:space="preserve"> Pty Ltd</w:t>
            </w:r>
          </w:p>
        </w:tc>
      </w:tr>
      <w:tr w:rsidR="00842E0D" w:rsidRPr="00AD10BE" w:rsidTr="0062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Category/Program:</w:t>
            </w:r>
          </w:p>
        </w:tc>
        <w:tc>
          <w:tcPr>
            <w:tcW w:w="4114" w:type="pct"/>
            <w:gridSpan w:val="5"/>
            <w:tcBorders>
              <w:top w:val="single" w:sz="4" w:space="0" w:color="auto"/>
              <w:left w:val="single" w:sz="4" w:space="0" w:color="auto"/>
              <w:bottom w:val="single" w:sz="4" w:space="0" w:color="auto"/>
              <w:right w:val="single" w:sz="4" w:space="0" w:color="auto"/>
            </w:tcBorders>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Section 100  Highly Specialised Drug Program - public and private</w:t>
            </w:r>
          </w:p>
        </w:tc>
      </w:tr>
      <w:tr w:rsidR="00842E0D" w:rsidRPr="00AD10BE" w:rsidTr="0062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42E0D" w:rsidRPr="00AD10BE" w:rsidRDefault="00842E0D" w:rsidP="00622C4C">
            <w:pPr>
              <w:keepNext/>
              <w:widowControl/>
              <w:jc w:val="left"/>
              <w:rPr>
                <w:rFonts w:ascii="Arial Narrow" w:hAnsi="Arial Narrow" w:cs="Times New Roman"/>
                <w:snapToGrid/>
                <w:sz w:val="20"/>
              </w:rPr>
            </w:pPr>
            <w:r w:rsidRPr="00AD10BE">
              <w:rPr>
                <w:rFonts w:ascii="Arial Narrow" w:hAnsi="Arial Narrow" w:cs="Times New Roman"/>
                <w:snapToGrid/>
                <w:sz w:val="20"/>
                <w:lang w:eastAsia="en-AU"/>
              </w:rPr>
              <w:t>PBS indication:</w:t>
            </w:r>
          </w:p>
        </w:tc>
        <w:tc>
          <w:tcPr>
            <w:tcW w:w="4114" w:type="pct"/>
            <w:gridSpan w:val="5"/>
            <w:tcBorders>
              <w:top w:val="single" w:sz="4" w:space="0" w:color="auto"/>
              <w:left w:val="single" w:sz="4" w:space="0" w:color="auto"/>
              <w:bottom w:val="single" w:sz="4" w:space="0" w:color="auto"/>
              <w:right w:val="single" w:sz="4" w:space="0" w:color="auto"/>
            </w:tcBorders>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rPr>
              <w:t>Uncontrolled severe eosinophilic asthma</w:t>
            </w:r>
          </w:p>
        </w:tc>
      </w:tr>
      <w:tr w:rsidR="00842E0D" w:rsidRPr="00AD10BE" w:rsidTr="0062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Treatment phase:</w:t>
            </w:r>
          </w:p>
        </w:tc>
        <w:tc>
          <w:tcPr>
            <w:tcW w:w="4114" w:type="pct"/>
            <w:gridSpan w:val="5"/>
            <w:tcBorders>
              <w:top w:val="single" w:sz="4" w:space="0" w:color="auto"/>
              <w:left w:val="single" w:sz="4" w:space="0" w:color="auto"/>
              <w:bottom w:val="single" w:sz="4" w:space="0" w:color="auto"/>
              <w:right w:val="single" w:sz="4" w:space="0" w:color="auto"/>
            </w:tcBorders>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Initial</w:t>
            </w:r>
          </w:p>
        </w:tc>
      </w:tr>
      <w:tr w:rsidR="00842E0D" w:rsidRPr="00AD10BE" w:rsidTr="0062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Restriction:</w:t>
            </w:r>
          </w:p>
        </w:tc>
        <w:tc>
          <w:tcPr>
            <w:tcW w:w="4114" w:type="pct"/>
            <w:gridSpan w:val="5"/>
            <w:tcBorders>
              <w:top w:val="single" w:sz="4" w:space="0" w:color="auto"/>
              <w:left w:val="single" w:sz="4" w:space="0" w:color="auto"/>
              <w:bottom w:val="single" w:sz="4" w:space="0" w:color="auto"/>
              <w:right w:val="single" w:sz="4" w:space="0" w:color="auto"/>
            </w:tcBorders>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Authority Required – In Writing</w:t>
            </w:r>
          </w:p>
        </w:tc>
      </w:tr>
      <w:tr w:rsidR="00842E0D" w:rsidRPr="00AD10BE" w:rsidTr="0062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hideMark/>
          </w:tcPr>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Clinical criteria:</w:t>
            </w:r>
          </w:p>
        </w:tc>
        <w:tc>
          <w:tcPr>
            <w:tcW w:w="4114" w:type="pct"/>
            <w:gridSpan w:val="5"/>
            <w:tcBorders>
              <w:top w:val="single" w:sz="4" w:space="0" w:color="auto"/>
              <w:left w:val="single" w:sz="4" w:space="0" w:color="auto"/>
              <w:bottom w:val="single" w:sz="4" w:space="0" w:color="auto"/>
              <w:right w:val="single" w:sz="4" w:space="0" w:color="auto"/>
            </w:tcBorders>
          </w:tcPr>
          <w:p w:rsidR="00842E0D" w:rsidRPr="00AD10BE" w:rsidRDefault="00842E0D" w:rsidP="00622C4C">
            <w:pPr>
              <w:keepNext/>
              <w:rPr>
                <w:rFonts w:ascii="Arial Narrow" w:hAnsi="Arial Narrow"/>
                <w:color w:val="222222"/>
                <w:sz w:val="20"/>
                <w:szCs w:val="20"/>
                <w:lang w:eastAsia="en-AU"/>
              </w:rPr>
            </w:pPr>
            <w:r w:rsidRPr="00AD10BE">
              <w:rPr>
                <w:rFonts w:ascii="Arial Narrow" w:hAnsi="Arial Narrow"/>
                <w:color w:val="222222"/>
                <w:sz w:val="20"/>
                <w:szCs w:val="20"/>
                <w:lang w:eastAsia="en-AU"/>
              </w:rPr>
              <w:t xml:space="preserve">Patient must have received non-PBS treatment with this drug for this condition prior to [DATE TO BE FINALISED], </w:t>
            </w:r>
            <w:r w:rsidRPr="00AD10BE">
              <w:rPr>
                <w:rFonts w:ascii="Arial Narrow" w:hAnsi="Arial Narrow"/>
                <w:b/>
                <w:color w:val="222222"/>
                <w:sz w:val="20"/>
                <w:szCs w:val="20"/>
                <w:lang w:eastAsia="en-AU"/>
              </w:rPr>
              <w:t>AND</w:t>
            </w:r>
          </w:p>
          <w:p w:rsidR="00842E0D" w:rsidRPr="00AD10BE" w:rsidRDefault="00842E0D" w:rsidP="00622C4C">
            <w:pPr>
              <w:keepNext/>
              <w:widowControl/>
              <w:jc w:val="left"/>
              <w:rPr>
                <w:rFonts w:ascii="Arial Narrow" w:hAnsi="Arial Narrow" w:cs="Times New Roman"/>
                <w:snapToGrid/>
                <w:sz w:val="20"/>
                <w:lang w:eastAsia="en-AU"/>
              </w:rPr>
            </w:pPr>
            <w:r w:rsidRPr="00AD10BE">
              <w:rPr>
                <w:rFonts w:ascii="Arial Narrow" w:hAnsi="Arial Narrow"/>
                <w:snapToGrid/>
                <w:color w:val="222222"/>
                <w:sz w:val="20"/>
                <w:szCs w:val="20"/>
                <w:lang w:eastAsia="en-AU"/>
              </w:rPr>
              <w:t>Patient must be receiving treatment with this drug for this condition at the time of application,</w:t>
            </w:r>
          </w:p>
        </w:tc>
      </w:tr>
      <w:tr w:rsidR="004F6F51" w:rsidRPr="00AD10BE" w:rsidTr="00622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pct"/>
          <w:trHeight w:val="20"/>
        </w:trPr>
        <w:tc>
          <w:tcPr>
            <w:tcW w:w="871" w:type="pct"/>
            <w:tcBorders>
              <w:top w:val="single" w:sz="4" w:space="0" w:color="auto"/>
              <w:left w:val="single" w:sz="4" w:space="0" w:color="auto"/>
              <w:bottom w:val="single" w:sz="4" w:space="0" w:color="auto"/>
              <w:right w:val="single" w:sz="4" w:space="0" w:color="auto"/>
            </w:tcBorders>
          </w:tcPr>
          <w:p w:rsidR="004F6F51" w:rsidRPr="00AD10BE" w:rsidRDefault="004F6F51" w:rsidP="00622C4C">
            <w:pPr>
              <w:keepNext/>
              <w:widowControl/>
              <w:jc w:val="left"/>
              <w:rPr>
                <w:rFonts w:ascii="Arial Narrow" w:hAnsi="Arial Narrow" w:cs="Times New Roman"/>
                <w:snapToGrid/>
                <w:sz w:val="20"/>
                <w:lang w:eastAsia="en-AU"/>
              </w:rPr>
            </w:pPr>
            <w:r w:rsidRPr="00AD10BE">
              <w:rPr>
                <w:rFonts w:ascii="Arial Narrow" w:hAnsi="Arial Narrow" w:cs="Times New Roman"/>
                <w:snapToGrid/>
                <w:sz w:val="20"/>
                <w:lang w:eastAsia="en-AU"/>
              </w:rPr>
              <w:t>Population criteria:</w:t>
            </w:r>
          </w:p>
        </w:tc>
        <w:tc>
          <w:tcPr>
            <w:tcW w:w="4114" w:type="pct"/>
            <w:gridSpan w:val="5"/>
            <w:tcBorders>
              <w:top w:val="single" w:sz="4" w:space="0" w:color="auto"/>
              <w:left w:val="single" w:sz="4" w:space="0" w:color="auto"/>
              <w:bottom w:val="single" w:sz="4" w:space="0" w:color="auto"/>
              <w:right w:val="single" w:sz="4" w:space="0" w:color="auto"/>
            </w:tcBorders>
          </w:tcPr>
          <w:p w:rsidR="004F6F51" w:rsidRPr="00AD10BE" w:rsidRDefault="004F6F51" w:rsidP="004F6F51">
            <w:pPr>
              <w:keepNext/>
              <w:rPr>
                <w:rFonts w:ascii="Arial Narrow" w:hAnsi="Arial Narrow"/>
                <w:color w:val="222222"/>
                <w:sz w:val="20"/>
                <w:szCs w:val="20"/>
                <w:lang w:eastAsia="en-AU"/>
              </w:rPr>
            </w:pPr>
            <w:r w:rsidRPr="00AD10BE">
              <w:rPr>
                <w:rFonts w:ascii="Arial Narrow" w:hAnsi="Arial Narrow"/>
                <w:color w:val="222222"/>
                <w:sz w:val="20"/>
                <w:szCs w:val="20"/>
                <w:lang w:eastAsia="en-AU"/>
              </w:rPr>
              <w:t>Patient must be aged 18 years or older.</w:t>
            </w:r>
          </w:p>
        </w:tc>
      </w:tr>
    </w:tbl>
    <w:p w:rsidR="008119AC" w:rsidRPr="007C3E2A" w:rsidRDefault="008119AC" w:rsidP="003E6ED7">
      <w:pPr>
        <w:widowControl/>
        <w:numPr>
          <w:ilvl w:val="1"/>
          <w:numId w:val="1"/>
        </w:numPr>
        <w:spacing w:before="120" w:after="120"/>
        <w:ind w:left="709"/>
      </w:pPr>
      <w:r w:rsidRPr="005F47F8">
        <w:t xml:space="preserve">The submission </w:t>
      </w:r>
      <w:r w:rsidRPr="007C3E2A">
        <w:t xml:space="preserve">proposed a special pricing arrangement for benralizumab with the price to be based on the effective price </w:t>
      </w:r>
      <w:r w:rsidR="000C187A" w:rsidRPr="007C3E2A">
        <w:t xml:space="preserve">of </w:t>
      </w:r>
      <w:r w:rsidRPr="007C3E2A">
        <w:t xml:space="preserve">the comparators, mepolizumab and omalizumab. </w:t>
      </w:r>
    </w:p>
    <w:p w:rsidR="00AC5C01" w:rsidRPr="007C3E2A" w:rsidRDefault="008119AC" w:rsidP="007C3E2A">
      <w:pPr>
        <w:widowControl/>
        <w:numPr>
          <w:ilvl w:val="1"/>
          <w:numId w:val="1"/>
        </w:numPr>
        <w:spacing w:after="120"/>
        <w:ind w:left="709"/>
      </w:pPr>
      <w:r w:rsidRPr="007C3E2A">
        <w:t>The proposed maximum quantity and repeats were based on a dosing regimen of one subcutaneous injection every four weeks for the first three doses, then every eight weeks thereafter. This aligned with</w:t>
      </w:r>
      <w:r w:rsidR="00EF447B" w:rsidRPr="007C3E2A">
        <w:t xml:space="preserve"> the</w:t>
      </w:r>
      <w:r w:rsidRPr="007C3E2A">
        <w:t xml:space="preserve"> draft product information; however, the key clinical trials also included a treatment arm where patients were dosed every four weeks. </w:t>
      </w:r>
      <w:r w:rsidR="009D11E4" w:rsidRPr="007C3E2A">
        <w:t>The evaluation considered that i</w:t>
      </w:r>
      <w:r w:rsidRPr="007C3E2A">
        <w:t>t was not known whether the four-weekly regimen would be used in clinical practice, for example in patients with inadequate response to the eight-weekly regimen. While the risk of more frequent use would be minimised by the written authority requirement, it may limit the clinical benefits achieved in some patients.</w:t>
      </w:r>
    </w:p>
    <w:p w:rsidR="00AC5C01" w:rsidRPr="00075A03" w:rsidRDefault="00214801" w:rsidP="00622C4C">
      <w:pPr>
        <w:widowControl/>
        <w:numPr>
          <w:ilvl w:val="1"/>
          <w:numId w:val="1"/>
        </w:numPr>
        <w:spacing w:after="120"/>
      </w:pPr>
      <w:r w:rsidRPr="00075A03">
        <w:t xml:space="preserve">The </w:t>
      </w:r>
      <w:r w:rsidR="00622C4C" w:rsidRPr="00075A03">
        <w:t>Pre-Sub-Committee Response (</w:t>
      </w:r>
      <w:r w:rsidRPr="00075A03">
        <w:t>PSCR</w:t>
      </w:r>
      <w:r w:rsidR="00622C4C" w:rsidRPr="00075A03">
        <w:t>)</w:t>
      </w:r>
      <w:r w:rsidRPr="00075A03">
        <w:t xml:space="preserve"> noted there </w:t>
      </w:r>
      <w:r w:rsidR="000446EB">
        <w:t>we</w:t>
      </w:r>
      <w:r w:rsidRPr="00075A03">
        <w:t xml:space="preserve">re two minor submissions on the </w:t>
      </w:r>
      <w:r w:rsidR="00622C4C" w:rsidRPr="00075A03">
        <w:t xml:space="preserve">March 2018 PBAC meeting </w:t>
      </w:r>
      <w:r w:rsidRPr="00075A03">
        <w:t>agenda</w:t>
      </w:r>
      <w:r w:rsidR="000446EB">
        <w:t>,</w:t>
      </w:r>
      <w:r w:rsidRPr="00075A03">
        <w:t xml:space="preserve"> both request</w:t>
      </w:r>
      <w:r w:rsidR="000446EB">
        <w:t>ing</w:t>
      </w:r>
      <w:r w:rsidRPr="00075A03">
        <w:t xml:space="preserve"> changes to the PBS restrictions for biologics for severe uncontrolled asthma. </w:t>
      </w:r>
      <w:r w:rsidR="00D27FCD" w:rsidRPr="00075A03">
        <w:t xml:space="preserve">The PSCR </w:t>
      </w:r>
      <w:r w:rsidR="004F6F51" w:rsidRPr="00075A03">
        <w:t xml:space="preserve">noted these submissions may have potential flow-on effects to the proposed </w:t>
      </w:r>
      <w:r w:rsidR="003D2CE9" w:rsidRPr="00075A03">
        <w:t>restriction</w:t>
      </w:r>
      <w:r w:rsidR="004F6F51" w:rsidRPr="00075A03">
        <w:t xml:space="preserve">, which are discussed in </w:t>
      </w:r>
      <w:r w:rsidR="003D2CE9" w:rsidRPr="00075A03">
        <w:t xml:space="preserve">the </w:t>
      </w:r>
      <w:r w:rsidR="009D11E4">
        <w:t xml:space="preserve">March 2018 PBAC </w:t>
      </w:r>
      <w:r w:rsidR="008831CB">
        <w:t>Public Summary Documents (PSD) for</w:t>
      </w:r>
      <w:r w:rsidR="009D11E4">
        <w:t xml:space="preserve"> mepolizumab and</w:t>
      </w:r>
      <w:r w:rsidR="00B64FD9" w:rsidRPr="00075A03">
        <w:t xml:space="preserve">  benralizumab</w:t>
      </w:r>
      <w:r w:rsidR="004F6F51" w:rsidRPr="00075A03">
        <w:t>.</w:t>
      </w:r>
      <w:r w:rsidR="00B64FD9" w:rsidRPr="00075A03">
        <w:t xml:space="preserve"> </w:t>
      </w:r>
    </w:p>
    <w:p w:rsidR="003D535D" w:rsidRPr="009D11E4" w:rsidRDefault="00D27FCD" w:rsidP="00882F7F">
      <w:pPr>
        <w:widowControl/>
        <w:numPr>
          <w:ilvl w:val="1"/>
          <w:numId w:val="1"/>
        </w:numPr>
        <w:spacing w:after="120"/>
      </w:pPr>
      <w:r w:rsidRPr="00075A03">
        <w:t>The submission requested a separate grandfathering restriction for patients in on-going studies and in a patient familiarisation program</w:t>
      </w:r>
      <w:r w:rsidR="00214801" w:rsidRPr="00075A03">
        <w:t xml:space="preserve">. Proposed wording for the restriction was provided in the PSCR, based on the grandfathering restriction for mepolizumab. </w:t>
      </w:r>
      <w:r w:rsidR="00882F7F">
        <w:t xml:space="preserve">The submission’s financial estimates included five grandfathered patients from a safety extension study. The evaluation noted that this may have been an underestimate as it did not include patients in the </w:t>
      </w:r>
      <w:r w:rsidR="00882F7F" w:rsidRPr="00075A03">
        <w:t>patient familiarisation program</w:t>
      </w:r>
      <w:r w:rsidR="00882F7F">
        <w:t>.</w:t>
      </w:r>
    </w:p>
    <w:p w:rsidR="00F272AD" w:rsidRPr="005F47F8" w:rsidRDefault="003D535D" w:rsidP="003D535D">
      <w:pPr>
        <w:widowControl/>
        <w:spacing w:after="120"/>
        <w:ind w:left="709"/>
        <w:jc w:val="left"/>
      </w:pPr>
      <w:r w:rsidRPr="007C3E2A">
        <w:rPr>
          <w:rFonts w:asciiTheme="minorHAnsi" w:hAnsiTheme="minorHAnsi"/>
          <w:i/>
        </w:rPr>
        <w:t>For more detail on PBAC’s view, see section 7 PBAC outcome.</w:t>
      </w:r>
    </w:p>
    <w:p w:rsidR="008119AC" w:rsidRPr="003E6ED7" w:rsidRDefault="008119AC" w:rsidP="003E6ED7">
      <w:pPr>
        <w:pStyle w:val="PBACHeading1"/>
      </w:pPr>
      <w:bookmarkStart w:id="4" w:name="_Toc502912705"/>
      <w:r w:rsidRPr="003E6ED7">
        <w:t>Background</w:t>
      </w:r>
      <w:bookmarkEnd w:id="4"/>
    </w:p>
    <w:p w:rsidR="008119AC" w:rsidRPr="003E6ED7" w:rsidRDefault="008119AC" w:rsidP="003E6ED7">
      <w:pPr>
        <w:pStyle w:val="Heading2"/>
      </w:pPr>
      <w:r w:rsidRPr="003E6ED7">
        <w:t>Registration status</w:t>
      </w:r>
    </w:p>
    <w:p w:rsidR="008773AD" w:rsidRPr="00386ABA" w:rsidRDefault="009D11E4" w:rsidP="000165CF">
      <w:pPr>
        <w:widowControl/>
        <w:numPr>
          <w:ilvl w:val="1"/>
          <w:numId w:val="1"/>
        </w:numPr>
        <w:spacing w:after="120"/>
      </w:pPr>
      <w:r w:rsidRPr="00386ABA">
        <w:t xml:space="preserve">The submission was made under </w:t>
      </w:r>
      <w:r w:rsidR="000165CF">
        <w:t xml:space="preserve">the </w:t>
      </w:r>
      <w:r w:rsidRPr="00386ABA">
        <w:t xml:space="preserve">TGA/PBAC Parallel Process. At the time of PBAC consideration, </w:t>
      </w:r>
      <w:r w:rsidR="007C3E2A">
        <w:t>the</w:t>
      </w:r>
      <w:r w:rsidRPr="00386ABA">
        <w:t xml:space="preserve"> Delegates Overview and Advisory Committee on Medicines Minutes were available. </w:t>
      </w:r>
      <w:r w:rsidR="000165CF">
        <w:t xml:space="preserve">The </w:t>
      </w:r>
      <w:r w:rsidR="000165CF" w:rsidRPr="000165CF">
        <w:t xml:space="preserve">Advisory Committee on Medicines Minutes </w:t>
      </w:r>
      <w:r w:rsidR="000165CF">
        <w:t>stated that the committee</w:t>
      </w:r>
      <w:r w:rsidR="000165CF" w:rsidRPr="000165CF">
        <w:t xml:space="preserve"> </w:t>
      </w:r>
      <w:r w:rsidR="000165CF">
        <w:t>considered</w:t>
      </w:r>
      <w:r w:rsidR="000165CF" w:rsidRPr="000165CF">
        <w:t xml:space="preserve"> benralizumab to have an overall positive benefit-risk profile for the </w:t>
      </w:r>
      <w:r w:rsidR="000165CF">
        <w:t xml:space="preserve">relevant </w:t>
      </w:r>
      <w:r w:rsidR="000165CF" w:rsidRPr="000165CF">
        <w:t>indication</w:t>
      </w:r>
      <w:r w:rsidR="000165CF">
        <w:t xml:space="preserve">. </w:t>
      </w:r>
    </w:p>
    <w:p w:rsidR="00214801" w:rsidRPr="00386ABA" w:rsidRDefault="007C3E2A" w:rsidP="008F20ED">
      <w:pPr>
        <w:widowControl/>
        <w:numPr>
          <w:ilvl w:val="1"/>
          <w:numId w:val="1"/>
        </w:numPr>
        <w:spacing w:after="120"/>
      </w:pPr>
      <w:r w:rsidRPr="001F7C04">
        <w:t xml:space="preserve">The </w:t>
      </w:r>
      <w:r w:rsidR="00E12764">
        <w:t xml:space="preserve">draft </w:t>
      </w:r>
      <w:r w:rsidRPr="001F7C04">
        <w:t xml:space="preserve">indication, including the </w:t>
      </w:r>
      <w:r w:rsidR="001F7C04" w:rsidRPr="001F7C04">
        <w:t>specified age group</w:t>
      </w:r>
      <w:r w:rsidRPr="001F7C04">
        <w:t>, changed throughout the TGA registration process</w:t>
      </w:r>
      <w:r>
        <w:t xml:space="preserve">. </w:t>
      </w:r>
      <w:r w:rsidR="008119AC" w:rsidRPr="00386ABA">
        <w:t xml:space="preserve">The </w:t>
      </w:r>
      <w:r w:rsidR="0015032D" w:rsidRPr="00386ABA">
        <w:t xml:space="preserve">sponsor </w:t>
      </w:r>
      <w:r w:rsidR="007D2001" w:rsidRPr="00386ABA">
        <w:t xml:space="preserve">initially </w:t>
      </w:r>
      <w:r w:rsidR="008119AC" w:rsidRPr="00386ABA">
        <w:t xml:space="preserve">proposed </w:t>
      </w:r>
      <w:r w:rsidR="007D2001" w:rsidRPr="00386ABA">
        <w:t xml:space="preserve">the following </w:t>
      </w:r>
      <w:r w:rsidR="008119AC" w:rsidRPr="00386ABA">
        <w:t>TGA indication</w:t>
      </w:r>
      <w:r w:rsidR="007D2001" w:rsidRPr="00386ABA">
        <w:t>:</w:t>
      </w:r>
      <w:r w:rsidR="008119AC" w:rsidRPr="00386ABA">
        <w:t xml:space="preserve"> “</w:t>
      </w:r>
      <w:r w:rsidR="007D2001" w:rsidRPr="00386ABA">
        <w:t xml:space="preserve">[benralizumab] is indicated as </w:t>
      </w:r>
      <w:r w:rsidR="008119AC" w:rsidRPr="00386ABA">
        <w:t>an add-on maintenance treatment for severe asthma in patients with an eosinophilic phenotype.”</w:t>
      </w:r>
      <w:r w:rsidR="007D62F3" w:rsidRPr="00386ABA">
        <w:t xml:space="preserve"> </w:t>
      </w:r>
      <w:r w:rsidR="007D2001" w:rsidRPr="00386ABA">
        <w:t>The pre-PBAC response state</w:t>
      </w:r>
      <w:r w:rsidR="008F20ED" w:rsidRPr="00386ABA">
        <w:t>d that</w:t>
      </w:r>
      <w:r w:rsidR="007D2001" w:rsidRPr="00386ABA">
        <w:t xml:space="preserve">, following the Advisory Committee on Medicines meeting, the TGA Delegate had </w:t>
      </w:r>
      <w:r w:rsidR="00386ABA" w:rsidRPr="00386ABA">
        <w:t>recommended the indication</w:t>
      </w:r>
      <w:r w:rsidR="008F20ED" w:rsidRPr="00386ABA">
        <w:t>: “</w:t>
      </w:r>
      <w:r w:rsidR="007D2001" w:rsidRPr="00386ABA">
        <w:t>[benralizumab]</w:t>
      </w:r>
      <w:r w:rsidR="008F20ED" w:rsidRPr="00386ABA">
        <w:t xml:space="preserve"> is indicated as an add</w:t>
      </w:r>
      <w:r w:rsidR="00F11F42">
        <w:t>-</w:t>
      </w:r>
      <w:r w:rsidR="008F20ED" w:rsidRPr="00386ABA">
        <w:t>on maintenance treatment in patients aged ≥12 years of age, with severe eosinophilic asthma (with blood eosinophil count of ≥300cells/µL or ≥150 if on chronic OCS treatment).”</w:t>
      </w:r>
      <w:r w:rsidR="0062635D" w:rsidRPr="00386ABA">
        <w:t xml:space="preserve"> </w:t>
      </w:r>
    </w:p>
    <w:p w:rsidR="000165CF" w:rsidRDefault="00D27FCD" w:rsidP="00CD667A">
      <w:pPr>
        <w:widowControl/>
        <w:numPr>
          <w:ilvl w:val="1"/>
          <w:numId w:val="1"/>
        </w:numPr>
        <w:spacing w:after="120"/>
        <w:ind w:left="709"/>
      </w:pPr>
      <w:r w:rsidRPr="00AD10BE">
        <w:t xml:space="preserve">The </w:t>
      </w:r>
      <w:r w:rsidR="00256D70">
        <w:t xml:space="preserve">pre-PBAC response </w:t>
      </w:r>
      <w:r w:rsidRPr="00AD10BE">
        <w:t xml:space="preserve">noted </w:t>
      </w:r>
      <w:r w:rsidR="00214801" w:rsidRPr="00AD10BE">
        <w:t xml:space="preserve">that the TGA delegate recommended that benralizumab </w:t>
      </w:r>
      <w:r w:rsidR="003D2CE9" w:rsidRPr="00AD10BE">
        <w:t xml:space="preserve">should be indicated in </w:t>
      </w:r>
      <w:r w:rsidR="00214801" w:rsidRPr="00AD10BE">
        <w:t xml:space="preserve">patients </w:t>
      </w:r>
      <w:r w:rsidR="00E5456B">
        <w:t>aged</w:t>
      </w:r>
      <w:r w:rsidR="00214801" w:rsidRPr="00AD10BE">
        <w:t xml:space="preserve"> 12 years</w:t>
      </w:r>
      <w:r w:rsidR="003D2CE9" w:rsidRPr="00AD10BE">
        <w:t xml:space="preserve"> </w:t>
      </w:r>
      <w:r w:rsidR="00E5456B">
        <w:t>and over</w:t>
      </w:r>
      <w:r w:rsidR="00214801" w:rsidRPr="00AD10BE">
        <w:t xml:space="preserve">, which </w:t>
      </w:r>
      <w:r w:rsidRPr="00AD10BE">
        <w:t xml:space="preserve">was broader than the age </w:t>
      </w:r>
      <w:r w:rsidR="001F7C04">
        <w:t xml:space="preserve">range included </w:t>
      </w:r>
      <w:r w:rsidRPr="00AD10BE">
        <w:t>in the submission</w:t>
      </w:r>
      <w:r w:rsidR="00214801" w:rsidRPr="00AD10BE">
        <w:t xml:space="preserve">’s </w:t>
      </w:r>
      <w:r w:rsidR="001F7C04" w:rsidRPr="00AD10BE">
        <w:t xml:space="preserve">proposed </w:t>
      </w:r>
      <w:r w:rsidR="00214801" w:rsidRPr="00AD10BE">
        <w:t>restriction</w:t>
      </w:r>
      <w:r w:rsidRPr="00AD10BE">
        <w:t xml:space="preserve"> </w:t>
      </w:r>
      <w:r w:rsidR="001F7C04">
        <w:t xml:space="preserve">(18 years and over), </w:t>
      </w:r>
      <w:r w:rsidR="00214801" w:rsidRPr="00AD10BE">
        <w:t>but</w:t>
      </w:r>
      <w:r w:rsidRPr="00AD10BE">
        <w:t xml:space="preserve"> </w:t>
      </w:r>
      <w:r w:rsidR="00D06B1C" w:rsidRPr="00AD10BE">
        <w:t>wa</w:t>
      </w:r>
      <w:r w:rsidRPr="00AD10BE">
        <w:t>s consistent with the PBS restriction for mepolizumab.</w:t>
      </w:r>
      <w:r w:rsidR="00842E0D" w:rsidRPr="00AD10BE">
        <w:t xml:space="preserve"> </w:t>
      </w:r>
    </w:p>
    <w:p w:rsidR="00542F8C" w:rsidRPr="00170DDB" w:rsidRDefault="003954E5" w:rsidP="003E6ED7">
      <w:pPr>
        <w:pStyle w:val="Heading2"/>
      </w:pPr>
      <w:r w:rsidRPr="00170DDB">
        <w:t>Previous PBAC considerations in severe eosinophilic asthma</w:t>
      </w:r>
    </w:p>
    <w:p w:rsidR="00BE1655" w:rsidRPr="005F47F8" w:rsidRDefault="001F4096" w:rsidP="00D70B99">
      <w:pPr>
        <w:widowControl/>
        <w:numPr>
          <w:ilvl w:val="1"/>
          <w:numId w:val="1"/>
        </w:numPr>
        <w:spacing w:after="120"/>
      </w:pPr>
      <w:r w:rsidRPr="005F47F8">
        <w:t>T</w:t>
      </w:r>
      <w:r w:rsidR="006E0A6D" w:rsidRPr="005F47F8">
        <w:t xml:space="preserve">wo monoclonal antibodies </w:t>
      </w:r>
      <w:r w:rsidRPr="005F47F8">
        <w:t xml:space="preserve">are </w:t>
      </w:r>
      <w:r w:rsidR="006E0A6D" w:rsidRPr="005F47F8">
        <w:t>PBS-listed for specific subtypes of severe uncontrolled asthma</w:t>
      </w:r>
      <w:r w:rsidRPr="005F47F8">
        <w:t>: mepolizumab and omalizumab</w:t>
      </w:r>
      <w:r w:rsidR="006E0A6D" w:rsidRPr="005F47F8">
        <w:t xml:space="preserve">. </w:t>
      </w:r>
      <w:r w:rsidR="003954E5" w:rsidRPr="005F47F8">
        <w:t>Mepolizumab</w:t>
      </w:r>
      <w:r w:rsidR="00BE1655" w:rsidRPr="005F47F8">
        <w:t xml:space="preserve"> </w:t>
      </w:r>
      <w:r w:rsidR="003954E5" w:rsidRPr="005F47F8">
        <w:t xml:space="preserve">was listed for </w:t>
      </w:r>
      <w:r w:rsidR="00370CB8" w:rsidRPr="005F47F8">
        <w:t>eosinophilic asthma</w:t>
      </w:r>
      <w:r w:rsidR="00542F8C" w:rsidRPr="005F47F8">
        <w:t xml:space="preserve"> </w:t>
      </w:r>
      <w:r w:rsidR="003954E5" w:rsidRPr="005F47F8">
        <w:t>on 1 Jan</w:t>
      </w:r>
      <w:r w:rsidR="00BE1655" w:rsidRPr="005F47F8">
        <w:t>uary</w:t>
      </w:r>
      <w:r w:rsidR="003954E5" w:rsidRPr="005F47F8">
        <w:t xml:space="preserve"> 2017. I</w:t>
      </w:r>
      <w:r w:rsidR="00370CB8" w:rsidRPr="005F47F8">
        <w:t>t</w:t>
      </w:r>
      <w:r w:rsidR="003954E5" w:rsidRPr="005F47F8">
        <w:t xml:space="preserve"> was </w:t>
      </w:r>
      <w:r w:rsidR="00370CB8" w:rsidRPr="005F47F8">
        <w:t>recommended on</w:t>
      </w:r>
      <w:r w:rsidR="003954E5" w:rsidRPr="005F47F8">
        <w:t xml:space="preserve"> </w:t>
      </w:r>
      <w:r w:rsidR="00370CB8" w:rsidRPr="005F47F8">
        <w:t xml:space="preserve">a </w:t>
      </w:r>
      <w:r w:rsidR="003954E5" w:rsidRPr="005F47F8">
        <w:t>cost</w:t>
      </w:r>
      <w:r w:rsidR="008773AD" w:rsidRPr="005F47F8">
        <w:noBreakHyphen/>
      </w:r>
      <w:r w:rsidR="003954E5" w:rsidRPr="005F47F8">
        <w:t>min</w:t>
      </w:r>
      <w:r w:rsidR="00370CB8" w:rsidRPr="005F47F8">
        <w:t>imisation basis</w:t>
      </w:r>
      <w:r w:rsidR="003954E5" w:rsidRPr="005F47F8">
        <w:t xml:space="preserve"> to omalizumab</w:t>
      </w:r>
      <w:r w:rsidR="00542F8C" w:rsidRPr="005F47F8">
        <w:t>.</w:t>
      </w:r>
      <w:r w:rsidR="003954E5" w:rsidRPr="005F47F8">
        <w:t xml:space="preserve"> </w:t>
      </w:r>
      <w:r w:rsidR="006E0A6D" w:rsidRPr="005F47F8">
        <w:t>The key outcome presented was the rate of clinically significant exacerbations</w:t>
      </w:r>
      <w:r w:rsidR="00E934F9" w:rsidRPr="005F47F8">
        <w:t>. F</w:t>
      </w:r>
      <w:r w:rsidR="006E0A6D" w:rsidRPr="005F47F8">
        <w:t xml:space="preserve">or the indirect comparison between mepolizumab and omalizumab (with standard of care as the common comparator) the rate ratio was 0.64 (95% confidence interval (CI): 0.45, 0.90) </w:t>
      </w:r>
      <w:r w:rsidR="002319A0" w:rsidRPr="005F47F8">
        <w:t xml:space="preserve">which statistically significantly </w:t>
      </w:r>
      <w:r w:rsidR="006E0A6D" w:rsidRPr="005F47F8">
        <w:t>favour</w:t>
      </w:r>
      <w:r w:rsidR="002319A0" w:rsidRPr="005F47F8">
        <w:t>ed</w:t>
      </w:r>
      <w:r w:rsidR="006E0A6D" w:rsidRPr="005F47F8">
        <w:t xml:space="preserve"> mepolizumab (Paragraph 6.15, Mepolizumab Public Summary Document, March 2016).</w:t>
      </w:r>
      <w:r w:rsidR="002319A0" w:rsidRPr="005F47F8">
        <w:t xml:space="preserve"> The cost-minimisation analysis incorporated cost-offsets to account for costs associated with administration, the treatment of adverse events (anaphylaxis), and longer supervision due to the potential f</w:t>
      </w:r>
      <w:r w:rsidR="00E934F9" w:rsidRPr="005F47F8">
        <w:t>or</w:t>
      </w:r>
      <w:r w:rsidR="002319A0" w:rsidRPr="005F47F8">
        <w:t xml:space="preserve"> anaphylaxis with omalizumab (Paragraph 7.3, Mepolizumab Public Summary Document, July 2016).</w:t>
      </w:r>
    </w:p>
    <w:p w:rsidR="00192A0A" w:rsidRDefault="00BE1655" w:rsidP="00192A0A">
      <w:pPr>
        <w:widowControl/>
        <w:numPr>
          <w:ilvl w:val="1"/>
          <w:numId w:val="1"/>
        </w:numPr>
        <w:spacing w:after="120"/>
      </w:pPr>
      <w:r w:rsidRPr="005F47F8">
        <w:t xml:space="preserve">Omalizumab was </w:t>
      </w:r>
      <w:r w:rsidR="006E0A6D" w:rsidRPr="005F47F8">
        <w:t xml:space="preserve">first </w:t>
      </w:r>
      <w:r w:rsidRPr="005F47F8">
        <w:t xml:space="preserve">PBS-listed </w:t>
      </w:r>
      <w:r w:rsidR="00C0748B" w:rsidRPr="005F47F8">
        <w:t xml:space="preserve">on 1 July 2011 </w:t>
      </w:r>
      <w:r w:rsidRPr="005F47F8">
        <w:t>for</w:t>
      </w:r>
      <w:r w:rsidR="006E0A6D" w:rsidRPr="005F47F8">
        <w:t xml:space="preserve"> severe</w:t>
      </w:r>
      <w:r w:rsidRPr="005F47F8">
        <w:t xml:space="preserve"> </w:t>
      </w:r>
      <w:r w:rsidR="006E0A6D" w:rsidRPr="005F47F8">
        <w:t xml:space="preserve">uncontrolled </w:t>
      </w:r>
      <w:r w:rsidRPr="005F47F8">
        <w:t>allergic asthma</w:t>
      </w:r>
      <w:r w:rsidR="00C0748B" w:rsidRPr="005F47F8">
        <w:t xml:space="preserve"> </w:t>
      </w:r>
      <w:r w:rsidRPr="005F47F8">
        <w:t>(elevated immunoglobulin E levels), which overlaps with eosinophilic asthma in some patients</w:t>
      </w:r>
      <w:r w:rsidR="00C0748B" w:rsidRPr="005F47F8">
        <w:t xml:space="preserve">. </w:t>
      </w:r>
      <w:r w:rsidR="006E0A6D" w:rsidRPr="005F47F8">
        <w:t xml:space="preserve">It was recommended on a cost-effectiveness basis compared with </w:t>
      </w:r>
      <w:r w:rsidR="00A84B35" w:rsidRPr="005F47F8">
        <w:t>standard of care</w:t>
      </w:r>
      <w:r w:rsidR="006E0A6D" w:rsidRPr="005F47F8">
        <w:t>.</w:t>
      </w:r>
    </w:p>
    <w:p w:rsidR="00D70B99" w:rsidRPr="003E6ED7" w:rsidRDefault="003D535D" w:rsidP="003E6ED7">
      <w:pPr>
        <w:widowControl/>
        <w:spacing w:after="120"/>
        <w:ind w:left="720"/>
        <w:rPr>
          <w:rFonts w:asciiTheme="minorHAnsi" w:hAnsiTheme="minorHAnsi"/>
          <w:i/>
        </w:rPr>
      </w:pPr>
      <w:r w:rsidRPr="007C3E2A">
        <w:rPr>
          <w:rFonts w:asciiTheme="minorHAnsi" w:hAnsiTheme="minorHAnsi"/>
          <w:i/>
        </w:rPr>
        <w:t>For more detail on PBAC’s view, see section 7 PBAC outcome.</w:t>
      </w:r>
    </w:p>
    <w:p w:rsidR="008119AC" w:rsidRPr="003E6ED7" w:rsidRDefault="008119AC" w:rsidP="003E6ED7">
      <w:pPr>
        <w:pStyle w:val="PBACHeading1"/>
      </w:pPr>
      <w:bookmarkStart w:id="5" w:name="_Toc502912706"/>
      <w:r w:rsidRPr="003E6ED7">
        <w:t>Population and disease</w:t>
      </w:r>
      <w:bookmarkEnd w:id="5"/>
    </w:p>
    <w:p w:rsidR="008119AC" w:rsidRPr="005F47F8" w:rsidRDefault="008119AC" w:rsidP="00D70B99">
      <w:pPr>
        <w:widowControl/>
        <w:numPr>
          <w:ilvl w:val="1"/>
          <w:numId w:val="1"/>
        </w:numPr>
        <w:spacing w:after="120"/>
      </w:pPr>
      <w:r w:rsidRPr="005F47F8">
        <w:t>Eosinophilic asthma occurs in response to inflammatory stimuli, usually has a late-onset (e.g. 20 years of age and over)</w:t>
      </w:r>
      <w:r w:rsidR="007371DB" w:rsidRPr="005F47F8">
        <w:t>,</w:t>
      </w:r>
      <w:r w:rsidRPr="005F47F8">
        <w:t xml:space="preserve"> and is often refractory to corticosteroid therapy. Benralizumab is a monoclonal antibody that targets the interleukin-5 pathway (i.e. eosinophil-mediated inflammation). </w:t>
      </w:r>
    </w:p>
    <w:p w:rsidR="008119AC" w:rsidRDefault="008119AC" w:rsidP="00D70B99">
      <w:pPr>
        <w:widowControl/>
        <w:numPr>
          <w:ilvl w:val="1"/>
          <w:numId w:val="1"/>
        </w:numPr>
        <w:spacing w:after="120"/>
        <w:ind w:left="709"/>
      </w:pPr>
      <w:r w:rsidRPr="005F47F8">
        <w:t>Benralizumab was proposed for use in patients with severe eosinophilic asthma that is uncontrolled with standard of care therapy. It is intended to be added-on to standard of care</w:t>
      </w:r>
      <w:r w:rsidR="007371DB" w:rsidRPr="005F47F8">
        <w:t>,</w:t>
      </w:r>
      <w:r w:rsidRPr="005F47F8">
        <w:t xml:space="preserve"> which usually includes high-dose inhaled corticosteroids plus long-</w:t>
      </w:r>
      <w:r w:rsidRPr="00AD10BE">
        <w:t xml:space="preserve">acting beta-agonists and, in some cases, oral corticosteroids. </w:t>
      </w:r>
    </w:p>
    <w:p w:rsidR="00D06B1C" w:rsidRDefault="00D06B1C" w:rsidP="00D70B99">
      <w:pPr>
        <w:widowControl/>
        <w:numPr>
          <w:ilvl w:val="1"/>
          <w:numId w:val="1"/>
        </w:numPr>
        <w:spacing w:after="120"/>
        <w:ind w:left="709"/>
      </w:pPr>
      <w:r w:rsidRPr="00AD10BE">
        <w:t xml:space="preserve">The ESC </w:t>
      </w:r>
      <w:r w:rsidR="00FE6D4A" w:rsidRPr="00AD10BE">
        <w:t>not</w:t>
      </w:r>
      <w:r w:rsidRPr="00AD10BE">
        <w:t xml:space="preserve">ed that </w:t>
      </w:r>
      <w:r w:rsidR="001E0FD9" w:rsidRPr="00AD10BE">
        <w:t>biologic</w:t>
      </w:r>
      <w:r w:rsidRPr="00AD10BE">
        <w:t xml:space="preserve"> therapies are intended for use as part of a comprehensive asthma management plan</w:t>
      </w:r>
      <w:r w:rsidR="00FE6D4A" w:rsidRPr="00AD10BE">
        <w:t xml:space="preserve"> following optimisation of other therapies including assess</w:t>
      </w:r>
      <w:r w:rsidR="00622C4C" w:rsidRPr="00AD10BE">
        <w:t>ment of p</w:t>
      </w:r>
      <w:r w:rsidR="00FE6D4A" w:rsidRPr="00AD10BE">
        <w:t>atient compliance and inhaler technique.</w:t>
      </w:r>
    </w:p>
    <w:p w:rsidR="004E5C32" w:rsidRDefault="006A5160" w:rsidP="004E5C32">
      <w:pPr>
        <w:widowControl/>
        <w:numPr>
          <w:ilvl w:val="1"/>
          <w:numId w:val="1"/>
        </w:numPr>
        <w:spacing w:after="120"/>
        <w:ind w:left="709"/>
      </w:pPr>
      <w:r>
        <w:t>The</w:t>
      </w:r>
      <w:r w:rsidR="008119AC" w:rsidRPr="005F47F8">
        <w:t xml:space="preserve"> submission proposed that benralizumab would be an alternative to mepolizumab in patients with eosinophilic asthma, and to omalizumab in patients with overlapping eosinophilic and allergic asthma.</w:t>
      </w:r>
    </w:p>
    <w:p w:rsidR="00CD667A" w:rsidRDefault="00CD667A" w:rsidP="00CD667A">
      <w:pPr>
        <w:widowControl/>
        <w:numPr>
          <w:ilvl w:val="1"/>
          <w:numId w:val="1"/>
        </w:numPr>
        <w:spacing w:after="120"/>
        <w:ind w:left="709"/>
      </w:pPr>
      <w:r w:rsidRPr="006A5160">
        <w:t xml:space="preserve">Benralizumab is </w:t>
      </w:r>
      <w:r>
        <w:t xml:space="preserve">administered, via subcutaneous injection, </w:t>
      </w:r>
      <w:r w:rsidRPr="006A5160">
        <w:t>every</w:t>
      </w:r>
      <w:r>
        <w:t xml:space="preserve"> eight weeks while mepolizumab is administered every four weeks, and omalizumab is administered every two to four weeks. </w:t>
      </w:r>
    </w:p>
    <w:p w:rsidR="008119AC" w:rsidRPr="005F47F8" w:rsidRDefault="008119AC" w:rsidP="003E6ED7">
      <w:pPr>
        <w:pStyle w:val="PBACHeading1"/>
      </w:pPr>
      <w:bookmarkStart w:id="6" w:name="_Toc502912707"/>
      <w:r w:rsidRPr="005F47F8">
        <w:t>Comparator</w:t>
      </w:r>
      <w:bookmarkEnd w:id="6"/>
    </w:p>
    <w:p w:rsidR="008119AC" w:rsidRPr="005F47F8" w:rsidRDefault="008119AC" w:rsidP="00D70B99">
      <w:pPr>
        <w:widowControl/>
        <w:numPr>
          <w:ilvl w:val="1"/>
          <w:numId w:val="1"/>
        </w:numPr>
        <w:spacing w:after="120"/>
        <w:ind w:left="709"/>
      </w:pPr>
      <w:r w:rsidRPr="005F47F8">
        <w:rPr>
          <w:rFonts w:cs="Calibri"/>
          <w:snapToGrid/>
          <w:szCs w:val="24"/>
          <w:lang w:val="en-US" w:eastAsia="en-AU"/>
        </w:rPr>
        <w:t xml:space="preserve">The submission nominated mepolizumab as the main comparator. The key argument provided in support of this nomination was that mepolizumab was </w:t>
      </w:r>
      <w:r w:rsidRPr="00AD10BE">
        <w:rPr>
          <w:rFonts w:cs="Calibri"/>
          <w:snapToGrid/>
          <w:szCs w:val="24"/>
          <w:lang w:val="en-US" w:eastAsia="en-AU"/>
        </w:rPr>
        <w:t xml:space="preserve">the only PBS-listed drug for the same indication and both drugs act on the </w:t>
      </w:r>
      <w:r w:rsidRPr="00AD10BE">
        <w:t xml:space="preserve">interleukin-5 </w:t>
      </w:r>
      <w:r w:rsidRPr="00AD10BE">
        <w:rPr>
          <w:rFonts w:cs="Calibri"/>
          <w:snapToGrid/>
          <w:szCs w:val="24"/>
          <w:lang w:val="en-US" w:eastAsia="en-AU"/>
        </w:rPr>
        <w:t xml:space="preserve">pathway. </w:t>
      </w:r>
      <w:r w:rsidR="00DC2E80" w:rsidRPr="00AD10BE">
        <w:rPr>
          <w:rFonts w:cs="Calibri"/>
          <w:snapToGrid/>
          <w:szCs w:val="24"/>
          <w:lang w:val="en-US" w:eastAsia="en-AU"/>
        </w:rPr>
        <w:t xml:space="preserve">The </w:t>
      </w:r>
      <w:r w:rsidR="00476BC9" w:rsidRPr="00AD10BE">
        <w:rPr>
          <w:rFonts w:cs="Calibri"/>
          <w:snapToGrid/>
          <w:szCs w:val="24"/>
          <w:lang w:val="en-US" w:eastAsia="en-AU"/>
        </w:rPr>
        <w:t xml:space="preserve">ESC </w:t>
      </w:r>
      <w:r w:rsidR="000E129F">
        <w:rPr>
          <w:rFonts w:cs="Calibri"/>
          <w:snapToGrid/>
          <w:szCs w:val="24"/>
          <w:lang w:val="en-US" w:eastAsia="en-AU"/>
        </w:rPr>
        <w:t xml:space="preserve">and the PBAC </w:t>
      </w:r>
      <w:r w:rsidR="00476BC9" w:rsidRPr="00AD10BE">
        <w:rPr>
          <w:rFonts w:cs="Calibri"/>
          <w:snapToGrid/>
          <w:szCs w:val="24"/>
          <w:lang w:val="en-US" w:eastAsia="en-AU"/>
        </w:rPr>
        <w:t xml:space="preserve">agreed </w:t>
      </w:r>
      <w:r w:rsidR="003D2873" w:rsidRPr="00AD10BE">
        <w:rPr>
          <w:rFonts w:cs="Calibri"/>
          <w:snapToGrid/>
          <w:szCs w:val="24"/>
          <w:lang w:val="en-US" w:eastAsia="en-AU"/>
        </w:rPr>
        <w:t xml:space="preserve">that mepolizumab </w:t>
      </w:r>
      <w:r w:rsidR="00D06B1C" w:rsidRPr="00AD10BE">
        <w:rPr>
          <w:rFonts w:cs="Calibri"/>
          <w:snapToGrid/>
          <w:szCs w:val="24"/>
          <w:lang w:val="en-US" w:eastAsia="en-AU"/>
        </w:rPr>
        <w:t>was</w:t>
      </w:r>
      <w:r w:rsidR="003D2873" w:rsidRPr="00AD10BE">
        <w:rPr>
          <w:rFonts w:cs="Calibri"/>
          <w:snapToGrid/>
          <w:szCs w:val="24"/>
          <w:lang w:val="en-US" w:eastAsia="en-AU"/>
        </w:rPr>
        <w:t xml:space="preserve"> the </w:t>
      </w:r>
      <w:r w:rsidR="00D06B1C" w:rsidRPr="00AD10BE">
        <w:rPr>
          <w:rFonts w:cs="Calibri"/>
          <w:snapToGrid/>
          <w:szCs w:val="24"/>
          <w:lang w:val="en-US" w:eastAsia="en-AU"/>
        </w:rPr>
        <w:t xml:space="preserve">appropriate </w:t>
      </w:r>
      <w:r w:rsidR="003D2873" w:rsidRPr="00AD10BE">
        <w:rPr>
          <w:rFonts w:cs="Calibri"/>
          <w:snapToGrid/>
          <w:szCs w:val="24"/>
          <w:lang w:val="en-US" w:eastAsia="en-AU"/>
        </w:rPr>
        <w:t>main comparator.</w:t>
      </w:r>
    </w:p>
    <w:p w:rsidR="006A5160" w:rsidRDefault="008119AC" w:rsidP="006A5160">
      <w:pPr>
        <w:widowControl/>
        <w:numPr>
          <w:ilvl w:val="1"/>
          <w:numId w:val="1"/>
        </w:numPr>
        <w:spacing w:after="120"/>
        <w:ind w:left="709"/>
      </w:pPr>
      <w:r w:rsidRPr="005F47F8">
        <w:rPr>
          <w:rFonts w:cs="Calibri"/>
          <w:snapToGrid/>
          <w:szCs w:val="24"/>
          <w:lang w:val="en-US" w:eastAsia="en-AU"/>
        </w:rPr>
        <w:t>The submission nominated omalizumab as a secondary comparator because it is PBS-listed for allergic asthma, which overlaps with eosinophilic asthma i</w:t>
      </w:r>
      <w:r w:rsidR="00CA7F91" w:rsidRPr="005F47F8">
        <w:rPr>
          <w:rFonts w:cs="Calibri"/>
          <w:snapToGrid/>
          <w:szCs w:val="24"/>
          <w:lang w:val="en-US" w:eastAsia="en-AU"/>
        </w:rPr>
        <w:t>n</w:t>
      </w:r>
      <w:r w:rsidRPr="005F47F8">
        <w:rPr>
          <w:rFonts w:cs="Calibri"/>
          <w:snapToGrid/>
          <w:szCs w:val="24"/>
          <w:lang w:val="en-US" w:eastAsia="en-AU"/>
        </w:rPr>
        <w:t xml:space="preserve"> some patients (i.e. some patients have both allergic and eosinophilic asthma) so omalizumab would be a comparator in these patients. </w:t>
      </w:r>
      <w:r w:rsidRPr="005F47F8">
        <w:t>The nominated comparators were appropriate.</w:t>
      </w:r>
    </w:p>
    <w:p w:rsidR="00D70B99" w:rsidRPr="003E6ED7" w:rsidRDefault="003D535D" w:rsidP="003E6ED7">
      <w:pPr>
        <w:widowControl/>
        <w:spacing w:after="120"/>
        <w:ind w:left="720"/>
        <w:rPr>
          <w:rFonts w:asciiTheme="minorHAnsi" w:hAnsiTheme="minorHAnsi"/>
          <w:i/>
        </w:rPr>
      </w:pPr>
      <w:r w:rsidRPr="000E129F">
        <w:rPr>
          <w:rFonts w:asciiTheme="minorHAnsi" w:hAnsiTheme="minorHAnsi"/>
          <w:i/>
        </w:rPr>
        <w:t>For more detail on PBAC’s view, see section 7 PBAC outcome.</w:t>
      </w:r>
    </w:p>
    <w:p w:rsidR="008119AC" w:rsidRPr="000E129F" w:rsidRDefault="008119AC" w:rsidP="003E6ED7">
      <w:pPr>
        <w:pStyle w:val="PBACHeading1"/>
      </w:pPr>
      <w:bookmarkStart w:id="7" w:name="_Toc502912708"/>
      <w:r w:rsidRPr="000E129F">
        <w:t>Consideration of the evidence</w:t>
      </w:r>
      <w:bookmarkEnd w:id="7"/>
    </w:p>
    <w:p w:rsidR="003D535D" w:rsidRPr="000E129F" w:rsidRDefault="003D535D" w:rsidP="003E6ED7">
      <w:pPr>
        <w:keepNext/>
        <w:spacing w:before="120" w:after="120"/>
        <w:outlineLvl w:val="1"/>
        <w:rPr>
          <w:b/>
          <w:i/>
          <w:sz w:val="28"/>
        </w:rPr>
      </w:pPr>
      <w:r w:rsidRPr="000E129F">
        <w:rPr>
          <w:b/>
          <w:i/>
          <w:sz w:val="28"/>
        </w:rPr>
        <w:t>Sponsor hearing</w:t>
      </w:r>
    </w:p>
    <w:p w:rsidR="003D535D" w:rsidRPr="000E129F" w:rsidRDefault="003D535D" w:rsidP="003D535D">
      <w:pPr>
        <w:numPr>
          <w:ilvl w:val="1"/>
          <w:numId w:val="1"/>
        </w:numPr>
        <w:spacing w:after="120"/>
        <w:rPr>
          <w:rFonts w:asciiTheme="minorHAnsi" w:hAnsiTheme="minorHAnsi"/>
          <w:bCs/>
        </w:rPr>
      </w:pPr>
      <w:r w:rsidRPr="000E129F">
        <w:rPr>
          <w:rFonts w:asciiTheme="minorHAnsi" w:hAnsiTheme="minorHAnsi"/>
          <w:bCs/>
        </w:rPr>
        <w:t>There was no hearing for this item.</w:t>
      </w:r>
    </w:p>
    <w:p w:rsidR="003D535D" w:rsidRPr="00D65C70" w:rsidRDefault="003D535D" w:rsidP="003E6ED7">
      <w:pPr>
        <w:keepNext/>
        <w:spacing w:before="120" w:after="120"/>
        <w:outlineLvl w:val="1"/>
        <w:rPr>
          <w:b/>
          <w:i/>
          <w:sz w:val="28"/>
        </w:rPr>
      </w:pPr>
      <w:r w:rsidRPr="000E129F">
        <w:rPr>
          <w:b/>
          <w:i/>
          <w:sz w:val="28"/>
        </w:rPr>
        <w:t>Consumer comments</w:t>
      </w:r>
    </w:p>
    <w:p w:rsidR="00B66123" w:rsidRPr="00B66123" w:rsidRDefault="00145674" w:rsidP="003B426E">
      <w:pPr>
        <w:numPr>
          <w:ilvl w:val="1"/>
          <w:numId w:val="1"/>
        </w:numPr>
        <w:spacing w:after="120"/>
        <w:rPr>
          <w:rFonts w:asciiTheme="minorHAnsi" w:hAnsiTheme="minorHAnsi"/>
          <w:bCs/>
        </w:rPr>
      </w:pPr>
      <w:r w:rsidRPr="00B66123">
        <w:rPr>
          <w:rFonts w:asciiTheme="minorHAnsi" w:hAnsiTheme="minorHAnsi"/>
          <w:bCs/>
        </w:rPr>
        <w:t xml:space="preserve">The PBAC noted and welcomed the input from health care professionals (1) and organisations (4) via the Consumer Comments facility on the PBS website. The comments described </w:t>
      </w:r>
      <w:r w:rsidR="00B66123" w:rsidRPr="00B66123">
        <w:rPr>
          <w:rFonts w:asciiTheme="minorHAnsi" w:hAnsiTheme="minorHAnsi"/>
          <w:bCs/>
        </w:rPr>
        <w:t>the bur</w:t>
      </w:r>
      <w:r w:rsidRPr="00B66123">
        <w:rPr>
          <w:rFonts w:asciiTheme="minorHAnsi" w:hAnsiTheme="minorHAnsi"/>
          <w:bCs/>
        </w:rPr>
        <w:t xml:space="preserve">den of illness </w:t>
      </w:r>
      <w:r w:rsidR="001032BE" w:rsidRPr="00B66123">
        <w:rPr>
          <w:rFonts w:asciiTheme="minorHAnsi" w:hAnsiTheme="minorHAnsi"/>
          <w:bCs/>
        </w:rPr>
        <w:t>associated with</w:t>
      </w:r>
      <w:r w:rsidRPr="00B66123">
        <w:rPr>
          <w:rFonts w:asciiTheme="minorHAnsi" w:hAnsiTheme="minorHAnsi"/>
          <w:bCs/>
        </w:rPr>
        <w:t xml:space="preserve"> </w:t>
      </w:r>
      <w:r w:rsidR="003B426E" w:rsidRPr="00B66123">
        <w:rPr>
          <w:rFonts w:asciiTheme="minorHAnsi" w:hAnsiTheme="minorHAnsi"/>
          <w:bCs/>
        </w:rPr>
        <w:t xml:space="preserve">uncontrolled </w:t>
      </w:r>
      <w:r w:rsidRPr="00B66123">
        <w:rPr>
          <w:rFonts w:asciiTheme="minorHAnsi" w:hAnsiTheme="minorHAnsi"/>
          <w:bCs/>
        </w:rPr>
        <w:t xml:space="preserve">severe </w:t>
      </w:r>
      <w:r w:rsidR="001032BE" w:rsidRPr="00B66123">
        <w:rPr>
          <w:rFonts w:asciiTheme="minorHAnsi" w:hAnsiTheme="minorHAnsi"/>
          <w:bCs/>
        </w:rPr>
        <w:t>asthma</w:t>
      </w:r>
      <w:r w:rsidR="00B66123" w:rsidRPr="00B66123">
        <w:rPr>
          <w:rFonts w:asciiTheme="minorHAnsi" w:hAnsiTheme="minorHAnsi"/>
          <w:bCs/>
        </w:rPr>
        <w:t xml:space="preserve"> and </w:t>
      </w:r>
      <w:r w:rsidR="003B426E">
        <w:rPr>
          <w:rFonts w:asciiTheme="minorHAnsi" w:hAnsiTheme="minorHAnsi"/>
          <w:bCs/>
        </w:rPr>
        <w:t>stated that effective biologic therapies can significantly improve</w:t>
      </w:r>
      <w:r w:rsidR="003B426E" w:rsidRPr="003B426E">
        <w:rPr>
          <w:rFonts w:asciiTheme="minorHAnsi" w:hAnsiTheme="minorHAnsi"/>
          <w:bCs/>
        </w:rPr>
        <w:t xml:space="preserve"> quality of life</w:t>
      </w:r>
      <w:r w:rsidR="003B426E">
        <w:rPr>
          <w:rFonts w:asciiTheme="minorHAnsi" w:hAnsiTheme="minorHAnsi"/>
          <w:bCs/>
        </w:rPr>
        <w:t xml:space="preserve">. The comments </w:t>
      </w:r>
      <w:r w:rsidR="00223E0D">
        <w:rPr>
          <w:rFonts w:asciiTheme="minorHAnsi" w:hAnsiTheme="minorHAnsi"/>
          <w:bCs/>
        </w:rPr>
        <w:t>highlight</w:t>
      </w:r>
      <w:r w:rsidR="003B426E">
        <w:rPr>
          <w:rFonts w:asciiTheme="minorHAnsi" w:hAnsiTheme="minorHAnsi"/>
          <w:bCs/>
        </w:rPr>
        <w:t>ed the benefits of having</w:t>
      </w:r>
      <w:r w:rsidR="00B66123" w:rsidRPr="00B66123">
        <w:rPr>
          <w:rFonts w:asciiTheme="minorHAnsi" w:hAnsiTheme="minorHAnsi"/>
          <w:bCs/>
        </w:rPr>
        <w:t xml:space="preserve"> an additional </w:t>
      </w:r>
      <w:r w:rsidR="001032BE" w:rsidRPr="00B66123">
        <w:rPr>
          <w:rFonts w:asciiTheme="minorHAnsi" w:hAnsiTheme="minorHAnsi"/>
          <w:bCs/>
        </w:rPr>
        <w:t xml:space="preserve">treatment </w:t>
      </w:r>
      <w:r w:rsidR="00B66123" w:rsidRPr="00B66123">
        <w:rPr>
          <w:rFonts w:asciiTheme="minorHAnsi" w:hAnsiTheme="minorHAnsi"/>
          <w:bCs/>
        </w:rPr>
        <w:t>option availa</w:t>
      </w:r>
      <w:r w:rsidR="000446EB">
        <w:rPr>
          <w:rFonts w:asciiTheme="minorHAnsi" w:hAnsiTheme="minorHAnsi"/>
          <w:bCs/>
        </w:rPr>
        <w:t>ble. Further, Asthma Australia claim</w:t>
      </w:r>
      <w:r w:rsidR="00B66123" w:rsidRPr="00B66123">
        <w:rPr>
          <w:rFonts w:asciiTheme="minorHAnsi" w:hAnsiTheme="minorHAnsi"/>
          <w:bCs/>
        </w:rPr>
        <w:t>ed that</w:t>
      </w:r>
      <w:r w:rsidR="00B66123">
        <w:rPr>
          <w:rFonts w:asciiTheme="minorHAnsi" w:hAnsiTheme="minorHAnsi"/>
          <w:bCs/>
        </w:rPr>
        <w:t xml:space="preserve"> the</w:t>
      </w:r>
      <w:r w:rsidR="00B66123" w:rsidRPr="00B66123">
        <w:rPr>
          <w:rFonts w:asciiTheme="minorHAnsi" w:hAnsiTheme="minorHAnsi"/>
          <w:bCs/>
        </w:rPr>
        <w:t xml:space="preserve"> less frequent administration </w:t>
      </w:r>
      <w:r w:rsidR="00B66123">
        <w:rPr>
          <w:rFonts w:asciiTheme="minorHAnsi" w:hAnsiTheme="minorHAnsi"/>
          <w:bCs/>
        </w:rPr>
        <w:t>require</w:t>
      </w:r>
      <w:r w:rsidR="003B426E">
        <w:rPr>
          <w:rFonts w:asciiTheme="minorHAnsi" w:hAnsiTheme="minorHAnsi"/>
          <w:bCs/>
        </w:rPr>
        <w:t>ments</w:t>
      </w:r>
      <w:r w:rsidR="00B66123">
        <w:rPr>
          <w:rFonts w:asciiTheme="minorHAnsi" w:hAnsiTheme="minorHAnsi"/>
          <w:bCs/>
        </w:rPr>
        <w:t xml:space="preserve"> for</w:t>
      </w:r>
      <w:r w:rsidR="00B66123" w:rsidRPr="00B66123">
        <w:rPr>
          <w:rFonts w:asciiTheme="minorHAnsi" w:hAnsiTheme="minorHAnsi"/>
          <w:bCs/>
        </w:rPr>
        <w:t xml:space="preserve"> benralizumab (every eight weeks versus every two to four weeks</w:t>
      </w:r>
      <w:r w:rsidR="003B426E" w:rsidRPr="003B426E">
        <w:rPr>
          <w:rFonts w:asciiTheme="minorHAnsi" w:hAnsiTheme="minorHAnsi"/>
          <w:bCs/>
        </w:rPr>
        <w:t xml:space="preserve"> </w:t>
      </w:r>
      <w:r w:rsidR="003B426E">
        <w:rPr>
          <w:rFonts w:asciiTheme="minorHAnsi" w:hAnsiTheme="minorHAnsi"/>
          <w:bCs/>
        </w:rPr>
        <w:t>for</w:t>
      </w:r>
      <w:r w:rsidR="003B426E" w:rsidRPr="00B66123">
        <w:rPr>
          <w:rFonts w:asciiTheme="minorHAnsi" w:hAnsiTheme="minorHAnsi"/>
          <w:bCs/>
        </w:rPr>
        <w:t xml:space="preserve"> alternative therapies</w:t>
      </w:r>
      <w:r w:rsidR="00B66123" w:rsidRPr="00B66123">
        <w:rPr>
          <w:rFonts w:asciiTheme="minorHAnsi" w:hAnsiTheme="minorHAnsi"/>
          <w:bCs/>
        </w:rPr>
        <w:t>) would reduce the logistical burden for some patients</w:t>
      </w:r>
      <w:r w:rsidR="003B426E">
        <w:rPr>
          <w:rFonts w:asciiTheme="minorHAnsi" w:hAnsiTheme="minorHAnsi"/>
          <w:bCs/>
        </w:rPr>
        <w:t>,</w:t>
      </w:r>
      <w:r w:rsidR="00B66123" w:rsidRPr="00B66123">
        <w:rPr>
          <w:rFonts w:asciiTheme="minorHAnsi" w:hAnsiTheme="minorHAnsi"/>
          <w:bCs/>
        </w:rPr>
        <w:t xml:space="preserve"> particularly those in rural and remote areas.</w:t>
      </w:r>
    </w:p>
    <w:p w:rsidR="00145674" w:rsidRPr="00B66123" w:rsidRDefault="00145674" w:rsidP="00B66123">
      <w:pPr>
        <w:numPr>
          <w:ilvl w:val="1"/>
          <w:numId w:val="1"/>
        </w:numPr>
        <w:spacing w:after="120"/>
        <w:rPr>
          <w:rFonts w:asciiTheme="minorHAnsi" w:hAnsiTheme="minorHAnsi"/>
          <w:bCs/>
        </w:rPr>
      </w:pPr>
      <w:r w:rsidRPr="00B66123">
        <w:rPr>
          <w:rFonts w:asciiTheme="minorHAnsi" w:hAnsiTheme="minorHAnsi"/>
          <w:bCs/>
        </w:rPr>
        <w:t>The PBAC noted that this advice was</w:t>
      </w:r>
      <w:r w:rsidR="00B66123" w:rsidRPr="00B66123">
        <w:rPr>
          <w:rFonts w:asciiTheme="minorHAnsi" w:hAnsiTheme="minorHAnsi"/>
          <w:bCs/>
        </w:rPr>
        <w:t xml:space="preserve"> </w:t>
      </w:r>
      <w:r w:rsidRPr="00B66123">
        <w:rPr>
          <w:rFonts w:asciiTheme="minorHAnsi" w:hAnsiTheme="minorHAnsi"/>
          <w:bCs/>
        </w:rPr>
        <w:t>supportive of the evidence provided in the submission.</w:t>
      </w:r>
    </w:p>
    <w:p w:rsidR="008119AC" w:rsidRPr="00170DDB" w:rsidRDefault="008119AC" w:rsidP="003E6ED7">
      <w:pPr>
        <w:pStyle w:val="Heading2"/>
      </w:pPr>
      <w:r w:rsidRPr="00170DDB">
        <w:t>Clinical trials</w:t>
      </w:r>
    </w:p>
    <w:p w:rsidR="008119AC" w:rsidRPr="005F47F8" w:rsidRDefault="008119AC" w:rsidP="00D70B99">
      <w:pPr>
        <w:widowControl/>
        <w:numPr>
          <w:ilvl w:val="1"/>
          <w:numId w:val="1"/>
        </w:numPr>
        <w:spacing w:after="120"/>
        <w:ind w:left="709"/>
      </w:pPr>
      <w:r w:rsidRPr="005F47F8">
        <w:t>Details of the trials</w:t>
      </w:r>
      <w:r w:rsidRPr="005F47F8">
        <w:rPr>
          <w:rFonts w:cs="Calibri"/>
          <w:snapToGrid/>
          <w:szCs w:val="24"/>
          <w:lang w:val="en-US" w:eastAsia="en-AU"/>
        </w:rPr>
        <w:t xml:space="preserve"> presented in the submission are provided in Table 2.  </w:t>
      </w:r>
    </w:p>
    <w:p w:rsidR="008119AC" w:rsidRPr="005F47F8" w:rsidRDefault="008119AC" w:rsidP="00821A46">
      <w:pPr>
        <w:keepNext/>
        <w:keepLines/>
        <w:rPr>
          <w:rFonts w:ascii="Arial Narrow" w:hAnsi="Arial Narrow"/>
          <w:b/>
          <w:sz w:val="20"/>
          <w:szCs w:val="16"/>
        </w:rPr>
      </w:pPr>
      <w:r w:rsidRPr="005F47F8">
        <w:rPr>
          <w:rFonts w:ascii="Arial Narrow" w:hAnsi="Arial Narrow"/>
          <w:b/>
          <w:sz w:val="20"/>
          <w:szCs w:val="16"/>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87"/>
        <w:gridCol w:w="5567"/>
        <w:gridCol w:w="2110"/>
      </w:tblGrid>
      <w:tr w:rsidR="008119AC" w:rsidRPr="005F47F8" w:rsidTr="002A2711">
        <w:trPr>
          <w:cantSplit/>
          <w:tblHeader/>
        </w:trPr>
        <w:tc>
          <w:tcPr>
            <w:tcW w:w="718" w:type="pct"/>
            <w:vAlign w:val="center"/>
          </w:tcPr>
          <w:p w:rsidR="008119AC" w:rsidRPr="005F47F8" w:rsidRDefault="008119AC" w:rsidP="00821A46">
            <w:pPr>
              <w:keepNext/>
              <w:keepLines/>
              <w:rPr>
                <w:rFonts w:ascii="Arial Narrow" w:hAnsi="Arial Narrow"/>
                <w:b/>
                <w:sz w:val="20"/>
                <w:szCs w:val="16"/>
              </w:rPr>
            </w:pPr>
            <w:r w:rsidRPr="005F47F8">
              <w:rPr>
                <w:rFonts w:ascii="Arial Narrow" w:hAnsi="Arial Narrow"/>
                <w:b/>
                <w:sz w:val="20"/>
                <w:szCs w:val="16"/>
              </w:rPr>
              <w:t>Trial ID/Author</w:t>
            </w:r>
          </w:p>
        </w:tc>
        <w:tc>
          <w:tcPr>
            <w:tcW w:w="3105" w:type="pct"/>
            <w:vAlign w:val="center"/>
          </w:tcPr>
          <w:p w:rsidR="008119AC" w:rsidRPr="005F47F8" w:rsidRDefault="008119AC" w:rsidP="00821A46">
            <w:pPr>
              <w:keepNext/>
              <w:keepLines/>
              <w:jc w:val="center"/>
              <w:rPr>
                <w:rFonts w:ascii="Arial Narrow" w:hAnsi="Arial Narrow"/>
                <w:b/>
                <w:sz w:val="20"/>
                <w:szCs w:val="16"/>
              </w:rPr>
            </w:pPr>
            <w:r w:rsidRPr="005F47F8">
              <w:rPr>
                <w:rFonts w:ascii="Arial Narrow" w:hAnsi="Arial Narrow"/>
                <w:b/>
                <w:sz w:val="20"/>
                <w:szCs w:val="16"/>
              </w:rPr>
              <w:t>Protocol title/ Publication title</w:t>
            </w:r>
          </w:p>
        </w:tc>
        <w:tc>
          <w:tcPr>
            <w:tcW w:w="1177" w:type="pct"/>
            <w:vAlign w:val="center"/>
          </w:tcPr>
          <w:p w:rsidR="008119AC" w:rsidRPr="005F47F8" w:rsidRDefault="008119AC" w:rsidP="00821A46">
            <w:pPr>
              <w:keepNext/>
              <w:keepLines/>
              <w:jc w:val="center"/>
              <w:rPr>
                <w:rFonts w:ascii="Arial Narrow" w:hAnsi="Arial Narrow"/>
                <w:b/>
                <w:sz w:val="20"/>
                <w:szCs w:val="16"/>
              </w:rPr>
            </w:pPr>
            <w:r w:rsidRPr="005F47F8">
              <w:rPr>
                <w:rFonts w:ascii="Arial Narrow" w:hAnsi="Arial Narrow"/>
                <w:b/>
                <w:sz w:val="20"/>
                <w:szCs w:val="16"/>
              </w:rPr>
              <w:t>Publication citation</w:t>
            </w:r>
          </w:p>
        </w:tc>
      </w:tr>
      <w:tr w:rsidR="008119AC" w:rsidRPr="005F47F8" w:rsidTr="002A2711">
        <w:trPr>
          <w:cantSplit/>
        </w:trPr>
        <w:tc>
          <w:tcPr>
            <w:tcW w:w="5000" w:type="pct"/>
            <w:gridSpan w:val="3"/>
          </w:tcPr>
          <w:p w:rsidR="008119AC" w:rsidRPr="005F47F8" w:rsidRDefault="008119AC" w:rsidP="00821A46">
            <w:pPr>
              <w:keepNext/>
              <w:keepLines/>
              <w:widowControl/>
              <w:jc w:val="left"/>
              <w:rPr>
                <w:rFonts w:ascii="Arial Narrow" w:hAnsi="Arial Narrow" w:cs="Times New Roman"/>
                <w:b/>
                <w:snapToGrid/>
                <w:sz w:val="20"/>
              </w:rPr>
            </w:pPr>
            <w:r w:rsidRPr="005F47F8">
              <w:rPr>
                <w:rFonts w:ascii="Arial Narrow" w:hAnsi="Arial Narrow" w:cs="Times New Roman"/>
                <w:b/>
                <w:snapToGrid/>
                <w:sz w:val="20"/>
              </w:rPr>
              <w:t>Randomised controlled trial – benralizumab versus standard of care/placebo</w:t>
            </w:r>
          </w:p>
        </w:tc>
      </w:tr>
      <w:tr w:rsidR="008119AC" w:rsidRPr="005F47F8" w:rsidTr="002A2711">
        <w:trPr>
          <w:cantSplit/>
        </w:trPr>
        <w:tc>
          <w:tcPr>
            <w:tcW w:w="718" w:type="pct"/>
            <w:tcBorders>
              <w:bottom w:val="nil"/>
            </w:tcBorders>
          </w:tcPr>
          <w:p w:rsidR="008119AC" w:rsidRPr="005F47F8" w:rsidRDefault="008119AC" w:rsidP="00821A46">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lang w:eastAsia="en-AU"/>
              </w:rPr>
              <w:t>CALIMA</w:t>
            </w:r>
          </w:p>
        </w:tc>
        <w:tc>
          <w:tcPr>
            <w:tcW w:w="3105" w:type="pct"/>
            <w:tcBorders>
              <w:bottom w:val="nil"/>
            </w:tcBorders>
            <w:vAlign w:val="center"/>
          </w:tcPr>
          <w:p w:rsidR="008119AC" w:rsidRPr="005F47F8" w:rsidRDefault="008119AC" w:rsidP="00821A46">
            <w:pPr>
              <w:keepNext/>
              <w:keepLines/>
              <w:widowControl/>
              <w:spacing w:before="40" w:after="40"/>
              <w:rPr>
                <w:rFonts w:ascii="Arial Narrow" w:hAnsi="Arial Narrow" w:cs="Times New Roman"/>
                <w:snapToGrid/>
                <w:sz w:val="20"/>
                <w:szCs w:val="18"/>
              </w:rPr>
            </w:pPr>
            <w:r w:rsidRPr="005F47F8">
              <w:rPr>
                <w:rFonts w:ascii="Arial Narrow" w:eastAsia="TimesNewRoman,Bold" w:hAnsi="Arial Narrow" w:cs="TimesNewRoman,Bold"/>
                <w:bCs/>
                <w:sz w:val="20"/>
                <w:szCs w:val="20"/>
              </w:rPr>
              <w:t>A multicentre, randomized, double</w:t>
            </w:r>
            <w:r w:rsidRPr="005F47F8">
              <w:rPr>
                <w:rFonts w:ascii="Arial Narrow" w:eastAsia="TimesNewRoman,Bold" w:hAnsi="Arial Narrow" w:cs="TimesNewRoman,Bold"/>
                <w:bCs/>
                <w:sz w:val="20"/>
                <w:szCs w:val="20"/>
              </w:rPr>
              <w:noBreakHyphen/>
              <w:t>blind, parallel group, placebo</w:t>
            </w:r>
            <w:r w:rsidRPr="005F47F8">
              <w:rPr>
                <w:rFonts w:ascii="Arial Narrow" w:eastAsia="TimesNewRoman,Bold" w:hAnsi="Arial Narrow" w:cs="TimesNewRoman,Bold"/>
                <w:bCs/>
                <w:sz w:val="20"/>
                <w:szCs w:val="20"/>
              </w:rPr>
              <w:noBreakHyphen/>
              <w:t>controlled, phase 3 study to evaluate the efficacy and safety of benralizumab in asthmatic adults and adolescents inadequately controlled on inhaled corticosteroid plus long</w:t>
            </w:r>
            <w:r w:rsidRPr="005F47F8">
              <w:rPr>
                <w:rFonts w:ascii="Arial Narrow" w:eastAsia="TimesNewRoman,Bold" w:hAnsi="Arial Narrow" w:cs="TimesNewRoman,Bold"/>
                <w:bCs/>
                <w:sz w:val="20"/>
                <w:szCs w:val="20"/>
              </w:rPr>
              <w:noBreakHyphen/>
              <w:t>acting β2 agonist (CALIMA). Clinical Study Report (CSR).</w:t>
            </w:r>
          </w:p>
        </w:tc>
        <w:tc>
          <w:tcPr>
            <w:tcW w:w="1177" w:type="pct"/>
            <w:tcBorders>
              <w:bottom w:val="nil"/>
            </w:tcBorders>
          </w:tcPr>
          <w:p w:rsidR="008119AC" w:rsidRPr="005F47F8" w:rsidRDefault="008119AC" w:rsidP="00821A46">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rPr>
              <w:t>August 2016</w:t>
            </w:r>
          </w:p>
        </w:tc>
      </w:tr>
      <w:tr w:rsidR="008119AC" w:rsidRPr="005F47F8" w:rsidTr="002A2711">
        <w:trPr>
          <w:cantSplit/>
        </w:trPr>
        <w:tc>
          <w:tcPr>
            <w:tcW w:w="718" w:type="pct"/>
            <w:tcBorders>
              <w:top w:val="nil"/>
              <w:bottom w:val="nil"/>
            </w:tcBorders>
          </w:tcPr>
          <w:p w:rsidR="008119AC" w:rsidRPr="005F47F8" w:rsidRDefault="008119AC" w:rsidP="00821A46">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rPr>
              <w:t>Fitzgerald 2016</w:t>
            </w:r>
          </w:p>
        </w:tc>
        <w:tc>
          <w:tcPr>
            <w:tcW w:w="3105" w:type="pct"/>
            <w:tcBorders>
              <w:top w:val="nil"/>
              <w:bottom w:val="nil"/>
            </w:tcBorders>
            <w:vAlign w:val="center"/>
          </w:tcPr>
          <w:p w:rsidR="008119AC" w:rsidRPr="005F47F8" w:rsidRDefault="008119AC" w:rsidP="00821A46">
            <w:pPr>
              <w:keepNext/>
              <w:keepLines/>
              <w:widowControl/>
              <w:spacing w:before="40" w:after="40"/>
              <w:rPr>
                <w:rFonts w:ascii="Arial Narrow" w:hAnsi="Arial Narrow" w:cs="Times New Roman"/>
                <w:snapToGrid/>
                <w:sz w:val="20"/>
                <w:szCs w:val="18"/>
              </w:rPr>
            </w:pPr>
            <w:r w:rsidRPr="005F47F8">
              <w:rPr>
                <w:rFonts w:ascii="Arial Narrow" w:hAnsi="Arial Narrow" w:cs="Shaker2Lancet-Italic"/>
                <w:iCs/>
                <w:snapToGrid/>
                <w:sz w:val="20"/>
                <w:szCs w:val="20"/>
              </w:rPr>
              <w:t xml:space="preserve">FitzGerald JM, Bleecker ER, et al. </w:t>
            </w:r>
            <w:r w:rsidRPr="005F47F8">
              <w:rPr>
                <w:rFonts w:ascii="Arial Narrow" w:eastAsia="Shaker2Lancet-Bold" w:hAnsi="Arial Narrow" w:cs="Shaker2Lancet-Bold"/>
                <w:bCs/>
                <w:snapToGrid/>
                <w:sz w:val="20"/>
                <w:szCs w:val="20"/>
              </w:rPr>
              <w:t>Benralizumab, an anti</w:t>
            </w:r>
            <w:r w:rsidRPr="005F47F8">
              <w:rPr>
                <w:rFonts w:ascii="Arial Narrow" w:eastAsia="Shaker2Lancet-Bold" w:hAnsi="Arial Narrow" w:cs="Shaker2Lancet-Bold"/>
                <w:bCs/>
                <w:snapToGrid/>
                <w:sz w:val="20"/>
                <w:szCs w:val="20"/>
              </w:rPr>
              <w:noBreakHyphen/>
              <w:t>interleukin</w:t>
            </w:r>
            <w:r w:rsidRPr="005F47F8">
              <w:rPr>
                <w:rFonts w:ascii="Arial Narrow" w:eastAsia="Shaker2Lancet-Bold" w:hAnsi="Arial Narrow" w:cs="Shaker2Lancet-Bold"/>
                <w:bCs/>
                <w:snapToGrid/>
                <w:sz w:val="20"/>
                <w:szCs w:val="20"/>
              </w:rPr>
              <w:noBreakHyphen/>
              <w:t>5 receptor α monoclonal antibody, as add</w:t>
            </w:r>
            <w:r w:rsidRPr="005F47F8">
              <w:rPr>
                <w:rFonts w:ascii="Arial Narrow" w:eastAsia="Shaker2Lancet-Bold" w:hAnsi="Arial Narrow" w:cs="Shaker2Lancet-Bold"/>
                <w:bCs/>
                <w:snapToGrid/>
                <w:sz w:val="20"/>
                <w:szCs w:val="20"/>
              </w:rPr>
              <w:noBreakHyphen/>
              <w:t>on treatment for patients with severe uncontrolled, eosinophilic asthma (CALIMA): a randomised double</w:t>
            </w:r>
            <w:r w:rsidRPr="005F47F8">
              <w:rPr>
                <w:rFonts w:ascii="Arial Narrow" w:eastAsia="Shaker2Lancet-Bold" w:hAnsi="Arial Narrow" w:cs="Shaker2Lancet-Bold"/>
                <w:bCs/>
                <w:snapToGrid/>
                <w:sz w:val="20"/>
                <w:szCs w:val="20"/>
              </w:rPr>
              <w:noBreakHyphen/>
              <w:t>blind, placebo</w:t>
            </w:r>
            <w:r w:rsidRPr="005F47F8">
              <w:rPr>
                <w:rFonts w:ascii="Arial Narrow" w:eastAsia="Shaker2Lancet-Bold" w:hAnsi="Arial Narrow" w:cs="Shaker2Lancet-Bold"/>
                <w:bCs/>
                <w:snapToGrid/>
                <w:sz w:val="20"/>
                <w:szCs w:val="20"/>
              </w:rPr>
              <w:noBreakHyphen/>
              <w:t xml:space="preserve">controlled phase 3 trial. </w:t>
            </w:r>
          </w:p>
        </w:tc>
        <w:tc>
          <w:tcPr>
            <w:tcW w:w="1177" w:type="pct"/>
            <w:tcBorders>
              <w:top w:val="nil"/>
              <w:bottom w:val="nil"/>
            </w:tcBorders>
          </w:tcPr>
          <w:p w:rsidR="008119AC" w:rsidRPr="005F47F8" w:rsidRDefault="008119AC" w:rsidP="00821A46">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szCs w:val="18"/>
              </w:rPr>
              <w:t>Lancet 2016; 388:2128–41.</w:t>
            </w:r>
          </w:p>
        </w:tc>
      </w:tr>
      <w:tr w:rsidR="008119AC" w:rsidRPr="005F47F8" w:rsidTr="002A2711">
        <w:trPr>
          <w:cantSplit/>
        </w:trPr>
        <w:tc>
          <w:tcPr>
            <w:tcW w:w="718" w:type="pct"/>
            <w:tcBorders>
              <w:bottom w:val="nil"/>
            </w:tcBorders>
          </w:tcPr>
          <w:p w:rsidR="008119AC" w:rsidRPr="005F47F8" w:rsidRDefault="008119AC" w:rsidP="008119AC">
            <w:pPr>
              <w:keepNext/>
              <w:keepLines/>
              <w:widowControl/>
              <w:spacing w:before="40" w:after="40"/>
              <w:jc w:val="left"/>
              <w:rPr>
                <w:rFonts w:ascii="Times" w:hAnsi="Times" w:cs="Times New Roman"/>
                <w:snapToGrid/>
                <w:sz w:val="20"/>
              </w:rPr>
            </w:pPr>
            <w:r w:rsidRPr="005F47F8">
              <w:rPr>
                <w:rFonts w:ascii="Arial Narrow" w:hAnsi="Arial Narrow" w:cs="Times New Roman"/>
                <w:snapToGrid/>
                <w:sz w:val="20"/>
              </w:rPr>
              <w:t>SIROCCO</w:t>
            </w:r>
          </w:p>
        </w:tc>
        <w:tc>
          <w:tcPr>
            <w:tcW w:w="3105" w:type="pct"/>
            <w:tcBorders>
              <w:bottom w:val="nil"/>
            </w:tcBorders>
            <w:vAlign w:val="center"/>
          </w:tcPr>
          <w:p w:rsidR="008119AC" w:rsidRPr="005F47F8" w:rsidRDefault="008119AC" w:rsidP="008119AC">
            <w:pPr>
              <w:keepNext/>
              <w:keepLines/>
              <w:widowControl/>
              <w:spacing w:before="40" w:after="40"/>
              <w:rPr>
                <w:rFonts w:ascii="Arial Narrow" w:hAnsi="Arial Narrow" w:cs="Times New Roman"/>
                <w:snapToGrid/>
                <w:sz w:val="20"/>
                <w:szCs w:val="18"/>
              </w:rPr>
            </w:pPr>
            <w:r w:rsidRPr="005F47F8">
              <w:rPr>
                <w:rFonts w:ascii="Arial Narrow" w:hAnsi="Arial Narrow" w:cs="Times New Roman"/>
                <w:snapToGrid/>
                <w:sz w:val="20"/>
                <w:szCs w:val="18"/>
              </w:rPr>
              <w:t xml:space="preserve">Multicentre, randomized, double blind, parallel group, placebo controlled, phase 3 efficacy and safety study of benralizumab (MEDI 563) added to high dose inhaled corticosteroid plus long acting β2 agonist in patients with uncontrolled asthma (SIROCCO). Clinical study report (CSR). </w:t>
            </w:r>
          </w:p>
        </w:tc>
        <w:tc>
          <w:tcPr>
            <w:tcW w:w="1177" w:type="pct"/>
            <w:tcBorders>
              <w:bottom w:val="nil"/>
            </w:tcBorders>
          </w:tcPr>
          <w:p w:rsidR="008119AC" w:rsidRPr="005F47F8" w:rsidRDefault="008119AC" w:rsidP="008119AC">
            <w:pPr>
              <w:keepNext/>
              <w:keepLines/>
              <w:widowControl/>
              <w:spacing w:before="40" w:after="40"/>
              <w:jc w:val="left"/>
              <w:rPr>
                <w:rFonts w:ascii="Times" w:hAnsi="Times" w:cs="Times New Roman"/>
                <w:snapToGrid/>
                <w:sz w:val="20"/>
              </w:rPr>
            </w:pPr>
            <w:r w:rsidRPr="005F47F8">
              <w:rPr>
                <w:rFonts w:ascii="Arial Narrow" w:hAnsi="Arial Narrow" w:cs="Times New Roman"/>
                <w:snapToGrid/>
                <w:sz w:val="20"/>
              </w:rPr>
              <w:t>August 2016</w:t>
            </w:r>
          </w:p>
        </w:tc>
      </w:tr>
      <w:tr w:rsidR="008119AC" w:rsidRPr="005F47F8" w:rsidTr="002A2711">
        <w:trPr>
          <w:cantSplit/>
        </w:trPr>
        <w:tc>
          <w:tcPr>
            <w:tcW w:w="718"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rPr>
              <w:t>Bleecker 2016</w:t>
            </w:r>
          </w:p>
        </w:tc>
        <w:tc>
          <w:tcPr>
            <w:tcW w:w="3105" w:type="pct"/>
            <w:tcBorders>
              <w:top w:val="nil"/>
              <w:bottom w:val="nil"/>
            </w:tcBorders>
            <w:vAlign w:val="center"/>
          </w:tcPr>
          <w:p w:rsidR="008119AC" w:rsidRPr="005F47F8" w:rsidRDefault="008119AC" w:rsidP="008119AC">
            <w:pPr>
              <w:keepNext/>
              <w:keepLines/>
              <w:widowControl/>
              <w:spacing w:before="40" w:after="40"/>
              <w:jc w:val="left"/>
              <w:rPr>
                <w:rFonts w:ascii="Arial Narrow" w:hAnsi="Arial Narrow" w:cs="Times New Roman"/>
                <w:snapToGrid/>
                <w:sz w:val="20"/>
                <w:szCs w:val="18"/>
                <w:lang w:eastAsia="en-AU"/>
              </w:rPr>
            </w:pPr>
            <w:r w:rsidRPr="005F47F8">
              <w:rPr>
                <w:rFonts w:ascii="Arial Narrow" w:hAnsi="Arial Narrow" w:cs="Shaker2Lancet-Italic"/>
                <w:iCs/>
                <w:snapToGrid/>
                <w:sz w:val="20"/>
                <w:szCs w:val="20"/>
              </w:rPr>
              <w:t xml:space="preserve">Bleecker ER, FitzGerald JM, et al. </w:t>
            </w:r>
            <w:r w:rsidRPr="005F47F8">
              <w:rPr>
                <w:rFonts w:ascii="Arial Narrow" w:eastAsia="Shaker2Lancet-Bold" w:hAnsi="Arial Narrow" w:cs="Shaker2Lancet-Bold"/>
                <w:bCs/>
                <w:snapToGrid/>
                <w:sz w:val="20"/>
                <w:szCs w:val="20"/>
              </w:rPr>
              <w:t>Efficacy and safety of benralizumab for patients with severe asthma uncontrolled with high</w:t>
            </w:r>
            <w:r w:rsidRPr="005F47F8">
              <w:rPr>
                <w:rFonts w:ascii="Arial Narrow" w:eastAsia="Shaker2Lancet-Bold" w:hAnsi="Arial Narrow" w:cs="Shaker2Lancet-Bold"/>
                <w:bCs/>
                <w:snapToGrid/>
                <w:sz w:val="20"/>
                <w:szCs w:val="20"/>
              </w:rPr>
              <w:noBreakHyphen/>
              <w:t>dosage inhaled corticosteroids and long</w:t>
            </w:r>
            <w:r w:rsidRPr="005F47F8">
              <w:rPr>
                <w:rFonts w:ascii="Arial Narrow" w:eastAsia="Shaker2Lancet-Bold" w:hAnsi="Arial Narrow" w:cs="Shaker2Lancet-Bold"/>
                <w:bCs/>
                <w:snapToGrid/>
                <w:sz w:val="20"/>
                <w:szCs w:val="20"/>
              </w:rPr>
              <w:noBreakHyphen/>
              <w:t>acting β2</w:t>
            </w:r>
            <w:r w:rsidRPr="005F47F8">
              <w:rPr>
                <w:rFonts w:ascii="Arial Narrow" w:eastAsia="Shaker2Lancet-Bold" w:hAnsi="Arial Narrow" w:cs="Shaker2Lancet-Bold"/>
                <w:bCs/>
                <w:snapToGrid/>
                <w:sz w:val="20"/>
                <w:szCs w:val="20"/>
              </w:rPr>
              <w:noBreakHyphen/>
              <w:t>agonists (SIROCCO): A randomised, multicentre, placebo</w:t>
            </w:r>
            <w:r w:rsidRPr="005F47F8">
              <w:rPr>
                <w:rFonts w:ascii="Arial Narrow" w:eastAsia="Shaker2Lancet-Bold" w:hAnsi="Arial Narrow" w:cs="Shaker2Lancet-Bold"/>
                <w:bCs/>
                <w:snapToGrid/>
                <w:sz w:val="20"/>
                <w:szCs w:val="20"/>
              </w:rPr>
              <w:noBreakHyphen/>
              <w:t>controlled phase 3 trial.</w:t>
            </w:r>
          </w:p>
        </w:tc>
        <w:tc>
          <w:tcPr>
            <w:tcW w:w="1177"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szCs w:val="18"/>
                <w:lang w:eastAsia="en-AU"/>
              </w:rPr>
            </w:pPr>
            <w:r w:rsidRPr="005F47F8">
              <w:rPr>
                <w:rFonts w:ascii="Arial Narrow" w:hAnsi="Arial Narrow" w:cs="Shaker2Lancet-BoldItalic"/>
                <w:bCs/>
                <w:iCs/>
                <w:snapToGrid/>
                <w:sz w:val="20"/>
                <w:szCs w:val="20"/>
              </w:rPr>
              <w:t xml:space="preserve">Lancet </w:t>
            </w:r>
            <w:r w:rsidRPr="005F47F8">
              <w:rPr>
                <w:rFonts w:ascii="Arial Narrow" w:eastAsia="Shaker2Lancet-Bold" w:hAnsi="Arial Narrow" w:cs="Shaker2Lancet-Bold"/>
                <w:bCs/>
                <w:snapToGrid/>
                <w:sz w:val="20"/>
                <w:szCs w:val="20"/>
              </w:rPr>
              <w:t>2016; 388:2115–27.</w:t>
            </w:r>
          </w:p>
        </w:tc>
      </w:tr>
      <w:tr w:rsidR="008119AC" w:rsidRPr="005F47F8" w:rsidTr="002A2711">
        <w:trPr>
          <w:cantSplit/>
        </w:trPr>
        <w:tc>
          <w:tcPr>
            <w:tcW w:w="718" w:type="pct"/>
            <w:tcBorders>
              <w:bottom w:val="nil"/>
            </w:tcBorders>
          </w:tcPr>
          <w:p w:rsidR="008119AC" w:rsidRPr="005F47F8" w:rsidRDefault="008119AC" w:rsidP="008119AC">
            <w:pPr>
              <w:widowControl/>
              <w:spacing w:before="40" w:after="40"/>
              <w:jc w:val="left"/>
              <w:rPr>
                <w:rFonts w:ascii="Arial Narrow" w:hAnsi="Arial Narrow" w:cs="Times New Roman"/>
                <w:snapToGrid/>
                <w:sz w:val="20"/>
                <w:lang w:eastAsia="en-AU"/>
              </w:rPr>
            </w:pPr>
            <w:r w:rsidRPr="005F47F8">
              <w:rPr>
                <w:rFonts w:ascii="Arial Narrow" w:hAnsi="Arial Narrow" w:cs="Times New Roman"/>
                <w:snapToGrid/>
                <w:sz w:val="20"/>
                <w:lang w:eastAsia="en-AU"/>
              </w:rPr>
              <w:t>ZONDA</w:t>
            </w:r>
          </w:p>
        </w:tc>
        <w:tc>
          <w:tcPr>
            <w:tcW w:w="3105" w:type="pct"/>
            <w:tcBorders>
              <w:bottom w:val="nil"/>
            </w:tcBorders>
            <w:vAlign w:val="center"/>
          </w:tcPr>
          <w:p w:rsidR="008119AC" w:rsidRPr="005F47F8" w:rsidRDefault="008119AC" w:rsidP="008119AC">
            <w:pPr>
              <w:widowControl/>
              <w:autoSpaceDE w:val="0"/>
              <w:autoSpaceDN w:val="0"/>
              <w:adjustRightInd w:val="0"/>
              <w:spacing w:before="120" w:after="20"/>
              <w:contextualSpacing/>
              <w:jc w:val="left"/>
              <w:rPr>
                <w:rFonts w:ascii="Arial Narrow" w:eastAsia="TimesNewRoman,Bold" w:hAnsi="Arial Narrow" w:cs="TimesNewRoman,Bold"/>
                <w:bCs/>
                <w:sz w:val="20"/>
                <w:szCs w:val="20"/>
              </w:rPr>
            </w:pPr>
            <w:r w:rsidRPr="005F47F8">
              <w:rPr>
                <w:rFonts w:ascii="Arial Narrow" w:eastAsia="TimesNewRoman,Bold" w:hAnsi="Arial Narrow" w:cs="TimesNewRoman,Bold"/>
                <w:bCs/>
                <w:sz w:val="20"/>
                <w:szCs w:val="20"/>
              </w:rPr>
              <w:t>A multicenter, randomized, double</w:t>
            </w:r>
            <w:r w:rsidRPr="005F47F8">
              <w:rPr>
                <w:rFonts w:ascii="Arial Narrow" w:eastAsia="TimesNewRoman,Bold" w:hAnsi="Arial Narrow" w:cs="TimesNewRoman,Bold"/>
                <w:bCs/>
                <w:sz w:val="20"/>
                <w:szCs w:val="20"/>
              </w:rPr>
              <w:noBreakHyphen/>
              <w:t>blind, parallel group, placebo</w:t>
            </w:r>
            <w:r w:rsidRPr="005F47F8">
              <w:rPr>
                <w:rFonts w:ascii="Arial Narrow" w:eastAsia="TimesNewRoman,Bold" w:hAnsi="Arial Narrow" w:cs="TimesNewRoman,Bold"/>
                <w:bCs/>
                <w:sz w:val="20"/>
                <w:szCs w:val="20"/>
              </w:rPr>
              <w:noBreakHyphen/>
              <w:t>controlled, phase 3 efficacy and safety study of benralizumab (MEDI</w:t>
            </w:r>
            <w:r w:rsidRPr="005F47F8">
              <w:rPr>
                <w:rFonts w:ascii="Arial Narrow" w:eastAsia="TimesNewRoman,Bold" w:hAnsi="Arial Narrow" w:cs="TimesNewRoman,Bold"/>
                <w:bCs/>
                <w:sz w:val="20"/>
                <w:szCs w:val="20"/>
              </w:rPr>
              <w:noBreakHyphen/>
              <w:t>563) to reduce oral corticosteroid use in patients with uncontrolled asthma on high dose inhaled corticosteroid plus long</w:t>
            </w:r>
            <w:r w:rsidRPr="005F47F8">
              <w:rPr>
                <w:rFonts w:ascii="Arial Narrow" w:eastAsia="TimesNewRoman,Bold" w:hAnsi="Arial Narrow" w:cs="TimesNewRoman,Bold"/>
                <w:bCs/>
                <w:sz w:val="20"/>
                <w:szCs w:val="20"/>
              </w:rPr>
              <w:noBreakHyphen/>
              <w:t>acting β2 agonist and chronic oral corticosteroid therapy (ZONDA). Clinical Study Report (CSR).</w:t>
            </w:r>
          </w:p>
          <w:p w:rsidR="00CA7F91" w:rsidRPr="005F47F8" w:rsidRDefault="00CA7F91" w:rsidP="008119AC">
            <w:pPr>
              <w:widowControl/>
              <w:autoSpaceDE w:val="0"/>
              <w:autoSpaceDN w:val="0"/>
              <w:adjustRightInd w:val="0"/>
              <w:spacing w:before="120" w:after="20"/>
              <w:contextualSpacing/>
              <w:jc w:val="left"/>
              <w:rPr>
                <w:rFonts w:ascii="Arial Narrow" w:eastAsia="TimesNewRoman,Bold" w:hAnsi="Arial Narrow" w:cs="TimesNewRoman,Bold"/>
                <w:bCs/>
                <w:sz w:val="20"/>
                <w:szCs w:val="20"/>
              </w:rPr>
            </w:pPr>
          </w:p>
        </w:tc>
        <w:tc>
          <w:tcPr>
            <w:tcW w:w="1177" w:type="pct"/>
            <w:tcBorders>
              <w:bottom w:val="nil"/>
            </w:tcBorders>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rPr>
              <w:t>CSR, October 2016</w:t>
            </w:r>
          </w:p>
        </w:tc>
      </w:tr>
      <w:tr w:rsidR="008119AC" w:rsidRPr="005F47F8" w:rsidTr="002A2711">
        <w:trPr>
          <w:cantSplit/>
        </w:trPr>
        <w:tc>
          <w:tcPr>
            <w:tcW w:w="718" w:type="pct"/>
            <w:tcBorders>
              <w:top w:val="nil"/>
              <w:bottom w:val="nil"/>
            </w:tcBorders>
          </w:tcPr>
          <w:p w:rsidR="008119AC" w:rsidRPr="005F47F8" w:rsidRDefault="008119AC" w:rsidP="008119AC">
            <w:pPr>
              <w:widowControl/>
              <w:spacing w:before="40" w:after="40"/>
              <w:jc w:val="left"/>
              <w:rPr>
                <w:rFonts w:ascii="Arial Narrow" w:hAnsi="Arial Narrow" w:cs="Times New Roman"/>
                <w:snapToGrid/>
                <w:sz w:val="20"/>
                <w:lang w:eastAsia="en-AU"/>
              </w:rPr>
            </w:pPr>
            <w:r w:rsidRPr="005F47F8">
              <w:rPr>
                <w:rFonts w:ascii="Arial Narrow" w:hAnsi="Arial Narrow" w:cs="Times New Roman"/>
                <w:snapToGrid/>
                <w:sz w:val="20"/>
              </w:rPr>
              <w:t>Nair 2017</w:t>
            </w:r>
          </w:p>
        </w:tc>
        <w:tc>
          <w:tcPr>
            <w:tcW w:w="3105" w:type="pct"/>
            <w:tcBorders>
              <w:top w:val="nil"/>
              <w:bottom w:val="nil"/>
            </w:tcBorders>
          </w:tcPr>
          <w:p w:rsidR="008119AC" w:rsidRPr="005F47F8" w:rsidRDefault="008119AC" w:rsidP="008119AC">
            <w:pPr>
              <w:widowControl/>
              <w:autoSpaceDE w:val="0"/>
              <w:autoSpaceDN w:val="0"/>
              <w:adjustRightInd w:val="0"/>
              <w:spacing w:before="120" w:after="20"/>
              <w:contextualSpacing/>
              <w:jc w:val="left"/>
              <w:rPr>
                <w:rFonts w:ascii="Arial Narrow" w:eastAsia="TimesNewRoman,Bold" w:hAnsi="Arial Narrow" w:cs="TimesNewRoman,Bold"/>
                <w:bCs/>
                <w:sz w:val="20"/>
                <w:szCs w:val="20"/>
              </w:rPr>
            </w:pPr>
            <w:r w:rsidRPr="005F47F8">
              <w:rPr>
                <w:rFonts w:ascii="Arial Narrow" w:hAnsi="Arial Narrow" w:cs="Segoe UI"/>
                <w:sz w:val="20"/>
                <w:szCs w:val="20"/>
              </w:rPr>
              <w:t xml:space="preserve">Nair P, Wenzel S, et al. Benralizumab significantly reduced oral corticosteroid dosages and asthma exacerbation rates for patients with severe, uncontrolled asthma: Results of the ZONDA phase III trial. </w:t>
            </w:r>
          </w:p>
        </w:tc>
        <w:tc>
          <w:tcPr>
            <w:tcW w:w="1177" w:type="pct"/>
            <w:tcBorders>
              <w:top w:val="nil"/>
              <w:bottom w:val="nil"/>
            </w:tcBorders>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szCs w:val="18"/>
              </w:rPr>
              <w:t>American Journal of Respiratory and Critical Care Medicine 2017; 195: A4678.</w:t>
            </w:r>
          </w:p>
        </w:tc>
      </w:tr>
      <w:tr w:rsidR="008119AC" w:rsidRPr="005F47F8" w:rsidTr="002A2711">
        <w:trPr>
          <w:cantSplit/>
        </w:trPr>
        <w:tc>
          <w:tcPr>
            <w:tcW w:w="718" w:type="pct"/>
            <w:tcBorders>
              <w:top w:val="nil"/>
              <w:bottom w:val="nil"/>
            </w:tcBorders>
          </w:tcPr>
          <w:p w:rsidR="008119AC" w:rsidRPr="005F47F8" w:rsidRDefault="008119AC" w:rsidP="008119AC">
            <w:pPr>
              <w:widowControl/>
              <w:spacing w:before="40" w:after="40"/>
              <w:jc w:val="left"/>
              <w:rPr>
                <w:rFonts w:ascii="Arial Narrow" w:hAnsi="Arial Narrow" w:cs="Times New Roman"/>
                <w:snapToGrid/>
                <w:sz w:val="20"/>
              </w:rPr>
            </w:pPr>
          </w:p>
        </w:tc>
        <w:tc>
          <w:tcPr>
            <w:tcW w:w="3105" w:type="pct"/>
            <w:tcBorders>
              <w:top w:val="nil"/>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rPr>
              <w:t>Nair P, Wenzel S, et al. Oral glucocorticoid</w:t>
            </w:r>
            <w:r w:rsidRPr="005F47F8">
              <w:rPr>
                <w:rFonts w:ascii="Arial Narrow" w:hAnsi="Arial Narrow" w:cs="Times New Roman"/>
                <w:snapToGrid/>
                <w:sz w:val="20"/>
              </w:rPr>
              <w:noBreakHyphen/>
              <w:t xml:space="preserve">sparing effect of benralizumab in severe asthma. </w:t>
            </w:r>
          </w:p>
        </w:tc>
        <w:tc>
          <w:tcPr>
            <w:tcW w:w="1177" w:type="pct"/>
            <w:tcBorders>
              <w:top w:val="nil"/>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szCs w:val="18"/>
              </w:rPr>
              <w:t>NEJM 2017; 376: 2448-5.</w:t>
            </w:r>
          </w:p>
        </w:tc>
      </w:tr>
      <w:tr w:rsidR="008119AC" w:rsidRPr="005F47F8" w:rsidTr="002A2711">
        <w:trPr>
          <w:cantSplit/>
        </w:trPr>
        <w:tc>
          <w:tcPr>
            <w:tcW w:w="5000" w:type="pct"/>
            <w:gridSpan w:val="3"/>
            <w:tcBorders>
              <w:top w:val="single" w:sz="4" w:space="0" w:color="auto"/>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b/>
                <w:snapToGrid/>
                <w:sz w:val="20"/>
              </w:rPr>
              <w:t>Randomised controlled trial – mepolizumab versus standard of care/placebo</w:t>
            </w:r>
          </w:p>
        </w:tc>
      </w:tr>
      <w:tr w:rsidR="008119AC" w:rsidRPr="005F47F8" w:rsidTr="002A2711">
        <w:trPr>
          <w:cantSplit/>
        </w:trPr>
        <w:tc>
          <w:tcPr>
            <w:tcW w:w="718" w:type="pct"/>
            <w:tcBorders>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lang w:eastAsia="en-AU"/>
              </w:rPr>
            </w:pPr>
            <w:r w:rsidRPr="005F47F8">
              <w:rPr>
                <w:rFonts w:ascii="Arial Narrow" w:hAnsi="Arial Narrow" w:cs="Times New Roman"/>
                <w:snapToGrid/>
                <w:sz w:val="20"/>
                <w:lang w:eastAsia="en-AU"/>
              </w:rPr>
              <w:t>MUSCA</w:t>
            </w:r>
          </w:p>
        </w:tc>
        <w:tc>
          <w:tcPr>
            <w:tcW w:w="3105" w:type="pct"/>
            <w:tcBorders>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szCs w:val="20"/>
              </w:rPr>
              <w:t>Chupp, GL, Bradford ES, et al. Efficacy of mepolizumab add</w:t>
            </w:r>
            <w:r w:rsidRPr="005F47F8">
              <w:rPr>
                <w:rFonts w:ascii="Arial Narrow" w:hAnsi="Arial Narrow" w:cs="Times New Roman"/>
                <w:snapToGrid/>
                <w:sz w:val="20"/>
                <w:szCs w:val="20"/>
              </w:rPr>
              <w:noBreakHyphen/>
              <w:t>on therapy on health</w:t>
            </w:r>
            <w:r w:rsidRPr="005F47F8">
              <w:rPr>
                <w:rFonts w:ascii="Arial Narrow" w:hAnsi="Arial Narrow" w:cs="Times New Roman"/>
                <w:snapToGrid/>
                <w:sz w:val="20"/>
                <w:szCs w:val="20"/>
              </w:rPr>
              <w:noBreakHyphen/>
              <w:t>related quality of life and markers of asthma control in severe eosinophilic asthma (MUSCA): a randomised, double</w:t>
            </w:r>
            <w:r w:rsidRPr="005F47F8">
              <w:rPr>
                <w:rFonts w:ascii="Arial Narrow" w:hAnsi="Arial Narrow" w:cs="Times New Roman"/>
                <w:snapToGrid/>
                <w:sz w:val="20"/>
                <w:szCs w:val="20"/>
              </w:rPr>
              <w:noBreakHyphen/>
              <w:t>blinded, placebo controlled, parallel</w:t>
            </w:r>
            <w:r w:rsidRPr="005F47F8">
              <w:rPr>
                <w:rFonts w:ascii="Arial Narrow" w:hAnsi="Arial Narrow" w:cs="Times New Roman"/>
                <w:snapToGrid/>
                <w:sz w:val="20"/>
                <w:szCs w:val="20"/>
              </w:rPr>
              <w:noBreakHyphen/>
              <w:t xml:space="preserve">group, multicentre, phase 3b trial. </w:t>
            </w:r>
          </w:p>
        </w:tc>
        <w:tc>
          <w:tcPr>
            <w:tcW w:w="1177" w:type="pct"/>
            <w:tcBorders>
              <w:top w:val="single" w:sz="4" w:space="0" w:color="auto"/>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szCs w:val="18"/>
              </w:rPr>
              <w:t>Lancet Respir Med 2017; 5:390 400.</w:t>
            </w:r>
          </w:p>
        </w:tc>
      </w:tr>
      <w:tr w:rsidR="008119AC" w:rsidRPr="005F47F8" w:rsidTr="002A2711">
        <w:trPr>
          <w:cantSplit/>
        </w:trPr>
        <w:tc>
          <w:tcPr>
            <w:tcW w:w="718" w:type="pct"/>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lang w:eastAsia="en-AU"/>
              </w:rPr>
              <w:t>MENSA (Study 588)</w:t>
            </w:r>
          </w:p>
        </w:tc>
        <w:tc>
          <w:tcPr>
            <w:tcW w:w="3105" w:type="pct"/>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rPr>
              <w:t xml:space="preserve">Ortega HG, Liu MC, </w:t>
            </w:r>
            <w:r w:rsidRPr="005F47F8">
              <w:rPr>
                <w:rFonts w:ascii="Arial Narrow" w:hAnsi="Arial Narrow" w:cs="Times New Roman"/>
                <w:iCs/>
                <w:snapToGrid/>
                <w:sz w:val="20"/>
              </w:rPr>
              <w:t>et al</w:t>
            </w:r>
            <w:r w:rsidRPr="005F47F8">
              <w:rPr>
                <w:rFonts w:ascii="Arial Narrow" w:hAnsi="Arial Narrow" w:cs="Times New Roman"/>
                <w:snapToGrid/>
                <w:sz w:val="20"/>
              </w:rPr>
              <w:t xml:space="preserve">. Mepolizumab treatment in patients with severe eosinophilic asthma.  </w:t>
            </w:r>
          </w:p>
        </w:tc>
        <w:tc>
          <w:tcPr>
            <w:tcW w:w="1177" w:type="pct"/>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rPr>
              <w:t>NEJM 2014; 371:1198-207.</w:t>
            </w:r>
          </w:p>
        </w:tc>
      </w:tr>
      <w:tr w:rsidR="008119AC" w:rsidRPr="005F47F8" w:rsidTr="002A2711">
        <w:trPr>
          <w:cantSplit/>
        </w:trPr>
        <w:tc>
          <w:tcPr>
            <w:tcW w:w="718" w:type="pct"/>
          </w:tcPr>
          <w:p w:rsidR="008119AC" w:rsidRPr="005F47F8" w:rsidRDefault="008119AC" w:rsidP="008119AC">
            <w:pPr>
              <w:widowControl/>
              <w:spacing w:before="40" w:after="40"/>
              <w:jc w:val="left"/>
              <w:rPr>
                <w:rFonts w:ascii="Arial Narrow" w:hAnsi="Arial Narrow" w:cs="Times New Roman"/>
                <w:snapToGrid/>
                <w:sz w:val="20"/>
              </w:rPr>
            </w:pPr>
            <w:r w:rsidRPr="005F47F8">
              <w:rPr>
                <w:rFonts w:ascii="Arial Narrow" w:hAnsi="Arial Narrow" w:cs="Times New Roman"/>
                <w:snapToGrid/>
                <w:sz w:val="20"/>
                <w:lang w:eastAsia="en-AU"/>
              </w:rPr>
              <w:t>SIRIUS (Study 575)</w:t>
            </w:r>
          </w:p>
        </w:tc>
        <w:tc>
          <w:tcPr>
            <w:tcW w:w="3105" w:type="pct"/>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szCs w:val="20"/>
              </w:rPr>
              <w:t xml:space="preserve">Bel EH, Wenzel SE, </w:t>
            </w:r>
            <w:r w:rsidRPr="005F47F8">
              <w:rPr>
                <w:rFonts w:ascii="Arial Narrow" w:hAnsi="Arial Narrow" w:cs="Times New Roman"/>
                <w:iCs/>
                <w:snapToGrid/>
                <w:sz w:val="20"/>
                <w:szCs w:val="20"/>
              </w:rPr>
              <w:t>et al</w:t>
            </w:r>
            <w:r w:rsidRPr="005F47F8">
              <w:rPr>
                <w:rFonts w:ascii="Arial Narrow" w:hAnsi="Arial Narrow" w:cs="Times New Roman"/>
                <w:snapToGrid/>
                <w:sz w:val="20"/>
                <w:szCs w:val="20"/>
              </w:rPr>
              <w:t>. Oral glucocorticoid</w:t>
            </w:r>
            <w:r w:rsidRPr="005F47F8">
              <w:rPr>
                <w:rFonts w:ascii="Arial Narrow" w:hAnsi="Arial Narrow" w:cs="Times New Roman"/>
                <w:snapToGrid/>
                <w:sz w:val="20"/>
                <w:szCs w:val="20"/>
              </w:rPr>
              <w:noBreakHyphen/>
              <w:t xml:space="preserve">sparing effect of mepolizumab in eosinophilic asthma. </w:t>
            </w:r>
          </w:p>
        </w:tc>
        <w:tc>
          <w:tcPr>
            <w:tcW w:w="1177" w:type="pct"/>
            <w:tcBorders>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iCs/>
                <w:snapToGrid/>
                <w:sz w:val="20"/>
                <w:szCs w:val="18"/>
              </w:rPr>
              <w:t xml:space="preserve">NEJM </w:t>
            </w:r>
            <w:r w:rsidRPr="005F47F8">
              <w:rPr>
                <w:rFonts w:ascii="Arial Narrow" w:hAnsi="Arial Narrow" w:cs="Times New Roman"/>
                <w:snapToGrid/>
                <w:sz w:val="20"/>
                <w:szCs w:val="18"/>
              </w:rPr>
              <w:t>2014; 371:1189</w:t>
            </w:r>
            <w:r w:rsidRPr="005F47F8">
              <w:rPr>
                <w:rFonts w:ascii="Arial Narrow" w:hAnsi="Arial Narrow" w:cs="Times New Roman"/>
                <w:snapToGrid/>
                <w:sz w:val="20"/>
                <w:szCs w:val="18"/>
              </w:rPr>
              <w:noBreakHyphen/>
              <w:t>97.</w:t>
            </w:r>
          </w:p>
        </w:tc>
      </w:tr>
      <w:tr w:rsidR="008119AC" w:rsidRPr="005F47F8" w:rsidTr="002A2711">
        <w:trPr>
          <w:cantSplit/>
        </w:trPr>
        <w:tc>
          <w:tcPr>
            <w:tcW w:w="5000" w:type="pct"/>
            <w:gridSpan w:val="3"/>
            <w:tcBorders>
              <w:top w:val="single" w:sz="4" w:space="0" w:color="auto"/>
              <w:bottom w:val="single" w:sz="4" w:space="0" w:color="auto"/>
            </w:tcBorders>
          </w:tcPr>
          <w:p w:rsidR="008119AC" w:rsidRPr="005F47F8" w:rsidRDefault="008119AC" w:rsidP="008119AC">
            <w:pPr>
              <w:keepNext/>
              <w:keepLines/>
              <w:widowControl/>
              <w:spacing w:before="40" w:after="40"/>
              <w:jc w:val="left"/>
              <w:rPr>
                <w:rFonts w:ascii="Arial Narrow" w:hAnsi="Arial Narrow" w:cs="Times New Roman"/>
                <w:snapToGrid/>
                <w:sz w:val="20"/>
                <w:szCs w:val="18"/>
              </w:rPr>
            </w:pPr>
            <w:r w:rsidRPr="005F47F8">
              <w:rPr>
                <w:rFonts w:ascii="Arial Narrow" w:hAnsi="Arial Narrow" w:cs="Times New Roman"/>
                <w:b/>
                <w:snapToGrid/>
                <w:sz w:val="20"/>
              </w:rPr>
              <w:t>Randomised controlled trial – omalizumab versus standard of care/placebo</w:t>
            </w:r>
          </w:p>
        </w:tc>
      </w:tr>
      <w:tr w:rsidR="008119AC" w:rsidRPr="005F47F8" w:rsidTr="002A2711">
        <w:trPr>
          <w:cantSplit/>
        </w:trPr>
        <w:tc>
          <w:tcPr>
            <w:tcW w:w="718" w:type="pct"/>
            <w:tcBorders>
              <w:top w:val="single" w:sz="4" w:space="0" w:color="auto"/>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rPr>
              <w:t>INNOVATE</w:t>
            </w:r>
          </w:p>
        </w:tc>
        <w:tc>
          <w:tcPr>
            <w:tcW w:w="3105" w:type="pct"/>
            <w:tcBorders>
              <w:top w:val="single" w:sz="4" w:space="0" w:color="auto"/>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szCs w:val="20"/>
              </w:rPr>
            </w:pPr>
            <w:r w:rsidRPr="005F47F8">
              <w:rPr>
                <w:rFonts w:ascii="Arial Narrow" w:hAnsi="Arial Narrow" w:cs="Times New Roman"/>
                <w:snapToGrid/>
                <w:sz w:val="20"/>
              </w:rPr>
              <w:t xml:space="preserve">Humbert M, Berger SW, et al. Add on omalizumab improves day to day symptoms in inadequately controlled severe persistent allergic asthma. </w:t>
            </w:r>
          </w:p>
        </w:tc>
        <w:tc>
          <w:tcPr>
            <w:tcW w:w="1177" w:type="pct"/>
            <w:tcBorders>
              <w:top w:val="single" w:sz="4" w:space="0" w:color="auto"/>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rPr>
              <w:t>Allergy 2008; 63:592 6.</w:t>
            </w:r>
          </w:p>
        </w:tc>
      </w:tr>
      <w:tr w:rsidR="008119AC" w:rsidRPr="005F47F8" w:rsidTr="002A2711">
        <w:trPr>
          <w:cantSplit/>
        </w:trPr>
        <w:tc>
          <w:tcPr>
            <w:tcW w:w="718"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rPr>
              <w:t>Sthoeger 2007</w:t>
            </w:r>
          </w:p>
        </w:tc>
        <w:tc>
          <w:tcPr>
            <w:tcW w:w="3105"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szCs w:val="20"/>
              </w:rPr>
            </w:pPr>
            <w:r w:rsidRPr="005F47F8">
              <w:rPr>
                <w:rFonts w:ascii="Arial Narrow" w:hAnsi="Arial Narrow" w:cs="Times New Roman"/>
                <w:snapToGrid/>
                <w:sz w:val="20"/>
              </w:rPr>
              <w:t xml:space="preserve">Sthoeger ZM, Eliraz A, et al. The beneficial effects of Xolair® (omalizumab) as add on therapy in patients with severe persistent asthma who are inadequately controlled despite best available treatment (GINA 2002 step IV) – the Israeli arm of the INNOVATE study. </w:t>
            </w:r>
          </w:p>
        </w:tc>
        <w:tc>
          <w:tcPr>
            <w:tcW w:w="1177"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rPr>
              <w:t>J Allergy Clin Immunol 2007; 9:472 5.</w:t>
            </w:r>
          </w:p>
        </w:tc>
      </w:tr>
      <w:tr w:rsidR="008119AC" w:rsidRPr="005F47F8" w:rsidTr="002A2711">
        <w:trPr>
          <w:cantSplit/>
        </w:trPr>
        <w:tc>
          <w:tcPr>
            <w:tcW w:w="718"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rPr>
            </w:pPr>
            <w:r w:rsidRPr="005F47F8">
              <w:rPr>
                <w:rFonts w:ascii="Arial Narrow" w:hAnsi="Arial Narrow" w:cs="Times New Roman"/>
                <w:snapToGrid/>
                <w:sz w:val="20"/>
              </w:rPr>
              <w:t>Humbert 2005</w:t>
            </w:r>
          </w:p>
        </w:tc>
        <w:tc>
          <w:tcPr>
            <w:tcW w:w="3105" w:type="pct"/>
            <w:tcBorders>
              <w:top w:val="nil"/>
              <w:bottom w:val="nil"/>
            </w:tcBorders>
          </w:tcPr>
          <w:p w:rsidR="008119AC" w:rsidRPr="005F47F8" w:rsidRDefault="008119AC" w:rsidP="008119AC">
            <w:pPr>
              <w:keepNext/>
              <w:keepLines/>
              <w:widowControl/>
              <w:autoSpaceDE w:val="0"/>
              <w:autoSpaceDN w:val="0"/>
              <w:adjustRightInd w:val="0"/>
              <w:jc w:val="left"/>
              <w:rPr>
                <w:rFonts w:ascii="Times New Roman" w:eastAsiaTheme="minorHAnsi" w:hAnsi="Times New Roman" w:cs="Times New Roman"/>
                <w:snapToGrid/>
                <w:color w:val="000000"/>
                <w:szCs w:val="18"/>
              </w:rPr>
            </w:pPr>
            <w:r w:rsidRPr="005F47F8">
              <w:rPr>
                <w:rFonts w:ascii="Arial Narrow" w:eastAsiaTheme="minorHAnsi" w:hAnsi="Arial Narrow" w:cs="Times New Roman"/>
                <w:snapToGrid/>
                <w:color w:val="000000"/>
                <w:sz w:val="20"/>
                <w:szCs w:val="20"/>
              </w:rPr>
              <w:t>Humbert M, Beasley R, et al. Benefits of omalizumab as add</w:t>
            </w:r>
            <w:r w:rsidRPr="005F47F8">
              <w:rPr>
                <w:rFonts w:ascii="Arial Narrow" w:eastAsiaTheme="minorHAnsi" w:hAnsi="Arial Narrow" w:cs="Times New Roman"/>
                <w:snapToGrid/>
                <w:color w:val="000000"/>
                <w:sz w:val="20"/>
                <w:szCs w:val="20"/>
              </w:rPr>
              <w:noBreakHyphen/>
              <w:t xml:space="preserve">on therapy in patients with severe persistent asthma who are inadequately controlled despite best available therapy (GINA 2002 step 4 treatment). </w:t>
            </w:r>
          </w:p>
        </w:tc>
        <w:tc>
          <w:tcPr>
            <w:tcW w:w="1177" w:type="pct"/>
            <w:tcBorders>
              <w:top w:val="nil"/>
              <w:bottom w:val="nil"/>
            </w:tcBorders>
          </w:tcPr>
          <w:p w:rsidR="008119AC" w:rsidRPr="005F47F8" w:rsidRDefault="008119AC" w:rsidP="008119AC">
            <w:pPr>
              <w:keepNext/>
              <w:keepLines/>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szCs w:val="18"/>
              </w:rPr>
              <w:t>Allergy 2005; 60:309 16.</w:t>
            </w:r>
          </w:p>
        </w:tc>
      </w:tr>
      <w:tr w:rsidR="008119AC" w:rsidRPr="005F47F8" w:rsidTr="002A2711">
        <w:trPr>
          <w:cantSplit/>
        </w:trPr>
        <w:tc>
          <w:tcPr>
            <w:tcW w:w="718" w:type="pct"/>
            <w:tcBorders>
              <w:top w:val="single" w:sz="4" w:space="0" w:color="auto"/>
              <w:bottom w:val="nil"/>
            </w:tcBorders>
          </w:tcPr>
          <w:p w:rsidR="008119AC" w:rsidRPr="005F47F8" w:rsidRDefault="008119AC" w:rsidP="008119AC">
            <w:pPr>
              <w:widowControl/>
              <w:autoSpaceDE w:val="0"/>
              <w:autoSpaceDN w:val="0"/>
              <w:adjustRightInd w:val="0"/>
              <w:spacing w:after="20"/>
              <w:jc w:val="left"/>
              <w:rPr>
                <w:rFonts w:ascii="Arial Narrow" w:eastAsiaTheme="minorHAnsi" w:hAnsi="Arial Narrow" w:cs="Times New Roman"/>
                <w:snapToGrid/>
                <w:color w:val="000000"/>
                <w:sz w:val="20"/>
                <w:szCs w:val="20"/>
              </w:rPr>
            </w:pPr>
            <w:r w:rsidRPr="005F47F8">
              <w:rPr>
                <w:rFonts w:ascii="Arial Narrow" w:eastAsiaTheme="minorHAnsi" w:hAnsi="Arial Narrow" w:cs="Times New Roman"/>
                <w:snapToGrid/>
                <w:color w:val="000000"/>
                <w:sz w:val="20"/>
                <w:szCs w:val="20"/>
              </w:rPr>
              <w:t>EXTRA</w:t>
            </w:r>
          </w:p>
          <w:p w:rsidR="008119AC" w:rsidRPr="005F47F8" w:rsidRDefault="008119AC" w:rsidP="008119AC">
            <w:pPr>
              <w:widowControl/>
              <w:spacing w:before="40" w:after="40"/>
              <w:jc w:val="left"/>
              <w:rPr>
                <w:rFonts w:ascii="Arial Narrow" w:hAnsi="Arial Narrow" w:cs="Times New Roman"/>
                <w:snapToGrid/>
                <w:sz w:val="20"/>
              </w:rPr>
            </w:pPr>
          </w:p>
        </w:tc>
        <w:tc>
          <w:tcPr>
            <w:tcW w:w="3105" w:type="pct"/>
            <w:tcBorders>
              <w:top w:val="single" w:sz="4" w:space="0" w:color="auto"/>
              <w:bottom w:val="nil"/>
            </w:tcBorders>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snapToGrid/>
                <w:sz w:val="20"/>
              </w:rPr>
              <w:t xml:space="preserve">Hanania NA, Wenzel S, </w:t>
            </w:r>
            <w:r w:rsidRPr="005F47F8">
              <w:rPr>
                <w:rFonts w:ascii="Arial Narrow" w:hAnsi="Arial Narrow" w:cs="Times New Roman"/>
                <w:iCs/>
                <w:snapToGrid/>
                <w:sz w:val="20"/>
              </w:rPr>
              <w:t>et al</w:t>
            </w:r>
            <w:r w:rsidRPr="005F47F8">
              <w:rPr>
                <w:rFonts w:ascii="Arial Narrow" w:hAnsi="Arial Narrow" w:cs="Times New Roman"/>
                <w:snapToGrid/>
                <w:sz w:val="20"/>
              </w:rPr>
              <w:t xml:space="preserve">. Exploring the effects of omalizumab in allergic asthma: an analysis of biomarkers in the EXTRA study. </w:t>
            </w:r>
          </w:p>
        </w:tc>
        <w:tc>
          <w:tcPr>
            <w:tcW w:w="1177" w:type="pct"/>
            <w:tcBorders>
              <w:top w:val="single" w:sz="4" w:space="0" w:color="auto"/>
              <w:bottom w:val="nil"/>
            </w:tcBorders>
          </w:tcPr>
          <w:p w:rsidR="008119AC" w:rsidRPr="005F47F8" w:rsidRDefault="008119AC" w:rsidP="008119AC">
            <w:pPr>
              <w:widowControl/>
              <w:spacing w:before="40" w:after="40"/>
              <w:jc w:val="left"/>
              <w:rPr>
                <w:rFonts w:ascii="Arial Narrow" w:hAnsi="Arial Narrow" w:cs="Times New Roman"/>
                <w:snapToGrid/>
                <w:sz w:val="20"/>
                <w:szCs w:val="18"/>
              </w:rPr>
            </w:pPr>
            <w:r w:rsidRPr="005F47F8">
              <w:rPr>
                <w:rFonts w:ascii="Arial Narrow" w:hAnsi="Arial Narrow" w:cs="Times New Roman"/>
                <w:iCs/>
                <w:snapToGrid/>
                <w:sz w:val="20"/>
                <w:szCs w:val="18"/>
              </w:rPr>
              <w:t xml:space="preserve">Am J Respir Crit Care Med. </w:t>
            </w:r>
            <w:r w:rsidRPr="005F47F8">
              <w:rPr>
                <w:rFonts w:ascii="Arial Narrow" w:hAnsi="Arial Narrow" w:cs="Times New Roman"/>
                <w:snapToGrid/>
                <w:sz w:val="20"/>
                <w:szCs w:val="18"/>
              </w:rPr>
              <w:t>2013; 187: 804</w:t>
            </w:r>
            <w:r w:rsidRPr="005F47F8">
              <w:rPr>
                <w:rFonts w:ascii="Arial Narrow" w:hAnsi="Arial Narrow" w:cs="Times New Roman"/>
                <w:snapToGrid/>
                <w:sz w:val="20"/>
                <w:szCs w:val="18"/>
              </w:rPr>
              <w:noBreakHyphen/>
              <w:t>44.</w:t>
            </w:r>
          </w:p>
        </w:tc>
      </w:tr>
      <w:tr w:rsidR="008119AC" w:rsidRPr="005F47F8" w:rsidTr="002A2711">
        <w:trPr>
          <w:cantSplit/>
        </w:trPr>
        <w:tc>
          <w:tcPr>
            <w:tcW w:w="718" w:type="pct"/>
            <w:tcBorders>
              <w:top w:val="nil"/>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rPr>
            </w:pPr>
          </w:p>
        </w:tc>
        <w:tc>
          <w:tcPr>
            <w:tcW w:w="3105" w:type="pct"/>
            <w:tcBorders>
              <w:top w:val="nil"/>
              <w:bottom w:val="single" w:sz="4" w:space="0" w:color="auto"/>
            </w:tcBorders>
          </w:tcPr>
          <w:p w:rsidR="008119AC" w:rsidRPr="005F47F8" w:rsidRDefault="008119AC" w:rsidP="008119AC">
            <w:pPr>
              <w:widowControl/>
              <w:spacing w:before="40" w:after="40"/>
              <w:jc w:val="left"/>
              <w:rPr>
                <w:rFonts w:ascii="Arial Narrow" w:hAnsi="Arial Narrow" w:cs="Times New Roman"/>
                <w:snapToGrid/>
                <w:sz w:val="20"/>
                <w:szCs w:val="20"/>
              </w:rPr>
            </w:pPr>
            <w:r w:rsidRPr="005F47F8">
              <w:rPr>
                <w:rFonts w:ascii="Arial Narrow" w:hAnsi="Arial Narrow" w:cs="Times New Roman"/>
                <w:snapToGrid/>
                <w:sz w:val="20"/>
                <w:szCs w:val="20"/>
              </w:rPr>
              <w:t xml:space="preserve">Hanania NA, Alpan O, </w:t>
            </w:r>
            <w:r w:rsidRPr="005F47F8">
              <w:rPr>
                <w:rFonts w:ascii="Arial Narrow" w:hAnsi="Arial Narrow" w:cs="Times New Roman"/>
                <w:iCs/>
                <w:snapToGrid/>
                <w:sz w:val="20"/>
                <w:szCs w:val="20"/>
              </w:rPr>
              <w:t>et al</w:t>
            </w:r>
            <w:r w:rsidRPr="005F47F8">
              <w:rPr>
                <w:rFonts w:ascii="Arial Narrow" w:hAnsi="Arial Narrow" w:cs="Times New Roman"/>
                <w:snapToGrid/>
                <w:sz w:val="20"/>
                <w:szCs w:val="20"/>
              </w:rPr>
              <w:t>. Omalizumab in severe allergic asthma inadequately controlled with standard therapy: a randomized trial.</w:t>
            </w:r>
          </w:p>
        </w:tc>
        <w:tc>
          <w:tcPr>
            <w:tcW w:w="1177" w:type="pct"/>
            <w:tcBorders>
              <w:top w:val="nil"/>
              <w:bottom w:val="single" w:sz="4" w:space="0" w:color="auto"/>
            </w:tcBorders>
          </w:tcPr>
          <w:p w:rsidR="008119AC" w:rsidRPr="005F47F8" w:rsidRDefault="008119AC" w:rsidP="008119AC">
            <w:pPr>
              <w:widowControl/>
              <w:spacing w:before="40" w:after="40"/>
              <w:jc w:val="left"/>
              <w:rPr>
                <w:rFonts w:ascii="Arial Narrow" w:hAnsi="Arial Narrow" w:cs="Times New Roman"/>
                <w:iCs/>
                <w:snapToGrid/>
                <w:sz w:val="20"/>
                <w:szCs w:val="18"/>
              </w:rPr>
            </w:pPr>
            <w:r w:rsidRPr="005F47F8">
              <w:rPr>
                <w:rFonts w:ascii="Arial Narrow" w:hAnsi="Arial Narrow" w:cs="Times New Roman"/>
                <w:snapToGrid/>
                <w:sz w:val="20"/>
                <w:szCs w:val="18"/>
              </w:rPr>
              <w:t>Ann Intern Med</w:t>
            </w:r>
            <w:r w:rsidRPr="005F47F8">
              <w:rPr>
                <w:rFonts w:ascii="Arial Narrow" w:hAnsi="Arial Narrow" w:cs="Times New Roman"/>
                <w:iCs/>
                <w:snapToGrid/>
                <w:sz w:val="20"/>
                <w:szCs w:val="18"/>
              </w:rPr>
              <w:t xml:space="preserve"> </w:t>
            </w:r>
            <w:r w:rsidRPr="005F47F8">
              <w:rPr>
                <w:rFonts w:ascii="Arial Narrow" w:hAnsi="Arial Narrow" w:cs="Times New Roman"/>
                <w:snapToGrid/>
                <w:sz w:val="20"/>
                <w:szCs w:val="18"/>
              </w:rPr>
              <w:t>2011; 154: 573</w:t>
            </w:r>
            <w:r w:rsidRPr="005F47F8">
              <w:rPr>
                <w:rFonts w:ascii="Arial Narrow" w:hAnsi="Arial Narrow" w:cs="Times New Roman"/>
                <w:snapToGrid/>
                <w:sz w:val="20"/>
                <w:szCs w:val="18"/>
              </w:rPr>
              <w:noBreakHyphen/>
              <w:t xml:space="preserve">82. </w:t>
            </w:r>
          </w:p>
        </w:tc>
      </w:tr>
    </w:tbl>
    <w:p w:rsidR="008119AC" w:rsidRPr="005F47F8" w:rsidRDefault="008119AC" w:rsidP="003E6ED7">
      <w:pPr>
        <w:spacing w:after="120"/>
        <w:rPr>
          <w:rFonts w:ascii="Arial Narrow" w:hAnsi="Arial Narrow"/>
          <w:sz w:val="18"/>
        </w:rPr>
      </w:pPr>
      <w:r w:rsidRPr="005F47F8">
        <w:rPr>
          <w:rFonts w:ascii="Arial Narrow" w:hAnsi="Arial Narrow"/>
          <w:sz w:val="18"/>
        </w:rPr>
        <w:t>Source: Table 2.2, p32 of the submission</w:t>
      </w:r>
    </w:p>
    <w:p w:rsidR="008119AC" w:rsidRDefault="008119AC" w:rsidP="004B1160">
      <w:pPr>
        <w:widowControl/>
        <w:numPr>
          <w:ilvl w:val="1"/>
          <w:numId w:val="1"/>
        </w:numPr>
        <w:spacing w:after="120"/>
        <w:ind w:left="709"/>
      </w:pPr>
      <w:r w:rsidRPr="005F47F8">
        <w:t xml:space="preserve">The submission was based on indirect comparisons of benralizumab with mepolizumab and omalizumab, using standard of care/placebo as the common comparator. The indirect comparisons were based on five trials that reported asthma exacerbation rates. The key features of </w:t>
      </w:r>
      <w:r w:rsidR="00C91008">
        <w:t>these</w:t>
      </w:r>
      <w:r w:rsidR="000446EB">
        <w:t xml:space="preserve"> trials are summarised in Table </w:t>
      </w:r>
      <w:r w:rsidR="00C91008">
        <w:t xml:space="preserve">3. </w:t>
      </w:r>
      <w:r w:rsidRPr="005F47F8">
        <w:t xml:space="preserve"> </w:t>
      </w:r>
    </w:p>
    <w:p w:rsidR="008119AC" w:rsidRPr="005F47F8" w:rsidRDefault="008119AC" w:rsidP="00AB5844">
      <w:pPr>
        <w:keepNext/>
        <w:keepLines/>
        <w:rPr>
          <w:rFonts w:ascii="Arial Narrow" w:hAnsi="Arial Narrow"/>
          <w:b/>
          <w:sz w:val="20"/>
          <w:szCs w:val="16"/>
        </w:rPr>
      </w:pPr>
      <w:r w:rsidRPr="005F47F8">
        <w:rPr>
          <w:rFonts w:ascii="Arial Narrow" w:hAnsi="Arial Narrow"/>
          <w:b/>
          <w:sz w:val="20"/>
          <w:szCs w:val="16"/>
        </w:rPr>
        <w:t xml:space="preserve">Table 3: Key features of the evidence </w:t>
      </w:r>
      <w:r w:rsidR="00295AE2" w:rsidRPr="005F47F8">
        <w:rPr>
          <w:rFonts w:ascii="Arial Narrow" w:hAnsi="Arial Narrow"/>
          <w:b/>
          <w:sz w:val="20"/>
          <w:szCs w:val="16"/>
        </w:rPr>
        <w:t xml:space="preserve">used in the </w:t>
      </w:r>
      <w:r w:rsidRPr="005F47F8">
        <w:rPr>
          <w:rFonts w:ascii="Arial Narrow" w:hAnsi="Arial Narrow"/>
          <w:b/>
          <w:sz w:val="20"/>
          <w:szCs w:val="16"/>
        </w:rPr>
        <w:t>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0"/>
        <w:gridCol w:w="1640"/>
        <w:gridCol w:w="1086"/>
        <w:gridCol w:w="755"/>
        <w:gridCol w:w="2978"/>
        <w:gridCol w:w="1565"/>
      </w:tblGrid>
      <w:tr w:rsidR="008119AC" w:rsidRPr="005F47F8" w:rsidTr="000C187A">
        <w:trPr>
          <w:tblHeader/>
        </w:trPr>
        <w:tc>
          <w:tcPr>
            <w:tcW w:w="524"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left"/>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Trial</w:t>
            </w:r>
          </w:p>
        </w:tc>
        <w:tc>
          <w:tcPr>
            <w:tcW w:w="915"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N</w:t>
            </w:r>
          </w:p>
        </w:tc>
        <w:tc>
          <w:tcPr>
            <w:tcW w:w="606"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Design/ duration</w:t>
            </w:r>
          </w:p>
        </w:tc>
        <w:tc>
          <w:tcPr>
            <w:tcW w:w="421"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Risk of bias</w:t>
            </w:r>
          </w:p>
        </w:tc>
        <w:tc>
          <w:tcPr>
            <w:tcW w:w="1661"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Patient population</w:t>
            </w:r>
          </w:p>
        </w:tc>
        <w:tc>
          <w:tcPr>
            <w:tcW w:w="873"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Outcomes</w:t>
            </w:r>
          </w:p>
        </w:tc>
      </w:tr>
      <w:tr w:rsidR="008119AC" w:rsidRPr="005F47F8" w:rsidTr="002A2711">
        <w:tc>
          <w:tcPr>
            <w:tcW w:w="5000" w:type="pct"/>
            <w:gridSpan w:val="6"/>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left"/>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 xml:space="preserve">Benralizumab versus </w:t>
            </w:r>
            <w:r w:rsidR="00C03D97" w:rsidRPr="005F47F8">
              <w:rPr>
                <w:rFonts w:ascii="Arial Narrow" w:eastAsiaTheme="majorEastAsia" w:hAnsi="Arial Narrow"/>
                <w:b/>
                <w:snapToGrid/>
                <w:sz w:val="20"/>
                <w:szCs w:val="20"/>
                <w:lang w:bidi="en-US"/>
              </w:rPr>
              <w:t>standard of care/placebo</w:t>
            </w:r>
          </w:p>
        </w:tc>
      </w:tr>
      <w:tr w:rsidR="008119AC" w:rsidRPr="005F47F8" w:rsidTr="000C187A">
        <w:tc>
          <w:tcPr>
            <w:tcW w:w="524"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left"/>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CALIMA</w:t>
            </w:r>
          </w:p>
        </w:tc>
        <w:tc>
          <w:tcPr>
            <w:tcW w:w="915"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Total trial: 1,306</w:t>
            </w:r>
          </w:p>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vertAlign w:val="superscript"/>
                <w:lang w:val="en-US" w:eastAsia="en-AU" w:bidi="en-US"/>
              </w:rPr>
            </w:pPr>
            <w:r w:rsidRPr="005F47F8">
              <w:rPr>
                <w:rFonts w:ascii="Arial Narrow" w:eastAsiaTheme="majorEastAsia" w:hAnsi="Arial Narrow"/>
                <w:snapToGrid/>
                <w:sz w:val="20"/>
                <w:szCs w:val="20"/>
                <w:lang w:val="en-US" w:eastAsia="en-AU" w:bidi="en-US"/>
              </w:rPr>
              <w:t>Efficacy population: 728</w:t>
            </w:r>
            <w:r w:rsidR="00786934" w:rsidRPr="005F47F8">
              <w:rPr>
                <w:rFonts w:ascii="Arial Narrow" w:eastAsiaTheme="majorEastAsia" w:hAnsi="Arial Narrow"/>
                <w:snapToGrid/>
                <w:sz w:val="20"/>
                <w:szCs w:val="20"/>
                <w:lang w:val="en-US" w:eastAsia="en-AU" w:bidi="en-US"/>
              </w:rPr>
              <w:t xml:space="preserve"> </w:t>
            </w:r>
            <w:r w:rsidR="00786934" w:rsidRPr="005F47F8">
              <w:rPr>
                <w:rFonts w:ascii="Arial Narrow" w:eastAsiaTheme="majorEastAsia" w:hAnsi="Arial Narrow"/>
                <w:snapToGrid/>
                <w:sz w:val="20"/>
                <w:szCs w:val="20"/>
                <w:vertAlign w:val="superscript"/>
                <w:lang w:val="en-US" w:eastAsia="en-AU" w:bidi="en-US"/>
              </w:rPr>
              <w:t>a</w:t>
            </w:r>
          </w:p>
        </w:tc>
        <w:tc>
          <w:tcPr>
            <w:tcW w:w="606"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R, DB, MC 56 weeks</w:t>
            </w:r>
          </w:p>
        </w:tc>
        <w:tc>
          <w:tcPr>
            <w:tcW w:w="421"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Low</w:t>
            </w:r>
          </w:p>
        </w:tc>
        <w:tc>
          <w:tcPr>
            <w:tcW w:w="1661"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Total trial: Severe uncontrolled asthma</w:t>
            </w:r>
          </w:p>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Efficacy population: EOS ≥ 300 + high-dose ICS</w:t>
            </w:r>
          </w:p>
        </w:tc>
        <w:tc>
          <w:tcPr>
            <w:tcW w:w="873"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Annual asthma exacerbation rate, ACQ</w:t>
            </w:r>
          </w:p>
        </w:tc>
      </w:tr>
      <w:tr w:rsidR="008119AC" w:rsidRPr="005F47F8" w:rsidTr="000C187A">
        <w:tc>
          <w:tcPr>
            <w:tcW w:w="524"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left"/>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SIROCCO</w:t>
            </w:r>
          </w:p>
        </w:tc>
        <w:tc>
          <w:tcPr>
            <w:tcW w:w="915"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Total trial: 1,205</w:t>
            </w:r>
          </w:p>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vertAlign w:val="superscript"/>
                <w:lang w:val="en-US" w:eastAsia="en-AU" w:bidi="en-US"/>
              </w:rPr>
            </w:pPr>
            <w:r w:rsidRPr="005F47F8">
              <w:rPr>
                <w:rFonts w:ascii="Arial Narrow" w:eastAsiaTheme="majorEastAsia" w:hAnsi="Arial Narrow"/>
                <w:snapToGrid/>
                <w:sz w:val="20"/>
                <w:szCs w:val="20"/>
                <w:lang w:val="en-US" w:eastAsia="en-AU" w:bidi="en-US"/>
              </w:rPr>
              <w:t>Efficacy population: 809</w:t>
            </w:r>
            <w:r w:rsidR="00786934" w:rsidRPr="005F47F8">
              <w:rPr>
                <w:rFonts w:ascii="Arial Narrow" w:eastAsiaTheme="majorEastAsia" w:hAnsi="Arial Narrow"/>
                <w:snapToGrid/>
                <w:sz w:val="20"/>
                <w:szCs w:val="20"/>
                <w:lang w:val="en-US" w:eastAsia="en-AU" w:bidi="en-US"/>
              </w:rPr>
              <w:t xml:space="preserve"> </w:t>
            </w:r>
            <w:r w:rsidR="00786934" w:rsidRPr="005F47F8">
              <w:rPr>
                <w:rFonts w:ascii="Arial Narrow" w:eastAsiaTheme="majorEastAsia" w:hAnsi="Arial Narrow"/>
                <w:snapToGrid/>
                <w:sz w:val="20"/>
                <w:szCs w:val="20"/>
                <w:vertAlign w:val="superscript"/>
                <w:lang w:val="en-US" w:eastAsia="en-AU" w:bidi="en-US"/>
              </w:rPr>
              <w:t>a</w:t>
            </w:r>
          </w:p>
        </w:tc>
        <w:tc>
          <w:tcPr>
            <w:tcW w:w="606"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R, DB, MC 48 weeks</w:t>
            </w:r>
          </w:p>
        </w:tc>
        <w:tc>
          <w:tcPr>
            <w:tcW w:w="421"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Low</w:t>
            </w:r>
          </w:p>
        </w:tc>
        <w:tc>
          <w:tcPr>
            <w:tcW w:w="1661"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Total trial: Severe uncontrolled asthma, on high-dose ICS</w:t>
            </w:r>
          </w:p>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Efficacy population: EOS ≥ 300</w:t>
            </w:r>
          </w:p>
        </w:tc>
        <w:tc>
          <w:tcPr>
            <w:tcW w:w="873"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Annual asthma exacerbation rate, ACQ</w:t>
            </w:r>
          </w:p>
        </w:tc>
      </w:tr>
      <w:tr w:rsidR="008119AC" w:rsidRPr="005F47F8" w:rsidTr="002A2711">
        <w:tc>
          <w:tcPr>
            <w:tcW w:w="5000" w:type="pct"/>
            <w:gridSpan w:val="6"/>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left"/>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 xml:space="preserve">Mepolizumab </w:t>
            </w:r>
            <w:r w:rsidR="00C03D97" w:rsidRPr="005F47F8">
              <w:rPr>
                <w:rFonts w:ascii="Arial Narrow" w:eastAsiaTheme="majorEastAsia" w:hAnsi="Arial Narrow"/>
                <w:b/>
                <w:snapToGrid/>
                <w:sz w:val="20"/>
                <w:szCs w:val="20"/>
                <w:lang w:val="en-US" w:eastAsia="en-AU" w:bidi="en-US"/>
              </w:rPr>
              <w:t xml:space="preserve">versus </w:t>
            </w:r>
            <w:r w:rsidR="00C03D97" w:rsidRPr="005F47F8">
              <w:rPr>
                <w:rFonts w:ascii="Arial Narrow" w:eastAsiaTheme="majorEastAsia" w:hAnsi="Arial Narrow"/>
                <w:b/>
                <w:snapToGrid/>
                <w:sz w:val="20"/>
                <w:szCs w:val="20"/>
                <w:lang w:bidi="en-US"/>
              </w:rPr>
              <w:t>standard of care/placebo</w:t>
            </w:r>
          </w:p>
        </w:tc>
      </w:tr>
      <w:tr w:rsidR="008119AC" w:rsidRPr="005F47F8" w:rsidTr="000C187A">
        <w:tc>
          <w:tcPr>
            <w:tcW w:w="524"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left"/>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MENSA</w:t>
            </w:r>
          </w:p>
        </w:tc>
        <w:tc>
          <w:tcPr>
            <w:tcW w:w="915"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vertAlign w:val="superscript"/>
                <w:lang w:val="en-US" w:eastAsia="en-AU" w:bidi="en-US"/>
              </w:rPr>
            </w:pPr>
            <w:r w:rsidRPr="005F47F8">
              <w:rPr>
                <w:rFonts w:ascii="Arial Narrow" w:eastAsiaTheme="majorEastAsia" w:hAnsi="Arial Narrow"/>
                <w:snapToGrid/>
                <w:sz w:val="20"/>
                <w:szCs w:val="20"/>
                <w:lang w:val="en-US" w:eastAsia="en-AU" w:bidi="en-US"/>
              </w:rPr>
              <w:t>576</w:t>
            </w:r>
            <w:r w:rsidR="00786934" w:rsidRPr="005F47F8">
              <w:rPr>
                <w:rFonts w:ascii="Arial Narrow" w:eastAsiaTheme="majorEastAsia" w:hAnsi="Arial Narrow"/>
                <w:snapToGrid/>
                <w:sz w:val="20"/>
                <w:szCs w:val="20"/>
                <w:lang w:val="en-US" w:eastAsia="en-AU" w:bidi="en-US"/>
              </w:rPr>
              <w:t xml:space="preserve"> </w:t>
            </w:r>
            <w:r w:rsidR="00786934" w:rsidRPr="005F47F8">
              <w:rPr>
                <w:rFonts w:ascii="Arial Narrow" w:eastAsiaTheme="majorEastAsia" w:hAnsi="Arial Narrow"/>
                <w:snapToGrid/>
                <w:sz w:val="20"/>
                <w:szCs w:val="20"/>
                <w:vertAlign w:val="superscript"/>
                <w:lang w:val="en-US" w:eastAsia="en-AU" w:bidi="en-US"/>
              </w:rPr>
              <w:t>a</w:t>
            </w:r>
          </w:p>
        </w:tc>
        <w:tc>
          <w:tcPr>
            <w:tcW w:w="606"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R, DB, MC 32 weeks</w:t>
            </w:r>
          </w:p>
        </w:tc>
        <w:tc>
          <w:tcPr>
            <w:tcW w:w="42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Low</w:t>
            </w:r>
          </w:p>
        </w:tc>
        <w:tc>
          <w:tcPr>
            <w:tcW w:w="166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Severe uncontrolled refractory asthma on high-dose ICS, EOS ≥ 300 in past year or ≥ 150 at screening</w:t>
            </w:r>
          </w:p>
        </w:tc>
        <w:tc>
          <w:tcPr>
            <w:tcW w:w="873"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Annual asthma exacerbation rate, ACQ</w:t>
            </w:r>
          </w:p>
        </w:tc>
      </w:tr>
      <w:tr w:rsidR="008119AC" w:rsidRPr="005F47F8" w:rsidTr="002A2711">
        <w:tc>
          <w:tcPr>
            <w:tcW w:w="5000" w:type="pct"/>
            <w:gridSpan w:val="6"/>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left"/>
              <w:rPr>
                <w:rFonts w:ascii="Arial Narrow" w:eastAsiaTheme="majorEastAsia" w:hAnsi="Arial Narrow"/>
                <w:b/>
                <w:snapToGrid/>
                <w:sz w:val="20"/>
                <w:szCs w:val="20"/>
                <w:lang w:val="en-US" w:eastAsia="en-AU" w:bidi="en-US"/>
              </w:rPr>
            </w:pPr>
            <w:r w:rsidRPr="005F47F8">
              <w:rPr>
                <w:rFonts w:ascii="Arial Narrow" w:eastAsiaTheme="majorEastAsia" w:hAnsi="Arial Narrow"/>
                <w:b/>
                <w:snapToGrid/>
                <w:sz w:val="20"/>
                <w:szCs w:val="20"/>
                <w:lang w:val="en-US" w:eastAsia="en-AU" w:bidi="en-US"/>
              </w:rPr>
              <w:t xml:space="preserve">Omalizumab </w:t>
            </w:r>
            <w:r w:rsidR="00C03D97" w:rsidRPr="005F47F8">
              <w:rPr>
                <w:rFonts w:ascii="Arial Narrow" w:eastAsiaTheme="majorEastAsia" w:hAnsi="Arial Narrow"/>
                <w:b/>
                <w:snapToGrid/>
                <w:sz w:val="20"/>
                <w:szCs w:val="20"/>
                <w:lang w:val="en-US" w:eastAsia="en-AU" w:bidi="en-US"/>
              </w:rPr>
              <w:t xml:space="preserve">versus </w:t>
            </w:r>
            <w:r w:rsidR="00C03D97" w:rsidRPr="005F47F8">
              <w:rPr>
                <w:rFonts w:ascii="Arial Narrow" w:eastAsiaTheme="majorEastAsia" w:hAnsi="Arial Narrow"/>
                <w:b/>
                <w:snapToGrid/>
                <w:sz w:val="20"/>
                <w:szCs w:val="20"/>
                <w:lang w:bidi="en-US"/>
              </w:rPr>
              <w:t>standard of care/placebo</w:t>
            </w:r>
          </w:p>
        </w:tc>
      </w:tr>
      <w:tr w:rsidR="008119AC" w:rsidRPr="005F47F8" w:rsidTr="000C187A">
        <w:trPr>
          <w:tblHeader/>
        </w:trPr>
        <w:tc>
          <w:tcPr>
            <w:tcW w:w="524"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left"/>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INNOVATE</w:t>
            </w:r>
          </w:p>
        </w:tc>
        <w:tc>
          <w:tcPr>
            <w:tcW w:w="915"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vertAlign w:val="superscript"/>
                <w:lang w:val="en-US" w:eastAsia="en-AU" w:bidi="en-US"/>
              </w:rPr>
            </w:pPr>
            <w:r w:rsidRPr="005F47F8">
              <w:rPr>
                <w:rFonts w:ascii="Arial Narrow" w:eastAsiaTheme="majorEastAsia" w:hAnsi="Arial Narrow"/>
                <w:snapToGrid/>
                <w:sz w:val="20"/>
                <w:szCs w:val="20"/>
                <w:lang w:val="en-US" w:eastAsia="en-AU" w:bidi="en-US"/>
              </w:rPr>
              <w:t>4</w:t>
            </w:r>
            <w:r w:rsidR="00821A46" w:rsidRPr="005F47F8">
              <w:rPr>
                <w:rFonts w:ascii="Arial Narrow" w:eastAsiaTheme="majorEastAsia" w:hAnsi="Arial Narrow"/>
                <w:snapToGrid/>
                <w:sz w:val="20"/>
                <w:szCs w:val="20"/>
                <w:lang w:val="en-US" w:eastAsia="en-AU" w:bidi="en-US"/>
              </w:rPr>
              <w:t xml:space="preserve">19 </w:t>
            </w:r>
            <w:r w:rsidR="00786934" w:rsidRPr="005F47F8">
              <w:rPr>
                <w:rFonts w:ascii="Arial Narrow" w:eastAsiaTheme="majorEastAsia" w:hAnsi="Arial Narrow"/>
                <w:snapToGrid/>
                <w:sz w:val="20"/>
                <w:szCs w:val="20"/>
                <w:vertAlign w:val="superscript"/>
                <w:lang w:val="en-US" w:eastAsia="en-AU" w:bidi="en-US"/>
              </w:rPr>
              <w:t>b</w:t>
            </w:r>
          </w:p>
        </w:tc>
        <w:tc>
          <w:tcPr>
            <w:tcW w:w="606"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R, DB, MC 28 weeks</w:t>
            </w:r>
          </w:p>
        </w:tc>
        <w:tc>
          <w:tcPr>
            <w:tcW w:w="42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vertAlign w:val="superscript"/>
                <w:lang w:val="en-US" w:eastAsia="en-AU" w:bidi="en-US"/>
              </w:rPr>
            </w:pPr>
            <w:r w:rsidRPr="005F47F8">
              <w:rPr>
                <w:rFonts w:ascii="Arial Narrow" w:eastAsiaTheme="majorEastAsia" w:hAnsi="Arial Narrow"/>
                <w:snapToGrid/>
                <w:sz w:val="20"/>
                <w:szCs w:val="20"/>
                <w:lang w:val="en-US" w:eastAsia="en-AU" w:bidi="en-US"/>
              </w:rPr>
              <w:t xml:space="preserve">Unclear </w:t>
            </w:r>
            <w:r w:rsidR="00786934" w:rsidRPr="005F47F8">
              <w:rPr>
                <w:rFonts w:ascii="Arial Narrow" w:eastAsiaTheme="majorEastAsia" w:hAnsi="Arial Narrow"/>
                <w:snapToGrid/>
                <w:sz w:val="20"/>
                <w:szCs w:val="20"/>
                <w:vertAlign w:val="superscript"/>
                <w:lang w:val="en-US" w:eastAsia="en-AU" w:bidi="en-US"/>
              </w:rPr>
              <w:t>c</w:t>
            </w:r>
          </w:p>
        </w:tc>
        <w:tc>
          <w:tcPr>
            <w:tcW w:w="166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Severe persistent allergic asthma</w:t>
            </w:r>
          </w:p>
        </w:tc>
        <w:tc>
          <w:tcPr>
            <w:tcW w:w="873"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Exacerbation rate per 28 weeks, ACQ</w:t>
            </w:r>
          </w:p>
        </w:tc>
      </w:tr>
      <w:tr w:rsidR="008119AC" w:rsidRPr="005F47F8" w:rsidTr="000C187A">
        <w:trPr>
          <w:tblHeader/>
        </w:trPr>
        <w:tc>
          <w:tcPr>
            <w:tcW w:w="524" w:type="pct"/>
            <w:tcBorders>
              <w:top w:val="single" w:sz="4" w:space="0" w:color="auto"/>
              <w:left w:val="single" w:sz="4" w:space="0" w:color="auto"/>
              <w:bottom w:val="single" w:sz="4" w:space="0" w:color="auto"/>
              <w:right w:val="single" w:sz="4" w:space="0" w:color="auto"/>
            </w:tcBorders>
            <w:vAlign w:val="center"/>
            <w:hideMark/>
          </w:tcPr>
          <w:p w:rsidR="008119AC" w:rsidRPr="005F47F8" w:rsidRDefault="008119AC" w:rsidP="00AB5844">
            <w:pPr>
              <w:keepNext/>
              <w:widowControl/>
              <w:spacing w:before="20" w:after="20" w:line="276" w:lineRule="auto"/>
              <w:jc w:val="left"/>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EXTRA</w:t>
            </w:r>
          </w:p>
        </w:tc>
        <w:tc>
          <w:tcPr>
            <w:tcW w:w="915"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8</w:t>
            </w:r>
            <w:r w:rsidR="003502F1" w:rsidRPr="005F47F8">
              <w:rPr>
                <w:rFonts w:ascii="Arial Narrow" w:eastAsiaTheme="majorEastAsia" w:hAnsi="Arial Narrow"/>
                <w:snapToGrid/>
                <w:sz w:val="20"/>
                <w:szCs w:val="20"/>
                <w:lang w:val="en-US" w:eastAsia="en-AU" w:bidi="en-US"/>
              </w:rPr>
              <w:t>48</w:t>
            </w:r>
          </w:p>
        </w:tc>
        <w:tc>
          <w:tcPr>
            <w:tcW w:w="606"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R, DB, MC 48 weeks</w:t>
            </w:r>
          </w:p>
        </w:tc>
        <w:tc>
          <w:tcPr>
            <w:tcW w:w="42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Low</w:t>
            </w:r>
          </w:p>
        </w:tc>
        <w:tc>
          <w:tcPr>
            <w:tcW w:w="1661"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Severe uncontrolled allergic asthma</w:t>
            </w:r>
          </w:p>
        </w:tc>
        <w:tc>
          <w:tcPr>
            <w:tcW w:w="873" w:type="pct"/>
            <w:tcBorders>
              <w:top w:val="single" w:sz="4" w:space="0" w:color="auto"/>
              <w:left w:val="single" w:sz="4" w:space="0" w:color="auto"/>
              <w:bottom w:val="single" w:sz="4" w:space="0" w:color="auto"/>
              <w:right w:val="single" w:sz="4" w:space="0" w:color="auto"/>
            </w:tcBorders>
            <w:hideMark/>
          </w:tcPr>
          <w:p w:rsidR="008119AC" w:rsidRPr="005F47F8" w:rsidRDefault="008119AC" w:rsidP="00AB5844">
            <w:pPr>
              <w:keepNext/>
              <w:widowControl/>
              <w:spacing w:before="20" w:after="20" w:line="276" w:lineRule="auto"/>
              <w:jc w:val="center"/>
              <w:rPr>
                <w:rFonts w:ascii="Arial Narrow" w:eastAsiaTheme="majorEastAsia" w:hAnsi="Arial Narrow"/>
                <w:snapToGrid/>
                <w:sz w:val="20"/>
                <w:szCs w:val="20"/>
                <w:lang w:val="en-US" w:eastAsia="en-AU" w:bidi="en-US"/>
              </w:rPr>
            </w:pPr>
            <w:r w:rsidRPr="005F47F8">
              <w:rPr>
                <w:rFonts w:ascii="Arial Narrow" w:eastAsiaTheme="majorEastAsia" w:hAnsi="Arial Narrow"/>
                <w:snapToGrid/>
                <w:sz w:val="20"/>
                <w:szCs w:val="20"/>
                <w:lang w:val="en-US" w:eastAsia="en-AU" w:bidi="en-US"/>
              </w:rPr>
              <w:t>Exacerbation rate per 48 weeks, ACQ</w:t>
            </w:r>
          </w:p>
        </w:tc>
      </w:tr>
    </w:tbl>
    <w:p w:rsidR="008119AC" w:rsidRPr="005F47F8" w:rsidRDefault="008119AC" w:rsidP="00AB5844">
      <w:pPr>
        <w:keepNext/>
        <w:keepLines/>
        <w:spacing w:after="120"/>
        <w:contextualSpacing/>
        <w:rPr>
          <w:rFonts w:ascii="Arial Narrow" w:hAnsi="Arial Narrow"/>
          <w:sz w:val="18"/>
        </w:rPr>
      </w:pPr>
      <w:r w:rsidRPr="005F47F8">
        <w:rPr>
          <w:rFonts w:ascii="Arial Narrow" w:hAnsi="Arial Narrow"/>
          <w:sz w:val="18"/>
        </w:rPr>
        <w:t>Source: compiled during</w:t>
      </w:r>
      <w:r w:rsidR="00295AE2" w:rsidRPr="005F47F8">
        <w:rPr>
          <w:rFonts w:ascii="Arial Narrow" w:hAnsi="Arial Narrow"/>
          <w:sz w:val="18"/>
        </w:rPr>
        <w:t xml:space="preserve"> the </w:t>
      </w:r>
      <w:r w:rsidRPr="005F47F8">
        <w:rPr>
          <w:rFonts w:ascii="Arial Narrow" w:hAnsi="Arial Narrow"/>
          <w:sz w:val="18"/>
        </w:rPr>
        <w:t>evaluation</w:t>
      </w:r>
    </w:p>
    <w:p w:rsidR="008119AC" w:rsidRPr="005F47F8" w:rsidRDefault="008119AC" w:rsidP="00AB5844">
      <w:pPr>
        <w:keepNext/>
        <w:keepLines/>
        <w:spacing w:after="120"/>
        <w:contextualSpacing/>
        <w:rPr>
          <w:rFonts w:ascii="Arial Narrow" w:hAnsi="Arial Narrow"/>
          <w:sz w:val="18"/>
        </w:rPr>
      </w:pPr>
      <w:r w:rsidRPr="005F47F8">
        <w:rPr>
          <w:rFonts w:ascii="Arial Narrow" w:hAnsi="Arial Narrow"/>
          <w:sz w:val="18"/>
        </w:rPr>
        <w:t>ACQ =</w:t>
      </w:r>
      <w:r w:rsidRPr="005F47F8">
        <w:t xml:space="preserve"> </w:t>
      </w:r>
      <w:r w:rsidRPr="005F47F8">
        <w:rPr>
          <w:rFonts w:ascii="Arial Narrow" w:hAnsi="Arial Narrow"/>
          <w:sz w:val="18"/>
        </w:rPr>
        <w:t xml:space="preserve">asthma control questionnaire; DB = double blind; EOS = eosinophil; ICS = inhaled corticosteroid; MC = multi-centre; </w:t>
      </w:r>
      <w:r w:rsidR="00786934" w:rsidRPr="005F47F8">
        <w:rPr>
          <w:rFonts w:ascii="Arial Narrow" w:hAnsi="Arial Narrow"/>
          <w:sz w:val="18"/>
        </w:rPr>
        <w:t xml:space="preserve">q4w = every four weeks; </w:t>
      </w:r>
      <w:r w:rsidRPr="005F47F8">
        <w:rPr>
          <w:rFonts w:ascii="Arial Narrow" w:hAnsi="Arial Narrow"/>
          <w:sz w:val="18"/>
        </w:rPr>
        <w:t>R = randomised</w:t>
      </w:r>
    </w:p>
    <w:p w:rsidR="00786934" w:rsidRPr="005F47F8" w:rsidRDefault="00786934" w:rsidP="00AB5844">
      <w:pPr>
        <w:keepNext/>
        <w:keepLines/>
        <w:spacing w:after="120"/>
        <w:contextualSpacing/>
        <w:rPr>
          <w:rFonts w:ascii="Arial Narrow" w:hAnsi="Arial Narrow"/>
          <w:sz w:val="18"/>
        </w:rPr>
      </w:pPr>
      <w:r w:rsidRPr="005F47F8">
        <w:rPr>
          <w:rFonts w:ascii="Arial Narrow" w:hAnsi="Arial Narrow"/>
          <w:sz w:val="18"/>
          <w:vertAlign w:val="superscript"/>
        </w:rPr>
        <w:t>a</w:t>
      </w:r>
      <w:r w:rsidRPr="005F47F8">
        <w:rPr>
          <w:rFonts w:ascii="Arial Narrow" w:hAnsi="Arial Narrow"/>
          <w:sz w:val="18"/>
        </w:rPr>
        <w:t xml:space="preserve"> Includes patients in all arms of the trial. For CALIMA and SIROCCO, this includes the q4w </w:t>
      </w:r>
      <w:r w:rsidR="00927943" w:rsidRPr="005F47F8">
        <w:rPr>
          <w:rFonts w:ascii="Arial Narrow" w:hAnsi="Arial Narrow"/>
          <w:sz w:val="18"/>
        </w:rPr>
        <w:t>arm</w:t>
      </w:r>
      <w:r w:rsidRPr="005F47F8">
        <w:rPr>
          <w:rFonts w:ascii="Arial Narrow" w:hAnsi="Arial Narrow"/>
          <w:sz w:val="18"/>
        </w:rPr>
        <w:t xml:space="preserve">. For MENSA, this includes the 75mg intravenous </w:t>
      </w:r>
      <w:r w:rsidR="00927943" w:rsidRPr="005F47F8">
        <w:rPr>
          <w:rFonts w:ascii="Arial Narrow" w:hAnsi="Arial Narrow"/>
          <w:sz w:val="18"/>
        </w:rPr>
        <w:t>arm,</w:t>
      </w:r>
      <w:r w:rsidRPr="005F47F8">
        <w:rPr>
          <w:rFonts w:ascii="Arial Narrow" w:hAnsi="Arial Narrow"/>
          <w:sz w:val="18"/>
        </w:rPr>
        <w:t xml:space="preserve"> which is not registered in Australia (the N for patients in the relevant arms was 385). </w:t>
      </w:r>
    </w:p>
    <w:p w:rsidR="00F12FF2" w:rsidRPr="005F47F8" w:rsidRDefault="00786934" w:rsidP="00AB5844">
      <w:pPr>
        <w:keepNext/>
        <w:keepLines/>
        <w:spacing w:after="120"/>
        <w:contextualSpacing/>
        <w:rPr>
          <w:rFonts w:ascii="Arial Narrow" w:hAnsi="Arial Narrow"/>
          <w:sz w:val="18"/>
        </w:rPr>
      </w:pPr>
      <w:r w:rsidRPr="005F47F8">
        <w:rPr>
          <w:rFonts w:ascii="Arial Narrow" w:hAnsi="Arial Narrow"/>
          <w:sz w:val="18"/>
          <w:vertAlign w:val="superscript"/>
        </w:rPr>
        <w:t>b</w:t>
      </w:r>
      <w:r w:rsidR="00F12FF2" w:rsidRPr="005F47F8">
        <w:rPr>
          <w:rFonts w:ascii="Arial Narrow" w:hAnsi="Arial Narrow"/>
          <w:sz w:val="18"/>
        </w:rPr>
        <w:t xml:space="preserve"> INNOVATE enrolled 482 patients, but only 419 were included in the primary intention-to-treat population, which comprised patients randomised after a protocol amendment that adjusted for differences in pre-treatment exacerbation history.   </w:t>
      </w:r>
    </w:p>
    <w:p w:rsidR="00EF447B" w:rsidRPr="003E6ED7" w:rsidRDefault="00786934" w:rsidP="003E6ED7">
      <w:pPr>
        <w:keepNext/>
        <w:keepLines/>
        <w:spacing w:after="120"/>
        <w:contextualSpacing/>
        <w:rPr>
          <w:rFonts w:ascii="Arial Narrow" w:hAnsi="Arial Narrow"/>
          <w:snapToGrid/>
          <w:sz w:val="18"/>
          <w:lang w:val="en-GB"/>
        </w:rPr>
      </w:pPr>
      <w:r w:rsidRPr="005F47F8">
        <w:rPr>
          <w:rFonts w:ascii="Arial Narrow" w:hAnsi="Arial Narrow"/>
          <w:sz w:val="18"/>
          <w:vertAlign w:val="superscript"/>
        </w:rPr>
        <w:t>c</w:t>
      </w:r>
      <w:r w:rsidR="008119AC" w:rsidRPr="005F47F8">
        <w:rPr>
          <w:rFonts w:ascii="Arial Narrow" w:hAnsi="Arial Narrow"/>
          <w:sz w:val="18"/>
          <w:vertAlign w:val="superscript"/>
        </w:rPr>
        <w:t xml:space="preserve"> </w:t>
      </w:r>
      <w:r w:rsidR="008119AC" w:rsidRPr="005F47F8">
        <w:rPr>
          <w:rFonts w:ascii="Arial Narrow" w:hAnsi="Arial Narrow"/>
          <w:snapToGrid/>
          <w:sz w:val="18"/>
          <w:lang w:val="en-GB"/>
        </w:rPr>
        <w:t>INNOVATE was considered during evaluation to have an unclear risk of selection bias because the method of randomisation was not reported and primary outcome was adjusted post hoc to account for differences in pre-treatment exacerbation history.</w:t>
      </w:r>
    </w:p>
    <w:p w:rsidR="008D3390" w:rsidRPr="003E6ED7" w:rsidRDefault="008D3390" w:rsidP="003E6ED7">
      <w:pPr>
        <w:spacing w:before="240" w:after="120"/>
        <w:rPr>
          <w:u w:val="single"/>
        </w:rPr>
      </w:pPr>
      <w:r w:rsidRPr="003E6ED7">
        <w:rPr>
          <w:u w:val="single"/>
        </w:rPr>
        <w:t>Benralizumab trials (CALIMA and SIROCCO)</w:t>
      </w:r>
    </w:p>
    <w:p w:rsidR="008D3390" w:rsidRPr="005F47F8" w:rsidRDefault="00E10547" w:rsidP="00D70B99">
      <w:pPr>
        <w:widowControl/>
        <w:numPr>
          <w:ilvl w:val="1"/>
          <w:numId w:val="1"/>
        </w:numPr>
        <w:spacing w:after="120"/>
      </w:pPr>
      <w:r w:rsidRPr="005F47F8">
        <w:t xml:space="preserve">The two key benralizumab trials (CALIMA and SIROCCO) recruited patients with severe, uncontrolled asthma taking inhaled corticosteroids </w:t>
      </w:r>
      <w:r w:rsidR="00A84B35" w:rsidRPr="005F47F8">
        <w:t>plus long-acting beta</w:t>
      </w:r>
      <w:r w:rsidR="00A84B35" w:rsidRPr="005F47F8">
        <w:noBreakHyphen/>
      </w:r>
      <w:r w:rsidRPr="005F47F8">
        <w:t xml:space="preserve">agonists. </w:t>
      </w:r>
    </w:p>
    <w:p w:rsidR="008119AC" w:rsidRPr="005F47F8" w:rsidRDefault="008D3390" w:rsidP="00D70B99">
      <w:pPr>
        <w:widowControl/>
        <w:numPr>
          <w:ilvl w:val="1"/>
          <w:numId w:val="1"/>
        </w:numPr>
        <w:spacing w:after="120"/>
      </w:pPr>
      <w:r w:rsidRPr="005F47F8">
        <w:t xml:space="preserve">For </w:t>
      </w:r>
      <w:r w:rsidR="001E259B" w:rsidRPr="005F47F8">
        <w:t xml:space="preserve">both </w:t>
      </w:r>
      <w:r w:rsidRPr="005F47F8">
        <w:t>CALIMA and SIROCCO, t</w:t>
      </w:r>
      <w:r w:rsidR="008119AC" w:rsidRPr="005F47F8">
        <w:t>he submission focused on the “primary efficacy analysis population</w:t>
      </w:r>
      <w:r w:rsidRPr="005F47F8">
        <w:t>s</w:t>
      </w:r>
      <w:r w:rsidR="008119AC" w:rsidRPr="005F47F8">
        <w:t xml:space="preserve">”, which </w:t>
      </w:r>
      <w:r w:rsidRPr="005F47F8">
        <w:t xml:space="preserve">were </w:t>
      </w:r>
      <w:r w:rsidR="008119AC" w:rsidRPr="005F47F8">
        <w:t>the population</w:t>
      </w:r>
      <w:r w:rsidRPr="005F47F8">
        <w:t>s</w:t>
      </w:r>
      <w:r w:rsidR="008119AC" w:rsidRPr="005F47F8">
        <w:t xml:space="preserve"> for which the trials were powered. This comprised patients with baseline eosinophils 300 cells/μL or higher (both trials) and those taking high-dose inhaled corticosteroids (in CALIMA only, as all patients in SIROCCO were </w:t>
      </w:r>
      <w:r w:rsidR="00280C1A" w:rsidRPr="005F47F8">
        <w:t>taking</w:t>
      </w:r>
      <w:r w:rsidR="008119AC" w:rsidRPr="005F47F8">
        <w:t xml:space="preserve"> high-dose inhaled corticosteroids). The Clinical Study Reports pre</w:t>
      </w:r>
      <w:r w:rsidR="001F4096" w:rsidRPr="005F47F8">
        <w:noBreakHyphen/>
      </w:r>
      <w:r w:rsidR="008119AC" w:rsidRPr="005F47F8">
        <w:t xml:space="preserve">specified this as the primary analysis and this group </w:t>
      </w:r>
      <w:r w:rsidR="00C123B9" w:rsidRPr="005F47F8">
        <w:t xml:space="preserve">most </w:t>
      </w:r>
      <w:r w:rsidR="008119AC" w:rsidRPr="005F47F8">
        <w:t>closely reflected the proposed PBS population (which require</w:t>
      </w:r>
      <w:r w:rsidR="00C123B9" w:rsidRPr="005F47F8">
        <w:t>s</w:t>
      </w:r>
      <w:r w:rsidR="008119AC" w:rsidRPr="005F47F8">
        <w:t xml:space="preserve"> an eosinophil count 300 cells/μL or higher). Both trials recruited patients with eosinophil</w:t>
      </w:r>
      <w:r w:rsidR="00C123B9" w:rsidRPr="005F47F8">
        <w:t xml:space="preserve"> count</w:t>
      </w:r>
      <w:r w:rsidR="008119AC" w:rsidRPr="005F47F8">
        <w:t xml:space="preserve">s </w:t>
      </w:r>
      <w:r w:rsidR="00295AE2" w:rsidRPr="005F47F8">
        <w:t xml:space="preserve">higher </w:t>
      </w:r>
      <w:r w:rsidR="00C123B9" w:rsidRPr="005F47F8">
        <w:t>and</w:t>
      </w:r>
      <w:r w:rsidR="008119AC" w:rsidRPr="005F47F8">
        <w:t xml:space="preserve"> </w:t>
      </w:r>
      <w:r w:rsidR="00295AE2" w:rsidRPr="005F47F8">
        <w:t>lower than 300</w:t>
      </w:r>
      <w:r w:rsidR="00C123B9" w:rsidRPr="005F47F8">
        <w:t> </w:t>
      </w:r>
      <w:r w:rsidR="00295AE2" w:rsidRPr="005F47F8">
        <w:t>cells/μL</w:t>
      </w:r>
      <w:r w:rsidR="00C123B9" w:rsidRPr="005F47F8">
        <w:t>,</w:t>
      </w:r>
      <w:r w:rsidR="00295AE2" w:rsidRPr="005F47F8">
        <w:t xml:space="preserve"> </w:t>
      </w:r>
      <w:r w:rsidR="00C123B9" w:rsidRPr="005F47F8">
        <w:t xml:space="preserve">in </w:t>
      </w:r>
      <w:r w:rsidR="00295AE2" w:rsidRPr="005F47F8">
        <w:t xml:space="preserve">a </w:t>
      </w:r>
      <w:r w:rsidR="00E371EC" w:rsidRPr="005F47F8">
        <w:t>two</w:t>
      </w:r>
      <w:r w:rsidR="00295AE2" w:rsidRPr="005F47F8">
        <w:t xml:space="preserve"> to </w:t>
      </w:r>
      <w:r w:rsidR="00E371EC" w:rsidRPr="005F47F8">
        <w:t>one</w:t>
      </w:r>
      <w:r w:rsidR="00C123B9" w:rsidRPr="005F47F8">
        <w:t xml:space="preserve"> ratio</w:t>
      </w:r>
      <w:r w:rsidR="008119AC" w:rsidRPr="005F47F8">
        <w:t>. The group with eosinophil counts 300</w:t>
      </w:r>
      <w:r w:rsidR="008773AD" w:rsidRPr="005F47F8">
        <w:t> </w:t>
      </w:r>
      <w:r w:rsidR="008119AC" w:rsidRPr="005F47F8">
        <w:t>cells/μL or higher were considered more likely to respond, while patients below this threshold were also included “in order to help understand efficacy and safety in this group”. The Clinical Study Reports did not report the total trial results, but rather reported the two groups separately.</w:t>
      </w:r>
    </w:p>
    <w:p w:rsidR="001E259B" w:rsidRPr="005F47F8" w:rsidRDefault="001E259B" w:rsidP="00D70B99">
      <w:pPr>
        <w:widowControl/>
        <w:numPr>
          <w:ilvl w:val="1"/>
          <w:numId w:val="1"/>
        </w:numPr>
        <w:spacing w:after="120"/>
      </w:pPr>
      <w:r w:rsidRPr="005F47F8">
        <w:t>CALIMA and SIROCCO</w:t>
      </w:r>
      <w:r w:rsidR="008119AC" w:rsidRPr="005F47F8">
        <w:t xml:space="preserve"> had very similar designs, assessed the same interventions, were conducted over the same timeframe and measured the same outcomes. </w:t>
      </w:r>
      <w:r w:rsidR="00285E9C" w:rsidRPr="005F47F8">
        <w:t xml:space="preserve">Both trials also </w:t>
      </w:r>
      <w:r w:rsidR="001F4096" w:rsidRPr="005F47F8">
        <w:t>had</w:t>
      </w:r>
      <w:r w:rsidR="00285E9C" w:rsidRPr="005F47F8">
        <w:t xml:space="preserve"> the same inclusion criteria </w:t>
      </w:r>
      <w:r w:rsidR="001F4096" w:rsidRPr="005F47F8">
        <w:t>for</w:t>
      </w:r>
      <w:r w:rsidR="00E10547" w:rsidRPr="005F47F8">
        <w:t xml:space="preserve"> co-interventions other than inhaled corticosteroids</w:t>
      </w:r>
      <w:r w:rsidRPr="005F47F8">
        <w:t>:</w:t>
      </w:r>
      <w:r w:rsidR="009353D2" w:rsidRPr="005F47F8">
        <w:t xml:space="preserve"> </w:t>
      </w:r>
      <w:r w:rsidR="00285E9C" w:rsidRPr="005F47F8">
        <w:t xml:space="preserve">patients were required to be taking </w:t>
      </w:r>
      <w:r w:rsidR="00E10547" w:rsidRPr="005F47F8">
        <w:t>long-acting beta-agonists</w:t>
      </w:r>
      <w:r w:rsidR="00285E9C" w:rsidRPr="005F47F8">
        <w:t xml:space="preserve"> for at least 12 months (no minimum dose specified)</w:t>
      </w:r>
      <w:r w:rsidRPr="005F47F8">
        <w:t>;</w:t>
      </w:r>
      <w:r w:rsidR="00285E9C" w:rsidRPr="005F47F8">
        <w:t xml:space="preserve"> and additional controlle</w:t>
      </w:r>
      <w:r w:rsidRPr="005F47F8">
        <w:t>r</w:t>
      </w:r>
      <w:r w:rsidR="00285E9C" w:rsidRPr="005F47F8">
        <w:t xml:space="preserve"> medicines were permitted if these had been taken for more than 30 days prior to study entry (e.g. tiotropium or maintenance oral corticosteroids).</w:t>
      </w:r>
      <w:r w:rsidR="00E10547" w:rsidRPr="005F47F8">
        <w:t xml:space="preserve"> </w:t>
      </w:r>
    </w:p>
    <w:p w:rsidR="008119AC" w:rsidRPr="005F47F8" w:rsidRDefault="008119AC" w:rsidP="00AD10BE">
      <w:pPr>
        <w:widowControl/>
        <w:numPr>
          <w:ilvl w:val="1"/>
          <w:numId w:val="1"/>
        </w:numPr>
        <w:spacing w:after="120"/>
      </w:pPr>
      <w:r w:rsidRPr="005F47F8">
        <w:t xml:space="preserve">Key differences were that the trials: were conducted in different </w:t>
      </w:r>
      <w:r w:rsidR="003F1FEA" w:rsidRPr="005F47F8">
        <w:t>countries</w:t>
      </w:r>
      <w:r w:rsidR="00C123B9" w:rsidRPr="005F47F8">
        <w:t xml:space="preserve"> (</w:t>
      </w:r>
      <w:r w:rsidR="00280C1A" w:rsidRPr="005F47F8">
        <w:t>e.g. CALIMA included more patients from South and Central America than SIROCCO</w:t>
      </w:r>
      <w:r w:rsidR="00C123B9" w:rsidRPr="005F47F8">
        <w:t>)</w:t>
      </w:r>
      <w:r w:rsidRPr="005F47F8">
        <w:t xml:space="preserve">; and had different </w:t>
      </w:r>
      <w:r w:rsidR="007B376A" w:rsidRPr="005F47F8">
        <w:t>durations</w:t>
      </w:r>
      <w:r w:rsidRPr="005F47F8">
        <w:t xml:space="preserve"> (56 weeks versus 48 weeks). Further, while both trials originally recruited patients </w:t>
      </w:r>
      <w:r w:rsidR="00C123B9" w:rsidRPr="005F47F8">
        <w:t xml:space="preserve">taking </w:t>
      </w:r>
      <w:r w:rsidRPr="005F47F8">
        <w:t>high-dose inhaled corticosteroids (over 500</w:t>
      </w:r>
      <w:r w:rsidR="008773AD" w:rsidRPr="005F47F8">
        <w:t> </w:t>
      </w:r>
      <w:r w:rsidRPr="005F47F8">
        <w:t>µg per day fluticasone), a protocol amendment to CALIMA allow</w:t>
      </w:r>
      <w:r w:rsidR="00295AE2" w:rsidRPr="005F47F8">
        <w:t>ed</w:t>
      </w:r>
      <w:r w:rsidRPr="005F47F8">
        <w:t xml:space="preserve"> enrolment of patients </w:t>
      </w:r>
      <w:r w:rsidR="00C123B9" w:rsidRPr="005F47F8">
        <w:t xml:space="preserve">taking </w:t>
      </w:r>
      <w:r w:rsidRPr="005F47F8">
        <w:t>medium-dose inhaled corticosteroids (over 250 µg per day)</w:t>
      </w:r>
      <w:r w:rsidR="00C123B9" w:rsidRPr="005F47F8">
        <w:t>;</w:t>
      </w:r>
      <w:r w:rsidR="00295AE2" w:rsidRPr="005F47F8">
        <w:t xml:space="preserve"> </w:t>
      </w:r>
      <w:r w:rsidRPr="005F47F8">
        <w:t xml:space="preserve">these patients were not included in the primary efficacy population. </w:t>
      </w:r>
    </w:p>
    <w:p w:rsidR="008D3390" w:rsidRPr="005F47F8" w:rsidRDefault="00B5021C" w:rsidP="00D70B99">
      <w:pPr>
        <w:pStyle w:val="ListParagraph"/>
        <w:numPr>
          <w:ilvl w:val="1"/>
          <w:numId w:val="1"/>
        </w:numPr>
        <w:spacing w:after="120"/>
      </w:pPr>
      <w:r w:rsidRPr="005F47F8">
        <w:t xml:space="preserve">Between the two benralizumab trials, </w:t>
      </w:r>
      <w:r w:rsidR="009353D2" w:rsidRPr="005F47F8">
        <w:t>CALIMA</w:t>
      </w:r>
      <w:r w:rsidRPr="005F47F8">
        <w:t xml:space="preserve"> may have recruited patients with </w:t>
      </w:r>
      <w:r w:rsidR="009353D2" w:rsidRPr="005F47F8">
        <w:t>less</w:t>
      </w:r>
      <w:r w:rsidRPr="005F47F8">
        <w:t xml:space="preserve"> severe asthma than </w:t>
      </w:r>
      <w:r w:rsidR="009353D2" w:rsidRPr="005F47F8">
        <w:t xml:space="preserve">SIROCCO </w:t>
      </w:r>
      <w:r w:rsidRPr="005F47F8">
        <w:t xml:space="preserve">as indicated by </w:t>
      </w:r>
      <w:r w:rsidR="009353D2" w:rsidRPr="005F47F8">
        <w:t>fewer</w:t>
      </w:r>
      <w:r w:rsidRPr="005F47F8">
        <w:t xml:space="preserve"> patients on baseline oral corticosteroids (</w:t>
      </w:r>
      <w:r w:rsidR="009353D2" w:rsidRPr="005F47F8">
        <w:t>11%</w:t>
      </w:r>
      <w:r w:rsidRPr="005F47F8">
        <w:t xml:space="preserve"> versus 1</w:t>
      </w:r>
      <w:r w:rsidR="009353D2" w:rsidRPr="005F47F8">
        <w:t>7</w:t>
      </w:r>
      <w:r w:rsidRPr="005F47F8">
        <w:t xml:space="preserve">%, respectively) and </w:t>
      </w:r>
      <w:r w:rsidR="009353D2" w:rsidRPr="005F47F8">
        <w:t xml:space="preserve">fewer </w:t>
      </w:r>
      <w:r w:rsidRPr="005F47F8">
        <w:t>patients with prior exacerbations requiring hospitalisation (</w:t>
      </w:r>
      <w:r w:rsidR="009353D2" w:rsidRPr="005F47F8">
        <w:t xml:space="preserve">18% versus </w:t>
      </w:r>
      <w:r w:rsidRPr="005F47F8">
        <w:t>26%). Further</w:t>
      </w:r>
      <w:r w:rsidR="008773AD" w:rsidRPr="005F47F8">
        <w:t>,</w:t>
      </w:r>
      <w:r w:rsidRPr="005F47F8">
        <w:t xml:space="preserve"> </w:t>
      </w:r>
      <w:r w:rsidR="009353D2" w:rsidRPr="005F47F8">
        <w:t>CALIMA</w:t>
      </w:r>
      <w:r w:rsidRPr="005F47F8">
        <w:t xml:space="preserve"> recruited </w:t>
      </w:r>
      <w:r w:rsidR="009353D2" w:rsidRPr="005F47F8">
        <w:t xml:space="preserve">more </w:t>
      </w:r>
      <w:r w:rsidRPr="005F47F8">
        <w:t xml:space="preserve">patients from South and Central America than </w:t>
      </w:r>
      <w:r w:rsidR="009353D2" w:rsidRPr="005F47F8">
        <w:t>SIROCCO</w:t>
      </w:r>
      <w:r w:rsidRPr="005F47F8">
        <w:t xml:space="preserve"> (</w:t>
      </w:r>
      <w:r w:rsidR="009353D2" w:rsidRPr="005F47F8">
        <w:t xml:space="preserve">23% versus </w:t>
      </w:r>
      <w:r w:rsidRPr="005F47F8">
        <w:t xml:space="preserve">12%), which may have </w:t>
      </w:r>
      <w:r w:rsidR="00F277CD" w:rsidRPr="005F47F8">
        <w:t xml:space="preserve">affected access to background medications, though the direction of </w:t>
      </w:r>
      <w:r w:rsidR="00710CF6" w:rsidRPr="005F47F8">
        <w:t xml:space="preserve">this </w:t>
      </w:r>
      <w:r w:rsidR="00F277CD" w:rsidRPr="005F47F8">
        <w:t>bias was difficult to determine</w:t>
      </w:r>
      <w:r w:rsidRPr="005F47F8">
        <w:t xml:space="preserve">. </w:t>
      </w:r>
    </w:p>
    <w:p w:rsidR="008119AC" w:rsidRPr="005F47F8" w:rsidRDefault="008119AC" w:rsidP="00D70B99">
      <w:pPr>
        <w:widowControl/>
        <w:numPr>
          <w:ilvl w:val="1"/>
          <w:numId w:val="1"/>
        </w:numPr>
        <w:spacing w:after="120"/>
        <w:ind w:left="709"/>
      </w:pPr>
      <w:r w:rsidRPr="005F47F8">
        <w:t xml:space="preserve">Both trials had three arms: benralizumab every four weeks; benralizumab every four weeks for the first three doses then every eight weeks thereafter; and standard of care/placebo. </w:t>
      </w:r>
      <w:r w:rsidR="00191095" w:rsidRPr="005F47F8">
        <w:t>The submission used the results of the eight-weekly dosing</w:t>
      </w:r>
      <w:r w:rsidR="00610B09">
        <w:t xml:space="preserve"> regimen for the clinical claim,</w:t>
      </w:r>
      <w:r w:rsidR="00191095" w:rsidRPr="005F47F8">
        <w:t xml:space="preserve"> cost-minimisation analysis and financial estimates as this regimen was requested for PBS-listing. </w:t>
      </w:r>
      <w:r w:rsidR="00977D5D" w:rsidRPr="005F47F8">
        <w:t>While the eight-weekly dose is the only one requested and being considered by the TGA, t</w:t>
      </w:r>
      <w:r w:rsidR="001E259B" w:rsidRPr="005F47F8">
        <w:t>he results of the four</w:t>
      </w:r>
      <w:r w:rsidR="001E259B" w:rsidRPr="005F47F8">
        <w:noBreakHyphen/>
      </w:r>
      <w:r w:rsidRPr="005F47F8">
        <w:t>weekly dosing regimen are also presented.</w:t>
      </w:r>
    </w:p>
    <w:p w:rsidR="008D3390" w:rsidRPr="005F47F8" w:rsidRDefault="008D3390" w:rsidP="00D70B99">
      <w:pPr>
        <w:widowControl/>
        <w:spacing w:after="120"/>
        <w:ind w:left="-11"/>
        <w:rPr>
          <w:u w:val="single"/>
        </w:rPr>
      </w:pPr>
      <w:r w:rsidRPr="005F47F8">
        <w:rPr>
          <w:u w:val="single"/>
        </w:rPr>
        <w:t>Outcome used in the indirect comparison</w:t>
      </w:r>
    </w:p>
    <w:p w:rsidR="008119AC" w:rsidRPr="005F47F8" w:rsidRDefault="008119AC" w:rsidP="00D70B99">
      <w:pPr>
        <w:widowControl/>
        <w:numPr>
          <w:ilvl w:val="1"/>
          <w:numId w:val="1"/>
        </w:numPr>
        <w:spacing w:after="120"/>
      </w:pPr>
      <w:r w:rsidRPr="005F47F8">
        <w:t>The indirect comparison was based on the outcome of asthma exacerbations. In the benralizumab and mepolizumab trials, these were defined as exacerbations requiring: use of systemic corticosteroids for at least three days (or a single intra</w:t>
      </w:r>
      <w:r w:rsidR="008D3390" w:rsidRPr="005F47F8">
        <w:noBreakHyphen/>
      </w:r>
      <w:r w:rsidRPr="005F47F8">
        <w:t xml:space="preserve">muscular dose); </w:t>
      </w:r>
      <w:r w:rsidR="00F24CC3" w:rsidRPr="005F47F8">
        <w:t xml:space="preserve">an </w:t>
      </w:r>
      <w:r w:rsidRPr="005F47F8">
        <w:t xml:space="preserve">emergency department presentation; and/or hospital admission. </w:t>
      </w:r>
      <w:r w:rsidR="00C123B9" w:rsidRPr="005F47F8">
        <w:t>This</w:t>
      </w:r>
      <w:r w:rsidRPr="005F47F8">
        <w:t xml:space="preserve"> definition aligned with the outcome that the PBAC had previously </w:t>
      </w:r>
      <w:r w:rsidR="00C123B9" w:rsidRPr="005F47F8">
        <w:t xml:space="preserve">considered </w:t>
      </w:r>
      <w:r w:rsidRPr="005F47F8">
        <w:t>for “clinically significant exacerbations”</w:t>
      </w:r>
      <w:r w:rsidR="002319A0" w:rsidRPr="005F47F8">
        <w:t xml:space="preserve"> in its </w:t>
      </w:r>
      <w:r w:rsidRPr="005F47F8">
        <w:t>consideration of mepolizumab (March and July 2016).</w:t>
      </w:r>
      <w:r w:rsidR="002319A0" w:rsidRPr="005F47F8">
        <w:t xml:space="preserve"> </w:t>
      </w:r>
      <w:r w:rsidR="008D3390" w:rsidRPr="005F47F8">
        <w:t>T</w:t>
      </w:r>
      <w:r w:rsidR="002319A0" w:rsidRPr="005F47F8">
        <w:t xml:space="preserve">he </w:t>
      </w:r>
      <w:r w:rsidR="00EB7B20" w:rsidRPr="005F47F8">
        <w:t xml:space="preserve">definition of exacerbations in the </w:t>
      </w:r>
      <w:r w:rsidR="002319A0" w:rsidRPr="005F47F8">
        <w:t xml:space="preserve">omalizumab trials </w:t>
      </w:r>
      <w:r w:rsidR="00EB7B20" w:rsidRPr="005F47F8">
        <w:t>did not include emergency department or hospital admission</w:t>
      </w:r>
      <w:r w:rsidR="00F24CC3" w:rsidRPr="005F47F8">
        <w:t>s</w:t>
      </w:r>
      <w:r w:rsidR="008D3390" w:rsidRPr="005F47F8">
        <w:t>; however</w:t>
      </w:r>
      <w:r w:rsidR="00EB7B20" w:rsidRPr="005F47F8">
        <w:t>,</w:t>
      </w:r>
      <w:r w:rsidR="002319A0" w:rsidRPr="005F47F8">
        <w:t xml:space="preserve"> the </w:t>
      </w:r>
      <w:r w:rsidR="00126597" w:rsidRPr="005F47F8">
        <w:t>difference</w:t>
      </w:r>
      <w:r w:rsidR="002319A0" w:rsidRPr="005F47F8">
        <w:t xml:space="preserve"> would likely be minimal as </w:t>
      </w:r>
      <w:r w:rsidR="00F24CC3" w:rsidRPr="005F47F8">
        <w:t>this level of severity</w:t>
      </w:r>
      <w:r w:rsidR="002319A0" w:rsidRPr="005F47F8">
        <w:t xml:space="preserve"> would </w:t>
      </w:r>
      <w:r w:rsidR="00F24CC3" w:rsidRPr="005F47F8">
        <w:t xml:space="preserve">generally </w:t>
      </w:r>
      <w:r w:rsidR="002319A0" w:rsidRPr="005F47F8">
        <w:t xml:space="preserve">require systemic corticosteroids. </w:t>
      </w:r>
    </w:p>
    <w:p w:rsidR="00784868" w:rsidRPr="005F47F8" w:rsidRDefault="00D8127B" w:rsidP="00D70B99">
      <w:pPr>
        <w:widowControl/>
        <w:numPr>
          <w:ilvl w:val="1"/>
          <w:numId w:val="1"/>
        </w:numPr>
        <w:spacing w:after="120"/>
      </w:pPr>
      <w:r w:rsidRPr="005F47F8">
        <w:t xml:space="preserve">There were no precedents for non-inferiority margins for clinically significant asthma exacerbations in previous PBAC considerations. </w:t>
      </w:r>
      <w:r w:rsidR="00737D97" w:rsidRPr="005F47F8">
        <w:t>The</w:t>
      </w:r>
      <w:r w:rsidR="008119AC" w:rsidRPr="005F47F8">
        <w:t xml:space="preserve"> submission proposed a non-inferiority margin of 28% b</w:t>
      </w:r>
      <w:r w:rsidR="00126597" w:rsidRPr="005F47F8">
        <w:t>ased on</w:t>
      </w:r>
      <w:r w:rsidR="008119AC" w:rsidRPr="005F47F8">
        <w:t xml:space="preserve"> the EXTRA trial (omalizumab)</w:t>
      </w:r>
      <w:r w:rsidR="00126597" w:rsidRPr="005F47F8">
        <w:t>, which</w:t>
      </w:r>
      <w:r w:rsidR="008119AC" w:rsidRPr="005F47F8">
        <w:t xml:space="preserve"> was powered to detect a 28% reduction in exacerbation rates. The submission </w:t>
      </w:r>
      <w:r w:rsidR="00E83C07" w:rsidRPr="005F47F8">
        <w:t>considered that</w:t>
      </w:r>
      <w:r w:rsidR="008119AC" w:rsidRPr="005F47F8">
        <w:t xml:space="preserve"> this was more conservative (</w:t>
      </w:r>
      <w:r w:rsidRPr="005F47F8">
        <w:t>in terms of</w:t>
      </w:r>
      <w:r w:rsidR="008119AC" w:rsidRPr="005F47F8">
        <w:t xml:space="preserve"> demonstrating non-inferiority) than the benralizumab trials, which were powered to detect a 40% difference in exacerbation rates. </w:t>
      </w:r>
    </w:p>
    <w:p w:rsidR="00D70B99" w:rsidRDefault="00A31955" w:rsidP="00CF65A6">
      <w:pPr>
        <w:widowControl/>
        <w:numPr>
          <w:ilvl w:val="1"/>
          <w:numId w:val="1"/>
        </w:numPr>
        <w:spacing w:after="120"/>
      </w:pPr>
      <w:r w:rsidRPr="005F47F8">
        <w:t xml:space="preserve">The </w:t>
      </w:r>
      <w:r w:rsidR="00CF65A6">
        <w:t xml:space="preserve">evaluation considered that the </w:t>
      </w:r>
      <w:r w:rsidRPr="005F47F8">
        <w:t>non-inferiority margin chosen by the submission was poorly justified</w:t>
      </w:r>
      <w:r w:rsidR="00A54F31" w:rsidRPr="005F47F8">
        <w:t xml:space="preserve"> as it </w:t>
      </w:r>
      <w:r w:rsidR="00831DA2" w:rsidRPr="005F47F8">
        <w:t xml:space="preserve">did not include consideration of </w:t>
      </w:r>
      <w:r w:rsidR="008D3390" w:rsidRPr="005F47F8">
        <w:t>other statistical methods</w:t>
      </w:r>
      <w:r w:rsidR="00A54F31" w:rsidRPr="005F47F8">
        <w:t xml:space="preserve"> or</w:t>
      </w:r>
      <w:r w:rsidR="00DE1E12" w:rsidRPr="005F47F8">
        <w:t xml:space="preserve"> the</w:t>
      </w:r>
      <w:r w:rsidR="00A54F31" w:rsidRPr="005F47F8">
        <w:t xml:space="preserve"> clinical relevance</w:t>
      </w:r>
      <w:r w:rsidR="00DE1E12" w:rsidRPr="005F47F8">
        <w:t xml:space="preserve"> of this difference</w:t>
      </w:r>
      <w:r w:rsidR="00126597" w:rsidRPr="005F47F8">
        <w:t xml:space="preserve">. </w:t>
      </w:r>
      <w:r w:rsidR="00DE1E12" w:rsidRPr="005F47F8">
        <w:t>The PBAC Guidelines (Version </w:t>
      </w:r>
      <w:r w:rsidR="00831DA2" w:rsidRPr="005F47F8">
        <w:t>5.0) state that a submission should “justify the approach taken to establish the non</w:t>
      </w:r>
      <w:r w:rsidR="00B150C0" w:rsidRPr="005F47F8">
        <w:t>-</w:t>
      </w:r>
      <w:r w:rsidR="00831DA2" w:rsidRPr="005F47F8">
        <w:t xml:space="preserve">inferiority margin, noting that a statistical approach by itself is inadequate” (page 39). </w:t>
      </w:r>
      <w:r w:rsidR="00E83C07" w:rsidRPr="005F47F8">
        <w:t xml:space="preserve">The </w:t>
      </w:r>
      <w:r w:rsidR="00CF65A6" w:rsidRPr="00CF65A6">
        <w:t xml:space="preserve">evaluation considered that </w:t>
      </w:r>
      <w:r w:rsidR="00CF65A6">
        <w:t>it was unclear</w:t>
      </w:r>
      <w:r w:rsidR="00CC01A3">
        <w:t xml:space="preserve"> </w:t>
      </w:r>
      <w:r w:rsidR="00E83C07" w:rsidRPr="005F47F8">
        <w:t>whet</w:t>
      </w:r>
      <w:r w:rsidR="00343AB7" w:rsidRPr="005F47F8">
        <w:t>h</w:t>
      </w:r>
      <w:r w:rsidR="00E83C07" w:rsidRPr="005F47F8">
        <w:t xml:space="preserve">er </w:t>
      </w:r>
      <w:r w:rsidR="008119AC" w:rsidRPr="005F47F8">
        <w:t>a 28% difference in clinically significant exacerbations represent</w:t>
      </w:r>
      <w:r w:rsidR="00E83C07" w:rsidRPr="005F47F8">
        <w:t>s</w:t>
      </w:r>
      <w:r w:rsidR="008119AC" w:rsidRPr="005F47F8">
        <w:t xml:space="preserve"> the smallest clinically meaningful difference given the seriousness of exacerbations.</w:t>
      </w:r>
      <w:r w:rsidR="007004F1" w:rsidRPr="005F47F8">
        <w:t xml:space="preserve"> </w:t>
      </w:r>
    </w:p>
    <w:p w:rsidR="008119AC" w:rsidRPr="00170DDB" w:rsidRDefault="008119AC" w:rsidP="003E6ED7">
      <w:pPr>
        <w:pStyle w:val="Heading2"/>
      </w:pPr>
      <w:r w:rsidRPr="00170DDB">
        <w:t>Comparative effectiveness</w:t>
      </w:r>
    </w:p>
    <w:p w:rsidR="008119AC" w:rsidRPr="005F47F8" w:rsidRDefault="008119AC" w:rsidP="00D70B99">
      <w:pPr>
        <w:widowControl/>
        <w:numPr>
          <w:ilvl w:val="1"/>
          <w:numId w:val="1"/>
        </w:numPr>
        <w:spacing w:after="120"/>
        <w:rPr>
          <w:color w:val="3366FF"/>
        </w:rPr>
      </w:pPr>
      <w:r w:rsidRPr="005F47F8">
        <w:rPr>
          <w:rFonts w:cs="Calibri"/>
          <w:snapToGrid/>
          <w:szCs w:val="24"/>
          <w:lang w:val="en-US" w:eastAsia="en-AU"/>
        </w:rPr>
        <w:t xml:space="preserve">Table 4 presents the annual asthma exacerbation rates for benralizumab versus standard of care for the primary efficacy population (eosinophil count 300 cells/µL or higher and high-dose </w:t>
      </w:r>
      <w:r w:rsidRPr="005F47F8">
        <w:t>inhaled corticosteroids</w:t>
      </w:r>
      <w:r w:rsidRPr="005F47F8">
        <w:rPr>
          <w:rFonts w:cs="Calibri"/>
          <w:snapToGrid/>
          <w:szCs w:val="24"/>
          <w:lang w:val="en-US" w:eastAsia="en-AU"/>
        </w:rPr>
        <w:t xml:space="preserve">) </w:t>
      </w:r>
      <w:r w:rsidR="00CC1133" w:rsidRPr="005F47F8">
        <w:rPr>
          <w:rFonts w:cs="Calibri"/>
          <w:snapToGrid/>
          <w:szCs w:val="24"/>
          <w:lang w:val="en-US" w:eastAsia="en-AU"/>
        </w:rPr>
        <w:t xml:space="preserve">and the complement (patients </w:t>
      </w:r>
      <w:r w:rsidR="00D8127B" w:rsidRPr="005F47F8">
        <w:rPr>
          <w:rFonts w:cs="Calibri"/>
          <w:snapToGrid/>
          <w:szCs w:val="24"/>
          <w:lang w:val="en-US" w:eastAsia="en-AU"/>
        </w:rPr>
        <w:t xml:space="preserve">with </w:t>
      </w:r>
      <w:r w:rsidR="00F13C95" w:rsidRPr="005F47F8">
        <w:rPr>
          <w:rFonts w:cs="Calibri"/>
          <w:snapToGrid/>
          <w:szCs w:val="24"/>
          <w:lang w:val="en-US" w:eastAsia="en-AU"/>
        </w:rPr>
        <w:t>eosinophil count l</w:t>
      </w:r>
      <w:r w:rsidRPr="005F47F8">
        <w:rPr>
          <w:rFonts w:cs="Calibri"/>
          <w:snapToGrid/>
          <w:szCs w:val="24"/>
          <w:lang w:val="en-US" w:eastAsia="en-AU"/>
        </w:rPr>
        <w:t>ess than 300 cells/µL</w:t>
      </w:r>
      <w:r w:rsidR="00CC1133" w:rsidRPr="005F47F8">
        <w:rPr>
          <w:rFonts w:cs="Calibri"/>
          <w:snapToGrid/>
          <w:szCs w:val="24"/>
          <w:lang w:val="en-US" w:eastAsia="en-AU"/>
        </w:rPr>
        <w:t>)</w:t>
      </w:r>
      <w:r w:rsidRPr="005F47F8">
        <w:rPr>
          <w:rFonts w:cs="Calibri"/>
          <w:snapToGrid/>
          <w:szCs w:val="24"/>
          <w:lang w:val="en-US" w:eastAsia="en-AU"/>
        </w:rPr>
        <w:t xml:space="preserve">. </w:t>
      </w:r>
    </w:p>
    <w:p w:rsidR="008119AC" w:rsidRPr="005F47F8" w:rsidRDefault="008119AC" w:rsidP="00154F30">
      <w:pPr>
        <w:keepNext/>
        <w:keepLines/>
        <w:widowControl/>
        <w:rPr>
          <w:rFonts w:ascii="Arial Narrow" w:hAnsi="Arial Narrow"/>
          <w:b/>
          <w:sz w:val="20"/>
          <w:szCs w:val="16"/>
        </w:rPr>
      </w:pPr>
      <w:r w:rsidRPr="005F47F8">
        <w:rPr>
          <w:rFonts w:ascii="Arial Narrow" w:hAnsi="Arial Narrow"/>
          <w:b/>
          <w:sz w:val="20"/>
          <w:szCs w:val="16"/>
        </w:rPr>
        <w:t>Table 4: Results of “primary efficacy population” and complement results</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33"/>
        <w:gridCol w:w="617"/>
        <w:gridCol w:w="700"/>
        <w:gridCol w:w="659"/>
        <w:gridCol w:w="1522"/>
        <w:gridCol w:w="1519"/>
        <w:gridCol w:w="1476"/>
        <w:gridCol w:w="1660"/>
      </w:tblGrid>
      <w:tr w:rsidR="008119AC" w:rsidRPr="005F47F8" w:rsidTr="00AB5844">
        <w:trPr>
          <w:tblHeader/>
        </w:trPr>
        <w:tc>
          <w:tcPr>
            <w:tcW w:w="542" w:type="pct"/>
            <w:vMerge w:val="restart"/>
            <w:vAlign w:val="center"/>
          </w:tcPr>
          <w:p w:rsidR="008119AC" w:rsidRPr="005F47F8" w:rsidRDefault="008119AC" w:rsidP="00154F30">
            <w:pPr>
              <w:keepNext/>
              <w:keepLines/>
              <w:widowControl/>
              <w:spacing w:before="20" w:after="20" w:line="276" w:lineRule="auto"/>
              <w:jc w:val="left"/>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Trial ID</w:t>
            </w:r>
          </w:p>
        </w:tc>
        <w:tc>
          <w:tcPr>
            <w:tcW w:w="354" w:type="pct"/>
            <w:gridSpan w:val="2"/>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Dose</w:t>
            </w:r>
          </w:p>
        </w:tc>
        <w:tc>
          <w:tcPr>
            <w:tcW w:w="381" w:type="pct"/>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BEN</w:t>
            </w:r>
          </w:p>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n</w:t>
            </w:r>
          </w:p>
        </w:tc>
        <w:tc>
          <w:tcPr>
            <w:tcW w:w="359" w:type="pct"/>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SOCn</w:t>
            </w:r>
          </w:p>
        </w:tc>
        <w:tc>
          <w:tcPr>
            <w:tcW w:w="1656" w:type="pct"/>
            <w:gridSpan w:val="2"/>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Annual exacerbation rate (95% CI)</w:t>
            </w:r>
          </w:p>
        </w:tc>
        <w:tc>
          <w:tcPr>
            <w:tcW w:w="804" w:type="pct"/>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RR (95% CI)</w:t>
            </w:r>
          </w:p>
        </w:tc>
        <w:tc>
          <w:tcPr>
            <w:tcW w:w="904" w:type="pct"/>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RD (95% CI)</w:t>
            </w:r>
          </w:p>
        </w:tc>
      </w:tr>
      <w:tr w:rsidR="008119AC" w:rsidRPr="005F47F8" w:rsidTr="00AB5844">
        <w:trPr>
          <w:tblHeader/>
        </w:trPr>
        <w:tc>
          <w:tcPr>
            <w:tcW w:w="542" w:type="pct"/>
            <w:vMerge/>
          </w:tcPr>
          <w:p w:rsidR="008119AC" w:rsidRPr="005F47F8" w:rsidRDefault="008119AC" w:rsidP="00154F30">
            <w:pPr>
              <w:keepNext/>
              <w:keepLines/>
              <w:widowControl/>
              <w:spacing w:before="20" w:after="20" w:line="276" w:lineRule="auto"/>
              <w:jc w:val="left"/>
              <w:rPr>
                <w:rFonts w:ascii="Arial Narrow" w:eastAsiaTheme="majorEastAsia" w:hAnsi="Arial Narrow"/>
                <w:snapToGrid/>
                <w:sz w:val="20"/>
                <w:szCs w:val="20"/>
                <w:lang w:bidi="en-US"/>
              </w:rPr>
            </w:pPr>
          </w:p>
        </w:tc>
        <w:tc>
          <w:tcPr>
            <w:tcW w:w="354" w:type="pct"/>
            <w:gridSpan w:val="2"/>
            <w:vMerge/>
          </w:tcPr>
          <w:p w:rsidR="008119AC" w:rsidRPr="005F47F8" w:rsidRDefault="008119AC" w:rsidP="00154F30">
            <w:pPr>
              <w:keepNext/>
              <w:keepLines/>
              <w:widowControl/>
              <w:spacing w:before="20" w:after="20" w:line="276" w:lineRule="auto"/>
              <w:jc w:val="left"/>
              <w:rPr>
                <w:rFonts w:ascii="Arial Narrow" w:eastAsiaTheme="majorEastAsia" w:hAnsi="Arial Narrow"/>
                <w:snapToGrid/>
                <w:sz w:val="20"/>
                <w:szCs w:val="20"/>
                <w:lang w:bidi="en-US"/>
              </w:rPr>
            </w:pPr>
          </w:p>
        </w:tc>
        <w:tc>
          <w:tcPr>
            <w:tcW w:w="381" w:type="pct"/>
            <w:vMerge/>
          </w:tcPr>
          <w:p w:rsidR="008119AC" w:rsidRPr="005F47F8" w:rsidRDefault="008119AC" w:rsidP="00154F30">
            <w:pPr>
              <w:keepNext/>
              <w:keepLines/>
              <w:widowControl/>
              <w:spacing w:before="20" w:after="20" w:line="276" w:lineRule="auto"/>
              <w:jc w:val="left"/>
              <w:rPr>
                <w:rFonts w:ascii="Arial Narrow" w:eastAsiaTheme="majorEastAsia" w:hAnsi="Arial Narrow"/>
                <w:snapToGrid/>
                <w:sz w:val="20"/>
                <w:szCs w:val="20"/>
                <w:lang w:bidi="en-US"/>
              </w:rPr>
            </w:pPr>
          </w:p>
        </w:tc>
        <w:tc>
          <w:tcPr>
            <w:tcW w:w="359" w:type="pct"/>
            <w:vMerge/>
          </w:tcPr>
          <w:p w:rsidR="008119AC" w:rsidRPr="005F47F8" w:rsidRDefault="008119AC" w:rsidP="00154F30">
            <w:pPr>
              <w:keepNext/>
              <w:keepLines/>
              <w:widowControl/>
              <w:spacing w:before="20" w:after="20" w:line="276" w:lineRule="auto"/>
              <w:jc w:val="left"/>
              <w:rPr>
                <w:rFonts w:ascii="Arial Narrow" w:eastAsiaTheme="majorEastAsia" w:hAnsi="Arial Narrow"/>
                <w:snapToGrid/>
                <w:sz w:val="20"/>
                <w:szCs w:val="20"/>
                <w:lang w:bidi="en-US"/>
              </w:rPr>
            </w:pPr>
          </w:p>
        </w:tc>
        <w:tc>
          <w:tcPr>
            <w:tcW w:w="829" w:type="pct"/>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Benralizumab</w:t>
            </w:r>
          </w:p>
        </w:tc>
        <w:tc>
          <w:tcPr>
            <w:tcW w:w="827" w:type="pct"/>
          </w:tcPr>
          <w:p w:rsidR="008119AC" w:rsidRPr="005F47F8" w:rsidRDefault="008119AC" w:rsidP="00154F30">
            <w:pPr>
              <w:keepNext/>
              <w:keepLines/>
              <w:widowControl/>
              <w:spacing w:before="20" w:after="20" w:line="276" w:lineRule="auto"/>
              <w:jc w:val="center"/>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Standard of care</w:t>
            </w:r>
          </w:p>
        </w:tc>
        <w:tc>
          <w:tcPr>
            <w:tcW w:w="804" w:type="pct"/>
            <w:vMerge/>
          </w:tcPr>
          <w:p w:rsidR="008119AC" w:rsidRPr="005F47F8" w:rsidRDefault="008119AC" w:rsidP="00154F30">
            <w:pPr>
              <w:keepNext/>
              <w:keepLines/>
              <w:widowControl/>
              <w:spacing w:before="20" w:after="20" w:line="276" w:lineRule="auto"/>
              <w:jc w:val="left"/>
              <w:rPr>
                <w:rFonts w:ascii="Arial Narrow" w:eastAsiaTheme="majorEastAsia" w:hAnsi="Arial Narrow"/>
                <w:snapToGrid/>
                <w:sz w:val="20"/>
                <w:szCs w:val="20"/>
                <w:lang w:bidi="en-US"/>
              </w:rPr>
            </w:pPr>
          </w:p>
        </w:tc>
        <w:tc>
          <w:tcPr>
            <w:tcW w:w="904" w:type="pct"/>
            <w:vMerge/>
          </w:tcPr>
          <w:p w:rsidR="008119AC" w:rsidRPr="005F47F8" w:rsidRDefault="008119AC" w:rsidP="00154F30">
            <w:pPr>
              <w:keepNext/>
              <w:keepLines/>
              <w:widowControl/>
              <w:spacing w:before="20" w:after="20" w:line="276" w:lineRule="auto"/>
              <w:jc w:val="left"/>
              <w:rPr>
                <w:rFonts w:ascii="Arial Narrow" w:eastAsiaTheme="majorEastAsia" w:hAnsi="Arial Narrow"/>
                <w:snapToGrid/>
                <w:sz w:val="20"/>
                <w:szCs w:val="20"/>
                <w:lang w:bidi="en-US"/>
              </w:rPr>
            </w:pPr>
          </w:p>
        </w:tc>
      </w:tr>
      <w:tr w:rsidR="008119AC" w:rsidRPr="005F47F8" w:rsidTr="00AB5844">
        <w:trPr>
          <w:tblHeader/>
        </w:trPr>
        <w:tc>
          <w:tcPr>
            <w:tcW w:w="5000" w:type="pct"/>
            <w:gridSpan w:val="9"/>
          </w:tcPr>
          <w:p w:rsidR="008119AC" w:rsidRPr="005F47F8" w:rsidRDefault="008119AC" w:rsidP="00154F30">
            <w:pPr>
              <w:keepNext/>
              <w:keepLines/>
              <w:widowControl/>
              <w:spacing w:before="20" w:after="20" w:line="276" w:lineRule="auto"/>
              <w:jc w:val="left"/>
              <w:rPr>
                <w:rFonts w:ascii="Arial Narrow" w:eastAsiaTheme="majorEastAsia" w:hAnsi="Arial Narrow"/>
                <w:b/>
                <w:snapToGrid/>
                <w:sz w:val="20"/>
                <w:szCs w:val="20"/>
                <w:lang w:bidi="en-US"/>
              </w:rPr>
            </w:pPr>
            <w:r w:rsidRPr="005F47F8">
              <w:rPr>
                <w:rFonts w:ascii="Arial Narrow" w:eastAsiaTheme="majorEastAsia" w:hAnsi="Arial Narrow"/>
                <w:b/>
                <w:snapToGrid/>
                <w:sz w:val="20"/>
                <w:szCs w:val="20"/>
                <w:lang w:bidi="en-US"/>
              </w:rPr>
              <w:t>Primary efficacy population: EOS ≥ 300 cells/µL, high dose ICS (SIROCCO were all high dose ICS)</w:t>
            </w:r>
          </w:p>
        </w:tc>
      </w:tr>
      <w:tr w:rsidR="008119AC" w:rsidRPr="005F47F8" w:rsidTr="00AB5844">
        <w:tc>
          <w:tcPr>
            <w:tcW w:w="560" w:type="pct"/>
            <w:gridSpan w:val="2"/>
            <w:vMerge w:val="restart"/>
            <w:vAlign w:val="center"/>
          </w:tcPr>
          <w:p w:rsidR="008119AC" w:rsidRPr="005F47F8" w:rsidRDefault="008119AC" w:rsidP="00154F30">
            <w:pPr>
              <w:keepNext/>
              <w:keepLines/>
              <w:widowControl/>
              <w:spacing w:before="20" w:after="20" w:line="276" w:lineRule="auto"/>
              <w:jc w:val="left"/>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CALIMA</w:t>
            </w:r>
          </w:p>
        </w:tc>
        <w:tc>
          <w:tcPr>
            <w:tcW w:w="336"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q8w</w:t>
            </w:r>
          </w:p>
        </w:tc>
        <w:tc>
          <w:tcPr>
            <w:tcW w:w="381"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239</w:t>
            </w:r>
          </w:p>
        </w:tc>
        <w:tc>
          <w:tcPr>
            <w:tcW w:w="359" w:type="pct"/>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248</w:t>
            </w:r>
          </w:p>
        </w:tc>
        <w:tc>
          <w:tcPr>
            <w:tcW w:w="829"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0.66 (0.54, 0.82)</w:t>
            </w:r>
          </w:p>
        </w:tc>
        <w:tc>
          <w:tcPr>
            <w:tcW w:w="827" w:type="pct"/>
            <w:vMerge w:val="restar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0.93 (0.77, 1.12)</w:t>
            </w:r>
          </w:p>
        </w:tc>
        <w:tc>
          <w:tcPr>
            <w:tcW w:w="804"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0.72 (0.54, 0.95)</w:t>
            </w:r>
          </w:p>
        </w:tc>
        <w:tc>
          <w:tcPr>
            <w:tcW w:w="904"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-26% (-48%, 4%)</w:t>
            </w:r>
          </w:p>
        </w:tc>
      </w:tr>
      <w:tr w:rsidR="008119AC" w:rsidRPr="005F47F8" w:rsidTr="00AB5844">
        <w:tc>
          <w:tcPr>
            <w:tcW w:w="560" w:type="pct"/>
            <w:gridSpan w:val="2"/>
            <w:vMerge/>
            <w:vAlign w:val="center"/>
          </w:tcPr>
          <w:p w:rsidR="008119AC" w:rsidRPr="005F47F8" w:rsidDel="0076714C" w:rsidRDefault="008119AC" w:rsidP="00154F30">
            <w:pPr>
              <w:keepNext/>
              <w:keepLines/>
              <w:widowControl/>
              <w:spacing w:before="20" w:after="20" w:line="276" w:lineRule="auto"/>
              <w:jc w:val="left"/>
              <w:rPr>
                <w:rFonts w:ascii="Arial Narrow" w:eastAsiaTheme="majorEastAsia" w:hAnsi="Arial Narrow" w:cs="Times New Roman"/>
                <w:snapToGrid/>
                <w:sz w:val="20"/>
                <w:szCs w:val="20"/>
                <w:lang w:bidi="en-US"/>
              </w:rPr>
            </w:pPr>
          </w:p>
        </w:tc>
        <w:tc>
          <w:tcPr>
            <w:tcW w:w="336" w:type="pct"/>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q4w</w:t>
            </w:r>
          </w:p>
        </w:tc>
        <w:tc>
          <w:tcPr>
            <w:tcW w:w="381" w:type="pct"/>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241</w:t>
            </w:r>
          </w:p>
        </w:tc>
        <w:tc>
          <w:tcPr>
            <w:tcW w:w="359" w:type="pct"/>
            <w:vMerge/>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29"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0.60 (0.48, 0.74)</w:t>
            </w:r>
          </w:p>
        </w:tc>
        <w:tc>
          <w:tcPr>
            <w:tcW w:w="827" w:type="pct"/>
            <w:vMerge/>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04" w:type="pct"/>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0.64 (0.49, 0.85)</w:t>
            </w:r>
          </w:p>
        </w:tc>
        <w:tc>
          <w:tcPr>
            <w:tcW w:w="904" w:type="pct"/>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-33%</w:t>
            </w:r>
            <w:r w:rsidR="00AB5844" w:rsidRPr="005F47F8">
              <w:rPr>
                <w:rFonts w:ascii="Arial Narrow" w:eastAsiaTheme="majorEastAsia" w:hAnsi="Arial Narrow" w:cs="Times New Roman"/>
                <w:snapToGrid/>
                <w:sz w:val="20"/>
                <w:szCs w:val="20"/>
                <w:lang w:bidi="en-US"/>
              </w:rPr>
              <w:t xml:space="preserve"> </w:t>
            </w:r>
            <w:r w:rsidRPr="005F47F8">
              <w:rPr>
                <w:rFonts w:ascii="Arial Narrow" w:eastAsiaTheme="majorEastAsia" w:hAnsi="Arial Narrow" w:cs="Times New Roman"/>
                <w:snapToGrid/>
                <w:sz w:val="20"/>
                <w:szCs w:val="20"/>
                <w:lang w:bidi="en-US"/>
              </w:rPr>
              <w:t>(</w:t>
            </w:r>
            <w:r w:rsidR="002319A0" w:rsidRPr="005F47F8">
              <w:rPr>
                <w:rFonts w:ascii="Arial Narrow" w:eastAsiaTheme="majorEastAsia" w:hAnsi="Arial Narrow" w:cs="Times New Roman"/>
                <w:snapToGrid/>
                <w:sz w:val="20"/>
                <w:szCs w:val="20"/>
                <w:lang w:bidi="en-US"/>
              </w:rPr>
              <w:noBreakHyphen/>
            </w:r>
            <w:r w:rsidRPr="005F47F8">
              <w:rPr>
                <w:rFonts w:ascii="Arial Narrow" w:eastAsiaTheme="majorEastAsia" w:hAnsi="Arial Narrow" w:cs="Times New Roman"/>
                <w:snapToGrid/>
                <w:sz w:val="20"/>
                <w:szCs w:val="20"/>
                <w:lang w:bidi="en-US"/>
              </w:rPr>
              <w:t xml:space="preserve">54%, </w:t>
            </w:r>
            <w:r w:rsidR="00DD556A" w:rsidRPr="005F47F8">
              <w:rPr>
                <w:rFonts w:ascii="Arial Narrow" w:eastAsiaTheme="majorEastAsia" w:hAnsi="Arial Narrow" w:cs="Times New Roman"/>
                <w:snapToGrid/>
                <w:sz w:val="20"/>
                <w:szCs w:val="20"/>
                <w:lang w:bidi="en-US"/>
              </w:rPr>
              <w:noBreakHyphen/>
            </w:r>
            <w:r w:rsidRPr="005F47F8">
              <w:rPr>
                <w:rFonts w:ascii="Arial Narrow" w:eastAsiaTheme="majorEastAsia" w:hAnsi="Arial Narrow" w:cs="Times New Roman"/>
                <w:snapToGrid/>
                <w:sz w:val="20"/>
                <w:szCs w:val="20"/>
                <w:lang w:bidi="en-US"/>
              </w:rPr>
              <w:t>12%)</w:t>
            </w:r>
          </w:p>
        </w:tc>
      </w:tr>
      <w:tr w:rsidR="008119AC" w:rsidRPr="005F47F8" w:rsidTr="00AB5844">
        <w:tc>
          <w:tcPr>
            <w:tcW w:w="560" w:type="pct"/>
            <w:gridSpan w:val="2"/>
            <w:vMerge w:val="restart"/>
            <w:shd w:val="clear" w:color="auto" w:fill="auto"/>
            <w:vAlign w:val="center"/>
          </w:tcPr>
          <w:p w:rsidR="008119AC" w:rsidRPr="005F47F8" w:rsidRDefault="008119AC" w:rsidP="00154F30">
            <w:pPr>
              <w:keepNext/>
              <w:keepLines/>
              <w:widowControl/>
              <w:spacing w:before="20" w:after="20" w:line="276" w:lineRule="auto"/>
              <w:jc w:val="left"/>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SIROCCO</w:t>
            </w:r>
          </w:p>
        </w:tc>
        <w:tc>
          <w:tcPr>
            <w:tcW w:w="336"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q8w</w:t>
            </w:r>
          </w:p>
        </w:tc>
        <w:tc>
          <w:tcPr>
            <w:tcW w:w="381"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267</w:t>
            </w:r>
          </w:p>
        </w:tc>
        <w:tc>
          <w:tcPr>
            <w:tcW w:w="359" w:type="pct"/>
            <w:vMerge w:val="restar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267</w:t>
            </w:r>
          </w:p>
        </w:tc>
        <w:tc>
          <w:tcPr>
            <w:tcW w:w="829"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0.65 (0.53, 0.80)</w:t>
            </w:r>
          </w:p>
        </w:tc>
        <w:tc>
          <w:tcPr>
            <w:tcW w:w="827" w:type="pct"/>
            <w:vMerge w:val="restar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1.33 (1.12, 1.58)</w:t>
            </w:r>
          </w:p>
        </w:tc>
        <w:tc>
          <w:tcPr>
            <w:tcW w:w="8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0.49 (0.37, 0.64)</w:t>
            </w:r>
          </w:p>
        </w:tc>
        <w:tc>
          <w:tcPr>
            <w:tcW w:w="9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-68% (-0.95, -0.41)</w:t>
            </w:r>
          </w:p>
        </w:tc>
      </w:tr>
      <w:tr w:rsidR="008119AC" w:rsidRPr="005F47F8" w:rsidTr="00AB5844">
        <w:tc>
          <w:tcPr>
            <w:tcW w:w="560" w:type="pct"/>
            <w:gridSpan w:val="2"/>
            <w:vMerge/>
            <w:shd w:val="clear" w:color="auto" w:fill="auto"/>
            <w:vAlign w:val="center"/>
          </w:tcPr>
          <w:p w:rsidR="008119AC" w:rsidRPr="005F47F8" w:rsidDel="0076714C"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336"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q4w</w:t>
            </w:r>
          </w:p>
        </w:tc>
        <w:tc>
          <w:tcPr>
            <w:tcW w:w="381"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275</w:t>
            </w:r>
          </w:p>
        </w:tc>
        <w:tc>
          <w:tcPr>
            <w:tcW w:w="359" w:type="pct"/>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29"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0.73 (0.60, 0.89)</w:t>
            </w:r>
          </w:p>
        </w:tc>
        <w:tc>
          <w:tcPr>
            <w:tcW w:w="827" w:type="pct"/>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0.55 (0.42, 0.71)</w:t>
            </w:r>
          </w:p>
        </w:tc>
        <w:tc>
          <w:tcPr>
            <w:tcW w:w="9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-60% (-0.87, -0.33)</w:t>
            </w:r>
          </w:p>
        </w:tc>
      </w:tr>
      <w:tr w:rsidR="008119AC" w:rsidRPr="005F47F8" w:rsidTr="00AB5844">
        <w:tc>
          <w:tcPr>
            <w:tcW w:w="5000" w:type="pct"/>
            <w:gridSpan w:val="9"/>
          </w:tcPr>
          <w:p w:rsidR="008119AC" w:rsidRPr="005F47F8" w:rsidRDefault="008119AC" w:rsidP="00154F30">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5F47F8">
              <w:rPr>
                <w:rFonts w:ascii="Arial Narrow" w:eastAsiaTheme="majorEastAsia" w:hAnsi="Arial Narrow" w:cs="Times New Roman"/>
                <w:b/>
                <w:snapToGrid/>
                <w:sz w:val="20"/>
                <w:szCs w:val="20"/>
                <w:lang w:bidi="en-US"/>
              </w:rPr>
              <w:t xml:space="preserve">Complement: EOS &lt; 300 cells/µL, high dose ICS </w:t>
            </w:r>
            <w:r w:rsidRPr="005F47F8">
              <w:rPr>
                <w:rFonts w:ascii="Arial Narrow" w:eastAsiaTheme="majorEastAsia" w:hAnsi="Arial Narrow" w:cs="Times New Roman"/>
                <w:b/>
                <w:snapToGrid/>
                <w:sz w:val="20"/>
                <w:szCs w:val="20"/>
                <w:vertAlign w:val="superscript"/>
                <w:lang w:bidi="en-US"/>
              </w:rPr>
              <w:t>a</w:t>
            </w:r>
            <w:r w:rsidRPr="005F47F8">
              <w:rPr>
                <w:rFonts w:ascii="Arial Narrow" w:eastAsiaTheme="majorEastAsia" w:hAnsi="Arial Narrow" w:cs="Times New Roman"/>
                <w:b/>
                <w:snapToGrid/>
                <w:sz w:val="20"/>
                <w:szCs w:val="20"/>
                <w:lang w:bidi="en-US"/>
              </w:rPr>
              <w:t xml:space="preserve"> </w:t>
            </w:r>
          </w:p>
        </w:tc>
      </w:tr>
      <w:tr w:rsidR="008119AC" w:rsidRPr="005F47F8" w:rsidTr="00AB5844">
        <w:trPr>
          <w:trHeight w:val="208"/>
        </w:trPr>
        <w:tc>
          <w:tcPr>
            <w:tcW w:w="560" w:type="pct"/>
            <w:gridSpan w:val="2"/>
            <w:vMerge w:val="restart"/>
            <w:shd w:val="clear" w:color="auto" w:fill="auto"/>
            <w:vAlign w:val="center"/>
          </w:tcPr>
          <w:p w:rsidR="008119AC" w:rsidRPr="005F47F8" w:rsidRDefault="008119AC" w:rsidP="00154F30">
            <w:pPr>
              <w:keepNext/>
              <w:keepLines/>
              <w:widowControl/>
              <w:spacing w:before="20" w:after="20" w:line="276" w:lineRule="auto"/>
              <w:jc w:val="left"/>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CALIMA</w:t>
            </w:r>
          </w:p>
        </w:tc>
        <w:tc>
          <w:tcPr>
            <w:tcW w:w="336"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q8w</w:t>
            </w:r>
          </w:p>
        </w:tc>
        <w:tc>
          <w:tcPr>
            <w:tcW w:w="381"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125</w:t>
            </w:r>
          </w:p>
        </w:tc>
        <w:tc>
          <w:tcPr>
            <w:tcW w:w="359" w:type="pct"/>
            <w:vMerge w:val="restar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122</w:t>
            </w:r>
          </w:p>
        </w:tc>
        <w:tc>
          <w:tcPr>
            <w:tcW w:w="829"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0.73 (0.55, 0.95)</w:t>
            </w:r>
          </w:p>
        </w:tc>
        <w:tc>
          <w:tcPr>
            <w:tcW w:w="827" w:type="pct"/>
            <w:vMerge w:val="restar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1.21 (0.96, 1.52)</w:t>
            </w:r>
          </w:p>
        </w:tc>
        <w:tc>
          <w:tcPr>
            <w:tcW w:w="804"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0.60 (0.42, 0.86)</w:t>
            </w:r>
          </w:p>
        </w:tc>
        <w:tc>
          <w:tcPr>
            <w:tcW w:w="904"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-48% (-0.82, -0.14)</w:t>
            </w:r>
          </w:p>
        </w:tc>
      </w:tr>
      <w:tr w:rsidR="008119AC" w:rsidRPr="005F47F8" w:rsidTr="00AB5844">
        <w:trPr>
          <w:trHeight w:val="207"/>
        </w:trPr>
        <w:tc>
          <w:tcPr>
            <w:tcW w:w="560" w:type="pct"/>
            <w:gridSpan w:val="2"/>
            <w:vMerge/>
            <w:shd w:val="clear" w:color="auto" w:fill="auto"/>
            <w:vAlign w:val="center"/>
          </w:tcPr>
          <w:p w:rsidR="008119AC" w:rsidRPr="005F47F8" w:rsidRDefault="008119AC" w:rsidP="00154F30">
            <w:pPr>
              <w:keepNext/>
              <w:keepLines/>
              <w:widowControl/>
              <w:spacing w:before="20" w:after="20" w:line="276" w:lineRule="auto"/>
              <w:jc w:val="left"/>
              <w:rPr>
                <w:rFonts w:ascii="Arial Narrow" w:eastAsiaTheme="majorEastAsia" w:hAnsi="Arial Narrow" w:cs="Times New Roman"/>
                <w:snapToGrid/>
                <w:sz w:val="20"/>
                <w:szCs w:val="20"/>
                <w:lang w:bidi="en-US"/>
              </w:rPr>
            </w:pPr>
          </w:p>
        </w:tc>
        <w:tc>
          <w:tcPr>
            <w:tcW w:w="336"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q4w</w:t>
            </w:r>
          </w:p>
        </w:tc>
        <w:tc>
          <w:tcPr>
            <w:tcW w:w="381"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116</w:t>
            </w:r>
          </w:p>
        </w:tc>
        <w:tc>
          <w:tcPr>
            <w:tcW w:w="359" w:type="pct"/>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29"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0.78 (0.59, 1.02)</w:t>
            </w:r>
          </w:p>
        </w:tc>
        <w:tc>
          <w:tcPr>
            <w:tcW w:w="827" w:type="pct"/>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0.64 (0.45, 0.92)</w:t>
            </w:r>
          </w:p>
        </w:tc>
        <w:tc>
          <w:tcPr>
            <w:tcW w:w="9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-43% (-0.78, -0.08)</w:t>
            </w:r>
          </w:p>
        </w:tc>
      </w:tr>
      <w:tr w:rsidR="008119AC" w:rsidRPr="005F47F8" w:rsidTr="00AB5844">
        <w:trPr>
          <w:trHeight w:val="104"/>
        </w:trPr>
        <w:tc>
          <w:tcPr>
            <w:tcW w:w="560" w:type="pct"/>
            <w:gridSpan w:val="2"/>
            <w:vMerge w:val="restart"/>
            <w:shd w:val="clear" w:color="auto" w:fill="auto"/>
            <w:vAlign w:val="center"/>
          </w:tcPr>
          <w:p w:rsidR="008119AC" w:rsidRPr="005F47F8" w:rsidRDefault="008119AC" w:rsidP="00154F30">
            <w:pPr>
              <w:keepNext/>
              <w:keepLines/>
              <w:widowControl/>
              <w:spacing w:before="20" w:after="20" w:line="276" w:lineRule="auto"/>
              <w:jc w:val="left"/>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SIROCCO</w:t>
            </w:r>
          </w:p>
        </w:tc>
        <w:tc>
          <w:tcPr>
            <w:tcW w:w="336"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q8w</w:t>
            </w:r>
          </w:p>
        </w:tc>
        <w:tc>
          <w:tcPr>
            <w:tcW w:w="381"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131</w:t>
            </w:r>
          </w:p>
        </w:tc>
        <w:tc>
          <w:tcPr>
            <w:tcW w:w="359" w:type="pct"/>
            <w:vMerge w:val="restart"/>
            <w:shd w:val="clear" w:color="auto" w:fill="auto"/>
            <w:vAlign w:val="center"/>
          </w:tcPr>
          <w:p w:rsidR="008119AC" w:rsidRPr="005F47F8" w:rsidRDefault="008119AC" w:rsidP="00154F30">
            <w:pPr>
              <w:keepNext/>
              <w:keepLines/>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140</w:t>
            </w:r>
          </w:p>
        </w:tc>
        <w:tc>
          <w:tcPr>
            <w:tcW w:w="829"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1.00 (0.78, 1.28)</w:t>
            </w:r>
          </w:p>
        </w:tc>
        <w:tc>
          <w:tcPr>
            <w:tcW w:w="827" w:type="pct"/>
            <w:vMerge w:val="restar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1.21 (0.96, 1.52)</w:t>
            </w:r>
          </w:p>
        </w:tc>
        <w:tc>
          <w:tcPr>
            <w:tcW w:w="804"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0.83 (0.59, 1.16)</w:t>
            </w:r>
          </w:p>
        </w:tc>
        <w:tc>
          <w:tcPr>
            <w:tcW w:w="904"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-21% (-0.58, 0.16)</w:t>
            </w:r>
          </w:p>
        </w:tc>
      </w:tr>
      <w:tr w:rsidR="008119AC" w:rsidRPr="005F47F8" w:rsidTr="00AB5844">
        <w:trPr>
          <w:trHeight w:val="103"/>
        </w:trPr>
        <w:tc>
          <w:tcPr>
            <w:tcW w:w="560" w:type="pct"/>
            <w:gridSpan w:val="2"/>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snapToGrid/>
                <w:sz w:val="20"/>
                <w:szCs w:val="20"/>
                <w:highlight w:val="yellow"/>
                <w:lang w:bidi="en-US"/>
              </w:rPr>
            </w:pPr>
          </w:p>
        </w:tc>
        <w:tc>
          <w:tcPr>
            <w:tcW w:w="336" w:type="pct"/>
            <w:shd w:val="clear" w:color="auto" w:fill="auto"/>
            <w:vAlign w:val="center"/>
          </w:tcPr>
          <w:p w:rsidR="008119AC" w:rsidRPr="005F47F8" w:rsidRDefault="008119AC" w:rsidP="00154F30">
            <w:pPr>
              <w:keepNext/>
              <w:keepLines/>
              <w:widowControl/>
              <w:spacing w:before="20" w:after="20" w:line="276" w:lineRule="auto"/>
              <w:jc w:val="center"/>
              <w:rPr>
                <w:rFonts w:ascii="Times" w:eastAsiaTheme="majorEastAsia" w:hAnsi="Times" w:cs="Times New Roman"/>
                <w:snapToGrid/>
                <w:sz w:val="20"/>
                <w:szCs w:val="20"/>
                <w:lang w:bidi="en-US"/>
              </w:rPr>
            </w:pPr>
            <w:r w:rsidRPr="005F47F8">
              <w:rPr>
                <w:rFonts w:ascii="Arial Narrow" w:eastAsiaTheme="majorEastAsia" w:hAnsi="Arial Narrow" w:cs="Times New Roman"/>
                <w:snapToGrid/>
                <w:sz w:val="20"/>
                <w:szCs w:val="20"/>
                <w:lang w:bidi="en-US"/>
              </w:rPr>
              <w:t>q4w</w:t>
            </w:r>
          </w:p>
        </w:tc>
        <w:tc>
          <w:tcPr>
            <w:tcW w:w="381"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124</w:t>
            </w:r>
          </w:p>
        </w:tc>
        <w:tc>
          <w:tcPr>
            <w:tcW w:w="359" w:type="pct"/>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29"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0.85 (0.65, 1.11)</w:t>
            </w:r>
          </w:p>
        </w:tc>
        <w:tc>
          <w:tcPr>
            <w:tcW w:w="827" w:type="pct"/>
            <w:vMerge/>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p>
        </w:tc>
        <w:tc>
          <w:tcPr>
            <w:tcW w:w="8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0.70 (0.50, 1.00)</w:t>
            </w:r>
          </w:p>
        </w:tc>
        <w:tc>
          <w:tcPr>
            <w:tcW w:w="904" w:type="pct"/>
            <w:shd w:val="clear" w:color="auto" w:fill="auto"/>
            <w:vAlign w:val="center"/>
          </w:tcPr>
          <w:p w:rsidR="008119AC" w:rsidRPr="005F47F8" w:rsidRDefault="008119AC" w:rsidP="00154F30">
            <w:pPr>
              <w:keepNext/>
              <w:keepLines/>
              <w:widowControl/>
              <w:spacing w:before="20" w:after="20" w:line="276" w:lineRule="auto"/>
              <w:jc w:val="center"/>
              <w:rPr>
                <w:rFonts w:ascii="Arial Narrow" w:eastAsiaTheme="majorEastAsia" w:hAnsi="Arial Narrow" w:cs="Times New Roman"/>
                <w:snapToGrid/>
                <w:sz w:val="20"/>
                <w:szCs w:val="20"/>
                <w:lang w:bidi="en-US"/>
              </w:rPr>
            </w:pPr>
            <w:r w:rsidRPr="005F47F8">
              <w:rPr>
                <w:rFonts w:ascii="Arial Narrow" w:eastAsiaTheme="majorEastAsia" w:hAnsi="Arial Narrow" w:cs="Times New Roman"/>
                <w:snapToGrid/>
                <w:sz w:val="20"/>
                <w:szCs w:val="20"/>
                <w:lang w:bidi="en-US"/>
              </w:rPr>
              <w:t>-36% (-0.71, -0.00)</w:t>
            </w:r>
          </w:p>
        </w:tc>
      </w:tr>
    </w:tbl>
    <w:p w:rsidR="008119AC" w:rsidRPr="005F47F8" w:rsidRDefault="008119AC" w:rsidP="00154F30">
      <w:pPr>
        <w:keepNext/>
        <w:keepLines/>
        <w:spacing w:after="120"/>
        <w:contextualSpacing/>
        <w:rPr>
          <w:rFonts w:ascii="Arial Narrow" w:hAnsi="Arial Narrow"/>
          <w:sz w:val="20"/>
        </w:rPr>
      </w:pPr>
      <w:r w:rsidRPr="005F47F8">
        <w:rPr>
          <w:rFonts w:ascii="Arial Narrow" w:hAnsi="Arial Narrow"/>
          <w:sz w:val="18"/>
        </w:rPr>
        <w:t>Source: Table 2.15, pp74-75 of submission; CSR (CALIMA, SIROCCO)</w:t>
      </w:r>
    </w:p>
    <w:p w:rsidR="008119AC" w:rsidRPr="005F47F8" w:rsidRDefault="008119AC" w:rsidP="00154F30">
      <w:pPr>
        <w:keepNext/>
        <w:keepLines/>
        <w:spacing w:after="120"/>
        <w:contextualSpacing/>
        <w:rPr>
          <w:rFonts w:ascii="Arial Narrow" w:eastAsia="Calibri" w:hAnsi="Arial Narrow"/>
          <w:sz w:val="18"/>
        </w:rPr>
      </w:pPr>
      <w:r w:rsidRPr="005F47F8">
        <w:rPr>
          <w:rFonts w:ascii="Arial Narrow" w:eastAsia="Calibri" w:hAnsi="Arial Narrow"/>
          <w:sz w:val="18"/>
        </w:rPr>
        <w:t>BEN = benralizumab; CI = confidence interval; EOS = eosinophil; ICS = inhaled corticosteroid; q4w = every 4 weeks; q8w = every 8 weeks; RD = rate difference; RR = rate ratio; SOC = standard of care</w:t>
      </w:r>
    </w:p>
    <w:p w:rsidR="00EF447B" w:rsidRPr="005F47F8" w:rsidRDefault="008119AC" w:rsidP="003E6ED7">
      <w:pPr>
        <w:keepNext/>
        <w:keepLines/>
        <w:spacing w:before="120" w:after="120"/>
        <w:rPr>
          <w:rFonts w:ascii="Arial Narrow" w:eastAsia="Calibri" w:hAnsi="Arial Narrow"/>
          <w:sz w:val="18"/>
        </w:rPr>
      </w:pPr>
      <w:r w:rsidRPr="005F47F8">
        <w:rPr>
          <w:rFonts w:ascii="Arial Narrow" w:eastAsia="Calibri" w:hAnsi="Arial Narrow"/>
          <w:sz w:val="18"/>
          <w:vertAlign w:val="superscript"/>
        </w:rPr>
        <w:t>a</w:t>
      </w:r>
      <w:r w:rsidRPr="005F47F8">
        <w:rPr>
          <w:rFonts w:ascii="Arial Narrow" w:eastAsia="Calibri" w:hAnsi="Arial Narrow"/>
          <w:sz w:val="18"/>
        </w:rPr>
        <w:t xml:space="preserve"> Results were not available for “full complement” for CALIMA as results in the medium-dose ICS group were not available</w:t>
      </w:r>
      <w:r w:rsidR="004C1F44" w:rsidRPr="005F47F8">
        <w:rPr>
          <w:rFonts w:ascii="Arial Narrow" w:eastAsia="Calibri" w:hAnsi="Arial Narrow"/>
          <w:sz w:val="18"/>
        </w:rPr>
        <w:t xml:space="preserve">. Also note that the SOC exacerbation rate was identical in both trials for the complement. </w:t>
      </w:r>
    </w:p>
    <w:p w:rsidR="008119AC" w:rsidRPr="005F47F8" w:rsidRDefault="008119AC" w:rsidP="004B1160">
      <w:pPr>
        <w:widowControl/>
        <w:numPr>
          <w:ilvl w:val="1"/>
          <w:numId w:val="1"/>
        </w:numPr>
        <w:spacing w:after="120"/>
        <w:ind w:left="709"/>
        <w:rPr>
          <w:rFonts w:eastAsia="Calibri"/>
        </w:rPr>
      </w:pPr>
      <w:r w:rsidRPr="005F47F8">
        <w:rPr>
          <w:rFonts w:eastAsia="Calibri"/>
        </w:rPr>
        <w:t xml:space="preserve">In CALIMA and SIROCCO, benralizumab every eight weeks was associated with a reduction in the annual asthma exacerbation rate of 28% and 51%, respectively, versus standard of care in the primary efficacy population (rate ratio of 0.72 [95% </w:t>
      </w:r>
      <w:r w:rsidR="00F13C95" w:rsidRPr="005F47F8">
        <w:rPr>
          <w:rFonts w:eastAsia="Calibri"/>
        </w:rPr>
        <w:t>CI</w:t>
      </w:r>
      <w:r w:rsidRPr="005F47F8">
        <w:rPr>
          <w:rFonts w:eastAsia="Calibri"/>
        </w:rPr>
        <w:t xml:space="preserve">: 0.54, 0.95] and 0.49 [95% CI: 0.37, 0.64], respectively). The </w:t>
      </w:r>
      <w:r w:rsidR="00F13C95" w:rsidRPr="005F47F8">
        <w:rPr>
          <w:rFonts w:eastAsia="Calibri"/>
        </w:rPr>
        <w:t>four week</w:t>
      </w:r>
      <w:r w:rsidR="00DD556A" w:rsidRPr="005F47F8">
        <w:rPr>
          <w:rFonts w:eastAsia="Calibri"/>
        </w:rPr>
        <w:t>ly</w:t>
      </w:r>
      <w:r w:rsidRPr="005F47F8">
        <w:rPr>
          <w:rFonts w:eastAsia="Calibri"/>
        </w:rPr>
        <w:t xml:space="preserve"> regimen was associated with a greater reduction in exacerbations in CALIMA</w:t>
      </w:r>
      <w:r w:rsidR="00F13C95" w:rsidRPr="005F47F8">
        <w:rPr>
          <w:rFonts w:eastAsia="Calibri"/>
        </w:rPr>
        <w:t>, but not</w:t>
      </w:r>
      <w:r w:rsidRPr="005F47F8">
        <w:rPr>
          <w:rFonts w:eastAsia="Calibri"/>
        </w:rPr>
        <w:t xml:space="preserve"> SIROCCO.</w:t>
      </w:r>
    </w:p>
    <w:p w:rsidR="008119AC" w:rsidRPr="005F47F8" w:rsidRDefault="00E2336D" w:rsidP="004B1160">
      <w:pPr>
        <w:widowControl/>
        <w:numPr>
          <w:ilvl w:val="1"/>
          <w:numId w:val="1"/>
        </w:numPr>
        <w:spacing w:after="120"/>
        <w:ind w:left="709"/>
        <w:rPr>
          <w:rFonts w:eastAsia="Calibri"/>
        </w:rPr>
      </w:pPr>
      <w:r w:rsidRPr="005F47F8">
        <w:rPr>
          <w:rFonts w:eastAsia="Calibri"/>
        </w:rPr>
        <w:t>Whilst the trial</w:t>
      </w:r>
      <w:r w:rsidR="00215A0D" w:rsidRPr="005F47F8">
        <w:rPr>
          <w:rFonts w:eastAsia="Calibri"/>
        </w:rPr>
        <w:t>s</w:t>
      </w:r>
      <w:r w:rsidRPr="005F47F8">
        <w:rPr>
          <w:rFonts w:eastAsia="Calibri"/>
        </w:rPr>
        <w:t xml:space="preserve"> w</w:t>
      </w:r>
      <w:r w:rsidR="00215A0D" w:rsidRPr="005F47F8">
        <w:rPr>
          <w:rFonts w:eastAsia="Calibri"/>
        </w:rPr>
        <w:t>ere</w:t>
      </w:r>
      <w:r w:rsidRPr="005F47F8">
        <w:rPr>
          <w:rFonts w:eastAsia="Calibri"/>
        </w:rPr>
        <w:t xml:space="preserve"> not powered to compare outcomes in the </w:t>
      </w:r>
      <w:r w:rsidR="00025C24" w:rsidRPr="005F47F8">
        <w:rPr>
          <w:rFonts w:eastAsia="Calibri"/>
        </w:rPr>
        <w:t>lower</w:t>
      </w:r>
      <w:r w:rsidRPr="005F47F8">
        <w:rPr>
          <w:rFonts w:eastAsia="Calibri"/>
        </w:rPr>
        <w:t xml:space="preserve"> versus the </w:t>
      </w:r>
      <w:r w:rsidR="00025C24" w:rsidRPr="005F47F8">
        <w:rPr>
          <w:rFonts w:eastAsia="Calibri"/>
        </w:rPr>
        <w:t>higher</w:t>
      </w:r>
      <w:r w:rsidRPr="005F47F8">
        <w:rPr>
          <w:rFonts w:eastAsia="Calibri"/>
        </w:rPr>
        <w:t xml:space="preserve"> eosinophil groups</w:t>
      </w:r>
      <w:r w:rsidR="008119AC" w:rsidRPr="005F47F8">
        <w:rPr>
          <w:rFonts w:eastAsia="Calibri"/>
        </w:rPr>
        <w:t>, a greater treatment effect was observed in patients with lower eosinophils than those with higher eosinophils</w:t>
      </w:r>
      <w:r w:rsidRPr="005F47F8">
        <w:rPr>
          <w:rFonts w:eastAsia="Calibri"/>
        </w:rPr>
        <w:t xml:space="preserve"> in CALIMA</w:t>
      </w:r>
      <w:r w:rsidR="008119AC" w:rsidRPr="005F47F8">
        <w:rPr>
          <w:rFonts w:eastAsia="Calibri"/>
        </w:rPr>
        <w:t xml:space="preserve">, but the opposite was observed in SIROCCO. In CALIMA, this result may have been confounded by the higher exacerbation rate </w:t>
      </w:r>
      <w:r w:rsidR="00025C24" w:rsidRPr="005F47F8">
        <w:rPr>
          <w:rFonts w:eastAsia="Calibri"/>
        </w:rPr>
        <w:t xml:space="preserve">in the standard of care arm </w:t>
      </w:r>
      <w:r w:rsidR="008119AC" w:rsidRPr="005F47F8">
        <w:rPr>
          <w:rFonts w:eastAsia="Calibri"/>
        </w:rPr>
        <w:t>in the</w:t>
      </w:r>
      <w:r w:rsidRPr="005F47F8">
        <w:rPr>
          <w:rFonts w:eastAsia="Calibri"/>
        </w:rPr>
        <w:t xml:space="preserve"> sub</w:t>
      </w:r>
      <w:r w:rsidR="008119AC" w:rsidRPr="005F47F8">
        <w:rPr>
          <w:rFonts w:eastAsia="Calibri"/>
        </w:rPr>
        <w:t xml:space="preserve">group with lower eosinophils </w:t>
      </w:r>
      <w:r w:rsidR="00025C24" w:rsidRPr="005F47F8">
        <w:rPr>
          <w:rFonts w:eastAsia="Calibri"/>
        </w:rPr>
        <w:t xml:space="preserve">than higher eosinophils </w:t>
      </w:r>
      <w:r w:rsidR="008119AC" w:rsidRPr="005F47F8">
        <w:rPr>
          <w:rFonts w:eastAsia="Calibri"/>
        </w:rPr>
        <w:t xml:space="preserve">(1.21 versus 0.93). </w:t>
      </w:r>
    </w:p>
    <w:p w:rsidR="008119AC" w:rsidRPr="005F47F8" w:rsidRDefault="008119AC" w:rsidP="004B1160">
      <w:pPr>
        <w:widowControl/>
        <w:spacing w:after="120"/>
        <w:ind w:left="-11"/>
        <w:rPr>
          <w:u w:val="single"/>
        </w:rPr>
      </w:pPr>
      <w:r w:rsidRPr="005F47F8">
        <w:rPr>
          <w:u w:val="single"/>
        </w:rPr>
        <w:t>Indirect comparison: Transitivity assumption</w:t>
      </w:r>
    </w:p>
    <w:p w:rsidR="004140EF" w:rsidRPr="005F47F8" w:rsidRDefault="008119AC" w:rsidP="004140EF">
      <w:pPr>
        <w:widowControl/>
        <w:numPr>
          <w:ilvl w:val="1"/>
          <w:numId w:val="1"/>
        </w:numPr>
        <w:spacing w:after="120"/>
        <w:ind w:left="709"/>
      </w:pPr>
      <w:r w:rsidRPr="005F47F8">
        <w:t>The submission conducted an indirect comparison between benralizumab (</w:t>
      </w:r>
      <w:r w:rsidR="00D32E2C" w:rsidRPr="005F47F8">
        <w:t xml:space="preserve">using the </w:t>
      </w:r>
      <w:r w:rsidRPr="005F47F8">
        <w:t>primary efficacy population) and the comparators for the outcome of a</w:t>
      </w:r>
      <w:r w:rsidR="005347B4" w:rsidRPr="005F47F8">
        <w:t>sthma</w:t>
      </w:r>
      <w:r w:rsidRPr="005F47F8">
        <w:t xml:space="preserve"> exacerbation rates</w:t>
      </w:r>
      <w:r w:rsidR="00E2336D" w:rsidRPr="005F47F8">
        <w:t xml:space="preserve"> using </w:t>
      </w:r>
      <w:r w:rsidR="002319A0" w:rsidRPr="005F47F8">
        <w:t>standard of care</w:t>
      </w:r>
      <w:r w:rsidR="00E2336D" w:rsidRPr="005F47F8">
        <w:t xml:space="preserve"> as the common reference</w:t>
      </w:r>
      <w:r w:rsidRPr="005F47F8">
        <w:rPr>
          <w:lang w:bidi="en-US"/>
        </w:rPr>
        <w:t>. However the transitivity assumption was unlikely to hold due to differences in participant</w:t>
      </w:r>
      <w:r w:rsidR="0090423F" w:rsidRPr="005F47F8">
        <w:rPr>
          <w:lang w:bidi="en-US"/>
        </w:rPr>
        <w:t xml:space="preserve"> baseline characteristic</w:t>
      </w:r>
      <w:r w:rsidRPr="005F47F8">
        <w:rPr>
          <w:lang w:bidi="en-US"/>
        </w:rPr>
        <w:t>s</w:t>
      </w:r>
      <w:r w:rsidR="00F24CC3" w:rsidRPr="005F47F8">
        <w:rPr>
          <w:lang w:bidi="en-US"/>
        </w:rPr>
        <w:t>,</w:t>
      </w:r>
      <w:r w:rsidRPr="005F47F8">
        <w:rPr>
          <w:lang w:bidi="en-US"/>
        </w:rPr>
        <w:t xml:space="preserve"> </w:t>
      </w:r>
      <w:r w:rsidR="009353D2" w:rsidRPr="005F47F8">
        <w:rPr>
          <w:lang w:bidi="en-US"/>
        </w:rPr>
        <w:t>event rates in the common reference arm</w:t>
      </w:r>
      <w:r w:rsidR="00F24CC3" w:rsidRPr="005F47F8">
        <w:rPr>
          <w:lang w:bidi="en-US"/>
        </w:rPr>
        <w:t>,</w:t>
      </w:r>
      <w:r w:rsidR="009353D2" w:rsidRPr="005F47F8">
        <w:rPr>
          <w:lang w:bidi="en-US"/>
        </w:rPr>
        <w:t xml:space="preserve"> </w:t>
      </w:r>
      <w:r w:rsidRPr="005F47F8">
        <w:rPr>
          <w:lang w:bidi="en-US"/>
        </w:rPr>
        <w:t>and trial duration. These are each discussed in turn below.</w:t>
      </w:r>
    </w:p>
    <w:p w:rsidR="00FA148B" w:rsidRPr="005F47F8" w:rsidRDefault="00FA148B" w:rsidP="004B1160">
      <w:pPr>
        <w:widowControl/>
        <w:numPr>
          <w:ilvl w:val="1"/>
          <w:numId w:val="1"/>
        </w:numPr>
        <w:spacing w:after="120"/>
      </w:pPr>
      <w:r w:rsidRPr="005F47F8">
        <w:t xml:space="preserve">Table 5 shows some of the key differences in inclusion criteria and baseline characteristics between the trials included in the indirect comparison. </w:t>
      </w:r>
    </w:p>
    <w:p w:rsidR="00FA148B" w:rsidRPr="005F47F8" w:rsidRDefault="00FA148B" w:rsidP="00AB5844">
      <w:pPr>
        <w:keepNext/>
        <w:keepLines/>
        <w:spacing w:after="60"/>
        <w:rPr>
          <w:rStyle w:val="CommentReference"/>
        </w:rPr>
      </w:pPr>
      <w:r w:rsidRPr="005F47F8">
        <w:rPr>
          <w:rStyle w:val="CommentReference"/>
        </w:rPr>
        <w:t xml:space="preserve">Table 5: Key inclusion criteria and baseline characteristics </w:t>
      </w:r>
      <w:r w:rsidR="007317DF" w:rsidRPr="005F47F8">
        <w:rPr>
          <w:rStyle w:val="CommentReference"/>
        </w:rPr>
        <w:t xml:space="preserve">that differed </w:t>
      </w:r>
      <w:r w:rsidRPr="005F47F8">
        <w:rPr>
          <w:rStyle w:val="CommentReference"/>
        </w:rPr>
        <w:t xml:space="preserve">between the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1"/>
        <w:gridCol w:w="993"/>
        <w:gridCol w:w="1985"/>
        <w:gridCol w:w="1276"/>
        <w:gridCol w:w="1219"/>
      </w:tblGrid>
      <w:tr w:rsidR="00821A46" w:rsidRPr="005F47F8" w:rsidTr="001E259B">
        <w:trPr>
          <w:cantSplit/>
        </w:trPr>
        <w:tc>
          <w:tcPr>
            <w:tcW w:w="1458" w:type="pct"/>
            <w:vMerge w:val="restart"/>
            <w:tcBorders>
              <w:right w:val="double" w:sz="4" w:space="0" w:color="auto"/>
            </w:tcBorders>
          </w:tcPr>
          <w:p w:rsidR="00821A46" w:rsidRPr="005F47F8" w:rsidRDefault="00821A46" w:rsidP="00AB5844">
            <w:pPr>
              <w:pStyle w:val="Tabletext"/>
              <w:keepNext/>
              <w:keepLines/>
              <w:tabs>
                <w:tab w:val="left" w:pos="147"/>
              </w:tabs>
            </w:pPr>
          </w:p>
        </w:tc>
        <w:tc>
          <w:tcPr>
            <w:tcW w:w="1087" w:type="pct"/>
            <w:gridSpan w:val="2"/>
          </w:tcPr>
          <w:p w:rsidR="00F12FF2" w:rsidRPr="005F47F8" w:rsidRDefault="00821A46" w:rsidP="00AB5844">
            <w:pPr>
              <w:pStyle w:val="Tabletext"/>
              <w:keepNext/>
              <w:keepLines/>
              <w:jc w:val="center"/>
              <w:rPr>
                <w:b/>
              </w:rPr>
            </w:pPr>
            <w:r w:rsidRPr="005F47F8">
              <w:rPr>
                <w:b/>
              </w:rPr>
              <w:t xml:space="preserve">Benralizumab </w:t>
            </w:r>
          </w:p>
          <w:p w:rsidR="00821A46" w:rsidRPr="005F47F8" w:rsidRDefault="00821A46" w:rsidP="00AB5844">
            <w:pPr>
              <w:pStyle w:val="Tabletext"/>
              <w:keepNext/>
              <w:keepLines/>
              <w:jc w:val="center"/>
              <w:rPr>
                <w:vertAlign w:val="superscript"/>
              </w:rPr>
            </w:pPr>
            <w:r w:rsidRPr="005F47F8">
              <w:rPr>
                <w:b/>
              </w:rPr>
              <w:t>primary efficacy pop</w:t>
            </w:r>
            <w:r w:rsidR="00F12FF2" w:rsidRPr="005F47F8">
              <w:rPr>
                <w:b/>
              </w:rPr>
              <w:t xml:space="preserve"> </w:t>
            </w:r>
            <w:r w:rsidR="001E259B" w:rsidRPr="005F47F8">
              <w:rPr>
                <w:b/>
                <w:vertAlign w:val="superscript"/>
              </w:rPr>
              <w:t>a</w:t>
            </w:r>
          </w:p>
        </w:tc>
        <w:tc>
          <w:tcPr>
            <w:tcW w:w="1088" w:type="pct"/>
            <w:tcBorders>
              <w:left w:val="double" w:sz="4" w:space="0" w:color="auto"/>
            </w:tcBorders>
            <w:vAlign w:val="center"/>
          </w:tcPr>
          <w:p w:rsidR="00821A46" w:rsidRPr="005F47F8" w:rsidRDefault="00821A46" w:rsidP="00AB5844">
            <w:pPr>
              <w:pStyle w:val="Tabletext"/>
              <w:keepNext/>
              <w:keepLines/>
              <w:jc w:val="center"/>
            </w:pPr>
            <w:r w:rsidRPr="005F47F8">
              <w:rPr>
                <w:b/>
              </w:rPr>
              <w:t>Mepolizumab</w:t>
            </w:r>
          </w:p>
        </w:tc>
        <w:tc>
          <w:tcPr>
            <w:tcW w:w="1367" w:type="pct"/>
            <w:gridSpan w:val="2"/>
            <w:tcBorders>
              <w:left w:val="double" w:sz="4" w:space="0" w:color="auto"/>
            </w:tcBorders>
            <w:vAlign w:val="center"/>
          </w:tcPr>
          <w:p w:rsidR="00821A46" w:rsidRPr="005F47F8" w:rsidRDefault="00821A46" w:rsidP="00AB5844">
            <w:pPr>
              <w:pStyle w:val="Tabletext"/>
              <w:keepNext/>
              <w:keepLines/>
              <w:jc w:val="center"/>
            </w:pPr>
            <w:r w:rsidRPr="005F47F8">
              <w:rPr>
                <w:b/>
              </w:rPr>
              <w:t>Omalizumab</w:t>
            </w:r>
          </w:p>
        </w:tc>
      </w:tr>
      <w:tr w:rsidR="00821A46" w:rsidRPr="005F47F8" w:rsidTr="0024398B">
        <w:trPr>
          <w:cantSplit/>
        </w:trPr>
        <w:tc>
          <w:tcPr>
            <w:tcW w:w="1458" w:type="pct"/>
            <w:vMerge/>
            <w:tcBorders>
              <w:right w:val="double" w:sz="4" w:space="0" w:color="auto"/>
            </w:tcBorders>
          </w:tcPr>
          <w:p w:rsidR="00821A46" w:rsidRPr="005F47F8" w:rsidRDefault="00821A46" w:rsidP="00AB5844">
            <w:pPr>
              <w:pStyle w:val="Tabletext"/>
              <w:keepNext/>
              <w:keepLines/>
              <w:tabs>
                <w:tab w:val="left" w:pos="147"/>
              </w:tabs>
            </w:pPr>
          </w:p>
        </w:tc>
        <w:tc>
          <w:tcPr>
            <w:tcW w:w="543" w:type="pct"/>
          </w:tcPr>
          <w:p w:rsidR="00821A46" w:rsidRPr="005F47F8" w:rsidRDefault="00821A46" w:rsidP="00AB5844">
            <w:pPr>
              <w:pStyle w:val="Tabletext"/>
              <w:keepNext/>
              <w:keepLines/>
              <w:jc w:val="center"/>
            </w:pPr>
            <w:r w:rsidRPr="005F47F8">
              <w:rPr>
                <w:b/>
              </w:rPr>
              <w:t>CALIMA</w:t>
            </w:r>
          </w:p>
        </w:tc>
        <w:tc>
          <w:tcPr>
            <w:tcW w:w="544" w:type="pct"/>
            <w:tcBorders>
              <w:left w:val="double" w:sz="4" w:space="0" w:color="auto"/>
            </w:tcBorders>
          </w:tcPr>
          <w:p w:rsidR="00821A46" w:rsidRPr="005F47F8" w:rsidRDefault="00821A46" w:rsidP="00AB5844">
            <w:pPr>
              <w:pStyle w:val="Tabletext"/>
              <w:keepNext/>
              <w:keepLines/>
              <w:jc w:val="center"/>
            </w:pPr>
            <w:r w:rsidRPr="005F47F8">
              <w:rPr>
                <w:b/>
              </w:rPr>
              <w:t>SIROCCO</w:t>
            </w:r>
          </w:p>
        </w:tc>
        <w:tc>
          <w:tcPr>
            <w:tcW w:w="1088" w:type="pct"/>
            <w:tcBorders>
              <w:left w:val="double" w:sz="4" w:space="0" w:color="auto"/>
            </w:tcBorders>
          </w:tcPr>
          <w:p w:rsidR="00821A46" w:rsidRPr="005F47F8" w:rsidRDefault="00821A46" w:rsidP="00AB5844">
            <w:pPr>
              <w:pStyle w:val="Tabletext"/>
              <w:keepNext/>
              <w:keepLines/>
              <w:jc w:val="center"/>
            </w:pPr>
            <w:r w:rsidRPr="005F47F8">
              <w:rPr>
                <w:b/>
              </w:rPr>
              <w:t>MENSA</w:t>
            </w:r>
          </w:p>
        </w:tc>
        <w:tc>
          <w:tcPr>
            <w:tcW w:w="699" w:type="pct"/>
            <w:tcBorders>
              <w:left w:val="double" w:sz="4" w:space="0" w:color="auto"/>
            </w:tcBorders>
          </w:tcPr>
          <w:p w:rsidR="00821A46" w:rsidRPr="005F47F8" w:rsidRDefault="00821A46" w:rsidP="00AB5844">
            <w:pPr>
              <w:pStyle w:val="Tabletext"/>
              <w:keepNext/>
              <w:keepLines/>
              <w:jc w:val="center"/>
            </w:pPr>
            <w:r w:rsidRPr="005F47F8">
              <w:rPr>
                <w:b/>
              </w:rPr>
              <w:t>INNOVATE</w:t>
            </w:r>
          </w:p>
        </w:tc>
        <w:tc>
          <w:tcPr>
            <w:tcW w:w="668" w:type="pct"/>
            <w:tcBorders>
              <w:left w:val="double" w:sz="4" w:space="0" w:color="auto"/>
            </w:tcBorders>
          </w:tcPr>
          <w:p w:rsidR="00821A46" w:rsidRPr="005F47F8" w:rsidRDefault="00821A46" w:rsidP="00AB5844">
            <w:pPr>
              <w:pStyle w:val="Tabletext"/>
              <w:keepNext/>
              <w:keepLines/>
              <w:jc w:val="center"/>
            </w:pPr>
            <w:r w:rsidRPr="005F47F8">
              <w:rPr>
                <w:b/>
              </w:rPr>
              <w:t>EXTRA</w:t>
            </w:r>
          </w:p>
        </w:tc>
      </w:tr>
      <w:tr w:rsidR="0024398B" w:rsidRPr="005F47F8" w:rsidTr="0024398B">
        <w:trPr>
          <w:cantSplit/>
        </w:trPr>
        <w:tc>
          <w:tcPr>
            <w:tcW w:w="1458" w:type="pct"/>
            <w:tcBorders>
              <w:right w:val="double" w:sz="4" w:space="0" w:color="auto"/>
            </w:tcBorders>
          </w:tcPr>
          <w:p w:rsidR="007317DF" w:rsidRPr="005F47F8" w:rsidRDefault="007317DF" w:rsidP="00AB5844">
            <w:pPr>
              <w:pStyle w:val="Tabletext"/>
              <w:keepNext/>
              <w:keepLines/>
              <w:tabs>
                <w:tab w:val="left" w:pos="147"/>
              </w:tabs>
            </w:pPr>
            <w:r w:rsidRPr="005F47F8">
              <w:t>N</w:t>
            </w:r>
          </w:p>
        </w:tc>
        <w:tc>
          <w:tcPr>
            <w:tcW w:w="543" w:type="pct"/>
          </w:tcPr>
          <w:p w:rsidR="007317DF" w:rsidRPr="005F47F8" w:rsidRDefault="007317DF" w:rsidP="00AB5844">
            <w:pPr>
              <w:pStyle w:val="Tabletext"/>
              <w:keepNext/>
              <w:keepLines/>
            </w:pPr>
            <w:r w:rsidRPr="005F47F8">
              <w:t>487</w:t>
            </w:r>
          </w:p>
        </w:tc>
        <w:tc>
          <w:tcPr>
            <w:tcW w:w="544" w:type="pct"/>
            <w:tcBorders>
              <w:left w:val="double" w:sz="4" w:space="0" w:color="auto"/>
            </w:tcBorders>
          </w:tcPr>
          <w:p w:rsidR="007317DF" w:rsidRPr="005F47F8" w:rsidRDefault="007317DF" w:rsidP="00AB5844">
            <w:pPr>
              <w:pStyle w:val="Tabletext"/>
              <w:keepNext/>
              <w:keepLines/>
            </w:pPr>
            <w:r w:rsidRPr="005F47F8">
              <w:t>534</w:t>
            </w:r>
          </w:p>
        </w:tc>
        <w:tc>
          <w:tcPr>
            <w:tcW w:w="1088" w:type="pct"/>
            <w:tcBorders>
              <w:left w:val="double" w:sz="4" w:space="0" w:color="auto"/>
            </w:tcBorders>
          </w:tcPr>
          <w:p w:rsidR="007317DF" w:rsidRPr="005F47F8" w:rsidRDefault="007317DF" w:rsidP="00AB5844">
            <w:pPr>
              <w:pStyle w:val="Tabletext"/>
              <w:keepNext/>
              <w:keepLines/>
            </w:pPr>
            <w:r w:rsidRPr="005F47F8">
              <w:t>385</w:t>
            </w:r>
          </w:p>
        </w:tc>
        <w:tc>
          <w:tcPr>
            <w:tcW w:w="699" w:type="pct"/>
            <w:tcBorders>
              <w:left w:val="double" w:sz="4" w:space="0" w:color="auto"/>
            </w:tcBorders>
          </w:tcPr>
          <w:p w:rsidR="007317DF" w:rsidRPr="005F47F8" w:rsidRDefault="007317DF" w:rsidP="00AB5844">
            <w:pPr>
              <w:pStyle w:val="Tabletext"/>
              <w:keepNext/>
              <w:keepLines/>
            </w:pPr>
            <w:r w:rsidRPr="005F47F8">
              <w:t>41</w:t>
            </w:r>
            <w:r w:rsidR="005B6934" w:rsidRPr="005F47F8">
              <w:t>9</w:t>
            </w:r>
          </w:p>
        </w:tc>
        <w:tc>
          <w:tcPr>
            <w:tcW w:w="668" w:type="pct"/>
            <w:tcBorders>
              <w:left w:val="double" w:sz="4" w:space="0" w:color="auto"/>
            </w:tcBorders>
          </w:tcPr>
          <w:p w:rsidR="007317DF" w:rsidRPr="005F47F8" w:rsidRDefault="005B6934" w:rsidP="00AB5844">
            <w:pPr>
              <w:pStyle w:val="Tabletext"/>
              <w:keepNext/>
              <w:keepLines/>
            </w:pPr>
            <w:r w:rsidRPr="005F47F8">
              <w:t>848</w:t>
            </w:r>
          </w:p>
        </w:tc>
      </w:tr>
      <w:tr w:rsidR="00FA148B" w:rsidRPr="005F47F8" w:rsidTr="007317DF">
        <w:trPr>
          <w:cantSplit/>
        </w:trPr>
        <w:tc>
          <w:tcPr>
            <w:tcW w:w="5000" w:type="pct"/>
            <w:gridSpan w:val="6"/>
          </w:tcPr>
          <w:p w:rsidR="00FA148B" w:rsidRPr="005F47F8" w:rsidRDefault="007317DF" w:rsidP="00AB5844">
            <w:pPr>
              <w:pStyle w:val="Tabletext"/>
              <w:keepNext/>
              <w:keepLines/>
              <w:rPr>
                <w:b/>
              </w:rPr>
            </w:pPr>
            <w:r w:rsidRPr="005F47F8">
              <w:rPr>
                <w:b/>
              </w:rPr>
              <w:t>Inclusion criteria</w:t>
            </w:r>
          </w:p>
        </w:tc>
      </w:tr>
      <w:tr w:rsidR="0024398B" w:rsidRPr="005F47F8" w:rsidTr="0024398B">
        <w:trPr>
          <w:cantSplit/>
        </w:trPr>
        <w:tc>
          <w:tcPr>
            <w:tcW w:w="1458" w:type="pct"/>
            <w:tcBorders>
              <w:right w:val="double" w:sz="4" w:space="0" w:color="auto"/>
            </w:tcBorders>
          </w:tcPr>
          <w:p w:rsidR="007317DF" w:rsidRPr="005F47F8" w:rsidRDefault="007317DF" w:rsidP="00AB5844">
            <w:pPr>
              <w:pStyle w:val="Tabletext"/>
              <w:keepNext/>
              <w:keepLines/>
              <w:tabs>
                <w:tab w:val="left" w:pos="147"/>
              </w:tabs>
            </w:pPr>
            <w:r w:rsidRPr="005F47F8">
              <w:t>EOS count</w:t>
            </w:r>
            <w:r w:rsidR="0024398B" w:rsidRPr="005F47F8">
              <w:t xml:space="preserve"> at baseline</w:t>
            </w:r>
          </w:p>
        </w:tc>
        <w:tc>
          <w:tcPr>
            <w:tcW w:w="1087" w:type="pct"/>
            <w:gridSpan w:val="2"/>
          </w:tcPr>
          <w:p w:rsidR="007317DF" w:rsidRPr="005F47F8" w:rsidRDefault="007317DF" w:rsidP="00AB5844">
            <w:pPr>
              <w:pStyle w:val="Tabletext"/>
              <w:keepNext/>
              <w:keepLines/>
            </w:pPr>
            <w:r w:rsidRPr="005F47F8">
              <w:t xml:space="preserve">≥ 300 cells/μL </w:t>
            </w:r>
          </w:p>
        </w:tc>
        <w:tc>
          <w:tcPr>
            <w:tcW w:w="1088" w:type="pct"/>
            <w:tcBorders>
              <w:left w:val="double" w:sz="4" w:space="0" w:color="auto"/>
            </w:tcBorders>
          </w:tcPr>
          <w:p w:rsidR="007317DF" w:rsidRPr="005F47F8" w:rsidRDefault="007317DF" w:rsidP="00AB5844">
            <w:pPr>
              <w:pStyle w:val="Tabletext"/>
              <w:keepNext/>
              <w:keepLines/>
            </w:pPr>
            <w:r w:rsidRPr="005F47F8">
              <w:t xml:space="preserve">≥ 150 </w:t>
            </w:r>
            <w:r w:rsidR="0024398B" w:rsidRPr="005F47F8">
              <w:t>cells/μL (or ≥300 in past 12 months)</w:t>
            </w:r>
          </w:p>
        </w:tc>
        <w:tc>
          <w:tcPr>
            <w:tcW w:w="1367" w:type="pct"/>
            <w:gridSpan w:val="2"/>
            <w:tcBorders>
              <w:left w:val="double" w:sz="4" w:space="0" w:color="auto"/>
            </w:tcBorders>
          </w:tcPr>
          <w:p w:rsidR="007317DF" w:rsidRPr="005F47F8" w:rsidRDefault="007317DF" w:rsidP="00AB5844">
            <w:pPr>
              <w:pStyle w:val="Tabletext"/>
              <w:keepNext/>
              <w:keepLines/>
            </w:pPr>
            <w:r w:rsidRPr="005F47F8">
              <w:t>Not applicable (</w:t>
            </w:r>
            <w:r w:rsidR="00721400" w:rsidRPr="005F47F8">
              <w:t xml:space="preserve">inclusion was </w:t>
            </w:r>
            <w:r w:rsidRPr="005F47F8">
              <w:t>based on IgE levels</w:t>
            </w:r>
            <w:r w:rsidR="00721400" w:rsidRPr="005F47F8">
              <w:t xml:space="preserve"> instead</w:t>
            </w:r>
            <w:r w:rsidRPr="005F47F8">
              <w:t>)</w:t>
            </w:r>
          </w:p>
        </w:tc>
      </w:tr>
      <w:tr w:rsidR="0024398B" w:rsidRPr="005F47F8" w:rsidTr="0024398B">
        <w:trPr>
          <w:cantSplit/>
        </w:trPr>
        <w:tc>
          <w:tcPr>
            <w:tcW w:w="1458" w:type="pct"/>
            <w:tcBorders>
              <w:right w:val="double" w:sz="4" w:space="0" w:color="auto"/>
            </w:tcBorders>
          </w:tcPr>
          <w:p w:rsidR="007317DF" w:rsidRPr="005F47F8" w:rsidRDefault="007317DF" w:rsidP="00AB5844">
            <w:pPr>
              <w:pStyle w:val="Tabletext"/>
              <w:keepNext/>
              <w:keepLines/>
              <w:tabs>
                <w:tab w:val="left" w:pos="147"/>
              </w:tabs>
            </w:pPr>
            <w:r w:rsidRPr="005F47F8">
              <w:t>Prior ICS</w:t>
            </w:r>
            <w:r w:rsidR="0024398B" w:rsidRPr="005F47F8">
              <w:t xml:space="preserve"> dose per </w:t>
            </w:r>
            <w:r w:rsidRPr="005F47F8">
              <w:t xml:space="preserve">day </w:t>
            </w:r>
            <w:r w:rsidR="0024398B" w:rsidRPr="005F47F8">
              <w:rPr>
                <w:vertAlign w:val="superscript"/>
              </w:rPr>
              <w:t xml:space="preserve"> </w:t>
            </w:r>
            <w:r w:rsidR="00F12FF2" w:rsidRPr="005F47F8">
              <w:rPr>
                <w:vertAlign w:val="superscript"/>
              </w:rPr>
              <w:t>b</w:t>
            </w:r>
          </w:p>
        </w:tc>
        <w:tc>
          <w:tcPr>
            <w:tcW w:w="1087" w:type="pct"/>
            <w:gridSpan w:val="2"/>
          </w:tcPr>
          <w:p w:rsidR="007317DF" w:rsidRPr="005F47F8" w:rsidRDefault="007317DF" w:rsidP="00AB5844">
            <w:pPr>
              <w:pStyle w:val="Tabletext"/>
              <w:keepNext/>
              <w:keepLines/>
            </w:pPr>
            <w:r w:rsidRPr="005F47F8">
              <w:t xml:space="preserve">&gt; 500 µg </w:t>
            </w:r>
            <w:r w:rsidR="0024398B" w:rsidRPr="005F47F8">
              <w:t>for ≥ 3 </w:t>
            </w:r>
            <w:r w:rsidRPr="005F47F8">
              <w:t>months</w:t>
            </w:r>
          </w:p>
        </w:tc>
        <w:tc>
          <w:tcPr>
            <w:tcW w:w="1088" w:type="pct"/>
            <w:tcBorders>
              <w:left w:val="double" w:sz="4" w:space="0" w:color="auto"/>
            </w:tcBorders>
          </w:tcPr>
          <w:p w:rsidR="007317DF" w:rsidRPr="005F47F8" w:rsidRDefault="007317DF" w:rsidP="00AB5844">
            <w:pPr>
              <w:pStyle w:val="Tabletext"/>
              <w:keepNext/>
              <w:keepLines/>
            </w:pPr>
            <w:r w:rsidRPr="005F47F8">
              <w:t>≥ 880 µg for ≥</w:t>
            </w:r>
            <w:r w:rsidR="0024398B" w:rsidRPr="005F47F8">
              <w:t> </w:t>
            </w:r>
            <w:r w:rsidRPr="005F47F8">
              <w:t>12</w:t>
            </w:r>
            <w:r w:rsidR="0024398B" w:rsidRPr="005F47F8">
              <w:t> </w:t>
            </w:r>
            <w:r w:rsidRPr="005F47F8">
              <w:t>months</w:t>
            </w:r>
          </w:p>
        </w:tc>
        <w:tc>
          <w:tcPr>
            <w:tcW w:w="699" w:type="pct"/>
            <w:tcBorders>
              <w:left w:val="double" w:sz="4" w:space="0" w:color="auto"/>
            </w:tcBorders>
          </w:tcPr>
          <w:p w:rsidR="007317DF" w:rsidRPr="005F47F8" w:rsidRDefault="007317DF" w:rsidP="00AB5844">
            <w:pPr>
              <w:pStyle w:val="Tabletext"/>
              <w:keepNext/>
              <w:keepLines/>
            </w:pPr>
            <w:r w:rsidRPr="005F47F8">
              <w:t>&gt; 1,000 µg for ≥ 12 months</w:t>
            </w:r>
          </w:p>
        </w:tc>
        <w:tc>
          <w:tcPr>
            <w:tcW w:w="668" w:type="pct"/>
            <w:tcBorders>
              <w:left w:val="double" w:sz="4" w:space="0" w:color="auto"/>
            </w:tcBorders>
          </w:tcPr>
          <w:p w:rsidR="007317DF" w:rsidRPr="005F47F8" w:rsidRDefault="007317DF" w:rsidP="00AB5844">
            <w:pPr>
              <w:pStyle w:val="Tabletext"/>
              <w:keepNext/>
              <w:keepLines/>
            </w:pPr>
            <w:r w:rsidRPr="005F47F8">
              <w:t>≥ 1,000 µg for ≥ 8 weeks</w:t>
            </w:r>
          </w:p>
        </w:tc>
      </w:tr>
      <w:tr w:rsidR="007317DF" w:rsidRPr="005F47F8" w:rsidTr="007317DF">
        <w:trPr>
          <w:cantSplit/>
        </w:trPr>
        <w:tc>
          <w:tcPr>
            <w:tcW w:w="5000" w:type="pct"/>
            <w:gridSpan w:val="6"/>
          </w:tcPr>
          <w:p w:rsidR="007317DF" w:rsidRPr="005F47F8" w:rsidRDefault="007317DF" w:rsidP="00AB5844">
            <w:pPr>
              <w:pStyle w:val="Tabletext"/>
              <w:keepNext/>
              <w:keepLines/>
              <w:rPr>
                <w:b/>
              </w:rPr>
            </w:pPr>
            <w:r w:rsidRPr="005F47F8">
              <w:rPr>
                <w:b/>
              </w:rPr>
              <w:t>Baseline characteristics</w:t>
            </w:r>
          </w:p>
        </w:tc>
      </w:tr>
      <w:tr w:rsidR="0024398B" w:rsidRPr="005F47F8" w:rsidTr="0024398B">
        <w:trPr>
          <w:cantSplit/>
        </w:trPr>
        <w:tc>
          <w:tcPr>
            <w:tcW w:w="1458" w:type="pct"/>
            <w:tcBorders>
              <w:right w:val="double" w:sz="4" w:space="0" w:color="auto"/>
            </w:tcBorders>
          </w:tcPr>
          <w:p w:rsidR="00FA148B" w:rsidRPr="005F47F8" w:rsidRDefault="00FA148B" w:rsidP="00AB5844">
            <w:pPr>
              <w:pStyle w:val="Tabletext"/>
              <w:keepNext/>
              <w:tabs>
                <w:tab w:val="left" w:pos="147"/>
              </w:tabs>
            </w:pPr>
            <w:r w:rsidRPr="005F47F8">
              <w:t xml:space="preserve">EOS count, </w:t>
            </w:r>
            <w:r w:rsidRPr="005F47F8">
              <w:rPr>
                <w:szCs w:val="20"/>
              </w:rPr>
              <w:t xml:space="preserve">mean cells/µL (SD) </w:t>
            </w:r>
          </w:p>
        </w:tc>
        <w:tc>
          <w:tcPr>
            <w:tcW w:w="543" w:type="pct"/>
          </w:tcPr>
          <w:p w:rsidR="00FA148B" w:rsidRPr="005F47F8" w:rsidRDefault="00FA148B" w:rsidP="00AB5844">
            <w:pPr>
              <w:pStyle w:val="Tabletext"/>
              <w:keepNext/>
            </w:pPr>
            <w:r w:rsidRPr="005F47F8">
              <w:t>6</w:t>
            </w:r>
            <w:r w:rsidR="005B6934" w:rsidRPr="005F47F8">
              <w:t>3</w:t>
            </w:r>
            <w:r w:rsidRPr="005F47F8">
              <w:t>2 (</w:t>
            </w:r>
            <w:r w:rsidR="005B6934" w:rsidRPr="005F47F8">
              <w:t>41</w:t>
            </w:r>
            <w:r w:rsidR="0084109B" w:rsidRPr="005F47F8">
              <w:t>1</w:t>
            </w:r>
            <w:r w:rsidRPr="005F47F8">
              <w:t>)</w:t>
            </w:r>
          </w:p>
        </w:tc>
        <w:tc>
          <w:tcPr>
            <w:tcW w:w="544" w:type="pct"/>
            <w:tcBorders>
              <w:left w:val="double" w:sz="4" w:space="0" w:color="auto"/>
            </w:tcBorders>
          </w:tcPr>
          <w:p w:rsidR="00FA148B" w:rsidRPr="005F47F8" w:rsidRDefault="00FA148B" w:rsidP="00AB5844">
            <w:pPr>
              <w:pStyle w:val="Tabletext"/>
              <w:keepNext/>
            </w:pPr>
            <w:r w:rsidRPr="005F47F8">
              <w:t>620 (3</w:t>
            </w:r>
            <w:r w:rsidR="005B6934" w:rsidRPr="005F47F8">
              <w:t>75</w:t>
            </w:r>
            <w:r w:rsidRPr="005F47F8">
              <w:t>)</w:t>
            </w:r>
          </w:p>
        </w:tc>
        <w:tc>
          <w:tcPr>
            <w:tcW w:w="1088" w:type="pct"/>
            <w:tcBorders>
              <w:left w:val="double" w:sz="4" w:space="0" w:color="auto"/>
            </w:tcBorders>
          </w:tcPr>
          <w:p w:rsidR="00FA148B" w:rsidRPr="005F47F8" w:rsidRDefault="005B6934" w:rsidP="00AB5844">
            <w:pPr>
              <w:pStyle w:val="Tabletext"/>
              <w:keepNext/>
            </w:pPr>
            <w:r w:rsidRPr="005F47F8">
              <w:t>305 (994)</w:t>
            </w:r>
          </w:p>
        </w:tc>
        <w:tc>
          <w:tcPr>
            <w:tcW w:w="699" w:type="pct"/>
            <w:tcBorders>
              <w:left w:val="double" w:sz="4" w:space="0" w:color="auto"/>
            </w:tcBorders>
          </w:tcPr>
          <w:p w:rsidR="00FA148B" w:rsidRPr="005F47F8" w:rsidRDefault="00FA148B" w:rsidP="00AB5844">
            <w:pPr>
              <w:pStyle w:val="Tabletext"/>
              <w:keepNext/>
            </w:pPr>
            <w:r w:rsidRPr="005F47F8">
              <w:t>NA</w:t>
            </w:r>
          </w:p>
        </w:tc>
        <w:tc>
          <w:tcPr>
            <w:tcW w:w="668" w:type="pct"/>
            <w:tcBorders>
              <w:left w:val="double" w:sz="4" w:space="0" w:color="auto"/>
            </w:tcBorders>
          </w:tcPr>
          <w:p w:rsidR="00FA148B" w:rsidRPr="005F47F8" w:rsidRDefault="00FA148B" w:rsidP="00AB5844">
            <w:pPr>
              <w:pStyle w:val="Tabletext"/>
              <w:keepNext/>
            </w:pPr>
            <w:r w:rsidRPr="005F47F8">
              <w:t>NA</w:t>
            </w:r>
          </w:p>
        </w:tc>
      </w:tr>
      <w:tr w:rsidR="0024398B" w:rsidRPr="005F47F8" w:rsidTr="0024398B">
        <w:trPr>
          <w:cantSplit/>
        </w:trPr>
        <w:tc>
          <w:tcPr>
            <w:tcW w:w="1458" w:type="pct"/>
            <w:tcBorders>
              <w:right w:val="double" w:sz="4" w:space="0" w:color="auto"/>
            </w:tcBorders>
          </w:tcPr>
          <w:p w:rsidR="005B6934" w:rsidRPr="005F47F8" w:rsidRDefault="005B6934" w:rsidP="00AB5844">
            <w:pPr>
              <w:pStyle w:val="Tabletext"/>
              <w:keepNext/>
              <w:tabs>
                <w:tab w:val="left" w:pos="147"/>
              </w:tabs>
              <w:rPr>
                <w:vertAlign w:val="superscript"/>
              </w:rPr>
            </w:pPr>
            <w:r w:rsidRPr="005F47F8">
              <w:t>Baseline ICS dose/ day mean</w:t>
            </w:r>
            <w:r w:rsidR="00F12FF2" w:rsidRPr="005F47F8">
              <w:t xml:space="preserve"> </w:t>
            </w:r>
            <w:r w:rsidR="00F12FF2" w:rsidRPr="005F47F8">
              <w:rPr>
                <w:vertAlign w:val="superscript"/>
              </w:rPr>
              <w:t>b</w:t>
            </w:r>
          </w:p>
        </w:tc>
        <w:tc>
          <w:tcPr>
            <w:tcW w:w="543" w:type="pct"/>
          </w:tcPr>
          <w:p w:rsidR="005B6934" w:rsidRPr="005F47F8" w:rsidRDefault="005B6934" w:rsidP="00AB5844">
            <w:pPr>
              <w:pStyle w:val="Tabletext"/>
              <w:keepNext/>
            </w:pPr>
            <w:r w:rsidRPr="005F47F8">
              <w:t>966</w:t>
            </w:r>
            <w:r w:rsidR="002B066F" w:rsidRPr="005F47F8">
              <w:t xml:space="preserve"> </w:t>
            </w:r>
            <w:r w:rsidRPr="005F47F8">
              <w:t>µg</w:t>
            </w:r>
          </w:p>
        </w:tc>
        <w:tc>
          <w:tcPr>
            <w:tcW w:w="544" w:type="pct"/>
            <w:tcBorders>
              <w:left w:val="double" w:sz="4" w:space="0" w:color="auto"/>
            </w:tcBorders>
          </w:tcPr>
          <w:p w:rsidR="005B6934" w:rsidRPr="005F47F8" w:rsidRDefault="005B6934" w:rsidP="00AB5844">
            <w:pPr>
              <w:pStyle w:val="Tabletext"/>
              <w:keepNext/>
            </w:pPr>
            <w:r w:rsidRPr="005F47F8">
              <w:t>908 µg</w:t>
            </w:r>
          </w:p>
        </w:tc>
        <w:tc>
          <w:tcPr>
            <w:tcW w:w="1088" w:type="pct"/>
            <w:tcBorders>
              <w:left w:val="double" w:sz="4" w:space="0" w:color="auto"/>
            </w:tcBorders>
          </w:tcPr>
          <w:p w:rsidR="005B6934" w:rsidRPr="005F47F8" w:rsidRDefault="005B6934" w:rsidP="00AB5844">
            <w:pPr>
              <w:pStyle w:val="Tabletext"/>
              <w:keepNext/>
            </w:pPr>
            <w:r w:rsidRPr="005F47F8">
              <w:t>NR</w:t>
            </w:r>
          </w:p>
        </w:tc>
        <w:tc>
          <w:tcPr>
            <w:tcW w:w="699" w:type="pct"/>
            <w:tcBorders>
              <w:left w:val="double" w:sz="4" w:space="0" w:color="auto"/>
            </w:tcBorders>
          </w:tcPr>
          <w:p w:rsidR="005B6934" w:rsidRPr="005F47F8" w:rsidRDefault="005B6934" w:rsidP="00AB5844">
            <w:pPr>
              <w:pStyle w:val="Tabletext"/>
              <w:keepNext/>
            </w:pPr>
            <w:r w:rsidRPr="005F47F8">
              <w:t>2,330 µg</w:t>
            </w:r>
          </w:p>
        </w:tc>
        <w:tc>
          <w:tcPr>
            <w:tcW w:w="668" w:type="pct"/>
            <w:tcBorders>
              <w:left w:val="double" w:sz="4" w:space="0" w:color="auto"/>
            </w:tcBorders>
          </w:tcPr>
          <w:p w:rsidR="005B6934" w:rsidRPr="005F47F8" w:rsidRDefault="005B6934" w:rsidP="00AB5844">
            <w:pPr>
              <w:pStyle w:val="Tabletext"/>
              <w:keepNext/>
            </w:pPr>
            <w:r w:rsidRPr="005F47F8">
              <w:t>NR</w:t>
            </w:r>
          </w:p>
        </w:tc>
      </w:tr>
      <w:tr w:rsidR="0024398B" w:rsidRPr="005F47F8" w:rsidTr="0024398B">
        <w:trPr>
          <w:cantSplit/>
        </w:trPr>
        <w:tc>
          <w:tcPr>
            <w:tcW w:w="1458" w:type="pct"/>
            <w:tcBorders>
              <w:right w:val="double" w:sz="4" w:space="0" w:color="auto"/>
            </w:tcBorders>
          </w:tcPr>
          <w:p w:rsidR="005B6934" w:rsidRPr="005F47F8" w:rsidRDefault="005B6934" w:rsidP="00AB5844">
            <w:pPr>
              <w:pStyle w:val="Tabletext"/>
              <w:keepNext/>
              <w:tabs>
                <w:tab w:val="left" w:pos="147"/>
              </w:tabs>
            </w:pPr>
            <w:r w:rsidRPr="005F47F8">
              <w:t xml:space="preserve">No. of exacerbations </w:t>
            </w:r>
            <w:r w:rsidR="0024398B" w:rsidRPr="005F47F8">
              <w:t xml:space="preserve">in </w:t>
            </w:r>
            <w:r w:rsidRPr="005F47F8">
              <w:t xml:space="preserve">past year, mean </w:t>
            </w:r>
          </w:p>
        </w:tc>
        <w:tc>
          <w:tcPr>
            <w:tcW w:w="543" w:type="pct"/>
          </w:tcPr>
          <w:p w:rsidR="005B6934" w:rsidRPr="005F47F8" w:rsidRDefault="005B6934" w:rsidP="00AB5844">
            <w:pPr>
              <w:pStyle w:val="Tabletext"/>
              <w:keepNext/>
            </w:pPr>
            <w:r w:rsidRPr="005F47F8">
              <w:t xml:space="preserve">2.7 </w:t>
            </w:r>
          </w:p>
        </w:tc>
        <w:tc>
          <w:tcPr>
            <w:tcW w:w="544" w:type="pct"/>
            <w:tcBorders>
              <w:left w:val="double" w:sz="4" w:space="0" w:color="auto"/>
            </w:tcBorders>
          </w:tcPr>
          <w:p w:rsidR="005B6934" w:rsidRPr="005F47F8" w:rsidRDefault="005B6934" w:rsidP="00AB5844">
            <w:pPr>
              <w:pStyle w:val="Tabletext"/>
              <w:keepNext/>
            </w:pPr>
            <w:r w:rsidRPr="005F47F8">
              <w:t>3.0</w:t>
            </w:r>
          </w:p>
        </w:tc>
        <w:tc>
          <w:tcPr>
            <w:tcW w:w="1088" w:type="pct"/>
            <w:tcBorders>
              <w:left w:val="double" w:sz="4" w:space="0" w:color="auto"/>
            </w:tcBorders>
          </w:tcPr>
          <w:p w:rsidR="005B6934" w:rsidRPr="005F47F8" w:rsidRDefault="005B6934" w:rsidP="00AB5844">
            <w:pPr>
              <w:pStyle w:val="Tabletext"/>
              <w:keepNext/>
            </w:pPr>
            <w:r w:rsidRPr="005F47F8">
              <w:t>3.7</w:t>
            </w:r>
            <w:r w:rsidRPr="005F47F8">
              <w:rPr>
                <w:vertAlign w:val="superscript"/>
              </w:rPr>
              <w:t xml:space="preserve"> </w:t>
            </w:r>
          </w:p>
        </w:tc>
        <w:tc>
          <w:tcPr>
            <w:tcW w:w="699" w:type="pct"/>
            <w:tcBorders>
              <w:left w:val="double" w:sz="4" w:space="0" w:color="auto"/>
            </w:tcBorders>
          </w:tcPr>
          <w:p w:rsidR="005B6934" w:rsidRPr="005F47F8" w:rsidRDefault="005B6934" w:rsidP="00AB5844">
            <w:pPr>
              <w:pStyle w:val="Tabletext"/>
              <w:keepNext/>
            </w:pPr>
            <w:r w:rsidRPr="005F47F8">
              <w:t>2.5</w:t>
            </w:r>
          </w:p>
        </w:tc>
        <w:tc>
          <w:tcPr>
            <w:tcW w:w="668" w:type="pct"/>
            <w:tcBorders>
              <w:left w:val="double" w:sz="4" w:space="0" w:color="auto"/>
            </w:tcBorders>
          </w:tcPr>
          <w:p w:rsidR="005B6934" w:rsidRPr="005F47F8" w:rsidRDefault="005B6934" w:rsidP="00AB5844">
            <w:pPr>
              <w:pStyle w:val="Tabletext"/>
              <w:keepNext/>
            </w:pPr>
            <w:r w:rsidRPr="005F47F8">
              <w:t>2</w:t>
            </w:r>
          </w:p>
        </w:tc>
      </w:tr>
      <w:tr w:rsidR="0024398B" w:rsidRPr="005F47F8" w:rsidTr="0024398B">
        <w:trPr>
          <w:cantSplit/>
        </w:trPr>
        <w:tc>
          <w:tcPr>
            <w:tcW w:w="1458" w:type="pct"/>
            <w:tcBorders>
              <w:right w:val="double" w:sz="4" w:space="0" w:color="auto"/>
            </w:tcBorders>
          </w:tcPr>
          <w:p w:rsidR="005B6934" w:rsidRPr="005F47F8" w:rsidRDefault="005B6934" w:rsidP="00AB5844">
            <w:pPr>
              <w:pStyle w:val="Tabletext"/>
              <w:keepNext/>
              <w:tabs>
                <w:tab w:val="left" w:pos="147"/>
              </w:tabs>
            </w:pPr>
            <w:r w:rsidRPr="005F47F8">
              <w:t>% with ≥ 1 exacerbation req</w:t>
            </w:r>
            <w:r w:rsidR="00F831D2" w:rsidRPr="005F47F8">
              <w:t>uiring</w:t>
            </w:r>
            <w:r w:rsidRPr="005F47F8">
              <w:t xml:space="preserve"> hospitalisation</w:t>
            </w:r>
          </w:p>
        </w:tc>
        <w:tc>
          <w:tcPr>
            <w:tcW w:w="543" w:type="pct"/>
          </w:tcPr>
          <w:p w:rsidR="005B6934" w:rsidRPr="005F47F8" w:rsidRDefault="005B6934" w:rsidP="00AB5844">
            <w:pPr>
              <w:pStyle w:val="Tabletext"/>
              <w:keepNext/>
            </w:pPr>
            <w:r w:rsidRPr="005F47F8">
              <w:t>18%</w:t>
            </w:r>
          </w:p>
        </w:tc>
        <w:tc>
          <w:tcPr>
            <w:tcW w:w="544" w:type="pct"/>
            <w:tcBorders>
              <w:left w:val="double" w:sz="4" w:space="0" w:color="auto"/>
            </w:tcBorders>
          </w:tcPr>
          <w:p w:rsidR="005B6934" w:rsidRPr="005F47F8" w:rsidRDefault="005B6934" w:rsidP="00AB5844">
            <w:pPr>
              <w:pStyle w:val="Tabletext"/>
              <w:keepNext/>
            </w:pPr>
            <w:r w:rsidRPr="005F47F8">
              <w:t>26%</w:t>
            </w:r>
          </w:p>
        </w:tc>
        <w:tc>
          <w:tcPr>
            <w:tcW w:w="1088" w:type="pct"/>
            <w:tcBorders>
              <w:left w:val="double" w:sz="4" w:space="0" w:color="auto"/>
            </w:tcBorders>
          </w:tcPr>
          <w:p w:rsidR="005B6934" w:rsidRPr="005F47F8" w:rsidRDefault="005B6934" w:rsidP="00AB5844">
            <w:pPr>
              <w:pStyle w:val="Tabletext"/>
              <w:keepNext/>
            </w:pPr>
            <w:r w:rsidRPr="005F47F8">
              <w:t>17%</w:t>
            </w:r>
          </w:p>
        </w:tc>
        <w:tc>
          <w:tcPr>
            <w:tcW w:w="699" w:type="pct"/>
            <w:tcBorders>
              <w:left w:val="double" w:sz="4" w:space="0" w:color="auto"/>
            </w:tcBorders>
          </w:tcPr>
          <w:p w:rsidR="005B6934" w:rsidRPr="005F47F8" w:rsidRDefault="005B6934" w:rsidP="00AB5844">
            <w:pPr>
              <w:pStyle w:val="Tabletext"/>
              <w:keepNext/>
            </w:pPr>
            <w:r w:rsidRPr="005F47F8">
              <w:t>39%</w:t>
            </w:r>
          </w:p>
        </w:tc>
        <w:tc>
          <w:tcPr>
            <w:tcW w:w="668" w:type="pct"/>
            <w:tcBorders>
              <w:left w:val="double" w:sz="4" w:space="0" w:color="auto"/>
            </w:tcBorders>
          </w:tcPr>
          <w:p w:rsidR="005B6934" w:rsidRPr="005F47F8" w:rsidRDefault="005B6934" w:rsidP="00AB5844">
            <w:pPr>
              <w:pStyle w:val="Tabletext"/>
              <w:keepNext/>
            </w:pPr>
            <w:r w:rsidRPr="005F47F8">
              <w:t>NR</w:t>
            </w:r>
          </w:p>
        </w:tc>
      </w:tr>
      <w:tr w:rsidR="0024398B" w:rsidRPr="005F47F8" w:rsidTr="0024398B">
        <w:trPr>
          <w:cantSplit/>
        </w:trPr>
        <w:tc>
          <w:tcPr>
            <w:tcW w:w="1458" w:type="pct"/>
            <w:tcBorders>
              <w:right w:val="double" w:sz="4" w:space="0" w:color="auto"/>
            </w:tcBorders>
          </w:tcPr>
          <w:p w:rsidR="005B6934" w:rsidRPr="005F47F8" w:rsidRDefault="005B6934" w:rsidP="00AB5844">
            <w:pPr>
              <w:pStyle w:val="Tabletext"/>
              <w:keepNext/>
              <w:tabs>
                <w:tab w:val="left" w:pos="147"/>
              </w:tabs>
            </w:pPr>
            <w:r w:rsidRPr="005F47F8">
              <w:t>Time since asthma diagnosis, median yrs</w:t>
            </w:r>
          </w:p>
        </w:tc>
        <w:tc>
          <w:tcPr>
            <w:tcW w:w="543" w:type="pct"/>
          </w:tcPr>
          <w:p w:rsidR="005B6934" w:rsidRPr="005F47F8" w:rsidRDefault="005B6934" w:rsidP="00AB5844">
            <w:pPr>
              <w:pStyle w:val="Tabletext"/>
              <w:keepNext/>
            </w:pPr>
            <w:r w:rsidRPr="005F47F8">
              <w:t>17</w:t>
            </w:r>
          </w:p>
        </w:tc>
        <w:tc>
          <w:tcPr>
            <w:tcW w:w="544" w:type="pct"/>
            <w:tcBorders>
              <w:left w:val="double" w:sz="4" w:space="0" w:color="auto"/>
            </w:tcBorders>
          </w:tcPr>
          <w:p w:rsidR="005B6934" w:rsidRPr="005F47F8" w:rsidRDefault="005B6934" w:rsidP="00AB5844">
            <w:pPr>
              <w:pStyle w:val="Tabletext"/>
              <w:keepNext/>
            </w:pPr>
            <w:r w:rsidRPr="005F47F8">
              <w:t>14</w:t>
            </w:r>
          </w:p>
        </w:tc>
        <w:tc>
          <w:tcPr>
            <w:tcW w:w="1088" w:type="pct"/>
            <w:tcBorders>
              <w:left w:val="double" w:sz="4" w:space="0" w:color="auto"/>
            </w:tcBorders>
          </w:tcPr>
          <w:p w:rsidR="005B6934" w:rsidRPr="005F47F8" w:rsidRDefault="005B6934" w:rsidP="00AB5844">
            <w:pPr>
              <w:pStyle w:val="Tabletext"/>
              <w:keepNext/>
            </w:pPr>
            <w:r w:rsidRPr="005F47F8">
              <w:t>20</w:t>
            </w:r>
          </w:p>
        </w:tc>
        <w:tc>
          <w:tcPr>
            <w:tcW w:w="699" w:type="pct"/>
            <w:tcBorders>
              <w:left w:val="double" w:sz="4" w:space="0" w:color="auto"/>
            </w:tcBorders>
          </w:tcPr>
          <w:p w:rsidR="005B6934" w:rsidRPr="005F47F8" w:rsidRDefault="005B6934" w:rsidP="00AB5844">
            <w:pPr>
              <w:pStyle w:val="Tabletext"/>
              <w:keepNext/>
            </w:pPr>
            <w:r w:rsidRPr="005F47F8">
              <w:t>23</w:t>
            </w:r>
            <w:r w:rsidRPr="005F47F8">
              <w:rPr>
                <w:vertAlign w:val="superscript"/>
              </w:rPr>
              <w:t xml:space="preserve"> </w:t>
            </w:r>
          </w:p>
        </w:tc>
        <w:tc>
          <w:tcPr>
            <w:tcW w:w="668" w:type="pct"/>
            <w:tcBorders>
              <w:left w:val="double" w:sz="4" w:space="0" w:color="auto"/>
            </w:tcBorders>
          </w:tcPr>
          <w:p w:rsidR="005B6934" w:rsidRPr="005F47F8" w:rsidRDefault="005B6934" w:rsidP="00AB5844">
            <w:pPr>
              <w:pStyle w:val="Tabletext"/>
              <w:keepNext/>
            </w:pPr>
            <w:r w:rsidRPr="005F47F8">
              <w:t>24</w:t>
            </w:r>
          </w:p>
        </w:tc>
      </w:tr>
      <w:tr w:rsidR="0024398B" w:rsidRPr="005F47F8" w:rsidTr="0024398B">
        <w:trPr>
          <w:cantSplit/>
        </w:trPr>
        <w:tc>
          <w:tcPr>
            <w:tcW w:w="1458" w:type="pct"/>
            <w:tcBorders>
              <w:right w:val="double" w:sz="4" w:space="0" w:color="auto"/>
            </w:tcBorders>
          </w:tcPr>
          <w:p w:rsidR="005B6934" w:rsidRPr="005F47F8" w:rsidRDefault="005B6934" w:rsidP="00AB5844">
            <w:pPr>
              <w:pStyle w:val="Tabletext"/>
              <w:keepNext/>
              <w:tabs>
                <w:tab w:val="left" w:pos="147"/>
              </w:tabs>
            </w:pPr>
            <w:r w:rsidRPr="005F47F8">
              <w:t>% on maintenance OCS</w:t>
            </w:r>
          </w:p>
        </w:tc>
        <w:tc>
          <w:tcPr>
            <w:tcW w:w="543" w:type="pct"/>
          </w:tcPr>
          <w:p w:rsidR="005B6934" w:rsidRPr="005F47F8" w:rsidRDefault="005B6934" w:rsidP="00AB5844">
            <w:pPr>
              <w:pStyle w:val="Tabletext"/>
              <w:keepNext/>
            </w:pPr>
            <w:r w:rsidRPr="005F47F8">
              <w:t>11%</w:t>
            </w:r>
          </w:p>
        </w:tc>
        <w:tc>
          <w:tcPr>
            <w:tcW w:w="544" w:type="pct"/>
            <w:tcBorders>
              <w:left w:val="double" w:sz="4" w:space="0" w:color="auto"/>
            </w:tcBorders>
          </w:tcPr>
          <w:p w:rsidR="005B6934" w:rsidRPr="005F47F8" w:rsidRDefault="005B6934" w:rsidP="00AB5844">
            <w:pPr>
              <w:pStyle w:val="Tabletext"/>
              <w:keepNext/>
            </w:pPr>
            <w:r w:rsidRPr="005F47F8">
              <w:t>17%</w:t>
            </w:r>
          </w:p>
        </w:tc>
        <w:tc>
          <w:tcPr>
            <w:tcW w:w="1088" w:type="pct"/>
            <w:tcBorders>
              <w:left w:val="double" w:sz="4" w:space="0" w:color="auto"/>
            </w:tcBorders>
          </w:tcPr>
          <w:p w:rsidR="005B6934" w:rsidRPr="005F47F8" w:rsidRDefault="005B6934" w:rsidP="00AB5844">
            <w:pPr>
              <w:pStyle w:val="Tabletext"/>
              <w:keepNext/>
            </w:pPr>
            <w:r w:rsidRPr="005F47F8">
              <w:t>25%</w:t>
            </w:r>
          </w:p>
        </w:tc>
        <w:tc>
          <w:tcPr>
            <w:tcW w:w="699" w:type="pct"/>
            <w:tcBorders>
              <w:left w:val="double" w:sz="4" w:space="0" w:color="auto"/>
            </w:tcBorders>
          </w:tcPr>
          <w:p w:rsidR="005B6934" w:rsidRPr="005F47F8" w:rsidRDefault="005B6934" w:rsidP="00AB5844">
            <w:pPr>
              <w:pStyle w:val="Tabletext"/>
              <w:keepNext/>
            </w:pPr>
            <w:r w:rsidRPr="005F47F8">
              <w:t>22%</w:t>
            </w:r>
          </w:p>
        </w:tc>
        <w:tc>
          <w:tcPr>
            <w:tcW w:w="668" w:type="pct"/>
            <w:tcBorders>
              <w:left w:val="double" w:sz="4" w:space="0" w:color="auto"/>
            </w:tcBorders>
          </w:tcPr>
          <w:p w:rsidR="005B6934" w:rsidRPr="005F47F8" w:rsidRDefault="005B6934" w:rsidP="00AB5844">
            <w:pPr>
              <w:pStyle w:val="Tabletext"/>
              <w:keepNext/>
            </w:pPr>
            <w:r w:rsidRPr="005F47F8">
              <w:t>17%</w:t>
            </w:r>
          </w:p>
        </w:tc>
      </w:tr>
    </w:tbl>
    <w:p w:rsidR="00FA148B" w:rsidRPr="005F47F8" w:rsidRDefault="00FA148B" w:rsidP="00AB5844">
      <w:pPr>
        <w:pStyle w:val="TableFooter"/>
        <w:keepNext/>
        <w:jc w:val="left"/>
      </w:pPr>
      <w:r w:rsidRPr="005F47F8">
        <w:t>Source: Clinical study reports (p96-109 of SIROCCO; p94-108 of CALIMA); Ortega HG et al, 2014; Humbert et al 2008; Hanania et al 2011; Sthoeger et al 2007</w:t>
      </w:r>
    </w:p>
    <w:p w:rsidR="00FA148B" w:rsidRPr="005F47F8" w:rsidRDefault="00FA148B" w:rsidP="00AB5844">
      <w:pPr>
        <w:pStyle w:val="TableFooter"/>
        <w:keepNext/>
      </w:pPr>
      <w:r w:rsidRPr="005F47F8">
        <w:t>EOS = eosinophils;</w:t>
      </w:r>
      <w:r w:rsidR="00721400" w:rsidRPr="005F47F8">
        <w:t xml:space="preserve"> </w:t>
      </w:r>
      <w:r w:rsidRPr="005F47F8">
        <w:t xml:space="preserve">ICS = inhaled corticosteroid; </w:t>
      </w:r>
      <w:r w:rsidR="0024398B" w:rsidRPr="005F47F8">
        <w:t xml:space="preserve">IgE = immunoglobulin E; </w:t>
      </w:r>
      <w:r w:rsidRPr="005F47F8">
        <w:t>NA = not applicable; NR = not reported; OCS = oral corticosteroids;</w:t>
      </w:r>
      <w:r w:rsidR="0024398B" w:rsidRPr="005F47F8">
        <w:t xml:space="preserve"> pop = population;</w:t>
      </w:r>
      <w:r w:rsidRPr="005F47F8">
        <w:t xml:space="preserve"> SD = standard deviation; yrs = years</w:t>
      </w:r>
    </w:p>
    <w:p w:rsidR="00F12FF2" w:rsidRPr="005F47F8" w:rsidRDefault="0024398B" w:rsidP="00AB5844">
      <w:pPr>
        <w:pStyle w:val="TableFooter"/>
        <w:keepNext/>
      </w:pPr>
      <w:r w:rsidRPr="005F47F8">
        <w:rPr>
          <w:vertAlign w:val="superscript"/>
        </w:rPr>
        <w:t xml:space="preserve">a </w:t>
      </w:r>
      <w:r w:rsidR="00F12FF2" w:rsidRPr="005F47F8">
        <w:t>Based on the primary efficacy population and the eight-weekly and placebo groups only</w:t>
      </w:r>
    </w:p>
    <w:p w:rsidR="0024398B" w:rsidRPr="005F47F8" w:rsidRDefault="00F12FF2" w:rsidP="00AB5844">
      <w:pPr>
        <w:pStyle w:val="TableFooter"/>
        <w:keepNext/>
      </w:pPr>
      <w:r w:rsidRPr="005F47F8">
        <w:rPr>
          <w:vertAlign w:val="superscript"/>
        </w:rPr>
        <w:t xml:space="preserve">b </w:t>
      </w:r>
      <w:r w:rsidR="004B2C0A" w:rsidRPr="005F47F8">
        <w:t>Fl</w:t>
      </w:r>
      <w:r w:rsidR="0024398B" w:rsidRPr="005F47F8">
        <w:t xml:space="preserve">uticasone propionate </w:t>
      </w:r>
      <w:r w:rsidR="004B2C0A" w:rsidRPr="005F47F8">
        <w:t>dry powder inhaler</w:t>
      </w:r>
      <w:r w:rsidR="0024398B" w:rsidRPr="005F47F8">
        <w:t xml:space="preserve"> or equivalent</w:t>
      </w:r>
      <w:r w:rsidR="004B2C0A" w:rsidRPr="005F47F8">
        <w:t>. Note these are the doses</w:t>
      </w:r>
      <w:r w:rsidR="0024398B" w:rsidRPr="005F47F8">
        <w:t xml:space="preserve"> in patients aged ≥ 18 years</w:t>
      </w:r>
      <w:r w:rsidR="004B2C0A" w:rsidRPr="005F47F8">
        <w:t xml:space="preserve"> only.</w:t>
      </w:r>
    </w:p>
    <w:p w:rsidR="008119AC" w:rsidRPr="00075A03" w:rsidRDefault="008119AC" w:rsidP="004B1160">
      <w:pPr>
        <w:widowControl/>
        <w:numPr>
          <w:ilvl w:val="1"/>
          <w:numId w:val="1"/>
        </w:numPr>
        <w:spacing w:after="120"/>
        <w:ind w:left="709"/>
      </w:pPr>
      <w:r w:rsidRPr="005F47F8">
        <w:t>Patients in the mepolizumab trial (MENSA) may have had more severe asthma than patients in the benralizumab trials</w:t>
      </w:r>
      <w:r w:rsidR="004B2C0A" w:rsidRPr="005F47F8">
        <w:t>,</w:t>
      </w:r>
      <w:r w:rsidRPr="005F47F8">
        <w:t xml:space="preserve"> especially CALIMA. Patients in MENSA had more </w:t>
      </w:r>
      <w:r w:rsidR="00FA148B" w:rsidRPr="005F47F8">
        <w:t xml:space="preserve">prior </w:t>
      </w:r>
      <w:r w:rsidRPr="005F47F8">
        <w:t xml:space="preserve">exacerbations </w:t>
      </w:r>
      <w:r w:rsidR="00C63F8D" w:rsidRPr="005F47F8">
        <w:t xml:space="preserve">(3.7 </w:t>
      </w:r>
      <w:r w:rsidR="00FA148B" w:rsidRPr="005F47F8">
        <w:t xml:space="preserve">in the previous year </w:t>
      </w:r>
      <w:r w:rsidR="00C63F8D" w:rsidRPr="005F47F8">
        <w:t>versus 2.</w:t>
      </w:r>
      <w:r w:rsidR="009353D2" w:rsidRPr="005F47F8">
        <w:t>7</w:t>
      </w:r>
      <w:r w:rsidR="00C63F8D" w:rsidRPr="005F47F8">
        <w:t xml:space="preserve"> in CALIMA), were more likely to be on oral corticosteroids at baseline (2</w:t>
      </w:r>
      <w:r w:rsidR="009353D2" w:rsidRPr="005F47F8">
        <w:t>5</w:t>
      </w:r>
      <w:r w:rsidR="00C63F8D" w:rsidRPr="005F47F8">
        <w:t xml:space="preserve">% </w:t>
      </w:r>
      <w:r w:rsidR="00D32E2C" w:rsidRPr="005F47F8">
        <w:t>versus</w:t>
      </w:r>
      <w:r w:rsidR="00C63F8D" w:rsidRPr="005F47F8">
        <w:t xml:space="preserve"> 11% </w:t>
      </w:r>
      <w:r w:rsidR="004B2C0A" w:rsidRPr="005F47F8">
        <w:t>in CALIMA</w:t>
      </w:r>
      <w:r w:rsidR="00C63F8D" w:rsidRPr="005F47F8">
        <w:t>)</w:t>
      </w:r>
      <w:r w:rsidRPr="005F47F8">
        <w:t xml:space="preserve"> and </w:t>
      </w:r>
      <w:r w:rsidR="00725C3D" w:rsidRPr="005F47F8">
        <w:t xml:space="preserve">were </w:t>
      </w:r>
      <w:r w:rsidR="0090423F" w:rsidRPr="005F47F8">
        <w:t>likely</w:t>
      </w:r>
      <w:r w:rsidR="00725C3D" w:rsidRPr="005F47F8">
        <w:t xml:space="preserve"> to have</w:t>
      </w:r>
      <w:r w:rsidR="00CA7F91" w:rsidRPr="005F47F8">
        <w:t xml:space="preserve"> a </w:t>
      </w:r>
      <w:r w:rsidRPr="005F47F8">
        <w:t xml:space="preserve">higher baseline </w:t>
      </w:r>
      <w:r w:rsidR="00D32E2C" w:rsidRPr="005F47F8">
        <w:t xml:space="preserve">dose of </w:t>
      </w:r>
      <w:r w:rsidRPr="005F47F8">
        <w:t>inhaled corticosteroids (</w:t>
      </w:r>
      <w:r w:rsidR="00CA7F91" w:rsidRPr="005F47F8">
        <w:t xml:space="preserve">the inclusion criteria </w:t>
      </w:r>
      <w:r w:rsidR="00CA7F91" w:rsidRPr="00075A03">
        <w:t xml:space="preserve">were </w:t>
      </w:r>
      <w:r w:rsidRPr="00075A03">
        <w:t xml:space="preserve">≥ 880 µg versus &gt; 500 µg per day </w:t>
      </w:r>
      <w:r w:rsidR="005733D4" w:rsidRPr="00075A03">
        <w:t xml:space="preserve">of </w:t>
      </w:r>
      <w:r w:rsidRPr="00075A03">
        <w:t>fluticasone</w:t>
      </w:r>
      <w:r w:rsidR="000C187A" w:rsidRPr="00075A03">
        <w:t xml:space="preserve"> propionate</w:t>
      </w:r>
      <w:r w:rsidR="004B2C0A" w:rsidRPr="00075A03">
        <w:t>).</w:t>
      </w:r>
      <w:r w:rsidR="00725C3D" w:rsidRPr="00075A03">
        <w:t xml:space="preserve"> </w:t>
      </w:r>
      <w:r w:rsidR="007D2B49" w:rsidRPr="00075A03">
        <w:t xml:space="preserve">On the other hand, </w:t>
      </w:r>
      <w:r w:rsidR="002B066F" w:rsidRPr="00075A03">
        <w:t>p</w:t>
      </w:r>
      <w:r w:rsidR="00E2336D" w:rsidRPr="00075A03">
        <w:t>atients in MENSA had lower baseline eosinophils than those in the benralizumab trials</w:t>
      </w:r>
      <w:r w:rsidR="00F51403">
        <w:t>.</w:t>
      </w:r>
      <w:r w:rsidR="00E2336D" w:rsidRPr="00075A03">
        <w:t xml:space="preserve"> (</w:t>
      </w:r>
      <w:r w:rsidR="00FD70A3" w:rsidRPr="00075A03">
        <w:t>Th</w:t>
      </w:r>
      <w:r w:rsidR="00FC62D9" w:rsidRPr="00075A03">
        <w:t>is was</w:t>
      </w:r>
      <w:r w:rsidR="00FD70A3" w:rsidRPr="00075A03">
        <w:t>, in part,</w:t>
      </w:r>
      <w:r w:rsidR="00FC62D9" w:rsidRPr="00075A03">
        <w:t xml:space="preserve"> </w:t>
      </w:r>
      <w:r w:rsidR="00E2336D" w:rsidRPr="00075A03">
        <w:t>due to lower thresholds in the inclusion criteria</w:t>
      </w:r>
      <w:r w:rsidR="005733D4" w:rsidRPr="00075A03">
        <w:t>, which were</w:t>
      </w:r>
      <w:r w:rsidR="002B066F" w:rsidRPr="00075A03">
        <w:t xml:space="preserve"> </w:t>
      </w:r>
      <w:r w:rsidR="005733D4" w:rsidRPr="00075A03">
        <w:t>≥ </w:t>
      </w:r>
      <w:r w:rsidR="002B066F" w:rsidRPr="00075A03">
        <w:t xml:space="preserve">150 </w:t>
      </w:r>
      <w:r w:rsidR="005733D4" w:rsidRPr="00075A03">
        <w:t xml:space="preserve">cells/μL </w:t>
      </w:r>
      <w:r w:rsidR="002B066F" w:rsidRPr="00075A03">
        <w:t>at baseline or ≥ 300 in the past year in MENSA</w:t>
      </w:r>
      <w:r w:rsidR="00FD70A3" w:rsidRPr="00075A03">
        <w:t>,</w:t>
      </w:r>
      <w:r w:rsidR="002B066F" w:rsidRPr="00075A03">
        <w:t xml:space="preserve"> versus ≥ 300 at baseline in the benralizumab trials</w:t>
      </w:r>
      <w:r w:rsidR="00FC62D9" w:rsidRPr="00075A03">
        <w:t>. The ESC noted that this may also have been due to</w:t>
      </w:r>
      <w:r w:rsidR="00FD70A3" w:rsidRPr="00075A03">
        <w:t xml:space="preserve"> higher rates of use of </w:t>
      </w:r>
      <w:r w:rsidR="00FC62D9" w:rsidRPr="00075A03">
        <w:t>oral corticosteroid</w:t>
      </w:r>
      <w:r w:rsidR="00FD70A3" w:rsidRPr="00075A03">
        <w:t>s</w:t>
      </w:r>
      <w:r w:rsidR="00FC62D9" w:rsidRPr="00075A03">
        <w:t>, which reduce eosinophil levels, in the MENSA trial</w:t>
      </w:r>
      <w:r w:rsidR="00FD70A3" w:rsidRPr="00075A03">
        <w:t>.</w:t>
      </w:r>
      <w:r w:rsidR="00E2336D" w:rsidRPr="00075A03">
        <w:t xml:space="preserve">) </w:t>
      </w:r>
      <w:r w:rsidRPr="00075A03">
        <w:t xml:space="preserve">While the overall direction of bias was likely to favour mepolizumab, there were many confounding factors </w:t>
      </w:r>
      <w:r w:rsidR="00E2336D" w:rsidRPr="00075A03">
        <w:t xml:space="preserve">which </w:t>
      </w:r>
      <w:r w:rsidR="00BF5326" w:rsidRPr="00075A03">
        <w:t xml:space="preserve">could </w:t>
      </w:r>
      <w:r w:rsidR="005733D4" w:rsidRPr="00075A03">
        <w:t xml:space="preserve">be considered in any </w:t>
      </w:r>
      <w:r w:rsidR="00725C3D" w:rsidRPr="00075A03">
        <w:t>adjust</w:t>
      </w:r>
      <w:r w:rsidR="005733D4" w:rsidRPr="00075A03">
        <w:t>ment</w:t>
      </w:r>
      <w:r w:rsidR="00725C3D" w:rsidRPr="00075A03">
        <w:t xml:space="preserve"> for bias</w:t>
      </w:r>
      <w:r w:rsidR="005733D4" w:rsidRPr="00075A03">
        <w:t xml:space="preserve">. </w:t>
      </w:r>
      <w:r w:rsidR="00F831D2" w:rsidRPr="00075A03">
        <w:t xml:space="preserve">The key difference between </w:t>
      </w:r>
      <w:r w:rsidR="005347B4" w:rsidRPr="00075A03">
        <w:t>p</w:t>
      </w:r>
      <w:r w:rsidRPr="00075A03">
        <w:t xml:space="preserve">atients in the omalizumab and benralizumab trials </w:t>
      </w:r>
      <w:r w:rsidR="00F831D2" w:rsidRPr="00075A03">
        <w:t>was that they</w:t>
      </w:r>
      <w:r w:rsidRPr="00075A03">
        <w:t xml:space="preserve"> recruited </w:t>
      </w:r>
      <w:r w:rsidR="00D32E2C" w:rsidRPr="00075A03">
        <w:t xml:space="preserve">patients with </w:t>
      </w:r>
      <w:r w:rsidRPr="00075A03">
        <w:t>a different type of asthma (allergic</w:t>
      </w:r>
      <w:r w:rsidR="00CA7F91" w:rsidRPr="00075A03">
        <w:t xml:space="preserve"> versus eosinophilic</w:t>
      </w:r>
      <w:r w:rsidRPr="00075A03">
        <w:t>)</w:t>
      </w:r>
      <w:r w:rsidR="00F831D2" w:rsidRPr="00075A03">
        <w:t>.</w:t>
      </w:r>
      <w:r w:rsidR="00F831D2" w:rsidRPr="00075A03" w:rsidDel="00F831D2">
        <w:t xml:space="preserve"> </w:t>
      </w:r>
    </w:p>
    <w:p w:rsidR="009353D2" w:rsidRPr="005F47F8" w:rsidRDefault="009353D2" w:rsidP="004B1160">
      <w:pPr>
        <w:widowControl/>
        <w:numPr>
          <w:ilvl w:val="1"/>
          <w:numId w:val="1"/>
        </w:numPr>
        <w:spacing w:after="120"/>
      </w:pPr>
      <w:r w:rsidRPr="005F47F8">
        <w:t xml:space="preserve">The exacerbation rates in the common reference arms (standard of care) differed substantially, as shown in Table 6. Exacerbation rates in the standard of care arms </w:t>
      </w:r>
      <w:r w:rsidRPr="00CF65A6">
        <w:t>were much lower in the benralizumab trials than the other trials (0.93</w:t>
      </w:r>
      <w:r w:rsidR="00093721" w:rsidRPr="00CF65A6">
        <w:t xml:space="preserve"> and 1.33</w:t>
      </w:r>
      <w:r w:rsidRPr="00CF65A6">
        <w:t xml:space="preserve"> exacerbations per year in CALIMA</w:t>
      </w:r>
      <w:r w:rsidRPr="00075A03">
        <w:t xml:space="preserve"> </w:t>
      </w:r>
      <w:r w:rsidR="003D2CE9" w:rsidRPr="00075A03">
        <w:t xml:space="preserve">and SIROCCO respectively </w:t>
      </w:r>
      <w:r w:rsidRPr="00075A03">
        <w:t>versus</w:t>
      </w:r>
      <w:r w:rsidRPr="005F47F8">
        <w:t xml:space="preserve"> 1.74 per year in the MENSA trial of mepolizumab and 0.91 over 28 weeks in the INNOVATE trial of omalizumab). These differences likely reflect the effect of heterogeneity across the trials as discussed </w:t>
      </w:r>
      <w:r w:rsidR="006A1AC6" w:rsidRPr="005F47F8">
        <w:t>above</w:t>
      </w:r>
      <w:r w:rsidRPr="005F47F8">
        <w:t xml:space="preserve">. </w:t>
      </w:r>
    </w:p>
    <w:p w:rsidR="001C0263" w:rsidRPr="005F47F8" w:rsidRDefault="008119AC" w:rsidP="00203153">
      <w:pPr>
        <w:widowControl/>
        <w:numPr>
          <w:ilvl w:val="1"/>
          <w:numId w:val="1"/>
        </w:numPr>
        <w:spacing w:after="120"/>
        <w:ind w:left="709"/>
      </w:pPr>
      <w:r w:rsidRPr="005F47F8">
        <w:t xml:space="preserve">With regard to trial duration, the omalizumab trials did not report annualised exacerbation rates and the INNOVATE trial was only 28 weeks, while EXTRA was 48 weeks. While the benralizumab and mepolizumab trials reported annualised exacerbation rates, differences in duration may affect results if exacerbation rates are not distributed homogenously (e.g. due to seasonal exacerbations or patients spending longer at steady state). </w:t>
      </w:r>
    </w:p>
    <w:p w:rsidR="008119AC" w:rsidRPr="005F47F8" w:rsidRDefault="008119AC" w:rsidP="004B1160">
      <w:pPr>
        <w:widowControl/>
        <w:numPr>
          <w:ilvl w:val="1"/>
          <w:numId w:val="1"/>
        </w:numPr>
        <w:spacing w:after="120"/>
        <w:ind w:left="709"/>
      </w:pPr>
      <w:r w:rsidRPr="005F47F8">
        <w:rPr>
          <w:lang w:bidi="en-US"/>
        </w:rPr>
        <w:t xml:space="preserve">The indirect comparison is presented in the table below. Rate differences were not </w:t>
      </w:r>
      <w:r w:rsidR="00290266" w:rsidRPr="005F47F8">
        <w:rPr>
          <w:lang w:bidi="en-US"/>
        </w:rPr>
        <w:t xml:space="preserve">presented in the submission, which </w:t>
      </w:r>
      <w:r w:rsidR="007B3C9F" w:rsidRPr="005F47F8">
        <w:rPr>
          <w:lang w:bidi="en-US"/>
        </w:rPr>
        <w:t>may have been</w:t>
      </w:r>
      <w:r w:rsidR="00290266" w:rsidRPr="005F47F8">
        <w:rPr>
          <w:lang w:bidi="en-US"/>
        </w:rPr>
        <w:t xml:space="preserve"> appropriate</w:t>
      </w:r>
      <w:r w:rsidRPr="005F47F8">
        <w:rPr>
          <w:lang w:bidi="en-US"/>
        </w:rPr>
        <w:t xml:space="preserve"> given the difference in trial durations. </w:t>
      </w:r>
    </w:p>
    <w:p w:rsidR="008119AC" w:rsidRPr="008119AC" w:rsidRDefault="008119AC" w:rsidP="008119AC">
      <w:pPr>
        <w:keepNext/>
        <w:keepLines/>
        <w:widowControl/>
        <w:spacing w:before="40" w:after="40"/>
        <w:jc w:val="left"/>
        <w:rPr>
          <w:rFonts w:ascii="Arial Narrow" w:hAnsi="Arial Narrow"/>
          <w:b/>
          <w:sz w:val="20"/>
          <w:szCs w:val="20"/>
        </w:rPr>
      </w:pPr>
      <w:r w:rsidRPr="008119AC">
        <w:rPr>
          <w:rFonts w:ascii="Arial Narrow" w:hAnsi="Arial Narrow"/>
          <w:b/>
          <w:sz w:val="20"/>
          <w:szCs w:val="20"/>
        </w:rPr>
        <w:t xml:space="preserve">Table </w:t>
      </w:r>
      <w:r w:rsidR="0086508A">
        <w:rPr>
          <w:rFonts w:ascii="Arial Narrow" w:hAnsi="Arial Narrow"/>
          <w:b/>
          <w:sz w:val="20"/>
          <w:szCs w:val="20"/>
        </w:rPr>
        <w:t>6</w:t>
      </w:r>
      <w:r w:rsidRPr="008119AC">
        <w:rPr>
          <w:rFonts w:ascii="Arial Narrow" w:hAnsi="Arial Narrow"/>
          <w:b/>
          <w:sz w:val="20"/>
          <w:szCs w:val="20"/>
        </w:rPr>
        <w:t>: Indirect comparison of clinically significant exacerbations (primary efficacy population</w:t>
      </w:r>
      <w:r w:rsidR="00191095" w:rsidRPr="008119AC">
        <w:rPr>
          <w:rFonts w:ascii="Arial Narrow" w:hAnsi="Arial Narrow"/>
          <w:b/>
          <w:sz w:val="20"/>
          <w:szCs w:val="20"/>
        </w:rPr>
        <w:t>, q8w</w:t>
      </w:r>
      <w:r w:rsidRPr="008119AC">
        <w:rPr>
          <w:rFonts w:ascii="Arial Narrow" w:hAnsi="Arial Narrow"/>
          <w:b/>
          <w:sz w:val="20"/>
          <w:szCs w:val="20"/>
        </w:rPr>
        <w:t xml:space="preserv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9"/>
        <w:gridCol w:w="1402"/>
        <w:gridCol w:w="1119"/>
        <w:gridCol w:w="1255"/>
        <w:gridCol w:w="699"/>
        <w:gridCol w:w="1520"/>
        <w:gridCol w:w="1260"/>
      </w:tblGrid>
      <w:tr w:rsidR="008119AC" w:rsidRPr="008119AC" w:rsidTr="00784868">
        <w:trPr>
          <w:cantSplit/>
          <w:tblHeader/>
        </w:trPr>
        <w:tc>
          <w:tcPr>
            <w:tcW w:w="953" w:type="pct"/>
            <w:vMerge w:val="restar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 xml:space="preserve">Trial </w:t>
            </w:r>
          </w:p>
        </w:tc>
        <w:tc>
          <w:tcPr>
            <w:tcW w:w="1406" w:type="pct"/>
            <w:gridSpan w:val="2"/>
            <w:tcBorders>
              <w:top w:val="single" w:sz="4" w:space="0" w:color="auto"/>
              <w:left w:val="nil"/>
              <w:bottom w:val="single" w:sz="4" w:space="0" w:color="auto"/>
              <w:right w:val="doub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Benralizumab</w:t>
            </w:r>
          </w:p>
        </w:tc>
        <w:tc>
          <w:tcPr>
            <w:tcW w:w="700" w:type="pct"/>
            <w:vMerge w:val="restart"/>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SOC</w:t>
            </w:r>
            <w:r w:rsidRPr="008119AC">
              <w:rPr>
                <w:rFonts w:ascii="Arial Narrow" w:eastAsiaTheme="majorEastAsia" w:hAnsi="Arial Narrow"/>
                <w:b/>
                <w:snapToGrid/>
                <w:sz w:val="20"/>
                <w:szCs w:val="20"/>
                <w:lang w:eastAsia="en-AU" w:bidi="en-US"/>
              </w:rPr>
              <w:br/>
              <w:t>Exac rate/yr</w:t>
            </w:r>
          </w:p>
        </w:tc>
        <w:tc>
          <w:tcPr>
            <w:tcW w:w="1238" w:type="pct"/>
            <w:gridSpan w:val="2"/>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Mepolizumab / Omalizumab</w:t>
            </w:r>
          </w:p>
        </w:tc>
        <w:tc>
          <w:tcPr>
            <w:tcW w:w="703" w:type="pct"/>
            <w:vMerge w:val="restar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6E69B2">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Indirect RR</w:t>
            </w:r>
            <w:r w:rsidR="006E69B2">
              <w:rPr>
                <w:rFonts w:ascii="Arial Narrow" w:eastAsiaTheme="majorEastAsia" w:hAnsi="Arial Narrow"/>
                <w:b/>
                <w:snapToGrid/>
                <w:sz w:val="20"/>
                <w:szCs w:val="20"/>
                <w:lang w:eastAsia="en-AU" w:bidi="en-US"/>
              </w:rPr>
              <w:t xml:space="preserve"> </w:t>
            </w:r>
            <w:r w:rsidR="006E69B2">
              <w:rPr>
                <w:rFonts w:ascii="Arial Narrow" w:eastAsiaTheme="majorEastAsia" w:hAnsi="Arial Narrow"/>
                <w:b/>
                <w:snapToGrid/>
                <w:sz w:val="20"/>
                <w:szCs w:val="20"/>
                <w:vertAlign w:val="superscript"/>
                <w:lang w:eastAsia="en-AU" w:bidi="en-US"/>
              </w:rPr>
              <w:t>a</w:t>
            </w:r>
            <w:r w:rsidRPr="008119AC">
              <w:rPr>
                <w:rFonts w:ascii="Arial Narrow" w:eastAsiaTheme="majorEastAsia" w:hAnsi="Arial Narrow"/>
                <w:b/>
                <w:snapToGrid/>
                <w:sz w:val="20"/>
                <w:szCs w:val="20"/>
                <w:lang w:eastAsia="en-AU" w:bidi="en-US"/>
              </w:rPr>
              <w:br/>
              <w:t>(95% CI)</w:t>
            </w:r>
          </w:p>
        </w:tc>
      </w:tr>
      <w:tr w:rsidR="008119AC" w:rsidRPr="008119AC" w:rsidTr="00784868">
        <w:trPr>
          <w:cantSplit/>
          <w:trHeight w:val="5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119AC">
            <w:pPr>
              <w:keepNext/>
              <w:keepLines/>
              <w:widowControl/>
              <w:jc w:val="left"/>
              <w:rPr>
                <w:rFonts w:ascii="Arial Narrow" w:eastAsiaTheme="majorEastAsia" w:hAnsi="Arial Narrow"/>
                <w:b/>
                <w:sz w:val="20"/>
                <w:szCs w:val="20"/>
                <w:lang w:eastAsia="en-AU" w:bidi="en-US"/>
              </w:rPr>
            </w:pPr>
          </w:p>
        </w:tc>
        <w:tc>
          <w:tcPr>
            <w:tcW w:w="78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RR (95% CI)</w:t>
            </w:r>
          </w:p>
        </w:tc>
        <w:tc>
          <w:tcPr>
            <w:tcW w:w="624" w:type="pct"/>
            <w:tcBorders>
              <w:top w:val="single" w:sz="4" w:space="0" w:color="auto"/>
              <w:left w:val="single" w:sz="4" w:space="0" w:color="auto"/>
              <w:bottom w:val="single" w:sz="4" w:space="0" w:color="auto"/>
              <w:right w:val="doub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BEN</w:t>
            </w:r>
          </w:p>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Exac rate/yr</w:t>
            </w:r>
          </w:p>
        </w:tc>
        <w:tc>
          <w:tcPr>
            <w:tcW w:w="700" w:type="pct"/>
            <w:vMerge/>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119AC">
            <w:pPr>
              <w:keepNext/>
              <w:keepLines/>
              <w:widowControl/>
              <w:jc w:val="left"/>
              <w:rPr>
                <w:rFonts w:ascii="Arial Narrow" w:eastAsiaTheme="majorEastAsia" w:hAnsi="Arial Narrow"/>
                <w:b/>
                <w:sz w:val="20"/>
                <w:szCs w:val="20"/>
                <w:lang w:eastAsia="en-AU" w:bidi="en-US"/>
              </w:rPr>
            </w:pPr>
          </w:p>
        </w:tc>
        <w:tc>
          <w:tcPr>
            <w:tcW w:w="39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Exac rate/yr</w:t>
            </w:r>
          </w:p>
        </w:tc>
        <w:tc>
          <w:tcPr>
            <w:tcW w:w="848"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0C187A">
            <w:pPr>
              <w:keepNext/>
              <w:keepLines/>
              <w:widowControl/>
              <w:spacing w:before="20" w:after="20" w:line="276" w:lineRule="auto"/>
              <w:jc w:val="center"/>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RR (95% 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119AC">
            <w:pPr>
              <w:keepNext/>
              <w:keepLines/>
              <w:widowControl/>
              <w:jc w:val="left"/>
              <w:rPr>
                <w:rFonts w:ascii="Arial Narrow" w:eastAsiaTheme="majorEastAsia" w:hAnsi="Arial Narrow"/>
                <w:b/>
                <w:sz w:val="20"/>
                <w:szCs w:val="20"/>
                <w:lang w:eastAsia="en-AU" w:bidi="en-US"/>
              </w:rPr>
            </w:pPr>
          </w:p>
        </w:tc>
      </w:tr>
      <w:tr w:rsidR="008119AC" w:rsidRPr="008119AC" w:rsidTr="002A2711">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8119AC" w:rsidRPr="008119AC" w:rsidRDefault="008119AC" w:rsidP="004B399A">
            <w:pPr>
              <w:keepNext/>
              <w:keepLines/>
              <w:widowControl/>
              <w:spacing w:before="20" w:after="20" w:line="276" w:lineRule="auto"/>
              <w:jc w:val="left"/>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Benralizumab (30 mg q8w)</w:t>
            </w:r>
            <w:r w:rsidRPr="008119AC">
              <w:rPr>
                <w:rFonts w:ascii="Arial Narrow" w:eastAsiaTheme="majorEastAsia" w:hAnsi="Arial Narrow"/>
                <w:snapToGrid/>
                <w:sz w:val="20"/>
                <w:szCs w:val="20"/>
                <w:vertAlign w:val="superscript"/>
                <w:lang w:eastAsia="en-AU" w:bidi="en-US"/>
              </w:rPr>
              <w:t xml:space="preserve"> </w:t>
            </w:r>
            <w:r w:rsidRPr="008119AC">
              <w:rPr>
                <w:rFonts w:ascii="Arial Narrow" w:eastAsiaTheme="majorEastAsia" w:hAnsi="Arial Narrow"/>
                <w:b/>
                <w:snapToGrid/>
                <w:sz w:val="20"/>
                <w:szCs w:val="20"/>
                <w:lang w:eastAsia="en-AU" w:bidi="en-US"/>
              </w:rPr>
              <w:t xml:space="preserve"> versus mepolizumab (100 mg SC)</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CALIMA (n = 487), efficacy population</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0.72 (0.54, 0.95)</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0.66 (0.54, 0.82)</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0.93 (0.77, 1.12)</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SIROCCO (n = 534) efficacy population</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0.49 (0.37, 0.64)</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0.65 (0.53, 0.80)</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1.33 (1.12, 1.58)</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MENSA (n = 385)</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1.74</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0.83</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0.47 (0.35, 0.64)</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vertAlign w:val="superscript"/>
                <w:lang w:eastAsia="en-AU" w:bidi="en-US"/>
              </w:rPr>
            </w:pPr>
            <w:r w:rsidRPr="008119AC">
              <w:rPr>
                <w:rFonts w:ascii="Arial Narrow" w:eastAsiaTheme="majorEastAsia" w:hAnsi="Arial Narrow"/>
                <w:snapToGrid/>
                <w:sz w:val="20"/>
                <w:szCs w:val="20"/>
                <w:lang w:eastAsia="en-AU" w:bidi="en-US"/>
              </w:rPr>
              <w:t>Pooled random effects</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6E69B2">
            <w:pPr>
              <w:keepNext/>
              <w:keepLines/>
              <w:widowControl/>
              <w:spacing w:before="20" w:after="20" w:line="276" w:lineRule="auto"/>
              <w:jc w:val="left"/>
              <w:rPr>
                <w:rFonts w:ascii="Arial Narrow" w:eastAsiaTheme="majorEastAsia" w:hAnsi="Arial Narrow"/>
                <w:snapToGrid/>
                <w:sz w:val="20"/>
                <w:szCs w:val="20"/>
                <w:vertAlign w:val="superscript"/>
                <w:lang w:eastAsia="en-AU" w:bidi="en-US"/>
              </w:rPr>
            </w:pPr>
            <w:r w:rsidRPr="008119AC">
              <w:rPr>
                <w:rFonts w:ascii="Arial Narrow" w:eastAsiaTheme="majorEastAsia" w:hAnsi="Arial Narrow"/>
                <w:snapToGrid/>
                <w:sz w:val="20"/>
                <w:szCs w:val="20"/>
                <w:lang w:eastAsia="en-AU" w:bidi="en-US"/>
              </w:rPr>
              <w:t>0.59 (0.41, 0.86)</w:t>
            </w:r>
            <w:r w:rsidR="00784868">
              <w:rPr>
                <w:rFonts w:ascii="Arial Narrow" w:eastAsiaTheme="majorEastAsia" w:hAnsi="Arial Narrow"/>
                <w:snapToGrid/>
                <w:sz w:val="20"/>
                <w:szCs w:val="20"/>
                <w:lang w:eastAsia="en-AU" w:bidi="en-US"/>
              </w:rPr>
              <w:t xml:space="preserve"> </w:t>
            </w:r>
            <w:r w:rsidR="006E69B2">
              <w:rPr>
                <w:rFonts w:ascii="Arial Narrow" w:eastAsiaTheme="majorEastAsia" w:hAnsi="Arial Narrow"/>
                <w:snapToGrid/>
                <w:sz w:val="20"/>
                <w:szCs w:val="20"/>
                <w:vertAlign w:val="superscript"/>
                <w:lang w:eastAsia="en-AU" w:bidi="en-US"/>
              </w:rPr>
              <w:t>b</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0.47 (0.35, 0.64)</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1.25 (0.78, 2.02)</w:t>
            </w:r>
          </w:p>
        </w:tc>
      </w:tr>
      <w:tr w:rsidR="008119AC" w:rsidRPr="008119AC" w:rsidTr="002A2711">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8119AC" w:rsidRPr="008119AC" w:rsidRDefault="008119AC" w:rsidP="00784868">
            <w:pPr>
              <w:keepNext/>
              <w:keepLines/>
              <w:widowControl/>
              <w:spacing w:before="20" w:after="20" w:line="276" w:lineRule="auto"/>
              <w:jc w:val="left"/>
              <w:rPr>
                <w:rFonts w:ascii="Arial Narrow" w:eastAsiaTheme="majorEastAsia" w:hAnsi="Arial Narrow"/>
                <w:b/>
                <w:snapToGrid/>
                <w:sz w:val="20"/>
                <w:szCs w:val="20"/>
                <w:lang w:eastAsia="en-AU" w:bidi="en-US"/>
              </w:rPr>
            </w:pPr>
            <w:r w:rsidRPr="008119AC">
              <w:rPr>
                <w:rFonts w:ascii="Arial Narrow" w:eastAsiaTheme="majorEastAsia" w:hAnsi="Arial Narrow"/>
                <w:b/>
                <w:snapToGrid/>
                <w:sz w:val="20"/>
                <w:szCs w:val="20"/>
                <w:lang w:eastAsia="en-AU" w:bidi="en-US"/>
              </w:rPr>
              <w:t xml:space="preserve">Benralizumab (30 mg q8w) </w:t>
            </w:r>
            <w:r w:rsidRPr="008119AC">
              <w:rPr>
                <w:rFonts w:ascii="Arial Narrow" w:eastAsiaTheme="majorEastAsia" w:hAnsi="Arial Narrow"/>
                <w:b/>
                <w:snapToGrid/>
                <w:sz w:val="20"/>
                <w:szCs w:val="20"/>
                <w:vertAlign w:val="superscript"/>
                <w:lang w:eastAsia="en-AU" w:bidi="en-US"/>
              </w:rPr>
              <w:t xml:space="preserve"> </w:t>
            </w:r>
            <w:r w:rsidRPr="008119AC">
              <w:rPr>
                <w:rFonts w:ascii="Arial Narrow" w:eastAsiaTheme="majorEastAsia" w:hAnsi="Arial Narrow"/>
                <w:b/>
                <w:snapToGrid/>
                <w:sz w:val="20"/>
                <w:szCs w:val="20"/>
                <w:lang w:eastAsia="en-AU" w:bidi="en-US"/>
              </w:rPr>
              <w:t>versus omalizumab</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vertAlign w:val="superscript"/>
                <w:lang w:eastAsia="en-AU" w:bidi="en-US"/>
              </w:rPr>
            </w:pPr>
            <w:r w:rsidRPr="008119AC">
              <w:rPr>
                <w:rFonts w:ascii="Arial Narrow" w:eastAsiaTheme="majorEastAsia" w:hAnsi="Arial Narrow"/>
                <w:snapToGrid/>
                <w:sz w:val="20"/>
                <w:szCs w:val="20"/>
                <w:lang w:eastAsia="en-AU" w:bidi="en-US"/>
              </w:rPr>
              <w:t xml:space="preserve">INNOVATE (n = 419) </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vertAlign w:val="superscript"/>
                <w:lang w:eastAsia="en-AU" w:bidi="en-US"/>
              </w:rPr>
            </w:pPr>
            <w:r w:rsidRPr="008119AC">
              <w:rPr>
                <w:rFonts w:ascii="Arial Narrow" w:eastAsiaTheme="majorEastAsia" w:hAnsi="Arial Narrow"/>
                <w:snapToGrid/>
                <w:sz w:val="20"/>
                <w:szCs w:val="20"/>
                <w:lang w:eastAsia="en-AU" w:bidi="en-US"/>
              </w:rPr>
              <w:t>0.91 per 28 wks</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6E69B2">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 xml:space="preserve">0.68 </w:t>
            </w:r>
            <w:r w:rsidR="006E69B2">
              <w:rPr>
                <w:rFonts w:ascii="Arial Narrow" w:eastAsiaTheme="majorEastAsia" w:hAnsi="Arial Narrow"/>
                <w:snapToGrid/>
                <w:sz w:val="20"/>
                <w:szCs w:val="20"/>
                <w:vertAlign w:val="superscript"/>
                <w:lang w:eastAsia="en-AU" w:bidi="en-US"/>
              </w:rPr>
              <w:t>c</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 xml:space="preserve">0.74 (0.55, </w:t>
            </w:r>
            <w:r w:rsidRPr="008119AC">
              <w:rPr>
                <w:rFonts w:ascii="Arial Narrow" w:eastAsiaTheme="majorEastAsia" w:hAnsi="Arial Narrow"/>
                <w:i/>
                <w:snapToGrid/>
                <w:sz w:val="20"/>
                <w:szCs w:val="20"/>
                <w:lang w:eastAsia="en-AU" w:bidi="en-US"/>
              </w:rPr>
              <w:t>1.00</w:t>
            </w:r>
            <w:r w:rsidRPr="008119AC">
              <w:rPr>
                <w:rFonts w:ascii="Arial Narrow" w:eastAsiaTheme="majorEastAsia" w:hAnsi="Arial Narrow"/>
                <w:snapToGrid/>
                <w:sz w:val="20"/>
                <w:szCs w:val="20"/>
                <w:lang w:eastAsia="en-AU" w:bidi="en-US"/>
              </w:rPr>
              <w:t>)</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3502F1">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EXTRA (n = 8</w:t>
            </w:r>
            <w:r w:rsidR="003502F1">
              <w:rPr>
                <w:rFonts w:ascii="Arial Narrow" w:eastAsiaTheme="majorEastAsia" w:hAnsi="Arial Narrow"/>
                <w:snapToGrid/>
                <w:sz w:val="20"/>
                <w:szCs w:val="20"/>
                <w:lang w:eastAsia="en-AU" w:bidi="en-US"/>
              </w:rPr>
              <w:t>48</w:t>
            </w:r>
            <w:r w:rsidRPr="008119AC">
              <w:rPr>
                <w:rFonts w:ascii="Arial Narrow" w:eastAsiaTheme="majorEastAsia" w:hAnsi="Arial Narrow"/>
                <w:snapToGrid/>
                <w:sz w:val="20"/>
                <w:szCs w:val="20"/>
                <w:lang w:eastAsia="en-AU" w:bidi="en-US"/>
              </w:rPr>
              <w:t>)</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0.88 per 48 wks</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6E69B2">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 xml:space="preserve">0.66 </w:t>
            </w:r>
            <w:r w:rsidR="006E69B2">
              <w:rPr>
                <w:rFonts w:ascii="Arial Narrow" w:eastAsiaTheme="majorEastAsia" w:hAnsi="Arial Narrow"/>
                <w:snapToGrid/>
                <w:sz w:val="20"/>
                <w:szCs w:val="20"/>
                <w:vertAlign w:val="superscript"/>
                <w:lang w:eastAsia="en-AU" w:bidi="en-US"/>
              </w:rPr>
              <w:t>c</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0.75 (0.61, 0.92)</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r>
      <w:tr w:rsidR="008119AC" w:rsidRPr="008119AC" w:rsidTr="00784868">
        <w:trPr>
          <w:cantSplit/>
        </w:trPr>
        <w:tc>
          <w:tcPr>
            <w:tcW w:w="95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Pooled random effects</w:t>
            </w:r>
          </w:p>
        </w:tc>
        <w:tc>
          <w:tcPr>
            <w:tcW w:w="78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6E69B2">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 xml:space="preserve">0.59 (0.41, 0.86) </w:t>
            </w:r>
            <w:r w:rsidR="006E69B2">
              <w:rPr>
                <w:rFonts w:ascii="Arial Narrow" w:eastAsiaTheme="majorEastAsia" w:hAnsi="Arial Narrow"/>
                <w:snapToGrid/>
                <w:sz w:val="20"/>
                <w:szCs w:val="20"/>
                <w:vertAlign w:val="superscript"/>
                <w:lang w:eastAsia="en-AU" w:bidi="en-US"/>
              </w:rPr>
              <w:t>b</w:t>
            </w:r>
          </w:p>
        </w:tc>
        <w:tc>
          <w:tcPr>
            <w:tcW w:w="62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700" w:type="pct"/>
            <w:tcBorders>
              <w:top w:val="single" w:sz="4" w:space="0" w:color="auto"/>
              <w:left w:val="double" w:sz="4" w:space="0" w:color="auto"/>
              <w:bottom w:val="single" w:sz="4" w:space="0" w:color="auto"/>
              <w:right w:val="doub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3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w:t>
            </w:r>
          </w:p>
        </w:tc>
        <w:tc>
          <w:tcPr>
            <w:tcW w:w="84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6E69B2">
            <w:pPr>
              <w:keepNext/>
              <w:keepLines/>
              <w:widowControl/>
              <w:spacing w:before="20" w:after="20" w:line="276" w:lineRule="auto"/>
              <w:jc w:val="left"/>
              <w:rPr>
                <w:rFonts w:ascii="Arial Narrow" w:eastAsiaTheme="majorEastAsia" w:hAnsi="Arial Narrow"/>
                <w:snapToGrid/>
                <w:sz w:val="20"/>
                <w:szCs w:val="20"/>
                <w:vertAlign w:val="superscript"/>
                <w:lang w:eastAsia="en-AU" w:bidi="en-US"/>
              </w:rPr>
            </w:pPr>
            <w:r w:rsidRPr="008119AC">
              <w:rPr>
                <w:rFonts w:ascii="Arial Narrow" w:eastAsiaTheme="majorEastAsia" w:hAnsi="Arial Narrow"/>
                <w:snapToGrid/>
                <w:sz w:val="20"/>
                <w:szCs w:val="20"/>
                <w:lang w:eastAsia="en-AU" w:bidi="en-US"/>
              </w:rPr>
              <w:t xml:space="preserve">0.75 (0.63, 0.88) </w:t>
            </w:r>
            <w:r w:rsidR="006E69B2">
              <w:rPr>
                <w:rFonts w:ascii="Arial Narrow" w:eastAsiaTheme="majorEastAsia" w:hAnsi="Arial Narrow"/>
                <w:snapToGrid/>
                <w:sz w:val="20"/>
                <w:szCs w:val="20"/>
                <w:vertAlign w:val="superscript"/>
                <w:lang w:eastAsia="en-AU" w:bidi="en-US"/>
              </w:rPr>
              <w:t>d</w:t>
            </w:r>
          </w:p>
        </w:tc>
        <w:tc>
          <w:tcPr>
            <w:tcW w:w="703"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119AC">
            <w:pPr>
              <w:keepNext/>
              <w:keepLines/>
              <w:widowControl/>
              <w:spacing w:before="20" w:after="20" w:line="276" w:lineRule="auto"/>
              <w:jc w:val="left"/>
              <w:rPr>
                <w:rFonts w:ascii="Arial Narrow" w:eastAsiaTheme="majorEastAsia" w:hAnsi="Arial Narrow"/>
                <w:snapToGrid/>
                <w:sz w:val="20"/>
                <w:szCs w:val="20"/>
                <w:lang w:eastAsia="en-AU" w:bidi="en-US"/>
              </w:rPr>
            </w:pPr>
            <w:r w:rsidRPr="008119AC">
              <w:rPr>
                <w:rFonts w:ascii="Arial Narrow" w:eastAsiaTheme="majorEastAsia" w:hAnsi="Arial Narrow"/>
                <w:snapToGrid/>
                <w:sz w:val="20"/>
                <w:szCs w:val="20"/>
                <w:lang w:eastAsia="en-AU" w:bidi="en-US"/>
              </w:rPr>
              <w:t>0.78 (0.52, 1.18)</w:t>
            </w:r>
          </w:p>
        </w:tc>
      </w:tr>
    </w:tbl>
    <w:p w:rsidR="008119AC" w:rsidRPr="008119AC" w:rsidRDefault="008119AC" w:rsidP="008119AC">
      <w:pPr>
        <w:keepNext/>
        <w:keepLines/>
        <w:rPr>
          <w:rFonts w:ascii="Arial Narrow" w:hAnsi="Arial Narrow"/>
          <w:sz w:val="18"/>
        </w:rPr>
      </w:pPr>
      <w:r w:rsidRPr="008119AC">
        <w:rPr>
          <w:rFonts w:ascii="Arial Narrow" w:hAnsi="Arial Narrow"/>
          <w:sz w:val="18"/>
        </w:rPr>
        <w:t xml:space="preserve">Source: Table 2.34, p105 of the submission, Humbert 2005; </w:t>
      </w:r>
      <w:r w:rsidRPr="003542A8">
        <w:rPr>
          <w:rFonts w:ascii="Arial Narrow" w:hAnsi="Arial Narrow"/>
          <w:sz w:val="18"/>
        </w:rPr>
        <w:t>Ital = values in italics were calculated or corrected during evaluation</w:t>
      </w:r>
      <w:r w:rsidRPr="008119AC">
        <w:rPr>
          <w:rFonts w:ascii="Arial Narrow" w:hAnsi="Arial Narrow"/>
          <w:sz w:val="18"/>
        </w:rPr>
        <w:t xml:space="preserve"> </w:t>
      </w:r>
    </w:p>
    <w:p w:rsidR="008119AC" w:rsidRPr="008119AC" w:rsidRDefault="008119AC" w:rsidP="008119AC">
      <w:pPr>
        <w:keepNext/>
        <w:keepLines/>
        <w:rPr>
          <w:rFonts w:ascii="Arial Narrow" w:hAnsi="Arial Narrow"/>
          <w:sz w:val="18"/>
        </w:rPr>
      </w:pPr>
      <w:r w:rsidRPr="008119AC">
        <w:rPr>
          <w:rFonts w:ascii="Arial Narrow" w:hAnsi="Arial Narrow"/>
          <w:sz w:val="18"/>
        </w:rPr>
        <w:t>BEN = benralizumab; CI = confidence interval; exac = exacerbation; ICS = inhaled corticosteroid; q8w = every 8 weeks; RR = rate ratio; SOC = standard of care (placebo); yr = year</w:t>
      </w:r>
    </w:p>
    <w:p w:rsidR="006E69B2" w:rsidRPr="00C30C94" w:rsidRDefault="006E69B2" w:rsidP="008119AC">
      <w:pPr>
        <w:keepNext/>
        <w:keepLines/>
        <w:rPr>
          <w:rFonts w:ascii="Arial Narrow" w:hAnsi="Arial Narrow"/>
          <w:sz w:val="18"/>
        </w:rPr>
      </w:pPr>
      <w:r w:rsidRPr="00C30C94">
        <w:rPr>
          <w:rFonts w:ascii="Arial Narrow" w:hAnsi="Arial Narrow"/>
          <w:sz w:val="18"/>
          <w:vertAlign w:val="superscript"/>
        </w:rPr>
        <w:t>a</w:t>
      </w:r>
      <w:r w:rsidRPr="00C30C94">
        <w:rPr>
          <w:rFonts w:ascii="Arial Narrow" w:hAnsi="Arial Narrow"/>
          <w:sz w:val="18"/>
        </w:rPr>
        <w:t xml:space="preserve"> The submission did not present rate differences, which may have been appropriate given the difference in trial durations and also the differences in baseline risks across the trials.</w:t>
      </w:r>
    </w:p>
    <w:p w:rsidR="008119AC" w:rsidRPr="008119AC" w:rsidRDefault="006E69B2" w:rsidP="008119AC">
      <w:pPr>
        <w:keepNext/>
        <w:keepLines/>
        <w:rPr>
          <w:rFonts w:ascii="Arial Narrow" w:hAnsi="Arial Narrow" w:cs="Times New Roman"/>
          <w:sz w:val="18"/>
          <w:szCs w:val="18"/>
        </w:rPr>
      </w:pPr>
      <w:r>
        <w:rPr>
          <w:rFonts w:ascii="Arial Narrow" w:hAnsi="Arial Narrow"/>
          <w:sz w:val="18"/>
          <w:vertAlign w:val="superscript"/>
        </w:rPr>
        <w:t>b</w:t>
      </w:r>
      <w:r w:rsidR="008119AC" w:rsidRPr="008119AC">
        <w:rPr>
          <w:rFonts w:ascii="Arial Narrow" w:hAnsi="Arial Narrow"/>
          <w:sz w:val="18"/>
        </w:rPr>
        <w:t xml:space="preserve"> Random effects model, using Generic Inverse Variance Method (natural log of rate ratios), RevMan 5.3. </w:t>
      </w:r>
      <w:r w:rsidR="008119AC" w:rsidRPr="00A05A0B">
        <w:rPr>
          <w:rFonts w:ascii="Arial Narrow" w:hAnsi="Arial Narrow"/>
          <w:sz w:val="18"/>
        </w:rPr>
        <w:t>Result with Fixed Effects model was 0.59 (0.48, 0.72)</w:t>
      </w:r>
      <w:r w:rsidR="00784868" w:rsidRPr="00A05A0B">
        <w:rPr>
          <w:rFonts w:ascii="Arial Narrow" w:hAnsi="Arial Narrow"/>
          <w:sz w:val="18"/>
        </w:rPr>
        <w:t xml:space="preserve">. </w:t>
      </w:r>
      <w:r w:rsidR="008119AC" w:rsidRPr="00A05A0B">
        <w:rPr>
          <w:rFonts w:ascii="Arial Narrow" w:hAnsi="Arial Narrow" w:cs="Times New Roman"/>
          <w:sz w:val="18"/>
          <w:szCs w:val="18"/>
        </w:rPr>
        <w:t>I</w:t>
      </w:r>
      <w:r w:rsidR="008119AC" w:rsidRPr="00A05A0B">
        <w:rPr>
          <w:rFonts w:ascii="Arial Narrow" w:hAnsi="Arial Narrow" w:cs="Times New Roman"/>
          <w:sz w:val="18"/>
          <w:szCs w:val="18"/>
          <w:vertAlign w:val="superscript"/>
        </w:rPr>
        <w:t xml:space="preserve">2 </w:t>
      </w:r>
      <w:r w:rsidR="008119AC" w:rsidRPr="00A05A0B">
        <w:rPr>
          <w:rFonts w:ascii="Arial Narrow" w:hAnsi="Arial Narrow" w:cs="Times New Roman"/>
          <w:sz w:val="18"/>
          <w:szCs w:val="18"/>
        </w:rPr>
        <w:t>= 72%</w:t>
      </w:r>
    </w:p>
    <w:p w:rsidR="00784868" w:rsidRPr="008119AC" w:rsidRDefault="006E69B2" w:rsidP="00784868">
      <w:pPr>
        <w:keepNext/>
        <w:keepLines/>
        <w:rPr>
          <w:rFonts w:ascii="Arial Narrow" w:hAnsi="Arial Narrow"/>
          <w:sz w:val="18"/>
          <w:szCs w:val="20"/>
        </w:rPr>
      </w:pPr>
      <w:r>
        <w:rPr>
          <w:rFonts w:ascii="Arial Narrow" w:hAnsi="Arial Narrow"/>
          <w:sz w:val="18"/>
          <w:szCs w:val="20"/>
          <w:vertAlign w:val="superscript"/>
        </w:rPr>
        <w:t>c</w:t>
      </w:r>
      <w:r w:rsidR="00784868" w:rsidRPr="008119AC">
        <w:rPr>
          <w:rFonts w:ascii="Arial Narrow" w:hAnsi="Arial Narrow"/>
          <w:sz w:val="18"/>
          <w:szCs w:val="20"/>
          <w:vertAlign w:val="superscript"/>
        </w:rPr>
        <w:t xml:space="preserve"> </w:t>
      </w:r>
      <w:r w:rsidR="00784868" w:rsidRPr="008119AC">
        <w:rPr>
          <w:rFonts w:ascii="Arial Narrow" w:hAnsi="Arial Narrow"/>
          <w:sz w:val="18"/>
        </w:rPr>
        <w:t>Exacerbation rates were not annualised in INNOVATE (28 weeks) and EXTRA (48 weeks) trials</w:t>
      </w:r>
      <w:r w:rsidR="00784868" w:rsidRPr="008119AC">
        <w:rPr>
          <w:rFonts w:ascii="Arial Narrow" w:hAnsi="Arial Narrow"/>
          <w:sz w:val="18"/>
          <w:szCs w:val="20"/>
        </w:rPr>
        <w:t xml:space="preserve"> </w:t>
      </w:r>
    </w:p>
    <w:p w:rsidR="008119AC" w:rsidRPr="008119AC" w:rsidRDefault="006E69B2" w:rsidP="003C1C72">
      <w:pPr>
        <w:keepNext/>
        <w:keepLines/>
        <w:spacing w:after="120"/>
        <w:rPr>
          <w:rFonts w:ascii="Arial Narrow" w:hAnsi="Arial Narrow"/>
          <w:sz w:val="18"/>
          <w:szCs w:val="20"/>
        </w:rPr>
      </w:pPr>
      <w:r w:rsidRPr="006E69B2">
        <w:rPr>
          <w:rFonts w:ascii="Arial Narrow" w:hAnsi="Arial Narrow" w:cs="Times New Roman"/>
          <w:sz w:val="18"/>
          <w:szCs w:val="18"/>
          <w:vertAlign w:val="superscript"/>
        </w:rPr>
        <w:t>d</w:t>
      </w:r>
      <w:r w:rsidR="008119AC" w:rsidRPr="008119AC">
        <w:rPr>
          <w:rFonts w:ascii="Arial Narrow" w:hAnsi="Arial Narrow" w:cs="Times New Roman"/>
          <w:sz w:val="18"/>
          <w:szCs w:val="18"/>
        </w:rPr>
        <w:t xml:space="preserve"> </w:t>
      </w:r>
      <w:r w:rsidR="008119AC" w:rsidRPr="008119AC">
        <w:rPr>
          <w:rFonts w:ascii="Arial Narrow" w:hAnsi="Arial Narrow"/>
          <w:sz w:val="18"/>
          <w:szCs w:val="20"/>
        </w:rPr>
        <w:t>Heterogeneity = 0.931; I</w:t>
      </w:r>
      <w:r w:rsidR="008119AC" w:rsidRPr="008119AC">
        <w:rPr>
          <w:rFonts w:ascii="Arial Narrow" w:hAnsi="Arial Narrow"/>
          <w:sz w:val="18"/>
          <w:szCs w:val="20"/>
          <w:vertAlign w:val="superscript"/>
        </w:rPr>
        <w:t>2</w:t>
      </w:r>
      <w:r w:rsidR="008119AC" w:rsidRPr="008119AC">
        <w:rPr>
          <w:rFonts w:ascii="Arial Narrow" w:hAnsi="Arial Narrow"/>
          <w:sz w:val="18"/>
          <w:szCs w:val="20"/>
        </w:rPr>
        <w:t xml:space="preserve"> = 0%</w:t>
      </w:r>
    </w:p>
    <w:p w:rsidR="001C0263" w:rsidRPr="00075A03" w:rsidRDefault="008119AC" w:rsidP="004B1160">
      <w:pPr>
        <w:widowControl/>
        <w:numPr>
          <w:ilvl w:val="1"/>
          <w:numId w:val="1"/>
        </w:numPr>
        <w:spacing w:after="120"/>
        <w:ind w:left="709"/>
      </w:pPr>
      <w:r w:rsidRPr="00A05A0B">
        <w:t xml:space="preserve">The rate ratio for the difference in exacerbation rates between benralizumab and mepolizumab was 1.25 (95% CI: 0.78, 2.02). </w:t>
      </w:r>
      <w:r w:rsidR="00855D35" w:rsidRPr="00075A03">
        <w:t>The ESC noted that the mean rate ratio (1.25) was close to the submission’s proposed non-inferiority margin of 28%. Further, t</w:t>
      </w:r>
      <w:r w:rsidRPr="00075A03">
        <w:t xml:space="preserve">he </w:t>
      </w:r>
      <w:r w:rsidR="008512D9" w:rsidRPr="00075A03">
        <w:t>upper</w:t>
      </w:r>
      <w:r w:rsidRPr="00075A03">
        <w:t xml:space="preserve"> bound of the 95% CI (202%) did not meet the non-inferiority margin proposed by the submission (28%). The indirect comparison was difficult to interpret due to significant transitivity concerns between the trials. However, given the seven-fold difference between the submission’s proposed non-inferiority margin and the </w:t>
      </w:r>
      <w:r w:rsidR="008512D9" w:rsidRPr="00075A03">
        <w:t>upper bound of the</w:t>
      </w:r>
      <w:r w:rsidRPr="00075A03">
        <w:t xml:space="preserve"> 95% CI, </w:t>
      </w:r>
      <w:r w:rsidR="00996614">
        <w:t xml:space="preserve">the evaluation considered that </w:t>
      </w:r>
      <w:r w:rsidRPr="00075A03">
        <w:t xml:space="preserve">a conclusion of non-inferiority versus mepolizumab was not reasonable. </w:t>
      </w:r>
    </w:p>
    <w:p w:rsidR="00996614" w:rsidRDefault="00ED7225" w:rsidP="00BA603C">
      <w:pPr>
        <w:widowControl/>
        <w:numPr>
          <w:ilvl w:val="1"/>
          <w:numId w:val="1"/>
        </w:numPr>
        <w:spacing w:after="120"/>
      </w:pPr>
      <w:r w:rsidRPr="00075A03">
        <w:t xml:space="preserve">The PSCR </w:t>
      </w:r>
      <w:r w:rsidR="001C0263" w:rsidRPr="00075A03">
        <w:t xml:space="preserve">acknowledged that there was heterogeneity between the studies and stated that this was biased against benralizumab and favoured mepolizumab. </w:t>
      </w:r>
    </w:p>
    <w:p w:rsidR="00893597" w:rsidRPr="00075A03" w:rsidRDefault="00893597" w:rsidP="00BA603C">
      <w:pPr>
        <w:widowControl/>
        <w:numPr>
          <w:ilvl w:val="1"/>
          <w:numId w:val="1"/>
        </w:numPr>
        <w:spacing w:after="120"/>
      </w:pPr>
      <w:r>
        <w:t xml:space="preserve">The PBAC </w:t>
      </w:r>
      <w:r w:rsidR="004B3A49">
        <w:t xml:space="preserve">considered that </w:t>
      </w:r>
      <w:r>
        <w:t xml:space="preserve">the </w:t>
      </w:r>
      <w:r w:rsidRPr="00893597">
        <w:t xml:space="preserve">significant </w:t>
      </w:r>
      <w:r>
        <w:t>heterogeneity</w:t>
      </w:r>
      <w:r w:rsidRPr="00893597">
        <w:t xml:space="preserve"> between the trials</w:t>
      </w:r>
      <w:r>
        <w:t xml:space="preserve"> </w:t>
      </w:r>
      <w:r w:rsidR="004B3A49" w:rsidRPr="004B3A49">
        <w:t xml:space="preserve">meant that the </w:t>
      </w:r>
      <w:r w:rsidR="004B3A49">
        <w:t xml:space="preserve">primary </w:t>
      </w:r>
      <w:r w:rsidR="004B3A49" w:rsidRPr="004B3A49">
        <w:t>indirect comparison</w:t>
      </w:r>
      <w:r w:rsidR="004B3A49">
        <w:t xml:space="preserve"> was</w:t>
      </w:r>
      <w:r w:rsidR="004B3A49" w:rsidRPr="004B3A49">
        <w:t xml:space="preserve"> difficult to interpret</w:t>
      </w:r>
      <w:r w:rsidR="004B3A49">
        <w:t xml:space="preserve">. The PBAC </w:t>
      </w:r>
      <w:r>
        <w:t xml:space="preserve">agreed that the </w:t>
      </w:r>
      <w:r w:rsidRPr="00075A03">
        <w:t>overall direction of bias was likely to favour mepolizumab</w:t>
      </w:r>
      <w:r>
        <w:t>.</w:t>
      </w:r>
    </w:p>
    <w:p w:rsidR="008119AC" w:rsidRPr="00A05A0B" w:rsidRDefault="008119AC" w:rsidP="004B1160">
      <w:pPr>
        <w:widowControl/>
        <w:numPr>
          <w:ilvl w:val="1"/>
          <w:numId w:val="1"/>
        </w:numPr>
        <w:spacing w:after="120"/>
        <w:ind w:left="709"/>
      </w:pPr>
      <w:r w:rsidRPr="00075A03">
        <w:t>For the comparison with omalizumab, the rate ratio was 0.78 (95% CI: 0.52, 1.18</w:t>
      </w:r>
      <w:r w:rsidRPr="00A05A0B">
        <w:t>), which would meet the 28% non-inferiority margin proposed by the submission. Again</w:t>
      </w:r>
      <w:r w:rsidR="006A1AC6" w:rsidRPr="00A05A0B">
        <w:t>,</w:t>
      </w:r>
      <w:r w:rsidRPr="00A05A0B">
        <w:t xml:space="preserve"> this indirect comparison was difficult to interpret due to significant transitivity concerns between the trials.</w:t>
      </w:r>
    </w:p>
    <w:p w:rsidR="008119AC" w:rsidRPr="00A05A0B" w:rsidRDefault="008119AC" w:rsidP="004B1160">
      <w:pPr>
        <w:widowControl/>
        <w:numPr>
          <w:ilvl w:val="1"/>
          <w:numId w:val="1"/>
        </w:numPr>
        <w:spacing w:after="120"/>
        <w:ind w:left="709"/>
      </w:pPr>
      <w:r w:rsidRPr="00A05A0B">
        <w:t xml:space="preserve">During </w:t>
      </w:r>
      <w:r w:rsidR="00290266" w:rsidRPr="00A05A0B">
        <w:t xml:space="preserve">the </w:t>
      </w:r>
      <w:r w:rsidRPr="00A05A0B">
        <w:t>evaluation, the indirect comparison was also conducted for benralizumab every four weeks, and the results were:</w:t>
      </w:r>
    </w:p>
    <w:p w:rsidR="008119AC" w:rsidRPr="00A05A0B" w:rsidRDefault="008119AC" w:rsidP="004B1160">
      <w:pPr>
        <w:numPr>
          <w:ilvl w:val="0"/>
          <w:numId w:val="3"/>
        </w:numPr>
        <w:spacing w:after="120"/>
        <w:ind w:left="1417" w:hanging="425"/>
        <w:rPr>
          <w:szCs w:val="24"/>
        </w:rPr>
      </w:pPr>
      <w:r w:rsidRPr="00A05A0B">
        <w:rPr>
          <w:szCs w:val="24"/>
        </w:rPr>
        <w:t>versus mepolizumab: rate ratio 1.23 (95% CI: 0.88, 1.73).</w:t>
      </w:r>
    </w:p>
    <w:p w:rsidR="008119AC" w:rsidRPr="00A05A0B" w:rsidRDefault="008119AC" w:rsidP="004B1160">
      <w:pPr>
        <w:numPr>
          <w:ilvl w:val="0"/>
          <w:numId w:val="3"/>
        </w:numPr>
        <w:spacing w:after="120"/>
        <w:ind w:left="1417" w:hanging="425"/>
        <w:rPr>
          <w:szCs w:val="24"/>
        </w:rPr>
      </w:pPr>
      <w:r w:rsidRPr="00A05A0B">
        <w:rPr>
          <w:szCs w:val="24"/>
        </w:rPr>
        <w:t>versus omalizumab: rate ratio 0.77 (95% CI: 0.62, 0.97).</w:t>
      </w:r>
    </w:p>
    <w:p w:rsidR="008119AC" w:rsidRPr="00A05A0B" w:rsidRDefault="008119AC" w:rsidP="004B1160">
      <w:pPr>
        <w:widowControl/>
        <w:spacing w:after="120"/>
        <w:ind w:left="720"/>
      </w:pPr>
      <w:r w:rsidRPr="00A05A0B">
        <w:t xml:space="preserve">The </w:t>
      </w:r>
      <w:r w:rsidR="00217E0D" w:rsidRPr="00A05A0B">
        <w:t>results were</w:t>
      </w:r>
      <w:r w:rsidRPr="00A05A0B">
        <w:t xml:space="preserve"> </w:t>
      </w:r>
      <w:r w:rsidR="00217E0D" w:rsidRPr="00A05A0B">
        <w:t>very similar</w:t>
      </w:r>
      <w:r w:rsidRPr="00A05A0B">
        <w:t xml:space="preserve"> between the two dosing regimens</w:t>
      </w:r>
      <w:r w:rsidR="00217E0D" w:rsidRPr="00A05A0B">
        <w:t>, with the four</w:t>
      </w:r>
      <w:r w:rsidR="007143CD" w:rsidRPr="00A05A0B">
        <w:noBreakHyphen/>
      </w:r>
      <w:r w:rsidR="00217E0D" w:rsidRPr="00A05A0B">
        <w:t>weekly regimen being associated with narrower 95% confidence intervals</w:t>
      </w:r>
      <w:r w:rsidR="007143CD" w:rsidRPr="00A05A0B">
        <w:t>, although the upper bound still exceeded the proposed non-inferiority margin compared to mepolizumab</w:t>
      </w:r>
      <w:r w:rsidRPr="00A05A0B">
        <w:t xml:space="preserve">. </w:t>
      </w:r>
      <w:r w:rsidR="00217E0D" w:rsidRPr="00A05A0B">
        <w:t>Despite the similar results</w:t>
      </w:r>
      <w:r w:rsidRPr="00A05A0B">
        <w:t>, there may be a risk of up-titration of doses in clinical practice in patients with inadequate response to the eight-weekly regimen.</w:t>
      </w:r>
    </w:p>
    <w:p w:rsidR="008119AC" w:rsidRPr="00A05A0B" w:rsidRDefault="008119AC" w:rsidP="004B1160">
      <w:pPr>
        <w:widowControl/>
        <w:numPr>
          <w:ilvl w:val="1"/>
          <w:numId w:val="1"/>
        </w:numPr>
        <w:spacing w:after="120"/>
        <w:ind w:left="709"/>
      </w:pPr>
      <w:r w:rsidRPr="00A05A0B">
        <w:t xml:space="preserve">Table </w:t>
      </w:r>
      <w:r w:rsidR="0086508A" w:rsidRPr="00A05A0B">
        <w:t>7</w:t>
      </w:r>
      <w:r w:rsidRPr="00A05A0B">
        <w:t xml:space="preserve"> presents </w:t>
      </w:r>
      <w:r w:rsidR="00055CCF">
        <w:t>supplementary</w:t>
      </w:r>
      <w:r w:rsidR="00055CCF" w:rsidRPr="00A05A0B">
        <w:t xml:space="preserve"> </w:t>
      </w:r>
      <w:r w:rsidRPr="00A05A0B">
        <w:t xml:space="preserve">analyses conducted by the submission and during evaluation for the indirect comparison between benralizumab every eight weeks </w:t>
      </w:r>
      <w:r w:rsidR="00B80543" w:rsidRPr="00A05A0B">
        <w:t xml:space="preserve">(primary efficacy population) </w:t>
      </w:r>
      <w:r w:rsidRPr="00A05A0B">
        <w:t xml:space="preserve">and mepolizumab. </w:t>
      </w:r>
    </w:p>
    <w:p w:rsidR="008119AC" w:rsidRPr="008119AC" w:rsidRDefault="008119AC" w:rsidP="006A1AC6">
      <w:pPr>
        <w:keepNext/>
        <w:keepLines/>
        <w:rPr>
          <w:rFonts w:ascii="Arial Narrow" w:hAnsi="Arial Narrow"/>
          <w:b/>
          <w:sz w:val="20"/>
          <w:szCs w:val="16"/>
          <w:highlight w:val="yellow"/>
        </w:rPr>
      </w:pPr>
      <w:r w:rsidRPr="008119AC">
        <w:rPr>
          <w:rFonts w:ascii="Arial Narrow" w:hAnsi="Arial Narrow"/>
          <w:b/>
          <w:sz w:val="20"/>
          <w:szCs w:val="16"/>
        </w:rPr>
        <w:t xml:space="preserve">Table </w:t>
      </w:r>
      <w:r w:rsidR="0086508A">
        <w:rPr>
          <w:rFonts w:ascii="Arial Narrow" w:hAnsi="Arial Narrow"/>
          <w:b/>
          <w:sz w:val="20"/>
          <w:szCs w:val="16"/>
        </w:rPr>
        <w:t>7</w:t>
      </w:r>
      <w:r w:rsidRPr="008119AC">
        <w:rPr>
          <w:rFonts w:ascii="Arial Narrow" w:hAnsi="Arial Narrow"/>
          <w:b/>
          <w:sz w:val="20"/>
          <w:szCs w:val="16"/>
        </w:rPr>
        <w:t xml:space="preserve">: </w:t>
      </w:r>
      <w:r w:rsidR="00055CCF" w:rsidRPr="008119AC">
        <w:rPr>
          <w:rFonts w:ascii="Arial Narrow" w:hAnsi="Arial Narrow"/>
          <w:b/>
          <w:sz w:val="20"/>
          <w:szCs w:val="16"/>
        </w:rPr>
        <w:t>S</w:t>
      </w:r>
      <w:r w:rsidR="00055CCF">
        <w:rPr>
          <w:rFonts w:ascii="Arial Narrow" w:hAnsi="Arial Narrow"/>
          <w:b/>
          <w:sz w:val="20"/>
          <w:szCs w:val="16"/>
        </w:rPr>
        <w:t>upplementary</w:t>
      </w:r>
      <w:r w:rsidR="00055CCF" w:rsidRPr="008119AC">
        <w:rPr>
          <w:rFonts w:ascii="Arial Narrow" w:hAnsi="Arial Narrow"/>
          <w:b/>
          <w:sz w:val="20"/>
          <w:szCs w:val="16"/>
        </w:rPr>
        <w:t xml:space="preserve"> </w:t>
      </w:r>
      <w:r w:rsidRPr="008119AC">
        <w:rPr>
          <w:rFonts w:ascii="Arial Narrow" w:hAnsi="Arial Narrow"/>
          <w:b/>
          <w:sz w:val="20"/>
          <w:szCs w:val="16"/>
        </w:rPr>
        <w:t xml:space="preserve">analyses - indirect comparison of the rate of clinically significant exacerbations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275"/>
        <w:gridCol w:w="1135"/>
        <w:gridCol w:w="850"/>
        <w:gridCol w:w="993"/>
        <w:gridCol w:w="1276"/>
        <w:gridCol w:w="1422"/>
      </w:tblGrid>
      <w:tr w:rsidR="008119AC" w:rsidRPr="008119AC" w:rsidTr="00E23C3A">
        <w:trPr>
          <w:cantSplit/>
          <w:tblHeader/>
        </w:trPr>
        <w:tc>
          <w:tcPr>
            <w:tcW w:w="1123" w:type="pct"/>
            <w:vMerge w:val="restar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Trial</w:t>
            </w:r>
          </w:p>
        </w:tc>
        <w:tc>
          <w:tcPr>
            <w:tcW w:w="1344" w:type="pct"/>
            <w:gridSpan w:val="2"/>
            <w:tcBorders>
              <w:top w:val="single" w:sz="4" w:space="0" w:color="auto"/>
              <w:left w:val="nil"/>
              <w:bottom w:val="single" w:sz="4" w:space="0" w:color="auto"/>
              <w:right w:val="doub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BEN q8w versus SOC</w:t>
            </w:r>
          </w:p>
        </w:tc>
        <w:tc>
          <w:tcPr>
            <w:tcW w:w="474" w:type="pct"/>
            <w:vMerge w:val="restart"/>
            <w:tcBorders>
              <w:top w:val="single" w:sz="4" w:space="0" w:color="auto"/>
              <w:left w:val="nil"/>
              <w:bottom w:val="single" w:sz="4" w:space="0" w:color="auto"/>
              <w:right w:val="doub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SOC</w:t>
            </w:r>
            <w:r w:rsidRPr="00984ED9">
              <w:rPr>
                <w:rFonts w:ascii="Arial Narrow" w:eastAsiaTheme="majorEastAsia" w:hAnsi="Arial Narrow"/>
                <w:b/>
                <w:snapToGrid/>
                <w:sz w:val="20"/>
                <w:szCs w:val="20"/>
                <w:lang w:eastAsia="en-AU" w:bidi="en-US"/>
              </w:rPr>
              <w:br/>
              <w:t>Exac rate/yr</w:t>
            </w:r>
          </w:p>
        </w:tc>
        <w:tc>
          <w:tcPr>
            <w:tcW w:w="1266" w:type="pct"/>
            <w:gridSpan w:val="2"/>
            <w:tcBorders>
              <w:top w:val="single" w:sz="4" w:space="0" w:color="auto"/>
              <w:left w:val="nil"/>
              <w:bottom w:val="single" w:sz="4" w:space="0" w:color="auto"/>
              <w:right w:val="doub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MEPO versus SOC</w:t>
            </w:r>
          </w:p>
        </w:tc>
        <w:tc>
          <w:tcPr>
            <w:tcW w:w="793" w:type="pct"/>
            <w:vMerge w:val="restart"/>
            <w:tcBorders>
              <w:top w:val="single" w:sz="4" w:space="0" w:color="auto"/>
              <w:left w:val="double" w:sz="4" w:space="0" w:color="auto"/>
              <w:bottom w:val="single" w:sz="4" w:space="0" w:color="auto"/>
              <w:right w:val="sing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Indirect RR</w:t>
            </w:r>
            <w:r w:rsidRPr="00984ED9">
              <w:rPr>
                <w:rFonts w:ascii="Arial Narrow" w:eastAsiaTheme="majorEastAsia" w:hAnsi="Arial Narrow"/>
                <w:b/>
                <w:snapToGrid/>
                <w:sz w:val="20"/>
                <w:szCs w:val="20"/>
                <w:lang w:eastAsia="en-AU" w:bidi="en-US"/>
              </w:rPr>
              <w:br/>
              <w:t>(95% CI)</w:t>
            </w:r>
          </w:p>
        </w:tc>
      </w:tr>
      <w:tr w:rsidR="008119AC" w:rsidRPr="008119AC" w:rsidTr="00E23C3A">
        <w:trPr>
          <w:cantSplit/>
          <w:trHeight w:val="45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cs="Times New Roman"/>
                <w:b/>
                <w:snapToGrid/>
                <w:sz w:val="20"/>
                <w:szCs w:val="20"/>
                <w:lang w:eastAsia="en-AU" w:bidi="en-US"/>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RR (95% CI)</w:t>
            </w:r>
          </w:p>
        </w:tc>
        <w:tc>
          <w:tcPr>
            <w:tcW w:w="633" w:type="pct"/>
            <w:tcBorders>
              <w:top w:val="single" w:sz="4" w:space="0" w:color="auto"/>
              <w:left w:val="single" w:sz="4" w:space="0" w:color="auto"/>
              <w:bottom w:val="single" w:sz="4" w:space="0" w:color="auto"/>
              <w:right w:val="doub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BEN</w:t>
            </w:r>
          </w:p>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Exac rate/yr</w:t>
            </w:r>
          </w:p>
        </w:tc>
        <w:tc>
          <w:tcPr>
            <w:tcW w:w="0" w:type="auto"/>
            <w:vMerge/>
            <w:tcBorders>
              <w:top w:val="single" w:sz="4" w:space="0" w:color="auto"/>
              <w:left w:val="nil"/>
              <w:bottom w:val="single" w:sz="4" w:space="0" w:color="auto"/>
              <w:right w:val="doub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cs="Times New Roman"/>
                <w:b/>
                <w:snapToGrid/>
                <w:sz w:val="20"/>
                <w:szCs w:val="20"/>
                <w:lang w:eastAsia="en-AU" w:bidi="en-US"/>
              </w:rPr>
            </w:pPr>
          </w:p>
        </w:tc>
        <w:tc>
          <w:tcPr>
            <w:tcW w:w="554" w:type="pct"/>
            <w:tcBorders>
              <w:top w:val="single" w:sz="4" w:space="0" w:color="auto"/>
              <w:left w:val="double" w:sz="4" w:space="0" w:color="auto"/>
              <w:bottom w:val="single" w:sz="4" w:space="0" w:color="auto"/>
              <w:right w:val="sing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MEPO Exac rate/yr</w:t>
            </w:r>
          </w:p>
        </w:tc>
        <w:tc>
          <w:tcPr>
            <w:tcW w:w="712" w:type="pct"/>
            <w:tcBorders>
              <w:top w:val="single" w:sz="4" w:space="0" w:color="auto"/>
              <w:left w:val="single" w:sz="4" w:space="0" w:color="auto"/>
              <w:bottom w:val="single" w:sz="4" w:space="0" w:color="auto"/>
              <w:right w:val="double" w:sz="4" w:space="0" w:color="auto"/>
            </w:tcBorders>
            <w:vAlign w:val="center"/>
            <w:hideMark/>
          </w:tcPr>
          <w:p w:rsidR="008119AC" w:rsidRPr="00984ED9" w:rsidRDefault="008119AC" w:rsidP="006A1AC6">
            <w:pPr>
              <w:keepNext/>
              <w:keepLines/>
              <w:widowControl/>
              <w:spacing w:before="20" w:after="20" w:line="276" w:lineRule="auto"/>
              <w:jc w:val="center"/>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RR (95% CI)</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8119AC" w:rsidRPr="00984ED9" w:rsidRDefault="008119AC" w:rsidP="006A1AC6">
            <w:pPr>
              <w:keepNext/>
              <w:keepLines/>
              <w:widowControl/>
              <w:spacing w:before="20" w:after="20" w:line="276" w:lineRule="auto"/>
              <w:jc w:val="left"/>
              <w:rPr>
                <w:rFonts w:ascii="Arial Narrow" w:eastAsiaTheme="majorEastAsia" w:hAnsi="Arial Narrow" w:cs="Times New Roman"/>
                <w:b/>
                <w:snapToGrid/>
                <w:sz w:val="20"/>
                <w:szCs w:val="20"/>
                <w:lang w:eastAsia="en-AU" w:bidi="en-US"/>
              </w:rPr>
            </w:pPr>
          </w:p>
        </w:tc>
      </w:tr>
      <w:tr w:rsidR="008119AC" w:rsidRPr="008119AC" w:rsidTr="002A2711">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 xml:space="preserve">Excluding CALIMA: SIROCCO vs MENSA </w:t>
            </w:r>
          </w:p>
        </w:tc>
      </w:tr>
      <w:tr w:rsidR="008119AC" w:rsidRPr="008119AC" w:rsidTr="002A2711">
        <w:trPr>
          <w:cantSplit/>
        </w:trPr>
        <w:tc>
          <w:tcPr>
            <w:tcW w:w="112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SIROCCO (n=534)</w:t>
            </w:r>
          </w:p>
        </w:tc>
        <w:tc>
          <w:tcPr>
            <w:tcW w:w="711"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0.49 (0.37, 0.64)</w:t>
            </w:r>
          </w:p>
        </w:tc>
        <w:tc>
          <w:tcPr>
            <w:tcW w:w="63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0.65</w:t>
            </w:r>
          </w:p>
        </w:tc>
        <w:tc>
          <w:tcPr>
            <w:tcW w:w="474"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1.33</w:t>
            </w:r>
          </w:p>
        </w:tc>
        <w:tc>
          <w:tcPr>
            <w:tcW w:w="554"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712"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793"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r>
      <w:tr w:rsidR="008119AC" w:rsidRPr="008119AC" w:rsidTr="002A2711">
        <w:trPr>
          <w:cantSplit/>
        </w:trPr>
        <w:tc>
          <w:tcPr>
            <w:tcW w:w="112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MENSA (n = 385)</w:t>
            </w:r>
          </w:p>
        </w:tc>
        <w:tc>
          <w:tcPr>
            <w:tcW w:w="711"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63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474"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1.74</w:t>
            </w:r>
          </w:p>
        </w:tc>
        <w:tc>
          <w:tcPr>
            <w:tcW w:w="554"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0.83</w:t>
            </w:r>
          </w:p>
        </w:tc>
        <w:tc>
          <w:tcPr>
            <w:tcW w:w="712"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0.47 (0.35, 0.64)</w:t>
            </w:r>
          </w:p>
        </w:tc>
        <w:tc>
          <w:tcPr>
            <w:tcW w:w="793"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r>
      <w:tr w:rsidR="008119AC" w:rsidRPr="008119AC" w:rsidTr="002A2711">
        <w:trPr>
          <w:cantSplit/>
        </w:trPr>
        <w:tc>
          <w:tcPr>
            <w:tcW w:w="4207" w:type="pct"/>
            <w:gridSpan w:val="6"/>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 xml:space="preserve">Indirect comparison </w:t>
            </w:r>
          </w:p>
        </w:tc>
        <w:tc>
          <w:tcPr>
            <w:tcW w:w="793"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1.04 (0.69, 1.56)</w:t>
            </w:r>
          </w:p>
        </w:tc>
      </w:tr>
      <w:tr w:rsidR="008119AC" w:rsidRPr="008119AC" w:rsidTr="002A2711">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 xml:space="preserve">SIROCCO vs MENSA subgroup </w:t>
            </w:r>
            <w:r w:rsidR="007430D4" w:rsidRPr="00984ED9">
              <w:rPr>
                <w:rFonts w:ascii="Arial Narrow" w:eastAsiaTheme="majorEastAsia" w:hAnsi="Arial Narrow"/>
                <w:b/>
                <w:snapToGrid/>
                <w:sz w:val="20"/>
                <w:szCs w:val="20"/>
                <w:lang w:eastAsia="en-AU" w:bidi="en-US"/>
              </w:rPr>
              <w:t xml:space="preserve">with </w:t>
            </w:r>
            <w:r w:rsidRPr="00984ED9">
              <w:rPr>
                <w:rFonts w:ascii="Arial Narrow" w:eastAsiaTheme="majorEastAsia" w:hAnsi="Arial Narrow"/>
                <w:b/>
                <w:snapToGrid/>
                <w:sz w:val="20"/>
                <w:szCs w:val="20"/>
                <w:lang w:eastAsia="en-AU" w:bidi="en-US"/>
              </w:rPr>
              <w:t xml:space="preserve">EOS ≥ 300 cells/µL in 6 weeks prior to screening </w:t>
            </w:r>
            <w:r w:rsidRPr="00984ED9">
              <w:rPr>
                <w:rFonts w:ascii="Arial Narrow" w:eastAsiaTheme="majorEastAsia" w:hAnsi="Arial Narrow"/>
                <w:b/>
                <w:snapToGrid/>
                <w:sz w:val="20"/>
                <w:szCs w:val="20"/>
                <w:vertAlign w:val="superscript"/>
                <w:lang w:eastAsia="en-AU" w:bidi="en-US"/>
              </w:rPr>
              <w:t xml:space="preserve">a </w:t>
            </w:r>
          </w:p>
        </w:tc>
      </w:tr>
      <w:tr w:rsidR="008119AC" w:rsidRPr="008119AC" w:rsidTr="002A2711">
        <w:trPr>
          <w:cantSplit/>
        </w:trPr>
        <w:tc>
          <w:tcPr>
            <w:tcW w:w="112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SIROCCO (n=534)</w:t>
            </w:r>
          </w:p>
        </w:tc>
        <w:tc>
          <w:tcPr>
            <w:tcW w:w="711"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0.49 (0.37, 0.64)</w:t>
            </w:r>
          </w:p>
        </w:tc>
        <w:tc>
          <w:tcPr>
            <w:tcW w:w="63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0.65</w:t>
            </w:r>
          </w:p>
        </w:tc>
        <w:tc>
          <w:tcPr>
            <w:tcW w:w="474"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1.33</w:t>
            </w:r>
          </w:p>
        </w:tc>
        <w:tc>
          <w:tcPr>
            <w:tcW w:w="554"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712"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793"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r>
      <w:tr w:rsidR="008119AC" w:rsidRPr="008119AC" w:rsidTr="002A2711">
        <w:trPr>
          <w:cantSplit/>
        </w:trPr>
        <w:tc>
          <w:tcPr>
            <w:tcW w:w="112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MENSA subgroup</w:t>
            </w:r>
            <w:r w:rsidR="007430D4" w:rsidRPr="00984ED9">
              <w:rPr>
                <w:rFonts w:ascii="Arial Narrow" w:eastAsiaTheme="majorEastAsia" w:hAnsi="Arial Narrow"/>
                <w:snapToGrid/>
                <w:sz w:val="20"/>
                <w:szCs w:val="20"/>
                <w:lang w:eastAsia="en-AU" w:bidi="en-US"/>
              </w:rPr>
              <w:t xml:space="preserve"> </w:t>
            </w:r>
            <w:r w:rsidRPr="00984ED9">
              <w:rPr>
                <w:rFonts w:ascii="Arial Narrow" w:eastAsiaTheme="majorEastAsia" w:hAnsi="Arial Narrow"/>
                <w:snapToGrid/>
                <w:sz w:val="20"/>
                <w:szCs w:val="20"/>
                <w:vertAlign w:val="superscript"/>
                <w:lang w:eastAsia="en-AU" w:bidi="en-US"/>
              </w:rPr>
              <w:t>a</w:t>
            </w:r>
            <w:r w:rsidRPr="00984ED9">
              <w:rPr>
                <w:rFonts w:ascii="Arial Narrow" w:eastAsiaTheme="majorEastAsia" w:hAnsi="Arial Narrow"/>
                <w:snapToGrid/>
                <w:sz w:val="20"/>
                <w:szCs w:val="20"/>
                <w:lang w:eastAsia="en-AU" w:bidi="en-US"/>
              </w:rPr>
              <w:t xml:space="preserve"> (n</w:t>
            </w:r>
            <w:r w:rsidR="007430D4" w:rsidRPr="00984ED9">
              <w:rPr>
                <w:rFonts w:ascii="Arial Narrow" w:eastAsiaTheme="majorEastAsia" w:hAnsi="Arial Narrow"/>
                <w:snapToGrid/>
                <w:sz w:val="20"/>
                <w:szCs w:val="20"/>
                <w:lang w:eastAsia="en-AU" w:bidi="en-US"/>
              </w:rPr>
              <w:t> </w:t>
            </w:r>
            <w:r w:rsidRPr="00984ED9">
              <w:rPr>
                <w:rFonts w:ascii="Arial Narrow" w:eastAsiaTheme="majorEastAsia" w:hAnsi="Arial Narrow"/>
                <w:snapToGrid/>
                <w:sz w:val="20"/>
                <w:szCs w:val="20"/>
                <w:lang w:eastAsia="en-AU" w:bidi="en-US"/>
              </w:rPr>
              <w:t>=</w:t>
            </w:r>
            <w:r w:rsidR="007430D4" w:rsidRPr="00984ED9">
              <w:rPr>
                <w:rFonts w:ascii="Arial Narrow" w:eastAsiaTheme="majorEastAsia" w:hAnsi="Arial Narrow"/>
                <w:snapToGrid/>
                <w:sz w:val="20"/>
                <w:szCs w:val="20"/>
                <w:lang w:eastAsia="en-AU" w:bidi="en-US"/>
              </w:rPr>
              <w:t> </w:t>
            </w:r>
            <w:r w:rsidRPr="00984ED9">
              <w:rPr>
                <w:rFonts w:ascii="Arial Narrow" w:eastAsiaTheme="majorEastAsia" w:hAnsi="Arial Narrow"/>
                <w:snapToGrid/>
                <w:sz w:val="20"/>
                <w:szCs w:val="20"/>
                <w:lang w:eastAsia="en-AU" w:bidi="en-US"/>
              </w:rPr>
              <w:t>206)</w:t>
            </w:r>
          </w:p>
        </w:tc>
        <w:tc>
          <w:tcPr>
            <w:tcW w:w="711"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633" w:type="pct"/>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c>
          <w:tcPr>
            <w:tcW w:w="474"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1.98</w:t>
            </w:r>
          </w:p>
        </w:tc>
        <w:tc>
          <w:tcPr>
            <w:tcW w:w="554"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0.71</w:t>
            </w:r>
          </w:p>
        </w:tc>
        <w:tc>
          <w:tcPr>
            <w:tcW w:w="712" w:type="pct"/>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0.36 (0.24, 0.54)</w:t>
            </w:r>
          </w:p>
        </w:tc>
        <w:tc>
          <w:tcPr>
            <w:tcW w:w="793"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w:t>
            </w:r>
          </w:p>
        </w:tc>
      </w:tr>
      <w:tr w:rsidR="008119AC" w:rsidRPr="008119AC" w:rsidTr="002A2711">
        <w:trPr>
          <w:cantSplit/>
        </w:trPr>
        <w:tc>
          <w:tcPr>
            <w:tcW w:w="4207" w:type="pct"/>
            <w:gridSpan w:val="6"/>
            <w:tcBorders>
              <w:top w:val="single" w:sz="4" w:space="0" w:color="auto"/>
              <w:left w:val="single" w:sz="4" w:space="0" w:color="auto"/>
              <w:bottom w:val="single" w:sz="4" w:space="0" w:color="auto"/>
              <w:right w:val="doub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 xml:space="preserve">Indirect comparison </w:t>
            </w:r>
          </w:p>
        </w:tc>
        <w:tc>
          <w:tcPr>
            <w:tcW w:w="793" w:type="pct"/>
            <w:tcBorders>
              <w:top w:val="single" w:sz="4" w:space="0" w:color="auto"/>
              <w:left w:val="doub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1.36 (0.83, 2.22)</w:t>
            </w:r>
          </w:p>
        </w:tc>
      </w:tr>
      <w:tr w:rsidR="008119AC" w:rsidRPr="008119AC" w:rsidTr="002A2711">
        <w:trPr>
          <w:cantSplit/>
        </w:trPr>
        <w:tc>
          <w:tcPr>
            <w:tcW w:w="5000" w:type="pct"/>
            <w:gridSpan w:val="7"/>
            <w:tcBorders>
              <w:top w:val="single" w:sz="4" w:space="0" w:color="auto"/>
              <w:left w:val="single" w:sz="4" w:space="0" w:color="auto"/>
              <w:bottom w:val="single" w:sz="4" w:space="0" w:color="auto"/>
              <w:right w:val="single" w:sz="4" w:space="0" w:color="auto"/>
            </w:tcBorders>
            <w:hideMark/>
          </w:tcPr>
          <w:p w:rsidR="008119AC" w:rsidRPr="00984ED9" w:rsidRDefault="008119AC" w:rsidP="006A1AC6">
            <w:pPr>
              <w:keepNext/>
              <w:keepLines/>
              <w:widowControl/>
              <w:spacing w:before="20" w:after="20" w:line="276" w:lineRule="auto"/>
              <w:jc w:val="left"/>
              <w:rPr>
                <w:rFonts w:ascii="Arial Narrow" w:eastAsiaTheme="majorEastAsia" w:hAnsi="Arial Narrow"/>
                <w:b/>
                <w:snapToGrid/>
                <w:sz w:val="20"/>
                <w:szCs w:val="20"/>
                <w:lang w:eastAsia="en-AU" w:bidi="en-US"/>
              </w:rPr>
            </w:pPr>
            <w:r w:rsidRPr="00984ED9">
              <w:rPr>
                <w:rFonts w:ascii="Arial Narrow" w:eastAsiaTheme="majorEastAsia" w:hAnsi="Arial Narrow"/>
                <w:b/>
                <w:snapToGrid/>
                <w:sz w:val="20"/>
                <w:szCs w:val="20"/>
                <w:lang w:eastAsia="en-AU" w:bidi="en-US"/>
              </w:rPr>
              <w:t xml:space="preserve">Including </w:t>
            </w:r>
            <w:r w:rsidR="00A973F7" w:rsidRPr="00984ED9">
              <w:rPr>
                <w:rFonts w:ascii="Arial Narrow" w:eastAsiaTheme="majorEastAsia" w:hAnsi="Arial Narrow"/>
                <w:b/>
                <w:snapToGrid/>
                <w:sz w:val="20"/>
                <w:szCs w:val="20"/>
                <w:lang w:eastAsia="en-AU" w:bidi="en-US"/>
              </w:rPr>
              <w:t xml:space="preserve">MUSCA (24 week trial of mepolizumab with primary outcome of ∆SGRQ) </w:t>
            </w:r>
          </w:p>
        </w:tc>
      </w:tr>
      <w:tr w:rsidR="00A973F7" w:rsidRPr="008119AC" w:rsidTr="000B4525">
        <w:trPr>
          <w:cantSplit/>
        </w:trPr>
        <w:tc>
          <w:tcPr>
            <w:tcW w:w="1123" w:type="pct"/>
            <w:tcBorders>
              <w:top w:val="single" w:sz="4" w:space="0" w:color="auto"/>
              <w:left w:val="single" w:sz="4" w:space="0" w:color="auto"/>
              <w:bottom w:val="single" w:sz="4" w:space="0" w:color="auto"/>
              <w:right w:val="single" w:sz="4" w:space="0" w:color="auto"/>
            </w:tcBorders>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MUSCA (n = 551)</w:t>
            </w:r>
          </w:p>
        </w:tc>
        <w:tc>
          <w:tcPr>
            <w:tcW w:w="711" w:type="pct"/>
            <w:tcBorders>
              <w:top w:val="single" w:sz="4" w:space="0" w:color="auto"/>
              <w:left w:val="sing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p>
        </w:tc>
        <w:tc>
          <w:tcPr>
            <w:tcW w:w="633" w:type="pct"/>
            <w:tcBorders>
              <w:top w:val="single" w:sz="4" w:space="0" w:color="auto"/>
              <w:left w:val="sing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p>
        </w:tc>
        <w:tc>
          <w:tcPr>
            <w:tcW w:w="474" w:type="pct"/>
            <w:tcBorders>
              <w:top w:val="single" w:sz="4" w:space="0" w:color="auto"/>
              <w:left w:val="single" w:sz="4" w:space="0" w:color="auto"/>
              <w:bottom w:val="single" w:sz="4" w:space="0" w:color="auto"/>
              <w:right w:val="doub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1.21</w:t>
            </w:r>
          </w:p>
        </w:tc>
        <w:tc>
          <w:tcPr>
            <w:tcW w:w="554" w:type="pct"/>
            <w:tcBorders>
              <w:top w:val="single" w:sz="4" w:space="0" w:color="auto"/>
              <w:left w:val="doub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 xml:space="preserve">0.51 </w:t>
            </w:r>
          </w:p>
        </w:tc>
        <w:tc>
          <w:tcPr>
            <w:tcW w:w="712" w:type="pct"/>
            <w:tcBorders>
              <w:top w:val="single" w:sz="4" w:space="0" w:color="auto"/>
              <w:left w:val="single" w:sz="4" w:space="0" w:color="auto"/>
              <w:bottom w:val="single" w:sz="4" w:space="0" w:color="auto"/>
              <w:right w:val="doub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0.42 (0.31, 0.56)</w:t>
            </w:r>
          </w:p>
        </w:tc>
        <w:tc>
          <w:tcPr>
            <w:tcW w:w="793" w:type="pct"/>
            <w:tcBorders>
              <w:top w:val="single" w:sz="4" w:space="0" w:color="auto"/>
              <w:left w:val="doub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p>
        </w:tc>
      </w:tr>
      <w:tr w:rsidR="00A973F7" w:rsidRPr="008119AC" w:rsidTr="000B4525">
        <w:trPr>
          <w:cantSplit/>
        </w:trPr>
        <w:tc>
          <w:tcPr>
            <w:tcW w:w="1123" w:type="pct"/>
            <w:tcBorders>
              <w:top w:val="single" w:sz="4" w:space="0" w:color="auto"/>
              <w:left w:val="single" w:sz="4" w:space="0" w:color="auto"/>
              <w:bottom w:val="single" w:sz="4" w:space="0" w:color="auto"/>
              <w:right w:val="single" w:sz="4" w:space="0" w:color="auto"/>
            </w:tcBorders>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Pooled random effects</w:t>
            </w:r>
          </w:p>
        </w:tc>
        <w:tc>
          <w:tcPr>
            <w:tcW w:w="711" w:type="pct"/>
            <w:tcBorders>
              <w:top w:val="single" w:sz="4" w:space="0" w:color="auto"/>
              <w:left w:val="sing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0.59 (0.41, 0.86)</w:t>
            </w:r>
          </w:p>
        </w:tc>
        <w:tc>
          <w:tcPr>
            <w:tcW w:w="633" w:type="pct"/>
            <w:tcBorders>
              <w:top w:val="single" w:sz="4" w:space="0" w:color="auto"/>
              <w:left w:val="sing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p>
        </w:tc>
        <w:tc>
          <w:tcPr>
            <w:tcW w:w="474" w:type="pct"/>
            <w:tcBorders>
              <w:top w:val="single" w:sz="4" w:space="0" w:color="auto"/>
              <w:left w:val="single" w:sz="4" w:space="0" w:color="auto"/>
              <w:bottom w:val="single" w:sz="4" w:space="0" w:color="auto"/>
              <w:right w:val="doub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p>
        </w:tc>
        <w:tc>
          <w:tcPr>
            <w:tcW w:w="554" w:type="pct"/>
            <w:tcBorders>
              <w:top w:val="single" w:sz="4" w:space="0" w:color="auto"/>
              <w:left w:val="doub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p>
        </w:tc>
        <w:tc>
          <w:tcPr>
            <w:tcW w:w="712" w:type="pct"/>
            <w:tcBorders>
              <w:top w:val="single" w:sz="4" w:space="0" w:color="auto"/>
              <w:left w:val="single" w:sz="4" w:space="0" w:color="auto"/>
              <w:bottom w:val="single" w:sz="4" w:space="0" w:color="auto"/>
              <w:right w:val="doub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0.44 (0.39, 0.49)</w:t>
            </w:r>
          </w:p>
        </w:tc>
        <w:tc>
          <w:tcPr>
            <w:tcW w:w="793" w:type="pct"/>
            <w:tcBorders>
              <w:top w:val="single" w:sz="4" w:space="0" w:color="auto"/>
              <w:left w:val="double" w:sz="4" w:space="0" w:color="auto"/>
              <w:bottom w:val="single" w:sz="4" w:space="0" w:color="auto"/>
              <w:right w:val="single" w:sz="4" w:space="0" w:color="auto"/>
            </w:tcBorders>
            <w:vAlign w:val="center"/>
          </w:tcPr>
          <w:p w:rsidR="00A973F7" w:rsidRPr="00984ED9" w:rsidRDefault="00A973F7" w:rsidP="006A1AC6">
            <w:pPr>
              <w:keepNext/>
              <w:keepLines/>
              <w:widowControl/>
              <w:spacing w:before="20" w:after="20" w:line="276" w:lineRule="auto"/>
              <w:jc w:val="left"/>
              <w:rPr>
                <w:rFonts w:ascii="Arial Narrow" w:eastAsiaTheme="majorEastAsia" w:hAnsi="Arial Narrow"/>
                <w:snapToGrid/>
                <w:sz w:val="20"/>
                <w:szCs w:val="20"/>
                <w:lang w:eastAsia="en-AU" w:bidi="en-US"/>
              </w:rPr>
            </w:pPr>
            <w:r w:rsidRPr="00984ED9">
              <w:rPr>
                <w:rFonts w:ascii="Arial Narrow" w:eastAsiaTheme="majorEastAsia" w:hAnsi="Arial Narrow"/>
                <w:snapToGrid/>
                <w:sz w:val="20"/>
                <w:szCs w:val="20"/>
                <w:lang w:eastAsia="en-AU" w:bidi="en-US"/>
              </w:rPr>
              <w:t>1.34 (0.91, 1.98)</w:t>
            </w:r>
          </w:p>
        </w:tc>
      </w:tr>
      <w:tr w:rsidR="001C0263" w:rsidRPr="008119AC" w:rsidTr="001C0263">
        <w:trPr>
          <w:cantSplit/>
        </w:trPr>
        <w:tc>
          <w:tcPr>
            <w:tcW w:w="5000" w:type="pct"/>
            <w:gridSpan w:val="7"/>
            <w:tcBorders>
              <w:top w:val="single" w:sz="4" w:space="0" w:color="auto"/>
              <w:left w:val="single" w:sz="4" w:space="0" w:color="auto"/>
              <w:bottom w:val="single" w:sz="4" w:space="0" w:color="auto"/>
              <w:right w:val="single" w:sz="4" w:space="0" w:color="auto"/>
            </w:tcBorders>
          </w:tcPr>
          <w:p w:rsidR="001C0263" w:rsidRPr="00203153" w:rsidRDefault="00984ED9" w:rsidP="006A1AC6">
            <w:pPr>
              <w:keepNext/>
              <w:keepLines/>
              <w:widowControl/>
              <w:spacing w:before="20" w:after="20" w:line="276" w:lineRule="auto"/>
              <w:jc w:val="left"/>
              <w:rPr>
                <w:rFonts w:ascii="Arial Narrow" w:eastAsiaTheme="majorEastAsia" w:hAnsi="Arial Narrow"/>
                <w:b/>
                <w:i/>
                <w:snapToGrid/>
                <w:sz w:val="20"/>
                <w:szCs w:val="20"/>
                <w:lang w:eastAsia="en-AU" w:bidi="en-US"/>
              </w:rPr>
            </w:pPr>
            <w:r w:rsidRPr="00203153">
              <w:rPr>
                <w:rFonts w:ascii="Arial Narrow" w:eastAsiaTheme="majorEastAsia" w:hAnsi="Arial Narrow"/>
                <w:b/>
                <w:i/>
                <w:snapToGrid/>
                <w:sz w:val="20"/>
                <w:szCs w:val="20"/>
                <w:lang w:eastAsia="en-AU" w:bidi="en-US"/>
              </w:rPr>
              <w:t>OCS-sparing trials</w:t>
            </w:r>
            <w:r w:rsidR="00855D35">
              <w:rPr>
                <w:rFonts w:ascii="Arial Narrow" w:eastAsiaTheme="majorEastAsia" w:hAnsi="Arial Narrow"/>
                <w:b/>
                <w:i/>
                <w:snapToGrid/>
                <w:sz w:val="20"/>
                <w:szCs w:val="20"/>
                <w:lang w:eastAsia="en-AU" w:bidi="en-US"/>
              </w:rPr>
              <w:t xml:space="preserve"> only</w:t>
            </w:r>
            <w:r w:rsidR="00FD70A3">
              <w:rPr>
                <w:rFonts w:ascii="Arial Narrow" w:eastAsiaTheme="majorEastAsia" w:hAnsi="Arial Narrow"/>
                <w:b/>
                <w:i/>
                <w:snapToGrid/>
                <w:sz w:val="20"/>
                <w:szCs w:val="20"/>
                <w:lang w:eastAsia="en-AU" w:bidi="en-US"/>
              </w:rPr>
              <w:t xml:space="preserve"> (ZONDA vs SIRIUS)</w:t>
            </w:r>
          </w:p>
        </w:tc>
      </w:tr>
      <w:tr w:rsidR="00984ED9" w:rsidRPr="008119AC" w:rsidTr="00D117EA">
        <w:trPr>
          <w:cantSplit/>
        </w:trPr>
        <w:tc>
          <w:tcPr>
            <w:tcW w:w="1123"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ZONDA (n=148)</w:t>
            </w:r>
          </w:p>
        </w:tc>
        <w:tc>
          <w:tcPr>
            <w:tcW w:w="711"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0.30 (0.17, 0.53)</w:t>
            </w:r>
          </w:p>
        </w:tc>
        <w:tc>
          <w:tcPr>
            <w:tcW w:w="633"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0.54</w:t>
            </w:r>
          </w:p>
        </w:tc>
        <w:tc>
          <w:tcPr>
            <w:tcW w:w="474" w:type="pct"/>
            <w:tcBorders>
              <w:top w:val="single" w:sz="4" w:space="0" w:color="auto"/>
              <w:left w:val="single" w:sz="4" w:space="0" w:color="auto"/>
              <w:bottom w:val="single" w:sz="4" w:space="0" w:color="auto"/>
              <w:right w:val="doub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1.8</w:t>
            </w:r>
          </w:p>
        </w:tc>
        <w:tc>
          <w:tcPr>
            <w:tcW w:w="554" w:type="pct"/>
            <w:tcBorders>
              <w:top w:val="single" w:sz="4" w:space="0" w:color="auto"/>
              <w:left w:val="doub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w:t>
            </w:r>
          </w:p>
        </w:tc>
        <w:tc>
          <w:tcPr>
            <w:tcW w:w="712" w:type="pct"/>
            <w:tcBorders>
              <w:top w:val="single" w:sz="4" w:space="0" w:color="auto"/>
              <w:left w:val="single" w:sz="4" w:space="0" w:color="auto"/>
              <w:bottom w:val="single" w:sz="4" w:space="0" w:color="auto"/>
              <w:right w:val="doub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w:t>
            </w:r>
          </w:p>
        </w:tc>
        <w:tc>
          <w:tcPr>
            <w:tcW w:w="793" w:type="pct"/>
            <w:tcBorders>
              <w:top w:val="single" w:sz="4" w:space="0" w:color="auto"/>
              <w:left w:val="doub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w:t>
            </w:r>
          </w:p>
        </w:tc>
      </w:tr>
      <w:tr w:rsidR="00984ED9" w:rsidRPr="008119AC" w:rsidTr="00D117EA">
        <w:trPr>
          <w:cantSplit/>
        </w:trPr>
        <w:tc>
          <w:tcPr>
            <w:tcW w:w="1123"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SIRIUS (n = 135)</w:t>
            </w:r>
          </w:p>
        </w:tc>
        <w:tc>
          <w:tcPr>
            <w:tcW w:w="711"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w:t>
            </w:r>
          </w:p>
        </w:tc>
        <w:tc>
          <w:tcPr>
            <w:tcW w:w="633"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w:t>
            </w:r>
          </w:p>
        </w:tc>
        <w:tc>
          <w:tcPr>
            <w:tcW w:w="474" w:type="pct"/>
            <w:tcBorders>
              <w:top w:val="single" w:sz="4" w:space="0" w:color="auto"/>
              <w:left w:val="single" w:sz="4" w:space="0" w:color="auto"/>
              <w:bottom w:val="single" w:sz="4" w:space="0" w:color="auto"/>
              <w:right w:val="doub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2.1</w:t>
            </w:r>
          </w:p>
        </w:tc>
        <w:tc>
          <w:tcPr>
            <w:tcW w:w="554" w:type="pct"/>
            <w:tcBorders>
              <w:top w:val="single" w:sz="4" w:space="0" w:color="auto"/>
              <w:left w:val="doub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1.4</w:t>
            </w:r>
          </w:p>
        </w:tc>
        <w:tc>
          <w:tcPr>
            <w:tcW w:w="712" w:type="pct"/>
            <w:tcBorders>
              <w:top w:val="single" w:sz="4" w:space="0" w:color="auto"/>
              <w:left w:val="single" w:sz="4" w:space="0" w:color="auto"/>
              <w:bottom w:val="single" w:sz="4" w:space="0" w:color="auto"/>
              <w:right w:val="doub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0.68 (0.47, 0.99)</w:t>
            </w:r>
          </w:p>
        </w:tc>
        <w:tc>
          <w:tcPr>
            <w:tcW w:w="793" w:type="pct"/>
            <w:tcBorders>
              <w:top w:val="single" w:sz="4" w:space="0" w:color="auto"/>
              <w:left w:val="doub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w:t>
            </w:r>
          </w:p>
        </w:tc>
      </w:tr>
      <w:tr w:rsidR="00984ED9" w:rsidRPr="008119AC" w:rsidTr="00622C4C">
        <w:trPr>
          <w:cantSplit/>
        </w:trPr>
        <w:tc>
          <w:tcPr>
            <w:tcW w:w="1123"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Pooled random effects</w:t>
            </w:r>
          </w:p>
        </w:tc>
        <w:tc>
          <w:tcPr>
            <w:tcW w:w="711"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p>
        </w:tc>
        <w:tc>
          <w:tcPr>
            <w:tcW w:w="633" w:type="pct"/>
            <w:tcBorders>
              <w:top w:val="single" w:sz="4" w:space="0" w:color="auto"/>
              <w:left w:val="sing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p>
        </w:tc>
        <w:tc>
          <w:tcPr>
            <w:tcW w:w="474" w:type="pct"/>
            <w:tcBorders>
              <w:top w:val="single" w:sz="4" w:space="0" w:color="auto"/>
              <w:left w:val="single" w:sz="4" w:space="0" w:color="auto"/>
              <w:bottom w:val="single" w:sz="4" w:space="0" w:color="auto"/>
              <w:right w:val="doub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p>
        </w:tc>
        <w:tc>
          <w:tcPr>
            <w:tcW w:w="554" w:type="pct"/>
            <w:tcBorders>
              <w:top w:val="single" w:sz="4" w:space="0" w:color="auto"/>
              <w:left w:val="double" w:sz="4" w:space="0" w:color="auto"/>
              <w:bottom w:val="single" w:sz="4" w:space="0" w:color="auto"/>
              <w:right w:val="sing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p>
        </w:tc>
        <w:tc>
          <w:tcPr>
            <w:tcW w:w="712" w:type="pct"/>
            <w:tcBorders>
              <w:top w:val="single" w:sz="4" w:space="0" w:color="auto"/>
              <w:left w:val="single" w:sz="4" w:space="0" w:color="auto"/>
              <w:bottom w:val="single" w:sz="4" w:space="0" w:color="auto"/>
              <w:right w:val="double" w:sz="4" w:space="0" w:color="auto"/>
            </w:tcBorders>
          </w:tcPr>
          <w:p w:rsidR="00984ED9" w:rsidRPr="00984ED9" w:rsidRDefault="00984ED9" w:rsidP="006A1AC6">
            <w:pPr>
              <w:keepNext/>
              <w:keepLines/>
              <w:widowControl/>
              <w:spacing w:before="20" w:after="20" w:line="276" w:lineRule="auto"/>
              <w:jc w:val="left"/>
              <w:rPr>
                <w:rFonts w:ascii="Arial Narrow" w:eastAsiaTheme="majorEastAsia" w:hAnsi="Arial Narrow"/>
                <w:i/>
                <w:snapToGrid/>
                <w:sz w:val="20"/>
                <w:szCs w:val="20"/>
                <w:lang w:eastAsia="en-AU" w:bidi="en-US"/>
              </w:rPr>
            </w:pPr>
          </w:p>
        </w:tc>
        <w:tc>
          <w:tcPr>
            <w:tcW w:w="793" w:type="pct"/>
            <w:tcBorders>
              <w:top w:val="single" w:sz="4" w:space="0" w:color="auto"/>
              <w:left w:val="double" w:sz="4" w:space="0" w:color="auto"/>
              <w:bottom w:val="single" w:sz="4" w:space="0" w:color="auto"/>
              <w:right w:val="single" w:sz="4" w:space="0" w:color="auto"/>
            </w:tcBorders>
          </w:tcPr>
          <w:p w:rsidR="00984ED9" w:rsidRPr="00984ED9" w:rsidRDefault="00984ED9" w:rsidP="00984ED9">
            <w:pPr>
              <w:keepNext/>
              <w:keepLines/>
              <w:widowControl/>
              <w:spacing w:before="20" w:after="20" w:line="276" w:lineRule="auto"/>
              <w:jc w:val="left"/>
              <w:rPr>
                <w:rFonts w:ascii="Arial Narrow" w:eastAsiaTheme="majorEastAsia" w:hAnsi="Arial Narrow"/>
                <w:i/>
                <w:snapToGrid/>
                <w:sz w:val="20"/>
                <w:szCs w:val="20"/>
                <w:lang w:eastAsia="en-AU" w:bidi="en-US"/>
              </w:rPr>
            </w:pPr>
            <w:r w:rsidRPr="00984ED9">
              <w:rPr>
                <w:rFonts w:ascii="Arial Narrow" w:eastAsiaTheme="majorEastAsia" w:hAnsi="Arial Narrow"/>
                <w:i/>
                <w:snapToGrid/>
                <w:sz w:val="20"/>
                <w:szCs w:val="20"/>
                <w:lang w:eastAsia="en-AU" w:bidi="en-US"/>
              </w:rPr>
              <w:t>0.44 (0.22, 0.87)</w:t>
            </w:r>
          </w:p>
        </w:tc>
      </w:tr>
    </w:tbl>
    <w:p w:rsidR="008119AC" w:rsidRPr="008119AC" w:rsidRDefault="008119AC" w:rsidP="006A1AC6">
      <w:pPr>
        <w:keepNext/>
        <w:keepLines/>
        <w:rPr>
          <w:rFonts w:ascii="Arial Narrow" w:hAnsi="Arial Narrow"/>
          <w:i/>
          <w:sz w:val="18"/>
        </w:rPr>
      </w:pPr>
      <w:r w:rsidRPr="008119AC">
        <w:rPr>
          <w:rFonts w:ascii="Arial Narrow" w:hAnsi="Arial Narrow"/>
          <w:sz w:val="18"/>
        </w:rPr>
        <w:t xml:space="preserve">Source: CSR (ZONDA Tables 11.2.1, 11.2.4.2); </w:t>
      </w:r>
      <w:r w:rsidR="00240605">
        <w:rPr>
          <w:rFonts w:ascii="Arial Narrow" w:hAnsi="Arial Narrow"/>
          <w:sz w:val="18"/>
        </w:rPr>
        <w:t>M</w:t>
      </w:r>
      <w:r w:rsidRPr="008119AC">
        <w:rPr>
          <w:rFonts w:ascii="Arial Narrow" w:hAnsi="Arial Narrow"/>
          <w:sz w:val="18"/>
        </w:rPr>
        <w:t>epolizumab Public Summary Document</w:t>
      </w:r>
      <w:r w:rsidR="00240605">
        <w:rPr>
          <w:rFonts w:ascii="Arial Narrow" w:hAnsi="Arial Narrow"/>
          <w:sz w:val="18"/>
        </w:rPr>
        <w:t>,</w:t>
      </w:r>
      <w:r w:rsidRPr="008119AC">
        <w:rPr>
          <w:rFonts w:ascii="Arial Narrow" w:hAnsi="Arial Narrow"/>
          <w:sz w:val="18"/>
        </w:rPr>
        <w:t xml:space="preserve"> March 2016, Table 5, p 9; text, pp1194-5 Bel 2014; </w:t>
      </w:r>
      <w:r w:rsidRPr="00C30C94">
        <w:rPr>
          <w:rFonts w:ascii="Arial Narrow" w:hAnsi="Arial Narrow"/>
          <w:sz w:val="18"/>
        </w:rPr>
        <w:t xml:space="preserve">Ital =analyses </w:t>
      </w:r>
      <w:r w:rsidR="00191095" w:rsidRPr="00C30C94">
        <w:rPr>
          <w:rFonts w:ascii="Arial Narrow" w:hAnsi="Arial Narrow"/>
          <w:sz w:val="18"/>
        </w:rPr>
        <w:t>and values</w:t>
      </w:r>
      <w:r w:rsidRPr="00C30C94">
        <w:rPr>
          <w:rFonts w:ascii="Arial Narrow" w:hAnsi="Arial Narrow"/>
          <w:sz w:val="18"/>
        </w:rPr>
        <w:t xml:space="preserve"> in italics were calculated during evaluation </w:t>
      </w:r>
    </w:p>
    <w:p w:rsidR="008119AC" w:rsidRPr="008119AC" w:rsidRDefault="008119AC" w:rsidP="006A1AC6">
      <w:pPr>
        <w:keepNext/>
        <w:keepLines/>
        <w:rPr>
          <w:rFonts w:ascii="Arial Narrow" w:hAnsi="Arial Narrow"/>
          <w:sz w:val="18"/>
        </w:rPr>
      </w:pPr>
      <w:r w:rsidRPr="008119AC">
        <w:rPr>
          <w:rFonts w:ascii="Arial Narrow" w:hAnsi="Arial Narrow"/>
          <w:sz w:val="18"/>
        </w:rPr>
        <w:t>BEN = benralizumab; CI = confidence interval; EOS = eosinophil; q8w = every 8 weeks; exac = exacerbation; MEPO = mepolizumab;</w:t>
      </w:r>
      <w:r w:rsidR="00B80543">
        <w:rPr>
          <w:rFonts w:ascii="Arial Narrow" w:hAnsi="Arial Narrow"/>
          <w:sz w:val="18"/>
        </w:rPr>
        <w:t xml:space="preserve"> </w:t>
      </w:r>
      <w:r w:rsidR="00855D35">
        <w:rPr>
          <w:rFonts w:ascii="Arial Narrow" w:hAnsi="Arial Narrow"/>
          <w:sz w:val="18"/>
        </w:rPr>
        <w:t xml:space="preserve">OCS = oral corticosteroid; </w:t>
      </w:r>
      <w:r w:rsidRPr="008119AC">
        <w:rPr>
          <w:rFonts w:ascii="Arial Narrow" w:hAnsi="Arial Narrow"/>
          <w:sz w:val="18"/>
        </w:rPr>
        <w:t>PBS = Pharmaceutical Benefits Scheme; SOC = standard of care;</w:t>
      </w:r>
      <w:r w:rsidR="00A973F7">
        <w:rPr>
          <w:rFonts w:ascii="Arial Narrow" w:hAnsi="Arial Narrow"/>
          <w:sz w:val="18"/>
        </w:rPr>
        <w:t xml:space="preserve"> SRGC =</w:t>
      </w:r>
      <w:r w:rsidRPr="008119AC">
        <w:rPr>
          <w:rFonts w:ascii="Arial Narrow" w:hAnsi="Arial Narrow"/>
          <w:sz w:val="18"/>
        </w:rPr>
        <w:t xml:space="preserve"> </w:t>
      </w:r>
      <w:r w:rsidR="00A973F7" w:rsidRPr="00A973F7">
        <w:rPr>
          <w:rFonts w:ascii="Arial Narrow" w:hAnsi="Arial Narrow"/>
          <w:sz w:val="18"/>
        </w:rPr>
        <w:t>St George’s Respiratory Questionnaire</w:t>
      </w:r>
      <w:r w:rsidR="00A973F7">
        <w:rPr>
          <w:rFonts w:ascii="Arial Narrow" w:hAnsi="Arial Narrow"/>
          <w:sz w:val="18"/>
        </w:rPr>
        <w:t>;</w:t>
      </w:r>
      <w:r w:rsidR="00A973F7" w:rsidRPr="00A973F7">
        <w:rPr>
          <w:rFonts w:ascii="Arial Narrow" w:hAnsi="Arial Narrow"/>
          <w:sz w:val="18"/>
        </w:rPr>
        <w:t xml:space="preserve"> </w:t>
      </w:r>
      <w:r w:rsidRPr="008119AC">
        <w:rPr>
          <w:rFonts w:ascii="Arial Narrow" w:hAnsi="Arial Narrow"/>
          <w:sz w:val="18"/>
        </w:rPr>
        <w:t>RR = rate ratio; yr = year</w:t>
      </w:r>
    </w:p>
    <w:p w:rsidR="008119AC" w:rsidRPr="008119AC" w:rsidRDefault="008119AC" w:rsidP="003C1C72">
      <w:pPr>
        <w:keepNext/>
        <w:keepLines/>
        <w:spacing w:after="120"/>
        <w:rPr>
          <w:rFonts w:ascii="Arial Narrow" w:hAnsi="Arial Narrow"/>
          <w:sz w:val="18"/>
        </w:rPr>
      </w:pPr>
      <w:r w:rsidRPr="008119AC">
        <w:rPr>
          <w:rFonts w:ascii="Arial Narrow" w:hAnsi="Arial Narrow"/>
          <w:sz w:val="18"/>
          <w:vertAlign w:val="superscript"/>
        </w:rPr>
        <w:t>a</w:t>
      </w:r>
      <w:r w:rsidRPr="008119AC">
        <w:rPr>
          <w:rFonts w:ascii="Arial Narrow" w:hAnsi="Arial Narrow"/>
          <w:sz w:val="18"/>
        </w:rPr>
        <w:t xml:space="preserve"> Subgroup: eosinophils of ≥ 300 cells/µL in the 6 weeks prior to screening (</w:t>
      </w:r>
      <w:r w:rsidR="007430D4">
        <w:rPr>
          <w:rFonts w:ascii="Arial Narrow" w:hAnsi="Arial Narrow"/>
          <w:sz w:val="18"/>
        </w:rPr>
        <w:t xml:space="preserve">which the mepolizumab Public Summary Document </w:t>
      </w:r>
      <w:r w:rsidRPr="008119AC">
        <w:rPr>
          <w:rFonts w:ascii="Arial Narrow" w:hAnsi="Arial Narrow"/>
          <w:sz w:val="18"/>
        </w:rPr>
        <w:t xml:space="preserve">stated to be </w:t>
      </w:r>
      <w:r w:rsidR="007430D4">
        <w:rPr>
          <w:rFonts w:ascii="Arial Narrow" w:hAnsi="Arial Narrow"/>
          <w:sz w:val="18"/>
        </w:rPr>
        <w:t xml:space="preserve">more closely aligned with the </w:t>
      </w:r>
      <w:r w:rsidRPr="008119AC">
        <w:rPr>
          <w:rFonts w:ascii="Arial Narrow" w:hAnsi="Arial Narrow"/>
          <w:sz w:val="18"/>
        </w:rPr>
        <w:t xml:space="preserve">PBS restriction). Source: </w:t>
      </w:r>
      <w:r w:rsidR="00240605">
        <w:rPr>
          <w:rFonts w:ascii="Arial Narrow" w:hAnsi="Arial Narrow"/>
          <w:sz w:val="18"/>
        </w:rPr>
        <w:t>M</w:t>
      </w:r>
      <w:r w:rsidRPr="008119AC">
        <w:rPr>
          <w:rFonts w:ascii="Arial Narrow" w:hAnsi="Arial Narrow"/>
          <w:sz w:val="18"/>
        </w:rPr>
        <w:t xml:space="preserve">epolizumab Public Summary Document March 2016, Table 5, p9. </w:t>
      </w:r>
    </w:p>
    <w:p w:rsidR="008119AC" w:rsidRDefault="00055CCF" w:rsidP="00055CCF">
      <w:pPr>
        <w:widowControl/>
        <w:numPr>
          <w:ilvl w:val="1"/>
          <w:numId w:val="1"/>
        </w:numPr>
        <w:spacing w:after="120"/>
      </w:pPr>
      <w:r w:rsidRPr="00055CCF">
        <w:rPr>
          <w:u w:val="single"/>
        </w:rPr>
        <w:t>SIROCCO versus MENSA:</w:t>
      </w:r>
      <w:r w:rsidRPr="00055CCF">
        <w:t xml:space="preserve"> </w:t>
      </w:r>
      <w:r w:rsidR="008119AC" w:rsidRPr="00A05A0B">
        <w:t xml:space="preserve">The CALIMA trial likely had the greatest transitivity </w:t>
      </w:r>
      <w:r w:rsidR="00B9162D">
        <w:t>issues</w:t>
      </w:r>
      <w:r w:rsidR="008119AC" w:rsidRPr="00A05A0B">
        <w:t xml:space="preserve"> versus the mepolizumab trial (MENSA) as it had the lowest event rate in the standard of care arm. Exclusion of CALIMA </w:t>
      </w:r>
      <w:r w:rsidR="00FD70A3">
        <w:t>reduc</w:t>
      </w:r>
      <w:r w:rsidR="008119AC" w:rsidRPr="00A05A0B">
        <w:t>ed the rate ratio to 1.04 (95% CI: 0.69, 1.56). However,</w:t>
      </w:r>
      <w:r>
        <w:t xml:space="preserve"> the evaluation noted that</w:t>
      </w:r>
      <w:r w:rsidR="008119AC" w:rsidRPr="00A05A0B">
        <w:t xml:space="preserve"> this still did not meet the 28% non-inferiority margin proposed by the submission and significant transitivity issues remained. </w:t>
      </w:r>
    </w:p>
    <w:p w:rsidR="00055CCF" w:rsidRPr="00A05A0B" w:rsidRDefault="00B9162D" w:rsidP="009323A5">
      <w:pPr>
        <w:widowControl/>
        <w:numPr>
          <w:ilvl w:val="1"/>
          <w:numId w:val="1"/>
        </w:numPr>
        <w:spacing w:after="120"/>
      </w:pPr>
      <w:r w:rsidRPr="00B9162D">
        <w:t>The PBAC acknowledged that the indirect comparison did not meet the non-inferiority</w:t>
      </w:r>
      <w:r>
        <w:t xml:space="preserve"> margin, but considered this was likely due to the heterogeneity between the trials (the exacerbation rates in the common reference arms were 1.33 events per year for SIROCCO and 1.74 for MENSA) and </w:t>
      </w:r>
      <w:r w:rsidR="009323A5">
        <w:t xml:space="preserve">a </w:t>
      </w:r>
      <w:r>
        <w:t xml:space="preserve">lack of statistical power for the analysis. </w:t>
      </w:r>
      <w:r w:rsidR="00E90499">
        <w:t xml:space="preserve">The PBAC </w:t>
      </w:r>
      <w:r>
        <w:t xml:space="preserve">further </w:t>
      </w:r>
      <w:r w:rsidR="00055CCF">
        <w:t xml:space="preserve">noted that </w:t>
      </w:r>
      <w:r w:rsidR="00055CCF" w:rsidRPr="00602DD9">
        <w:t>SIROCCO and MENSA reported</w:t>
      </w:r>
      <w:r w:rsidR="00055CCF">
        <w:t xml:space="preserve"> similar </w:t>
      </w:r>
      <w:r>
        <w:t>results (noting both the point estimates and confidence intervals)</w:t>
      </w:r>
      <w:r w:rsidR="00055CCF">
        <w:t xml:space="preserve">: </w:t>
      </w:r>
      <w:r w:rsidR="009323A5" w:rsidRPr="009323A5">
        <w:t xml:space="preserve">the rate ratios for clinically significant asthma exacerbations were </w:t>
      </w:r>
      <w:r w:rsidR="00055CCF">
        <w:t xml:space="preserve">0.49 (95% CI: 0.37, 0.64) </w:t>
      </w:r>
      <w:r w:rsidR="00E90499">
        <w:t>in</w:t>
      </w:r>
      <w:r w:rsidR="00055CCF">
        <w:t xml:space="preserve"> SIROCCO versus </w:t>
      </w:r>
      <w:r w:rsidR="00055CCF" w:rsidRPr="00055CCF">
        <w:t>0.47 (</w:t>
      </w:r>
      <w:r w:rsidR="00055CCF">
        <w:t xml:space="preserve">95% CI: </w:t>
      </w:r>
      <w:r w:rsidR="00055CCF" w:rsidRPr="00055CCF">
        <w:t>0.35, 0.64)</w:t>
      </w:r>
      <w:r w:rsidR="00E90499">
        <w:t xml:space="preserve"> in </w:t>
      </w:r>
      <w:r w:rsidR="00055CCF">
        <w:t>MENSA</w:t>
      </w:r>
      <w:r w:rsidR="00055CCF" w:rsidRPr="00B9162D">
        <w:t xml:space="preserve">. </w:t>
      </w:r>
    </w:p>
    <w:p w:rsidR="008119AC" w:rsidRPr="00A05A0B" w:rsidRDefault="00B9162D" w:rsidP="00D70B99">
      <w:pPr>
        <w:widowControl/>
        <w:numPr>
          <w:ilvl w:val="1"/>
          <w:numId w:val="1"/>
        </w:numPr>
        <w:spacing w:after="120"/>
        <w:ind w:left="709"/>
      </w:pPr>
      <w:r>
        <w:rPr>
          <w:u w:val="single"/>
        </w:rPr>
        <w:t xml:space="preserve">MENSA subgroup: </w:t>
      </w:r>
      <w:r w:rsidR="008119AC" w:rsidRPr="00A05A0B">
        <w:t xml:space="preserve">A subgroup of MENSA (mepolizumab) that only included patients with eosinophils 300 cells/µL or higher in the six weeks prior to screening was reported in </w:t>
      </w:r>
      <w:r w:rsidR="00240605" w:rsidRPr="00A05A0B">
        <w:t xml:space="preserve">Table 5 of the Mepolizumab </w:t>
      </w:r>
      <w:r w:rsidR="008119AC" w:rsidRPr="00A05A0B">
        <w:t>Public Summary Document</w:t>
      </w:r>
      <w:r w:rsidR="00240605" w:rsidRPr="00A05A0B">
        <w:t>,</w:t>
      </w:r>
      <w:r w:rsidR="008119AC" w:rsidRPr="00A05A0B">
        <w:t xml:space="preserve"> March 2016. This subgroup more closely aligned with the benralizumab trial inclusion criteria and the PBS restriction. The rate ratio for this indirect comparison was 1.36 (95% CI: 0.83, 2.22). </w:t>
      </w:r>
      <w:r w:rsidR="007143CD" w:rsidRPr="00A05A0B">
        <w:t xml:space="preserve">However, this </w:t>
      </w:r>
      <w:r w:rsidR="0086508A" w:rsidRPr="00A05A0B">
        <w:t xml:space="preserve">more highly favoured mepolizumab and thus </w:t>
      </w:r>
      <w:r w:rsidR="007143CD" w:rsidRPr="00A05A0B">
        <w:t>still did not meet the 28% non-inferiority margin proposed by the submission and significant transitivity issues remained.</w:t>
      </w:r>
    </w:p>
    <w:p w:rsidR="003252E4" w:rsidRDefault="00B9162D" w:rsidP="00D70B99">
      <w:pPr>
        <w:widowControl/>
        <w:numPr>
          <w:ilvl w:val="1"/>
          <w:numId w:val="1"/>
        </w:numPr>
        <w:spacing w:after="120"/>
      </w:pPr>
      <w:r>
        <w:rPr>
          <w:u w:val="single"/>
        </w:rPr>
        <w:t xml:space="preserve">Inclusion of MUSCA: </w:t>
      </w:r>
      <w:r w:rsidR="003252E4" w:rsidRPr="00A05A0B">
        <w:t xml:space="preserve">The submission excluded </w:t>
      </w:r>
      <w:r w:rsidR="009914E2" w:rsidRPr="00A05A0B">
        <w:t xml:space="preserve">MUSCA, a trial of mepolizumab </w:t>
      </w:r>
      <w:r w:rsidR="00F51549" w:rsidRPr="00A05A0B">
        <w:t>in which</w:t>
      </w:r>
      <w:r w:rsidR="009914E2" w:rsidRPr="00A05A0B">
        <w:t xml:space="preserve"> clinically significant exacerbations </w:t>
      </w:r>
      <w:r w:rsidR="00F51549" w:rsidRPr="00A05A0B">
        <w:t>were</w:t>
      </w:r>
      <w:r w:rsidR="009914E2" w:rsidRPr="00A05A0B">
        <w:t xml:space="preserve"> a secondary outcome (the primary </w:t>
      </w:r>
      <w:r w:rsidR="00F51549" w:rsidRPr="00A05A0B">
        <w:t>outcome</w:t>
      </w:r>
      <w:r w:rsidR="009914E2" w:rsidRPr="00A05A0B">
        <w:t xml:space="preserve"> was the change in St George’s Respiratory Questionnaire score). The exclusion of MUSCA may not have been appropriate as </w:t>
      </w:r>
      <w:r w:rsidR="006A1AC6" w:rsidRPr="00A05A0B">
        <w:t xml:space="preserve">it was identical to MENSA in terms of </w:t>
      </w:r>
      <w:r w:rsidR="009914E2" w:rsidRPr="00A05A0B">
        <w:t>the inclusion and exclusion criteria and the definition of clinically si</w:t>
      </w:r>
      <w:r w:rsidR="006A1AC6" w:rsidRPr="00A05A0B">
        <w:t>gnificant asthma exacerbations</w:t>
      </w:r>
      <w:r w:rsidR="009914E2" w:rsidRPr="00A05A0B">
        <w:t xml:space="preserve">. Further, the submission did not identify any additional, significant transitivity concerns that would arise from the inclusion of MUSCA. A sensitivity analysis conducted during evaluation indicated that the exclusion was not conservative for the point estimate. It was acknowledged that the trial was not powered to determine the difference in asthma exacerbations and the trial duration was shorter than the other trials included in the indirect comparison. </w:t>
      </w:r>
    </w:p>
    <w:p w:rsidR="00D06B1C" w:rsidRPr="00075A03" w:rsidRDefault="00B9162D" w:rsidP="00F43ECE">
      <w:pPr>
        <w:pStyle w:val="ListParagraph"/>
        <w:numPr>
          <w:ilvl w:val="1"/>
          <w:numId w:val="1"/>
        </w:numPr>
        <w:spacing w:after="120"/>
      </w:pPr>
      <w:r>
        <w:rPr>
          <w:u w:val="single"/>
        </w:rPr>
        <w:t xml:space="preserve">OCS sparing trials: </w:t>
      </w:r>
      <w:r w:rsidR="00D06B1C" w:rsidRPr="00075A03">
        <w:t xml:space="preserve">The PSCR referred to an indirect comparison </w:t>
      </w:r>
      <w:r w:rsidR="00984ED9" w:rsidRPr="00075A03">
        <w:t>between</w:t>
      </w:r>
      <w:r w:rsidR="00D06B1C" w:rsidRPr="00075A03">
        <w:t xml:space="preserve"> two trials that </w:t>
      </w:r>
      <w:r w:rsidR="00203153" w:rsidRPr="00075A03">
        <w:t>the submission had</w:t>
      </w:r>
      <w:r w:rsidR="00D06B1C" w:rsidRPr="00075A03">
        <w:t xml:space="preserve"> excluded from </w:t>
      </w:r>
      <w:r w:rsidR="00203153" w:rsidRPr="00075A03">
        <w:t>its</w:t>
      </w:r>
      <w:r w:rsidR="00D06B1C" w:rsidRPr="00075A03">
        <w:t xml:space="preserve"> base case analysis. These trials were designed to assess reductions in oral corticosteroid doses: ZONDA (benralizumab); and SIRIUS (mepolizumab). The evaluation considered that these trials differed substantially from</w:t>
      </w:r>
      <w:r w:rsidR="00984ED9" w:rsidRPr="00075A03">
        <w:t xml:space="preserve"> each other </w:t>
      </w:r>
      <w:r w:rsidR="001E0FD9" w:rsidRPr="00075A03">
        <w:t>as they used</w:t>
      </w:r>
      <w:r w:rsidR="00984ED9" w:rsidRPr="00075A03">
        <w:t xml:space="preserve"> different protocols for reducing the dose of oral corticosteroids and different inclusion criteria (</w:t>
      </w:r>
      <w:r w:rsidR="001E0FD9" w:rsidRPr="00075A03">
        <w:t>especially with regard to</w:t>
      </w:r>
      <w:r w:rsidR="00984ED9" w:rsidRPr="00075A03">
        <w:t xml:space="preserve"> baseline OCS maintenance doses and exacerbation history). </w:t>
      </w:r>
    </w:p>
    <w:p w:rsidR="00D70B99" w:rsidRPr="00E90499" w:rsidRDefault="00B9162D" w:rsidP="0081025B">
      <w:pPr>
        <w:widowControl/>
        <w:numPr>
          <w:ilvl w:val="1"/>
          <w:numId w:val="1"/>
        </w:numPr>
        <w:spacing w:after="120"/>
      </w:pPr>
      <w:r w:rsidRPr="00B9162D">
        <w:rPr>
          <w:u w:val="single"/>
        </w:rPr>
        <w:t>Matching-adjusted indirect comparison:</w:t>
      </w:r>
      <w:r w:rsidRPr="001E0FD9">
        <w:t xml:space="preserve"> </w:t>
      </w:r>
      <w:r w:rsidR="008119AC" w:rsidRPr="001E0FD9">
        <w:t xml:space="preserve">The submission stated that a matching-adjusted indirect comparison had been conducted to adjust for the confounders; however, the submission did not present the results as </w:t>
      </w:r>
      <w:r w:rsidR="0098000B" w:rsidRPr="001E0FD9">
        <w:t>it included unregistered doses of mepolizumab</w:t>
      </w:r>
      <w:r w:rsidR="00ED1EAA" w:rsidRPr="001E0FD9">
        <w:t xml:space="preserve"> (from the DREAM trial)</w:t>
      </w:r>
      <w:r w:rsidR="008119AC" w:rsidRPr="001E0FD9">
        <w:t xml:space="preserve">. </w:t>
      </w:r>
      <w:r w:rsidR="00855D35" w:rsidRPr="00075A03">
        <w:t xml:space="preserve">The evaluation had stated that the results were only adjusted for baseline inhaled corticosteroid dose. </w:t>
      </w:r>
      <w:r w:rsidR="00ED1EAA" w:rsidRPr="00075A03">
        <w:t xml:space="preserve">The PSCR </w:t>
      </w:r>
      <w:r w:rsidR="00800D04" w:rsidRPr="00075A03">
        <w:t>correctly identified</w:t>
      </w:r>
      <w:r w:rsidR="001E0FD9" w:rsidRPr="00075A03">
        <w:t xml:space="preserve"> that the matching-adjusted indirect comparison had been conducted for two sub-populations; patients on </w:t>
      </w:r>
      <w:r w:rsidR="008518FE" w:rsidRPr="00075A03">
        <w:t xml:space="preserve">doses of fluticasone propionate </w:t>
      </w:r>
      <w:r w:rsidR="001E0FD9" w:rsidRPr="00075A03">
        <w:t>&gt;500 µg daily and ≥800 µg daily. It stated the variables that were adjusted for within the two ICS groups included the number of exacerbations in previous 12 months, OCS use at baseline, eosinophilic count (≥300 cells/µL), IgE count, gender, nasal polyps, body mass index and nicotine status.</w:t>
      </w:r>
      <w:r w:rsidR="00F43ECE" w:rsidRPr="00075A03">
        <w:t xml:space="preserve"> The PSCR </w:t>
      </w:r>
      <w:r w:rsidR="00697FC9" w:rsidRPr="00075A03">
        <w:t xml:space="preserve">reported </w:t>
      </w:r>
      <w:r w:rsidR="00F43ECE" w:rsidRPr="00075A03">
        <w:t>th</w:t>
      </w:r>
      <w:r w:rsidR="008F0213" w:rsidRPr="00075A03">
        <w:t>e results</w:t>
      </w:r>
      <w:r w:rsidR="00800D04" w:rsidRPr="00075A03">
        <w:t xml:space="preserve"> of the comparison</w:t>
      </w:r>
      <w:r w:rsidR="00855D35" w:rsidRPr="00075A03">
        <w:t>;</w:t>
      </w:r>
      <w:r w:rsidR="008F0213" w:rsidRPr="00075A03">
        <w:t xml:space="preserve"> however these could not be verified, as insufficient information w</w:t>
      </w:r>
      <w:r w:rsidR="003A1644" w:rsidRPr="00075A03">
        <w:t>as</w:t>
      </w:r>
      <w:r w:rsidR="008F0213" w:rsidRPr="00075A03">
        <w:t xml:space="preserve"> provided (as outlined on page 49 of the Guidelines for preparing a submission to the PBAC, Version 5.0, September 2016). Further</w:t>
      </w:r>
      <w:r w:rsidR="001E0FD9" w:rsidRPr="00075A03">
        <w:t>, the ESC considered that this did not address the issue</w:t>
      </w:r>
      <w:r w:rsidR="00BE4F34" w:rsidRPr="00075A03">
        <w:t xml:space="preserve"> of the inclusion of</w:t>
      </w:r>
      <w:r w:rsidR="001E0FD9" w:rsidRPr="00075A03">
        <w:t xml:space="preserve"> unregistered doses of mepolizumab </w:t>
      </w:r>
      <w:r w:rsidR="008518FE" w:rsidRPr="00075A03">
        <w:t>(</w:t>
      </w:r>
      <w:r w:rsidR="00F43ECE" w:rsidRPr="00075A03">
        <w:t xml:space="preserve">which was the reason that the submission </w:t>
      </w:r>
      <w:r w:rsidR="00BE4F34" w:rsidRPr="00075A03">
        <w:t>had</w:t>
      </w:r>
      <w:r w:rsidR="00F43ECE" w:rsidRPr="00075A03">
        <w:t xml:space="preserve"> not include</w:t>
      </w:r>
      <w:r w:rsidR="00BE4F34" w:rsidRPr="00075A03">
        <w:t>d</w:t>
      </w:r>
      <w:r w:rsidR="00F43ECE" w:rsidRPr="00075A03">
        <w:t xml:space="preserve"> the results</w:t>
      </w:r>
      <w:r w:rsidR="008518FE" w:rsidRPr="00075A03">
        <w:t>).</w:t>
      </w:r>
      <w:r w:rsidR="008518FE" w:rsidRPr="008F0213">
        <w:rPr>
          <w:i/>
        </w:rPr>
        <w:t xml:space="preserve">  </w:t>
      </w:r>
    </w:p>
    <w:p w:rsidR="00E90499" w:rsidRPr="00E90499" w:rsidRDefault="00E90499" w:rsidP="003C087A">
      <w:pPr>
        <w:pStyle w:val="ListParagraph"/>
        <w:numPr>
          <w:ilvl w:val="1"/>
          <w:numId w:val="1"/>
        </w:numPr>
      </w:pPr>
      <w:r w:rsidRPr="00E90499">
        <w:t xml:space="preserve">The PBAC </w:t>
      </w:r>
      <w:r w:rsidR="004B3A49">
        <w:t>noted</w:t>
      </w:r>
      <w:r>
        <w:t xml:space="preserve"> that the </w:t>
      </w:r>
      <w:r w:rsidR="00AE3248" w:rsidRPr="00AE3248">
        <w:t>matching-adjusted indirect comparison</w:t>
      </w:r>
      <w:r>
        <w:t xml:space="preserve"> included </w:t>
      </w:r>
      <w:r w:rsidR="004B3A49">
        <w:t>results from an unregistered dose</w:t>
      </w:r>
      <w:r>
        <w:t xml:space="preserve"> of mepolizumab but</w:t>
      </w:r>
      <w:r w:rsidR="004B3A49">
        <w:t xml:space="preserve"> noted that </w:t>
      </w:r>
      <w:r w:rsidR="004B3A49" w:rsidRPr="004B3A49">
        <w:t xml:space="preserve">matching-adjusted indirect comparison </w:t>
      </w:r>
      <w:r w:rsidR="004B3A49">
        <w:t xml:space="preserve">reported a rate ratio of </w:t>
      </w:r>
      <w:r w:rsidR="00127CDA">
        <w:rPr>
          <w:noProof/>
          <w:color w:val="000000"/>
          <w:highlight w:val="black"/>
        </w:rPr>
        <w:t>''''''''</w:t>
      </w:r>
      <w:r w:rsidR="004B3A49">
        <w:t xml:space="preserve"> (</w:t>
      </w:r>
      <w:r w:rsidR="004B3A49" w:rsidRPr="004B3A49">
        <w:t xml:space="preserve">95% CI: </w:t>
      </w:r>
      <w:r w:rsidR="00127CDA">
        <w:rPr>
          <w:noProof/>
          <w:color w:val="000000"/>
          <w:highlight w:val="black"/>
        </w:rPr>
        <w:t>''''''''' '''''''''</w:t>
      </w:r>
      <w:r w:rsidR="004B3A49" w:rsidRPr="004B3A49">
        <w:t>)</w:t>
      </w:r>
      <w:r w:rsidR="004B3A49">
        <w:t xml:space="preserve"> for benralizumab versus mepolizumab i</w:t>
      </w:r>
      <w:r w:rsidR="004B3A49" w:rsidRPr="004B3A49">
        <w:t xml:space="preserve">n the sub </w:t>
      </w:r>
      <w:r w:rsidR="004B3A49">
        <w:t>population of</w:t>
      </w:r>
      <w:r w:rsidR="004B3A49" w:rsidRPr="004B3A49">
        <w:t xml:space="preserve"> patients </w:t>
      </w:r>
      <w:r w:rsidR="003C087A">
        <w:t>on</w:t>
      </w:r>
      <w:r w:rsidR="004B3A49" w:rsidRPr="004B3A49">
        <w:t xml:space="preserve"> fluticasone propionat</w:t>
      </w:r>
      <w:r w:rsidR="004B3A49">
        <w:t xml:space="preserve">e </w:t>
      </w:r>
      <w:r w:rsidR="004B3A49" w:rsidRPr="004B3A49">
        <w:t>≥880 µg daily</w:t>
      </w:r>
      <w:r w:rsidR="004B3A49">
        <w:t xml:space="preserve">. The PBAC noted that </w:t>
      </w:r>
      <w:r w:rsidR="003C087A">
        <w:t xml:space="preserve">the results were within the </w:t>
      </w:r>
      <w:r w:rsidR="003C087A" w:rsidRPr="003C087A">
        <w:t>28% non-inferiority margin proposed by the submission</w:t>
      </w:r>
      <w:r w:rsidR="003C087A">
        <w:t xml:space="preserve">. The PBAC </w:t>
      </w:r>
      <w:r w:rsidR="00E12764">
        <w:t xml:space="preserve">noted the limitations of this analysis but </w:t>
      </w:r>
      <w:r>
        <w:t xml:space="preserve">considered </w:t>
      </w:r>
      <w:r w:rsidR="00E12764">
        <w:t>the results were</w:t>
      </w:r>
      <w:r>
        <w:t xml:space="preserve"> generally supportive of non-inferior efficacy between benralizumab and mepolizumab.</w:t>
      </w:r>
    </w:p>
    <w:p w:rsidR="008119AC" w:rsidRPr="00170DDB" w:rsidRDefault="008119AC" w:rsidP="003C1C72">
      <w:pPr>
        <w:pStyle w:val="Heading2"/>
      </w:pPr>
      <w:r w:rsidRPr="00170DDB">
        <w:t>Comparative harms</w:t>
      </w:r>
    </w:p>
    <w:p w:rsidR="008119AC" w:rsidRPr="00A05A0B" w:rsidRDefault="008119AC" w:rsidP="00D70B99">
      <w:pPr>
        <w:widowControl/>
        <w:numPr>
          <w:ilvl w:val="1"/>
          <w:numId w:val="1"/>
        </w:numPr>
        <w:spacing w:after="120"/>
        <w:ind w:left="709"/>
        <w:rPr>
          <w:snapToGrid/>
        </w:rPr>
      </w:pPr>
      <w:r w:rsidRPr="00A05A0B">
        <w:rPr>
          <w:snapToGrid/>
        </w:rPr>
        <w:t xml:space="preserve">Adverse events from the benralizumab trials are summarised in the table below for the whole trial population (i.e. regardless of eosinophil count or </w:t>
      </w:r>
      <w:r w:rsidRPr="00A05A0B">
        <w:t>inhaled corticosteroid</w:t>
      </w:r>
      <w:r w:rsidRPr="00A05A0B">
        <w:rPr>
          <w:snapToGrid/>
        </w:rPr>
        <w:t xml:space="preserve"> dose). R</w:t>
      </w:r>
      <w:r w:rsidR="005A6524" w:rsidRPr="00A05A0B">
        <w:rPr>
          <w:snapToGrid/>
        </w:rPr>
        <w:t>isk</w:t>
      </w:r>
      <w:r w:rsidRPr="00A05A0B">
        <w:rPr>
          <w:snapToGrid/>
        </w:rPr>
        <w:t xml:space="preserve"> ratios were calculated during evaluation for the more common adverse events. </w:t>
      </w:r>
    </w:p>
    <w:p w:rsidR="008119AC" w:rsidRPr="008119AC" w:rsidRDefault="008119AC" w:rsidP="002F703C">
      <w:pPr>
        <w:keepNext/>
        <w:keepLines/>
        <w:snapToGrid w:val="0"/>
        <w:spacing w:before="40" w:after="40"/>
        <w:ind w:left="142" w:hanging="142"/>
        <w:rPr>
          <w:rFonts w:ascii="Arial Narrow" w:hAnsi="Arial Narrow"/>
          <w:b/>
          <w:snapToGrid/>
          <w:sz w:val="20"/>
          <w:szCs w:val="16"/>
        </w:rPr>
      </w:pPr>
      <w:r w:rsidRPr="008119AC">
        <w:rPr>
          <w:rFonts w:ascii="Arial Narrow" w:hAnsi="Arial Narrow"/>
          <w:b/>
          <w:snapToGrid/>
          <w:sz w:val="20"/>
          <w:szCs w:val="16"/>
        </w:rPr>
        <w:t xml:space="preserve">Table </w:t>
      </w:r>
      <w:r w:rsidR="0086508A">
        <w:rPr>
          <w:rFonts w:ascii="Arial Narrow" w:hAnsi="Arial Narrow"/>
          <w:b/>
          <w:snapToGrid/>
          <w:sz w:val="20"/>
          <w:szCs w:val="16"/>
        </w:rPr>
        <w:t>8</w:t>
      </w:r>
      <w:r w:rsidRPr="008119AC">
        <w:rPr>
          <w:rFonts w:ascii="Arial Narrow" w:hAnsi="Arial Narrow"/>
          <w:b/>
          <w:snapToGrid/>
          <w:sz w:val="20"/>
          <w:szCs w:val="16"/>
        </w:rPr>
        <w:t>: Adverse events in the benralizumab randomised trials (on-treatment period, safety analysis set)</w:t>
      </w:r>
    </w:p>
    <w:tbl>
      <w:tblPr>
        <w:tblStyle w:val="TableGrid"/>
        <w:tblW w:w="5091" w:type="pct"/>
        <w:tblInd w:w="28" w:type="dxa"/>
        <w:tblLook w:val="04A0" w:firstRow="1" w:lastRow="0" w:firstColumn="1" w:lastColumn="0" w:noHBand="0" w:noVBand="1"/>
      </w:tblPr>
      <w:tblGrid>
        <w:gridCol w:w="1986"/>
        <w:gridCol w:w="1274"/>
        <w:gridCol w:w="1276"/>
        <w:gridCol w:w="851"/>
        <w:gridCol w:w="1418"/>
        <w:gridCol w:w="1417"/>
        <w:gridCol w:w="905"/>
      </w:tblGrid>
      <w:tr w:rsidR="008119AC" w:rsidRPr="008119AC" w:rsidTr="008A770A">
        <w:trPr>
          <w:cantSplit/>
          <w:tblHeader/>
        </w:trPr>
        <w:tc>
          <w:tcPr>
            <w:tcW w:w="108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119AC" w:rsidRPr="008119AC" w:rsidRDefault="002F703C" w:rsidP="00A4123A">
            <w:pPr>
              <w:keepNext/>
              <w:keepLines/>
              <w:widowControl/>
              <w:snapToGrid w:val="0"/>
              <w:spacing w:before="20" w:after="20"/>
              <w:jc w:val="left"/>
              <w:rPr>
                <w:rFonts w:ascii="Arial Narrow" w:eastAsia="MS Gothic" w:hAnsi="Arial Narrow"/>
                <w:b/>
                <w:snapToGrid/>
                <w:sz w:val="20"/>
                <w:szCs w:val="20"/>
                <w:lang w:eastAsia="en-AU" w:bidi="en-US"/>
              </w:rPr>
            </w:pPr>
            <w:r>
              <w:rPr>
                <w:rFonts w:ascii="Arial Narrow" w:eastAsia="MS Gothic" w:hAnsi="Arial Narrow"/>
                <w:b/>
                <w:snapToGrid/>
                <w:sz w:val="20"/>
                <w:szCs w:val="20"/>
                <w:lang w:eastAsia="en-AU" w:bidi="en-US"/>
              </w:rPr>
              <w:t>W</w:t>
            </w:r>
            <w:r w:rsidR="008119AC" w:rsidRPr="008119AC">
              <w:rPr>
                <w:rFonts w:ascii="Arial Narrow" w:eastAsia="MS Gothic" w:hAnsi="Arial Narrow"/>
                <w:b/>
                <w:snapToGrid/>
                <w:sz w:val="20"/>
                <w:szCs w:val="20"/>
                <w:lang w:eastAsia="en-AU" w:bidi="en-US"/>
              </w:rPr>
              <w:t xml:space="preserve">hole trial population </w:t>
            </w:r>
          </w:p>
        </w:tc>
        <w:tc>
          <w:tcPr>
            <w:tcW w:w="1863" w:type="pct"/>
            <w:gridSpan w:val="3"/>
            <w:tcBorders>
              <w:top w:val="single" w:sz="4" w:space="0" w:color="auto"/>
              <w:left w:val="single" w:sz="4" w:space="0" w:color="auto"/>
              <w:bottom w:val="single" w:sz="4" w:space="0" w:color="auto"/>
              <w:right w:val="doub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CALIMA (56 weeks)</w:t>
            </w:r>
          </w:p>
        </w:tc>
        <w:tc>
          <w:tcPr>
            <w:tcW w:w="2049" w:type="pct"/>
            <w:gridSpan w:val="3"/>
            <w:tcBorders>
              <w:top w:val="single" w:sz="4" w:space="0" w:color="auto"/>
              <w:left w:val="doub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SIROCCO</w:t>
            </w:r>
            <w:r w:rsidRPr="008119AC">
              <w:rPr>
                <w:rFonts w:ascii="Arial Narrow" w:eastAsia="MS Gothic" w:hAnsi="Arial Narrow"/>
                <w:b/>
                <w:snapToGrid/>
                <w:sz w:val="20"/>
                <w:szCs w:val="20"/>
                <w:vertAlign w:val="superscript"/>
                <w:lang w:eastAsia="en-AU" w:bidi="en-US"/>
              </w:rPr>
              <w:t xml:space="preserve"> </w:t>
            </w:r>
            <w:r w:rsidRPr="008119AC">
              <w:rPr>
                <w:rFonts w:ascii="Arial Narrow" w:eastAsia="MS Gothic" w:hAnsi="Arial Narrow"/>
                <w:b/>
                <w:snapToGrid/>
                <w:sz w:val="20"/>
                <w:szCs w:val="20"/>
                <w:lang w:eastAsia="en-AU" w:bidi="en-US"/>
              </w:rPr>
              <w:t>(48 weeks)</w:t>
            </w:r>
          </w:p>
        </w:tc>
      </w:tr>
      <w:tr w:rsidR="008A770A" w:rsidRPr="008119AC" w:rsidTr="008A770A">
        <w:trPr>
          <w:cantSplit/>
          <w:trHeight w:val="167"/>
          <w:tblHeader/>
        </w:trPr>
        <w:tc>
          <w:tcPr>
            <w:tcW w:w="108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119AC" w:rsidRPr="008119AC" w:rsidRDefault="008119AC" w:rsidP="00A4123A">
            <w:pPr>
              <w:keepNext/>
              <w:keepLines/>
              <w:widowControl/>
              <w:jc w:val="left"/>
              <w:rPr>
                <w:rFonts w:ascii="Arial Narrow" w:eastAsia="MS Gothic" w:hAnsi="Arial Narrow"/>
                <w:snapToGrid/>
                <w:sz w:val="20"/>
                <w:szCs w:val="20"/>
                <w:lang w:eastAsia="en-AU" w:bidi="en-US"/>
              </w:rPr>
            </w:pP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BEN q8w</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BEN q4w</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SOC</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BEN q8w</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BEN q4w</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center"/>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SOC</w:t>
            </w:r>
          </w:p>
        </w:tc>
      </w:tr>
      <w:tr w:rsidR="008A770A" w:rsidRPr="008119AC" w:rsidTr="008A770A">
        <w:trPr>
          <w:cantSplit/>
          <w:trHeight w:val="324"/>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N</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428</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438</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440</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394</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403</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407</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119AC" w:rsidRPr="008119AC" w:rsidRDefault="008119AC" w:rsidP="00A4123A">
            <w:pPr>
              <w:keepNext/>
              <w:keepLines/>
              <w:widowControl/>
              <w:snapToGrid w:val="0"/>
              <w:spacing w:before="20" w:after="20"/>
              <w:jc w:val="left"/>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Any AEs, n (%)</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320 (75%)</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322 (74%)</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342 (78%)</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281 (71%)</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293 (73%)</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311 (76%)</w:t>
            </w:r>
          </w:p>
        </w:tc>
      </w:tr>
      <w:tr w:rsidR="008A770A" w:rsidRPr="008119AC" w:rsidTr="008A770A">
        <w:trPr>
          <w:cantSplit/>
          <w:trHeight w:val="197"/>
        </w:trPr>
        <w:tc>
          <w:tcPr>
            <w:tcW w:w="108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119AC" w:rsidRPr="008119AC" w:rsidRDefault="008119AC" w:rsidP="00A4123A">
            <w:pPr>
              <w:keepNext/>
              <w:keepLines/>
              <w:widowControl/>
              <w:jc w:val="left"/>
              <w:rPr>
                <w:rFonts w:ascii="Arial Narrow" w:eastAsia="MS Gothic" w:hAnsi="Arial Narrow"/>
                <w:b/>
                <w:snapToGrid/>
                <w:sz w:val="20"/>
                <w:szCs w:val="20"/>
                <w:lang w:eastAsia="en-AU" w:bidi="en-US"/>
              </w:rPr>
            </w:pPr>
            <w:r w:rsidRPr="008119AC">
              <w:rPr>
                <w:rFonts w:ascii="Arial Narrow" w:eastAsia="MS Gothic" w:hAnsi="Arial Narrow"/>
                <w:snapToGrid/>
                <w:sz w:val="20"/>
                <w:szCs w:val="20"/>
                <w:lang w:eastAsia="en-AU" w:bidi="en-US"/>
              </w:rPr>
              <w:t>RR (95% CI)</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0.96 (0.89, 1.04)</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pacing w:before="20" w:after="20" w:line="276" w:lineRule="auto"/>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0.95 (0.88, 1.02)</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tcPr>
          <w:p w:rsidR="008119AC" w:rsidRPr="008119AC" w:rsidRDefault="008119AC" w:rsidP="00A4123A">
            <w:pPr>
              <w:keepNext/>
              <w:keepLines/>
              <w:widowControl/>
              <w:spacing w:before="20" w:after="20" w:line="276" w:lineRule="auto"/>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snapToGrid w:val="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0.93 (0.86, 1.01)</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snapToGrid w:val="0"/>
              <w:jc w:val="left"/>
              <w:rPr>
                <w:rFonts w:eastAsia="MS Gothic"/>
                <w:i/>
                <w:snapToGrid/>
                <w:lang w:eastAsia="en-AU"/>
              </w:rPr>
            </w:pPr>
            <w:r w:rsidRPr="008119AC">
              <w:rPr>
                <w:rFonts w:ascii="Arial Narrow" w:eastAsia="MS Gothic" w:hAnsi="Arial Narrow"/>
                <w:i/>
                <w:snapToGrid/>
                <w:sz w:val="20"/>
                <w:szCs w:val="20"/>
                <w:lang w:eastAsia="en-AU" w:bidi="en-US"/>
              </w:rPr>
              <w:t>0.95 (0.88, 1.03)</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tcPr>
          <w:p w:rsidR="008119AC" w:rsidRPr="008119AC" w:rsidRDefault="008119AC" w:rsidP="00A4123A">
            <w:pPr>
              <w:keepNext/>
              <w:keepLines/>
              <w:widowControl/>
              <w:spacing w:before="20" w:after="20" w:line="276" w:lineRule="auto"/>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 xml:space="preserve">AE leading to discontinuation </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tabs>
                <w:tab w:val="left" w:pos="765"/>
              </w:tabs>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10 (2%)</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8 (2%)</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 (1%)</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8 (2%)</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9 (2%)</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 (1%)</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119AC" w:rsidRPr="008119AC" w:rsidRDefault="008119AC" w:rsidP="00A4123A">
            <w:pPr>
              <w:keepNext/>
              <w:keepLines/>
              <w:widowControl/>
              <w:jc w:val="left"/>
              <w:rPr>
                <w:rFonts w:ascii="Arial Narrow" w:eastAsia="MS Gothic" w:hAnsi="Arial Narrow"/>
                <w:b/>
                <w:snapToGrid/>
                <w:sz w:val="20"/>
                <w:szCs w:val="20"/>
                <w:lang w:eastAsia="en-AU" w:bidi="en-US"/>
              </w:rPr>
            </w:pPr>
            <w:r w:rsidRPr="008119AC">
              <w:rPr>
                <w:rFonts w:ascii="Arial Narrow" w:eastAsia="MS Gothic" w:hAnsi="Arial Narrow"/>
                <w:snapToGrid/>
                <w:sz w:val="20"/>
                <w:szCs w:val="20"/>
                <w:lang w:eastAsia="en-AU" w:bidi="en-US"/>
              </w:rPr>
              <w:t>RR (95% CI)</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tabs>
                <w:tab w:val="left" w:pos="765"/>
              </w:tabs>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2.57 (0.81, 8.13)</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2.01 (0.61, 6.62)</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2.75 (0.74, 10.31)</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snapToGrid w:val="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3.03 (0.83, 11.11)</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119AC" w:rsidRPr="008119AC" w:rsidRDefault="008119AC" w:rsidP="00A4123A">
            <w:pPr>
              <w:keepNext/>
              <w:keepLines/>
              <w:widowControl/>
              <w:snapToGrid w:val="0"/>
              <w:spacing w:before="20" w:after="20"/>
              <w:jc w:val="left"/>
              <w:rPr>
                <w:rFonts w:ascii="Arial Narrow" w:eastAsia="MS Gothic" w:hAnsi="Arial Narrow"/>
                <w:b/>
                <w:snapToGrid/>
                <w:sz w:val="20"/>
                <w:szCs w:val="20"/>
                <w:lang w:eastAsia="en-AU" w:bidi="en-US"/>
              </w:rPr>
            </w:pPr>
            <w:r w:rsidRPr="008119AC">
              <w:rPr>
                <w:rFonts w:ascii="Arial Narrow" w:eastAsia="MS Gothic" w:hAnsi="Arial Narrow"/>
                <w:b/>
                <w:snapToGrid/>
                <w:sz w:val="20"/>
                <w:szCs w:val="20"/>
                <w:lang w:eastAsia="en-AU" w:bidi="en-US"/>
              </w:rPr>
              <w:t>Any SAE</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40 (9%)</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45 (10%)</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60 (14%)</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52 (13%)</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47 (12%)</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55 (14%)</w:t>
            </w:r>
          </w:p>
        </w:tc>
      </w:tr>
      <w:tr w:rsidR="008A770A" w:rsidRPr="008119AC" w:rsidTr="008A770A">
        <w:trPr>
          <w:cantSplit/>
          <w:trHeight w:val="123"/>
        </w:trPr>
        <w:tc>
          <w:tcPr>
            <w:tcW w:w="108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119AC" w:rsidRPr="008119AC" w:rsidRDefault="008119AC" w:rsidP="00A4123A">
            <w:pPr>
              <w:keepNext/>
              <w:keepLines/>
              <w:widowControl/>
              <w:jc w:val="left"/>
              <w:rPr>
                <w:rFonts w:ascii="Arial Narrow" w:eastAsia="MS Gothic" w:hAnsi="Arial Narrow"/>
                <w:b/>
                <w:snapToGrid/>
                <w:sz w:val="20"/>
                <w:szCs w:val="20"/>
                <w:lang w:eastAsia="en-AU" w:bidi="en-US"/>
              </w:rPr>
            </w:pPr>
            <w:r w:rsidRPr="008119AC">
              <w:rPr>
                <w:rFonts w:ascii="Arial Narrow" w:eastAsia="MS Gothic" w:hAnsi="Arial Narrow"/>
                <w:snapToGrid/>
                <w:sz w:val="20"/>
                <w:szCs w:val="20"/>
                <w:lang w:eastAsia="en-AU" w:bidi="en-US"/>
              </w:rPr>
              <w:t>RR (95% CI)</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0.69 (0.47, 1.00)</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0.75 (0.52, 1.08)</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snapToGrid w:val="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0.98 (0.69, 1.39)</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snapToGrid w:val="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0.86 (0.6, 1.24)</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tcPr>
          <w:p w:rsidR="008119AC" w:rsidRPr="008119AC" w:rsidRDefault="008119AC" w:rsidP="00A4123A">
            <w:pPr>
              <w:keepNext/>
              <w:keepLines/>
              <w:widowControl/>
              <w:snapToGrid w:val="0"/>
              <w:spacing w:before="20" w:after="20"/>
              <w:jc w:val="left"/>
              <w:rPr>
                <w:rFonts w:ascii="Arial Narrow" w:eastAsia="MS Gothic" w:hAnsi="Arial Narrow"/>
                <w:i/>
                <w:snapToGrid/>
                <w:sz w:val="20"/>
                <w:szCs w:val="20"/>
                <w:lang w:eastAsia="en-AU" w:bidi="en-US"/>
              </w:rPr>
            </w:pPr>
            <w:r w:rsidRPr="008119AC">
              <w:rPr>
                <w:rFonts w:ascii="Arial Narrow" w:eastAsia="MS Gothic" w:hAnsi="Arial Narrow"/>
                <w:i/>
                <w:snapToGrid/>
                <w:sz w:val="20"/>
                <w:szCs w:val="20"/>
                <w:lang w:eastAsia="en-AU" w:bidi="en-US"/>
              </w:rPr>
              <w:t>-</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Deaths</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2 (&lt; 1%)</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2 (&lt; 1%)</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0</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 (&lt; 1 %)</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2 (&lt; 1%)</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2 (&lt; 1%)</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 xml:space="preserve">Serious Infections </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8 (2%)</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6 (1%)</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11 (3%)</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10 (3%)</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6 (2%)</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8 (2%)</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2F703C">
            <w:pPr>
              <w:keepNext/>
              <w:keepLines/>
              <w:widowControl/>
              <w:snapToGrid w:val="0"/>
              <w:spacing w:before="20" w:after="20"/>
              <w:ind w:left="-28"/>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Hypersensitivity</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13 (3%)</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13 (3%)</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17 (4%)</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11 (3%)</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13 (3%)</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11 (3%)</w:t>
            </w:r>
          </w:p>
        </w:tc>
      </w:tr>
      <w:tr w:rsidR="003502F1" w:rsidRPr="008119AC" w:rsidTr="008A770A">
        <w:trPr>
          <w:cantSplit/>
        </w:trPr>
        <w:tc>
          <w:tcPr>
            <w:tcW w:w="5000" w:type="pct"/>
            <w:gridSpan w:val="7"/>
            <w:tcBorders>
              <w:top w:val="single" w:sz="4" w:space="0" w:color="auto"/>
              <w:left w:val="single" w:sz="4" w:space="0" w:color="auto"/>
              <w:bottom w:val="single" w:sz="4" w:space="0" w:color="auto"/>
              <w:right w:val="double" w:sz="4" w:space="0" w:color="auto"/>
            </w:tcBorders>
            <w:tcMar>
              <w:top w:w="0" w:type="dxa"/>
              <w:left w:w="28" w:type="dxa"/>
              <w:bottom w:w="0" w:type="dxa"/>
              <w:right w:w="28" w:type="dxa"/>
            </w:tcMar>
          </w:tcPr>
          <w:p w:rsidR="003502F1" w:rsidRPr="003502F1" w:rsidRDefault="003502F1" w:rsidP="00A4123A">
            <w:pPr>
              <w:keepNext/>
              <w:keepLines/>
              <w:widowControl/>
              <w:snapToGrid w:val="0"/>
              <w:spacing w:before="20" w:after="20"/>
              <w:jc w:val="left"/>
              <w:rPr>
                <w:rFonts w:ascii="Arial Narrow" w:eastAsia="MS Gothic" w:hAnsi="Arial Narrow"/>
                <w:b/>
                <w:snapToGrid/>
                <w:sz w:val="20"/>
                <w:szCs w:val="20"/>
                <w:lang w:eastAsia="en-AU" w:bidi="en-US"/>
              </w:rPr>
            </w:pPr>
            <w:r>
              <w:rPr>
                <w:rFonts w:ascii="Arial Narrow" w:eastAsia="MS Gothic" w:hAnsi="Arial Narrow"/>
                <w:b/>
                <w:snapToGrid/>
                <w:sz w:val="20"/>
                <w:szCs w:val="20"/>
                <w:lang w:eastAsia="en-AU" w:bidi="en-US"/>
              </w:rPr>
              <w:t>Treatment-related AEs</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3502F1"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3502F1">
              <w:rPr>
                <w:rFonts w:ascii="Arial Narrow" w:eastAsia="MS Gothic" w:hAnsi="Arial Narrow"/>
                <w:snapToGrid/>
                <w:sz w:val="20"/>
                <w:szCs w:val="20"/>
                <w:lang w:eastAsia="en-AU" w:bidi="en-US"/>
              </w:rPr>
              <w:t>Any treatment-related AEs</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54 (13%)</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51 (12%)</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36 (8%)</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64 (16%)</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55 (14%)</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42 (10%)</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Headache</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6 (1%)</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 (1%)</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4 (1%)</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12 (3%)</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8 (2%)</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 (1%)</w:t>
            </w:r>
          </w:p>
        </w:tc>
      </w:tr>
      <w:tr w:rsidR="008A770A" w:rsidRPr="008119AC" w:rsidTr="008A770A">
        <w:trPr>
          <w:cantSplit/>
        </w:trPr>
        <w:tc>
          <w:tcPr>
            <w:tcW w:w="10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Pyrexia</w:t>
            </w:r>
          </w:p>
        </w:tc>
        <w:tc>
          <w:tcPr>
            <w:tcW w:w="6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5 (1%)</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7 (2%)</w:t>
            </w:r>
          </w:p>
        </w:tc>
        <w:tc>
          <w:tcPr>
            <w:tcW w:w="46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0</w:t>
            </w:r>
          </w:p>
        </w:tc>
        <w:tc>
          <w:tcPr>
            <w:tcW w:w="77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7 (2%)</w:t>
            </w:r>
          </w:p>
        </w:tc>
        <w:tc>
          <w:tcPr>
            <w:tcW w:w="7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7 (2%)</w:t>
            </w:r>
          </w:p>
        </w:tc>
        <w:tc>
          <w:tcPr>
            <w:tcW w:w="496" w:type="pct"/>
            <w:tcBorders>
              <w:top w:val="single" w:sz="4" w:space="0" w:color="auto"/>
              <w:left w:val="single" w:sz="4" w:space="0" w:color="auto"/>
              <w:bottom w:val="single" w:sz="4" w:space="0" w:color="auto"/>
              <w:right w:val="double" w:sz="4" w:space="0" w:color="auto"/>
            </w:tcBorders>
            <w:tcMar>
              <w:left w:w="28" w:type="dxa"/>
              <w:right w:w="28" w:type="dxa"/>
            </w:tcMar>
            <w:hideMark/>
          </w:tcPr>
          <w:p w:rsidR="008119AC" w:rsidRPr="008119AC" w:rsidRDefault="008119AC" w:rsidP="00A4123A">
            <w:pPr>
              <w:keepNext/>
              <w:keepLines/>
              <w:widowControl/>
              <w:snapToGrid w:val="0"/>
              <w:spacing w:before="20" w:after="20"/>
              <w:jc w:val="left"/>
              <w:rPr>
                <w:rFonts w:ascii="Arial Narrow" w:eastAsia="MS Gothic" w:hAnsi="Arial Narrow"/>
                <w:snapToGrid/>
                <w:sz w:val="20"/>
                <w:szCs w:val="20"/>
                <w:lang w:eastAsia="en-AU" w:bidi="en-US"/>
              </w:rPr>
            </w:pPr>
            <w:r w:rsidRPr="008119AC">
              <w:rPr>
                <w:rFonts w:ascii="Arial Narrow" w:eastAsia="MS Gothic" w:hAnsi="Arial Narrow"/>
                <w:snapToGrid/>
                <w:sz w:val="20"/>
                <w:szCs w:val="20"/>
                <w:lang w:eastAsia="en-AU" w:bidi="en-US"/>
              </w:rPr>
              <w:t>0</w:t>
            </w:r>
          </w:p>
        </w:tc>
      </w:tr>
    </w:tbl>
    <w:p w:rsidR="008119AC" w:rsidRPr="008119AC" w:rsidRDefault="008119AC" w:rsidP="00A4123A">
      <w:pPr>
        <w:keepNext/>
        <w:keepLines/>
        <w:snapToGrid w:val="0"/>
        <w:spacing w:after="120"/>
        <w:contextualSpacing/>
        <w:rPr>
          <w:rFonts w:ascii="Arial Narrow" w:hAnsi="Arial Narrow"/>
          <w:snapToGrid/>
          <w:sz w:val="18"/>
        </w:rPr>
      </w:pPr>
      <w:r w:rsidRPr="008119AC">
        <w:rPr>
          <w:rFonts w:ascii="Arial Narrow" w:hAnsi="Arial Narrow"/>
          <w:snapToGrid/>
          <w:sz w:val="18"/>
        </w:rPr>
        <w:t>Source: Table 2.24 - 2.26, pp98 - 91 of the submission; Table 52</w:t>
      </w:r>
      <w:r w:rsidR="00E23C3A">
        <w:rPr>
          <w:rFonts w:ascii="Arial Narrow" w:hAnsi="Arial Narrow"/>
          <w:snapToGrid/>
          <w:sz w:val="18"/>
        </w:rPr>
        <w:t>,</w:t>
      </w:r>
      <w:r w:rsidRPr="008119AC">
        <w:rPr>
          <w:rFonts w:ascii="Arial Narrow" w:hAnsi="Arial Narrow"/>
          <w:snapToGrid/>
          <w:sz w:val="18"/>
        </w:rPr>
        <w:t xml:space="preserve"> p203</w:t>
      </w:r>
      <w:r w:rsidR="00E23C3A">
        <w:rPr>
          <w:rFonts w:ascii="Arial Narrow" w:hAnsi="Arial Narrow"/>
          <w:snapToGrid/>
          <w:sz w:val="18"/>
        </w:rPr>
        <w:t>;</w:t>
      </w:r>
      <w:r w:rsidRPr="008119AC">
        <w:rPr>
          <w:rFonts w:ascii="Arial Narrow" w:hAnsi="Arial Narrow"/>
          <w:snapToGrid/>
          <w:sz w:val="18"/>
        </w:rPr>
        <w:t xml:space="preserve"> Table 56</w:t>
      </w:r>
      <w:r w:rsidR="00E23C3A">
        <w:rPr>
          <w:rFonts w:ascii="Arial Narrow" w:hAnsi="Arial Narrow"/>
          <w:snapToGrid/>
          <w:sz w:val="18"/>
        </w:rPr>
        <w:t>,</w:t>
      </w:r>
      <w:r w:rsidRPr="008119AC">
        <w:rPr>
          <w:rFonts w:ascii="Arial Narrow" w:hAnsi="Arial Narrow"/>
          <w:snapToGrid/>
          <w:sz w:val="18"/>
        </w:rPr>
        <w:t xml:space="preserve"> p211</w:t>
      </w:r>
      <w:r w:rsidR="00E23C3A">
        <w:rPr>
          <w:rFonts w:ascii="Arial Narrow" w:hAnsi="Arial Narrow"/>
          <w:snapToGrid/>
          <w:sz w:val="18"/>
        </w:rPr>
        <w:t>;</w:t>
      </w:r>
      <w:r w:rsidRPr="008119AC">
        <w:rPr>
          <w:rFonts w:ascii="Arial Narrow" w:hAnsi="Arial Narrow"/>
          <w:snapToGrid/>
          <w:sz w:val="18"/>
        </w:rPr>
        <w:t xml:space="preserve"> Table 59</w:t>
      </w:r>
      <w:r w:rsidR="00E23C3A">
        <w:rPr>
          <w:rFonts w:ascii="Arial Narrow" w:hAnsi="Arial Narrow"/>
          <w:snapToGrid/>
          <w:sz w:val="18"/>
        </w:rPr>
        <w:t>,</w:t>
      </w:r>
      <w:r w:rsidRPr="008119AC">
        <w:rPr>
          <w:rFonts w:ascii="Arial Narrow" w:hAnsi="Arial Narrow"/>
          <w:snapToGrid/>
          <w:sz w:val="18"/>
        </w:rPr>
        <w:t xml:space="preserve"> p219</w:t>
      </w:r>
      <w:r w:rsidR="00E23C3A">
        <w:rPr>
          <w:rFonts w:ascii="Arial Narrow" w:hAnsi="Arial Narrow"/>
          <w:snapToGrid/>
          <w:sz w:val="18"/>
        </w:rPr>
        <w:t>;</w:t>
      </w:r>
      <w:r w:rsidRPr="008119AC">
        <w:rPr>
          <w:rFonts w:ascii="Arial Narrow" w:hAnsi="Arial Narrow"/>
          <w:snapToGrid/>
          <w:sz w:val="18"/>
        </w:rPr>
        <w:t xml:space="preserve"> Table 12.3.2.6.2</w:t>
      </w:r>
      <w:r w:rsidR="00E23C3A">
        <w:rPr>
          <w:rFonts w:ascii="Arial Narrow" w:hAnsi="Arial Narrow"/>
          <w:snapToGrid/>
          <w:sz w:val="18"/>
        </w:rPr>
        <w:t>;</w:t>
      </w:r>
      <w:r w:rsidRPr="008119AC">
        <w:rPr>
          <w:rFonts w:ascii="Arial Narrow" w:hAnsi="Arial Narrow"/>
          <w:snapToGrid/>
          <w:sz w:val="18"/>
        </w:rPr>
        <w:t xml:space="preserve"> of the CALIMA CSR; Table 49</w:t>
      </w:r>
      <w:r w:rsidR="00E23C3A">
        <w:rPr>
          <w:rFonts w:ascii="Arial Narrow" w:hAnsi="Arial Narrow"/>
          <w:snapToGrid/>
          <w:sz w:val="18"/>
        </w:rPr>
        <w:t>,</w:t>
      </w:r>
      <w:r w:rsidRPr="008119AC">
        <w:rPr>
          <w:rFonts w:ascii="Arial Narrow" w:hAnsi="Arial Narrow"/>
          <w:snapToGrid/>
          <w:sz w:val="18"/>
        </w:rPr>
        <w:t xml:space="preserve"> p197</w:t>
      </w:r>
      <w:r w:rsidR="00E23C3A">
        <w:rPr>
          <w:rFonts w:ascii="Arial Narrow" w:hAnsi="Arial Narrow"/>
          <w:snapToGrid/>
          <w:sz w:val="18"/>
        </w:rPr>
        <w:t>;</w:t>
      </w:r>
      <w:r w:rsidRPr="008119AC">
        <w:rPr>
          <w:rFonts w:ascii="Arial Narrow" w:hAnsi="Arial Narrow"/>
          <w:snapToGrid/>
          <w:sz w:val="18"/>
        </w:rPr>
        <w:t xml:space="preserve"> Table 53</w:t>
      </w:r>
      <w:r w:rsidR="00E23C3A">
        <w:rPr>
          <w:rFonts w:ascii="Arial Narrow" w:hAnsi="Arial Narrow"/>
          <w:snapToGrid/>
          <w:sz w:val="18"/>
        </w:rPr>
        <w:t>,</w:t>
      </w:r>
      <w:r w:rsidRPr="008119AC">
        <w:rPr>
          <w:rFonts w:ascii="Arial Narrow" w:hAnsi="Arial Narrow"/>
          <w:snapToGrid/>
          <w:sz w:val="18"/>
        </w:rPr>
        <w:t xml:space="preserve"> p206</w:t>
      </w:r>
      <w:r w:rsidR="00E23C3A">
        <w:rPr>
          <w:rFonts w:ascii="Arial Narrow" w:hAnsi="Arial Narrow"/>
          <w:snapToGrid/>
          <w:sz w:val="18"/>
        </w:rPr>
        <w:t>;</w:t>
      </w:r>
      <w:r w:rsidRPr="008119AC">
        <w:rPr>
          <w:rFonts w:ascii="Arial Narrow" w:hAnsi="Arial Narrow"/>
          <w:snapToGrid/>
          <w:sz w:val="18"/>
        </w:rPr>
        <w:t xml:space="preserve"> Table 56</w:t>
      </w:r>
      <w:r w:rsidR="00E23C3A">
        <w:rPr>
          <w:rFonts w:ascii="Arial Narrow" w:hAnsi="Arial Narrow"/>
          <w:snapToGrid/>
          <w:sz w:val="18"/>
        </w:rPr>
        <w:t>,</w:t>
      </w:r>
      <w:r w:rsidRPr="008119AC">
        <w:rPr>
          <w:rFonts w:ascii="Arial Narrow" w:hAnsi="Arial Narrow"/>
          <w:snapToGrid/>
          <w:sz w:val="18"/>
        </w:rPr>
        <w:t xml:space="preserve"> p213, Table 12.3.2.6.2</w:t>
      </w:r>
      <w:r w:rsidR="00E23C3A">
        <w:rPr>
          <w:rFonts w:ascii="Arial Narrow" w:hAnsi="Arial Narrow"/>
          <w:snapToGrid/>
          <w:sz w:val="18"/>
        </w:rPr>
        <w:t>;</w:t>
      </w:r>
      <w:r w:rsidRPr="008119AC">
        <w:rPr>
          <w:rFonts w:ascii="Arial Narrow" w:hAnsi="Arial Narrow"/>
          <w:snapToGrid/>
          <w:sz w:val="18"/>
        </w:rPr>
        <w:t xml:space="preserve"> of the SIROCCO CSR; Table 40</w:t>
      </w:r>
      <w:r w:rsidR="00E23C3A">
        <w:rPr>
          <w:rFonts w:ascii="Arial Narrow" w:hAnsi="Arial Narrow"/>
          <w:snapToGrid/>
          <w:sz w:val="18"/>
        </w:rPr>
        <w:t>,</w:t>
      </w:r>
      <w:r w:rsidRPr="008119AC">
        <w:rPr>
          <w:rFonts w:ascii="Arial Narrow" w:hAnsi="Arial Narrow"/>
          <w:snapToGrid/>
          <w:sz w:val="18"/>
        </w:rPr>
        <w:t xml:space="preserve"> p55</w:t>
      </w:r>
      <w:r w:rsidR="00E23C3A">
        <w:rPr>
          <w:rFonts w:ascii="Arial Narrow" w:hAnsi="Arial Narrow"/>
          <w:snapToGrid/>
          <w:sz w:val="18"/>
        </w:rPr>
        <w:t>;</w:t>
      </w:r>
      <w:r w:rsidRPr="008119AC">
        <w:rPr>
          <w:rFonts w:ascii="Arial Narrow" w:hAnsi="Arial Narrow"/>
          <w:snapToGrid/>
          <w:sz w:val="18"/>
        </w:rPr>
        <w:t xml:space="preserve"> Table 45</w:t>
      </w:r>
      <w:r w:rsidR="00E23C3A">
        <w:rPr>
          <w:rFonts w:ascii="Arial Narrow" w:hAnsi="Arial Narrow"/>
          <w:snapToGrid/>
          <w:sz w:val="18"/>
        </w:rPr>
        <w:t>,</w:t>
      </w:r>
      <w:r w:rsidRPr="008119AC">
        <w:rPr>
          <w:rFonts w:ascii="Arial Narrow" w:hAnsi="Arial Narrow"/>
          <w:snapToGrid/>
          <w:sz w:val="18"/>
        </w:rPr>
        <w:t xml:space="preserve"> p171</w:t>
      </w:r>
      <w:r w:rsidR="00E23C3A">
        <w:rPr>
          <w:rFonts w:ascii="Arial Narrow" w:hAnsi="Arial Narrow"/>
          <w:snapToGrid/>
          <w:sz w:val="18"/>
        </w:rPr>
        <w:t>;</w:t>
      </w:r>
      <w:r w:rsidRPr="008119AC">
        <w:rPr>
          <w:rFonts w:ascii="Arial Narrow" w:hAnsi="Arial Narrow"/>
          <w:snapToGrid/>
          <w:sz w:val="18"/>
        </w:rPr>
        <w:t xml:space="preserve"> Table 11</w:t>
      </w:r>
      <w:r w:rsidRPr="004A32A3">
        <w:rPr>
          <w:rFonts w:ascii="Arial Narrow" w:hAnsi="Arial Narrow"/>
          <w:b/>
          <w:snapToGrid/>
          <w:sz w:val="18"/>
        </w:rPr>
        <w:t>.</w:t>
      </w:r>
      <w:r w:rsidRPr="008119AC">
        <w:rPr>
          <w:rFonts w:ascii="Arial Narrow" w:hAnsi="Arial Narrow"/>
          <w:snapToGrid/>
          <w:sz w:val="18"/>
        </w:rPr>
        <w:t>3.2.1.2</w:t>
      </w:r>
      <w:r w:rsidR="00E23C3A">
        <w:rPr>
          <w:rFonts w:ascii="Arial Narrow" w:hAnsi="Arial Narrow"/>
          <w:snapToGrid/>
          <w:sz w:val="18"/>
        </w:rPr>
        <w:t>;</w:t>
      </w:r>
      <w:r w:rsidRPr="008119AC">
        <w:rPr>
          <w:rFonts w:ascii="Arial Narrow" w:hAnsi="Arial Narrow"/>
          <w:snapToGrid/>
          <w:sz w:val="18"/>
        </w:rPr>
        <w:t xml:space="preserve"> Table 11.3.2.6.2</w:t>
      </w:r>
      <w:r w:rsidR="00E23C3A">
        <w:rPr>
          <w:rFonts w:ascii="Arial Narrow" w:hAnsi="Arial Narrow"/>
          <w:snapToGrid/>
          <w:sz w:val="18"/>
        </w:rPr>
        <w:t xml:space="preserve"> </w:t>
      </w:r>
      <w:r w:rsidRPr="008119AC">
        <w:rPr>
          <w:rFonts w:ascii="Arial Narrow" w:hAnsi="Arial Narrow"/>
          <w:snapToGrid/>
          <w:sz w:val="18"/>
        </w:rPr>
        <w:t xml:space="preserve">of the ZONDA CSR; </w:t>
      </w:r>
      <w:r w:rsidRPr="00C30C94">
        <w:rPr>
          <w:rFonts w:ascii="Arial Narrow" w:hAnsi="Arial Narrow"/>
          <w:snapToGrid/>
          <w:sz w:val="18"/>
        </w:rPr>
        <w:t xml:space="preserve">Ital = values in italics were calculated during evaluation </w:t>
      </w:r>
    </w:p>
    <w:p w:rsidR="008119AC" w:rsidRPr="008119AC" w:rsidRDefault="008119AC" w:rsidP="003C1C72">
      <w:pPr>
        <w:keepNext/>
        <w:keepLines/>
        <w:snapToGrid w:val="0"/>
        <w:spacing w:after="120"/>
        <w:rPr>
          <w:rFonts w:ascii="Arial Narrow" w:hAnsi="Arial Narrow"/>
          <w:b/>
          <w:snapToGrid/>
          <w:sz w:val="20"/>
          <w:szCs w:val="16"/>
        </w:rPr>
      </w:pPr>
      <w:r w:rsidRPr="008119AC">
        <w:rPr>
          <w:rFonts w:ascii="Arial Narrow" w:hAnsi="Arial Narrow"/>
          <w:snapToGrid/>
          <w:sz w:val="18"/>
        </w:rPr>
        <w:t xml:space="preserve">AE = adverse event; BEN = benralizumab; </w:t>
      </w:r>
      <w:r w:rsidR="00E23C3A">
        <w:rPr>
          <w:rFonts w:ascii="Arial Narrow" w:hAnsi="Arial Narrow"/>
          <w:snapToGrid/>
          <w:sz w:val="18"/>
        </w:rPr>
        <w:t xml:space="preserve">CI = confidence interval; </w:t>
      </w:r>
      <w:r w:rsidRPr="008119AC">
        <w:rPr>
          <w:rFonts w:ascii="Arial Narrow" w:hAnsi="Arial Narrow"/>
          <w:snapToGrid/>
          <w:sz w:val="18"/>
        </w:rPr>
        <w:t>q8w = every eight weeks; q4w = every four weeks; RR = r</w:t>
      </w:r>
      <w:r w:rsidR="005A6524">
        <w:rPr>
          <w:rFonts w:ascii="Arial Narrow" w:hAnsi="Arial Narrow"/>
          <w:snapToGrid/>
          <w:sz w:val="18"/>
        </w:rPr>
        <w:t>isk</w:t>
      </w:r>
      <w:r w:rsidRPr="008119AC">
        <w:rPr>
          <w:rFonts w:ascii="Arial Narrow" w:hAnsi="Arial Narrow"/>
          <w:snapToGrid/>
          <w:sz w:val="18"/>
        </w:rPr>
        <w:t xml:space="preserve"> ratio; SOC = standard of care; SAE = serious adverse event </w:t>
      </w:r>
    </w:p>
    <w:p w:rsidR="008119AC" w:rsidRPr="00A05A0B" w:rsidRDefault="008119AC" w:rsidP="004B1160">
      <w:pPr>
        <w:widowControl/>
        <w:numPr>
          <w:ilvl w:val="1"/>
          <w:numId w:val="1"/>
        </w:numPr>
        <w:spacing w:after="120"/>
        <w:ind w:left="709"/>
      </w:pPr>
      <w:r w:rsidRPr="00A05A0B">
        <w:t>There were no statistically significant increases in adverse events between the benralizumab and standard of care arms of the trials</w:t>
      </w:r>
      <w:r w:rsidR="007143CD" w:rsidRPr="00A05A0B">
        <w:t>.</w:t>
      </w:r>
      <w:r w:rsidRPr="00A05A0B">
        <w:t xml:space="preserve"> </w:t>
      </w:r>
      <w:r w:rsidR="007143CD" w:rsidRPr="00A05A0B">
        <w:t>F</w:t>
      </w:r>
      <w:r w:rsidRPr="00A05A0B">
        <w:t>urther</w:t>
      </w:r>
      <w:r w:rsidR="007143CD" w:rsidRPr="00A05A0B">
        <w:t>,</w:t>
      </w:r>
      <w:r w:rsidRPr="00A05A0B">
        <w:t xml:space="preserve"> there were no substantial differences in adverse events between the two benralizumab dose regimens. </w:t>
      </w:r>
    </w:p>
    <w:p w:rsidR="008119AC" w:rsidRPr="00A05A0B" w:rsidRDefault="008119AC" w:rsidP="004B1160">
      <w:pPr>
        <w:widowControl/>
        <w:numPr>
          <w:ilvl w:val="1"/>
          <w:numId w:val="1"/>
        </w:numPr>
        <w:spacing w:after="120"/>
        <w:ind w:left="709"/>
      </w:pPr>
      <w:r w:rsidRPr="00A05A0B">
        <w:t xml:space="preserve">Table </w:t>
      </w:r>
      <w:r w:rsidR="0086508A" w:rsidRPr="00A05A0B">
        <w:t xml:space="preserve">9 </w:t>
      </w:r>
      <w:r w:rsidRPr="00A05A0B">
        <w:t>summarises adverse events in the trials included in the indirect comparison. For the benralizumab trials, this comparison uses the primary efficacy population</w:t>
      </w:r>
      <w:r w:rsidR="005A6524" w:rsidRPr="00A05A0B">
        <w:t xml:space="preserve"> and the eight</w:t>
      </w:r>
      <w:r w:rsidR="00183131" w:rsidRPr="00A05A0B">
        <w:t>-</w:t>
      </w:r>
      <w:r w:rsidR="005A6524" w:rsidRPr="00A05A0B">
        <w:t>week</w:t>
      </w:r>
      <w:r w:rsidR="00183131" w:rsidRPr="00A05A0B">
        <w:t>ly</w:t>
      </w:r>
      <w:r w:rsidR="005A6524" w:rsidRPr="00A05A0B">
        <w:t xml:space="preserve"> dose regimen</w:t>
      </w:r>
      <w:r w:rsidRPr="00A05A0B">
        <w:t xml:space="preserve">. </w:t>
      </w:r>
    </w:p>
    <w:p w:rsidR="008119AC" w:rsidRPr="008119AC" w:rsidRDefault="008119AC" w:rsidP="00821A46">
      <w:pPr>
        <w:keepNext/>
        <w:keepLines/>
        <w:rPr>
          <w:rFonts w:ascii="Arial Narrow" w:hAnsi="Arial Narrow"/>
          <w:b/>
          <w:sz w:val="20"/>
          <w:szCs w:val="16"/>
        </w:rPr>
      </w:pPr>
      <w:r w:rsidRPr="008119AC">
        <w:rPr>
          <w:rFonts w:ascii="Arial Narrow" w:hAnsi="Arial Narrow"/>
          <w:b/>
          <w:sz w:val="20"/>
          <w:szCs w:val="16"/>
        </w:rPr>
        <w:t xml:space="preserve">Table </w:t>
      </w:r>
      <w:r w:rsidR="0086508A">
        <w:rPr>
          <w:rFonts w:ascii="Arial Narrow" w:hAnsi="Arial Narrow"/>
          <w:b/>
          <w:sz w:val="20"/>
          <w:szCs w:val="16"/>
        </w:rPr>
        <w:t>9</w:t>
      </w:r>
      <w:r w:rsidRPr="008119AC">
        <w:rPr>
          <w:rFonts w:ascii="Arial Narrow" w:hAnsi="Arial Narrow"/>
          <w:b/>
          <w:sz w:val="20"/>
          <w:szCs w:val="16"/>
        </w:rPr>
        <w:t>: Summary of adverse events for trials included in the indirect comparison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25"/>
        <w:gridCol w:w="841"/>
        <w:gridCol w:w="838"/>
        <w:gridCol w:w="841"/>
        <w:gridCol w:w="675"/>
        <w:gridCol w:w="810"/>
        <w:gridCol w:w="894"/>
        <w:gridCol w:w="843"/>
        <w:gridCol w:w="672"/>
        <w:gridCol w:w="7"/>
        <w:gridCol w:w="776"/>
      </w:tblGrid>
      <w:tr w:rsidR="008119AC" w:rsidRPr="008119AC" w:rsidTr="002F703C">
        <w:trPr>
          <w:tblHeader/>
        </w:trPr>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45"/>
              <w:jc w:val="left"/>
              <w:rPr>
                <w:rFonts w:ascii="Arial Narrow" w:eastAsia="Calibri" w:hAnsi="Arial Narrow"/>
                <w:b/>
                <w:sz w:val="20"/>
                <w:lang w:eastAsia="en-AU"/>
              </w:rPr>
            </w:pPr>
            <w:r w:rsidRPr="008119AC">
              <w:rPr>
                <w:rFonts w:ascii="Arial Narrow" w:eastAsia="Calibri" w:hAnsi="Arial Narrow"/>
                <w:b/>
                <w:sz w:val="20"/>
                <w:lang w:eastAsia="en-AU"/>
              </w:rPr>
              <w:t>AEs</w:t>
            </w:r>
          </w:p>
        </w:tc>
        <w:tc>
          <w:tcPr>
            <w:tcW w:w="1833" w:type="pct"/>
            <w:gridSpan w:val="4"/>
            <w:tcBorders>
              <w:top w:val="single" w:sz="4" w:space="0" w:color="auto"/>
              <w:left w:val="sing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right="-23"/>
              <w:jc w:val="center"/>
              <w:rPr>
                <w:rFonts w:ascii="Arial Narrow" w:eastAsia="Calibri" w:hAnsi="Arial Narrow"/>
                <w:b/>
                <w:sz w:val="20"/>
                <w:vertAlign w:val="superscript"/>
                <w:lang w:eastAsia="en-AU"/>
              </w:rPr>
            </w:pPr>
            <w:r w:rsidRPr="008119AC">
              <w:rPr>
                <w:rFonts w:ascii="Arial Narrow" w:eastAsia="Calibri" w:hAnsi="Arial Narrow"/>
                <w:b/>
                <w:sz w:val="20"/>
                <w:lang w:eastAsia="en-AU"/>
              </w:rPr>
              <w:t xml:space="preserve">BEN q8w (EOS ≥ 300, high-dose ICS) </w:t>
            </w:r>
            <w:r w:rsidRPr="008119AC">
              <w:rPr>
                <w:rFonts w:ascii="Arial Narrow" w:eastAsia="Calibri" w:hAnsi="Arial Narrow"/>
                <w:b/>
                <w:sz w:val="20"/>
                <w:vertAlign w:val="superscript"/>
                <w:lang w:eastAsia="en-AU"/>
              </w:rPr>
              <w:t>a</w:t>
            </w:r>
          </w:p>
        </w:tc>
        <w:tc>
          <w:tcPr>
            <w:tcW w:w="814" w:type="pct"/>
            <w:gridSpan w:val="2"/>
            <w:tcBorders>
              <w:top w:val="single" w:sz="4" w:space="0" w:color="auto"/>
              <w:left w:val="double" w:sz="4" w:space="0" w:color="auto"/>
              <w:bottom w:val="single" w:sz="4" w:space="0" w:color="auto"/>
              <w:right w:val="double" w:sz="4" w:space="0" w:color="auto"/>
            </w:tcBorders>
            <w:hideMark/>
          </w:tcPr>
          <w:p w:rsidR="008119AC" w:rsidRPr="008119AC" w:rsidRDefault="008119AC" w:rsidP="00821A46">
            <w:pPr>
              <w:keepNext/>
              <w:keepLines/>
              <w:widowControl/>
              <w:snapToGrid w:val="0"/>
              <w:spacing w:before="40" w:after="40" w:line="254" w:lineRule="auto"/>
              <w:ind w:left="-96" w:right="-23"/>
              <w:jc w:val="center"/>
              <w:rPr>
                <w:rFonts w:ascii="Arial Narrow" w:eastAsia="Calibri" w:hAnsi="Arial Narrow"/>
                <w:b/>
                <w:sz w:val="20"/>
                <w:lang w:eastAsia="en-AU"/>
              </w:rPr>
            </w:pPr>
            <w:r w:rsidRPr="008119AC">
              <w:rPr>
                <w:rFonts w:ascii="Arial Narrow" w:eastAsia="Calibri" w:hAnsi="Arial Narrow"/>
                <w:b/>
                <w:sz w:val="20"/>
                <w:lang w:eastAsia="en-AU"/>
              </w:rPr>
              <w:t>Mepolizumab</w:t>
            </w:r>
          </w:p>
        </w:tc>
        <w:tc>
          <w:tcPr>
            <w:tcW w:w="1749" w:type="pct"/>
            <w:gridSpan w:val="5"/>
            <w:tcBorders>
              <w:top w:val="single" w:sz="4" w:space="0" w:color="auto"/>
              <w:left w:val="doub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right="-23"/>
              <w:jc w:val="center"/>
              <w:rPr>
                <w:rFonts w:ascii="Arial Narrow" w:eastAsia="Calibri" w:hAnsi="Arial Narrow"/>
                <w:b/>
                <w:sz w:val="20"/>
                <w:lang w:eastAsia="en-AU"/>
              </w:rPr>
            </w:pPr>
            <w:r w:rsidRPr="008119AC">
              <w:rPr>
                <w:rFonts w:ascii="Arial Narrow" w:eastAsia="Calibri" w:hAnsi="Arial Narrow"/>
                <w:b/>
                <w:sz w:val="20"/>
                <w:lang w:eastAsia="en-AU"/>
              </w:rPr>
              <w:t>Omalizumab</w:t>
            </w:r>
          </w:p>
        </w:tc>
      </w:tr>
      <w:tr w:rsidR="008119AC" w:rsidRPr="008119AC" w:rsidTr="002F703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b/>
                <w:sz w:val="20"/>
                <w:lang w:eastAsia="en-AU"/>
              </w:rPr>
            </w:pPr>
          </w:p>
        </w:tc>
        <w:tc>
          <w:tcPr>
            <w:tcW w:w="913"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right="-23"/>
              <w:jc w:val="left"/>
              <w:rPr>
                <w:rFonts w:ascii="Arial Narrow" w:eastAsia="Calibri" w:hAnsi="Arial Narrow"/>
                <w:b/>
                <w:sz w:val="20"/>
                <w:lang w:eastAsia="en-AU"/>
              </w:rPr>
            </w:pPr>
            <w:r w:rsidRPr="008119AC">
              <w:rPr>
                <w:rFonts w:ascii="Arial Narrow" w:eastAsia="Calibri" w:hAnsi="Arial Narrow"/>
                <w:b/>
                <w:sz w:val="20"/>
                <w:lang w:eastAsia="en-AU"/>
              </w:rPr>
              <w:t>CALIMA (56 wks)</w:t>
            </w:r>
          </w:p>
        </w:tc>
        <w:tc>
          <w:tcPr>
            <w:tcW w:w="920"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left"/>
              <w:rPr>
                <w:rFonts w:ascii="Arial Narrow" w:eastAsia="Calibri" w:hAnsi="Arial Narrow"/>
                <w:b/>
                <w:sz w:val="20"/>
                <w:lang w:eastAsia="en-AU"/>
              </w:rPr>
            </w:pPr>
            <w:r w:rsidRPr="008119AC">
              <w:rPr>
                <w:rFonts w:ascii="Arial Narrow" w:eastAsia="Calibri" w:hAnsi="Arial Narrow"/>
                <w:b/>
                <w:sz w:val="20"/>
                <w:lang w:eastAsia="en-AU"/>
              </w:rPr>
              <w:t>SIROCCO (48 wks)</w:t>
            </w:r>
          </w:p>
        </w:tc>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left"/>
              <w:rPr>
                <w:rFonts w:ascii="Arial Narrow" w:eastAsia="Calibri" w:hAnsi="Arial Narrow"/>
                <w:b/>
                <w:sz w:val="20"/>
                <w:lang w:eastAsia="en-AU"/>
              </w:rPr>
            </w:pPr>
            <w:r w:rsidRPr="008119AC">
              <w:rPr>
                <w:rFonts w:ascii="Arial Narrow" w:eastAsia="Calibri" w:hAnsi="Arial Narrow"/>
                <w:b/>
                <w:sz w:val="20"/>
                <w:lang w:eastAsia="en-AU"/>
              </w:rPr>
              <w:t>MENSA (32 wks)</w:t>
            </w:r>
          </w:p>
        </w:tc>
        <w:tc>
          <w:tcPr>
            <w:tcW w:w="952" w:type="pct"/>
            <w:gridSpan w:val="2"/>
            <w:tcBorders>
              <w:top w:val="single" w:sz="4" w:space="0" w:color="auto"/>
              <w:left w:val="doub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left="-96" w:right="-23"/>
              <w:jc w:val="left"/>
              <w:rPr>
                <w:rFonts w:ascii="Arial Narrow" w:eastAsia="Calibri" w:hAnsi="Arial Narrow"/>
                <w:b/>
                <w:sz w:val="20"/>
                <w:lang w:eastAsia="en-AU"/>
              </w:rPr>
            </w:pPr>
            <w:r w:rsidRPr="008119AC">
              <w:rPr>
                <w:rFonts w:ascii="Arial Narrow" w:eastAsia="Calibri" w:hAnsi="Arial Narrow"/>
                <w:b/>
                <w:sz w:val="20"/>
                <w:lang w:eastAsia="en-AU"/>
              </w:rPr>
              <w:t>INNOVATE (28 wks)</w:t>
            </w:r>
          </w:p>
        </w:tc>
        <w:tc>
          <w:tcPr>
            <w:tcW w:w="797" w:type="pct"/>
            <w:gridSpan w:val="3"/>
            <w:tcBorders>
              <w:top w:val="single" w:sz="4" w:space="0" w:color="auto"/>
              <w:left w:val="sing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right="-23"/>
              <w:jc w:val="left"/>
              <w:rPr>
                <w:rFonts w:ascii="Arial Narrow" w:eastAsia="Calibri" w:hAnsi="Arial Narrow"/>
                <w:b/>
                <w:sz w:val="20"/>
                <w:lang w:eastAsia="en-AU"/>
              </w:rPr>
            </w:pPr>
            <w:r w:rsidRPr="008119AC">
              <w:rPr>
                <w:rFonts w:ascii="Arial Narrow" w:eastAsia="Calibri" w:hAnsi="Arial Narrow"/>
                <w:b/>
                <w:sz w:val="20"/>
                <w:lang w:eastAsia="en-AU"/>
              </w:rPr>
              <w:t>EXTRA (48 wks)</w:t>
            </w:r>
          </w:p>
        </w:tc>
      </w:tr>
      <w:tr w:rsidR="008119AC" w:rsidRPr="008119AC" w:rsidTr="002F703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b/>
                <w:sz w:val="20"/>
                <w:lang w:eastAsia="en-AU"/>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center"/>
              <w:rPr>
                <w:rFonts w:ascii="Arial Narrow" w:eastAsia="Calibri" w:hAnsi="Arial Narrow"/>
                <w:b/>
                <w:sz w:val="20"/>
                <w:lang w:eastAsia="en-AU"/>
              </w:rPr>
            </w:pPr>
            <w:r w:rsidRPr="008119AC">
              <w:rPr>
                <w:rFonts w:ascii="Arial Narrow" w:eastAsia="Calibri" w:hAnsi="Arial Narrow"/>
                <w:b/>
                <w:sz w:val="20"/>
                <w:lang w:eastAsia="en-AU"/>
              </w:rPr>
              <w:t>BEN</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5A6524" w:rsidP="00821A46">
            <w:pPr>
              <w:keepNext/>
              <w:keepLines/>
              <w:widowControl/>
              <w:snapToGrid w:val="0"/>
              <w:spacing w:before="40" w:after="40" w:line="254" w:lineRule="auto"/>
              <w:ind w:left="-96" w:right="-23"/>
              <w:jc w:val="center"/>
              <w:rPr>
                <w:rFonts w:ascii="Arial Narrow" w:eastAsia="Calibri" w:hAnsi="Arial Narrow"/>
                <w:b/>
                <w:sz w:val="20"/>
                <w:lang w:eastAsia="en-AU"/>
              </w:rPr>
            </w:pPr>
            <w:r>
              <w:rPr>
                <w:rFonts w:ascii="Arial Narrow" w:eastAsia="Calibri" w:hAnsi="Arial Narrow"/>
                <w:b/>
                <w:sz w:val="20"/>
                <w:lang w:eastAsia="en-AU"/>
              </w:rPr>
              <w:t>SOC</w:t>
            </w:r>
          </w:p>
        </w:tc>
        <w:tc>
          <w:tcPr>
            <w:tcW w:w="459"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center"/>
              <w:rPr>
                <w:rFonts w:ascii="Arial Narrow" w:eastAsia="Calibri" w:hAnsi="Arial Narrow"/>
                <w:b/>
                <w:sz w:val="20"/>
                <w:lang w:eastAsia="en-AU"/>
              </w:rPr>
            </w:pPr>
            <w:r w:rsidRPr="008119AC">
              <w:rPr>
                <w:rFonts w:ascii="Arial Narrow" w:eastAsia="Calibri" w:hAnsi="Arial Narrow"/>
                <w:b/>
                <w:sz w:val="20"/>
                <w:lang w:eastAsia="en-AU"/>
              </w:rPr>
              <w:t>BEN</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5A6524" w:rsidP="00821A46">
            <w:pPr>
              <w:keepNext/>
              <w:keepLines/>
              <w:widowControl/>
              <w:snapToGrid w:val="0"/>
              <w:spacing w:before="40" w:after="40" w:line="254" w:lineRule="auto"/>
              <w:ind w:left="-96" w:right="-23"/>
              <w:jc w:val="center"/>
              <w:rPr>
                <w:rFonts w:ascii="Arial Narrow" w:eastAsia="Calibri" w:hAnsi="Arial Narrow"/>
                <w:b/>
                <w:sz w:val="20"/>
                <w:lang w:eastAsia="en-AU"/>
              </w:rPr>
            </w:pPr>
            <w:r>
              <w:rPr>
                <w:rFonts w:ascii="Arial Narrow" w:eastAsia="Calibri" w:hAnsi="Arial Narrow"/>
                <w:b/>
                <w:sz w:val="20"/>
                <w:lang w:eastAsia="en-AU"/>
              </w:rPr>
              <w:t>SOC</w:t>
            </w:r>
          </w:p>
        </w:tc>
        <w:tc>
          <w:tcPr>
            <w:tcW w:w="37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center"/>
              <w:rPr>
                <w:rFonts w:ascii="Arial Narrow" w:eastAsia="Calibri" w:hAnsi="Arial Narrow"/>
                <w:b/>
                <w:sz w:val="20"/>
                <w:lang w:eastAsia="en-AU"/>
              </w:rPr>
            </w:pPr>
            <w:r w:rsidRPr="008119AC">
              <w:rPr>
                <w:rFonts w:ascii="Arial Narrow" w:eastAsia="Calibri" w:hAnsi="Arial Narrow"/>
                <w:b/>
                <w:sz w:val="20"/>
                <w:lang w:eastAsia="en-AU"/>
              </w:rPr>
              <w:t>MEPO</w:t>
            </w:r>
          </w:p>
        </w:tc>
        <w:tc>
          <w:tcPr>
            <w:tcW w:w="444" w:type="pct"/>
            <w:tcBorders>
              <w:top w:val="single" w:sz="4" w:space="0" w:color="auto"/>
              <w:left w:val="single" w:sz="4" w:space="0" w:color="auto"/>
              <w:bottom w:val="single" w:sz="4" w:space="0" w:color="auto"/>
              <w:right w:val="double" w:sz="4" w:space="0" w:color="auto"/>
            </w:tcBorders>
            <w:vAlign w:val="center"/>
            <w:hideMark/>
          </w:tcPr>
          <w:p w:rsidR="008119AC" w:rsidRPr="008119AC" w:rsidRDefault="005A6524" w:rsidP="00821A46">
            <w:pPr>
              <w:keepNext/>
              <w:keepLines/>
              <w:widowControl/>
              <w:snapToGrid w:val="0"/>
              <w:spacing w:before="40" w:after="40" w:line="254" w:lineRule="auto"/>
              <w:ind w:left="-96" w:right="-23"/>
              <w:jc w:val="center"/>
              <w:rPr>
                <w:rFonts w:ascii="Arial Narrow" w:eastAsia="Calibri" w:hAnsi="Arial Narrow"/>
                <w:b/>
                <w:sz w:val="20"/>
                <w:lang w:eastAsia="en-AU"/>
              </w:rPr>
            </w:pPr>
            <w:r>
              <w:rPr>
                <w:rFonts w:ascii="Arial Narrow" w:eastAsia="Calibri" w:hAnsi="Arial Narrow"/>
                <w:b/>
                <w:sz w:val="20"/>
                <w:lang w:eastAsia="en-AU"/>
              </w:rPr>
              <w:t>SOC</w:t>
            </w:r>
          </w:p>
        </w:tc>
        <w:tc>
          <w:tcPr>
            <w:tcW w:w="49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center"/>
              <w:rPr>
                <w:rFonts w:ascii="Arial Narrow" w:eastAsia="Calibri" w:hAnsi="Arial Narrow"/>
                <w:b/>
                <w:sz w:val="20"/>
                <w:lang w:eastAsia="en-AU"/>
              </w:rPr>
            </w:pPr>
            <w:r w:rsidRPr="008119AC">
              <w:rPr>
                <w:rFonts w:ascii="Arial Narrow" w:eastAsia="Calibri" w:hAnsi="Arial Narrow"/>
                <w:b/>
                <w:sz w:val="20"/>
                <w:lang w:eastAsia="en-AU"/>
              </w:rPr>
              <w:t>OMAL</w:t>
            </w:r>
          </w:p>
        </w:tc>
        <w:tc>
          <w:tcPr>
            <w:tcW w:w="46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5A6524" w:rsidP="00821A46">
            <w:pPr>
              <w:keepNext/>
              <w:keepLines/>
              <w:widowControl/>
              <w:snapToGrid w:val="0"/>
              <w:spacing w:before="40" w:after="40" w:line="254" w:lineRule="auto"/>
              <w:ind w:left="-96" w:right="-23"/>
              <w:jc w:val="center"/>
              <w:rPr>
                <w:rFonts w:ascii="Arial Narrow" w:eastAsia="Calibri" w:hAnsi="Arial Narrow"/>
                <w:b/>
                <w:sz w:val="20"/>
                <w:lang w:eastAsia="en-AU"/>
              </w:rPr>
            </w:pPr>
            <w:r>
              <w:rPr>
                <w:rFonts w:ascii="Arial Narrow" w:eastAsia="Calibri" w:hAnsi="Arial Narrow"/>
                <w:b/>
                <w:sz w:val="20"/>
                <w:lang w:eastAsia="en-AU"/>
              </w:rPr>
              <w:t>SOC</w:t>
            </w:r>
          </w:p>
        </w:tc>
        <w:tc>
          <w:tcPr>
            <w:tcW w:w="368"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96" w:right="-23"/>
              <w:jc w:val="center"/>
              <w:rPr>
                <w:rFonts w:ascii="Arial Narrow" w:eastAsia="Calibri" w:hAnsi="Arial Narrow"/>
                <w:b/>
                <w:sz w:val="20"/>
                <w:lang w:eastAsia="en-AU"/>
              </w:rPr>
            </w:pPr>
            <w:r w:rsidRPr="008119AC">
              <w:rPr>
                <w:rFonts w:ascii="Arial Narrow" w:eastAsia="Calibri" w:hAnsi="Arial Narrow"/>
                <w:b/>
                <w:sz w:val="20"/>
                <w:lang w:eastAsia="en-AU"/>
              </w:rPr>
              <w:t>OMAL</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5A6524" w:rsidP="00821A46">
            <w:pPr>
              <w:keepNext/>
              <w:keepLines/>
              <w:widowControl/>
              <w:snapToGrid w:val="0"/>
              <w:spacing w:before="40" w:after="40" w:line="254" w:lineRule="auto"/>
              <w:ind w:left="-96" w:right="-23"/>
              <w:jc w:val="center"/>
              <w:rPr>
                <w:rFonts w:ascii="Arial Narrow" w:eastAsia="Calibri" w:hAnsi="Arial Narrow"/>
                <w:b/>
                <w:sz w:val="20"/>
                <w:lang w:eastAsia="en-AU"/>
              </w:rPr>
            </w:pPr>
            <w:r>
              <w:rPr>
                <w:rFonts w:ascii="Arial Narrow" w:eastAsia="Calibri" w:hAnsi="Arial Narrow"/>
                <w:b/>
                <w:sz w:val="20"/>
                <w:lang w:eastAsia="en-AU"/>
              </w:rPr>
              <w:t>SOC</w:t>
            </w:r>
          </w:p>
        </w:tc>
      </w:tr>
      <w:tr w:rsidR="008119AC" w:rsidRPr="008119AC" w:rsidTr="002F703C">
        <w:trPr>
          <w:tblHeader/>
        </w:trPr>
        <w:tc>
          <w:tcPr>
            <w:tcW w:w="604"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64"/>
              <w:jc w:val="left"/>
              <w:rPr>
                <w:rFonts w:ascii="Arial Narrow" w:eastAsia="Calibri" w:hAnsi="Arial Narrow"/>
                <w:sz w:val="20"/>
                <w:lang w:eastAsia="en-AU"/>
              </w:rPr>
            </w:pPr>
            <w:r w:rsidRPr="008119AC">
              <w:rPr>
                <w:rFonts w:ascii="Arial Narrow" w:eastAsia="Calibri" w:hAnsi="Arial Narrow"/>
                <w:sz w:val="20"/>
                <w:lang w:eastAsia="en-AU"/>
              </w:rPr>
              <w:t>N</w:t>
            </w:r>
          </w:p>
        </w:tc>
        <w:tc>
          <w:tcPr>
            <w:tcW w:w="45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230</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248</w:t>
            </w:r>
          </w:p>
        </w:tc>
        <w:tc>
          <w:tcPr>
            <w:tcW w:w="459"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265</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267</w:t>
            </w:r>
          </w:p>
        </w:tc>
        <w:tc>
          <w:tcPr>
            <w:tcW w:w="37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194</w:t>
            </w:r>
          </w:p>
        </w:tc>
        <w:tc>
          <w:tcPr>
            <w:tcW w:w="444" w:type="pct"/>
            <w:tcBorders>
              <w:top w:val="single" w:sz="4" w:space="0" w:color="auto"/>
              <w:left w:val="sing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191</w:t>
            </w:r>
          </w:p>
        </w:tc>
        <w:tc>
          <w:tcPr>
            <w:tcW w:w="49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245</w:t>
            </w:r>
          </w:p>
        </w:tc>
        <w:tc>
          <w:tcPr>
            <w:tcW w:w="46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237</w:t>
            </w:r>
          </w:p>
        </w:tc>
        <w:tc>
          <w:tcPr>
            <w:tcW w:w="368"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428</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420</w:t>
            </w:r>
          </w:p>
        </w:tc>
      </w:tr>
      <w:tr w:rsidR="008119AC" w:rsidRPr="008119AC" w:rsidTr="002F703C">
        <w:tc>
          <w:tcPr>
            <w:tcW w:w="604" w:type="pct"/>
            <w:vMerge w:val="restart"/>
            <w:tcBorders>
              <w:top w:val="single" w:sz="4" w:space="0" w:color="auto"/>
              <w:left w:val="single" w:sz="4" w:space="0" w:color="auto"/>
              <w:bottom w:val="single" w:sz="4" w:space="0" w:color="auto"/>
              <w:right w:val="single" w:sz="4" w:space="0" w:color="auto"/>
            </w:tcBorders>
            <w:vAlign w:val="center"/>
          </w:tcPr>
          <w:p w:rsidR="008119AC" w:rsidRPr="008119AC" w:rsidRDefault="008119AC" w:rsidP="00821A46">
            <w:pPr>
              <w:keepNext/>
              <w:keepLines/>
              <w:widowControl/>
              <w:spacing w:before="40" w:after="40" w:line="254" w:lineRule="auto"/>
              <w:ind w:left="-64"/>
              <w:jc w:val="left"/>
              <w:rPr>
                <w:rFonts w:ascii="Arial Narrow" w:eastAsia="Calibri" w:hAnsi="Arial Narrow"/>
                <w:b/>
                <w:sz w:val="20"/>
                <w:lang w:eastAsia="en-AU"/>
              </w:rPr>
            </w:pPr>
            <w:r w:rsidRPr="008119AC">
              <w:rPr>
                <w:rFonts w:ascii="Arial Narrow" w:eastAsia="Calibri" w:hAnsi="Arial Narrow"/>
                <w:b/>
                <w:sz w:val="20"/>
                <w:lang w:eastAsia="en-AU"/>
              </w:rPr>
              <w:t>Any AEs</w:t>
            </w:r>
          </w:p>
          <w:p w:rsidR="008119AC" w:rsidRPr="008119AC" w:rsidRDefault="008119AC" w:rsidP="00821A46">
            <w:pPr>
              <w:keepNext/>
              <w:keepLines/>
              <w:widowControl/>
              <w:spacing w:before="40" w:after="40" w:line="254" w:lineRule="auto"/>
              <w:ind w:left="-64"/>
              <w:jc w:val="left"/>
              <w:rPr>
                <w:rFonts w:ascii="Arial Narrow" w:eastAsia="Calibri" w:hAnsi="Arial Narrow"/>
                <w:b/>
                <w:sz w:val="20"/>
                <w:lang w:eastAsia="en-AU"/>
              </w:rPr>
            </w:pPr>
          </w:p>
          <w:p w:rsidR="008119AC" w:rsidRPr="008119AC" w:rsidRDefault="008119AC" w:rsidP="00821A46">
            <w:pPr>
              <w:keepNext/>
              <w:keepLines/>
              <w:spacing w:before="40" w:after="40" w:line="254" w:lineRule="auto"/>
              <w:ind w:left="-64"/>
              <w:jc w:val="left"/>
              <w:rPr>
                <w:rFonts w:ascii="Arial Narrow" w:eastAsia="Calibri" w:hAnsi="Arial Narrow"/>
                <w:sz w:val="20"/>
                <w:lang w:eastAsia="en-AU"/>
              </w:rPr>
            </w:pPr>
            <w:r w:rsidRPr="008119AC">
              <w:rPr>
                <w:rFonts w:ascii="Arial Narrow" w:eastAsia="Calibri" w:hAnsi="Arial Narrow"/>
                <w:sz w:val="20"/>
                <w:lang w:eastAsia="en-AU"/>
              </w:rPr>
              <w:t>RR (95% CI)</w:t>
            </w:r>
          </w:p>
          <w:p w:rsidR="008119AC" w:rsidRPr="008119AC" w:rsidRDefault="008119AC" w:rsidP="00821A46">
            <w:pPr>
              <w:keepNext/>
              <w:keepLines/>
              <w:snapToGrid w:val="0"/>
              <w:spacing w:before="40" w:after="40" w:line="254" w:lineRule="auto"/>
              <w:ind w:left="-64"/>
              <w:jc w:val="left"/>
              <w:rPr>
                <w:rFonts w:ascii="Arial Narrow" w:eastAsia="Calibri" w:hAnsi="Arial Narrow"/>
                <w:sz w:val="20"/>
                <w:lang w:eastAsia="en-AU"/>
              </w:rPr>
            </w:pPr>
            <w:r w:rsidRPr="008119AC">
              <w:rPr>
                <w:rFonts w:ascii="Arial Narrow" w:eastAsia="Calibri" w:hAnsi="Arial Narrow"/>
                <w:sz w:val="20"/>
                <w:lang w:eastAsia="en-AU"/>
              </w:rPr>
              <w:t xml:space="preserve">Pooled </w:t>
            </w:r>
            <w:r w:rsidRPr="008119AC">
              <w:rPr>
                <w:rFonts w:ascii="Arial Narrow" w:eastAsia="Calibri" w:hAnsi="Arial Narrow"/>
                <w:sz w:val="20"/>
                <w:vertAlign w:val="superscript"/>
                <w:lang w:eastAsia="en-AU"/>
              </w:rPr>
              <w:t>b</w:t>
            </w:r>
          </w:p>
        </w:tc>
        <w:tc>
          <w:tcPr>
            <w:tcW w:w="45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181 </w:t>
            </w:r>
            <w:r w:rsidRPr="008119AC">
              <w:rPr>
                <w:rFonts w:ascii="Arial Narrow" w:eastAsia="Calibri" w:hAnsi="Arial Narrow"/>
                <w:sz w:val="20"/>
                <w:lang w:eastAsia="en-AU"/>
              </w:rPr>
              <w:br/>
              <w:t>(79%)</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188 </w:t>
            </w:r>
            <w:r w:rsidRPr="008119AC">
              <w:rPr>
                <w:rFonts w:ascii="Arial Narrow" w:eastAsia="Calibri" w:hAnsi="Arial Narrow"/>
                <w:sz w:val="20"/>
                <w:lang w:eastAsia="en-AU"/>
              </w:rPr>
              <w:br/>
              <w:t>(76%)</w:t>
            </w:r>
          </w:p>
        </w:tc>
        <w:tc>
          <w:tcPr>
            <w:tcW w:w="459"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185 </w:t>
            </w:r>
            <w:r w:rsidRPr="008119AC">
              <w:rPr>
                <w:rFonts w:ascii="Arial Narrow" w:eastAsia="Calibri" w:hAnsi="Arial Narrow"/>
                <w:sz w:val="20"/>
                <w:lang w:eastAsia="en-AU"/>
              </w:rPr>
              <w:br/>
              <w:t>(70%)</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203 </w:t>
            </w:r>
          </w:p>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(76%)</w:t>
            </w:r>
          </w:p>
        </w:tc>
        <w:tc>
          <w:tcPr>
            <w:tcW w:w="37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152 (78%)</w:t>
            </w:r>
          </w:p>
        </w:tc>
        <w:tc>
          <w:tcPr>
            <w:tcW w:w="444" w:type="pct"/>
            <w:tcBorders>
              <w:top w:val="single" w:sz="4" w:space="0" w:color="auto"/>
              <w:left w:val="sing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158 </w:t>
            </w:r>
            <w:r w:rsidRPr="008119AC">
              <w:rPr>
                <w:rFonts w:ascii="Arial Narrow" w:eastAsia="Calibri" w:hAnsi="Arial Narrow"/>
                <w:sz w:val="20"/>
                <w:lang w:eastAsia="en-AU"/>
              </w:rPr>
              <w:br/>
              <w:t>(83%)</w:t>
            </w:r>
          </w:p>
        </w:tc>
        <w:tc>
          <w:tcPr>
            <w:tcW w:w="49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177 </w:t>
            </w:r>
            <w:r w:rsidRPr="008119AC">
              <w:rPr>
                <w:rFonts w:ascii="Arial Narrow" w:eastAsia="Calibri" w:hAnsi="Arial Narrow"/>
                <w:sz w:val="20"/>
                <w:lang w:eastAsia="en-AU"/>
              </w:rPr>
              <w:br/>
              <w:t>(72%)</w:t>
            </w:r>
          </w:p>
        </w:tc>
        <w:tc>
          <w:tcPr>
            <w:tcW w:w="46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 xml:space="preserve">179 </w:t>
            </w:r>
            <w:r w:rsidRPr="008119AC">
              <w:rPr>
                <w:rFonts w:ascii="Arial Narrow" w:eastAsia="Calibri" w:hAnsi="Arial Narrow"/>
                <w:sz w:val="20"/>
                <w:lang w:eastAsia="en-AU"/>
              </w:rPr>
              <w:br/>
              <w:t>(76%)</w:t>
            </w:r>
          </w:p>
        </w:tc>
        <w:tc>
          <w:tcPr>
            <w:tcW w:w="368"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344 (80%)</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334 (80%)</w:t>
            </w:r>
          </w:p>
        </w:tc>
      </w:tr>
      <w:tr w:rsidR="008119AC" w:rsidRPr="008119AC" w:rsidTr="002F703C">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sz w:val="20"/>
                <w:lang w:eastAsia="en-AU"/>
              </w:rPr>
            </w:pPr>
          </w:p>
        </w:tc>
        <w:tc>
          <w:tcPr>
            <w:tcW w:w="913"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1.04 (0.94, 1.14)</w:t>
            </w:r>
          </w:p>
        </w:tc>
        <w:tc>
          <w:tcPr>
            <w:tcW w:w="920"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0.92 (0.83, 1.02)</w:t>
            </w:r>
          </w:p>
        </w:tc>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0.95 (0.86, 1.05)</w:t>
            </w:r>
          </w:p>
        </w:tc>
        <w:tc>
          <w:tcPr>
            <w:tcW w:w="952" w:type="pct"/>
            <w:gridSpan w:val="2"/>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0.96 (0.86, 1.06)</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1.01 (0.94, 1.08)</w:t>
            </w:r>
          </w:p>
        </w:tc>
      </w:tr>
      <w:tr w:rsidR="008119AC" w:rsidRPr="008119AC" w:rsidTr="002F703C">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sz w:val="20"/>
                <w:lang w:eastAsia="en-AU"/>
              </w:rPr>
            </w:pPr>
          </w:p>
        </w:tc>
        <w:tc>
          <w:tcPr>
            <w:tcW w:w="1833" w:type="pct"/>
            <w:gridSpan w:val="4"/>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 xml:space="preserve">0.98 (0.87, 1.10) </w:t>
            </w:r>
          </w:p>
        </w:tc>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0.95 (0.86, 1.05)</w:t>
            </w:r>
          </w:p>
        </w:tc>
        <w:tc>
          <w:tcPr>
            <w:tcW w:w="1749" w:type="pct"/>
            <w:gridSpan w:val="5"/>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0.99 (0.94, 1.05)</w:t>
            </w:r>
          </w:p>
        </w:tc>
      </w:tr>
      <w:tr w:rsidR="008119AC" w:rsidRPr="008119AC" w:rsidTr="002F703C">
        <w:tc>
          <w:tcPr>
            <w:tcW w:w="604"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64"/>
              <w:jc w:val="left"/>
              <w:rPr>
                <w:rFonts w:ascii="Arial Narrow" w:eastAsia="Calibri" w:hAnsi="Arial Narrow"/>
                <w:sz w:val="20"/>
                <w:lang w:eastAsia="en-AU"/>
              </w:rPr>
            </w:pPr>
            <w:r w:rsidRPr="008119AC">
              <w:rPr>
                <w:rFonts w:ascii="Arial Narrow" w:eastAsia="Calibri" w:hAnsi="Arial Narrow"/>
                <w:sz w:val="20"/>
                <w:lang w:eastAsia="en-AU"/>
              </w:rPr>
              <w:t>Indirect comp, RR</w:t>
            </w:r>
          </w:p>
        </w:tc>
        <w:tc>
          <w:tcPr>
            <w:tcW w:w="4396" w:type="pct"/>
            <w:gridSpan w:val="11"/>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pacing w:before="40" w:after="40" w:line="254" w:lineRule="auto"/>
              <w:ind w:left="-103" w:right="-62"/>
              <w:jc w:val="left"/>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Benralizumab versus mepolizumab: 1.03 (0.88, 1.20)</w:t>
            </w:r>
          </w:p>
          <w:p w:rsidR="008119AC" w:rsidRPr="008119AC" w:rsidRDefault="008119AC" w:rsidP="00821A46">
            <w:pPr>
              <w:keepNext/>
              <w:keepLines/>
              <w:widowControl/>
              <w:snapToGrid w:val="0"/>
              <w:spacing w:before="40" w:after="40" w:line="254" w:lineRule="auto"/>
              <w:ind w:left="-103" w:right="-62"/>
              <w:jc w:val="left"/>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Benralizumab versus omalizumab:  0.99 (0.87, 1.13)</w:t>
            </w:r>
          </w:p>
        </w:tc>
      </w:tr>
      <w:tr w:rsidR="008119AC" w:rsidRPr="008119AC" w:rsidTr="002F703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pacing w:before="40" w:after="40" w:line="254" w:lineRule="auto"/>
              <w:ind w:left="-64"/>
              <w:jc w:val="left"/>
              <w:rPr>
                <w:rFonts w:ascii="Arial Narrow" w:eastAsia="Calibri" w:hAnsi="Arial Narrow"/>
                <w:b/>
                <w:sz w:val="20"/>
                <w:lang w:eastAsia="en-AU"/>
              </w:rPr>
            </w:pPr>
            <w:r w:rsidRPr="008119AC">
              <w:rPr>
                <w:rFonts w:ascii="Arial Narrow" w:eastAsia="Calibri" w:hAnsi="Arial Narrow"/>
                <w:b/>
                <w:sz w:val="20"/>
                <w:lang w:eastAsia="en-AU"/>
              </w:rPr>
              <w:t xml:space="preserve">SAEs </w:t>
            </w:r>
          </w:p>
          <w:p w:rsidR="008119AC" w:rsidRPr="008119AC" w:rsidRDefault="008119AC" w:rsidP="00821A46">
            <w:pPr>
              <w:keepNext/>
              <w:keepLines/>
              <w:widowControl/>
              <w:spacing w:before="40" w:after="40" w:line="254" w:lineRule="auto"/>
              <w:ind w:left="-64"/>
              <w:jc w:val="left"/>
              <w:rPr>
                <w:rFonts w:ascii="Arial Narrow" w:eastAsia="Calibri" w:hAnsi="Arial Narrow"/>
                <w:sz w:val="20"/>
                <w:lang w:eastAsia="en-AU"/>
              </w:rPr>
            </w:pPr>
            <w:r w:rsidRPr="008119AC">
              <w:rPr>
                <w:rFonts w:ascii="Arial Narrow" w:eastAsia="Calibri" w:hAnsi="Arial Narrow"/>
                <w:sz w:val="20"/>
                <w:lang w:eastAsia="en-AU"/>
              </w:rPr>
              <w:t>RR (95% CI)</w:t>
            </w:r>
          </w:p>
          <w:p w:rsidR="008119AC" w:rsidRPr="008119AC" w:rsidRDefault="008119AC" w:rsidP="00821A46">
            <w:pPr>
              <w:keepNext/>
              <w:keepLines/>
              <w:snapToGrid w:val="0"/>
              <w:spacing w:before="40" w:after="40" w:line="254" w:lineRule="auto"/>
              <w:ind w:left="-64"/>
              <w:jc w:val="left"/>
              <w:rPr>
                <w:rFonts w:ascii="Arial Narrow" w:eastAsia="Calibri" w:hAnsi="Arial Narrow"/>
                <w:sz w:val="20"/>
                <w:lang w:eastAsia="en-AU"/>
              </w:rPr>
            </w:pPr>
            <w:r w:rsidRPr="008119AC">
              <w:rPr>
                <w:rFonts w:ascii="Arial Narrow" w:eastAsia="Calibri" w:hAnsi="Arial Narrow"/>
                <w:sz w:val="20"/>
                <w:lang w:eastAsia="en-AU"/>
              </w:rPr>
              <w:t xml:space="preserve">Pooled </w:t>
            </w:r>
            <w:r w:rsidRPr="008119AC">
              <w:rPr>
                <w:rFonts w:ascii="Arial Narrow" w:eastAsia="Calibri" w:hAnsi="Arial Narrow"/>
                <w:sz w:val="20"/>
                <w:vertAlign w:val="superscript"/>
                <w:lang w:eastAsia="en-AU"/>
              </w:rPr>
              <w:t>b</w:t>
            </w:r>
          </w:p>
        </w:tc>
        <w:tc>
          <w:tcPr>
            <w:tcW w:w="45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25 (11%)</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34 (14%)</w:t>
            </w:r>
          </w:p>
        </w:tc>
        <w:tc>
          <w:tcPr>
            <w:tcW w:w="459"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33 (12%)</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36 (13%)</w:t>
            </w:r>
          </w:p>
        </w:tc>
        <w:tc>
          <w:tcPr>
            <w:tcW w:w="37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16 (8%)</w:t>
            </w:r>
          </w:p>
        </w:tc>
        <w:tc>
          <w:tcPr>
            <w:tcW w:w="444" w:type="pct"/>
            <w:tcBorders>
              <w:top w:val="single" w:sz="4" w:space="0" w:color="auto"/>
              <w:left w:val="sing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27 (14%)</w:t>
            </w:r>
          </w:p>
        </w:tc>
        <w:tc>
          <w:tcPr>
            <w:tcW w:w="49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29 (12%)</w:t>
            </w:r>
          </w:p>
        </w:tc>
        <w:tc>
          <w:tcPr>
            <w:tcW w:w="46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37 (16%)</w:t>
            </w:r>
          </w:p>
        </w:tc>
        <w:tc>
          <w:tcPr>
            <w:tcW w:w="368"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40 (9%)</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44 (11%)</w:t>
            </w:r>
          </w:p>
        </w:tc>
      </w:tr>
      <w:tr w:rsidR="008119AC" w:rsidRPr="008119AC" w:rsidTr="002F703C">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sz w:val="20"/>
                <w:lang w:eastAsia="en-AU"/>
              </w:rPr>
            </w:pPr>
          </w:p>
        </w:tc>
        <w:tc>
          <w:tcPr>
            <w:tcW w:w="913"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0.79 (0.49, 1.29)</w:t>
            </w:r>
          </w:p>
        </w:tc>
        <w:tc>
          <w:tcPr>
            <w:tcW w:w="920"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0.92 (0.59, 1.44)</w:t>
            </w:r>
          </w:p>
        </w:tc>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0.58 (0.32, 1.05)</w:t>
            </w:r>
          </w:p>
        </w:tc>
        <w:tc>
          <w:tcPr>
            <w:tcW w:w="952" w:type="pct"/>
            <w:gridSpan w:val="2"/>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0.76 (0.48, 1.19)</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0.89 (0.59, 1.34)</w:t>
            </w:r>
          </w:p>
        </w:tc>
      </w:tr>
      <w:tr w:rsidR="008119AC" w:rsidRPr="008119AC" w:rsidTr="002F703C">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sz w:val="20"/>
                <w:lang w:eastAsia="en-AU"/>
              </w:rPr>
            </w:pPr>
          </w:p>
        </w:tc>
        <w:tc>
          <w:tcPr>
            <w:tcW w:w="1833" w:type="pct"/>
            <w:gridSpan w:val="4"/>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0.86 (0.62, 1.19)</w:t>
            </w:r>
          </w:p>
        </w:tc>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0.58 (0.32, 1.05)</w:t>
            </w:r>
          </w:p>
        </w:tc>
        <w:tc>
          <w:tcPr>
            <w:tcW w:w="1749" w:type="pct"/>
            <w:gridSpan w:val="5"/>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0.83 (0.61, 1.12)</w:t>
            </w:r>
          </w:p>
        </w:tc>
      </w:tr>
      <w:tr w:rsidR="008119AC" w:rsidRPr="008119AC" w:rsidTr="002F703C">
        <w:tc>
          <w:tcPr>
            <w:tcW w:w="604"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64"/>
              <w:jc w:val="left"/>
              <w:rPr>
                <w:rFonts w:ascii="Arial Narrow" w:eastAsia="Calibri" w:hAnsi="Arial Narrow"/>
                <w:sz w:val="20"/>
                <w:vertAlign w:val="superscript"/>
                <w:lang w:eastAsia="en-AU"/>
              </w:rPr>
            </w:pPr>
            <w:r w:rsidRPr="008119AC">
              <w:rPr>
                <w:rFonts w:ascii="Arial Narrow" w:eastAsia="Calibri" w:hAnsi="Arial Narrow"/>
                <w:sz w:val="20"/>
                <w:lang w:eastAsia="en-AU"/>
              </w:rPr>
              <w:t>Indirect comp, RR</w:t>
            </w:r>
          </w:p>
        </w:tc>
        <w:tc>
          <w:tcPr>
            <w:tcW w:w="4396" w:type="pct"/>
            <w:gridSpan w:val="11"/>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pacing w:before="40" w:after="40" w:line="254" w:lineRule="auto"/>
              <w:ind w:left="-103" w:right="-62"/>
              <w:jc w:val="left"/>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Benralizumab versus mepolizumab: 1.48 (0.75, 2.92)</w:t>
            </w:r>
          </w:p>
          <w:p w:rsidR="008119AC" w:rsidRPr="008119AC" w:rsidRDefault="008119AC" w:rsidP="00821A46">
            <w:pPr>
              <w:keepNext/>
              <w:keepLines/>
              <w:widowControl/>
              <w:snapToGrid w:val="0"/>
              <w:spacing w:before="40" w:after="40" w:line="254" w:lineRule="auto"/>
              <w:ind w:left="-103" w:right="-62"/>
              <w:jc w:val="left"/>
              <w:rPr>
                <w:rFonts w:ascii="Arial Narrow" w:eastAsia="MS Gothic" w:hAnsi="Arial Narrow"/>
                <w:i/>
                <w:sz w:val="20"/>
                <w:szCs w:val="20"/>
                <w:lang w:eastAsia="en-AU" w:bidi="en-US"/>
              </w:rPr>
            </w:pPr>
            <w:r w:rsidRPr="008119AC">
              <w:rPr>
                <w:rFonts w:ascii="Arial Narrow" w:eastAsia="MS Gothic" w:hAnsi="Arial Narrow"/>
                <w:i/>
                <w:sz w:val="20"/>
                <w:szCs w:val="20"/>
                <w:lang w:eastAsia="en-AU" w:bidi="en-US"/>
              </w:rPr>
              <w:t>Benralizumab versus omalizumab: 1.04 (0.66, 1.62)</w:t>
            </w:r>
          </w:p>
        </w:tc>
      </w:tr>
      <w:tr w:rsidR="008119AC" w:rsidRPr="008119AC" w:rsidTr="002F703C">
        <w:tc>
          <w:tcPr>
            <w:tcW w:w="604" w:type="pct"/>
            <w:vMerge w:val="restar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pacing w:before="40" w:after="40" w:line="254" w:lineRule="auto"/>
              <w:ind w:left="-64"/>
              <w:jc w:val="left"/>
              <w:rPr>
                <w:rFonts w:ascii="Arial Narrow" w:eastAsia="Calibri" w:hAnsi="Arial Narrow"/>
                <w:b/>
                <w:sz w:val="20"/>
                <w:lang w:eastAsia="en-AU"/>
              </w:rPr>
            </w:pPr>
            <w:r w:rsidRPr="008119AC">
              <w:rPr>
                <w:rFonts w:ascii="Arial Narrow" w:eastAsia="Calibri" w:hAnsi="Arial Narrow"/>
                <w:b/>
                <w:sz w:val="20"/>
                <w:lang w:eastAsia="en-AU"/>
              </w:rPr>
              <w:t>Withdraw due to AE</w:t>
            </w:r>
          </w:p>
          <w:p w:rsidR="008119AC" w:rsidRPr="008119AC" w:rsidRDefault="008119AC" w:rsidP="00821A46">
            <w:pPr>
              <w:keepNext/>
              <w:keepLines/>
              <w:snapToGrid w:val="0"/>
              <w:spacing w:before="40" w:after="40" w:line="254" w:lineRule="auto"/>
              <w:ind w:left="-64"/>
              <w:jc w:val="left"/>
              <w:rPr>
                <w:rFonts w:ascii="Arial Narrow" w:eastAsia="Calibri" w:hAnsi="Arial Narrow"/>
                <w:b/>
                <w:sz w:val="20"/>
                <w:lang w:eastAsia="en-AU"/>
              </w:rPr>
            </w:pPr>
            <w:r w:rsidRPr="008119AC">
              <w:rPr>
                <w:rFonts w:ascii="Arial Narrow" w:eastAsia="Calibri" w:hAnsi="Arial Narrow"/>
                <w:sz w:val="20"/>
                <w:lang w:eastAsia="en-AU"/>
              </w:rPr>
              <w:t>RR (95% CI)</w:t>
            </w:r>
          </w:p>
        </w:tc>
        <w:tc>
          <w:tcPr>
            <w:tcW w:w="45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6 (3%)</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1 (&lt;1%)</w:t>
            </w:r>
          </w:p>
        </w:tc>
        <w:tc>
          <w:tcPr>
            <w:tcW w:w="459"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6 (2%)</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 (1%)</w:t>
            </w:r>
          </w:p>
        </w:tc>
        <w:tc>
          <w:tcPr>
            <w:tcW w:w="37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MS Gothic" w:hAnsi="Arial Narrow"/>
                <w:sz w:val="20"/>
                <w:szCs w:val="20"/>
                <w:lang w:eastAsia="en-AU" w:bidi="en-US"/>
              </w:rPr>
              <w:t>1 (&lt;1%)</w:t>
            </w:r>
          </w:p>
        </w:tc>
        <w:tc>
          <w:tcPr>
            <w:tcW w:w="444" w:type="pct"/>
            <w:tcBorders>
              <w:top w:val="single" w:sz="4" w:space="0" w:color="auto"/>
              <w:left w:val="single" w:sz="4" w:space="0" w:color="auto"/>
              <w:bottom w:val="single" w:sz="4" w:space="0" w:color="auto"/>
              <w:right w:val="double" w:sz="4" w:space="0" w:color="auto"/>
            </w:tcBorders>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MS Gothic" w:hAnsi="Arial Narrow"/>
                <w:sz w:val="20"/>
                <w:szCs w:val="20"/>
                <w:lang w:eastAsia="en-AU" w:bidi="en-US"/>
              </w:rPr>
              <w:t>4 (2%)</w:t>
            </w:r>
          </w:p>
        </w:tc>
        <w:tc>
          <w:tcPr>
            <w:tcW w:w="490" w:type="pct"/>
            <w:tcBorders>
              <w:top w:val="single" w:sz="4" w:space="0" w:color="auto"/>
              <w:left w:val="doub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MS Gothic" w:hAnsi="Arial Narrow"/>
                <w:sz w:val="20"/>
                <w:szCs w:val="20"/>
                <w:lang w:eastAsia="en-AU" w:bidi="en-US"/>
              </w:rPr>
              <w:t>11 (5%)</w:t>
            </w:r>
          </w:p>
        </w:tc>
        <w:tc>
          <w:tcPr>
            <w:tcW w:w="462"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MS Gothic" w:hAnsi="Arial Narrow"/>
                <w:sz w:val="20"/>
                <w:szCs w:val="20"/>
                <w:lang w:eastAsia="en-AU" w:bidi="en-US"/>
              </w:rPr>
              <w:t>4 (2%)</w:t>
            </w:r>
          </w:p>
        </w:tc>
        <w:tc>
          <w:tcPr>
            <w:tcW w:w="368" w:type="pct"/>
            <w:tcBorders>
              <w:top w:val="single" w:sz="4" w:space="0" w:color="auto"/>
              <w:left w:val="sing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MS Gothic" w:hAnsi="Arial Narrow"/>
                <w:sz w:val="20"/>
                <w:szCs w:val="20"/>
                <w:lang w:eastAsia="en-AU" w:bidi="en-US"/>
              </w:rPr>
              <w:t>16 (4%)</w:t>
            </w:r>
          </w:p>
        </w:tc>
        <w:tc>
          <w:tcPr>
            <w:tcW w:w="429" w:type="pct"/>
            <w:gridSpan w:val="2"/>
            <w:tcBorders>
              <w:top w:val="single" w:sz="4" w:space="0" w:color="auto"/>
              <w:left w:val="single" w:sz="4" w:space="0" w:color="auto"/>
              <w:bottom w:val="single" w:sz="4" w:space="0" w:color="auto"/>
              <w:right w:val="single" w:sz="4" w:space="0" w:color="auto"/>
            </w:tcBorders>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MS Gothic" w:hAnsi="Arial Narrow"/>
                <w:sz w:val="20"/>
                <w:szCs w:val="20"/>
                <w:lang w:eastAsia="en-AU" w:bidi="en-US"/>
              </w:rPr>
              <w:t>10 (2%)</w:t>
            </w:r>
          </w:p>
        </w:tc>
      </w:tr>
      <w:tr w:rsidR="008119AC" w:rsidRPr="008119AC" w:rsidTr="002F703C">
        <w:tc>
          <w:tcPr>
            <w:tcW w:w="0" w:type="auto"/>
            <w:vMerge/>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jc w:val="left"/>
              <w:rPr>
                <w:rFonts w:ascii="Arial Narrow" w:eastAsia="Calibri" w:hAnsi="Arial Narrow"/>
                <w:b/>
                <w:sz w:val="20"/>
                <w:lang w:eastAsia="en-AU"/>
              </w:rPr>
            </w:pPr>
          </w:p>
        </w:tc>
        <w:tc>
          <w:tcPr>
            <w:tcW w:w="913"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6.47 (0.78, 53.33)</w:t>
            </w:r>
          </w:p>
        </w:tc>
        <w:tc>
          <w:tcPr>
            <w:tcW w:w="920"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Calibri" w:hAnsi="Arial Narrow"/>
                <w:i/>
                <w:sz w:val="20"/>
                <w:lang w:eastAsia="en-AU"/>
              </w:rPr>
              <w:t>3.02 (0.62, 14.84)</w:t>
            </w:r>
          </w:p>
        </w:tc>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0.25 (0.03, 2.18)</w:t>
            </w:r>
          </w:p>
        </w:tc>
        <w:tc>
          <w:tcPr>
            <w:tcW w:w="952" w:type="pct"/>
            <w:gridSpan w:val="2"/>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2.66 (0.86, 8.24)</w:t>
            </w:r>
          </w:p>
        </w:tc>
        <w:tc>
          <w:tcPr>
            <w:tcW w:w="797" w:type="pct"/>
            <w:gridSpan w:val="3"/>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i/>
                <w:sz w:val="20"/>
                <w:lang w:eastAsia="en-AU"/>
              </w:rPr>
            </w:pPr>
            <w:r w:rsidRPr="008119AC">
              <w:rPr>
                <w:rFonts w:ascii="Arial Narrow" w:eastAsia="MS Gothic" w:hAnsi="Arial Narrow"/>
                <w:i/>
                <w:sz w:val="20"/>
                <w:szCs w:val="20"/>
                <w:lang w:eastAsia="en-AU" w:bidi="en-US"/>
              </w:rPr>
              <w:t>1.57 (0.72, 3.42)</w:t>
            </w:r>
          </w:p>
        </w:tc>
      </w:tr>
      <w:tr w:rsidR="008119AC" w:rsidRPr="008119AC" w:rsidTr="002F703C">
        <w:trPr>
          <w:trHeight w:val="137"/>
        </w:trPr>
        <w:tc>
          <w:tcPr>
            <w:tcW w:w="604"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64"/>
              <w:jc w:val="left"/>
              <w:rPr>
                <w:rFonts w:ascii="Arial Narrow" w:eastAsia="Calibri" w:hAnsi="Arial Narrow"/>
                <w:b/>
                <w:sz w:val="20"/>
                <w:lang w:eastAsia="en-AU"/>
              </w:rPr>
            </w:pPr>
            <w:r w:rsidRPr="008119AC">
              <w:rPr>
                <w:rFonts w:ascii="Arial Narrow" w:eastAsia="Calibri" w:hAnsi="Arial Narrow"/>
                <w:b/>
                <w:sz w:val="20"/>
                <w:lang w:eastAsia="en-AU"/>
              </w:rPr>
              <w:t>AE leading to death</w:t>
            </w:r>
          </w:p>
        </w:tc>
        <w:tc>
          <w:tcPr>
            <w:tcW w:w="45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2 (1%)</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0</w:t>
            </w:r>
          </w:p>
        </w:tc>
        <w:tc>
          <w:tcPr>
            <w:tcW w:w="459"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0</w:t>
            </w:r>
          </w:p>
        </w:tc>
        <w:tc>
          <w:tcPr>
            <w:tcW w:w="461"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Calibri" w:hAnsi="Arial Narrow"/>
                <w:sz w:val="20"/>
                <w:lang w:eastAsia="en-AU"/>
              </w:rPr>
            </w:pPr>
            <w:r w:rsidRPr="008119AC">
              <w:rPr>
                <w:rFonts w:ascii="Arial Narrow" w:eastAsia="Calibri" w:hAnsi="Arial Narrow"/>
                <w:sz w:val="20"/>
                <w:lang w:eastAsia="en-AU"/>
              </w:rPr>
              <w:t>1 (&lt;1%)</w:t>
            </w:r>
          </w:p>
        </w:tc>
        <w:tc>
          <w:tcPr>
            <w:tcW w:w="37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sz w:val="20"/>
                <w:szCs w:val="20"/>
                <w:lang w:eastAsia="en-AU" w:bidi="en-US"/>
              </w:rPr>
            </w:pPr>
            <w:r w:rsidRPr="008119AC">
              <w:rPr>
                <w:rFonts w:ascii="Arial Narrow" w:eastAsia="MS Gothic" w:hAnsi="Arial Narrow"/>
                <w:sz w:val="20"/>
                <w:szCs w:val="20"/>
                <w:lang w:eastAsia="en-AU" w:bidi="en-US"/>
              </w:rPr>
              <w:t>0</w:t>
            </w:r>
          </w:p>
        </w:tc>
        <w:tc>
          <w:tcPr>
            <w:tcW w:w="444" w:type="pct"/>
            <w:tcBorders>
              <w:top w:val="single" w:sz="4" w:space="0" w:color="auto"/>
              <w:left w:val="single" w:sz="4" w:space="0" w:color="auto"/>
              <w:bottom w:val="single" w:sz="4" w:space="0" w:color="auto"/>
              <w:right w:val="doub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sz w:val="20"/>
                <w:szCs w:val="20"/>
                <w:lang w:eastAsia="en-AU" w:bidi="en-US"/>
              </w:rPr>
            </w:pPr>
            <w:r w:rsidRPr="008119AC">
              <w:rPr>
                <w:rFonts w:ascii="Arial Narrow" w:eastAsia="MS Gothic" w:hAnsi="Arial Narrow"/>
                <w:sz w:val="20"/>
                <w:szCs w:val="20"/>
                <w:lang w:eastAsia="en-AU" w:bidi="en-US"/>
              </w:rPr>
              <w:t>1 (&lt;1%)</w:t>
            </w:r>
          </w:p>
        </w:tc>
        <w:tc>
          <w:tcPr>
            <w:tcW w:w="490" w:type="pct"/>
            <w:tcBorders>
              <w:top w:val="single" w:sz="4" w:space="0" w:color="auto"/>
              <w:left w:val="doub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sz w:val="20"/>
                <w:szCs w:val="20"/>
                <w:lang w:eastAsia="en-AU" w:bidi="en-US"/>
              </w:rPr>
            </w:pPr>
            <w:r w:rsidRPr="008119AC">
              <w:rPr>
                <w:rFonts w:ascii="Arial Narrow" w:eastAsia="MS Gothic" w:hAnsi="Arial Narrow"/>
                <w:sz w:val="20"/>
                <w:szCs w:val="20"/>
                <w:lang w:eastAsia="en-AU" w:bidi="en-US"/>
              </w:rPr>
              <w:t>0</w:t>
            </w:r>
          </w:p>
        </w:tc>
        <w:tc>
          <w:tcPr>
            <w:tcW w:w="462"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sz w:val="20"/>
                <w:szCs w:val="20"/>
                <w:lang w:eastAsia="en-AU" w:bidi="en-US"/>
              </w:rPr>
            </w:pPr>
            <w:r w:rsidRPr="008119AC">
              <w:rPr>
                <w:rFonts w:ascii="Arial Narrow" w:eastAsia="MS Gothic" w:hAnsi="Arial Narrow"/>
                <w:sz w:val="20"/>
                <w:szCs w:val="20"/>
                <w:lang w:eastAsia="en-AU" w:bidi="en-US"/>
              </w:rPr>
              <w:t>0</w:t>
            </w:r>
          </w:p>
        </w:tc>
        <w:tc>
          <w:tcPr>
            <w:tcW w:w="372" w:type="pct"/>
            <w:gridSpan w:val="2"/>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sz w:val="20"/>
                <w:szCs w:val="20"/>
                <w:lang w:eastAsia="en-AU" w:bidi="en-US"/>
              </w:rPr>
            </w:pPr>
            <w:r w:rsidRPr="008119AC">
              <w:rPr>
                <w:rFonts w:ascii="Arial Narrow" w:eastAsia="MS Gothic" w:hAnsi="Arial Narrow"/>
                <w:sz w:val="20"/>
                <w:szCs w:val="20"/>
                <w:lang w:eastAsia="en-AU" w:bidi="en-US"/>
              </w:rPr>
              <w:t>0</w:t>
            </w:r>
          </w:p>
        </w:tc>
        <w:tc>
          <w:tcPr>
            <w:tcW w:w="425" w:type="pct"/>
            <w:tcBorders>
              <w:top w:val="single" w:sz="4" w:space="0" w:color="auto"/>
              <w:left w:val="single" w:sz="4" w:space="0" w:color="auto"/>
              <w:bottom w:val="single" w:sz="4" w:space="0" w:color="auto"/>
              <w:right w:val="single" w:sz="4" w:space="0" w:color="auto"/>
            </w:tcBorders>
            <w:vAlign w:val="center"/>
            <w:hideMark/>
          </w:tcPr>
          <w:p w:rsidR="008119AC" w:rsidRPr="008119AC" w:rsidRDefault="008119AC" w:rsidP="00821A46">
            <w:pPr>
              <w:keepNext/>
              <w:keepLines/>
              <w:widowControl/>
              <w:snapToGrid w:val="0"/>
              <w:spacing w:before="40" w:after="40" w:line="254" w:lineRule="auto"/>
              <w:ind w:left="-103" w:right="-62"/>
              <w:jc w:val="center"/>
              <w:rPr>
                <w:rFonts w:ascii="Arial Narrow" w:eastAsia="MS Gothic" w:hAnsi="Arial Narrow"/>
                <w:sz w:val="20"/>
                <w:szCs w:val="20"/>
                <w:lang w:eastAsia="en-AU" w:bidi="en-US"/>
              </w:rPr>
            </w:pPr>
            <w:r w:rsidRPr="008119AC">
              <w:rPr>
                <w:rFonts w:ascii="Arial Narrow" w:eastAsia="MS Gothic" w:hAnsi="Arial Narrow"/>
                <w:sz w:val="20"/>
                <w:szCs w:val="20"/>
                <w:lang w:eastAsia="en-AU" w:bidi="en-US"/>
              </w:rPr>
              <w:t>3 (&lt;1%)</w:t>
            </w:r>
          </w:p>
        </w:tc>
      </w:tr>
    </w:tbl>
    <w:p w:rsidR="008119AC" w:rsidRPr="008119AC" w:rsidRDefault="008119AC" w:rsidP="00821A46">
      <w:pPr>
        <w:keepNext/>
        <w:keepLines/>
        <w:rPr>
          <w:rFonts w:ascii="Arial Narrow" w:hAnsi="Arial Narrow"/>
          <w:sz w:val="18"/>
        </w:rPr>
      </w:pPr>
      <w:r w:rsidRPr="008119AC">
        <w:rPr>
          <w:rFonts w:ascii="Arial Narrow" w:hAnsi="Arial Narrow"/>
          <w:sz w:val="18"/>
        </w:rPr>
        <w:t xml:space="preserve">Source: Table 12.3.2.1.2, CALIMA and SIROCCO CSR appendices; </w:t>
      </w:r>
    </w:p>
    <w:p w:rsidR="008119AC" w:rsidRPr="008119AC" w:rsidRDefault="0082759D" w:rsidP="00821A46">
      <w:pPr>
        <w:keepNext/>
        <w:keepLines/>
        <w:snapToGrid w:val="0"/>
        <w:spacing w:after="120"/>
        <w:contextualSpacing/>
        <w:rPr>
          <w:rFonts w:ascii="Arial Narrow" w:hAnsi="Arial Narrow"/>
          <w:i/>
          <w:sz w:val="18"/>
        </w:rPr>
      </w:pPr>
      <w:r w:rsidRPr="008119AC">
        <w:rPr>
          <w:rFonts w:ascii="Arial Narrow" w:hAnsi="Arial Narrow"/>
          <w:snapToGrid/>
          <w:sz w:val="18"/>
        </w:rPr>
        <w:t>AE</w:t>
      </w:r>
      <w:r w:rsidR="00E23C3A">
        <w:rPr>
          <w:rFonts w:ascii="Arial Narrow" w:hAnsi="Arial Narrow"/>
          <w:snapToGrid/>
          <w:sz w:val="18"/>
        </w:rPr>
        <w:t>s</w:t>
      </w:r>
      <w:r w:rsidRPr="008119AC">
        <w:rPr>
          <w:rFonts w:ascii="Arial Narrow" w:hAnsi="Arial Narrow"/>
          <w:snapToGrid/>
          <w:sz w:val="18"/>
        </w:rPr>
        <w:t xml:space="preserve"> = adverse event</w:t>
      </w:r>
      <w:r w:rsidR="00E23C3A">
        <w:rPr>
          <w:rFonts w:ascii="Arial Narrow" w:hAnsi="Arial Narrow"/>
          <w:snapToGrid/>
          <w:sz w:val="18"/>
        </w:rPr>
        <w:t>s</w:t>
      </w:r>
      <w:r w:rsidRPr="008119AC">
        <w:rPr>
          <w:rFonts w:ascii="Arial Narrow" w:hAnsi="Arial Narrow"/>
          <w:snapToGrid/>
          <w:sz w:val="18"/>
        </w:rPr>
        <w:t xml:space="preserve">; </w:t>
      </w:r>
      <w:r w:rsidR="008119AC" w:rsidRPr="008119AC">
        <w:rPr>
          <w:rFonts w:ascii="Arial Narrow" w:hAnsi="Arial Narrow"/>
          <w:sz w:val="18"/>
        </w:rPr>
        <w:t xml:space="preserve">BEN = Benralizumab; CI = confidence interval; comp = comparison; </w:t>
      </w:r>
      <w:r w:rsidRPr="0082759D">
        <w:rPr>
          <w:rFonts w:ascii="Arial Narrow" w:hAnsi="Arial Narrow"/>
          <w:sz w:val="18"/>
        </w:rPr>
        <w:t xml:space="preserve">EOS = eosinophil; </w:t>
      </w:r>
      <w:r>
        <w:rPr>
          <w:rFonts w:ascii="Arial Narrow" w:hAnsi="Arial Narrow"/>
          <w:sz w:val="18"/>
        </w:rPr>
        <w:t xml:space="preserve">ICS = inhaled corticosteroids; </w:t>
      </w:r>
      <w:r w:rsidR="008119AC" w:rsidRPr="008119AC">
        <w:rPr>
          <w:rFonts w:ascii="Arial Narrow" w:hAnsi="Arial Narrow"/>
          <w:sz w:val="18"/>
        </w:rPr>
        <w:t xml:space="preserve">MEPO = mepolizumab 100mg; OMAL = omalizumab; </w:t>
      </w:r>
      <w:r w:rsidRPr="0082759D">
        <w:rPr>
          <w:rFonts w:ascii="Arial Narrow" w:hAnsi="Arial Narrow"/>
          <w:sz w:val="18"/>
        </w:rPr>
        <w:t>q8w = every eight weeks;</w:t>
      </w:r>
      <w:r>
        <w:rPr>
          <w:rFonts w:ascii="Arial Narrow" w:hAnsi="Arial Narrow"/>
          <w:sz w:val="18"/>
        </w:rPr>
        <w:t xml:space="preserve"> </w:t>
      </w:r>
      <w:r w:rsidR="008119AC" w:rsidRPr="008119AC">
        <w:rPr>
          <w:rFonts w:ascii="Arial Narrow" w:hAnsi="Arial Narrow"/>
          <w:sz w:val="18"/>
        </w:rPr>
        <w:t xml:space="preserve">RR = risk ratio; </w:t>
      </w:r>
      <w:r w:rsidRPr="008119AC">
        <w:rPr>
          <w:rFonts w:ascii="Arial Narrow" w:hAnsi="Arial Narrow"/>
          <w:snapToGrid/>
          <w:sz w:val="18"/>
        </w:rPr>
        <w:t>SAE</w:t>
      </w:r>
      <w:r w:rsidR="00E23C3A">
        <w:rPr>
          <w:rFonts w:ascii="Arial Narrow" w:hAnsi="Arial Narrow"/>
          <w:snapToGrid/>
          <w:sz w:val="18"/>
        </w:rPr>
        <w:t>s</w:t>
      </w:r>
      <w:r w:rsidRPr="008119AC">
        <w:rPr>
          <w:rFonts w:ascii="Arial Narrow" w:hAnsi="Arial Narrow"/>
          <w:snapToGrid/>
          <w:sz w:val="18"/>
        </w:rPr>
        <w:t xml:space="preserve"> = serious adverse event</w:t>
      </w:r>
      <w:r w:rsidR="00E23C3A">
        <w:rPr>
          <w:rFonts w:ascii="Arial Narrow" w:hAnsi="Arial Narrow"/>
          <w:snapToGrid/>
          <w:sz w:val="18"/>
        </w:rPr>
        <w:t>s</w:t>
      </w:r>
      <w:r w:rsidRPr="008119AC">
        <w:rPr>
          <w:rFonts w:ascii="Arial Narrow" w:hAnsi="Arial Narrow"/>
          <w:snapToGrid/>
          <w:sz w:val="18"/>
        </w:rPr>
        <w:t xml:space="preserve"> </w:t>
      </w:r>
      <w:r w:rsidR="005A6524" w:rsidRPr="005A6524">
        <w:rPr>
          <w:rFonts w:ascii="Arial Narrow" w:hAnsi="Arial Narrow"/>
          <w:sz w:val="18"/>
        </w:rPr>
        <w:t xml:space="preserve">SOC = standard of care; </w:t>
      </w:r>
      <w:r w:rsidR="008119AC" w:rsidRPr="008119AC">
        <w:rPr>
          <w:rFonts w:ascii="Arial Narrow" w:hAnsi="Arial Narrow"/>
          <w:sz w:val="18"/>
        </w:rPr>
        <w:t xml:space="preserve">wks = weeks; </w:t>
      </w:r>
      <w:r w:rsidR="008119AC" w:rsidRPr="00C30C94">
        <w:rPr>
          <w:rFonts w:ascii="Arial Narrow" w:hAnsi="Arial Narrow"/>
          <w:sz w:val="18"/>
        </w:rPr>
        <w:t>Ital = values in italics were calculated during evaluation</w:t>
      </w:r>
      <w:r w:rsidR="008119AC" w:rsidRPr="008119AC">
        <w:rPr>
          <w:rFonts w:ascii="Arial Narrow" w:hAnsi="Arial Narrow"/>
          <w:i/>
          <w:sz w:val="18"/>
        </w:rPr>
        <w:t xml:space="preserve"> </w:t>
      </w:r>
    </w:p>
    <w:p w:rsidR="008119AC" w:rsidRPr="008119AC" w:rsidRDefault="008119AC" w:rsidP="00821A46">
      <w:pPr>
        <w:keepNext/>
        <w:keepLines/>
        <w:rPr>
          <w:rFonts w:ascii="Arial Narrow" w:hAnsi="Arial Narrow"/>
          <w:sz w:val="18"/>
        </w:rPr>
      </w:pPr>
      <w:r w:rsidRPr="008119AC">
        <w:rPr>
          <w:rFonts w:ascii="Arial Narrow" w:hAnsi="Arial Narrow"/>
          <w:sz w:val="18"/>
          <w:vertAlign w:val="superscript"/>
        </w:rPr>
        <w:t xml:space="preserve">a </w:t>
      </w:r>
      <w:r w:rsidRPr="008119AC">
        <w:rPr>
          <w:rFonts w:ascii="Arial Narrow" w:hAnsi="Arial Narrow"/>
          <w:sz w:val="18"/>
        </w:rPr>
        <w:t>Based on the on-treatment period</w:t>
      </w:r>
    </w:p>
    <w:p w:rsidR="008119AC" w:rsidRPr="008119AC" w:rsidRDefault="008119AC" w:rsidP="003C1C72">
      <w:pPr>
        <w:keepNext/>
        <w:keepLines/>
        <w:spacing w:after="120"/>
        <w:rPr>
          <w:rFonts w:ascii="Arial Narrow" w:hAnsi="Arial Narrow"/>
          <w:sz w:val="18"/>
        </w:rPr>
      </w:pPr>
      <w:r w:rsidRPr="008119AC">
        <w:rPr>
          <w:rFonts w:ascii="Arial Narrow" w:hAnsi="Arial Narrow"/>
          <w:sz w:val="18"/>
          <w:vertAlign w:val="superscript"/>
        </w:rPr>
        <w:t>b</w:t>
      </w:r>
      <w:r w:rsidRPr="008119AC">
        <w:rPr>
          <w:rFonts w:ascii="Arial Narrow" w:hAnsi="Arial Narrow"/>
          <w:sz w:val="18"/>
        </w:rPr>
        <w:t xml:space="preserve"> Meta-analysis conducted in Review Manager 5.3, random effects, Mantel-Haenszel </w:t>
      </w:r>
    </w:p>
    <w:p w:rsidR="008119AC" w:rsidRPr="00A05A0B" w:rsidRDefault="008119AC" w:rsidP="00D70B99">
      <w:pPr>
        <w:widowControl/>
        <w:numPr>
          <w:ilvl w:val="1"/>
          <w:numId w:val="1"/>
        </w:numPr>
        <w:spacing w:after="120"/>
        <w:ind w:left="709"/>
      </w:pPr>
      <w:r w:rsidRPr="00A05A0B">
        <w:t xml:space="preserve">Benralizumab was associated with a </w:t>
      </w:r>
      <w:r w:rsidR="007143CD" w:rsidRPr="00A05A0B">
        <w:t xml:space="preserve">numerically </w:t>
      </w:r>
      <w:r w:rsidRPr="00A05A0B">
        <w:t>greater</w:t>
      </w:r>
      <w:r w:rsidR="007143CD" w:rsidRPr="00A05A0B">
        <w:t xml:space="preserve">, but statistically </w:t>
      </w:r>
      <w:r w:rsidR="00015BDA" w:rsidRPr="00A05A0B">
        <w:t>insignificant,</w:t>
      </w:r>
      <w:r w:rsidRPr="00A05A0B">
        <w:t xml:space="preserve"> risk of serious adverse events than mepolizumab (rate ratio for the indirect comparison of 1.48 </w:t>
      </w:r>
      <w:r w:rsidR="00183131" w:rsidRPr="00A05A0B">
        <w:t>(</w:t>
      </w:r>
      <w:r w:rsidRPr="00A05A0B">
        <w:t>95% CI: 0.75, 2.92)</w:t>
      </w:r>
      <w:r w:rsidR="00183131" w:rsidRPr="00A05A0B">
        <w:t>)</w:t>
      </w:r>
      <w:r w:rsidR="00015BDA" w:rsidRPr="00A05A0B">
        <w:t>.</w:t>
      </w:r>
      <w:r w:rsidRPr="00A05A0B">
        <w:t xml:space="preserve"> </w:t>
      </w:r>
      <w:r w:rsidR="00015BDA" w:rsidRPr="00A05A0B">
        <w:t>H</w:t>
      </w:r>
      <w:r w:rsidRPr="00A05A0B">
        <w:t>owever</w:t>
      </w:r>
      <w:r w:rsidR="00015BDA" w:rsidRPr="00A05A0B">
        <w:t>,</w:t>
      </w:r>
      <w:r w:rsidRPr="00A05A0B">
        <w:t xml:space="preserve"> the most common serious adverse event reported in the benralizumab trials was asthma, </w:t>
      </w:r>
      <w:r w:rsidR="0082759D" w:rsidRPr="00A05A0B">
        <w:t xml:space="preserve">which likely represented </w:t>
      </w:r>
      <w:r w:rsidRPr="00A05A0B">
        <w:t>the condition being treated</w:t>
      </w:r>
      <w:r w:rsidR="0082759D" w:rsidRPr="00A05A0B">
        <w:t xml:space="preserve"> rather than a</w:t>
      </w:r>
      <w:r w:rsidR="00D7401F" w:rsidRPr="00A05A0B">
        <w:t>n</w:t>
      </w:r>
      <w:r w:rsidR="0082759D" w:rsidRPr="00A05A0B">
        <w:t xml:space="preserve"> adverse event</w:t>
      </w:r>
      <w:r w:rsidRPr="00A05A0B">
        <w:t xml:space="preserve">. There was a greater risk of withdrawal due to adverse events in the benralizumab trials than the mepolizumab trials, though the absolute numbers were small. </w:t>
      </w:r>
    </w:p>
    <w:p w:rsidR="008119AC" w:rsidRDefault="008119AC" w:rsidP="00D70B99">
      <w:pPr>
        <w:widowControl/>
        <w:numPr>
          <w:ilvl w:val="1"/>
          <w:numId w:val="1"/>
        </w:numPr>
        <w:spacing w:after="120"/>
        <w:ind w:left="709"/>
      </w:pPr>
      <w:r w:rsidRPr="00A05A0B">
        <w:t>Overall, adverse events appeared similar between benralizumab, mepolizumab and omalizumab.</w:t>
      </w:r>
    </w:p>
    <w:p w:rsidR="008119AC" w:rsidRPr="00170DDB" w:rsidRDefault="008119AC" w:rsidP="003C1C72">
      <w:pPr>
        <w:pStyle w:val="Heading2"/>
      </w:pPr>
      <w:r w:rsidRPr="00170DDB">
        <w:t>Clinical claim</w:t>
      </w:r>
    </w:p>
    <w:p w:rsidR="008119AC" w:rsidRPr="00A05A0B" w:rsidRDefault="008119AC" w:rsidP="00D70B99">
      <w:pPr>
        <w:widowControl/>
        <w:numPr>
          <w:ilvl w:val="1"/>
          <w:numId w:val="1"/>
        </w:numPr>
        <w:spacing w:after="120"/>
        <w:ind w:left="709"/>
      </w:pPr>
      <w:r w:rsidRPr="00A05A0B">
        <w:t xml:space="preserve">The submission claimed that benralizumab was non-inferior to mepolizumab and omalizumab in terms of comparative efficacy and safety. </w:t>
      </w:r>
    </w:p>
    <w:p w:rsidR="0082759D" w:rsidRPr="003C087A" w:rsidRDefault="008119AC" w:rsidP="00D70B99">
      <w:pPr>
        <w:widowControl/>
        <w:numPr>
          <w:ilvl w:val="1"/>
          <w:numId w:val="1"/>
        </w:numPr>
        <w:spacing w:after="120"/>
        <w:ind w:left="709"/>
      </w:pPr>
      <w:r w:rsidRPr="00A05A0B">
        <w:t xml:space="preserve">The </w:t>
      </w:r>
      <w:r w:rsidR="00E5456B">
        <w:t xml:space="preserve">evaluation considered that the </w:t>
      </w:r>
      <w:r w:rsidRPr="00A05A0B">
        <w:t xml:space="preserve">claim of non-inferior efficacy was not </w:t>
      </w:r>
      <w:r w:rsidRPr="003C087A">
        <w:t xml:space="preserve">adequately supported given that: </w:t>
      </w:r>
    </w:p>
    <w:p w:rsidR="0082759D" w:rsidRPr="003C087A" w:rsidRDefault="008119AC" w:rsidP="00D70B99">
      <w:pPr>
        <w:numPr>
          <w:ilvl w:val="0"/>
          <w:numId w:val="3"/>
        </w:numPr>
        <w:spacing w:after="120"/>
        <w:ind w:left="1417" w:hanging="425"/>
        <w:rPr>
          <w:szCs w:val="24"/>
        </w:rPr>
      </w:pPr>
      <w:r w:rsidRPr="003C087A">
        <w:rPr>
          <w:szCs w:val="24"/>
        </w:rPr>
        <w:t xml:space="preserve">the non-inferiority margin was not met for the </w:t>
      </w:r>
      <w:r w:rsidR="00BA3EA4" w:rsidRPr="003C087A">
        <w:rPr>
          <w:szCs w:val="24"/>
        </w:rPr>
        <w:t xml:space="preserve">primary </w:t>
      </w:r>
      <w:r w:rsidRPr="003C087A">
        <w:rPr>
          <w:szCs w:val="24"/>
        </w:rPr>
        <w:t>comparison versus mepolizumab (</w:t>
      </w:r>
      <w:r w:rsidR="008512D9" w:rsidRPr="003C087A">
        <w:rPr>
          <w:szCs w:val="24"/>
        </w:rPr>
        <w:t>upper</w:t>
      </w:r>
      <w:r w:rsidRPr="003C087A">
        <w:rPr>
          <w:szCs w:val="24"/>
        </w:rPr>
        <w:t xml:space="preserve"> bound of the 95% CI was 202% versus a proposed margin of 28%); and </w:t>
      </w:r>
    </w:p>
    <w:p w:rsidR="0082759D" w:rsidRPr="003C087A" w:rsidRDefault="008119AC" w:rsidP="00D70B99">
      <w:pPr>
        <w:numPr>
          <w:ilvl w:val="0"/>
          <w:numId w:val="3"/>
        </w:numPr>
        <w:spacing w:after="120"/>
        <w:ind w:left="1417" w:hanging="425"/>
        <w:rPr>
          <w:szCs w:val="24"/>
        </w:rPr>
      </w:pPr>
      <w:r w:rsidRPr="003C087A">
        <w:rPr>
          <w:szCs w:val="24"/>
        </w:rPr>
        <w:t xml:space="preserve">there were significant transitivity concerns with the comparisons versus mepolizumab and omalizumab as highlighted by differences in the results for the common reference arms. </w:t>
      </w:r>
    </w:p>
    <w:p w:rsidR="00E5456B" w:rsidRPr="003C087A" w:rsidRDefault="00E5456B" w:rsidP="00602DD9">
      <w:pPr>
        <w:widowControl/>
        <w:numPr>
          <w:ilvl w:val="1"/>
          <w:numId w:val="1"/>
        </w:numPr>
        <w:spacing w:after="120"/>
        <w:rPr>
          <w:szCs w:val="24"/>
        </w:rPr>
      </w:pPr>
      <w:r w:rsidRPr="003C087A">
        <w:rPr>
          <w:szCs w:val="24"/>
        </w:rPr>
        <w:t xml:space="preserve">The PBAC considered that </w:t>
      </w:r>
      <w:r w:rsidR="00E90499" w:rsidRPr="003C087A">
        <w:rPr>
          <w:szCs w:val="24"/>
        </w:rPr>
        <w:t xml:space="preserve">the primary indirect comparison was difficult to interpret due to the significant transitivity concerns, </w:t>
      </w:r>
      <w:r w:rsidR="003C087A">
        <w:rPr>
          <w:szCs w:val="24"/>
        </w:rPr>
        <w:t>and</w:t>
      </w:r>
      <w:r w:rsidR="00E90499" w:rsidRPr="003C087A">
        <w:rPr>
          <w:szCs w:val="24"/>
        </w:rPr>
        <w:t xml:space="preserve"> </w:t>
      </w:r>
      <w:r w:rsidR="00602DD9">
        <w:rPr>
          <w:szCs w:val="24"/>
        </w:rPr>
        <w:t xml:space="preserve">considered </w:t>
      </w:r>
      <w:r w:rsidR="00E90499" w:rsidRPr="003C087A">
        <w:rPr>
          <w:szCs w:val="24"/>
        </w:rPr>
        <w:t>that a range of supplementary analyses generally supported a conclusion of non-inferior efficacy.</w:t>
      </w:r>
      <w:r w:rsidR="00602DD9" w:rsidRPr="00602DD9">
        <w:t xml:space="preserve"> </w:t>
      </w:r>
      <w:r w:rsidR="00602DD9">
        <w:t>Overall, t</w:t>
      </w:r>
      <w:r w:rsidR="00602DD9" w:rsidRPr="00602DD9">
        <w:rPr>
          <w:szCs w:val="24"/>
        </w:rPr>
        <w:t>he PBAC considered that the claim of non-inferior comparative effectiveness was reasonable</w:t>
      </w:r>
      <w:r w:rsidR="00602DD9">
        <w:rPr>
          <w:szCs w:val="24"/>
        </w:rPr>
        <w:t>.</w:t>
      </w:r>
    </w:p>
    <w:p w:rsidR="00E5456B" w:rsidRPr="003C087A" w:rsidRDefault="008119AC" w:rsidP="00E90499">
      <w:pPr>
        <w:widowControl/>
        <w:numPr>
          <w:ilvl w:val="1"/>
          <w:numId w:val="1"/>
        </w:numPr>
        <w:spacing w:after="120"/>
        <w:ind w:left="709"/>
        <w:rPr>
          <w:rFonts w:asciiTheme="minorHAnsi" w:hAnsiTheme="minorHAnsi"/>
          <w:szCs w:val="20"/>
        </w:rPr>
      </w:pPr>
      <w:r w:rsidRPr="003C087A">
        <w:t xml:space="preserve">The </w:t>
      </w:r>
      <w:r w:rsidR="008518FE" w:rsidRPr="003C087A">
        <w:t xml:space="preserve">ESC </w:t>
      </w:r>
      <w:r w:rsidR="00E90499" w:rsidRPr="003C087A">
        <w:t xml:space="preserve">and the PBAC </w:t>
      </w:r>
      <w:r w:rsidR="008518FE" w:rsidRPr="003C087A">
        <w:t xml:space="preserve">considered that the </w:t>
      </w:r>
      <w:r w:rsidRPr="003C087A">
        <w:t xml:space="preserve">claim of non-inferior </w:t>
      </w:r>
      <w:r w:rsidR="00E90499" w:rsidRPr="003C087A">
        <w:rPr>
          <w:rFonts w:asciiTheme="minorHAnsi" w:hAnsiTheme="minorHAnsi"/>
          <w:szCs w:val="20"/>
        </w:rPr>
        <w:t xml:space="preserve">comparative </w:t>
      </w:r>
      <w:r w:rsidRPr="003C087A">
        <w:t xml:space="preserve">safety </w:t>
      </w:r>
      <w:r w:rsidR="008518FE" w:rsidRPr="003C087A">
        <w:t xml:space="preserve">was </w:t>
      </w:r>
      <w:r w:rsidRPr="003C087A">
        <w:t>reasonable.</w:t>
      </w:r>
    </w:p>
    <w:p w:rsidR="008119AC" w:rsidRPr="00170DDB" w:rsidRDefault="008119AC" w:rsidP="00D70B99">
      <w:pPr>
        <w:spacing w:after="120"/>
        <w:outlineLvl w:val="1"/>
        <w:rPr>
          <w:b/>
          <w:i/>
          <w:sz w:val="28"/>
        </w:rPr>
      </w:pPr>
      <w:r w:rsidRPr="00170DDB">
        <w:rPr>
          <w:b/>
          <w:i/>
          <w:sz w:val="28"/>
        </w:rPr>
        <w:t xml:space="preserve">Economic analysis </w:t>
      </w:r>
    </w:p>
    <w:p w:rsidR="008119AC" w:rsidRPr="00A05A0B" w:rsidRDefault="008119AC" w:rsidP="00D70B99">
      <w:pPr>
        <w:widowControl/>
        <w:numPr>
          <w:ilvl w:val="1"/>
          <w:numId w:val="1"/>
        </w:numPr>
        <w:spacing w:after="120"/>
        <w:ind w:left="709"/>
      </w:pPr>
      <w:r w:rsidRPr="00A05A0B">
        <w:rPr>
          <w:rFonts w:cs="Calibri"/>
          <w:snapToGrid/>
          <w:szCs w:val="24"/>
          <w:lang w:val="en-US" w:eastAsia="en-AU"/>
        </w:rPr>
        <w:t>The submission presented a cost-minimisation analysis of benralizumab versus mepolizumab</w:t>
      </w:r>
      <w:r w:rsidR="00CA7F91" w:rsidRPr="00A05A0B">
        <w:rPr>
          <w:rFonts w:cs="Calibri"/>
          <w:snapToGrid/>
          <w:szCs w:val="24"/>
          <w:lang w:val="en-US" w:eastAsia="en-AU"/>
        </w:rPr>
        <w:t>, with cost-offsets for a reduction in health care resources</w:t>
      </w:r>
      <w:r w:rsidRPr="00A05A0B">
        <w:rPr>
          <w:rFonts w:cs="Calibri"/>
          <w:snapToGrid/>
          <w:szCs w:val="24"/>
          <w:lang w:val="en-US" w:eastAsia="en-AU"/>
        </w:rPr>
        <w:t xml:space="preserve">. </w:t>
      </w:r>
      <w:r w:rsidRPr="00A05A0B">
        <w:t xml:space="preserve">The equi-effective doses estimated by the submission were benralizumab 30 mg every eight weeks (6.5 doses per year) and mepolizumab 100 mg every four weeks (13 doses per year). </w:t>
      </w:r>
    </w:p>
    <w:p w:rsidR="008119AC" w:rsidRPr="00075A03" w:rsidRDefault="008119AC" w:rsidP="00D70B99">
      <w:pPr>
        <w:widowControl/>
        <w:numPr>
          <w:ilvl w:val="1"/>
          <w:numId w:val="1"/>
        </w:numPr>
        <w:spacing w:after="120"/>
        <w:ind w:left="709"/>
      </w:pPr>
      <w:r w:rsidRPr="00A05A0B">
        <w:t xml:space="preserve">These were based on the fixed doses used in the key trials of benralizumab (CALIMA and </w:t>
      </w:r>
      <w:r w:rsidRPr="00075A03">
        <w:t xml:space="preserve">SIROCCO) and mepolizumab (MENSA), based on the every eight week regimen of benralizumab. Only the maintenance phase was used. </w:t>
      </w:r>
    </w:p>
    <w:p w:rsidR="00681632" w:rsidRPr="00BA0B81" w:rsidRDefault="008119AC" w:rsidP="00D70B99">
      <w:pPr>
        <w:widowControl/>
        <w:numPr>
          <w:ilvl w:val="1"/>
          <w:numId w:val="1"/>
        </w:numPr>
        <w:spacing w:after="120"/>
      </w:pPr>
      <w:r w:rsidRPr="00075A03">
        <w:t xml:space="preserve">Exclusion of the loading dose (30 mg every four weeks for the first three doses) was inconsistent with the method used to estimate </w:t>
      </w:r>
      <w:r w:rsidR="00AF50D6" w:rsidRPr="00075A03">
        <w:t xml:space="preserve">the </w:t>
      </w:r>
      <w:r w:rsidRPr="00075A03">
        <w:t xml:space="preserve">equi-effective doses of other biologics that require fixed induction doses </w:t>
      </w:r>
      <w:r w:rsidR="001724DB" w:rsidRPr="00075A03">
        <w:t xml:space="preserve">such as </w:t>
      </w:r>
      <w:r w:rsidRPr="00075A03">
        <w:t>ustekinumab in Crohn</w:t>
      </w:r>
      <w:r w:rsidR="0082759D" w:rsidRPr="00075A03">
        <w:t>’s</w:t>
      </w:r>
      <w:r w:rsidRPr="00075A03">
        <w:t xml:space="preserve"> disease </w:t>
      </w:r>
      <w:r w:rsidR="001724DB" w:rsidRPr="00075A03">
        <w:t xml:space="preserve">(Paragraphs 6.31 and 7.9, Ustekinumab Public Summary Document, March 2017) </w:t>
      </w:r>
      <w:r w:rsidRPr="00075A03">
        <w:t>and ixekizumab for chronic plaque psoriasis</w:t>
      </w:r>
      <w:r w:rsidR="001724DB" w:rsidRPr="00075A03">
        <w:t xml:space="preserve"> (Paragraph 7.4, Ixekizumab Public Summary Document, July 2016)</w:t>
      </w:r>
      <w:r w:rsidRPr="00075A03">
        <w:t xml:space="preserve">. </w:t>
      </w:r>
      <w:r w:rsidR="00681632" w:rsidRPr="00075A03">
        <w:t>The evaluation considered that i</w:t>
      </w:r>
      <w:r w:rsidRPr="00075A03">
        <w:t xml:space="preserve">nclusion of the loading dose over a one year time frame </w:t>
      </w:r>
      <w:r w:rsidR="00AF50D6" w:rsidRPr="00075A03">
        <w:t xml:space="preserve">may </w:t>
      </w:r>
      <w:r w:rsidRPr="00075A03">
        <w:t>have been appropriate as the duration of the key trials were around one year (</w:t>
      </w:r>
      <w:r w:rsidR="0082759D" w:rsidRPr="00075A03">
        <w:t xml:space="preserve">CALIMA and SIROCCO were </w:t>
      </w:r>
      <w:r w:rsidRPr="00075A03">
        <w:t xml:space="preserve">56 and 48 weeks, respectively). </w:t>
      </w:r>
      <w:r w:rsidRPr="00BA0B81">
        <w:t xml:space="preserve">Further, this would also align with the estimation of equi-effective doses for biologics in other conditions, which have used time </w:t>
      </w:r>
      <w:r w:rsidR="00CA7F91" w:rsidRPr="00BA0B81">
        <w:t>period</w:t>
      </w:r>
      <w:r w:rsidRPr="00BA0B81">
        <w:t xml:space="preserve">s between </w:t>
      </w:r>
      <w:r w:rsidR="00D7401F" w:rsidRPr="00BA0B81">
        <w:t>one and two years</w:t>
      </w:r>
      <w:r w:rsidRPr="00BA0B81">
        <w:t>.</w:t>
      </w:r>
    </w:p>
    <w:p w:rsidR="008119AC" w:rsidRPr="00BA0B81" w:rsidRDefault="00681632" w:rsidP="00D70B99">
      <w:pPr>
        <w:widowControl/>
        <w:numPr>
          <w:ilvl w:val="1"/>
          <w:numId w:val="1"/>
        </w:numPr>
        <w:spacing w:after="120"/>
      </w:pPr>
      <w:r w:rsidRPr="00BA0B81">
        <w:rPr>
          <w:szCs w:val="24"/>
        </w:rPr>
        <w:t xml:space="preserve">The ESC </w:t>
      </w:r>
      <w:r w:rsidR="00BA0B81" w:rsidRPr="00BA0B81">
        <w:rPr>
          <w:szCs w:val="24"/>
        </w:rPr>
        <w:t xml:space="preserve">and the PBAC </w:t>
      </w:r>
      <w:r w:rsidRPr="00BA0B81">
        <w:rPr>
          <w:szCs w:val="24"/>
        </w:rPr>
        <w:t xml:space="preserve">considered that the estimation of equi-effective doses should have included the fixed loading doses of benralizumab. </w:t>
      </w:r>
    </w:p>
    <w:p w:rsidR="008119AC" w:rsidRPr="00A05A0B" w:rsidRDefault="008119AC" w:rsidP="00D70B99">
      <w:pPr>
        <w:widowControl/>
        <w:numPr>
          <w:ilvl w:val="1"/>
          <w:numId w:val="1"/>
        </w:numPr>
        <w:spacing w:after="120"/>
        <w:ind w:left="709"/>
      </w:pPr>
      <w:r w:rsidRPr="00BA0B81">
        <w:t>The submission considered that benralizumab would result in lower administration costs than mepolizumab due</w:t>
      </w:r>
      <w:r w:rsidRPr="00A05A0B">
        <w:t xml:space="preserve"> to less frequent dosing</w:t>
      </w:r>
      <w:r w:rsidR="0082759D" w:rsidRPr="00A05A0B">
        <w:t xml:space="preserve"> (eight</w:t>
      </w:r>
      <w:r w:rsidR="00015BDA" w:rsidRPr="00A05A0B">
        <w:noBreakHyphen/>
      </w:r>
      <w:r w:rsidR="0082759D" w:rsidRPr="00A05A0B">
        <w:t>weekly versus four</w:t>
      </w:r>
      <w:r w:rsidR="00BC495B" w:rsidRPr="00A05A0B">
        <w:noBreakHyphen/>
      </w:r>
      <w:r w:rsidR="0082759D" w:rsidRPr="00A05A0B">
        <w:t>weekly dosing)</w:t>
      </w:r>
      <w:r w:rsidRPr="00A05A0B">
        <w:t xml:space="preserve">. As shown in Table </w:t>
      </w:r>
      <w:r w:rsidR="0086508A" w:rsidRPr="00A05A0B">
        <w:t>10</w:t>
      </w:r>
      <w:r w:rsidRPr="00A05A0B">
        <w:t xml:space="preserve">, the submission assumed each administration (of either benralizumab or mepolizumab) would </w:t>
      </w:r>
      <w:r w:rsidR="00870B9F" w:rsidRPr="00A05A0B">
        <w:t xml:space="preserve">require a specific consult with a </w:t>
      </w:r>
      <w:r w:rsidRPr="00A05A0B">
        <w:t xml:space="preserve">specialist, General Practitioner </w:t>
      </w:r>
      <w:r w:rsidR="00870B9F" w:rsidRPr="00A05A0B">
        <w:t>or</w:t>
      </w:r>
      <w:r w:rsidRPr="00A05A0B">
        <w:t xml:space="preserve"> nurse. Th</w:t>
      </w:r>
      <w:r w:rsidR="0086508A" w:rsidRPr="00A05A0B">
        <w:t xml:space="preserve">e resource items, costs and proportions </w:t>
      </w:r>
      <w:r w:rsidRPr="00A05A0B">
        <w:t>w</w:t>
      </w:r>
      <w:r w:rsidR="0086508A" w:rsidRPr="00A05A0B">
        <w:t>ere</w:t>
      </w:r>
      <w:r w:rsidRPr="00A05A0B">
        <w:t xml:space="preserve"> based on th</w:t>
      </w:r>
      <w:r w:rsidR="004B0AEF" w:rsidRPr="00A05A0B">
        <w:t>os</w:t>
      </w:r>
      <w:r w:rsidRPr="00A05A0B">
        <w:t xml:space="preserve">e </w:t>
      </w:r>
      <w:r w:rsidR="004B0AEF" w:rsidRPr="00A05A0B">
        <w:t xml:space="preserve">presented in the </w:t>
      </w:r>
      <w:r w:rsidRPr="00A05A0B">
        <w:t>Public Summary Document for the cost-minimisation of mepolizumab to omalizumab</w:t>
      </w:r>
      <w:r w:rsidR="003A51CB" w:rsidRPr="00A05A0B">
        <w:t xml:space="preserve"> (excluding those for anaphylaxis)</w:t>
      </w:r>
      <w:r w:rsidR="00BC495B" w:rsidRPr="00A05A0B">
        <w:t xml:space="preserve">, which the PBAC considered were reasonable for that particular </w:t>
      </w:r>
      <w:r w:rsidR="00BC495B" w:rsidRPr="00075A03">
        <w:t>comparison (Paragraphs 6.22, 6.23 and 7.3, Mepolizumab Public Summary Document, July 2016)</w:t>
      </w:r>
      <w:r w:rsidRPr="00075A03">
        <w:t xml:space="preserve">. </w:t>
      </w:r>
      <w:r w:rsidR="00681632" w:rsidRPr="00075A03">
        <w:t xml:space="preserve">The PSCR noted that </w:t>
      </w:r>
      <w:r w:rsidR="00B66D9C" w:rsidRPr="00075A03">
        <w:t xml:space="preserve">the basis for the proportions </w:t>
      </w:r>
      <w:r w:rsidR="00681632" w:rsidRPr="00075A03">
        <w:t>had been redacted from the Public Summary Document</w:t>
      </w:r>
      <w:r w:rsidR="00B66D9C" w:rsidRPr="00075A03">
        <w:t>.</w:t>
      </w:r>
      <w:r w:rsidRPr="00A05A0B">
        <w:t xml:space="preserve"> </w:t>
      </w:r>
    </w:p>
    <w:p w:rsidR="008119AC" w:rsidRPr="008119AC" w:rsidRDefault="008119AC" w:rsidP="0082759D">
      <w:pPr>
        <w:keepNext/>
        <w:keepLines/>
      </w:pPr>
      <w:r w:rsidRPr="008119AC">
        <w:rPr>
          <w:rFonts w:ascii="Arial Narrow" w:hAnsi="Arial Narrow"/>
          <w:b/>
          <w:sz w:val="20"/>
          <w:szCs w:val="16"/>
        </w:rPr>
        <w:t xml:space="preserve">Table </w:t>
      </w:r>
      <w:r w:rsidR="0086508A">
        <w:rPr>
          <w:rFonts w:ascii="Arial Narrow" w:hAnsi="Arial Narrow"/>
          <w:b/>
          <w:sz w:val="20"/>
          <w:szCs w:val="16"/>
        </w:rPr>
        <w:t>10</w:t>
      </w:r>
      <w:r w:rsidRPr="008119AC">
        <w:rPr>
          <w:rFonts w:ascii="Arial Narrow" w:hAnsi="Arial Narrow"/>
          <w:b/>
          <w:sz w:val="20"/>
          <w:szCs w:val="16"/>
        </w:rPr>
        <w:t xml:space="preserve">: Health care resource items used per administration of benralizumab or mepolizumab </w:t>
      </w:r>
      <w:r w:rsidR="0004150D">
        <w:rPr>
          <w:rFonts w:ascii="Arial Narrow" w:hAnsi="Arial Narrow"/>
          <w:b/>
          <w:sz w:val="20"/>
          <w:szCs w:val="16"/>
        </w:rPr>
        <w:t xml:space="preserve">– per submission </w:t>
      </w:r>
    </w:p>
    <w:tbl>
      <w:tblPr>
        <w:tblStyle w:val="TableGrid"/>
        <w:tblW w:w="4942" w:type="pct"/>
        <w:tblInd w:w="108" w:type="dxa"/>
        <w:tblLook w:val="04A0" w:firstRow="1" w:lastRow="0" w:firstColumn="1" w:lastColumn="0" w:noHBand="0" w:noVBand="1"/>
      </w:tblPr>
      <w:tblGrid>
        <w:gridCol w:w="2353"/>
        <w:gridCol w:w="2173"/>
        <w:gridCol w:w="2173"/>
        <w:gridCol w:w="2319"/>
      </w:tblGrid>
      <w:tr w:rsidR="008119AC" w:rsidRPr="008119AC" w:rsidTr="002A2711">
        <w:tc>
          <w:tcPr>
            <w:tcW w:w="1304" w:type="pct"/>
          </w:tcPr>
          <w:p w:rsidR="008119AC" w:rsidRPr="008119AC" w:rsidRDefault="008119AC" w:rsidP="0082759D">
            <w:pPr>
              <w:keepNext/>
              <w:keepLines/>
              <w:widowControl/>
              <w:spacing w:before="20" w:after="20" w:line="276" w:lineRule="auto"/>
              <w:jc w:val="left"/>
              <w:rPr>
                <w:rFonts w:ascii="Arial Narrow" w:eastAsiaTheme="majorEastAsia" w:hAnsi="Arial Narrow"/>
                <w:b/>
                <w:snapToGrid/>
                <w:sz w:val="20"/>
                <w:szCs w:val="20"/>
                <w:lang w:bidi="en-US"/>
              </w:rPr>
            </w:pPr>
            <w:r w:rsidRPr="008119AC">
              <w:rPr>
                <w:rFonts w:ascii="Arial Narrow" w:eastAsiaTheme="majorEastAsia" w:hAnsi="Arial Narrow"/>
                <w:b/>
                <w:snapToGrid/>
                <w:sz w:val="20"/>
                <w:szCs w:val="20"/>
                <w:lang w:bidi="en-US"/>
              </w:rPr>
              <w:t>Type of resource item</w:t>
            </w:r>
          </w:p>
        </w:tc>
        <w:tc>
          <w:tcPr>
            <w:tcW w:w="1204" w:type="pct"/>
          </w:tcPr>
          <w:p w:rsidR="008119AC" w:rsidRPr="008119AC" w:rsidRDefault="008119AC" w:rsidP="00E23C3A">
            <w:pPr>
              <w:keepNext/>
              <w:keepLines/>
              <w:widowControl/>
              <w:spacing w:before="20" w:after="20" w:line="276" w:lineRule="auto"/>
              <w:jc w:val="center"/>
              <w:rPr>
                <w:rFonts w:ascii="Arial Narrow" w:eastAsiaTheme="majorEastAsia" w:hAnsi="Arial Narrow"/>
                <w:b/>
                <w:snapToGrid/>
                <w:sz w:val="20"/>
                <w:szCs w:val="20"/>
                <w:lang w:bidi="en-US"/>
              </w:rPr>
            </w:pPr>
            <w:r w:rsidRPr="008119AC">
              <w:rPr>
                <w:rFonts w:ascii="Arial Narrow" w:eastAsiaTheme="majorEastAsia" w:hAnsi="Arial Narrow"/>
                <w:b/>
                <w:snapToGrid/>
                <w:sz w:val="20"/>
                <w:szCs w:val="20"/>
                <w:lang w:bidi="en-US"/>
              </w:rPr>
              <w:t>Unit cost</w:t>
            </w:r>
          </w:p>
        </w:tc>
        <w:tc>
          <w:tcPr>
            <w:tcW w:w="1205" w:type="pct"/>
          </w:tcPr>
          <w:p w:rsidR="008119AC" w:rsidRPr="008119AC" w:rsidRDefault="008119AC" w:rsidP="00E23C3A">
            <w:pPr>
              <w:keepNext/>
              <w:keepLines/>
              <w:widowControl/>
              <w:spacing w:before="20" w:after="20" w:line="276" w:lineRule="auto"/>
              <w:jc w:val="center"/>
              <w:rPr>
                <w:rFonts w:ascii="Arial Narrow" w:eastAsiaTheme="majorEastAsia" w:hAnsi="Arial Narrow"/>
                <w:b/>
                <w:snapToGrid/>
                <w:sz w:val="20"/>
                <w:szCs w:val="20"/>
                <w:vertAlign w:val="superscript"/>
                <w:lang w:bidi="en-US"/>
              </w:rPr>
            </w:pPr>
            <w:r w:rsidRPr="008119AC">
              <w:rPr>
                <w:rFonts w:ascii="Arial Narrow" w:eastAsiaTheme="majorEastAsia" w:hAnsi="Arial Narrow"/>
                <w:b/>
                <w:snapToGrid/>
                <w:sz w:val="20"/>
                <w:szCs w:val="20"/>
                <w:lang w:bidi="en-US"/>
              </w:rPr>
              <w:t xml:space="preserve">Proportion </w:t>
            </w:r>
            <w:r w:rsidRPr="008119AC">
              <w:rPr>
                <w:rFonts w:ascii="Arial Narrow" w:eastAsiaTheme="majorEastAsia" w:hAnsi="Arial Narrow"/>
                <w:b/>
                <w:snapToGrid/>
                <w:sz w:val="20"/>
                <w:szCs w:val="20"/>
                <w:vertAlign w:val="superscript"/>
                <w:lang w:bidi="en-US"/>
              </w:rPr>
              <w:t>a</w:t>
            </w:r>
          </w:p>
        </w:tc>
        <w:tc>
          <w:tcPr>
            <w:tcW w:w="1286" w:type="pct"/>
          </w:tcPr>
          <w:p w:rsidR="008119AC" w:rsidRPr="008119AC" w:rsidRDefault="008119AC" w:rsidP="00E23C3A">
            <w:pPr>
              <w:keepNext/>
              <w:keepLines/>
              <w:widowControl/>
              <w:spacing w:before="20" w:after="20" w:line="276" w:lineRule="auto"/>
              <w:jc w:val="center"/>
              <w:rPr>
                <w:rFonts w:ascii="Arial Narrow" w:eastAsiaTheme="majorEastAsia" w:hAnsi="Arial Narrow"/>
                <w:b/>
                <w:snapToGrid/>
                <w:sz w:val="20"/>
                <w:szCs w:val="20"/>
                <w:lang w:bidi="en-US"/>
              </w:rPr>
            </w:pPr>
            <w:r w:rsidRPr="008119AC">
              <w:rPr>
                <w:rFonts w:ascii="Arial Narrow" w:eastAsiaTheme="majorEastAsia" w:hAnsi="Arial Narrow"/>
                <w:b/>
                <w:snapToGrid/>
                <w:sz w:val="20"/>
                <w:szCs w:val="20"/>
                <w:lang w:bidi="en-US"/>
              </w:rPr>
              <w:t>Source of unit cost</w:t>
            </w:r>
          </w:p>
        </w:tc>
      </w:tr>
      <w:tr w:rsidR="008119AC" w:rsidRPr="008119AC" w:rsidTr="002A2711">
        <w:tc>
          <w:tcPr>
            <w:tcW w:w="13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Specialist visit</w:t>
            </w:r>
          </w:p>
        </w:tc>
        <w:tc>
          <w:tcPr>
            <w:tcW w:w="12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vertAlign w:val="superscript"/>
                <w:lang w:bidi="en-US"/>
              </w:rPr>
            </w:pPr>
            <w:r w:rsidRPr="008119AC">
              <w:rPr>
                <w:rFonts w:ascii="Arial Narrow" w:eastAsiaTheme="majorEastAsia" w:hAnsi="Arial Narrow"/>
                <w:snapToGrid/>
                <w:sz w:val="20"/>
                <w:szCs w:val="20"/>
                <w:lang w:bidi="en-US"/>
              </w:rPr>
              <w:t xml:space="preserve">$75.50 </w:t>
            </w:r>
          </w:p>
        </w:tc>
        <w:tc>
          <w:tcPr>
            <w:tcW w:w="1205" w:type="pct"/>
          </w:tcPr>
          <w:p w:rsidR="008119AC" w:rsidRPr="008119AC" w:rsidRDefault="00127CDA" w:rsidP="0082759D">
            <w:pPr>
              <w:keepNext/>
              <w:keepLines/>
              <w:widowControl/>
              <w:spacing w:before="20" w:after="20" w:line="276" w:lineRule="auto"/>
              <w:jc w:val="left"/>
              <w:rPr>
                <w:rFonts w:ascii="Arial Narrow" w:eastAsiaTheme="majorEastAsia" w:hAnsi="Arial Narrow"/>
                <w:snapToGrid/>
                <w:sz w:val="20"/>
                <w:szCs w:val="20"/>
                <w:lang w:bidi="en-US"/>
              </w:rPr>
            </w:pPr>
            <w:r>
              <w:rPr>
                <w:rFonts w:ascii="Arial Narrow" w:eastAsiaTheme="majorEastAsia" w:hAnsi="Arial Narrow"/>
                <w:noProof/>
                <w:snapToGrid/>
                <w:color w:val="000000"/>
                <w:sz w:val="20"/>
                <w:szCs w:val="20"/>
                <w:highlight w:val="black"/>
                <w:lang w:bidi="en-US"/>
              </w:rPr>
              <w:t>'''''</w:t>
            </w:r>
            <w:r w:rsidR="008119AC" w:rsidRPr="008119AC">
              <w:rPr>
                <w:rFonts w:ascii="Arial Narrow" w:eastAsiaTheme="majorEastAsia" w:hAnsi="Arial Narrow"/>
                <w:snapToGrid/>
                <w:sz w:val="20"/>
                <w:szCs w:val="20"/>
                <w:lang w:bidi="en-US"/>
              </w:rPr>
              <w:t>%</w:t>
            </w:r>
          </w:p>
        </w:tc>
        <w:tc>
          <w:tcPr>
            <w:tcW w:w="1286"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MBS 116</w:t>
            </w:r>
          </w:p>
        </w:tc>
      </w:tr>
      <w:tr w:rsidR="008119AC" w:rsidRPr="008119AC" w:rsidTr="002A2711">
        <w:tc>
          <w:tcPr>
            <w:tcW w:w="13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General Practitioner</w:t>
            </w:r>
          </w:p>
        </w:tc>
        <w:tc>
          <w:tcPr>
            <w:tcW w:w="12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vertAlign w:val="superscript"/>
                <w:lang w:bidi="en-US"/>
              </w:rPr>
            </w:pPr>
            <w:r w:rsidRPr="008119AC">
              <w:rPr>
                <w:rFonts w:ascii="Arial Narrow" w:eastAsiaTheme="majorEastAsia" w:hAnsi="Arial Narrow"/>
                <w:snapToGrid/>
                <w:sz w:val="20"/>
                <w:szCs w:val="20"/>
                <w:lang w:bidi="en-US"/>
              </w:rPr>
              <w:t xml:space="preserve">$37.05 </w:t>
            </w:r>
          </w:p>
        </w:tc>
        <w:tc>
          <w:tcPr>
            <w:tcW w:w="1205" w:type="pct"/>
          </w:tcPr>
          <w:p w:rsidR="008119AC" w:rsidRPr="008119AC" w:rsidRDefault="00127CDA" w:rsidP="0082759D">
            <w:pPr>
              <w:keepNext/>
              <w:keepLines/>
              <w:widowControl/>
              <w:spacing w:before="20" w:after="20" w:line="276" w:lineRule="auto"/>
              <w:jc w:val="left"/>
              <w:rPr>
                <w:rFonts w:ascii="Arial Narrow" w:eastAsiaTheme="majorEastAsia" w:hAnsi="Arial Narrow"/>
                <w:snapToGrid/>
                <w:sz w:val="20"/>
                <w:szCs w:val="20"/>
                <w:lang w:bidi="en-US"/>
              </w:rPr>
            </w:pPr>
            <w:r>
              <w:rPr>
                <w:rFonts w:ascii="Arial Narrow" w:eastAsiaTheme="majorEastAsia" w:hAnsi="Arial Narrow"/>
                <w:noProof/>
                <w:snapToGrid/>
                <w:color w:val="000000"/>
                <w:sz w:val="20"/>
                <w:szCs w:val="20"/>
                <w:highlight w:val="black"/>
                <w:lang w:bidi="en-US"/>
              </w:rPr>
              <w:t>''''''</w:t>
            </w:r>
            <w:r w:rsidR="008119AC" w:rsidRPr="008119AC">
              <w:rPr>
                <w:rFonts w:ascii="Arial Narrow" w:eastAsiaTheme="majorEastAsia" w:hAnsi="Arial Narrow"/>
                <w:snapToGrid/>
                <w:sz w:val="20"/>
                <w:szCs w:val="20"/>
                <w:lang w:bidi="en-US"/>
              </w:rPr>
              <w:t>%</w:t>
            </w:r>
          </w:p>
        </w:tc>
        <w:tc>
          <w:tcPr>
            <w:tcW w:w="1286"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MBS 23 (Level B)</w:t>
            </w:r>
          </w:p>
        </w:tc>
      </w:tr>
      <w:tr w:rsidR="008119AC" w:rsidRPr="008119AC" w:rsidTr="002A2711">
        <w:tc>
          <w:tcPr>
            <w:tcW w:w="13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Nurse practitioner</w:t>
            </w:r>
          </w:p>
        </w:tc>
        <w:tc>
          <w:tcPr>
            <w:tcW w:w="12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vertAlign w:val="superscript"/>
                <w:lang w:bidi="en-US"/>
              </w:rPr>
            </w:pPr>
            <w:r w:rsidRPr="008119AC">
              <w:rPr>
                <w:rFonts w:ascii="Arial Narrow" w:eastAsiaTheme="majorEastAsia" w:hAnsi="Arial Narrow"/>
                <w:snapToGrid/>
                <w:sz w:val="20"/>
                <w:szCs w:val="20"/>
                <w:lang w:bidi="en-US"/>
              </w:rPr>
              <w:t xml:space="preserve">$8.20 </w:t>
            </w:r>
            <w:r w:rsidRPr="008119AC">
              <w:rPr>
                <w:rFonts w:ascii="Arial Narrow" w:eastAsiaTheme="majorEastAsia" w:hAnsi="Arial Narrow"/>
                <w:snapToGrid/>
                <w:sz w:val="20"/>
                <w:szCs w:val="20"/>
                <w:vertAlign w:val="superscript"/>
                <w:lang w:bidi="en-US"/>
              </w:rPr>
              <w:t>b</w:t>
            </w:r>
          </w:p>
        </w:tc>
        <w:tc>
          <w:tcPr>
            <w:tcW w:w="1205" w:type="pct"/>
          </w:tcPr>
          <w:p w:rsidR="008119AC" w:rsidRPr="008119AC" w:rsidRDefault="00127CDA" w:rsidP="0082759D">
            <w:pPr>
              <w:keepNext/>
              <w:keepLines/>
              <w:widowControl/>
              <w:spacing w:before="20" w:after="20" w:line="276" w:lineRule="auto"/>
              <w:jc w:val="left"/>
              <w:rPr>
                <w:rFonts w:ascii="Arial Narrow" w:eastAsiaTheme="majorEastAsia" w:hAnsi="Arial Narrow"/>
                <w:snapToGrid/>
                <w:sz w:val="20"/>
                <w:szCs w:val="20"/>
                <w:lang w:bidi="en-US"/>
              </w:rPr>
            </w:pPr>
            <w:r>
              <w:rPr>
                <w:rFonts w:ascii="Arial Narrow" w:eastAsiaTheme="majorEastAsia" w:hAnsi="Arial Narrow"/>
                <w:noProof/>
                <w:snapToGrid/>
                <w:color w:val="000000"/>
                <w:sz w:val="20"/>
                <w:szCs w:val="20"/>
                <w:highlight w:val="black"/>
                <w:lang w:bidi="en-US"/>
              </w:rPr>
              <w:t>''''''</w:t>
            </w:r>
            <w:r w:rsidR="008119AC" w:rsidRPr="008119AC">
              <w:rPr>
                <w:rFonts w:ascii="Arial Narrow" w:eastAsiaTheme="majorEastAsia" w:hAnsi="Arial Narrow"/>
                <w:snapToGrid/>
                <w:sz w:val="20"/>
                <w:szCs w:val="20"/>
                <w:lang w:bidi="en-US"/>
              </w:rPr>
              <w:t>%</w:t>
            </w:r>
          </w:p>
        </w:tc>
        <w:tc>
          <w:tcPr>
            <w:tcW w:w="1286"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MBS 82200</w:t>
            </w:r>
          </w:p>
        </w:tc>
      </w:tr>
      <w:tr w:rsidR="008119AC" w:rsidRPr="008119AC" w:rsidTr="002A2711">
        <w:tc>
          <w:tcPr>
            <w:tcW w:w="13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Total</w:t>
            </w:r>
          </w:p>
        </w:tc>
        <w:tc>
          <w:tcPr>
            <w:tcW w:w="1204"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$23.01</w:t>
            </w:r>
          </w:p>
        </w:tc>
        <w:tc>
          <w:tcPr>
            <w:tcW w:w="1205"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w:t>
            </w:r>
          </w:p>
        </w:tc>
        <w:tc>
          <w:tcPr>
            <w:tcW w:w="1286" w:type="pct"/>
          </w:tcPr>
          <w:p w:rsidR="008119AC" w:rsidRPr="008119AC" w:rsidRDefault="008119AC" w:rsidP="0082759D">
            <w:pPr>
              <w:keepNext/>
              <w:keepLines/>
              <w:widowControl/>
              <w:spacing w:before="20" w:after="20" w:line="276" w:lineRule="auto"/>
              <w:jc w:val="left"/>
              <w:rPr>
                <w:rFonts w:ascii="Arial Narrow" w:eastAsiaTheme="majorEastAsia" w:hAnsi="Arial Narrow"/>
                <w:snapToGrid/>
                <w:sz w:val="20"/>
                <w:szCs w:val="20"/>
                <w:lang w:bidi="en-US"/>
              </w:rPr>
            </w:pPr>
            <w:r w:rsidRPr="008119AC">
              <w:rPr>
                <w:rFonts w:ascii="Arial Narrow" w:eastAsiaTheme="majorEastAsia" w:hAnsi="Arial Narrow"/>
                <w:snapToGrid/>
                <w:sz w:val="20"/>
                <w:szCs w:val="20"/>
                <w:lang w:bidi="en-US"/>
              </w:rPr>
              <w:t>-</w:t>
            </w:r>
          </w:p>
        </w:tc>
      </w:tr>
    </w:tbl>
    <w:p w:rsidR="008119AC" w:rsidRPr="008119AC" w:rsidRDefault="008119AC" w:rsidP="0082759D">
      <w:pPr>
        <w:keepNext/>
        <w:keepLines/>
        <w:rPr>
          <w:rFonts w:ascii="Arial Narrow" w:hAnsi="Arial Narrow"/>
          <w:sz w:val="18"/>
        </w:rPr>
      </w:pPr>
      <w:r w:rsidRPr="008119AC">
        <w:rPr>
          <w:rFonts w:ascii="Arial Narrow" w:hAnsi="Arial Narrow"/>
          <w:sz w:val="18"/>
        </w:rPr>
        <w:t xml:space="preserve">Source: text p113 of the submission; Table 4.14, p127 of the submission  </w:t>
      </w:r>
    </w:p>
    <w:p w:rsidR="008119AC" w:rsidRPr="008119AC" w:rsidRDefault="008119AC" w:rsidP="0082759D">
      <w:pPr>
        <w:keepNext/>
        <w:keepLines/>
        <w:rPr>
          <w:rFonts w:ascii="Arial Narrow" w:hAnsi="Arial Narrow"/>
          <w:sz w:val="18"/>
        </w:rPr>
      </w:pPr>
      <w:r w:rsidRPr="008119AC">
        <w:rPr>
          <w:rFonts w:ascii="Arial Narrow" w:hAnsi="Arial Narrow"/>
          <w:sz w:val="18"/>
        </w:rPr>
        <w:t>MBS = Medicare Benefits Schedule</w:t>
      </w:r>
    </w:p>
    <w:p w:rsidR="008119AC" w:rsidRPr="008119AC" w:rsidRDefault="008119AC" w:rsidP="0082759D">
      <w:pPr>
        <w:keepNext/>
        <w:keepLines/>
        <w:rPr>
          <w:rFonts w:ascii="Arial Narrow" w:hAnsi="Arial Narrow"/>
          <w:sz w:val="18"/>
        </w:rPr>
      </w:pPr>
      <w:r w:rsidRPr="008119AC">
        <w:rPr>
          <w:rFonts w:ascii="Arial Narrow" w:hAnsi="Arial Narrow"/>
          <w:sz w:val="18"/>
          <w:vertAlign w:val="superscript"/>
        </w:rPr>
        <w:t>a</w:t>
      </w:r>
      <w:r w:rsidRPr="008119AC">
        <w:rPr>
          <w:rFonts w:ascii="Arial Narrow" w:hAnsi="Arial Narrow"/>
          <w:sz w:val="18"/>
        </w:rPr>
        <w:t xml:space="preserve"> The basis for these proportions was not available in the Public Summary Documents. </w:t>
      </w:r>
    </w:p>
    <w:p w:rsidR="008119AC" w:rsidRPr="00A05A0B" w:rsidRDefault="008119AC" w:rsidP="003C1C72">
      <w:pPr>
        <w:keepNext/>
        <w:keepLines/>
        <w:spacing w:after="120"/>
        <w:rPr>
          <w:rFonts w:ascii="Arial Narrow" w:hAnsi="Arial Narrow"/>
          <w:sz w:val="18"/>
          <w:highlight w:val="yellow"/>
        </w:rPr>
      </w:pPr>
      <w:r w:rsidRPr="00A05A0B">
        <w:rPr>
          <w:rFonts w:ascii="Arial Narrow" w:hAnsi="Arial Narrow"/>
          <w:sz w:val="18"/>
          <w:vertAlign w:val="superscript"/>
        </w:rPr>
        <w:t>b</w:t>
      </w:r>
      <w:r w:rsidRPr="00A05A0B">
        <w:rPr>
          <w:rFonts w:ascii="Arial Narrow" w:hAnsi="Arial Narrow"/>
          <w:sz w:val="18"/>
        </w:rPr>
        <w:t xml:space="preserve"> </w:t>
      </w:r>
      <w:r w:rsidR="00362659">
        <w:rPr>
          <w:rFonts w:ascii="Arial Narrow" w:hAnsi="Arial Narrow"/>
          <w:sz w:val="18"/>
        </w:rPr>
        <w:t>The submission based the n</w:t>
      </w:r>
      <w:r w:rsidRPr="00A05A0B">
        <w:rPr>
          <w:rFonts w:ascii="Arial Narrow" w:hAnsi="Arial Narrow"/>
          <w:sz w:val="18"/>
        </w:rPr>
        <w:t>urse administration costs on the 85% fee</w:t>
      </w:r>
      <w:r w:rsidR="00362659">
        <w:rPr>
          <w:rFonts w:ascii="Arial Narrow" w:hAnsi="Arial Narrow"/>
          <w:sz w:val="18"/>
        </w:rPr>
        <w:t>, rather than t</w:t>
      </w:r>
      <w:r w:rsidRPr="00A05A0B">
        <w:rPr>
          <w:rFonts w:ascii="Arial Narrow" w:hAnsi="Arial Narrow"/>
          <w:sz w:val="18"/>
        </w:rPr>
        <w:t>he full 100% fee</w:t>
      </w:r>
      <w:r w:rsidR="00362659">
        <w:rPr>
          <w:rFonts w:ascii="Arial Narrow" w:hAnsi="Arial Narrow"/>
          <w:sz w:val="18"/>
        </w:rPr>
        <w:t xml:space="preserve">. This was conservative. </w:t>
      </w:r>
      <w:r w:rsidRPr="00A05A0B">
        <w:rPr>
          <w:rFonts w:ascii="Arial Narrow" w:hAnsi="Arial Narrow"/>
          <w:sz w:val="18"/>
        </w:rPr>
        <w:t xml:space="preserve"> </w:t>
      </w:r>
    </w:p>
    <w:p w:rsidR="008119AC" w:rsidRPr="00075A03" w:rsidRDefault="008119AC" w:rsidP="004B1160">
      <w:pPr>
        <w:widowControl/>
        <w:numPr>
          <w:ilvl w:val="1"/>
          <w:numId w:val="1"/>
        </w:numPr>
        <w:spacing w:after="120"/>
        <w:ind w:left="709"/>
      </w:pPr>
      <w:r w:rsidRPr="00075A03">
        <w:t xml:space="preserve">The </w:t>
      </w:r>
      <w:r w:rsidR="00996614">
        <w:t xml:space="preserve">evaluation and the ESC considered that the </w:t>
      </w:r>
      <w:r w:rsidRPr="00075A03">
        <w:t>cost offsets for administration of benralizumab were overestimated because:</w:t>
      </w:r>
    </w:p>
    <w:p w:rsidR="008119AC" w:rsidRPr="00075A03" w:rsidRDefault="008119AC" w:rsidP="004B1160">
      <w:pPr>
        <w:numPr>
          <w:ilvl w:val="0"/>
          <w:numId w:val="3"/>
        </w:numPr>
        <w:spacing w:after="120"/>
        <w:ind w:left="1417" w:hanging="425"/>
        <w:rPr>
          <w:szCs w:val="24"/>
        </w:rPr>
      </w:pPr>
      <w:r w:rsidRPr="00075A03">
        <w:rPr>
          <w:szCs w:val="24"/>
        </w:rPr>
        <w:t xml:space="preserve">it was unreasonable to assume that </w:t>
      </w:r>
      <w:r w:rsidR="00127CDA">
        <w:rPr>
          <w:noProof/>
          <w:color w:val="000000"/>
          <w:szCs w:val="24"/>
          <w:highlight w:val="black"/>
        </w:rPr>
        <w:t>'''''</w:t>
      </w:r>
      <w:r w:rsidR="00784868" w:rsidRPr="00075A03">
        <w:rPr>
          <w:szCs w:val="24"/>
        </w:rPr>
        <w:t xml:space="preserve">% of </w:t>
      </w:r>
      <w:r w:rsidRPr="00075A03">
        <w:rPr>
          <w:szCs w:val="24"/>
        </w:rPr>
        <w:t>patients would visit a specialist solely for the purpose of administration of a subcutaneous injection;</w:t>
      </w:r>
    </w:p>
    <w:p w:rsidR="008119AC" w:rsidRPr="00075A03" w:rsidRDefault="008119AC" w:rsidP="004B1160">
      <w:pPr>
        <w:numPr>
          <w:ilvl w:val="0"/>
          <w:numId w:val="3"/>
        </w:numPr>
        <w:spacing w:after="120"/>
        <w:ind w:left="1417" w:hanging="425"/>
        <w:rPr>
          <w:szCs w:val="24"/>
        </w:rPr>
      </w:pPr>
      <w:r w:rsidRPr="00075A03">
        <w:rPr>
          <w:szCs w:val="24"/>
        </w:rPr>
        <w:t xml:space="preserve">some of the General Practitioner visits may not be </w:t>
      </w:r>
      <w:r w:rsidR="00015BDA" w:rsidRPr="00075A03">
        <w:rPr>
          <w:szCs w:val="24"/>
        </w:rPr>
        <w:t>just for the purposes of</w:t>
      </w:r>
      <w:r w:rsidRPr="00075A03">
        <w:rPr>
          <w:szCs w:val="24"/>
        </w:rPr>
        <w:t xml:space="preserve"> medication administration alone</w:t>
      </w:r>
      <w:r w:rsidR="00015BDA" w:rsidRPr="00075A03">
        <w:rPr>
          <w:szCs w:val="24"/>
        </w:rPr>
        <w:t>,</w:t>
      </w:r>
      <w:r w:rsidRPr="00075A03">
        <w:rPr>
          <w:szCs w:val="24"/>
        </w:rPr>
        <w:t xml:space="preserve"> particularly given the severity of the asthma and the need for </w:t>
      </w:r>
      <w:r w:rsidR="00015BDA" w:rsidRPr="00075A03">
        <w:rPr>
          <w:szCs w:val="24"/>
        </w:rPr>
        <w:t xml:space="preserve">continuous </w:t>
      </w:r>
      <w:r w:rsidRPr="00075A03">
        <w:rPr>
          <w:szCs w:val="24"/>
        </w:rPr>
        <w:t>monitoring in this patient group; and</w:t>
      </w:r>
    </w:p>
    <w:p w:rsidR="001D4A86" w:rsidRDefault="00B66D9C" w:rsidP="001D4A86">
      <w:pPr>
        <w:numPr>
          <w:ilvl w:val="0"/>
          <w:numId w:val="3"/>
        </w:numPr>
        <w:spacing w:after="120"/>
        <w:ind w:left="1417" w:hanging="425"/>
        <w:rPr>
          <w:szCs w:val="24"/>
        </w:rPr>
      </w:pPr>
      <w:r w:rsidRPr="008F20ED">
        <w:rPr>
          <w:szCs w:val="24"/>
        </w:rPr>
        <w:t xml:space="preserve">the ESC considered that </w:t>
      </w:r>
      <w:r w:rsidR="008119AC" w:rsidRPr="008F20ED">
        <w:rPr>
          <w:szCs w:val="24"/>
        </w:rPr>
        <w:t xml:space="preserve">it may not have been reasonable to base the cost-offsets for administration on those for the cost-minimisation of mepolizumab to omalizumab. </w:t>
      </w:r>
      <w:r w:rsidRPr="008F20ED">
        <w:rPr>
          <w:szCs w:val="24"/>
        </w:rPr>
        <w:t>The ESC noted that patients are observed following administration of omalizumab due to the risk of anaphylaxis, while m</w:t>
      </w:r>
      <w:r w:rsidR="008119AC" w:rsidRPr="008F20ED">
        <w:rPr>
          <w:szCs w:val="24"/>
        </w:rPr>
        <w:t xml:space="preserve">epolizumab and benralizumab </w:t>
      </w:r>
      <w:r w:rsidRPr="008F20ED">
        <w:rPr>
          <w:szCs w:val="24"/>
        </w:rPr>
        <w:t>are associated with</w:t>
      </w:r>
      <w:r w:rsidR="000363A6" w:rsidRPr="008F20ED">
        <w:rPr>
          <w:szCs w:val="24"/>
        </w:rPr>
        <w:t xml:space="preserve"> a</w:t>
      </w:r>
      <w:r w:rsidRPr="008F20ED">
        <w:rPr>
          <w:szCs w:val="24"/>
        </w:rPr>
        <w:t xml:space="preserve"> </w:t>
      </w:r>
      <w:r w:rsidR="008119AC" w:rsidRPr="008F20ED">
        <w:rPr>
          <w:szCs w:val="24"/>
        </w:rPr>
        <w:t>lower risk of anaphylaxis</w:t>
      </w:r>
      <w:r w:rsidR="00870B9F" w:rsidRPr="008F20ED">
        <w:rPr>
          <w:szCs w:val="24"/>
        </w:rPr>
        <w:t>. While</w:t>
      </w:r>
      <w:r w:rsidR="008119AC" w:rsidRPr="008F20ED">
        <w:rPr>
          <w:szCs w:val="24"/>
        </w:rPr>
        <w:t xml:space="preserve"> </w:t>
      </w:r>
      <w:r w:rsidR="00870B9F" w:rsidRPr="008F20ED">
        <w:rPr>
          <w:szCs w:val="24"/>
        </w:rPr>
        <w:t>‘supervision post dose for anaphylaxis’ was included in the proposed cost-minimisation of mepolizumab to omalizumab (Paragraph 6.22, Mepolizumab Public Summary Document, July 2016) this may not have fully captured the level of professional attendance and clinical experience required</w:t>
      </w:r>
      <w:r w:rsidR="008119AC" w:rsidRPr="008F20ED">
        <w:rPr>
          <w:szCs w:val="24"/>
        </w:rPr>
        <w:t xml:space="preserve">. </w:t>
      </w:r>
    </w:p>
    <w:p w:rsidR="008119AC" w:rsidRPr="001D4A86" w:rsidRDefault="008119AC" w:rsidP="001D4A86">
      <w:pPr>
        <w:widowControl/>
        <w:numPr>
          <w:ilvl w:val="1"/>
          <w:numId w:val="1"/>
        </w:numPr>
        <w:spacing w:after="120"/>
        <w:ind w:left="709"/>
        <w:rPr>
          <w:szCs w:val="24"/>
        </w:rPr>
      </w:pPr>
      <w:r w:rsidRPr="001D4A86">
        <w:rPr>
          <w:szCs w:val="24"/>
        </w:rPr>
        <w:t xml:space="preserve">The results of the cost-minimisation analysis presented in the submission are outlined in Table </w:t>
      </w:r>
      <w:r w:rsidR="004B68BB" w:rsidRPr="001D4A86">
        <w:rPr>
          <w:szCs w:val="24"/>
        </w:rPr>
        <w:t>1</w:t>
      </w:r>
      <w:r w:rsidR="0086508A" w:rsidRPr="001D4A86">
        <w:rPr>
          <w:szCs w:val="24"/>
        </w:rPr>
        <w:t>1</w:t>
      </w:r>
      <w:r w:rsidRPr="001D4A86">
        <w:rPr>
          <w:szCs w:val="24"/>
        </w:rPr>
        <w:t>.</w:t>
      </w:r>
    </w:p>
    <w:p w:rsidR="008119AC" w:rsidRPr="00A05A0B" w:rsidRDefault="008119AC" w:rsidP="00821A46">
      <w:pPr>
        <w:keepNext/>
        <w:keepLines/>
        <w:snapToGrid w:val="0"/>
        <w:rPr>
          <w:rFonts w:ascii="Arial Narrow" w:hAnsi="Arial Narrow"/>
          <w:b/>
          <w:sz w:val="20"/>
          <w:szCs w:val="16"/>
        </w:rPr>
      </w:pPr>
      <w:r w:rsidRPr="00A05A0B">
        <w:rPr>
          <w:rFonts w:ascii="Arial Narrow" w:hAnsi="Arial Narrow"/>
          <w:b/>
          <w:sz w:val="20"/>
          <w:szCs w:val="16"/>
        </w:rPr>
        <w:t xml:space="preserve">Table </w:t>
      </w:r>
      <w:r w:rsidR="004B68BB" w:rsidRPr="00A05A0B">
        <w:rPr>
          <w:rFonts w:ascii="Arial Narrow" w:hAnsi="Arial Narrow"/>
          <w:b/>
          <w:sz w:val="20"/>
          <w:szCs w:val="16"/>
        </w:rPr>
        <w:t>1</w:t>
      </w:r>
      <w:r w:rsidR="0086508A" w:rsidRPr="00A05A0B">
        <w:rPr>
          <w:rFonts w:ascii="Arial Narrow" w:hAnsi="Arial Narrow"/>
          <w:b/>
          <w:sz w:val="20"/>
          <w:szCs w:val="16"/>
        </w:rPr>
        <w:t>1</w:t>
      </w:r>
      <w:r w:rsidRPr="00A05A0B">
        <w:rPr>
          <w:rFonts w:ascii="Arial Narrow" w:hAnsi="Arial Narrow"/>
          <w:b/>
          <w:sz w:val="20"/>
          <w:szCs w:val="16"/>
        </w:rPr>
        <w:t xml:space="preserve">: Results of the cost-minimisation analysis presented in the submission (published prices)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25"/>
        <w:gridCol w:w="1796"/>
        <w:gridCol w:w="1443"/>
      </w:tblGrid>
      <w:tr w:rsidR="008119AC" w:rsidRPr="00A05A0B" w:rsidTr="002A595C">
        <w:trPr>
          <w:cantSplit/>
          <w:tblHeader/>
        </w:trPr>
        <w:tc>
          <w:tcPr>
            <w:tcW w:w="3193" w:type="pct"/>
            <w:tcBorders>
              <w:top w:val="single" w:sz="4" w:space="0" w:color="auto"/>
              <w:left w:val="single" w:sz="4" w:space="0" w:color="auto"/>
              <w:bottom w:val="single" w:sz="4" w:space="0" w:color="auto"/>
              <w:right w:val="single" w:sz="4" w:space="0" w:color="auto"/>
            </w:tcBorders>
            <w:hideMark/>
          </w:tcPr>
          <w:p w:rsidR="008119AC" w:rsidRPr="00A05A0B" w:rsidRDefault="008119AC" w:rsidP="00821A46">
            <w:pPr>
              <w:keepNext/>
              <w:keepLines/>
              <w:widowControl/>
              <w:spacing w:before="20" w:after="20" w:line="276" w:lineRule="auto"/>
              <w:jc w:val="left"/>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Component</w:t>
            </w:r>
          </w:p>
        </w:tc>
        <w:tc>
          <w:tcPr>
            <w:tcW w:w="1002" w:type="pct"/>
            <w:tcBorders>
              <w:top w:val="single" w:sz="4" w:space="0" w:color="auto"/>
              <w:left w:val="single" w:sz="4" w:space="0" w:color="auto"/>
              <w:bottom w:val="single" w:sz="4" w:space="0" w:color="auto"/>
              <w:right w:val="single" w:sz="4" w:space="0" w:color="auto"/>
            </w:tcBorders>
            <w:hideMark/>
          </w:tcPr>
          <w:p w:rsidR="008119AC" w:rsidRPr="00A05A0B" w:rsidRDefault="008119AC" w:rsidP="00821A46">
            <w:pPr>
              <w:keepNext/>
              <w:keepLines/>
              <w:widowControl/>
              <w:spacing w:before="20" w:after="20" w:line="276" w:lineRule="auto"/>
              <w:jc w:val="center"/>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Benralizumab</w:t>
            </w:r>
          </w:p>
        </w:tc>
        <w:tc>
          <w:tcPr>
            <w:tcW w:w="805" w:type="pct"/>
            <w:tcBorders>
              <w:top w:val="single" w:sz="4" w:space="0" w:color="auto"/>
              <w:left w:val="single" w:sz="4" w:space="0" w:color="auto"/>
              <w:bottom w:val="single" w:sz="4" w:space="0" w:color="auto"/>
              <w:right w:val="single" w:sz="4" w:space="0" w:color="auto"/>
            </w:tcBorders>
            <w:hideMark/>
          </w:tcPr>
          <w:p w:rsidR="008119AC" w:rsidRPr="00A05A0B" w:rsidRDefault="008119AC" w:rsidP="00821A46">
            <w:pPr>
              <w:keepNext/>
              <w:keepLines/>
              <w:widowControl/>
              <w:spacing w:before="20" w:after="20" w:line="276" w:lineRule="auto"/>
              <w:jc w:val="center"/>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Mepolizumab</w:t>
            </w:r>
          </w:p>
        </w:tc>
      </w:tr>
      <w:tr w:rsidR="008119AC" w:rsidRPr="00A05A0B" w:rsidTr="002A595C">
        <w:trPr>
          <w:trHeight w:val="183"/>
        </w:trPr>
        <w:tc>
          <w:tcPr>
            <w:tcW w:w="3193" w:type="pct"/>
            <w:tcBorders>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Number of doses per year (maintenance phase)</w:t>
            </w:r>
          </w:p>
        </w:tc>
        <w:tc>
          <w:tcPr>
            <w:tcW w:w="1002" w:type="pct"/>
            <w:tcBorders>
              <w:top w:val="single" w:sz="4" w:space="0" w:color="auto"/>
              <w:left w:val="single" w:sz="4" w:space="0" w:color="auto"/>
              <w:right w:val="single" w:sz="4" w:space="0" w:color="auto"/>
            </w:tcBorders>
            <w:shd w:val="clear" w:color="auto" w:fill="auto"/>
          </w:tcPr>
          <w:p w:rsidR="008119AC" w:rsidRPr="00127CDA" w:rsidRDefault="00127CDA" w:rsidP="00821A46">
            <w:pPr>
              <w:keepNext/>
              <w:keepLines/>
              <w:widowControl/>
              <w:spacing w:before="20" w:after="20" w:line="276" w:lineRule="auto"/>
              <w:jc w:val="left"/>
              <w:rPr>
                <w:rFonts w:ascii="Arial Narrow" w:eastAsiaTheme="majorEastAsia" w:hAnsi="Arial Narrow" w:cs="Times New Roman"/>
                <w:snapToGrid/>
                <w:sz w:val="20"/>
                <w:szCs w:val="20"/>
                <w:highlight w:val="black"/>
                <w:lang w:bidi="en-US"/>
              </w:rPr>
            </w:pPr>
            <w:r>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8119AC" w:rsidRPr="00127CDA" w:rsidRDefault="00127CDA" w:rsidP="00821A46">
            <w:pPr>
              <w:keepNext/>
              <w:keepLines/>
              <w:widowControl/>
              <w:spacing w:before="20" w:after="20" w:line="276" w:lineRule="auto"/>
              <w:jc w:val="left"/>
              <w:rPr>
                <w:rFonts w:ascii="Arial Narrow" w:eastAsiaTheme="majorEastAsia" w:hAnsi="Arial Narrow" w:cs="Times New Roman"/>
                <w:snapToGrid/>
                <w:sz w:val="20"/>
                <w:szCs w:val="20"/>
                <w:highlight w:val="black"/>
                <w:lang w:bidi="en-US"/>
              </w:rPr>
            </w:pPr>
            <w:r>
              <w:rPr>
                <w:rFonts w:ascii="Arial Narrow" w:eastAsiaTheme="majorEastAsia" w:hAnsi="Arial Narrow" w:cs="Times New Roman"/>
                <w:noProof/>
                <w:snapToGrid/>
                <w:color w:val="000000"/>
                <w:sz w:val="20"/>
                <w:szCs w:val="20"/>
                <w:highlight w:val="black"/>
                <w:lang w:bidi="en-US"/>
              </w:rPr>
              <w:t>''''''</w:t>
            </w:r>
          </w:p>
        </w:tc>
      </w:tr>
      <w:tr w:rsidR="008119AC" w:rsidRPr="00A05A0B" w:rsidTr="002A595C">
        <w:trPr>
          <w:trHeight w:val="216"/>
        </w:trPr>
        <w:tc>
          <w:tcPr>
            <w:tcW w:w="5000" w:type="pct"/>
            <w:gridSpan w:val="3"/>
            <w:tcBorders>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Calculation of mepolizumab price per year (including administration costs)</w:t>
            </w:r>
          </w:p>
        </w:tc>
      </w:tr>
      <w:tr w:rsidR="008119AC" w:rsidRPr="00A05A0B" w:rsidTr="002A595C">
        <w:trPr>
          <w:trHeight w:val="143"/>
        </w:trPr>
        <w:tc>
          <w:tcPr>
            <w:tcW w:w="3193" w:type="pct"/>
            <w:tcBorders>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 xml:space="preserve">AEMP per dose of mepolizumab (published). </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p>
        </w:tc>
        <w:tc>
          <w:tcPr>
            <w:tcW w:w="805"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r w:rsidRPr="00A05A0B">
              <w:rPr>
                <w:rFonts w:ascii="Arial Narrow" w:eastAsiaTheme="majorEastAsia" w:hAnsi="Arial Narrow" w:cs="Times New Roman"/>
                <w:snapToGrid/>
                <w:sz w:val="20"/>
                <w:szCs w:val="20"/>
                <w:lang w:bidi="en-US"/>
              </w:rPr>
              <w:t xml:space="preserve"> </w:t>
            </w:r>
          </w:p>
        </w:tc>
      </w:tr>
      <w:tr w:rsidR="008119AC" w:rsidRPr="00A05A0B" w:rsidTr="002A595C">
        <w:trPr>
          <w:trHeight w:val="284"/>
        </w:trPr>
        <w:tc>
          <w:tcPr>
            <w:tcW w:w="3193" w:type="pct"/>
            <w:tcBorders>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Drug costs per year (published)</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p>
        </w:tc>
        <w:tc>
          <w:tcPr>
            <w:tcW w:w="805"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595C">
        <w:trPr>
          <w:trHeight w:val="311"/>
        </w:trPr>
        <w:tc>
          <w:tcPr>
            <w:tcW w:w="3193"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 xml:space="preserve">Administration cost per year (per Table </w:t>
            </w:r>
            <w:r w:rsidR="0086508A" w:rsidRPr="00A05A0B">
              <w:rPr>
                <w:rFonts w:ascii="Arial Narrow" w:eastAsiaTheme="majorEastAsia" w:hAnsi="Arial Narrow"/>
                <w:snapToGrid/>
                <w:sz w:val="20"/>
                <w:szCs w:val="20"/>
                <w:lang w:eastAsia="en-AU" w:bidi="en-US"/>
              </w:rPr>
              <w:t>10</w:t>
            </w:r>
            <w:r w:rsidRPr="00A05A0B">
              <w:rPr>
                <w:rFonts w:ascii="Arial Narrow" w:eastAsiaTheme="majorEastAsia" w:hAnsi="Arial Narrow"/>
                <w:snapToGrid/>
                <w:sz w:val="20"/>
                <w:szCs w:val="20"/>
                <w:lang w:eastAsia="en-AU" w:bidi="en-US"/>
              </w:rPr>
              <w:t xml:space="preserve">) </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595C">
        <w:trPr>
          <w:trHeight w:val="311"/>
        </w:trPr>
        <w:tc>
          <w:tcPr>
            <w:tcW w:w="3193"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Total annual cost</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p>
        </w:tc>
        <w:tc>
          <w:tcPr>
            <w:tcW w:w="805"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595C">
        <w:trPr>
          <w:trHeight w:val="311"/>
        </w:trPr>
        <w:tc>
          <w:tcPr>
            <w:tcW w:w="5000" w:type="pct"/>
            <w:gridSpan w:val="3"/>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Calculation of benralizumab price</w:t>
            </w:r>
          </w:p>
        </w:tc>
      </w:tr>
      <w:tr w:rsidR="008119AC" w:rsidRPr="00A05A0B" w:rsidTr="002A595C">
        <w:trPr>
          <w:trHeight w:val="311"/>
        </w:trPr>
        <w:tc>
          <w:tcPr>
            <w:tcW w:w="3193"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Total annual cost</w:t>
            </w:r>
            <w:r w:rsidR="00870B9F" w:rsidRPr="00A05A0B">
              <w:rPr>
                <w:rFonts w:ascii="Arial Narrow" w:eastAsiaTheme="majorEastAsia" w:hAnsi="Arial Narrow"/>
                <w:snapToGrid/>
                <w:sz w:val="20"/>
                <w:szCs w:val="20"/>
                <w:lang w:eastAsia="en-AU" w:bidi="en-US"/>
              </w:rPr>
              <w:t xml:space="preserve"> (based on mepolizumab)</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p>
        </w:tc>
      </w:tr>
      <w:tr w:rsidR="008119AC" w:rsidRPr="00A05A0B" w:rsidTr="002A595C">
        <w:trPr>
          <w:trHeight w:val="311"/>
        </w:trPr>
        <w:tc>
          <w:tcPr>
            <w:tcW w:w="3193"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Total cost per dose</w:t>
            </w:r>
            <w:r w:rsidR="00870B9F" w:rsidRPr="00A05A0B">
              <w:rPr>
                <w:rFonts w:ascii="Arial Narrow" w:eastAsiaTheme="majorEastAsia" w:hAnsi="Arial Narrow"/>
                <w:snapToGrid/>
                <w:sz w:val="20"/>
                <w:szCs w:val="20"/>
                <w:lang w:eastAsia="en-AU" w:bidi="en-US"/>
              </w:rPr>
              <w:t xml:space="preserve"> (drug + administration)</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p>
        </w:tc>
      </w:tr>
      <w:tr w:rsidR="008119AC" w:rsidRPr="00A05A0B" w:rsidTr="002A595C">
        <w:trPr>
          <w:trHeight w:val="311"/>
        </w:trPr>
        <w:tc>
          <w:tcPr>
            <w:tcW w:w="3193"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Difference in administration costs per year</w:t>
            </w:r>
          </w:p>
        </w:tc>
        <w:tc>
          <w:tcPr>
            <w:tcW w:w="1807" w:type="pct"/>
            <w:gridSpan w:val="2"/>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r w:rsidR="00870B9F" w:rsidRPr="00A05A0B">
              <w:rPr>
                <w:rFonts w:ascii="Arial Narrow" w:eastAsiaTheme="majorEastAsia" w:hAnsi="Arial Narrow" w:cs="Times New Roman"/>
                <w:snapToGrid/>
                <w:sz w:val="20"/>
                <w:szCs w:val="20"/>
                <w:lang w:bidi="en-US"/>
              </w:rPr>
              <w:t xml:space="preserve"> per year; $</w:t>
            </w:r>
            <w:r w:rsidR="00127CDA">
              <w:rPr>
                <w:rFonts w:ascii="Arial Narrow" w:eastAsiaTheme="majorEastAsia" w:hAnsi="Arial Narrow" w:cs="Times New Roman"/>
                <w:noProof/>
                <w:snapToGrid/>
                <w:color w:val="000000"/>
                <w:sz w:val="20"/>
                <w:szCs w:val="20"/>
                <w:highlight w:val="black"/>
                <w:lang w:bidi="en-US"/>
              </w:rPr>
              <w:t>'''''''''''''</w:t>
            </w:r>
            <w:r w:rsidR="00870B9F" w:rsidRPr="00A05A0B">
              <w:rPr>
                <w:rFonts w:ascii="Arial Narrow" w:eastAsiaTheme="majorEastAsia" w:hAnsi="Arial Narrow" w:cs="Times New Roman"/>
                <w:snapToGrid/>
                <w:sz w:val="20"/>
                <w:szCs w:val="20"/>
                <w:lang w:bidi="en-US"/>
              </w:rPr>
              <w:t xml:space="preserve"> per injection</w:t>
            </w:r>
          </w:p>
        </w:tc>
      </w:tr>
      <w:tr w:rsidR="008119AC" w:rsidRPr="00A05A0B" w:rsidTr="002A595C">
        <w:trPr>
          <w:trHeight w:val="311"/>
        </w:trPr>
        <w:tc>
          <w:tcPr>
            <w:tcW w:w="3193" w:type="pct"/>
            <w:tcBorders>
              <w:top w:val="single" w:sz="4" w:space="0" w:color="auto"/>
              <w:left w:val="single" w:sz="4" w:space="0" w:color="auto"/>
              <w:right w:val="single" w:sz="4" w:space="0" w:color="auto"/>
            </w:tcBorders>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AEMP per dose of benralizumab</w:t>
            </w:r>
            <w:r w:rsidR="00870B9F" w:rsidRPr="00A05A0B">
              <w:rPr>
                <w:rFonts w:ascii="Arial Narrow" w:eastAsiaTheme="majorEastAsia" w:hAnsi="Arial Narrow"/>
                <w:snapToGrid/>
                <w:sz w:val="20"/>
                <w:szCs w:val="20"/>
                <w:lang w:eastAsia="en-AU" w:bidi="en-US"/>
              </w:rPr>
              <w:t xml:space="preserve"> (published, proposed)</w:t>
            </w:r>
          </w:p>
        </w:tc>
        <w:tc>
          <w:tcPr>
            <w:tcW w:w="1002"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shd w:val="clear" w:color="auto" w:fill="auto"/>
          </w:tcPr>
          <w:p w:rsidR="008119AC" w:rsidRPr="00A05A0B" w:rsidRDefault="008119AC" w:rsidP="00821A46">
            <w:pPr>
              <w:keepNext/>
              <w:keepLines/>
              <w:widowControl/>
              <w:spacing w:before="20" w:after="20" w:line="276" w:lineRule="auto"/>
              <w:jc w:val="left"/>
              <w:rPr>
                <w:rFonts w:ascii="Arial Narrow" w:eastAsiaTheme="majorEastAsia" w:hAnsi="Arial Narrow" w:cs="Times New Roman"/>
                <w:snapToGrid/>
                <w:sz w:val="20"/>
                <w:szCs w:val="20"/>
                <w:lang w:bidi="en-US"/>
              </w:rPr>
            </w:pPr>
          </w:p>
        </w:tc>
      </w:tr>
    </w:tbl>
    <w:p w:rsidR="008119AC" w:rsidRPr="00A05A0B" w:rsidRDefault="008119AC" w:rsidP="00821A46">
      <w:pPr>
        <w:keepNext/>
        <w:keepLines/>
        <w:spacing w:after="60"/>
        <w:contextualSpacing/>
        <w:rPr>
          <w:rFonts w:ascii="Arial Narrow" w:hAnsi="Arial Narrow"/>
          <w:sz w:val="18"/>
          <w:szCs w:val="18"/>
          <w:lang w:val="en-GB"/>
        </w:rPr>
      </w:pPr>
      <w:r w:rsidRPr="00A05A0B">
        <w:rPr>
          <w:rFonts w:ascii="Arial Narrow" w:hAnsi="Arial Narrow"/>
          <w:sz w:val="18"/>
          <w:szCs w:val="20"/>
          <w:lang w:val="en-GB"/>
        </w:rPr>
        <w:t>Source: Table 3.3, p113 of the submission</w:t>
      </w:r>
    </w:p>
    <w:p w:rsidR="008119AC" w:rsidRPr="00A05A0B" w:rsidRDefault="008119AC" w:rsidP="003C1C72">
      <w:pPr>
        <w:keepNext/>
        <w:keepLines/>
        <w:spacing w:after="120"/>
        <w:rPr>
          <w:rFonts w:ascii="Arial Narrow" w:hAnsi="Arial Narrow"/>
          <w:sz w:val="18"/>
          <w:szCs w:val="20"/>
          <w:lang w:val="en-GB"/>
        </w:rPr>
      </w:pPr>
      <w:r w:rsidRPr="00A05A0B">
        <w:rPr>
          <w:rFonts w:ascii="Arial Narrow" w:hAnsi="Arial Narrow"/>
          <w:sz w:val="18"/>
          <w:szCs w:val="20"/>
          <w:lang w:val="en-GB"/>
        </w:rPr>
        <w:t xml:space="preserve">AEMP = approved ex-manufacturer price </w:t>
      </w:r>
    </w:p>
    <w:p w:rsidR="0004150D" w:rsidRPr="0004150D" w:rsidRDefault="008119AC" w:rsidP="0004150D">
      <w:pPr>
        <w:widowControl/>
        <w:numPr>
          <w:ilvl w:val="1"/>
          <w:numId w:val="1"/>
        </w:numPr>
        <w:spacing w:after="120"/>
        <w:ind w:left="709"/>
        <w:rPr>
          <w:szCs w:val="24"/>
        </w:rPr>
      </w:pPr>
      <w:r w:rsidRPr="00A05A0B">
        <w:t>The submission estimated that, based on the published price of mepolizumab, the approved ex-manufacturer price of mepolizumab would be $</w:t>
      </w:r>
      <w:r w:rsidR="00127CDA">
        <w:rPr>
          <w:noProof/>
          <w:color w:val="000000"/>
          <w:highlight w:val="black"/>
        </w:rPr>
        <w:t>'''''''''''</w:t>
      </w:r>
      <w:r w:rsidRPr="00A05A0B">
        <w:t xml:space="preserve"> per dose. This may not be reasonable as it excluded the fixed loading doses and over</w:t>
      </w:r>
      <w:r w:rsidR="00015BDA" w:rsidRPr="00A05A0B">
        <w:noBreakHyphen/>
      </w:r>
      <w:r w:rsidRPr="00A05A0B">
        <w:t xml:space="preserve">estimated the administration offsets. </w:t>
      </w:r>
    </w:p>
    <w:p w:rsidR="0004150D" w:rsidRDefault="00992486" w:rsidP="0004150D">
      <w:pPr>
        <w:pStyle w:val="ListParagraph"/>
        <w:widowControl/>
        <w:numPr>
          <w:ilvl w:val="1"/>
          <w:numId w:val="1"/>
        </w:numPr>
        <w:spacing w:after="120"/>
        <w:ind w:left="709"/>
        <w:rPr>
          <w:szCs w:val="24"/>
        </w:rPr>
      </w:pPr>
      <w:r w:rsidRPr="00992486">
        <w:rPr>
          <w:szCs w:val="24"/>
        </w:rPr>
        <w:t xml:space="preserve">The pre-PBAC response proposed revised benralizumab administration costs that excluded the costs of specialist visits. This resulted in administration costs of $17.18 per administration, based on the costs used in Table 10 and maintaining the ratio of General Practitioner to nurse administrations (31% General Practitioner Level B, and 69% nurse administrations). </w:t>
      </w:r>
      <w:r w:rsidR="0004150D" w:rsidRPr="00992486">
        <w:rPr>
          <w:szCs w:val="24"/>
        </w:rPr>
        <w:t>Per Table 12 below this would result in a AEMP of $</w:t>
      </w:r>
      <w:r w:rsidR="00127CDA">
        <w:rPr>
          <w:noProof/>
          <w:color w:val="000000"/>
          <w:szCs w:val="24"/>
          <w:highlight w:val="black"/>
        </w:rPr>
        <w:t>'''''''''</w:t>
      </w:r>
      <w:r w:rsidR="0004150D" w:rsidRPr="00992486">
        <w:rPr>
          <w:szCs w:val="24"/>
        </w:rPr>
        <w:t xml:space="preserve"> per dose. This aligned with one of the sensitivity analyses conducted during evaluation (Table 13). </w:t>
      </w:r>
    </w:p>
    <w:p w:rsidR="0004150D" w:rsidRPr="00A05A0B" w:rsidRDefault="0004150D" w:rsidP="0004150D">
      <w:pPr>
        <w:pStyle w:val="TableHeading0"/>
      </w:pPr>
      <w:r w:rsidRPr="00A05A0B">
        <w:t>Table 1</w:t>
      </w:r>
      <w:r>
        <w:t>2</w:t>
      </w:r>
      <w:r w:rsidRPr="00A05A0B">
        <w:t xml:space="preserve">: Results of the cost-minimisation analysis </w:t>
      </w:r>
      <w:r>
        <w:t xml:space="preserve">– revised base case in pre-PBAC response </w:t>
      </w:r>
      <w:r w:rsidRPr="00A05A0B">
        <w:t xml:space="preserve">(published prices)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25"/>
        <w:gridCol w:w="1796"/>
        <w:gridCol w:w="1443"/>
      </w:tblGrid>
      <w:tr w:rsidR="0004150D" w:rsidRPr="00A05A0B" w:rsidTr="009D11E4">
        <w:trPr>
          <w:cantSplit/>
          <w:tblHeader/>
        </w:trPr>
        <w:tc>
          <w:tcPr>
            <w:tcW w:w="3193" w:type="pct"/>
            <w:tcBorders>
              <w:top w:val="single" w:sz="4" w:space="0" w:color="auto"/>
              <w:left w:val="single" w:sz="4" w:space="0" w:color="auto"/>
              <w:bottom w:val="single" w:sz="4" w:space="0" w:color="auto"/>
              <w:right w:val="single" w:sz="4" w:space="0" w:color="auto"/>
            </w:tcBorders>
            <w:hideMark/>
          </w:tcPr>
          <w:p w:rsidR="0004150D" w:rsidRPr="00A05A0B" w:rsidRDefault="0004150D" w:rsidP="009D11E4">
            <w:pPr>
              <w:keepNext/>
              <w:keepLines/>
              <w:widowControl/>
              <w:spacing w:before="20" w:after="20" w:line="276" w:lineRule="auto"/>
              <w:jc w:val="left"/>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Component</w:t>
            </w:r>
          </w:p>
        </w:tc>
        <w:tc>
          <w:tcPr>
            <w:tcW w:w="1002" w:type="pct"/>
            <w:tcBorders>
              <w:top w:val="single" w:sz="4" w:space="0" w:color="auto"/>
              <w:left w:val="single" w:sz="4" w:space="0" w:color="auto"/>
              <w:bottom w:val="single" w:sz="4" w:space="0" w:color="auto"/>
              <w:right w:val="single" w:sz="4" w:space="0" w:color="auto"/>
            </w:tcBorders>
            <w:hideMark/>
          </w:tcPr>
          <w:p w:rsidR="0004150D" w:rsidRPr="00A05A0B" w:rsidRDefault="0004150D" w:rsidP="009D11E4">
            <w:pPr>
              <w:keepNext/>
              <w:keepLines/>
              <w:widowControl/>
              <w:spacing w:before="20" w:after="20" w:line="276" w:lineRule="auto"/>
              <w:jc w:val="center"/>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Benralizumab</w:t>
            </w:r>
          </w:p>
        </w:tc>
        <w:tc>
          <w:tcPr>
            <w:tcW w:w="805" w:type="pct"/>
            <w:tcBorders>
              <w:top w:val="single" w:sz="4" w:space="0" w:color="auto"/>
              <w:left w:val="single" w:sz="4" w:space="0" w:color="auto"/>
              <w:bottom w:val="single" w:sz="4" w:space="0" w:color="auto"/>
              <w:right w:val="single" w:sz="4" w:space="0" w:color="auto"/>
            </w:tcBorders>
            <w:hideMark/>
          </w:tcPr>
          <w:p w:rsidR="0004150D" w:rsidRPr="00A05A0B" w:rsidRDefault="0004150D" w:rsidP="009D11E4">
            <w:pPr>
              <w:keepNext/>
              <w:keepLines/>
              <w:widowControl/>
              <w:spacing w:before="20" w:after="20" w:line="276" w:lineRule="auto"/>
              <w:jc w:val="center"/>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Mepolizumab</w:t>
            </w:r>
          </w:p>
        </w:tc>
      </w:tr>
      <w:tr w:rsidR="0004150D" w:rsidRPr="00A05A0B" w:rsidTr="009D11E4">
        <w:trPr>
          <w:trHeight w:val="183"/>
        </w:trPr>
        <w:tc>
          <w:tcPr>
            <w:tcW w:w="3193" w:type="pct"/>
            <w:tcBorders>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Number of doses per year (maintenance phase)</w:t>
            </w:r>
          </w:p>
        </w:tc>
        <w:tc>
          <w:tcPr>
            <w:tcW w:w="1002" w:type="pct"/>
            <w:tcBorders>
              <w:top w:val="single" w:sz="4" w:space="0" w:color="auto"/>
              <w:left w:val="single" w:sz="4" w:space="0" w:color="auto"/>
              <w:right w:val="single" w:sz="4" w:space="0" w:color="auto"/>
            </w:tcBorders>
            <w:shd w:val="clear" w:color="auto" w:fill="auto"/>
          </w:tcPr>
          <w:p w:rsidR="0004150D" w:rsidRPr="00127CDA" w:rsidRDefault="00127CDA" w:rsidP="009D11E4">
            <w:pPr>
              <w:keepNext/>
              <w:keepLines/>
              <w:widowControl/>
              <w:spacing w:before="20" w:after="20" w:line="276" w:lineRule="auto"/>
              <w:jc w:val="left"/>
              <w:rPr>
                <w:rFonts w:ascii="Arial Narrow" w:eastAsiaTheme="majorEastAsia" w:hAnsi="Arial Narrow" w:cs="Times New Roman"/>
                <w:snapToGrid/>
                <w:sz w:val="20"/>
                <w:szCs w:val="20"/>
                <w:highlight w:val="black"/>
                <w:lang w:bidi="en-US"/>
              </w:rPr>
            </w:pPr>
            <w:r>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04150D" w:rsidRPr="00127CDA" w:rsidRDefault="00127CDA" w:rsidP="009D11E4">
            <w:pPr>
              <w:keepNext/>
              <w:keepLines/>
              <w:widowControl/>
              <w:spacing w:before="20" w:after="20" w:line="276" w:lineRule="auto"/>
              <w:jc w:val="left"/>
              <w:rPr>
                <w:rFonts w:ascii="Arial Narrow" w:eastAsiaTheme="majorEastAsia" w:hAnsi="Arial Narrow" w:cs="Times New Roman"/>
                <w:snapToGrid/>
                <w:sz w:val="20"/>
                <w:szCs w:val="20"/>
                <w:highlight w:val="black"/>
                <w:lang w:bidi="en-US"/>
              </w:rPr>
            </w:pPr>
            <w:r>
              <w:rPr>
                <w:rFonts w:ascii="Arial Narrow" w:eastAsiaTheme="majorEastAsia" w:hAnsi="Arial Narrow" w:cs="Times New Roman"/>
                <w:noProof/>
                <w:snapToGrid/>
                <w:color w:val="000000"/>
                <w:sz w:val="20"/>
                <w:szCs w:val="20"/>
                <w:highlight w:val="black"/>
                <w:lang w:bidi="en-US"/>
              </w:rPr>
              <w:t>''''''</w:t>
            </w:r>
          </w:p>
        </w:tc>
      </w:tr>
      <w:tr w:rsidR="0004150D" w:rsidRPr="00A05A0B" w:rsidTr="009D11E4">
        <w:trPr>
          <w:trHeight w:val="216"/>
        </w:trPr>
        <w:tc>
          <w:tcPr>
            <w:tcW w:w="5000" w:type="pct"/>
            <w:gridSpan w:val="3"/>
            <w:tcBorders>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Calculation of mepolizumab price per year (including administration costs)</w:t>
            </w:r>
          </w:p>
        </w:tc>
      </w:tr>
      <w:tr w:rsidR="0004150D" w:rsidRPr="00A05A0B" w:rsidTr="009D11E4">
        <w:trPr>
          <w:trHeight w:val="143"/>
        </w:trPr>
        <w:tc>
          <w:tcPr>
            <w:tcW w:w="3193" w:type="pct"/>
            <w:tcBorders>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 xml:space="preserve">AEMP per dose of mepolizumab (published). </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p>
        </w:tc>
        <w:tc>
          <w:tcPr>
            <w:tcW w:w="805"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r w:rsidRPr="00A05A0B">
              <w:rPr>
                <w:rFonts w:ascii="Arial Narrow" w:eastAsiaTheme="majorEastAsia" w:hAnsi="Arial Narrow" w:cs="Times New Roman"/>
                <w:snapToGrid/>
                <w:sz w:val="20"/>
                <w:szCs w:val="20"/>
                <w:lang w:bidi="en-US"/>
              </w:rPr>
              <w:t xml:space="preserve"> </w:t>
            </w:r>
          </w:p>
        </w:tc>
      </w:tr>
      <w:tr w:rsidR="0004150D" w:rsidRPr="00A05A0B" w:rsidTr="009D11E4">
        <w:trPr>
          <w:trHeight w:val="284"/>
        </w:trPr>
        <w:tc>
          <w:tcPr>
            <w:tcW w:w="3193" w:type="pct"/>
            <w:tcBorders>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Drug costs per year (published)</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p>
        </w:tc>
        <w:tc>
          <w:tcPr>
            <w:tcW w:w="805"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04150D" w:rsidRPr="00A05A0B" w:rsidTr="009D11E4">
        <w:trPr>
          <w:trHeight w:val="311"/>
        </w:trPr>
        <w:tc>
          <w:tcPr>
            <w:tcW w:w="3193" w:type="pct"/>
            <w:tcBorders>
              <w:top w:val="single" w:sz="4" w:space="0" w:color="auto"/>
              <w:left w:val="single" w:sz="4" w:space="0" w:color="auto"/>
              <w:right w:val="single" w:sz="4" w:space="0" w:color="auto"/>
            </w:tcBorders>
          </w:tcPr>
          <w:p w:rsidR="0004150D" w:rsidRPr="00A05A0B" w:rsidRDefault="0004150D" w:rsidP="005D2A5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Administration cost per year (</w:t>
            </w:r>
            <w:r w:rsidR="005D2A54">
              <w:rPr>
                <w:rFonts w:ascii="Arial Narrow" w:eastAsiaTheme="majorEastAsia" w:hAnsi="Arial Narrow"/>
                <w:snapToGrid/>
                <w:sz w:val="20"/>
                <w:szCs w:val="20"/>
                <w:lang w:eastAsia="en-AU" w:bidi="en-US"/>
              </w:rPr>
              <w:t>$17.18 per dose, per Paragraph 6.52</w:t>
            </w:r>
            <w:r w:rsidRPr="00A05A0B">
              <w:rPr>
                <w:rFonts w:ascii="Arial Narrow" w:eastAsiaTheme="majorEastAsia" w:hAnsi="Arial Narrow"/>
                <w:snapToGrid/>
                <w:sz w:val="20"/>
                <w:szCs w:val="20"/>
                <w:lang w:eastAsia="en-AU" w:bidi="en-US"/>
              </w:rPr>
              <w:t xml:space="preserve">) </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04150D" w:rsidP="005D2A5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04150D" w:rsidRPr="00A05A0B" w:rsidRDefault="0004150D" w:rsidP="005D2A5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04150D" w:rsidRPr="00A05A0B" w:rsidTr="009D11E4">
        <w:trPr>
          <w:trHeight w:val="311"/>
        </w:trPr>
        <w:tc>
          <w:tcPr>
            <w:tcW w:w="3193"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Total annual cost</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p>
        </w:tc>
        <w:tc>
          <w:tcPr>
            <w:tcW w:w="805" w:type="pct"/>
            <w:tcBorders>
              <w:top w:val="single" w:sz="4" w:space="0" w:color="auto"/>
              <w:left w:val="single" w:sz="4" w:space="0" w:color="auto"/>
              <w:right w:val="single" w:sz="4" w:space="0" w:color="auto"/>
            </w:tcBorders>
          </w:tcPr>
          <w:p w:rsidR="0004150D" w:rsidRPr="00A05A0B" w:rsidRDefault="0004150D" w:rsidP="005D2A5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04150D" w:rsidRPr="00A05A0B" w:rsidTr="009D11E4">
        <w:trPr>
          <w:trHeight w:val="311"/>
        </w:trPr>
        <w:tc>
          <w:tcPr>
            <w:tcW w:w="5000" w:type="pct"/>
            <w:gridSpan w:val="3"/>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Calculation of benralizumab price</w:t>
            </w:r>
          </w:p>
        </w:tc>
      </w:tr>
      <w:tr w:rsidR="0004150D" w:rsidRPr="00A05A0B" w:rsidTr="009D11E4">
        <w:trPr>
          <w:trHeight w:val="311"/>
        </w:trPr>
        <w:tc>
          <w:tcPr>
            <w:tcW w:w="3193"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Total annual cost (based on mepolizumab)</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5D2A54"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p>
        </w:tc>
      </w:tr>
      <w:tr w:rsidR="0004150D" w:rsidRPr="00A05A0B" w:rsidTr="009D11E4">
        <w:trPr>
          <w:trHeight w:val="311"/>
        </w:trPr>
        <w:tc>
          <w:tcPr>
            <w:tcW w:w="3193"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Total cost per dose (drug + administration)</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5D2A54"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5D2A54">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p>
        </w:tc>
      </w:tr>
      <w:tr w:rsidR="0004150D" w:rsidRPr="00A05A0B" w:rsidTr="009D11E4">
        <w:trPr>
          <w:trHeight w:val="311"/>
        </w:trPr>
        <w:tc>
          <w:tcPr>
            <w:tcW w:w="3193"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Difference in administration costs per year</w:t>
            </w:r>
          </w:p>
        </w:tc>
        <w:tc>
          <w:tcPr>
            <w:tcW w:w="1807" w:type="pct"/>
            <w:gridSpan w:val="2"/>
            <w:tcBorders>
              <w:top w:val="single" w:sz="4" w:space="0" w:color="auto"/>
              <w:left w:val="single" w:sz="4" w:space="0" w:color="auto"/>
              <w:right w:val="single" w:sz="4" w:space="0" w:color="auto"/>
            </w:tcBorders>
            <w:shd w:val="clear" w:color="auto" w:fill="auto"/>
          </w:tcPr>
          <w:p w:rsidR="0004150D" w:rsidRPr="00A05A0B" w:rsidRDefault="0004150D" w:rsidP="005D2A5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r w:rsidRPr="00A05A0B">
              <w:rPr>
                <w:rFonts w:ascii="Arial Narrow" w:eastAsiaTheme="majorEastAsia" w:hAnsi="Arial Narrow" w:cs="Times New Roman"/>
                <w:snapToGrid/>
                <w:sz w:val="20"/>
                <w:szCs w:val="20"/>
                <w:lang w:bidi="en-US"/>
              </w:rPr>
              <w:t xml:space="preserve"> per year; $</w:t>
            </w:r>
            <w:r w:rsidR="00127CDA">
              <w:rPr>
                <w:rFonts w:ascii="Arial Narrow" w:eastAsiaTheme="majorEastAsia" w:hAnsi="Arial Narrow" w:cs="Times New Roman"/>
                <w:noProof/>
                <w:snapToGrid/>
                <w:color w:val="000000"/>
                <w:sz w:val="20"/>
                <w:szCs w:val="20"/>
                <w:highlight w:val="black"/>
                <w:lang w:bidi="en-US"/>
              </w:rPr>
              <w:t>'''''''''''''''</w:t>
            </w:r>
            <w:r w:rsidRPr="00A05A0B">
              <w:rPr>
                <w:rFonts w:ascii="Arial Narrow" w:eastAsiaTheme="majorEastAsia" w:hAnsi="Arial Narrow" w:cs="Times New Roman"/>
                <w:snapToGrid/>
                <w:sz w:val="20"/>
                <w:szCs w:val="20"/>
                <w:lang w:bidi="en-US"/>
              </w:rPr>
              <w:t xml:space="preserve"> per injection</w:t>
            </w:r>
          </w:p>
        </w:tc>
      </w:tr>
      <w:tr w:rsidR="0004150D" w:rsidRPr="00A05A0B" w:rsidTr="009D11E4">
        <w:trPr>
          <w:trHeight w:val="311"/>
        </w:trPr>
        <w:tc>
          <w:tcPr>
            <w:tcW w:w="3193" w:type="pct"/>
            <w:tcBorders>
              <w:top w:val="single" w:sz="4" w:space="0" w:color="auto"/>
              <w:left w:val="single" w:sz="4" w:space="0" w:color="auto"/>
              <w:right w:val="single" w:sz="4" w:space="0" w:color="auto"/>
            </w:tcBorders>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snapToGrid/>
                <w:sz w:val="20"/>
                <w:szCs w:val="20"/>
                <w:lang w:eastAsia="en-AU" w:bidi="en-US"/>
              </w:rPr>
              <w:t>AEMP per dose of benralizumab (published, proposed)</w:t>
            </w:r>
          </w:p>
        </w:tc>
        <w:tc>
          <w:tcPr>
            <w:tcW w:w="1002" w:type="pct"/>
            <w:tcBorders>
              <w:top w:val="single" w:sz="4" w:space="0" w:color="auto"/>
              <w:left w:val="single" w:sz="4" w:space="0" w:color="auto"/>
              <w:right w:val="single" w:sz="4" w:space="0" w:color="auto"/>
            </w:tcBorders>
            <w:shd w:val="clear" w:color="auto" w:fill="auto"/>
          </w:tcPr>
          <w:p w:rsidR="0004150D" w:rsidRPr="00A05A0B" w:rsidRDefault="005D2A54" w:rsidP="005D2A54">
            <w:pPr>
              <w:keepNext/>
              <w:keepLines/>
              <w:widowControl/>
              <w:spacing w:before="20" w:after="20" w:line="276" w:lineRule="auto"/>
              <w:jc w:val="left"/>
              <w:rPr>
                <w:rFonts w:ascii="Arial Narrow" w:eastAsiaTheme="majorEastAsia" w:hAnsi="Arial Narrow" w:cs="Times New Roman"/>
                <w:snapToGrid/>
                <w:sz w:val="20"/>
                <w:szCs w:val="20"/>
                <w:lang w:bidi="en-US"/>
              </w:rPr>
            </w:pPr>
            <w:r w:rsidRPr="005D2A54">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c>
          <w:tcPr>
            <w:tcW w:w="805" w:type="pct"/>
            <w:tcBorders>
              <w:top w:val="single" w:sz="4" w:space="0" w:color="auto"/>
              <w:left w:val="single" w:sz="4" w:space="0" w:color="auto"/>
              <w:right w:val="single" w:sz="4" w:space="0" w:color="auto"/>
            </w:tcBorders>
            <w:shd w:val="clear" w:color="auto" w:fill="auto"/>
          </w:tcPr>
          <w:p w:rsidR="0004150D" w:rsidRPr="00A05A0B" w:rsidRDefault="0004150D" w:rsidP="009D11E4">
            <w:pPr>
              <w:keepNext/>
              <w:keepLines/>
              <w:widowControl/>
              <w:spacing w:before="20" w:after="20" w:line="276" w:lineRule="auto"/>
              <w:jc w:val="left"/>
              <w:rPr>
                <w:rFonts w:ascii="Arial Narrow" w:eastAsiaTheme="majorEastAsia" w:hAnsi="Arial Narrow" w:cs="Times New Roman"/>
                <w:snapToGrid/>
                <w:sz w:val="20"/>
                <w:szCs w:val="20"/>
                <w:lang w:bidi="en-US"/>
              </w:rPr>
            </w:pPr>
          </w:p>
        </w:tc>
      </w:tr>
    </w:tbl>
    <w:p w:rsidR="0004150D" w:rsidRPr="0004150D" w:rsidRDefault="0004150D" w:rsidP="0004150D">
      <w:pPr>
        <w:pStyle w:val="TableFooter"/>
        <w:rPr>
          <w:szCs w:val="18"/>
          <w:lang w:val="en-GB"/>
        </w:rPr>
      </w:pPr>
      <w:r w:rsidRPr="0004150D">
        <w:rPr>
          <w:lang w:val="en-GB"/>
        </w:rPr>
        <w:t xml:space="preserve">Source: Constructed based on page 3 of the pre-PBAC response </w:t>
      </w:r>
    </w:p>
    <w:p w:rsidR="0004150D" w:rsidRPr="00A05A0B" w:rsidRDefault="0004150D" w:rsidP="0004150D">
      <w:pPr>
        <w:pStyle w:val="TableFooter"/>
        <w:rPr>
          <w:lang w:val="en-GB"/>
        </w:rPr>
      </w:pPr>
      <w:r w:rsidRPr="00A05A0B">
        <w:rPr>
          <w:lang w:val="en-GB"/>
        </w:rPr>
        <w:t xml:space="preserve">AEMP = approved ex-manufacturer price </w:t>
      </w:r>
    </w:p>
    <w:p w:rsidR="008119AC" w:rsidRPr="00A05A0B" w:rsidRDefault="008119AC" w:rsidP="004B1160">
      <w:pPr>
        <w:widowControl/>
        <w:numPr>
          <w:ilvl w:val="1"/>
          <w:numId w:val="1"/>
        </w:numPr>
        <w:spacing w:after="120"/>
        <w:ind w:left="709"/>
      </w:pPr>
      <w:r w:rsidRPr="00A05A0B">
        <w:t>Table 1</w:t>
      </w:r>
      <w:r w:rsidR="0004150D">
        <w:t>3</w:t>
      </w:r>
      <w:r w:rsidRPr="00A05A0B">
        <w:t xml:space="preserve"> presents sensitivity analyses conducted during the evaluation to assess the impact of administration costs, inclusion of the loading dose and use of the four week</w:t>
      </w:r>
      <w:r w:rsidR="0088364C" w:rsidRPr="00A05A0B">
        <w:t>ly</w:t>
      </w:r>
      <w:r w:rsidRPr="00A05A0B">
        <w:t xml:space="preserve"> dosing regimen. </w:t>
      </w:r>
    </w:p>
    <w:p w:rsidR="008119AC" w:rsidRPr="00A05A0B" w:rsidRDefault="008119AC" w:rsidP="00DC2E80">
      <w:pPr>
        <w:keepNext/>
        <w:keepLines/>
        <w:widowControl/>
        <w:ind w:left="720" w:hanging="720"/>
        <w:jc w:val="left"/>
        <w:rPr>
          <w:sz w:val="32"/>
        </w:rPr>
      </w:pPr>
      <w:r w:rsidRPr="00A05A0B">
        <w:rPr>
          <w:rFonts w:ascii="Arial Narrow" w:hAnsi="Arial Narrow"/>
          <w:b/>
          <w:sz w:val="20"/>
          <w:szCs w:val="16"/>
        </w:rPr>
        <w:t>Table 1</w:t>
      </w:r>
      <w:r w:rsidR="0004150D">
        <w:rPr>
          <w:rFonts w:ascii="Arial Narrow" w:hAnsi="Arial Narrow"/>
          <w:b/>
          <w:sz w:val="20"/>
          <w:szCs w:val="16"/>
        </w:rPr>
        <w:t>3</w:t>
      </w:r>
      <w:r w:rsidRPr="00A05A0B">
        <w:rPr>
          <w:rFonts w:ascii="Arial Narrow" w:hAnsi="Arial Narrow"/>
          <w:b/>
          <w:sz w:val="20"/>
          <w:szCs w:val="16"/>
        </w:rPr>
        <w:t xml:space="preserve">: Sensitivity analyses conducted during evaluation </w:t>
      </w: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62"/>
        <w:gridCol w:w="1540"/>
      </w:tblGrid>
      <w:tr w:rsidR="008119AC" w:rsidRPr="00A05A0B" w:rsidTr="002A2711">
        <w:trPr>
          <w:cantSplit/>
          <w:tblHeader/>
        </w:trPr>
        <w:tc>
          <w:tcPr>
            <w:tcW w:w="4115" w:type="pct"/>
            <w:tcBorders>
              <w:top w:val="single" w:sz="4" w:space="0" w:color="auto"/>
              <w:left w:val="single" w:sz="4" w:space="0" w:color="auto"/>
              <w:bottom w:val="single" w:sz="4" w:space="0" w:color="auto"/>
              <w:right w:val="single" w:sz="4" w:space="0" w:color="auto"/>
            </w:tcBorders>
            <w:hideMark/>
          </w:tcPr>
          <w:p w:rsidR="008119AC" w:rsidRPr="00A05A0B" w:rsidRDefault="008119AC" w:rsidP="00DC2E80">
            <w:pPr>
              <w:keepNext/>
              <w:keepLines/>
              <w:widowControl/>
              <w:spacing w:before="20" w:after="20" w:line="276" w:lineRule="auto"/>
              <w:jc w:val="left"/>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Component</w:t>
            </w:r>
          </w:p>
        </w:tc>
        <w:tc>
          <w:tcPr>
            <w:tcW w:w="885" w:type="pct"/>
            <w:tcBorders>
              <w:top w:val="single" w:sz="4" w:space="0" w:color="auto"/>
              <w:left w:val="single" w:sz="4" w:space="0" w:color="auto"/>
              <w:bottom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AEMP, published</w:t>
            </w:r>
          </w:p>
        </w:tc>
      </w:tr>
      <w:tr w:rsidR="008119AC" w:rsidRPr="00A05A0B" w:rsidTr="002A2711">
        <w:trPr>
          <w:cantSplit/>
          <w:tblHeader/>
        </w:trPr>
        <w:tc>
          <w:tcPr>
            <w:tcW w:w="4115" w:type="pct"/>
            <w:tcBorders>
              <w:top w:val="single" w:sz="4" w:space="0" w:color="auto"/>
              <w:left w:val="single" w:sz="4" w:space="0" w:color="auto"/>
              <w:bottom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Base case</w:t>
            </w:r>
          </w:p>
        </w:tc>
        <w:tc>
          <w:tcPr>
            <w:tcW w:w="885" w:type="pct"/>
            <w:tcBorders>
              <w:top w:val="single" w:sz="4" w:space="0" w:color="auto"/>
              <w:left w:val="single" w:sz="4" w:space="0" w:color="auto"/>
              <w:bottom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b/>
                <w:snapToGrid/>
                <w:sz w:val="20"/>
                <w:szCs w:val="20"/>
                <w:lang w:eastAsia="en-AU" w:bidi="en-US"/>
              </w:rPr>
            </w:pPr>
            <w:r w:rsidRPr="00A05A0B">
              <w:rPr>
                <w:rFonts w:ascii="Arial Narrow" w:eastAsiaTheme="majorEastAsia" w:hAnsi="Arial Narrow"/>
                <w:b/>
                <w:snapToGrid/>
                <w:sz w:val="20"/>
                <w:szCs w:val="20"/>
                <w:lang w:eastAsia="en-AU" w:bidi="en-US"/>
              </w:rPr>
              <w:t>$</w:t>
            </w:r>
            <w:r w:rsidR="00127CDA">
              <w:rPr>
                <w:rFonts w:ascii="Arial Narrow" w:eastAsiaTheme="majorEastAsia" w:hAnsi="Arial Narrow"/>
                <w:b/>
                <w:noProof/>
                <w:snapToGrid/>
                <w:color w:val="000000"/>
                <w:sz w:val="20"/>
                <w:szCs w:val="20"/>
                <w:highlight w:val="black"/>
                <w:lang w:eastAsia="en-AU" w:bidi="en-US"/>
              </w:rPr>
              <w:t>''''''''''</w:t>
            </w:r>
          </w:p>
        </w:tc>
      </w:tr>
      <w:tr w:rsidR="008119AC" w:rsidRPr="00A05A0B" w:rsidTr="002A2711">
        <w:trPr>
          <w:trHeight w:val="183"/>
        </w:trPr>
        <w:tc>
          <w:tcPr>
            <w:tcW w:w="5000" w:type="pct"/>
            <w:gridSpan w:val="2"/>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Administration offsets (base case = $23.01 per administration)</w:t>
            </w:r>
          </w:p>
        </w:tc>
      </w:tr>
      <w:tr w:rsidR="008119AC" w:rsidRPr="00A05A0B" w:rsidTr="002A2711">
        <w:trPr>
          <w:trHeight w:val="183"/>
        </w:trPr>
        <w:tc>
          <w:tcPr>
            <w:tcW w:w="4115" w:type="pct"/>
            <w:tcBorders>
              <w:left w:val="single" w:sz="4" w:space="0" w:color="auto"/>
              <w:right w:val="single" w:sz="4" w:space="0" w:color="auto"/>
            </w:tcBorders>
          </w:tcPr>
          <w:p w:rsidR="00B66123" w:rsidRDefault="008119AC" w:rsidP="00DC2E80">
            <w:pPr>
              <w:keepNext/>
              <w:keepLines/>
              <w:widowControl/>
              <w:spacing w:before="20" w:after="20" w:line="276" w:lineRule="auto"/>
              <w:jc w:val="left"/>
              <w:rPr>
                <w:rFonts w:ascii="Arial Narrow" w:eastAsiaTheme="majorEastAsia" w:hAnsi="Arial Narrow"/>
                <w:snapToGrid/>
                <w:sz w:val="20"/>
                <w:szCs w:val="20"/>
                <w:lang w:eastAsia="en-AU" w:bidi="en-US"/>
              </w:rPr>
            </w:pPr>
            <w:r w:rsidRPr="00A05A0B">
              <w:rPr>
                <w:rFonts w:ascii="Arial Narrow" w:eastAsiaTheme="majorEastAsia" w:hAnsi="Arial Narrow"/>
                <w:snapToGrid/>
                <w:sz w:val="20"/>
                <w:szCs w:val="20"/>
                <w:lang w:eastAsia="en-AU" w:bidi="en-US"/>
              </w:rPr>
              <w:t xml:space="preserve">Removal of specialist visits (31% GP Level B, 69% nurse administrations) = $17.18 </w:t>
            </w:r>
          </w:p>
          <w:p w:rsidR="008119AC" w:rsidRPr="00B66123" w:rsidRDefault="00B66123" w:rsidP="00B66123">
            <w:pPr>
              <w:keepNext/>
              <w:keepLines/>
              <w:widowControl/>
              <w:spacing w:before="20" w:after="20" w:line="276" w:lineRule="auto"/>
              <w:jc w:val="left"/>
              <w:rPr>
                <w:rFonts w:ascii="Arial Narrow" w:eastAsiaTheme="majorEastAsia" w:hAnsi="Arial Narrow"/>
                <w:b/>
                <w:snapToGrid/>
                <w:sz w:val="20"/>
                <w:szCs w:val="20"/>
                <w:vertAlign w:val="superscript"/>
                <w:lang w:eastAsia="en-AU" w:bidi="en-US"/>
              </w:rPr>
            </w:pPr>
            <w:r w:rsidRPr="00B66123">
              <w:rPr>
                <w:rFonts w:ascii="Arial Narrow" w:eastAsiaTheme="majorEastAsia" w:hAnsi="Arial Narrow"/>
                <w:b/>
                <w:snapToGrid/>
                <w:sz w:val="20"/>
                <w:szCs w:val="20"/>
                <w:lang w:eastAsia="en-AU" w:bidi="en-US"/>
              </w:rPr>
              <w:t>(Revised base case in the pre-PBAC response)</w:t>
            </w:r>
          </w:p>
        </w:tc>
        <w:tc>
          <w:tcPr>
            <w:tcW w:w="88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2711">
        <w:trPr>
          <w:trHeight w:val="183"/>
        </w:trPr>
        <w:tc>
          <w:tcPr>
            <w:tcW w:w="411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snapToGrid/>
                <w:sz w:val="20"/>
                <w:szCs w:val="20"/>
                <w:lang w:eastAsia="en-AU" w:bidi="en-US"/>
              </w:rPr>
            </w:pPr>
            <w:r w:rsidRPr="00A05A0B">
              <w:rPr>
                <w:rFonts w:ascii="Arial Narrow" w:eastAsiaTheme="majorEastAsia" w:hAnsi="Arial Narrow"/>
                <w:snapToGrid/>
                <w:sz w:val="20"/>
                <w:szCs w:val="20"/>
                <w:lang w:eastAsia="en-AU" w:bidi="en-US"/>
              </w:rPr>
              <w:t>Use only nurse consults (MBS Item 82200) = $9.60</w:t>
            </w:r>
          </w:p>
        </w:tc>
        <w:tc>
          <w:tcPr>
            <w:tcW w:w="88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2711">
        <w:trPr>
          <w:trHeight w:val="183"/>
        </w:trPr>
        <w:tc>
          <w:tcPr>
            <w:tcW w:w="5000" w:type="pct"/>
            <w:gridSpan w:val="2"/>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Including the loading dose of benralizumab (base case = 6.5 doses per year in maintenance phase)</w:t>
            </w:r>
          </w:p>
        </w:tc>
      </w:tr>
      <w:tr w:rsidR="008119AC" w:rsidRPr="00A05A0B" w:rsidTr="002A2711">
        <w:trPr>
          <w:trHeight w:val="183"/>
        </w:trPr>
        <w:tc>
          <w:tcPr>
            <w:tcW w:w="411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snapToGrid/>
                <w:sz w:val="20"/>
                <w:szCs w:val="20"/>
                <w:lang w:eastAsia="en-AU" w:bidi="en-US"/>
              </w:rPr>
            </w:pPr>
            <w:r w:rsidRPr="00A05A0B">
              <w:rPr>
                <w:rFonts w:ascii="Arial Narrow" w:eastAsiaTheme="majorEastAsia" w:hAnsi="Arial Narrow"/>
                <w:snapToGrid/>
                <w:sz w:val="20"/>
                <w:szCs w:val="20"/>
                <w:lang w:eastAsia="en-AU" w:bidi="en-US"/>
              </w:rPr>
              <w:t xml:space="preserve">Costed over a </w:t>
            </w:r>
            <w:r w:rsidR="0088364C" w:rsidRPr="00A05A0B">
              <w:rPr>
                <w:rFonts w:ascii="Arial Narrow" w:eastAsiaTheme="majorEastAsia" w:hAnsi="Arial Narrow"/>
                <w:snapToGrid/>
                <w:sz w:val="20"/>
                <w:szCs w:val="20"/>
                <w:lang w:eastAsia="en-AU" w:bidi="en-US"/>
              </w:rPr>
              <w:t>1-</w:t>
            </w:r>
            <w:r w:rsidRPr="00A05A0B">
              <w:rPr>
                <w:rFonts w:ascii="Arial Narrow" w:eastAsiaTheme="majorEastAsia" w:hAnsi="Arial Narrow"/>
                <w:snapToGrid/>
                <w:sz w:val="20"/>
                <w:szCs w:val="20"/>
                <w:lang w:eastAsia="en-AU" w:bidi="en-US"/>
              </w:rPr>
              <w:t xml:space="preserve">year period (7.5 doses in </w:t>
            </w:r>
            <w:r w:rsidR="0088364C" w:rsidRPr="00A05A0B">
              <w:rPr>
                <w:rFonts w:ascii="Arial Narrow" w:eastAsiaTheme="majorEastAsia" w:hAnsi="Arial Narrow"/>
                <w:snapToGrid/>
                <w:sz w:val="20"/>
                <w:szCs w:val="20"/>
                <w:lang w:eastAsia="en-AU" w:bidi="en-US"/>
              </w:rPr>
              <w:t>Y</w:t>
            </w:r>
            <w:r w:rsidRPr="00A05A0B">
              <w:rPr>
                <w:rFonts w:ascii="Arial Narrow" w:eastAsiaTheme="majorEastAsia" w:hAnsi="Arial Narrow"/>
                <w:snapToGrid/>
                <w:sz w:val="20"/>
                <w:szCs w:val="20"/>
                <w:lang w:eastAsia="en-AU" w:bidi="en-US"/>
              </w:rPr>
              <w:t xml:space="preserve">ear 1, including </w:t>
            </w:r>
            <w:r w:rsidR="0088364C" w:rsidRPr="00A05A0B">
              <w:rPr>
                <w:rFonts w:ascii="Arial Narrow" w:eastAsiaTheme="majorEastAsia" w:hAnsi="Arial Narrow"/>
                <w:snapToGrid/>
                <w:sz w:val="20"/>
                <w:szCs w:val="20"/>
                <w:lang w:eastAsia="en-AU" w:bidi="en-US"/>
              </w:rPr>
              <w:t>1</w:t>
            </w:r>
            <w:r w:rsidRPr="00A05A0B">
              <w:rPr>
                <w:rFonts w:ascii="Arial Narrow" w:eastAsiaTheme="majorEastAsia" w:hAnsi="Arial Narrow"/>
                <w:snapToGrid/>
                <w:sz w:val="20"/>
                <w:szCs w:val="20"/>
                <w:lang w:eastAsia="en-AU" w:bidi="en-US"/>
              </w:rPr>
              <w:t xml:space="preserve"> additional loading dose)</w:t>
            </w:r>
          </w:p>
        </w:tc>
        <w:tc>
          <w:tcPr>
            <w:tcW w:w="88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2711">
        <w:trPr>
          <w:trHeight w:val="183"/>
        </w:trPr>
        <w:tc>
          <w:tcPr>
            <w:tcW w:w="411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snapToGrid/>
                <w:sz w:val="20"/>
                <w:szCs w:val="20"/>
                <w:lang w:eastAsia="en-AU" w:bidi="en-US"/>
              </w:rPr>
            </w:pPr>
            <w:r w:rsidRPr="00A05A0B">
              <w:rPr>
                <w:rFonts w:ascii="Arial Narrow" w:eastAsiaTheme="majorEastAsia" w:hAnsi="Arial Narrow"/>
                <w:snapToGrid/>
                <w:sz w:val="20"/>
                <w:szCs w:val="20"/>
                <w:lang w:eastAsia="en-AU" w:bidi="en-US"/>
              </w:rPr>
              <w:t xml:space="preserve">Costed over a </w:t>
            </w:r>
            <w:r w:rsidR="0088364C" w:rsidRPr="00A05A0B">
              <w:rPr>
                <w:rFonts w:ascii="Arial Narrow" w:eastAsiaTheme="majorEastAsia" w:hAnsi="Arial Narrow"/>
                <w:snapToGrid/>
                <w:sz w:val="20"/>
                <w:szCs w:val="20"/>
                <w:lang w:eastAsia="en-AU" w:bidi="en-US"/>
              </w:rPr>
              <w:t>2-</w:t>
            </w:r>
            <w:r w:rsidRPr="00A05A0B">
              <w:rPr>
                <w:rFonts w:ascii="Arial Narrow" w:eastAsiaTheme="majorEastAsia" w:hAnsi="Arial Narrow"/>
                <w:snapToGrid/>
                <w:sz w:val="20"/>
                <w:szCs w:val="20"/>
                <w:lang w:eastAsia="en-AU" w:bidi="en-US"/>
              </w:rPr>
              <w:t xml:space="preserve">year period (benralizumab = 7.5 doses in </w:t>
            </w:r>
            <w:r w:rsidR="0088364C" w:rsidRPr="00A05A0B">
              <w:rPr>
                <w:rFonts w:ascii="Arial Narrow" w:eastAsiaTheme="majorEastAsia" w:hAnsi="Arial Narrow"/>
                <w:snapToGrid/>
                <w:sz w:val="20"/>
                <w:szCs w:val="20"/>
                <w:lang w:eastAsia="en-AU" w:bidi="en-US"/>
              </w:rPr>
              <w:t>Y</w:t>
            </w:r>
            <w:r w:rsidRPr="00A05A0B">
              <w:rPr>
                <w:rFonts w:ascii="Arial Narrow" w:eastAsiaTheme="majorEastAsia" w:hAnsi="Arial Narrow"/>
                <w:snapToGrid/>
                <w:sz w:val="20"/>
                <w:szCs w:val="20"/>
                <w:lang w:eastAsia="en-AU" w:bidi="en-US"/>
              </w:rPr>
              <w:t>ear 1, 6.5 doses in Year 2; mepolizumab = 26 doses per 2 years)</w:t>
            </w:r>
          </w:p>
        </w:tc>
        <w:tc>
          <w:tcPr>
            <w:tcW w:w="88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2711">
        <w:trPr>
          <w:trHeight w:val="183"/>
        </w:trPr>
        <w:tc>
          <w:tcPr>
            <w:tcW w:w="5000" w:type="pct"/>
            <w:gridSpan w:val="2"/>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Every four week regimen used in practice (base case = only the every eight week regimen would be used)</w:t>
            </w:r>
          </w:p>
        </w:tc>
      </w:tr>
      <w:tr w:rsidR="008119AC" w:rsidRPr="00A05A0B" w:rsidTr="002A2711">
        <w:trPr>
          <w:trHeight w:val="183"/>
        </w:trPr>
        <w:tc>
          <w:tcPr>
            <w:tcW w:w="411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snapToGrid/>
                <w:sz w:val="20"/>
                <w:szCs w:val="20"/>
                <w:lang w:eastAsia="en-AU" w:bidi="en-US"/>
              </w:rPr>
            </w:pPr>
            <w:r w:rsidRPr="00A05A0B">
              <w:rPr>
                <w:rFonts w:ascii="Arial Narrow" w:eastAsiaTheme="majorEastAsia" w:hAnsi="Arial Narrow"/>
                <w:snapToGrid/>
                <w:sz w:val="20"/>
                <w:szCs w:val="20"/>
                <w:lang w:eastAsia="en-AU" w:bidi="en-US"/>
              </w:rPr>
              <w:t>Every four week regimen used in half of patients (avg. 9.75 doses per y</w:t>
            </w:r>
            <w:r w:rsidR="00E23C3A" w:rsidRPr="00A05A0B">
              <w:rPr>
                <w:rFonts w:ascii="Arial Narrow" w:eastAsiaTheme="majorEastAsia" w:hAnsi="Arial Narrow"/>
                <w:snapToGrid/>
                <w:sz w:val="20"/>
                <w:szCs w:val="20"/>
                <w:lang w:eastAsia="en-AU" w:bidi="en-US"/>
              </w:rPr>
              <w:t>ea</w:t>
            </w:r>
            <w:r w:rsidRPr="00A05A0B">
              <w:rPr>
                <w:rFonts w:ascii="Arial Narrow" w:eastAsiaTheme="majorEastAsia" w:hAnsi="Arial Narrow"/>
                <w:snapToGrid/>
                <w:sz w:val="20"/>
                <w:szCs w:val="20"/>
                <w:lang w:eastAsia="en-AU" w:bidi="en-US"/>
              </w:rPr>
              <w:t>r)</w:t>
            </w:r>
          </w:p>
        </w:tc>
        <w:tc>
          <w:tcPr>
            <w:tcW w:w="88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r w:rsidR="008119AC" w:rsidRPr="00A05A0B" w:rsidTr="002A2711">
        <w:trPr>
          <w:trHeight w:val="183"/>
        </w:trPr>
        <w:tc>
          <w:tcPr>
            <w:tcW w:w="5000" w:type="pct"/>
            <w:gridSpan w:val="2"/>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b/>
                <w:snapToGrid/>
                <w:sz w:val="20"/>
                <w:szCs w:val="20"/>
                <w:lang w:bidi="en-US"/>
              </w:rPr>
            </w:pPr>
            <w:r w:rsidRPr="00A05A0B">
              <w:rPr>
                <w:rFonts w:ascii="Arial Narrow" w:eastAsiaTheme="majorEastAsia" w:hAnsi="Arial Narrow" w:cs="Times New Roman"/>
                <w:b/>
                <w:snapToGrid/>
                <w:sz w:val="20"/>
                <w:szCs w:val="20"/>
                <w:lang w:bidi="en-US"/>
              </w:rPr>
              <w:t>Multivariate sensitivity analyses</w:t>
            </w:r>
          </w:p>
        </w:tc>
      </w:tr>
      <w:tr w:rsidR="008119AC" w:rsidRPr="00A05A0B" w:rsidTr="002A2711">
        <w:trPr>
          <w:trHeight w:val="183"/>
        </w:trPr>
        <w:tc>
          <w:tcPr>
            <w:tcW w:w="411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snapToGrid/>
                <w:sz w:val="20"/>
                <w:szCs w:val="20"/>
                <w:lang w:eastAsia="en-AU" w:bidi="en-US"/>
              </w:rPr>
            </w:pPr>
            <w:r w:rsidRPr="00A05A0B">
              <w:rPr>
                <w:rFonts w:ascii="Arial Narrow" w:eastAsiaTheme="majorEastAsia" w:hAnsi="Arial Narrow"/>
                <w:snapToGrid/>
                <w:sz w:val="20"/>
                <w:szCs w:val="20"/>
                <w:lang w:eastAsia="en-AU" w:bidi="en-US"/>
              </w:rPr>
              <w:t xml:space="preserve">Inclusion of loading dose costed over a </w:t>
            </w:r>
            <w:r w:rsidR="0088364C" w:rsidRPr="00A05A0B">
              <w:rPr>
                <w:rFonts w:ascii="Arial Narrow" w:eastAsiaTheme="majorEastAsia" w:hAnsi="Arial Narrow"/>
                <w:snapToGrid/>
                <w:sz w:val="20"/>
                <w:szCs w:val="20"/>
                <w:lang w:eastAsia="en-AU" w:bidi="en-US"/>
              </w:rPr>
              <w:t>1</w:t>
            </w:r>
            <w:r w:rsidRPr="00A05A0B">
              <w:rPr>
                <w:rFonts w:ascii="Arial Narrow" w:eastAsiaTheme="majorEastAsia" w:hAnsi="Arial Narrow"/>
                <w:snapToGrid/>
                <w:sz w:val="20"/>
                <w:szCs w:val="20"/>
                <w:lang w:eastAsia="en-AU" w:bidi="en-US"/>
              </w:rPr>
              <w:t xml:space="preserve"> year period</w:t>
            </w:r>
            <w:r w:rsidR="0088364C" w:rsidRPr="00A05A0B">
              <w:rPr>
                <w:rFonts w:ascii="Arial Narrow" w:eastAsiaTheme="majorEastAsia" w:hAnsi="Arial Narrow"/>
                <w:snapToGrid/>
                <w:sz w:val="20"/>
                <w:szCs w:val="20"/>
                <w:lang w:eastAsia="en-AU" w:bidi="en-US"/>
              </w:rPr>
              <w:t xml:space="preserve"> (</w:t>
            </w:r>
            <w:r w:rsidRPr="00A05A0B">
              <w:rPr>
                <w:rFonts w:ascii="Arial Narrow" w:eastAsiaTheme="majorEastAsia" w:hAnsi="Arial Narrow"/>
                <w:snapToGrid/>
                <w:sz w:val="20"/>
                <w:szCs w:val="20"/>
                <w:lang w:eastAsia="en-AU" w:bidi="en-US"/>
              </w:rPr>
              <w:t>7.5 doses of benralizumab</w:t>
            </w:r>
            <w:r w:rsidR="0088364C" w:rsidRPr="00A05A0B">
              <w:rPr>
                <w:rFonts w:ascii="Arial Narrow" w:eastAsiaTheme="majorEastAsia" w:hAnsi="Arial Narrow"/>
                <w:snapToGrid/>
                <w:sz w:val="20"/>
                <w:szCs w:val="20"/>
                <w:lang w:eastAsia="en-AU" w:bidi="en-US"/>
              </w:rPr>
              <w:t xml:space="preserve"> to 13 doses of mepolizumab</w:t>
            </w:r>
            <w:r w:rsidRPr="00A05A0B">
              <w:rPr>
                <w:rFonts w:ascii="Arial Narrow" w:eastAsiaTheme="majorEastAsia" w:hAnsi="Arial Narrow"/>
                <w:snapToGrid/>
                <w:sz w:val="20"/>
                <w:szCs w:val="20"/>
                <w:lang w:eastAsia="en-AU" w:bidi="en-US"/>
              </w:rPr>
              <w:t>) plus no specialist administration ($17.18</w:t>
            </w:r>
            <w:r w:rsidR="0088364C" w:rsidRPr="00A05A0B">
              <w:rPr>
                <w:rFonts w:ascii="Arial Narrow" w:eastAsiaTheme="majorEastAsia" w:hAnsi="Arial Narrow"/>
                <w:snapToGrid/>
                <w:sz w:val="20"/>
                <w:szCs w:val="20"/>
                <w:lang w:eastAsia="en-AU" w:bidi="en-US"/>
              </w:rPr>
              <w:t xml:space="preserve"> per administration</w:t>
            </w:r>
            <w:r w:rsidRPr="00A05A0B">
              <w:rPr>
                <w:rFonts w:ascii="Arial Narrow" w:eastAsiaTheme="majorEastAsia" w:hAnsi="Arial Narrow"/>
                <w:snapToGrid/>
                <w:sz w:val="20"/>
                <w:szCs w:val="20"/>
                <w:lang w:eastAsia="en-AU" w:bidi="en-US"/>
              </w:rPr>
              <w:t>)</w:t>
            </w:r>
          </w:p>
        </w:tc>
        <w:tc>
          <w:tcPr>
            <w:tcW w:w="885" w:type="pct"/>
            <w:tcBorders>
              <w:left w:val="single" w:sz="4" w:space="0" w:color="auto"/>
              <w:right w:val="single" w:sz="4" w:space="0" w:color="auto"/>
            </w:tcBorders>
          </w:tcPr>
          <w:p w:rsidR="008119AC" w:rsidRPr="00A05A0B" w:rsidRDefault="008119AC" w:rsidP="00DC2E80">
            <w:pPr>
              <w:keepNext/>
              <w:keepLines/>
              <w:widowControl/>
              <w:spacing w:before="20" w:after="20" w:line="276" w:lineRule="auto"/>
              <w:jc w:val="left"/>
              <w:rPr>
                <w:rFonts w:ascii="Arial Narrow" w:eastAsiaTheme="majorEastAsia" w:hAnsi="Arial Narrow" w:cs="Times New Roman"/>
                <w:snapToGrid/>
                <w:sz w:val="20"/>
                <w:szCs w:val="20"/>
                <w:lang w:bidi="en-US"/>
              </w:rPr>
            </w:pPr>
            <w:r w:rsidRPr="00A05A0B">
              <w:rPr>
                <w:rFonts w:ascii="Arial Narrow" w:eastAsiaTheme="majorEastAsia" w:hAnsi="Arial Narrow" w:cs="Times New Roman"/>
                <w:snapToGrid/>
                <w:sz w:val="20"/>
                <w:szCs w:val="20"/>
                <w:lang w:bidi="en-US"/>
              </w:rPr>
              <w:t>$</w:t>
            </w:r>
            <w:r w:rsidR="00127CDA">
              <w:rPr>
                <w:rFonts w:ascii="Arial Narrow" w:eastAsiaTheme="majorEastAsia" w:hAnsi="Arial Narrow" w:cs="Times New Roman"/>
                <w:noProof/>
                <w:snapToGrid/>
                <w:color w:val="000000"/>
                <w:sz w:val="20"/>
                <w:szCs w:val="20"/>
                <w:highlight w:val="black"/>
                <w:lang w:bidi="en-US"/>
              </w:rPr>
              <w:t>''''''''''''''</w:t>
            </w:r>
          </w:p>
        </w:tc>
      </w:tr>
    </w:tbl>
    <w:p w:rsidR="008119AC" w:rsidRPr="008119AC" w:rsidRDefault="008119AC" w:rsidP="00DC2E80">
      <w:pPr>
        <w:keepNext/>
        <w:keepLines/>
        <w:rPr>
          <w:rFonts w:ascii="Arial Narrow" w:hAnsi="Arial Narrow"/>
          <w:sz w:val="18"/>
        </w:rPr>
      </w:pPr>
      <w:r w:rsidRPr="008119AC">
        <w:rPr>
          <w:rFonts w:ascii="Arial Narrow" w:hAnsi="Arial Narrow"/>
          <w:sz w:val="18"/>
        </w:rPr>
        <w:t xml:space="preserve">Source: Compiled during evaluation </w:t>
      </w:r>
    </w:p>
    <w:p w:rsidR="008119AC" w:rsidRPr="008119AC" w:rsidRDefault="008119AC" w:rsidP="003C1C72">
      <w:pPr>
        <w:keepNext/>
        <w:keepLines/>
        <w:spacing w:after="120"/>
        <w:rPr>
          <w:rFonts w:ascii="Arial Narrow" w:hAnsi="Arial Narrow"/>
          <w:sz w:val="18"/>
        </w:rPr>
      </w:pPr>
      <w:r w:rsidRPr="008119AC">
        <w:rPr>
          <w:rFonts w:ascii="Arial Narrow" w:hAnsi="Arial Narrow"/>
          <w:sz w:val="18"/>
        </w:rPr>
        <w:t>AEMP = approved ex-manufacturer price; GP = General Practitioner; MBS = Medicare Benefits Schedule</w:t>
      </w:r>
    </w:p>
    <w:p w:rsidR="008119AC" w:rsidRPr="00A05A0B" w:rsidRDefault="008119AC" w:rsidP="00D70B99">
      <w:pPr>
        <w:widowControl/>
        <w:numPr>
          <w:ilvl w:val="1"/>
          <w:numId w:val="1"/>
        </w:numPr>
        <w:spacing w:after="120"/>
        <w:ind w:left="709"/>
      </w:pPr>
      <w:r w:rsidRPr="00A05A0B">
        <w:t>During evaluation, a multivariate sensitivity analysis was conducted in which:</w:t>
      </w:r>
    </w:p>
    <w:p w:rsidR="008119AC" w:rsidRPr="00A05A0B" w:rsidRDefault="008119AC" w:rsidP="00D70B99">
      <w:pPr>
        <w:numPr>
          <w:ilvl w:val="0"/>
          <w:numId w:val="3"/>
        </w:numPr>
        <w:spacing w:after="120"/>
        <w:ind w:left="1418" w:hanging="425"/>
        <w:rPr>
          <w:szCs w:val="24"/>
        </w:rPr>
      </w:pPr>
      <w:r w:rsidRPr="00A05A0B">
        <w:rPr>
          <w:szCs w:val="24"/>
        </w:rPr>
        <w:t xml:space="preserve">benralizumab loading doses were included, based on a one year time frame for estimation of the equi-effective doses; and </w:t>
      </w:r>
    </w:p>
    <w:p w:rsidR="008119AC" w:rsidRPr="00A05A0B" w:rsidRDefault="008119AC" w:rsidP="00D70B99">
      <w:pPr>
        <w:numPr>
          <w:ilvl w:val="0"/>
          <w:numId w:val="3"/>
        </w:numPr>
        <w:spacing w:after="120"/>
        <w:ind w:left="1417" w:hanging="425"/>
        <w:rPr>
          <w:szCs w:val="24"/>
        </w:rPr>
      </w:pPr>
      <w:r w:rsidRPr="00A05A0B">
        <w:rPr>
          <w:szCs w:val="24"/>
        </w:rPr>
        <w:t>specialist costs were removed from the administration offsets, reducing the cost per administration to $</w:t>
      </w:r>
      <w:r w:rsidR="00127CDA">
        <w:rPr>
          <w:noProof/>
          <w:color w:val="000000"/>
          <w:szCs w:val="24"/>
          <w:highlight w:val="black"/>
        </w:rPr>
        <w:t>''''''''''</w:t>
      </w:r>
      <w:r w:rsidR="000818CC" w:rsidRPr="00A05A0B">
        <w:rPr>
          <w:szCs w:val="24"/>
        </w:rPr>
        <w:t>. This</w:t>
      </w:r>
      <w:r w:rsidRPr="00A05A0B">
        <w:rPr>
          <w:szCs w:val="24"/>
        </w:rPr>
        <w:t xml:space="preserve"> generally aligns with the cost of a Level A GP consult ($16.95, MBS Item 3). This remained conservative as it assume</w:t>
      </w:r>
      <w:r w:rsidR="005E71F6" w:rsidRPr="00A05A0B">
        <w:rPr>
          <w:szCs w:val="24"/>
        </w:rPr>
        <w:t>d</w:t>
      </w:r>
      <w:r w:rsidRPr="00A05A0B">
        <w:rPr>
          <w:szCs w:val="24"/>
        </w:rPr>
        <w:t xml:space="preserve"> the GP consults and nurse visits </w:t>
      </w:r>
      <w:r w:rsidR="005E71F6" w:rsidRPr="00A05A0B">
        <w:rPr>
          <w:szCs w:val="24"/>
        </w:rPr>
        <w:t>would be</w:t>
      </w:r>
      <w:r w:rsidRPr="00A05A0B">
        <w:rPr>
          <w:szCs w:val="24"/>
        </w:rPr>
        <w:t xml:space="preserve"> for the sole purpose of administering the medication.</w:t>
      </w:r>
    </w:p>
    <w:p w:rsidR="008119AC" w:rsidRDefault="008119AC" w:rsidP="00C42B22">
      <w:pPr>
        <w:widowControl/>
        <w:spacing w:after="120"/>
        <w:ind w:left="709"/>
      </w:pPr>
      <w:r w:rsidRPr="00A05A0B">
        <w:t>This resulted in an Approved Ex-Manufacturer Price of $</w:t>
      </w:r>
      <w:r w:rsidR="00127CDA">
        <w:rPr>
          <w:noProof/>
          <w:color w:val="000000"/>
          <w:highlight w:val="black"/>
        </w:rPr>
        <w:t>''''''''''</w:t>
      </w:r>
      <w:r w:rsidRPr="00A05A0B">
        <w:t xml:space="preserve"> (a </w:t>
      </w:r>
      <w:r w:rsidR="00127CDA">
        <w:rPr>
          <w:noProof/>
          <w:color w:val="000000"/>
          <w:highlight w:val="black"/>
        </w:rPr>
        <w:t>''''''</w:t>
      </w:r>
      <w:r w:rsidRPr="00A05A0B">
        <w:t xml:space="preserve">% reduction to the proposed price). This may have been a more appropriate method for calculating the cost-minimisation analysis. </w:t>
      </w:r>
    </w:p>
    <w:p w:rsidR="0004150D" w:rsidRPr="00DA38B8" w:rsidRDefault="0004150D" w:rsidP="001B3678">
      <w:pPr>
        <w:pStyle w:val="ListParagraph"/>
        <w:widowControl/>
        <w:numPr>
          <w:ilvl w:val="1"/>
          <w:numId w:val="1"/>
        </w:numPr>
        <w:spacing w:after="120"/>
      </w:pPr>
      <w:r w:rsidRPr="00DA38B8">
        <w:t xml:space="preserve">The PBAC </w:t>
      </w:r>
      <w:r w:rsidR="00DA38B8" w:rsidRPr="00DA38B8">
        <w:t xml:space="preserve">noted that the proposed offsets </w:t>
      </w:r>
      <w:r w:rsidR="00DA38B8" w:rsidRPr="00E75440">
        <w:rPr>
          <w:szCs w:val="24"/>
        </w:rPr>
        <w:t xml:space="preserve">included </w:t>
      </w:r>
      <w:r w:rsidR="00E75440">
        <w:rPr>
          <w:szCs w:val="24"/>
        </w:rPr>
        <w:t xml:space="preserve">the cost of </w:t>
      </w:r>
      <w:r w:rsidR="00DA38B8" w:rsidRPr="00E75440">
        <w:rPr>
          <w:szCs w:val="24"/>
        </w:rPr>
        <w:t>administration by nurse practitioners</w:t>
      </w:r>
      <w:r w:rsidR="001B3678">
        <w:rPr>
          <w:szCs w:val="24"/>
        </w:rPr>
        <w:t xml:space="preserve">, per the </w:t>
      </w:r>
      <w:r w:rsidR="001B3678" w:rsidRPr="001B3678">
        <w:rPr>
          <w:szCs w:val="24"/>
        </w:rPr>
        <w:t>Public Summary Document for the cost-minimisation of mepolizumab to omalizumab</w:t>
      </w:r>
      <w:r w:rsidR="00E75440" w:rsidRPr="00E75440">
        <w:rPr>
          <w:szCs w:val="24"/>
        </w:rPr>
        <w:t>. However, the PBAC considered that</w:t>
      </w:r>
      <w:r w:rsidR="00DA38B8" w:rsidRPr="00E75440">
        <w:rPr>
          <w:szCs w:val="24"/>
        </w:rPr>
        <w:t xml:space="preserve"> in practice</w:t>
      </w:r>
      <w:r w:rsidR="001B3678">
        <w:rPr>
          <w:szCs w:val="24"/>
        </w:rPr>
        <w:t>,</w:t>
      </w:r>
      <w:r w:rsidR="00DA38B8" w:rsidRPr="00E75440">
        <w:rPr>
          <w:szCs w:val="24"/>
        </w:rPr>
        <w:t xml:space="preserve"> subcutaneous injections would likely be administered by practice nurses</w:t>
      </w:r>
      <w:r w:rsidR="00E75440" w:rsidRPr="00E75440">
        <w:rPr>
          <w:szCs w:val="24"/>
        </w:rPr>
        <w:t>, for whom MBS item codes do not apply</w:t>
      </w:r>
      <w:r w:rsidR="00DA38B8" w:rsidRPr="00E75440">
        <w:rPr>
          <w:szCs w:val="24"/>
        </w:rPr>
        <w:t>. While the PBAC acknowledged that there would be a cost associated with administration of injections by practice nurses, the</w:t>
      </w:r>
      <w:r w:rsidR="000D6382">
        <w:rPr>
          <w:szCs w:val="24"/>
        </w:rPr>
        <w:t xml:space="preserve"> PBAC considered that the</w:t>
      </w:r>
      <w:r w:rsidR="00DA38B8" w:rsidRPr="00E75440">
        <w:rPr>
          <w:szCs w:val="24"/>
        </w:rPr>
        <w:t xml:space="preserve"> use of the MBS item for nurse practitioners as a proxy </w:t>
      </w:r>
      <w:r w:rsidR="000D6382">
        <w:rPr>
          <w:szCs w:val="24"/>
        </w:rPr>
        <w:t>may</w:t>
      </w:r>
      <w:r w:rsidR="00DA38B8" w:rsidRPr="00E75440">
        <w:rPr>
          <w:szCs w:val="24"/>
        </w:rPr>
        <w:t xml:space="preserve"> overestimate this cost.</w:t>
      </w:r>
    </w:p>
    <w:p w:rsidR="00D70B99" w:rsidRDefault="008119AC" w:rsidP="0081025B">
      <w:pPr>
        <w:widowControl/>
        <w:numPr>
          <w:ilvl w:val="1"/>
          <w:numId w:val="1"/>
        </w:numPr>
        <w:spacing w:after="120"/>
        <w:ind w:left="709"/>
      </w:pPr>
      <w:r w:rsidRPr="00A05A0B">
        <w:t>Omalizumab, which was nominated as a secondary comparator, has an established equi-effective dose of: omalizumab 398 mg equals mepolizumab 100</w:t>
      </w:r>
      <w:r w:rsidR="005E71F6" w:rsidRPr="00A05A0B">
        <w:t> </w:t>
      </w:r>
      <w:r w:rsidRPr="00A05A0B">
        <w:t xml:space="preserve">mg. Thus the equi-effective doses proposed by the submission were: benralizumab 100 mg every eight weeks (6.5 doses per year) </w:t>
      </w:r>
      <w:r w:rsidR="005E71F6" w:rsidRPr="00A05A0B">
        <w:t>equals</w:t>
      </w:r>
      <w:r w:rsidRPr="00A05A0B">
        <w:t xml:space="preserve"> omalizumab 398 mg every four weeks (13 doses per year). Omalizumab would be an appropriate pricing comparator, though the prices between mepolizumab and omalizumab were at parity at the time of evaluation (once administration offsets were included). </w:t>
      </w:r>
    </w:p>
    <w:p w:rsidR="0081025B" w:rsidRPr="00170DDB" w:rsidRDefault="008119AC" w:rsidP="003C1C72">
      <w:pPr>
        <w:pStyle w:val="Heading2"/>
      </w:pPr>
      <w:r w:rsidRPr="00170DDB">
        <w:t>Drug cost/patient/year: $</w:t>
      </w:r>
      <w:r w:rsidR="00127CDA">
        <w:rPr>
          <w:noProof/>
          <w:color w:val="000000"/>
          <w:highlight w:val="black"/>
        </w:rPr>
        <w:t>''''''''''''</w:t>
      </w:r>
      <w:r w:rsidR="00A64D31" w:rsidRPr="00170DDB">
        <w:t xml:space="preserve"> (at the price proposed in the submission)</w:t>
      </w:r>
    </w:p>
    <w:p w:rsidR="00A64D31" w:rsidRPr="00A05A0B" w:rsidRDefault="008119AC" w:rsidP="003C1C72">
      <w:pPr>
        <w:widowControl/>
        <w:numPr>
          <w:ilvl w:val="1"/>
          <w:numId w:val="1"/>
        </w:numPr>
        <w:spacing w:after="120"/>
        <w:ind w:left="709"/>
      </w:pPr>
      <w:r w:rsidRPr="00A05A0B">
        <w:t>Th</w:t>
      </w:r>
      <w:r w:rsidR="004F5CAE" w:rsidRPr="00A05A0B">
        <w:t>e drug cost per patient per year wa</w:t>
      </w:r>
      <w:r w:rsidRPr="00A05A0B">
        <w:t xml:space="preserve">s based on the submission’s proposed published </w:t>
      </w:r>
      <w:r w:rsidR="005E71F6" w:rsidRPr="00A05A0B">
        <w:t>dispensed price per maximum quantity (</w:t>
      </w:r>
      <w:r w:rsidRPr="00A05A0B">
        <w:t>DPMQ</w:t>
      </w:r>
      <w:r w:rsidR="005E71F6" w:rsidRPr="00A05A0B">
        <w:t>)</w:t>
      </w:r>
      <w:r w:rsidRPr="00A05A0B">
        <w:t xml:space="preserve"> of $</w:t>
      </w:r>
      <w:r w:rsidR="00127CDA">
        <w:rPr>
          <w:noProof/>
          <w:color w:val="000000"/>
          <w:highlight w:val="black"/>
        </w:rPr>
        <w:t>''''''''''''''''</w:t>
      </w:r>
      <w:r w:rsidRPr="00A05A0B">
        <w:t xml:space="preserve"> (Public) and $</w:t>
      </w:r>
      <w:r w:rsidR="00127CDA">
        <w:rPr>
          <w:noProof/>
          <w:color w:val="000000"/>
          <w:highlight w:val="black"/>
        </w:rPr>
        <w:t>'''''''''''''''</w:t>
      </w:r>
      <w:r w:rsidRPr="00A05A0B">
        <w:t xml:space="preserve"> (Private), assuming </w:t>
      </w:r>
      <w:r w:rsidR="00127CDA">
        <w:rPr>
          <w:noProof/>
          <w:color w:val="000000"/>
          <w:highlight w:val="black"/>
        </w:rPr>
        <w:t>''''''</w:t>
      </w:r>
      <w:r w:rsidRPr="00A05A0B">
        <w:t xml:space="preserve"> doses including the initial loading dose</w:t>
      </w:r>
      <w:r w:rsidR="004F5CAE" w:rsidRPr="00A05A0B">
        <w:t>,</w:t>
      </w:r>
      <w:r w:rsidRPr="00A05A0B">
        <w:t xml:space="preserve"> and </w:t>
      </w:r>
      <w:r w:rsidR="00127CDA">
        <w:rPr>
          <w:noProof/>
          <w:color w:val="000000"/>
          <w:highlight w:val="black"/>
        </w:rPr>
        <w:t>''''''</w:t>
      </w:r>
      <w:r w:rsidRPr="00A05A0B">
        <w:t>% of use</w:t>
      </w:r>
      <w:r w:rsidR="005E71F6" w:rsidRPr="00A05A0B">
        <w:t xml:space="preserve"> through</w:t>
      </w:r>
      <w:r w:rsidRPr="00A05A0B">
        <w:t xml:space="preserve"> public hospitals.</w:t>
      </w:r>
    </w:p>
    <w:p w:rsidR="00D70B99" w:rsidRPr="0081025B" w:rsidRDefault="008119AC" w:rsidP="003C1C72">
      <w:pPr>
        <w:widowControl/>
        <w:numPr>
          <w:ilvl w:val="1"/>
          <w:numId w:val="1"/>
        </w:numPr>
        <w:spacing w:after="120"/>
        <w:ind w:left="709"/>
      </w:pPr>
      <w:r w:rsidRPr="00A05A0B">
        <w:rPr>
          <w:rFonts w:cs="Calibri"/>
          <w:snapToGrid/>
          <w:szCs w:val="24"/>
          <w:lang w:val="en-US" w:eastAsia="en-AU"/>
        </w:rPr>
        <w:t>This compares with a drug cost per patient of $</w:t>
      </w:r>
      <w:r w:rsidR="00127CDA">
        <w:rPr>
          <w:rFonts w:cs="Calibri"/>
          <w:noProof/>
          <w:snapToGrid/>
          <w:color w:val="000000"/>
          <w:szCs w:val="24"/>
          <w:highlight w:val="black"/>
          <w:lang w:val="en-US" w:eastAsia="en-AU"/>
        </w:rPr>
        <w:t>''''''''''''''</w:t>
      </w:r>
      <w:r w:rsidRPr="00A05A0B">
        <w:rPr>
          <w:rFonts w:cs="Calibri"/>
          <w:snapToGrid/>
          <w:szCs w:val="24"/>
          <w:lang w:val="en-US" w:eastAsia="en-AU"/>
        </w:rPr>
        <w:t xml:space="preserve"> for mepolizumab (13 doses, </w:t>
      </w:r>
      <w:r w:rsidR="005E71F6" w:rsidRPr="00A05A0B">
        <w:t>67% of use through public hospitals</w:t>
      </w:r>
      <w:r w:rsidRPr="00A05A0B">
        <w:rPr>
          <w:rFonts w:cs="Calibri"/>
          <w:snapToGrid/>
          <w:szCs w:val="24"/>
          <w:lang w:val="en-US" w:eastAsia="en-AU"/>
        </w:rPr>
        <w:t>).</w:t>
      </w:r>
    </w:p>
    <w:p w:rsidR="008119AC" w:rsidRPr="00170DDB" w:rsidRDefault="008119AC" w:rsidP="003C1C72">
      <w:pPr>
        <w:pStyle w:val="Heading2"/>
      </w:pPr>
      <w:r w:rsidRPr="00170DDB">
        <w:t>Estimated PBS usage &amp; financial implications</w:t>
      </w:r>
    </w:p>
    <w:p w:rsidR="008119AC" w:rsidRPr="00A05A0B" w:rsidRDefault="008119AC" w:rsidP="00D70B99">
      <w:pPr>
        <w:widowControl/>
        <w:numPr>
          <w:ilvl w:val="1"/>
          <w:numId w:val="1"/>
        </w:numPr>
        <w:spacing w:after="120"/>
        <w:ind w:left="709"/>
      </w:pPr>
      <w:r w:rsidRPr="00A05A0B">
        <w:t xml:space="preserve">This submission </w:t>
      </w:r>
      <w:r w:rsidR="002D3AD6">
        <w:t>wa</w:t>
      </w:r>
      <w:r w:rsidR="005E71F6" w:rsidRPr="00A05A0B">
        <w:t>s not c</w:t>
      </w:r>
      <w:r w:rsidRPr="00A05A0B">
        <w:t>onsidered by DUSC</w:t>
      </w:r>
      <w:r w:rsidR="000363A6">
        <w:t>.</w:t>
      </w:r>
      <w:r w:rsidRPr="00A05A0B">
        <w:rPr>
          <w:color w:val="0070C0"/>
        </w:rPr>
        <w:t xml:space="preserve">  </w:t>
      </w:r>
    </w:p>
    <w:p w:rsidR="00B66D9C" w:rsidRDefault="007A788C" w:rsidP="00D70B99">
      <w:pPr>
        <w:widowControl/>
        <w:numPr>
          <w:ilvl w:val="1"/>
          <w:numId w:val="1"/>
        </w:numPr>
        <w:spacing w:after="120"/>
        <w:ind w:left="709"/>
      </w:pPr>
      <w:r w:rsidRPr="00A05A0B">
        <w:t xml:space="preserve">An epidemiological approach was used to estimate the number of patients who would be eligible for benralizumab. The submission did not </w:t>
      </w:r>
      <w:r w:rsidR="00AC5D73" w:rsidRPr="00A05A0B">
        <w:t xml:space="preserve">include cost-offsets for reduced use of mepolizumab or omalizumab (due to patients switching or otherwise having been treated with the comparators). </w:t>
      </w:r>
      <w:r w:rsidRPr="00A05A0B">
        <w:t xml:space="preserve">This resulted in a significant </w:t>
      </w:r>
      <w:r w:rsidR="00587CC7" w:rsidRPr="00A05A0B">
        <w:t xml:space="preserve">estimated </w:t>
      </w:r>
      <w:r w:rsidRPr="00A05A0B">
        <w:t>net cost despite listing being requested on a cost</w:t>
      </w:r>
      <w:r w:rsidR="00015BDA" w:rsidRPr="00A05A0B">
        <w:noBreakHyphen/>
      </w:r>
      <w:r w:rsidRPr="00A05A0B">
        <w:t xml:space="preserve">minimisation basis. This was not reasonable </w:t>
      </w:r>
      <w:r w:rsidR="00525084" w:rsidRPr="00A05A0B">
        <w:t>given the</w:t>
      </w:r>
      <w:r w:rsidRPr="00A05A0B">
        <w:t xml:space="preserve"> proposed population was the same as mepolizumab.  </w:t>
      </w:r>
    </w:p>
    <w:p w:rsidR="00AF6D9E" w:rsidRPr="003D535D" w:rsidRDefault="004879E7" w:rsidP="00B66D9C">
      <w:pPr>
        <w:widowControl/>
        <w:numPr>
          <w:ilvl w:val="1"/>
          <w:numId w:val="1"/>
        </w:numPr>
        <w:spacing w:after="120"/>
      </w:pPr>
      <w:r w:rsidRPr="003D535D">
        <w:t xml:space="preserve">The PSCR </w:t>
      </w:r>
      <w:r w:rsidR="00C1001C" w:rsidRPr="003D535D">
        <w:t>stated</w:t>
      </w:r>
      <w:r w:rsidRPr="003D535D">
        <w:t xml:space="preserve"> </w:t>
      </w:r>
      <w:r w:rsidR="00842E0D" w:rsidRPr="003D535D">
        <w:t xml:space="preserve">that </w:t>
      </w:r>
      <w:r w:rsidRPr="003D535D">
        <w:t xml:space="preserve">it was difficult to estimate the </w:t>
      </w:r>
      <w:r w:rsidR="00800D04" w:rsidRPr="003D535D">
        <w:t>extent</w:t>
      </w:r>
      <w:r w:rsidR="00842E0D" w:rsidRPr="003D535D">
        <w:t xml:space="preserve"> to which benralizumab would </w:t>
      </w:r>
      <w:r w:rsidRPr="003D535D">
        <w:t>substitut</w:t>
      </w:r>
      <w:r w:rsidR="00842E0D" w:rsidRPr="003D535D">
        <w:t>e</w:t>
      </w:r>
      <w:r w:rsidRPr="003D535D">
        <w:t xml:space="preserve"> for mepolizumab and omalizumab</w:t>
      </w:r>
      <w:r w:rsidR="00B66D9C" w:rsidRPr="003D535D">
        <w:t>. The PSCR also noted that there are</w:t>
      </w:r>
      <w:r w:rsidRPr="003D535D">
        <w:t xml:space="preserve"> two minor submissions </w:t>
      </w:r>
      <w:r w:rsidR="00B66D9C" w:rsidRPr="003D535D">
        <w:t xml:space="preserve">on the agenda </w:t>
      </w:r>
      <w:r w:rsidRPr="003D535D">
        <w:t xml:space="preserve">for the March 2018 PBAC meeting </w:t>
      </w:r>
      <w:r w:rsidR="00B66D9C" w:rsidRPr="003D535D">
        <w:t xml:space="preserve">which </w:t>
      </w:r>
      <w:r w:rsidR="000363A6" w:rsidRPr="003D535D">
        <w:t xml:space="preserve">both </w:t>
      </w:r>
      <w:r w:rsidR="00B66D9C" w:rsidRPr="003D535D">
        <w:t>request changes to the time period for switching between biologics</w:t>
      </w:r>
      <w:r w:rsidR="000363A6" w:rsidRPr="003D535D">
        <w:t xml:space="preserve"> in asthma. T</w:t>
      </w:r>
      <w:r w:rsidR="00B66D9C" w:rsidRPr="003D535D">
        <w:t xml:space="preserve">he PSCR stated that this would impact the uptake estimates. </w:t>
      </w:r>
      <w:r w:rsidRPr="003D535D">
        <w:t xml:space="preserve"> </w:t>
      </w:r>
    </w:p>
    <w:p w:rsidR="008119AC" w:rsidRPr="00C42B22" w:rsidRDefault="008119AC" w:rsidP="00821A46">
      <w:pPr>
        <w:keepNext/>
        <w:keepLines/>
        <w:rPr>
          <w:sz w:val="20"/>
          <w:szCs w:val="20"/>
        </w:rPr>
      </w:pPr>
      <w:r w:rsidRPr="00C42B22">
        <w:rPr>
          <w:rFonts w:ascii="Arial Narrow" w:hAnsi="Arial Narrow"/>
          <w:b/>
          <w:sz w:val="20"/>
          <w:szCs w:val="20"/>
        </w:rPr>
        <w:t>Table 1</w:t>
      </w:r>
      <w:r w:rsidR="00BA3EA4">
        <w:rPr>
          <w:rFonts w:ascii="Arial Narrow" w:hAnsi="Arial Narrow"/>
          <w:b/>
          <w:sz w:val="20"/>
          <w:szCs w:val="20"/>
        </w:rPr>
        <w:t>4</w:t>
      </w:r>
      <w:r w:rsidRPr="00C42B22">
        <w:rPr>
          <w:rFonts w:ascii="Arial Narrow" w:hAnsi="Arial Narrow"/>
          <w:b/>
          <w:sz w:val="20"/>
          <w:szCs w:val="20"/>
        </w:rPr>
        <w:t>: Estimated use and financial implications</w:t>
      </w:r>
      <w:r w:rsidR="00A64D31">
        <w:rPr>
          <w:rFonts w:ascii="Arial Narrow" w:hAnsi="Arial Narrow"/>
          <w:b/>
          <w:sz w:val="20"/>
          <w:szCs w:val="20"/>
        </w:rPr>
        <w:t xml:space="preserve"> (based on price proposed in the submission)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4"/>
        <w:gridCol w:w="985"/>
        <w:gridCol w:w="1150"/>
        <w:gridCol w:w="1150"/>
        <w:gridCol w:w="1150"/>
        <w:gridCol w:w="1150"/>
        <w:gridCol w:w="1148"/>
      </w:tblGrid>
      <w:tr w:rsidR="008119AC" w:rsidRPr="00C42B22" w:rsidTr="00626C41">
        <w:trPr>
          <w:tblHeader/>
        </w:trPr>
        <w:tc>
          <w:tcPr>
            <w:tcW w:w="1212" w:type="pct"/>
            <w:shd w:val="clear" w:color="auto" w:fill="auto"/>
            <w:vAlign w:val="center"/>
          </w:tcPr>
          <w:p w:rsidR="008119AC" w:rsidRPr="00C42B22" w:rsidRDefault="008119AC" w:rsidP="00821A46">
            <w:pPr>
              <w:keepNext/>
              <w:keepLines/>
              <w:widowControl/>
              <w:jc w:val="left"/>
              <w:rPr>
                <w:rFonts w:ascii="Arial Narrow" w:hAnsi="Arial Narrow" w:cs="Times New Roman"/>
                <w:snapToGrid/>
                <w:sz w:val="20"/>
                <w:szCs w:val="20"/>
              </w:rPr>
            </w:pPr>
          </w:p>
        </w:tc>
        <w:tc>
          <w:tcPr>
            <w:tcW w:w="554" w:type="pct"/>
            <w:shd w:val="clear" w:color="auto" w:fill="auto"/>
            <w:vAlign w:val="center"/>
          </w:tcPr>
          <w:p w:rsidR="008119AC" w:rsidRPr="00C42B22" w:rsidRDefault="008119AC" w:rsidP="00821A46">
            <w:pPr>
              <w:keepNext/>
              <w:keepLines/>
              <w:widowControl/>
              <w:jc w:val="center"/>
              <w:rPr>
                <w:rFonts w:ascii="Arial Narrow" w:hAnsi="Arial Narrow" w:cs="Times New Roman"/>
                <w:b/>
                <w:snapToGrid/>
                <w:sz w:val="20"/>
                <w:szCs w:val="20"/>
              </w:rPr>
            </w:pPr>
            <w:r w:rsidRPr="00C42B22">
              <w:rPr>
                <w:rFonts w:ascii="Arial Narrow" w:hAnsi="Arial Narrow" w:cs="Times New Roman"/>
                <w:b/>
                <w:snapToGrid/>
                <w:sz w:val="20"/>
                <w:szCs w:val="20"/>
              </w:rPr>
              <w:t>Year 1</w:t>
            </w:r>
          </w:p>
        </w:tc>
        <w:tc>
          <w:tcPr>
            <w:tcW w:w="647" w:type="pct"/>
            <w:shd w:val="clear" w:color="auto" w:fill="auto"/>
            <w:vAlign w:val="center"/>
          </w:tcPr>
          <w:p w:rsidR="008119AC" w:rsidRPr="00C42B22" w:rsidRDefault="008119AC" w:rsidP="00821A46">
            <w:pPr>
              <w:keepNext/>
              <w:keepLines/>
              <w:widowControl/>
              <w:jc w:val="center"/>
              <w:rPr>
                <w:rFonts w:ascii="Arial Narrow" w:hAnsi="Arial Narrow" w:cs="Times New Roman"/>
                <w:b/>
                <w:snapToGrid/>
                <w:sz w:val="20"/>
                <w:szCs w:val="20"/>
              </w:rPr>
            </w:pPr>
            <w:r w:rsidRPr="00C42B22">
              <w:rPr>
                <w:rFonts w:ascii="Arial Narrow" w:hAnsi="Arial Narrow" w:cs="Times New Roman"/>
                <w:b/>
                <w:snapToGrid/>
                <w:sz w:val="20"/>
                <w:szCs w:val="20"/>
              </w:rPr>
              <w:t>Year 2</w:t>
            </w:r>
          </w:p>
        </w:tc>
        <w:tc>
          <w:tcPr>
            <w:tcW w:w="647" w:type="pct"/>
            <w:shd w:val="clear" w:color="auto" w:fill="auto"/>
            <w:vAlign w:val="center"/>
          </w:tcPr>
          <w:p w:rsidR="008119AC" w:rsidRPr="00C42B22" w:rsidRDefault="008119AC" w:rsidP="00821A46">
            <w:pPr>
              <w:keepNext/>
              <w:keepLines/>
              <w:widowControl/>
              <w:jc w:val="center"/>
              <w:rPr>
                <w:rFonts w:ascii="Arial Narrow" w:hAnsi="Arial Narrow" w:cs="Times New Roman"/>
                <w:b/>
                <w:snapToGrid/>
                <w:sz w:val="20"/>
                <w:szCs w:val="20"/>
              </w:rPr>
            </w:pPr>
            <w:r w:rsidRPr="00C42B22">
              <w:rPr>
                <w:rFonts w:ascii="Arial Narrow" w:hAnsi="Arial Narrow" w:cs="Times New Roman"/>
                <w:b/>
                <w:snapToGrid/>
                <w:sz w:val="20"/>
                <w:szCs w:val="20"/>
              </w:rPr>
              <w:t>Year 3</w:t>
            </w:r>
          </w:p>
        </w:tc>
        <w:tc>
          <w:tcPr>
            <w:tcW w:w="647" w:type="pct"/>
            <w:shd w:val="clear" w:color="auto" w:fill="auto"/>
            <w:vAlign w:val="center"/>
          </w:tcPr>
          <w:p w:rsidR="008119AC" w:rsidRPr="00C42B22" w:rsidRDefault="008119AC" w:rsidP="00821A46">
            <w:pPr>
              <w:keepNext/>
              <w:keepLines/>
              <w:widowControl/>
              <w:jc w:val="center"/>
              <w:rPr>
                <w:rFonts w:ascii="Arial Narrow" w:hAnsi="Arial Narrow" w:cs="Times New Roman"/>
                <w:b/>
                <w:snapToGrid/>
                <w:sz w:val="20"/>
                <w:szCs w:val="20"/>
              </w:rPr>
            </w:pPr>
            <w:r w:rsidRPr="00C42B22">
              <w:rPr>
                <w:rFonts w:ascii="Arial Narrow" w:hAnsi="Arial Narrow" w:cs="Times New Roman"/>
                <w:b/>
                <w:snapToGrid/>
                <w:sz w:val="20"/>
                <w:szCs w:val="20"/>
              </w:rPr>
              <w:t>Year 4</w:t>
            </w:r>
          </w:p>
        </w:tc>
        <w:tc>
          <w:tcPr>
            <w:tcW w:w="647" w:type="pct"/>
            <w:shd w:val="clear" w:color="auto" w:fill="auto"/>
            <w:vAlign w:val="center"/>
          </w:tcPr>
          <w:p w:rsidR="008119AC" w:rsidRPr="00C42B22" w:rsidRDefault="008119AC" w:rsidP="00821A46">
            <w:pPr>
              <w:keepNext/>
              <w:keepLines/>
              <w:widowControl/>
              <w:jc w:val="center"/>
              <w:rPr>
                <w:rFonts w:ascii="Arial Narrow" w:hAnsi="Arial Narrow" w:cs="Times New Roman"/>
                <w:b/>
                <w:snapToGrid/>
                <w:sz w:val="20"/>
                <w:szCs w:val="20"/>
              </w:rPr>
            </w:pPr>
            <w:r w:rsidRPr="00C42B22">
              <w:rPr>
                <w:rFonts w:ascii="Arial Narrow" w:hAnsi="Arial Narrow" w:cs="Times New Roman"/>
                <w:b/>
                <w:snapToGrid/>
                <w:sz w:val="20"/>
                <w:szCs w:val="20"/>
              </w:rPr>
              <w:t>Year 5</w:t>
            </w:r>
          </w:p>
        </w:tc>
        <w:tc>
          <w:tcPr>
            <w:tcW w:w="646" w:type="pct"/>
          </w:tcPr>
          <w:p w:rsidR="008119AC" w:rsidRPr="00C42B22" w:rsidRDefault="008119AC" w:rsidP="00821A46">
            <w:pPr>
              <w:keepNext/>
              <w:keepLines/>
              <w:widowControl/>
              <w:jc w:val="center"/>
              <w:rPr>
                <w:rFonts w:ascii="Arial Narrow" w:hAnsi="Arial Narrow" w:cs="Times New Roman"/>
                <w:b/>
                <w:snapToGrid/>
                <w:sz w:val="20"/>
                <w:szCs w:val="20"/>
              </w:rPr>
            </w:pPr>
            <w:r w:rsidRPr="00C42B22">
              <w:rPr>
                <w:rFonts w:ascii="Arial Narrow" w:hAnsi="Arial Narrow" w:cs="Times New Roman"/>
                <w:b/>
                <w:snapToGrid/>
                <w:sz w:val="20"/>
                <w:szCs w:val="20"/>
              </w:rPr>
              <w:t>Year 6</w:t>
            </w:r>
          </w:p>
        </w:tc>
      </w:tr>
      <w:tr w:rsidR="008119AC" w:rsidRPr="00C42B22" w:rsidTr="002A2711">
        <w:tc>
          <w:tcPr>
            <w:tcW w:w="5000" w:type="pct"/>
            <w:gridSpan w:val="7"/>
            <w:shd w:val="clear" w:color="auto" w:fill="auto"/>
            <w:vAlign w:val="center"/>
          </w:tcPr>
          <w:p w:rsidR="008119AC" w:rsidRPr="00C42B22" w:rsidRDefault="008119AC" w:rsidP="00821A46">
            <w:pPr>
              <w:keepNext/>
              <w:keepLines/>
              <w:widowControl/>
              <w:jc w:val="left"/>
              <w:rPr>
                <w:rFonts w:ascii="Arial Narrow" w:hAnsi="Arial Narrow" w:cs="Times New Roman"/>
                <w:b/>
                <w:bCs/>
                <w:snapToGrid/>
                <w:color w:val="000000"/>
                <w:sz w:val="20"/>
                <w:szCs w:val="20"/>
              </w:rPr>
            </w:pPr>
            <w:r w:rsidRPr="00C42B22">
              <w:rPr>
                <w:rFonts w:ascii="Arial Narrow" w:hAnsi="Arial Narrow" w:cs="Times New Roman"/>
                <w:b/>
                <w:bCs/>
                <w:snapToGrid/>
                <w:color w:val="000000"/>
                <w:sz w:val="20"/>
                <w:szCs w:val="20"/>
              </w:rPr>
              <w:t>Estimated extent of use</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Times" w:hAnsi="Times" w:cs="Times New Roman"/>
                <w:snapToGrid/>
                <w:sz w:val="20"/>
                <w:szCs w:val="20"/>
              </w:rPr>
            </w:pPr>
            <w:r w:rsidRPr="00C42B22">
              <w:rPr>
                <w:rFonts w:ascii="Arial Narrow" w:hAnsi="Arial Narrow" w:cs="Times New Roman"/>
                <w:snapToGrid/>
                <w:sz w:val="20"/>
                <w:szCs w:val="20"/>
              </w:rPr>
              <w:t>N</w:t>
            </w:r>
            <w:r w:rsidR="004F5CAE" w:rsidRPr="00C42B22">
              <w:rPr>
                <w:rFonts w:ascii="Arial Narrow" w:hAnsi="Arial Narrow" w:cs="Times New Roman"/>
                <w:snapToGrid/>
                <w:sz w:val="20"/>
                <w:szCs w:val="20"/>
              </w:rPr>
              <w:t>o.</w:t>
            </w:r>
            <w:r w:rsidRPr="00C42B22">
              <w:rPr>
                <w:rFonts w:ascii="Arial Narrow" w:hAnsi="Arial Narrow" w:cs="Times New Roman"/>
                <w:snapToGrid/>
                <w:sz w:val="20"/>
                <w:szCs w:val="20"/>
              </w:rPr>
              <w:t xml:space="preserve"> of patients treated</w:t>
            </w:r>
          </w:p>
        </w:tc>
        <w:tc>
          <w:tcPr>
            <w:tcW w:w="554"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6" w:type="pct"/>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Times" w:hAnsi="Times" w:cs="Times New Roman"/>
                <w:snapToGrid/>
                <w:sz w:val="20"/>
                <w:szCs w:val="20"/>
              </w:rPr>
            </w:pPr>
            <w:r w:rsidRPr="00C42B22">
              <w:rPr>
                <w:rFonts w:ascii="Arial Narrow" w:hAnsi="Arial Narrow" w:cs="Times New Roman"/>
                <w:snapToGrid/>
                <w:sz w:val="20"/>
                <w:szCs w:val="20"/>
              </w:rPr>
              <w:t>N</w:t>
            </w:r>
            <w:r w:rsidR="004F5CAE" w:rsidRPr="00C42B22">
              <w:rPr>
                <w:rFonts w:ascii="Arial Narrow" w:hAnsi="Arial Narrow" w:cs="Times New Roman"/>
                <w:snapToGrid/>
                <w:sz w:val="20"/>
                <w:szCs w:val="20"/>
              </w:rPr>
              <w:t>o.</w:t>
            </w:r>
            <w:r w:rsidRPr="00C42B22">
              <w:rPr>
                <w:rFonts w:ascii="Arial Narrow" w:hAnsi="Arial Narrow" w:cs="Times New Roman"/>
                <w:snapToGrid/>
                <w:sz w:val="20"/>
                <w:szCs w:val="20"/>
              </w:rPr>
              <w:t xml:space="preserve"> of scripts dispensed</w:t>
            </w:r>
            <w:r w:rsidR="00626C41" w:rsidRPr="00C42B22">
              <w:rPr>
                <w:rFonts w:ascii="Arial Narrow" w:hAnsi="Arial Narrow" w:cs="Times New Roman"/>
                <w:snapToGrid/>
                <w:sz w:val="20"/>
                <w:szCs w:val="20"/>
              </w:rPr>
              <w:t xml:space="preserve"> </w:t>
            </w:r>
            <w:r w:rsidRPr="00C42B22">
              <w:rPr>
                <w:rFonts w:ascii="Arial Narrow" w:hAnsi="Arial Narrow" w:cs="Times New Roman"/>
                <w:snapToGrid/>
                <w:sz w:val="20"/>
                <w:szCs w:val="20"/>
                <w:vertAlign w:val="superscript"/>
              </w:rPr>
              <w:t>a</w:t>
            </w:r>
          </w:p>
        </w:tc>
        <w:tc>
          <w:tcPr>
            <w:tcW w:w="554"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c>
          <w:tcPr>
            <w:tcW w:w="646" w:type="pct"/>
            <w:vAlign w:val="center"/>
          </w:tcPr>
          <w:p w:rsidR="008119AC" w:rsidRPr="00127CDA" w:rsidRDefault="00127CDA" w:rsidP="00821A46">
            <w:pPr>
              <w:keepNext/>
              <w:keepLines/>
              <w:widowControl/>
              <w:jc w:val="left"/>
              <w:rPr>
                <w:rFonts w:ascii="Arial Narrow" w:hAnsi="Arial Narrow" w:cs="Times New Roman"/>
                <w:bCs/>
                <w:snapToGrid/>
                <w:color w:val="000000"/>
                <w:sz w:val="20"/>
                <w:szCs w:val="20"/>
                <w:highlight w:val="black"/>
              </w:rPr>
            </w:pPr>
            <w:r>
              <w:rPr>
                <w:rFonts w:ascii="Arial Narrow" w:hAnsi="Arial Narrow" w:cs="Times New Roman"/>
                <w:bCs/>
                <w:noProof/>
                <w:snapToGrid/>
                <w:color w:val="000000"/>
                <w:sz w:val="20"/>
                <w:szCs w:val="20"/>
                <w:highlight w:val="black"/>
              </w:rPr>
              <w:t>'''''''''''''</w:t>
            </w:r>
          </w:p>
        </w:tc>
      </w:tr>
      <w:tr w:rsidR="008119AC" w:rsidRPr="00C42B22" w:rsidTr="002A2711">
        <w:tc>
          <w:tcPr>
            <w:tcW w:w="5000" w:type="pct"/>
            <w:gridSpan w:val="7"/>
            <w:shd w:val="clear" w:color="auto" w:fill="auto"/>
            <w:vAlign w:val="center"/>
          </w:tcPr>
          <w:p w:rsidR="008119AC" w:rsidRPr="00C42B22" w:rsidRDefault="008119AC" w:rsidP="00821A46">
            <w:pPr>
              <w:keepNext/>
              <w:keepLines/>
              <w:widowControl/>
              <w:jc w:val="left"/>
              <w:rPr>
                <w:rFonts w:ascii="Arial Narrow" w:hAnsi="Arial Narrow" w:cs="Times New Roman"/>
                <w:b/>
                <w:bCs/>
                <w:snapToGrid/>
                <w:color w:val="000000"/>
                <w:sz w:val="20"/>
                <w:szCs w:val="20"/>
              </w:rPr>
            </w:pPr>
            <w:r w:rsidRPr="00C42B22">
              <w:rPr>
                <w:rFonts w:ascii="Arial Narrow" w:hAnsi="Arial Narrow" w:cs="Times New Roman"/>
                <w:b/>
                <w:bCs/>
                <w:snapToGrid/>
                <w:color w:val="000000"/>
                <w:sz w:val="20"/>
                <w:szCs w:val="20"/>
              </w:rPr>
              <w:t>Estimated financial implications of benralizumab</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Arial Narrow" w:hAnsi="Arial Narrow" w:cs="Times New Roman"/>
                <w:snapToGrid/>
                <w:sz w:val="20"/>
                <w:szCs w:val="20"/>
              </w:rPr>
            </w:pPr>
            <w:r w:rsidRPr="00C42B22">
              <w:rPr>
                <w:rFonts w:ascii="Arial Narrow" w:hAnsi="Arial Narrow" w:cs="Times New Roman"/>
                <w:snapToGrid/>
                <w:sz w:val="20"/>
                <w:szCs w:val="20"/>
              </w:rPr>
              <w:t>Cost to PBS/RPBS</w:t>
            </w:r>
            <w:r w:rsidRPr="00C42B22">
              <w:rPr>
                <w:rFonts w:ascii="Arial Narrow" w:hAnsi="Arial Narrow" w:cs="Times New Roman"/>
                <w:snapToGrid/>
                <w:sz w:val="20"/>
                <w:szCs w:val="20"/>
                <w:vertAlign w:val="superscript"/>
              </w:rPr>
              <w:t xml:space="preserve"> </w:t>
            </w:r>
          </w:p>
        </w:tc>
        <w:tc>
          <w:tcPr>
            <w:tcW w:w="554"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bCs/>
                <w:i/>
                <w:snapToGrid/>
                <w:color w:val="000000"/>
                <w:sz w:val="20"/>
                <w:szCs w:val="20"/>
              </w:rPr>
              <w:t>$</w:t>
            </w:r>
            <w:r w:rsidR="00127CDA">
              <w:rPr>
                <w:rFonts w:ascii="Arial Narrow" w:hAnsi="Arial Narrow" w:cs="Times New Roman"/>
                <w:bCs/>
                <w:i/>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bCs/>
                <w:i/>
                <w:snapToGrid/>
                <w:color w:val="000000"/>
                <w:sz w:val="20"/>
                <w:szCs w:val="20"/>
              </w:rPr>
              <w:t>$</w:t>
            </w:r>
            <w:r w:rsidR="00127CDA">
              <w:rPr>
                <w:rFonts w:ascii="Arial Narrow" w:hAnsi="Arial Narrow" w:cs="Times New Roman"/>
                <w:bCs/>
                <w:i/>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bCs/>
                <w:i/>
                <w:snapToGrid/>
                <w:color w:val="000000"/>
                <w:sz w:val="20"/>
                <w:szCs w:val="20"/>
              </w:rPr>
              <w:t>$</w:t>
            </w:r>
            <w:r w:rsidR="00127CDA">
              <w:rPr>
                <w:rFonts w:ascii="Arial Narrow" w:hAnsi="Arial Narrow" w:cs="Times New Roman"/>
                <w:bCs/>
                <w:i/>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bCs/>
                <w:i/>
                <w:snapToGrid/>
                <w:color w:val="000000"/>
                <w:sz w:val="20"/>
                <w:szCs w:val="20"/>
              </w:rPr>
              <w:t>$</w:t>
            </w:r>
            <w:r w:rsidR="00127CDA">
              <w:rPr>
                <w:rFonts w:ascii="Arial Narrow" w:hAnsi="Arial Narrow" w:cs="Times New Roman"/>
                <w:bCs/>
                <w:i/>
                <w:noProof/>
                <w:snapToGrid/>
                <w:color w:val="000000"/>
                <w:sz w:val="20"/>
                <w:szCs w:val="20"/>
                <w:highlight w:val="black"/>
              </w:rPr>
              <w:t>'''''''''''''''''''''''''''''</w:t>
            </w:r>
          </w:p>
        </w:tc>
        <w:tc>
          <w:tcPr>
            <w:tcW w:w="646" w:type="pct"/>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bCs/>
                <w:i/>
                <w:snapToGrid/>
                <w:color w:val="000000"/>
                <w:sz w:val="20"/>
                <w:szCs w:val="20"/>
              </w:rPr>
              <w:t>$</w:t>
            </w:r>
            <w:r w:rsidR="00127CDA">
              <w:rPr>
                <w:rFonts w:ascii="Arial Narrow" w:hAnsi="Arial Narrow" w:cs="Times New Roman"/>
                <w:bCs/>
                <w:i/>
                <w:noProof/>
                <w:snapToGrid/>
                <w:color w:val="000000"/>
                <w:sz w:val="20"/>
                <w:szCs w:val="20"/>
                <w:highlight w:val="black"/>
              </w:rPr>
              <w:t>''''''''''''''''''''''''</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Arial Narrow" w:hAnsi="Arial Narrow" w:cs="Times New Roman"/>
                <w:snapToGrid/>
                <w:sz w:val="20"/>
                <w:szCs w:val="20"/>
              </w:rPr>
            </w:pPr>
            <w:r w:rsidRPr="00C42B22">
              <w:rPr>
                <w:rFonts w:ascii="Arial Narrow" w:hAnsi="Arial Narrow" w:cs="Times New Roman"/>
                <w:snapToGrid/>
                <w:sz w:val="20"/>
                <w:szCs w:val="20"/>
              </w:rPr>
              <w:t xml:space="preserve">Copayments </w:t>
            </w:r>
          </w:p>
        </w:tc>
        <w:tc>
          <w:tcPr>
            <w:tcW w:w="554"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6" w:type="pct"/>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Arial Narrow" w:hAnsi="Arial Narrow" w:cs="Times New Roman"/>
                <w:snapToGrid/>
                <w:sz w:val="20"/>
                <w:szCs w:val="20"/>
              </w:rPr>
            </w:pPr>
            <w:r w:rsidRPr="00C42B22">
              <w:rPr>
                <w:rFonts w:ascii="Arial Narrow" w:hAnsi="Arial Narrow" w:cs="Times New Roman"/>
                <w:snapToGrid/>
                <w:sz w:val="20"/>
                <w:szCs w:val="20"/>
              </w:rPr>
              <w:t>Cost to PBS/RPBS less copayments</w:t>
            </w:r>
          </w:p>
        </w:tc>
        <w:tc>
          <w:tcPr>
            <w:tcW w:w="554"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6" w:type="pct"/>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r>
      <w:tr w:rsidR="008119AC" w:rsidRPr="00C42B22" w:rsidTr="002A2711">
        <w:tc>
          <w:tcPr>
            <w:tcW w:w="5000" w:type="pct"/>
            <w:gridSpan w:val="7"/>
            <w:shd w:val="clear" w:color="auto" w:fill="auto"/>
            <w:vAlign w:val="center"/>
          </w:tcPr>
          <w:p w:rsidR="008119AC" w:rsidRPr="00C42B22" w:rsidRDefault="008119AC" w:rsidP="00821A46">
            <w:pPr>
              <w:keepNext/>
              <w:keepLines/>
              <w:widowControl/>
              <w:jc w:val="left"/>
              <w:rPr>
                <w:rFonts w:ascii="Arial Narrow" w:hAnsi="Arial Narrow" w:cs="Times New Roman"/>
                <w:b/>
                <w:bCs/>
                <w:snapToGrid/>
                <w:color w:val="000000"/>
                <w:sz w:val="20"/>
                <w:szCs w:val="20"/>
              </w:rPr>
            </w:pPr>
            <w:r w:rsidRPr="00C42B22">
              <w:rPr>
                <w:rFonts w:ascii="Arial Narrow" w:hAnsi="Arial Narrow" w:cs="Times New Roman"/>
                <w:b/>
                <w:bCs/>
                <w:snapToGrid/>
                <w:color w:val="000000"/>
                <w:sz w:val="20"/>
                <w:szCs w:val="20"/>
              </w:rPr>
              <w:t>Net financial implications</w:t>
            </w:r>
            <w:r w:rsidRPr="00C42B22">
              <w:rPr>
                <w:rFonts w:ascii="Arial Narrow" w:hAnsi="Arial Narrow" w:cs="Times New Roman"/>
                <w:b/>
                <w:bCs/>
                <w:snapToGrid/>
                <w:color w:val="4BACC6" w:themeColor="accent5"/>
                <w:sz w:val="20"/>
                <w:szCs w:val="20"/>
              </w:rPr>
              <w:t xml:space="preserve"> </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Arial Narrow" w:hAnsi="Arial Narrow" w:cs="Times New Roman"/>
                <w:snapToGrid/>
                <w:sz w:val="20"/>
                <w:szCs w:val="20"/>
              </w:rPr>
            </w:pPr>
            <w:r w:rsidRPr="00C42B22">
              <w:rPr>
                <w:rFonts w:ascii="Arial Narrow" w:hAnsi="Arial Narrow" w:cs="Times New Roman"/>
                <w:snapToGrid/>
                <w:sz w:val="20"/>
                <w:szCs w:val="20"/>
              </w:rPr>
              <w:t>Net cost to PBS/RPBS</w:t>
            </w:r>
          </w:p>
        </w:tc>
        <w:tc>
          <w:tcPr>
            <w:tcW w:w="554"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7" w:type="pct"/>
            <w:shd w:val="clear" w:color="auto" w:fill="auto"/>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c>
          <w:tcPr>
            <w:tcW w:w="646" w:type="pct"/>
            <w:vAlign w:val="center"/>
          </w:tcPr>
          <w:p w:rsidR="008119AC" w:rsidRPr="00C42B22" w:rsidRDefault="008119AC" w:rsidP="00821A46">
            <w:pPr>
              <w:keepNext/>
              <w:keepLines/>
              <w:widowControl/>
              <w:jc w:val="left"/>
              <w:rPr>
                <w:rFonts w:ascii="Arial Narrow" w:hAnsi="Arial Narrow" w:cs="Times New Roman"/>
                <w:bCs/>
                <w:snapToGrid/>
                <w:color w:val="000000"/>
                <w:sz w:val="20"/>
                <w:szCs w:val="20"/>
              </w:rPr>
            </w:pPr>
            <w:r w:rsidRPr="00C42B22">
              <w:rPr>
                <w:rFonts w:ascii="Arial Narrow" w:hAnsi="Arial Narrow" w:cs="Times New Roman"/>
                <w:bCs/>
                <w:snapToGrid/>
                <w:color w:val="000000"/>
                <w:sz w:val="20"/>
                <w:szCs w:val="20"/>
              </w:rPr>
              <w:t>$</w:t>
            </w:r>
            <w:r w:rsidR="00127CDA">
              <w:rPr>
                <w:rFonts w:ascii="Arial Narrow" w:hAnsi="Arial Narrow" w:cs="Times New Roman"/>
                <w:bCs/>
                <w:noProof/>
                <w:snapToGrid/>
                <w:color w:val="000000"/>
                <w:sz w:val="20"/>
                <w:szCs w:val="20"/>
                <w:highlight w:val="black"/>
              </w:rPr>
              <w:t>''''''''''''''''''''''''''''</w:t>
            </w:r>
          </w:p>
        </w:tc>
      </w:tr>
      <w:tr w:rsidR="008119AC" w:rsidRPr="00C42B22" w:rsidTr="00626C41">
        <w:tc>
          <w:tcPr>
            <w:tcW w:w="1212" w:type="pct"/>
            <w:shd w:val="clear" w:color="auto" w:fill="auto"/>
            <w:vAlign w:val="center"/>
          </w:tcPr>
          <w:p w:rsidR="008119AC" w:rsidRPr="00C42B22" w:rsidRDefault="008119AC" w:rsidP="00821A46">
            <w:pPr>
              <w:keepNext/>
              <w:keepLines/>
              <w:widowControl/>
              <w:jc w:val="left"/>
              <w:rPr>
                <w:rFonts w:ascii="Times" w:hAnsi="Times" w:cs="Times New Roman"/>
                <w:snapToGrid/>
                <w:sz w:val="20"/>
                <w:szCs w:val="20"/>
              </w:rPr>
            </w:pPr>
            <w:r w:rsidRPr="00C42B22">
              <w:rPr>
                <w:rFonts w:ascii="Arial Narrow" w:hAnsi="Arial Narrow" w:cs="Times New Roman"/>
                <w:snapToGrid/>
                <w:sz w:val="20"/>
                <w:szCs w:val="20"/>
              </w:rPr>
              <w:t xml:space="preserve">Net cost to MBS – </w:t>
            </w:r>
            <w:r w:rsidRPr="00C42B22">
              <w:rPr>
                <w:rFonts w:ascii="Arial Narrow" w:hAnsi="Arial Narrow" w:cs="Times New Roman"/>
                <w:i/>
                <w:snapToGrid/>
                <w:sz w:val="20"/>
                <w:szCs w:val="20"/>
              </w:rPr>
              <w:t>without GP and nurse costs</w:t>
            </w:r>
          </w:p>
        </w:tc>
        <w:tc>
          <w:tcPr>
            <w:tcW w:w="554" w:type="pct"/>
            <w:shd w:val="clear" w:color="auto" w:fill="FFFFFF" w:themeFill="background1"/>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shd w:val="clear" w:color="auto" w:fill="FFFFFF" w:themeFill="background1"/>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shd w:val="clear" w:color="auto" w:fill="FFFFFF" w:themeFill="background1"/>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shd w:val="clear" w:color="auto" w:fill="FFFFFF" w:themeFill="background1"/>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shd w:val="clear" w:color="auto" w:fill="FFFFFF" w:themeFill="background1"/>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6" w:type="pct"/>
            <w:shd w:val="clear" w:color="auto" w:fill="FFFFFF" w:themeFill="background1"/>
          </w:tcPr>
          <w:p w:rsidR="008119AC" w:rsidRPr="00C42B22" w:rsidRDefault="008119AC" w:rsidP="00821A46">
            <w:pPr>
              <w:keepNext/>
              <w:keepLines/>
              <w:widowControl/>
              <w:jc w:val="left"/>
              <w:rPr>
                <w:rFonts w:ascii="Arial Narrow" w:hAnsi="Arial Narrow" w:cs="Times New Roman"/>
                <w:bCs/>
                <w:i/>
                <w:snapToGrid/>
                <w:color w:val="000000"/>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r>
      <w:tr w:rsidR="008C242C" w:rsidRPr="00C42B22" w:rsidTr="00626C41">
        <w:tc>
          <w:tcPr>
            <w:tcW w:w="1212" w:type="pct"/>
            <w:shd w:val="clear" w:color="auto" w:fill="auto"/>
            <w:vAlign w:val="center"/>
          </w:tcPr>
          <w:p w:rsidR="008C242C" w:rsidRPr="00C42B22" w:rsidRDefault="008C242C" w:rsidP="00821A46">
            <w:pPr>
              <w:keepNext/>
              <w:keepLines/>
              <w:widowControl/>
              <w:jc w:val="left"/>
              <w:rPr>
                <w:rFonts w:ascii="Arial Narrow" w:hAnsi="Arial Narrow" w:cs="Times New Roman"/>
                <w:snapToGrid/>
                <w:sz w:val="20"/>
                <w:szCs w:val="20"/>
              </w:rPr>
            </w:pPr>
            <w:r w:rsidRPr="00C42B22">
              <w:rPr>
                <w:rFonts w:ascii="Arial Narrow" w:hAnsi="Arial Narrow" w:cs="Times New Roman"/>
                <w:snapToGrid/>
                <w:sz w:val="20"/>
                <w:szCs w:val="20"/>
              </w:rPr>
              <w:t xml:space="preserve">Net cost to </w:t>
            </w:r>
            <w:r w:rsidR="00626C41" w:rsidRPr="00C42B22">
              <w:rPr>
                <w:rFonts w:ascii="Arial Narrow" w:hAnsi="Arial Narrow" w:cs="Times New Roman"/>
                <w:snapToGrid/>
                <w:sz w:val="20"/>
                <w:szCs w:val="20"/>
              </w:rPr>
              <w:t>PBS/RPBS/MBS</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8C242C" w:rsidRPr="00C42B22" w:rsidRDefault="008C242C" w:rsidP="00821A46">
            <w:pPr>
              <w:keepNext/>
              <w:keepLines/>
              <w:widowControl/>
              <w:jc w:val="left"/>
              <w:rPr>
                <w:rFonts w:ascii="Arial Narrow" w:hAnsi="Arial Narrow" w:cs="Times New Roman"/>
                <w:i/>
                <w:snapToGrid/>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8C242C" w:rsidRPr="00C42B22" w:rsidRDefault="008C242C" w:rsidP="00821A46">
            <w:pPr>
              <w:keepNext/>
              <w:keepLines/>
              <w:widowControl/>
              <w:jc w:val="left"/>
              <w:rPr>
                <w:rFonts w:ascii="Arial Narrow" w:hAnsi="Arial Narrow" w:cs="Times New Roman"/>
                <w:i/>
                <w:snapToGrid/>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8C242C" w:rsidRPr="00C42B22" w:rsidRDefault="008C242C" w:rsidP="00821A46">
            <w:pPr>
              <w:keepNext/>
              <w:keepLines/>
              <w:widowControl/>
              <w:jc w:val="left"/>
              <w:rPr>
                <w:rFonts w:ascii="Arial Narrow" w:hAnsi="Arial Narrow" w:cs="Times New Roman"/>
                <w:i/>
                <w:snapToGrid/>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8C242C" w:rsidRPr="00C42B22" w:rsidRDefault="008C242C" w:rsidP="00821A46">
            <w:pPr>
              <w:keepNext/>
              <w:keepLines/>
              <w:widowControl/>
              <w:jc w:val="left"/>
              <w:rPr>
                <w:rFonts w:ascii="Arial Narrow" w:hAnsi="Arial Narrow" w:cs="Times New Roman"/>
                <w:i/>
                <w:snapToGrid/>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7" w:type="pct"/>
            <w:tcBorders>
              <w:top w:val="single" w:sz="4" w:space="0" w:color="auto"/>
              <w:left w:val="nil"/>
              <w:bottom w:val="single" w:sz="4" w:space="0" w:color="auto"/>
              <w:right w:val="single" w:sz="4" w:space="0" w:color="auto"/>
            </w:tcBorders>
            <w:shd w:val="clear" w:color="auto" w:fill="auto"/>
          </w:tcPr>
          <w:p w:rsidR="008C242C" w:rsidRPr="00C42B22" w:rsidRDefault="008C242C" w:rsidP="00821A46">
            <w:pPr>
              <w:keepNext/>
              <w:keepLines/>
              <w:widowControl/>
              <w:jc w:val="left"/>
              <w:rPr>
                <w:rFonts w:ascii="Arial Narrow" w:hAnsi="Arial Narrow" w:cs="Times New Roman"/>
                <w:i/>
                <w:snapToGrid/>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c>
          <w:tcPr>
            <w:tcW w:w="646" w:type="pct"/>
            <w:tcBorders>
              <w:top w:val="single" w:sz="4" w:space="0" w:color="auto"/>
              <w:left w:val="nil"/>
              <w:bottom w:val="single" w:sz="4" w:space="0" w:color="auto"/>
              <w:right w:val="single" w:sz="4" w:space="0" w:color="auto"/>
            </w:tcBorders>
            <w:shd w:val="clear" w:color="auto" w:fill="auto"/>
          </w:tcPr>
          <w:p w:rsidR="008C242C" w:rsidRPr="00C42B22" w:rsidRDefault="008C242C" w:rsidP="00821A46">
            <w:pPr>
              <w:keepNext/>
              <w:keepLines/>
              <w:widowControl/>
              <w:jc w:val="left"/>
              <w:rPr>
                <w:rFonts w:ascii="Arial Narrow" w:hAnsi="Arial Narrow" w:cs="Times New Roman"/>
                <w:i/>
                <w:snapToGrid/>
                <w:sz w:val="20"/>
                <w:szCs w:val="20"/>
              </w:rPr>
            </w:pPr>
            <w:r w:rsidRPr="00C42B22">
              <w:rPr>
                <w:rFonts w:ascii="Arial Narrow" w:hAnsi="Arial Narrow" w:cs="Times New Roman"/>
                <w:i/>
                <w:snapToGrid/>
                <w:sz w:val="20"/>
                <w:szCs w:val="20"/>
              </w:rPr>
              <w:t>$</w:t>
            </w:r>
            <w:r w:rsidR="00127CDA">
              <w:rPr>
                <w:rFonts w:ascii="Arial Narrow" w:hAnsi="Arial Narrow" w:cs="Times New Roman"/>
                <w:i/>
                <w:noProof/>
                <w:snapToGrid/>
                <w:color w:val="000000"/>
                <w:sz w:val="20"/>
                <w:szCs w:val="20"/>
                <w:highlight w:val="black"/>
              </w:rPr>
              <w:t>'''''''''''''''''''''''''''</w:t>
            </w:r>
          </w:p>
        </w:tc>
      </w:tr>
    </w:tbl>
    <w:p w:rsidR="008119AC" w:rsidRPr="00A05A0B" w:rsidRDefault="008119AC" w:rsidP="00821A46">
      <w:pPr>
        <w:keepNext/>
        <w:keepLines/>
        <w:tabs>
          <w:tab w:val="left" w:pos="142"/>
        </w:tabs>
        <w:jc w:val="left"/>
        <w:rPr>
          <w:rFonts w:ascii="Arial Narrow" w:hAnsi="Arial Narrow"/>
          <w:sz w:val="18"/>
        </w:rPr>
      </w:pPr>
      <w:r w:rsidRPr="00A05A0B">
        <w:rPr>
          <w:rFonts w:ascii="Arial Narrow" w:hAnsi="Arial Narrow"/>
          <w:sz w:val="18"/>
        </w:rPr>
        <w:t>Source: Tables 4.8, 4.9, p129 of the submission; “3b. Impact – PUB” worksheet, “</w:t>
      </w:r>
      <w:bookmarkStart w:id="8" w:name="_Hlk500879107"/>
      <w:r w:rsidRPr="00A05A0B">
        <w:rPr>
          <w:rFonts w:ascii="Arial Narrow" w:hAnsi="Arial Narrow"/>
          <w:sz w:val="18"/>
        </w:rPr>
        <w:t>Utilisation-and-cost-model_benralizumabMar18PBAC meeting.xlsx”</w:t>
      </w:r>
      <w:bookmarkEnd w:id="8"/>
      <w:r w:rsidRPr="00A05A0B">
        <w:rPr>
          <w:rFonts w:ascii="Arial Narrow" w:hAnsi="Arial Narrow"/>
          <w:sz w:val="18"/>
        </w:rPr>
        <w:t xml:space="preserve">; Ital = values in italics were </w:t>
      </w:r>
      <w:r w:rsidR="004F5CAE" w:rsidRPr="00A05A0B">
        <w:rPr>
          <w:rFonts w:ascii="Arial Narrow" w:hAnsi="Arial Narrow"/>
          <w:sz w:val="18"/>
        </w:rPr>
        <w:t xml:space="preserve">re-calculated </w:t>
      </w:r>
      <w:r w:rsidRPr="00A05A0B">
        <w:rPr>
          <w:rFonts w:ascii="Arial Narrow" w:hAnsi="Arial Narrow"/>
          <w:sz w:val="18"/>
        </w:rPr>
        <w:t xml:space="preserve">during the evaluation </w:t>
      </w:r>
      <w:r w:rsidR="00AC5D73" w:rsidRPr="00A05A0B">
        <w:rPr>
          <w:rFonts w:ascii="Arial Narrow" w:hAnsi="Arial Narrow"/>
          <w:sz w:val="18"/>
        </w:rPr>
        <w:t xml:space="preserve">to reflect the 85% benefit rather than the full fee for specialists consults and also </w:t>
      </w:r>
      <w:r w:rsidR="004F5CAE" w:rsidRPr="00A05A0B">
        <w:rPr>
          <w:rFonts w:ascii="Arial Narrow" w:hAnsi="Arial Narrow"/>
          <w:sz w:val="18"/>
        </w:rPr>
        <w:t>to remove GP and nurse administration costs a</w:t>
      </w:r>
      <w:r w:rsidR="00AC5D73" w:rsidRPr="00A05A0B">
        <w:rPr>
          <w:rFonts w:ascii="Arial Narrow" w:hAnsi="Arial Narrow"/>
          <w:sz w:val="18"/>
        </w:rPr>
        <w:t>s these would be unlikely to be realised in clinical practice.</w:t>
      </w:r>
    </w:p>
    <w:p w:rsidR="008119AC" w:rsidRPr="00A05A0B" w:rsidRDefault="008119AC" w:rsidP="00821A46">
      <w:pPr>
        <w:keepNext/>
        <w:keepLines/>
        <w:tabs>
          <w:tab w:val="left" w:pos="142"/>
        </w:tabs>
        <w:jc w:val="left"/>
        <w:rPr>
          <w:rFonts w:ascii="Arial Narrow" w:hAnsi="Arial Narrow"/>
          <w:sz w:val="18"/>
        </w:rPr>
      </w:pPr>
      <w:r w:rsidRPr="00A05A0B">
        <w:rPr>
          <w:rFonts w:ascii="Arial Narrow" w:hAnsi="Arial Narrow"/>
          <w:sz w:val="18"/>
        </w:rPr>
        <w:t xml:space="preserve">GP = general practitioner; PBS = pharmaceutical benefits scheme; RPBS = repatriation pharmaceutical benefits scheme; MBS = </w:t>
      </w:r>
      <w:r w:rsidR="004F5CAE" w:rsidRPr="00A05A0B">
        <w:rPr>
          <w:rFonts w:ascii="Arial Narrow" w:hAnsi="Arial Narrow"/>
          <w:sz w:val="18"/>
        </w:rPr>
        <w:t xml:space="preserve">Medicare Benefits Schedule  </w:t>
      </w:r>
    </w:p>
    <w:p w:rsidR="008119AC" w:rsidRPr="00A05A0B" w:rsidRDefault="008119AC" w:rsidP="003C1C72">
      <w:pPr>
        <w:keepNext/>
        <w:keepLines/>
        <w:tabs>
          <w:tab w:val="left" w:pos="142"/>
        </w:tabs>
        <w:spacing w:after="120"/>
        <w:rPr>
          <w:rFonts w:ascii="Arial Narrow" w:hAnsi="Arial Narrow"/>
          <w:sz w:val="18"/>
        </w:rPr>
      </w:pPr>
      <w:r w:rsidRPr="00A05A0B">
        <w:rPr>
          <w:rFonts w:ascii="Arial Narrow" w:hAnsi="Arial Narrow"/>
          <w:sz w:val="18"/>
          <w:vertAlign w:val="superscript"/>
        </w:rPr>
        <w:t xml:space="preserve"> a</w:t>
      </w:r>
      <w:r w:rsidRPr="00A05A0B">
        <w:rPr>
          <w:rFonts w:ascii="Arial Narrow" w:hAnsi="Arial Narrow"/>
          <w:sz w:val="18"/>
        </w:rPr>
        <w:tab/>
        <w:t xml:space="preserve">Assuming 6.5 scripts per year for continuing patient and 5 scripts per </w:t>
      </w:r>
      <w:r w:rsidR="00E23C3A" w:rsidRPr="00A05A0B">
        <w:rPr>
          <w:rFonts w:ascii="Arial Narrow" w:hAnsi="Arial Narrow"/>
          <w:sz w:val="18"/>
        </w:rPr>
        <w:t>year</w:t>
      </w:r>
      <w:r w:rsidRPr="00A05A0B">
        <w:rPr>
          <w:rFonts w:ascii="Arial Narrow" w:hAnsi="Arial Narrow"/>
          <w:sz w:val="18"/>
        </w:rPr>
        <w:t xml:space="preserve"> for initiating patients as estimated by the submission.</w:t>
      </w:r>
    </w:p>
    <w:p w:rsidR="00832C56" w:rsidRPr="00A05A0B" w:rsidRDefault="00832C56" w:rsidP="00D70B99">
      <w:pPr>
        <w:widowControl/>
        <w:numPr>
          <w:ilvl w:val="1"/>
          <w:numId w:val="1"/>
        </w:numPr>
        <w:spacing w:after="120"/>
        <w:ind w:left="709"/>
      </w:pPr>
      <w:r w:rsidRPr="00A05A0B">
        <w:t>The submission estimated that</w:t>
      </w:r>
      <w:r w:rsidR="004613C8">
        <w:t xml:space="preserve"> </w:t>
      </w:r>
      <w:r w:rsidR="001554CC">
        <w:t>less than 10,000</w:t>
      </w:r>
      <w:r w:rsidR="001554CC" w:rsidRPr="001554CC">
        <w:t xml:space="preserve"> </w:t>
      </w:r>
      <w:r w:rsidR="004613C8">
        <w:t>patients</w:t>
      </w:r>
      <w:r w:rsidR="00D04942">
        <w:t xml:space="preserve"> </w:t>
      </w:r>
      <w:r w:rsidR="004613C8">
        <w:t xml:space="preserve">would use benralizumab </w:t>
      </w:r>
      <w:r w:rsidR="00365A7D">
        <w:t>in Year </w:t>
      </w:r>
      <w:r w:rsidR="004613C8">
        <w:t>6. The submission estimated that</w:t>
      </w:r>
      <w:r w:rsidRPr="00A05A0B">
        <w:t xml:space="preserve"> the net cost to the PBS/RPBS would be $</w:t>
      </w:r>
      <w:r w:rsidR="001554CC">
        <w:t>10 - $20</w:t>
      </w:r>
      <w:r w:rsidRPr="00A05A0B">
        <w:t> million in Year 6 and $</w:t>
      </w:r>
      <w:r w:rsidR="001554CC">
        <w:t>40 -$60</w:t>
      </w:r>
      <w:r w:rsidRPr="00A05A0B">
        <w:t xml:space="preserve"> million over six years.</w:t>
      </w:r>
      <w:r w:rsidR="00A64D31">
        <w:t xml:space="preserve"> This was based on the price proposed in the submission.</w:t>
      </w:r>
    </w:p>
    <w:p w:rsidR="00D723B9" w:rsidRPr="00A05A0B" w:rsidRDefault="008119AC" w:rsidP="00D70B99">
      <w:pPr>
        <w:widowControl/>
        <w:numPr>
          <w:ilvl w:val="1"/>
          <w:numId w:val="1"/>
        </w:numPr>
        <w:spacing w:after="120"/>
        <w:ind w:left="709"/>
      </w:pPr>
      <w:r w:rsidRPr="00A05A0B">
        <w:t xml:space="preserve">The cost of listing benralizumab </w:t>
      </w:r>
      <w:r w:rsidR="00667B61" w:rsidRPr="00A05A0B">
        <w:t xml:space="preserve">was substantially overestimated as cost-offsets from reductions in use of mepolizumab and omalizumab were not included. </w:t>
      </w:r>
    </w:p>
    <w:p w:rsidR="008557BC" w:rsidRPr="00A05A0B" w:rsidRDefault="00D723B9" w:rsidP="00D70B99">
      <w:pPr>
        <w:pStyle w:val="ListParagraph"/>
        <w:widowControl/>
        <w:numPr>
          <w:ilvl w:val="1"/>
          <w:numId w:val="1"/>
        </w:numPr>
        <w:spacing w:after="120"/>
      </w:pPr>
      <w:r w:rsidRPr="00A05A0B">
        <w:t xml:space="preserve">Overall, the </w:t>
      </w:r>
      <w:r w:rsidR="00A64D31">
        <w:t xml:space="preserve">evaluation considered that the </w:t>
      </w:r>
      <w:r w:rsidRPr="00A05A0B">
        <w:t xml:space="preserve">submission likely </w:t>
      </w:r>
      <w:r w:rsidR="008557BC" w:rsidRPr="00A05A0B">
        <w:t>over</w:t>
      </w:r>
      <w:r w:rsidRPr="00A05A0B">
        <w:t>estimated the number of treated patients because</w:t>
      </w:r>
      <w:r w:rsidR="008557BC" w:rsidRPr="00A05A0B">
        <w:t xml:space="preserve"> the prevalent population was double-counted. The submission assumed that 80% of prevalent patients from each previous year would continue (cumulatively), plus a new prevalent pool was assumed to commence each year. This likely outweighed the impact of two factors which would have reduced the number of eligible patient</w:t>
      </w:r>
      <w:r w:rsidR="00FF36E7" w:rsidRPr="00A05A0B">
        <w:t>s</w:t>
      </w:r>
      <w:r w:rsidR="008557BC" w:rsidRPr="00A05A0B">
        <w:t>:</w:t>
      </w:r>
    </w:p>
    <w:p w:rsidR="006A05F7" w:rsidRPr="00A05A0B" w:rsidRDefault="00706FE8" w:rsidP="00D70B99">
      <w:pPr>
        <w:numPr>
          <w:ilvl w:val="0"/>
          <w:numId w:val="3"/>
        </w:numPr>
        <w:spacing w:after="120"/>
        <w:ind w:left="1418" w:hanging="425"/>
        <w:rPr>
          <w:szCs w:val="24"/>
        </w:rPr>
      </w:pPr>
      <w:r w:rsidRPr="00A05A0B">
        <w:rPr>
          <w:szCs w:val="24"/>
        </w:rPr>
        <w:t xml:space="preserve">an unnecessary step was included in the estimation of </w:t>
      </w:r>
      <w:r w:rsidR="00AE5305" w:rsidRPr="00A05A0B">
        <w:rPr>
          <w:szCs w:val="24"/>
        </w:rPr>
        <w:t xml:space="preserve">the proportion of </w:t>
      </w:r>
      <w:r w:rsidR="00667B61" w:rsidRPr="00A05A0B">
        <w:rPr>
          <w:szCs w:val="24"/>
        </w:rPr>
        <w:t>patients with exacerbations</w:t>
      </w:r>
      <w:r w:rsidRPr="00A05A0B">
        <w:rPr>
          <w:szCs w:val="24"/>
        </w:rPr>
        <w:t xml:space="preserve"> (an adjustment was made for the proportion of patients taking high-dose inhaled corticosteroids, however this adjustment was also made in a subsequent step)</w:t>
      </w:r>
      <w:r w:rsidR="006A05F7" w:rsidRPr="00A05A0B">
        <w:rPr>
          <w:szCs w:val="24"/>
        </w:rPr>
        <w:t xml:space="preserve">; </w:t>
      </w:r>
      <w:r w:rsidR="008557BC" w:rsidRPr="00A05A0B">
        <w:rPr>
          <w:szCs w:val="24"/>
        </w:rPr>
        <w:t>and</w:t>
      </w:r>
    </w:p>
    <w:p w:rsidR="003D7C27" w:rsidRPr="00A05A0B" w:rsidRDefault="006A05F7" w:rsidP="00D70B99">
      <w:pPr>
        <w:numPr>
          <w:ilvl w:val="0"/>
          <w:numId w:val="3"/>
        </w:numPr>
        <w:spacing w:after="120"/>
        <w:ind w:left="1417" w:hanging="425"/>
        <w:rPr>
          <w:szCs w:val="24"/>
        </w:rPr>
      </w:pPr>
      <w:r w:rsidRPr="00A05A0B">
        <w:rPr>
          <w:szCs w:val="24"/>
        </w:rPr>
        <w:t>the proportion of patients with refractory asthma appeared to have been underestimated. The submission assumed that only 30% of patients with uncontrolled asthma would have good adherence and correct inhaler technique</w:t>
      </w:r>
      <w:r w:rsidR="003D7C27" w:rsidRPr="00A05A0B">
        <w:rPr>
          <w:szCs w:val="24"/>
        </w:rPr>
        <w:t xml:space="preserve">. </w:t>
      </w:r>
    </w:p>
    <w:p w:rsidR="008119AC" w:rsidRPr="00170DDB" w:rsidRDefault="008119AC" w:rsidP="003C1C72">
      <w:pPr>
        <w:pStyle w:val="Heading2"/>
      </w:pPr>
      <w:r w:rsidRPr="00170DDB">
        <w:t>Quality Use of Medicines</w:t>
      </w:r>
    </w:p>
    <w:p w:rsidR="00D70B99" w:rsidRDefault="008119AC" w:rsidP="0081025B">
      <w:pPr>
        <w:widowControl/>
        <w:numPr>
          <w:ilvl w:val="1"/>
          <w:numId w:val="1"/>
        </w:numPr>
        <w:spacing w:after="120"/>
        <w:ind w:left="709"/>
      </w:pPr>
      <w:r w:rsidRPr="00A05A0B">
        <w:t xml:space="preserve">The submission stated that the risk of incorrect administration or dosing of benralizumab would be minimised because it is a pre-filled syringe intended to be administered by health care professionals. </w:t>
      </w:r>
    </w:p>
    <w:p w:rsidR="008119AC" w:rsidRPr="00170DDB" w:rsidRDefault="008119AC" w:rsidP="003C1C72">
      <w:pPr>
        <w:pStyle w:val="Heading2"/>
      </w:pPr>
      <w:r w:rsidRPr="00170DDB">
        <w:t>Financial Management – Risk Sharing Arrangements</w:t>
      </w:r>
    </w:p>
    <w:p w:rsidR="008119AC" w:rsidRDefault="008119AC" w:rsidP="00D70B99">
      <w:pPr>
        <w:widowControl/>
        <w:numPr>
          <w:ilvl w:val="1"/>
          <w:numId w:val="1"/>
        </w:numPr>
        <w:spacing w:after="120"/>
        <w:ind w:left="709"/>
      </w:pPr>
      <w:r w:rsidRPr="00A05A0B">
        <w:t>The submission anticipated</w:t>
      </w:r>
      <w:r w:rsidRPr="00F0271D">
        <w:t xml:space="preserve"> </w:t>
      </w:r>
      <w:r w:rsidRPr="00A05A0B">
        <w:t xml:space="preserve">that there was a Risk Sharing Arrangement in place for mepolizumab and omalizumab, and expected that benralizumab would be added to this agreement, </w:t>
      </w:r>
      <w:r w:rsidR="00525084" w:rsidRPr="00A05A0B">
        <w:t>including any existing price-volume caps</w:t>
      </w:r>
      <w:r w:rsidRPr="00A05A0B">
        <w:t>.</w:t>
      </w:r>
    </w:p>
    <w:p w:rsidR="004613C8" w:rsidRDefault="00525084" w:rsidP="00F0271D">
      <w:pPr>
        <w:widowControl/>
        <w:numPr>
          <w:ilvl w:val="1"/>
          <w:numId w:val="1"/>
        </w:numPr>
        <w:spacing w:after="120"/>
        <w:ind w:left="709"/>
      </w:pPr>
      <w:r w:rsidRPr="00A05A0B">
        <w:t>The submission also stated that benralizumab was likely to grow the market for biologics in asthma because: it was suitable for some different sub-types of asthma compared with omalizumab; it provides an additional treatment option; and a minor submission was being submitted to amend the restriction to enable a shorter wash-out period. However</w:t>
      </w:r>
      <w:r w:rsidR="004E76E9">
        <w:t>, the evaluation considered that</w:t>
      </w:r>
      <w:r w:rsidRPr="00A05A0B">
        <w:t xml:space="preserve"> benralizumab would be unlikely to significantly grow the market compared with mepolizumab because the proposed population was the same as mepolizumab and no additional patient groups would be eligible.</w:t>
      </w:r>
    </w:p>
    <w:p w:rsidR="003E1DD1" w:rsidRPr="00F0271D" w:rsidRDefault="003D535D" w:rsidP="00F0271D">
      <w:pPr>
        <w:widowControl/>
        <w:spacing w:after="120"/>
        <w:ind w:left="709"/>
        <w:rPr>
          <w:rFonts w:asciiTheme="minorHAnsi" w:hAnsiTheme="minorHAnsi"/>
          <w:i/>
        </w:rPr>
      </w:pPr>
      <w:r w:rsidRPr="00F0271D">
        <w:rPr>
          <w:rFonts w:asciiTheme="minorHAnsi" w:hAnsiTheme="minorHAnsi"/>
          <w:i/>
        </w:rPr>
        <w:t>For more detail on PBAC’s view, see section 7 PBAC outcome.</w:t>
      </w:r>
    </w:p>
    <w:p w:rsidR="003E1DD1" w:rsidRPr="00CD2F3B" w:rsidRDefault="003E1DD1" w:rsidP="003E6ED7">
      <w:pPr>
        <w:pStyle w:val="PBACHeading1"/>
      </w:pPr>
      <w:r w:rsidRPr="00CD2F3B">
        <w:t>PBAC Outcome</w:t>
      </w:r>
    </w:p>
    <w:p w:rsidR="00145674" w:rsidRDefault="00145674" w:rsidP="003973CD">
      <w:pPr>
        <w:numPr>
          <w:ilvl w:val="1"/>
          <w:numId w:val="1"/>
        </w:numPr>
        <w:spacing w:after="120"/>
        <w:rPr>
          <w:rFonts w:asciiTheme="minorHAnsi" w:hAnsiTheme="minorHAnsi"/>
          <w:bCs/>
          <w:lang w:val="en-GB"/>
        </w:rPr>
      </w:pPr>
      <w:r w:rsidRPr="003C087A">
        <w:rPr>
          <w:rFonts w:asciiTheme="minorHAnsi" w:hAnsiTheme="minorHAnsi"/>
          <w:bCs/>
          <w:lang w:val="en-GB"/>
        </w:rPr>
        <w:t>The PBAC recommended the</w:t>
      </w:r>
      <w:r w:rsidRPr="00145674">
        <w:rPr>
          <w:rFonts w:asciiTheme="minorHAnsi" w:hAnsiTheme="minorHAnsi"/>
          <w:bCs/>
          <w:lang w:val="en-GB"/>
        </w:rPr>
        <w:t xml:space="preserve"> Section 100 Highly Specialised Drug Program</w:t>
      </w:r>
      <w:r w:rsidR="00C2763C">
        <w:rPr>
          <w:rFonts w:asciiTheme="minorHAnsi" w:hAnsiTheme="minorHAnsi"/>
          <w:bCs/>
          <w:lang w:val="en-GB"/>
        </w:rPr>
        <w:t xml:space="preserve"> </w:t>
      </w:r>
      <w:r w:rsidR="00B7079A">
        <w:rPr>
          <w:rFonts w:asciiTheme="minorHAnsi" w:hAnsiTheme="minorHAnsi"/>
          <w:bCs/>
          <w:lang w:val="en-GB"/>
        </w:rPr>
        <w:t>Authority required</w:t>
      </w:r>
      <w:r w:rsidR="00723A97">
        <w:rPr>
          <w:rFonts w:asciiTheme="minorHAnsi" w:hAnsiTheme="minorHAnsi"/>
          <w:bCs/>
          <w:lang w:val="en-GB"/>
        </w:rPr>
        <w:t xml:space="preserve"> (in writing)</w:t>
      </w:r>
      <w:r w:rsidRPr="00145674">
        <w:rPr>
          <w:rFonts w:asciiTheme="minorHAnsi" w:hAnsiTheme="minorHAnsi"/>
          <w:bCs/>
          <w:lang w:val="en-GB"/>
        </w:rPr>
        <w:t xml:space="preserve"> listing of benralizumab for the treatment of uncontrolled severe eosinophilic asthma</w:t>
      </w:r>
      <w:r w:rsidR="003973CD">
        <w:rPr>
          <w:rFonts w:asciiTheme="minorHAnsi" w:hAnsiTheme="minorHAnsi"/>
          <w:bCs/>
          <w:lang w:val="en-GB"/>
        </w:rPr>
        <w:t>. The PBAC recommended the listing o</w:t>
      </w:r>
      <w:r w:rsidR="003973CD" w:rsidRPr="003973CD">
        <w:rPr>
          <w:rFonts w:asciiTheme="minorHAnsi" w:hAnsiTheme="minorHAnsi"/>
          <w:bCs/>
          <w:lang w:val="en-GB"/>
        </w:rPr>
        <w:t>n a cost-minimisation basis with</w:t>
      </w:r>
      <w:r w:rsidRPr="00145674">
        <w:rPr>
          <w:rFonts w:asciiTheme="minorHAnsi" w:hAnsiTheme="minorHAnsi"/>
          <w:bCs/>
          <w:lang w:val="en-GB"/>
        </w:rPr>
        <w:t xml:space="preserve"> </w:t>
      </w:r>
      <w:r w:rsidR="003973CD">
        <w:rPr>
          <w:rFonts w:asciiTheme="minorHAnsi" w:hAnsiTheme="minorHAnsi"/>
          <w:bCs/>
          <w:lang w:val="en-GB"/>
        </w:rPr>
        <w:t xml:space="preserve">mepolizumab. </w:t>
      </w:r>
      <w:r w:rsidR="00714BCF">
        <w:rPr>
          <w:rFonts w:asciiTheme="minorHAnsi" w:hAnsiTheme="minorHAnsi"/>
          <w:bCs/>
          <w:lang w:val="en-GB"/>
        </w:rPr>
        <w:t xml:space="preserve">In making this recommendation, the PBAC noted the clinical need for additional treatment options in </w:t>
      </w:r>
      <w:r w:rsidR="00BE63E3">
        <w:rPr>
          <w:rFonts w:asciiTheme="minorHAnsi" w:hAnsiTheme="minorHAnsi"/>
          <w:bCs/>
          <w:lang w:val="en-GB"/>
        </w:rPr>
        <w:t xml:space="preserve">uncontrolled </w:t>
      </w:r>
      <w:r w:rsidR="00714BCF">
        <w:rPr>
          <w:rFonts w:asciiTheme="minorHAnsi" w:hAnsiTheme="minorHAnsi"/>
          <w:bCs/>
          <w:lang w:val="en-GB"/>
        </w:rPr>
        <w:t>severe asthma</w:t>
      </w:r>
      <w:r w:rsidRPr="00145674">
        <w:rPr>
          <w:rFonts w:asciiTheme="minorHAnsi" w:hAnsiTheme="minorHAnsi"/>
          <w:bCs/>
          <w:lang w:val="en-GB"/>
        </w:rPr>
        <w:t xml:space="preserve">. </w:t>
      </w:r>
    </w:p>
    <w:p w:rsidR="003C6BA2" w:rsidRDefault="003B426E" w:rsidP="00223E0D">
      <w:pPr>
        <w:numPr>
          <w:ilvl w:val="1"/>
          <w:numId w:val="1"/>
        </w:numPr>
        <w:spacing w:after="120"/>
        <w:rPr>
          <w:rFonts w:asciiTheme="minorHAnsi" w:hAnsiTheme="minorHAnsi"/>
          <w:bCs/>
          <w:lang w:val="en-GB"/>
        </w:rPr>
      </w:pPr>
      <w:r>
        <w:rPr>
          <w:rFonts w:asciiTheme="minorHAnsi" w:hAnsiTheme="minorHAnsi"/>
          <w:bCs/>
          <w:lang w:val="en-GB"/>
        </w:rPr>
        <w:t>The PBAC w</w:t>
      </w:r>
      <w:r w:rsidR="00632A00">
        <w:rPr>
          <w:rFonts w:asciiTheme="minorHAnsi" w:hAnsiTheme="minorHAnsi"/>
          <w:bCs/>
          <w:lang w:val="en-GB"/>
        </w:rPr>
        <w:t xml:space="preserve">elcomed </w:t>
      </w:r>
      <w:r>
        <w:rPr>
          <w:rFonts w:asciiTheme="minorHAnsi" w:hAnsiTheme="minorHAnsi"/>
          <w:bCs/>
          <w:lang w:val="en-GB"/>
        </w:rPr>
        <w:t xml:space="preserve">the input from </w:t>
      </w:r>
      <w:r w:rsidRPr="003B426E">
        <w:rPr>
          <w:rFonts w:asciiTheme="minorHAnsi" w:hAnsiTheme="minorHAnsi"/>
          <w:bCs/>
          <w:lang w:val="en-GB"/>
        </w:rPr>
        <w:t>health care professionals and organisations</w:t>
      </w:r>
      <w:r>
        <w:rPr>
          <w:rFonts w:asciiTheme="minorHAnsi" w:hAnsiTheme="minorHAnsi"/>
          <w:bCs/>
          <w:lang w:val="en-GB"/>
        </w:rPr>
        <w:t xml:space="preserve">, which </w:t>
      </w:r>
      <w:r w:rsidR="00223E0D" w:rsidRPr="00223E0D">
        <w:rPr>
          <w:rFonts w:asciiTheme="minorHAnsi" w:hAnsiTheme="minorHAnsi"/>
          <w:bCs/>
          <w:lang w:val="en-GB"/>
        </w:rPr>
        <w:t xml:space="preserve">described the burden of illness associated with uncontrolled severe asthma </w:t>
      </w:r>
      <w:r w:rsidR="00223E0D">
        <w:rPr>
          <w:rFonts w:asciiTheme="minorHAnsi" w:hAnsiTheme="minorHAnsi"/>
          <w:bCs/>
          <w:lang w:val="en-GB"/>
        </w:rPr>
        <w:t xml:space="preserve">and </w:t>
      </w:r>
      <w:r>
        <w:rPr>
          <w:rFonts w:asciiTheme="minorHAnsi" w:hAnsiTheme="minorHAnsi"/>
          <w:bCs/>
          <w:lang w:val="en-GB"/>
        </w:rPr>
        <w:t xml:space="preserve">highlighted the </w:t>
      </w:r>
      <w:r w:rsidRPr="003B426E">
        <w:rPr>
          <w:rFonts w:asciiTheme="minorHAnsi" w:hAnsiTheme="minorHAnsi"/>
          <w:bCs/>
          <w:lang w:val="en-GB"/>
        </w:rPr>
        <w:t>benefits of having an additional trea</w:t>
      </w:r>
      <w:r>
        <w:rPr>
          <w:rFonts w:asciiTheme="minorHAnsi" w:hAnsiTheme="minorHAnsi"/>
          <w:bCs/>
          <w:lang w:val="en-GB"/>
        </w:rPr>
        <w:t xml:space="preserve">tment option available </w:t>
      </w:r>
      <w:r w:rsidR="00632A00" w:rsidRPr="00632A00">
        <w:rPr>
          <w:rFonts w:asciiTheme="minorHAnsi" w:hAnsiTheme="minorHAnsi"/>
          <w:bCs/>
          <w:lang w:val="en-GB"/>
        </w:rPr>
        <w:t xml:space="preserve">given the severity of </w:t>
      </w:r>
      <w:r w:rsidR="00223E0D">
        <w:rPr>
          <w:rFonts w:asciiTheme="minorHAnsi" w:hAnsiTheme="minorHAnsi"/>
          <w:bCs/>
          <w:lang w:val="en-GB"/>
        </w:rPr>
        <w:t>the condition</w:t>
      </w:r>
      <w:r w:rsidR="00632A00" w:rsidRPr="00632A00">
        <w:rPr>
          <w:rFonts w:asciiTheme="minorHAnsi" w:hAnsiTheme="minorHAnsi"/>
          <w:bCs/>
          <w:lang w:val="en-GB"/>
        </w:rPr>
        <w:t>.</w:t>
      </w:r>
    </w:p>
    <w:p w:rsidR="00B8630C" w:rsidRPr="00145674" w:rsidRDefault="00B8630C" w:rsidP="00B8630C">
      <w:pPr>
        <w:numPr>
          <w:ilvl w:val="1"/>
          <w:numId w:val="1"/>
        </w:numPr>
        <w:spacing w:after="120"/>
        <w:rPr>
          <w:rFonts w:asciiTheme="minorHAnsi" w:hAnsiTheme="minorHAnsi"/>
          <w:bCs/>
          <w:lang w:val="en-GB"/>
        </w:rPr>
      </w:pPr>
      <w:r>
        <w:rPr>
          <w:rFonts w:asciiTheme="minorHAnsi" w:hAnsiTheme="minorHAnsi"/>
          <w:bCs/>
          <w:lang w:val="en-GB"/>
        </w:rPr>
        <w:t xml:space="preserve">The PBAC recommended that the restrictions </w:t>
      </w:r>
      <w:r w:rsidR="000E1875">
        <w:rPr>
          <w:rFonts w:asciiTheme="minorHAnsi" w:hAnsiTheme="minorHAnsi"/>
          <w:bCs/>
          <w:lang w:val="en-GB"/>
        </w:rPr>
        <w:t xml:space="preserve">for benralizumab </w:t>
      </w:r>
      <w:r>
        <w:rPr>
          <w:rFonts w:asciiTheme="minorHAnsi" w:hAnsiTheme="minorHAnsi"/>
          <w:bCs/>
          <w:lang w:val="en-GB"/>
        </w:rPr>
        <w:t>should be consistent with those for mepolizumab for the treatment of u</w:t>
      </w:r>
      <w:r w:rsidRPr="00B8630C">
        <w:rPr>
          <w:rFonts w:asciiTheme="minorHAnsi" w:hAnsiTheme="minorHAnsi"/>
          <w:bCs/>
          <w:lang w:val="en-GB"/>
        </w:rPr>
        <w:t>ncontrolled severe eosinophilic asthma</w:t>
      </w:r>
      <w:r>
        <w:rPr>
          <w:rFonts w:asciiTheme="minorHAnsi" w:hAnsiTheme="minorHAnsi"/>
          <w:bCs/>
          <w:lang w:val="en-GB"/>
        </w:rPr>
        <w:t>.</w:t>
      </w:r>
    </w:p>
    <w:p w:rsidR="003C6BA2" w:rsidRPr="0032414E" w:rsidRDefault="00BA3EA4" w:rsidP="00145674">
      <w:pPr>
        <w:numPr>
          <w:ilvl w:val="1"/>
          <w:numId w:val="1"/>
        </w:numPr>
        <w:spacing w:after="120"/>
        <w:rPr>
          <w:rFonts w:asciiTheme="minorHAnsi" w:hAnsiTheme="minorHAnsi"/>
          <w:bCs/>
          <w:lang w:val="en-GB"/>
        </w:rPr>
      </w:pPr>
      <w:r>
        <w:rPr>
          <w:rFonts w:asciiTheme="minorHAnsi" w:hAnsiTheme="minorHAnsi"/>
          <w:bCs/>
          <w:lang w:val="en-GB"/>
        </w:rPr>
        <w:t xml:space="preserve">The PBAC noted that the </w:t>
      </w:r>
      <w:r w:rsidR="000E129F" w:rsidRPr="000E129F">
        <w:rPr>
          <w:rFonts w:asciiTheme="minorHAnsi" w:hAnsiTheme="minorHAnsi"/>
          <w:bCs/>
          <w:lang w:val="en-GB"/>
        </w:rPr>
        <w:t xml:space="preserve">submission had initially requested listing in patients aged 18 years and over, but subsequently the </w:t>
      </w:r>
      <w:r w:rsidRPr="000E129F">
        <w:rPr>
          <w:rFonts w:asciiTheme="minorHAnsi" w:hAnsiTheme="minorHAnsi"/>
          <w:bCs/>
          <w:lang w:val="en-GB"/>
        </w:rPr>
        <w:t xml:space="preserve">TGA </w:t>
      </w:r>
      <w:r w:rsidR="000E129F" w:rsidRPr="000E129F">
        <w:rPr>
          <w:rFonts w:asciiTheme="minorHAnsi" w:hAnsiTheme="minorHAnsi"/>
          <w:bCs/>
          <w:lang w:val="en-GB"/>
        </w:rPr>
        <w:t xml:space="preserve">delegate </w:t>
      </w:r>
      <w:r w:rsidR="000446EB">
        <w:rPr>
          <w:rFonts w:asciiTheme="minorHAnsi" w:hAnsiTheme="minorHAnsi"/>
          <w:bCs/>
          <w:lang w:val="en-GB"/>
        </w:rPr>
        <w:t xml:space="preserve">had </w:t>
      </w:r>
      <w:r w:rsidR="000E129F" w:rsidRPr="000E129F">
        <w:rPr>
          <w:rFonts w:asciiTheme="minorHAnsi" w:hAnsiTheme="minorHAnsi"/>
          <w:bCs/>
          <w:lang w:val="en-GB"/>
        </w:rPr>
        <w:t xml:space="preserve">recommended </w:t>
      </w:r>
      <w:r w:rsidR="004F4B7D">
        <w:rPr>
          <w:rFonts w:asciiTheme="minorHAnsi" w:hAnsiTheme="minorHAnsi"/>
          <w:bCs/>
          <w:lang w:val="en-GB"/>
        </w:rPr>
        <w:t xml:space="preserve">that </w:t>
      </w:r>
      <w:r w:rsidR="004F4B7D" w:rsidRPr="000E129F">
        <w:rPr>
          <w:rFonts w:asciiTheme="minorHAnsi" w:hAnsiTheme="minorHAnsi"/>
          <w:bCs/>
          <w:lang w:val="en-GB"/>
        </w:rPr>
        <w:t xml:space="preserve">the registered indication </w:t>
      </w:r>
      <w:r w:rsidR="004F4B7D">
        <w:rPr>
          <w:rFonts w:asciiTheme="minorHAnsi" w:hAnsiTheme="minorHAnsi"/>
          <w:bCs/>
          <w:lang w:val="en-GB"/>
        </w:rPr>
        <w:t xml:space="preserve">should </w:t>
      </w:r>
      <w:r w:rsidR="000E129F" w:rsidRPr="000E129F">
        <w:rPr>
          <w:rFonts w:asciiTheme="minorHAnsi" w:hAnsiTheme="minorHAnsi"/>
          <w:bCs/>
          <w:lang w:val="en-GB"/>
        </w:rPr>
        <w:t>inclu</w:t>
      </w:r>
      <w:r w:rsidR="004F4B7D">
        <w:rPr>
          <w:rFonts w:asciiTheme="minorHAnsi" w:hAnsiTheme="minorHAnsi"/>
          <w:bCs/>
          <w:lang w:val="en-GB"/>
        </w:rPr>
        <w:t>de</w:t>
      </w:r>
      <w:r w:rsidR="000E129F" w:rsidRPr="000E129F">
        <w:rPr>
          <w:rFonts w:asciiTheme="minorHAnsi" w:hAnsiTheme="minorHAnsi"/>
          <w:bCs/>
          <w:lang w:val="en-GB"/>
        </w:rPr>
        <w:t xml:space="preserve"> patients aged 12 years and over</w:t>
      </w:r>
      <w:r w:rsidR="000D7089" w:rsidRPr="000E129F">
        <w:rPr>
          <w:rFonts w:asciiTheme="minorHAnsi" w:hAnsiTheme="minorHAnsi"/>
          <w:bCs/>
          <w:lang w:val="en-GB"/>
        </w:rPr>
        <w:t xml:space="preserve">. The PBAC noted that </w:t>
      </w:r>
      <w:r w:rsidR="000E129F" w:rsidRPr="000E129F">
        <w:rPr>
          <w:rFonts w:asciiTheme="minorHAnsi" w:hAnsiTheme="minorHAnsi"/>
          <w:bCs/>
          <w:lang w:val="en-GB"/>
        </w:rPr>
        <w:t xml:space="preserve">mepolizumab </w:t>
      </w:r>
      <w:r w:rsidR="00E12764">
        <w:rPr>
          <w:rFonts w:asciiTheme="minorHAnsi" w:hAnsiTheme="minorHAnsi"/>
          <w:bCs/>
          <w:lang w:val="en-GB"/>
        </w:rPr>
        <w:t>i</w:t>
      </w:r>
      <w:r w:rsidR="000E129F" w:rsidRPr="000E129F">
        <w:rPr>
          <w:rFonts w:asciiTheme="minorHAnsi" w:hAnsiTheme="minorHAnsi"/>
          <w:bCs/>
          <w:lang w:val="en-GB"/>
        </w:rPr>
        <w:t>s PBS-listed in patients aged 12 years and over</w:t>
      </w:r>
      <w:r w:rsidR="00E94BDE">
        <w:rPr>
          <w:rFonts w:asciiTheme="minorHAnsi" w:hAnsiTheme="minorHAnsi"/>
          <w:bCs/>
          <w:lang w:val="en-GB"/>
        </w:rPr>
        <w:t>,</w:t>
      </w:r>
      <w:r w:rsidR="000E129F" w:rsidRPr="000E129F">
        <w:rPr>
          <w:rFonts w:asciiTheme="minorHAnsi" w:hAnsiTheme="minorHAnsi"/>
          <w:bCs/>
          <w:lang w:val="en-GB"/>
        </w:rPr>
        <w:t xml:space="preserve"> and considered that the </w:t>
      </w:r>
      <w:r w:rsidR="000E129F" w:rsidRPr="000E129F">
        <w:t xml:space="preserve">PBS restriction for benralizumab should be consistent with the </w:t>
      </w:r>
      <w:r w:rsidR="000E129F" w:rsidRPr="0032414E">
        <w:t xml:space="preserve">TGA indication (once finalised) regarding patient age.  </w:t>
      </w:r>
    </w:p>
    <w:p w:rsidR="00882F7F" w:rsidRPr="0032414E" w:rsidRDefault="00882F7F" w:rsidP="00882F7F">
      <w:pPr>
        <w:numPr>
          <w:ilvl w:val="1"/>
          <w:numId w:val="1"/>
        </w:numPr>
        <w:spacing w:after="120"/>
        <w:rPr>
          <w:rFonts w:asciiTheme="minorHAnsi" w:hAnsiTheme="minorHAnsi"/>
          <w:bCs/>
          <w:lang w:val="en-GB"/>
        </w:rPr>
      </w:pPr>
      <w:r w:rsidRPr="0032414E">
        <w:t>The PBAC considered that a grandfathering restriction would be appropriate</w:t>
      </w:r>
      <w:r w:rsidR="000B4A5E">
        <w:t xml:space="preserve"> and recommended that the grandfather restriction be consistent with the PBS population for benralizumab</w:t>
      </w:r>
      <w:r w:rsidR="00B8630C">
        <w:t>.</w:t>
      </w:r>
      <w:r w:rsidRPr="0032414E">
        <w:t xml:space="preserve"> </w:t>
      </w:r>
    </w:p>
    <w:p w:rsidR="00145674" w:rsidRPr="00145674" w:rsidRDefault="00145674" w:rsidP="00145674">
      <w:pPr>
        <w:numPr>
          <w:ilvl w:val="1"/>
          <w:numId w:val="1"/>
        </w:numPr>
        <w:spacing w:after="120"/>
        <w:rPr>
          <w:rFonts w:asciiTheme="minorHAnsi" w:hAnsiTheme="minorHAnsi"/>
          <w:bCs/>
          <w:lang w:val="en-GB"/>
        </w:rPr>
      </w:pPr>
      <w:r w:rsidRPr="00145674">
        <w:rPr>
          <w:rFonts w:asciiTheme="minorHAnsi" w:hAnsiTheme="minorHAnsi"/>
          <w:bCs/>
          <w:lang w:val="en-GB"/>
        </w:rPr>
        <w:t xml:space="preserve">The PBAC </w:t>
      </w:r>
      <w:r w:rsidR="003973CD">
        <w:rPr>
          <w:rFonts w:asciiTheme="minorHAnsi" w:hAnsiTheme="minorHAnsi"/>
          <w:bCs/>
          <w:lang w:val="en-GB"/>
        </w:rPr>
        <w:t>considered</w:t>
      </w:r>
      <w:r w:rsidRPr="00145674">
        <w:rPr>
          <w:rFonts w:asciiTheme="minorHAnsi" w:hAnsiTheme="minorHAnsi"/>
          <w:bCs/>
          <w:lang w:val="en-GB"/>
        </w:rPr>
        <w:t xml:space="preserve"> that mepolizumab was the appropriate </w:t>
      </w:r>
      <w:r w:rsidR="003973CD">
        <w:rPr>
          <w:rFonts w:asciiTheme="minorHAnsi" w:hAnsiTheme="minorHAnsi"/>
          <w:bCs/>
          <w:lang w:val="en-GB"/>
        </w:rPr>
        <w:t xml:space="preserve">main </w:t>
      </w:r>
      <w:r w:rsidRPr="00145674">
        <w:rPr>
          <w:rFonts w:asciiTheme="minorHAnsi" w:hAnsiTheme="minorHAnsi"/>
          <w:bCs/>
          <w:lang w:val="en-GB"/>
        </w:rPr>
        <w:t>comparator.</w:t>
      </w:r>
    </w:p>
    <w:p w:rsidR="00CF65A6" w:rsidRDefault="00CF65A6" w:rsidP="00CF65A6">
      <w:pPr>
        <w:numPr>
          <w:ilvl w:val="1"/>
          <w:numId w:val="1"/>
        </w:numPr>
        <w:spacing w:after="120"/>
        <w:rPr>
          <w:rFonts w:asciiTheme="minorHAnsi" w:hAnsiTheme="minorHAnsi"/>
          <w:bCs/>
          <w:lang w:val="en-GB"/>
        </w:rPr>
      </w:pPr>
      <w:r w:rsidRPr="00CF65A6">
        <w:rPr>
          <w:rFonts w:asciiTheme="minorHAnsi" w:hAnsiTheme="minorHAnsi"/>
          <w:bCs/>
          <w:lang w:val="en-GB"/>
        </w:rPr>
        <w:t>The PBAC noted the significant heterogeneity between the trials used in the indirect comparison</w:t>
      </w:r>
      <w:r w:rsidR="00AE3248">
        <w:rPr>
          <w:rFonts w:asciiTheme="minorHAnsi" w:hAnsiTheme="minorHAnsi"/>
          <w:bCs/>
          <w:lang w:val="en-GB"/>
        </w:rPr>
        <w:t>s</w:t>
      </w:r>
      <w:r w:rsidR="00AE3248" w:rsidRPr="00AE3248">
        <w:rPr>
          <w:rFonts w:asciiTheme="minorHAnsi" w:hAnsiTheme="minorHAnsi"/>
          <w:bCs/>
          <w:lang w:val="en-GB"/>
        </w:rPr>
        <w:t xml:space="preserve"> </w:t>
      </w:r>
      <w:r w:rsidR="00AE3248">
        <w:rPr>
          <w:rFonts w:asciiTheme="minorHAnsi" w:hAnsiTheme="minorHAnsi"/>
          <w:bCs/>
          <w:lang w:val="en-GB"/>
        </w:rPr>
        <w:t xml:space="preserve">(e.g. differences in </w:t>
      </w:r>
      <w:r w:rsidR="00AE3248" w:rsidRPr="00CF65A6">
        <w:rPr>
          <w:rFonts w:asciiTheme="minorHAnsi" w:hAnsiTheme="minorHAnsi"/>
          <w:bCs/>
          <w:lang w:val="en-GB"/>
        </w:rPr>
        <w:t>participant baseline characteristics and trial duration</w:t>
      </w:r>
      <w:r w:rsidR="00AE3248">
        <w:rPr>
          <w:rFonts w:asciiTheme="minorHAnsi" w:hAnsiTheme="minorHAnsi"/>
          <w:bCs/>
          <w:lang w:val="en-GB"/>
        </w:rPr>
        <w:t xml:space="preserve">) which were highlighted by the large </w:t>
      </w:r>
      <w:r w:rsidRPr="00CF65A6">
        <w:rPr>
          <w:rFonts w:asciiTheme="minorHAnsi" w:hAnsiTheme="minorHAnsi"/>
          <w:bCs/>
          <w:lang w:val="en-GB"/>
        </w:rPr>
        <w:t>difference</w:t>
      </w:r>
      <w:r w:rsidR="003B426E">
        <w:rPr>
          <w:rFonts w:asciiTheme="minorHAnsi" w:hAnsiTheme="minorHAnsi"/>
          <w:bCs/>
          <w:lang w:val="en-GB"/>
        </w:rPr>
        <w:t>s</w:t>
      </w:r>
      <w:r w:rsidRPr="00CF65A6">
        <w:rPr>
          <w:rFonts w:asciiTheme="minorHAnsi" w:hAnsiTheme="minorHAnsi"/>
          <w:bCs/>
          <w:lang w:val="en-GB"/>
        </w:rPr>
        <w:t xml:space="preserve"> in event rates in the common reference arm</w:t>
      </w:r>
      <w:r w:rsidR="004F4B7D">
        <w:rPr>
          <w:rFonts w:asciiTheme="minorHAnsi" w:hAnsiTheme="minorHAnsi"/>
          <w:bCs/>
          <w:lang w:val="en-GB"/>
        </w:rPr>
        <w:t>s</w:t>
      </w:r>
      <w:r w:rsidR="00AE3248">
        <w:rPr>
          <w:rFonts w:asciiTheme="minorHAnsi" w:hAnsiTheme="minorHAnsi"/>
          <w:bCs/>
          <w:lang w:val="en-GB"/>
        </w:rPr>
        <w:t xml:space="preserve">. </w:t>
      </w:r>
      <w:r w:rsidR="00192A0A" w:rsidRPr="00CF65A6">
        <w:rPr>
          <w:rFonts w:asciiTheme="minorHAnsi" w:hAnsiTheme="minorHAnsi"/>
          <w:bCs/>
          <w:lang w:val="en-GB"/>
        </w:rPr>
        <w:t xml:space="preserve">The PBAC considered that </w:t>
      </w:r>
      <w:r>
        <w:rPr>
          <w:rFonts w:asciiTheme="minorHAnsi" w:hAnsiTheme="minorHAnsi"/>
          <w:bCs/>
          <w:lang w:val="en-GB"/>
        </w:rPr>
        <w:t>these differences</w:t>
      </w:r>
      <w:r w:rsidR="003B426E">
        <w:rPr>
          <w:rFonts w:asciiTheme="minorHAnsi" w:hAnsiTheme="minorHAnsi"/>
          <w:bCs/>
          <w:lang w:val="en-GB"/>
        </w:rPr>
        <w:t xml:space="preserve"> </w:t>
      </w:r>
      <w:r w:rsidR="00893597">
        <w:rPr>
          <w:rFonts w:asciiTheme="minorHAnsi" w:hAnsiTheme="minorHAnsi"/>
          <w:bCs/>
          <w:lang w:val="en-GB"/>
        </w:rPr>
        <w:t xml:space="preserve">favoured mepolizumab and </w:t>
      </w:r>
      <w:r w:rsidR="003B426E">
        <w:rPr>
          <w:rFonts w:asciiTheme="minorHAnsi" w:hAnsiTheme="minorHAnsi"/>
          <w:bCs/>
          <w:lang w:val="en-GB"/>
        </w:rPr>
        <w:t>meant that</w:t>
      </w:r>
      <w:r>
        <w:rPr>
          <w:rFonts w:asciiTheme="minorHAnsi" w:hAnsiTheme="minorHAnsi"/>
          <w:bCs/>
          <w:lang w:val="en-GB"/>
        </w:rPr>
        <w:t xml:space="preserve"> </w:t>
      </w:r>
      <w:r w:rsidR="003B426E">
        <w:rPr>
          <w:rFonts w:asciiTheme="minorHAnsi" w:hAnsiTheme="minorHAnsi"/>
          <w:bCs/>
          <w:lang w:val="en-GB"/>
        </w:rPr>
        <w:t xml:space="preserve">the </w:t>
      </w:r>
      <w:r w:rsidR="003B426E" w:rsidRPr="00CF65A6">
        <w:rPr>
          <w:rFonts w:asciiTheme="minorHAnsi" w:hAnsiTheme="minorHAnsi"/>
          <w:bCs/>
          <w:lang w:val="en-GB"/>
        </w:rPr>
        <w:t>indirect comparison</w:t>
      </w:r>
      <w:r w:rsidR="003B426E">
        <w:rPr>
          <w:rFonts w:asciiTheme="minorHAnsi" w:hAnsiTheme="minorHAnsi"/>
          <w:bCs/>
          <w:lang w:val="en-GB"/>
        </w:rPr>
        <w:t>s</w:t>
      </w:r>
      <w:r w:rsidR="003B426E" w:rsidRPr="00CF65A6">
        <w:rPr>
          <w:rFonts w:asciiTheme="minorHAnsi" w:hAnsiTheme="minorHAnsi"/>
          <w:bCs/>
          <w:lang w:val="en-GB"/>
        </w:rPr>
        <w:t xml:space="preserve"> </w:t>
      </w:r>
      <w:r w:rsidR="003B426E">
        <w:rPr>
          <w:rFonts w:asciiTheme="minorHAnsi" w:hAnsiTheme="minorHAnsi"/>
          <w:bCs/>
          <w:lang w:val="en-GB"/>
        </w:rPr>
        <w:t>were</w:t>
      </w:r>
      <w:r>
        <w:rPr>
          <w:rFonts w:asciiTheme="minorHAnsi" w:hAnsiTheme="minorHAnsi"/>
          <w:bCs/>
          <w:lang w:val="en-GB"/>
        </w:rPr>
        <w:t xml:space="preserve"> difficult to interpret. </w:t>
      </w:r>
    </w:p>
    <w:p w:rsidR="00192A0A" w:rsidRDefault="00CF65A6" w:rsidP="00AE3248">
      <w:pPr>
        <w:numPr>
          <w:ilvl w:val="1"/>
          <w:numId w:val="1"/>
        </w:numPr>
        <w:spacing w:after="120"/>
        <w:rPr>
          <w:rFonts w:asciiTheme="minorHAnsi" w:hAnsiTheme="minorHAnsi"/>
          <w:bCs/>
          <w:lang w:val="en-GB"/>
        </w:rPr>
      </w:pPr>
      <w:r>
        <w:rPr>
          <w:rFonts w:asciiTheme="minorHAnsi" w:hAnsiTheme="minorHAnsi"/>
          <w:bCs/>
          <w:lang w:val="en-GB"/>
        </w:rPr>
        <w:t xml:space="preserve">The PBAC noted the </w:t>
      </w:r>
      <w:r w:rsidR="004F4B7D">
        <w:rPr>
          <w:rFonts w:asciiTheme="minorHAnsi" w:hAnsiTheme="minorHAnsi"/>
          <w:bCs/>
          <w:lang w:val="en-GB"/>
        </w:rPr>
        <w:t xml:space="preserve">range of </w:t>
      </w:r>
      <w:r w:rsidR="00055CCF">
        <w:rPr>
          <w:rFonts w:asciiTheme="minorHAnsi" w:hAnsiTheme="minorHAnsi"/>
          <w:bCs/>
          <w:lang w:val="en-GB"/>
        </w:rPr>
        <w:t>supplementary analyses that had been conducted by the submission. The PBAC</w:t>
      </w:r>
      <w:r>
        <w:rPr>
          <w:rFonts w:asciiTheme="minorHAnsi" w:hAnsiTheme="minorHAnsi"/>
          <w:bCs/>
          <w:lang w:val="en-GB"/>
        </w:rPr>
        <w:t xml:space="preserve"> considered that the most informative </w:t>
      </w:r>
      <w:r w:rsidR="00192A0A" w:rsidRPr="00CF65A6">
        <w:rPr>
          <w:rFonts w:asciiTheme="minorHAnsi" w:hAnsiTheme="minorHAnsi"/>
          <w:bCs/>
          <w:lang w:val="en-GB"/>
        </w:rPr>
        <w:t>w</w:t>
      </w:r>
      <w:r w:rsidR="00AE3248">
        <w:rPr>
          <w:rFonts w:asciiTheme="minorHAnsi" w:hAnsiTheme="minorHAnsi"/>
          <w:bCs/>
          <w:lang w:val="en-GB"/>
        </w:rPr>
        <w:t>as</w:t>
      </w:r>
      <w:r w:rsidR="00192A0A" w:rsidRPr="00CF65A6">
        <w:rPr>
          <w:rFonts w:asciiTheme="minorHAnsi" w:hAnsiTheme="minorHAnsi"/>
          <w:bCs/>
          <w:lang w:val="en-GB"/>
        </w:rPr>
        <w:t xml:space="preserve"> the </w:t>
      </w:r>
      <w:r w:rsidR="00AE3248">
        <w:rPr>
          <w:rFonts w:asciiTheme="minorHAnsi" w:hAnsiTheme="minorHAnsi"/>
          <w:bCs/>
          <w:lang w:val="en-GB"/>
        </w:rPr>
        <w:t xml:space="preserve">indirect </w:t>
      </w:r>
      <w:r w:rsidR="00192A0A" w:rsidRPr="00CF65A6">
        <w:rPr>
          <w:rFonts w:asciiTheme="minorHAnsi" w:hAnsiTheme="minorHAnsi"/>
          <w:bCs/>
          <w:lang w:val="en-GB"/>
        </w:rPr>
        <w:t>comparison of SIROCCO</w:t>
      </w:r>
      <w:r w:rsidR="00AE3248" w:rsidRPr="00AE3248">
        <w:rPr>
          <w:rFonts w:asciiTheme="minorHAnsi" w:hAnsiTheme="minorHAnsi"/>
          <w:bCs/>
          <w:lang w:val="en-GB"/>
        </w:rPr>
        <w:t xml:space="preserve"> </w:t>
      </w:r>
      <w:r w:rsidR="003B426E">
        <w:rPr>
          <w:rFonts w:asciiTheme="minorHAnsi" w:hAnsiTheme="minorHAnsi"/>
          <w:bCs/>
          <w:lang w:val="en-GB"/>
        </w:rPr>
        <w:t>(benralizumab</w:t>
      </w:r>
      <w:r w:rsidR="00F05873" w:rsidRPr="00F05873">
        <w:rPr>
          <w:rFonts w:asciiTheme="minorHAnsi" w:hAnsiTheme="minorHAnsi"/>
          <w:bCs/>
          <w:lang w:val="en-GB"/>
        </w:rPr>
        <w:t xml:space="preserve"> </w:t>
      </w:r>
      <w:r w:rsidR="00F05873">
        <w:rPr>
          <w:rFonts w:asciiTheme="minorHAnsi" w:hAnsiTheme="minorHAnsi"/>
          <w:bCs/>
          <w:lang w:val="en-GB"/>
        </w:rPr>
        <w:t>versus standard of care</w:t>
      </w:r>
      <w:r w:rsidR="003B426E">
        <w:rPr>
          <w:rFonts w:asciiTheme="minorHAnsi" w:hAnsiTheme="minorHAnsi"/>
          <w:bCs/>
          <w:lang w:val="en-GB"/>
        </w:rPr>
        <w:t>) versus</w:t>
      </w:r>
      <w:r w:rsidR="00AE3248" w:rsidRPr="00CF65A6">
        <w:rPr>
          <w:rFonts w:asciiTheme="minorHAnsi" w:hAnsiTheme="minorHAnsi"/>
          <w:bCs/>
          <w:lang w:val="en-GB"/>
        </w:rPr>
        <w:t xml:space="preserve"> MENSA</w:t>
      </w:r>
      <w:r w:rsidR="003B426E">
        <w:rPr>
          <w:rFonts w:asciiTheme="minorHAnsi" w:hAnsiTheme="minorHAnsi"/>
          <w:bCs/>
          <w:lang w:val="en-GB"/>
        </w:rPr>
        <w:t xml:space="preserve"> (mepolizumab</w:t>
      </w:r>
      <w:r w:rsidR="00F05873" w:rsidRPr="00F05873">
        <w:rPr>
          <w:rFonts w:asciiTheme="minorHAnsi" w:hAnsiTheme="minorHAnsi"/>
          <w:bCs/>
          <w:lang w:val="en-GB"/>
        </w:rPr>
        <w:t xml:space="preserve"> </w:t>
      </w:r>
      <w:r w:rsidR="00F05873">
        <w:rPr>
          <w:rFonts w:asciiTheme="minorHAnsi" w:hAnsiTheme="minorHAnsi"/>
          <w:bCs/>
          <w:lang w:val="en-GB"/>
        </w:rPr>
        <w:t>versus standard of care</w:t>
      </w:r>
      <w:r w:rsidR="003B426E">
        <w:rPr>
          <w:rFonts w:asciiTheme="minorHAnsi" w:hAnsiTheme="minorHAnsi"/>
          <w:bCs/>
          <w:lang w:val="en-GB"/>
        </w:rPr>
        <w:t>)</w:t>
      </w:r>
      <w:r w:rsidR="00192A0A" w:rsidRPr="00CF65A6">
        <w:rPr>
          <w:rFonts w:asciiTheme="minorHAnsi" w:hAnsiTheme="minorHAnsi"/>
          <w:bCs/>
          <w:lang w:val="en-GB"/>
        </w:rPr>
        <w:t xml:space="preserve">, </w:t>
      </w:r>
      <w:r w:rsidR="00AE3248">
        <w:rPr>
          <w:rFonts w:asciiTheme="minorHAnsi" w:hAnsiTheme="minorHAnsi"/>
          <w:bCs/>
          <w:lang w:val="en-GB"/>
        </w:rPr>
        <w:t xml:space="preserve">which </w:t>
      </w:r>
      <w:r w:rsidR="00893597">
        <w:rPr>
          <w:rFonts w:asciiTheme="minorHAnsi" w:hAnsiTheme="minorHAnsi"/>
          <w:bCs/>
          <w:lang w:val="en-GB"/>
        </w:rPr>
        <w:t>had the most</w:t>
      </w:r>
      <w:r w:rsidR="00AE3248">
        <w:rPr>
          <w:rFonts w:asciiTheme="minorHAnsi" w:hAnsiTheme="minorHAnsi"/>
          <w:bCs/>
          <w:lang w:val="en-GB"/>
        </w:rPr>
        <w:t xml:space="preserve"> similar </w:t>
      </w:r>
      <w:r w:rsidR="003B426E" w:rsidRPr="00CF65A6">
        <w:rPr>
          <w:rFonts w:asciiTheme="minorHAnsi" w:hAnsiTheme="minorHAnsi"/>
          <w:bCs/>
          <w:lang w:val="en-GB"/>
        </w:rPr>
        <w:t>event rates in the common reference arm</w:t>
      </w:r>
      <w:r w:rsidR="003B426E">
        <w:rPr>
          <w:rFonts w:asciiTheme="minorHAnsi" w:hAnsiTheme="minorHAnsi"/>
          <w:bCs/>
          <w:lang w:val="en-GB"/>
        </w:rPr>
        <w:t xml:space="preserve">. The PBAC noted </w:t>
      </w:r>
      <w:r w:rsidR="00F05873">
        <w:rPr>
          <w:rFonts w:asciiTheme="minorHAnsi" w:hAnsiTheme="minorHAnsi"/>
          <w:bCs/>
          <w:lang w:val="en-GB"/>
        </w:rPr>
        <w:t xml:space="preserve">that </w:t>
      </w:r>
      <w:r w:rsidR="003B426E">
        <w:rPr>
          <w:rFonts w:asciiTheme="minorHAnsi" w:hAnsiTheme="minorHAnsi"/>
          <w:bCs/>
          <w:lang w:val="en-GB"/>
        </w:rPr>
        <w:t>the two trials</w:t>
      </w:r>
      <w:r w:rsidR="00AE3248">
        <w:rPr>
          <w:rFonts w:asciiTheme="minorHAnsi" w:hAnsiTheme="minorHAnsi"/>
          <w:bCs/>
          <w:lang w:val="en-GB"/>
        </w:rPr>
        <w:t xml:space="preserve"> </w:t>
      </w:r>
      <w:r w:rsidR="00AE3248" w:rsidRPr="00AE3248">
        <w:rPr>
          <w:rFonts w:asciiTheme="minorHAnsi" w:hAnsiTheme="minorHAnsi"/>
          <w:bCs/>
          <w:lang w:val="en-GB"/>
        </w:rPr>
        <w:t xml:space="preserve">reported similar </w:t>
      </w:r>
      <w:r w:rsidR="00F05873">
        <w:rPr>
          <w:rFonts w:asciiTheme="minorHAnsi" w:hAnsiTheme="minorHAnsi"/>
          <w:bCs/>
          <w:lang w:val="en-GB"/>
        </w:rPr>
        <w:t xml:space="preserve">results: the rate ratios for clinically significant asthma </w:t>
      </w:r>
      <w:r w:rsidR="00AE3248" w:rsidRPr="00AE3248">
        <w:rPr>
          <w:rFonts w:asciiTheme="minorHAnsi" w:hAnsiTheme="minorHAnsi"/>
          <w:bCs/>
          <w:lang w:val="en-GB"/>
        </w:rPr>
        <w:t>exacerbation</w:t>
      </w:r>
      <w:r w:rsidR="00F05873">
        <w:rPr>
          <w:rFonts w:asciiTheme="minorHAnsi" w:hAnsiTheme="minorHAnsi"/>
          <w:bCs/>
          <w:lang w:val="en-GB"/>
        </w:rPr>
        <w:t>s were</w:t>
      </w:r>
      <w:r w:rsidR="00AE3248" w:rsidRPr="00AE3248">
        <w:rPr>
          <w:rFonts w:asciiTheme="minorHAnsi" w:hAnsiTheme="minorHAnsi"/>
          <w:bCs/>
          <w:lang w:val="en-GB"/>
        </w:rPr>
        <w:t xml:space="preserve"> 0.49 (95% CI: 0.37, 0.64) in SIROCCO versus 0.47 (95% CI: 0.35, 0.64) in MENSA. </w:t>
      </w:r>
      <w:r w:rsidR="00AE3248">
        <w:rPr>
          <w:rFonts w:asciiTheme="minorHAnsi" w:hAnsiTheme="minorHAnsi"/>
          <w:bCs/>
          <w:lang w:val="en-GB"/>
        </w:rPr>
        <w:t xml:space="preserve">Further, the PBAC noted that </w:t>
      </w:r>
      <w:r w:rsidR="00F05873">
        <w:rPr>
          <w:rFonts w:asciiTheme="minorHAnsi" w:hAnsiTheme="minorHAnsi"/>
          <w:bCs/>
          <w:lang w:val="en-GB"/>
        </w:rPr>
        <w:t>a</w:t>
      </w:r>
      <w:r w:rsidR="00192A0A" w:rsidRPr="00CF65A6">
        <w:rPr>
          <w:rFonts w:asciiTheme="minorHAnsi" w:hAnsiTheme="minorHAnsi"/>
          <w:bCs/>
          <w:lang w:val="en-GB"/>
        </w:rPr>
        <w:t xml:space="preserve"> </w:t>
      </w:r>
      <w:r w:rsidR="00AE3248" w:rsidRPr="001E0FD9">
        <w:t>matching-adjusted indirect comparison</w:t>
      </w:r>
      <w:r w:rsidR="00AE3248">
        <w:t xml:space="preserve"> </w:t>
      </w:r>
      <w:r w:rsidR="00F05873">
        <w:t xml:space="preserve">conducted by the submission </w:t>
      </w:r>
      <w:r w:rsidR="00AE3248" w:rsidRPr="00AE3248">
        <w:t xml:space="preserve">was generally supportive of </w:t>
      </w:r>
      <w:r w:rsidR="00AE3248">
        <w:t xml:space="preserve">a conclusion of </w:t>
      </w:r>
      <w:r w:rsidR="00AE3248" w:rsidRPr="00AE3248">
        <w:t>non-inferior efficacy.</w:t>
      </w:r>
      <w:r w:rsidR="00AE3248" w:rsidRPr="00AE3248">
        <w:rPr>
          <w:rFonts w:asciiTheme="minorHAnsi" w:hAnsiTheme="minorHAnsi"/>
          <w:bCs/>
          <w:lang w:val="en-GB"/>
        </w:rPr>
        <w:t xml:space="preserve"> </w:t>
      </w:r>
      <w:r w:rsidR="00AE3248">
        <w:rPr>
          <w:rFonts w:asciiTheme="minorHAnsi" w:hAnsiTheme="minorHAnsi"/>
          <w:bCs/>
          <w:lang w:val="en-GB"/>
        </w:rPr>
        <w:t xml:space="preserve">The PBAC noted the limitations of the </w:t>
      </w:r>
      <w:r w:rsidR="00E12764">
        <w:rPr>
          <w:rFonts w:asciiTheme="minorHAnsi" w:hAnsiTheme="minorHAnsi"/>
          <w:bCs/>
          <w:lang w:val="en-GB"/>
        </w:rPr>
        <w:t xml:space="preserve">available </w:t>
      </w:r>
      <w:r w:rsidR="00AE3248">
        <w:rPr>
          <w:rFonts w:asciiTheme="minorHAnsi" w:hAnsiTheme="minorHAnsi"/>
          <w:bCs/>
          <w:lang w:val="en-GB"/>
        </w:rPr>
        <w:t xml:space="preserve">evidence </w:t>
      </w:r>
      <w:r w:rsidR="00E12764">
        <w:rPr>
          <w:rFonts w:asciiTheme="minorHAnsi" w:hAnsiTheme="minorHAnsi"/>
          <w:bCs/>
          <w:lang w:val="en-GB"/>
        </w:rPr>
        <w:t xml:space="preserve">but </w:t>
      </w:r>
      <w:r w:rsidR="00AE3248">
        <w:rPr>
          <w:rFonts w:asciiTheme="minorHAnsi" w:hAnsiTheme="minorHAnsi"/>
          <w:bCs/>
          <w:lang w:val="en-GB"/>
        </w:rPr>
        <w:t>considered that direct evidence comparing benralizumab and mepolizumab was unlikely</w:t>
      </w:r>
      <w:r w:rsidR="009323A5">
        <w:rPr>
          <w:rFonts w:asciiTheme="minorHAnsi" w:hAnsiTheme="minorHAnsi"/>
          <w:bCs/>
          <w:lang w:val="en-GB"/>
        </w:rPr>
        <w:t xml:space="preserve"> to become available in the future</w:t>
      </w:r>
      <w:r w:rsidR="00AE3248">
        <w:rPr>
          <w:rFonts w:asciiTheme="minorHAnsi" w:hAnsiTheme="minorHAnsi"/>
          <w:bCs/>
          <w:lang w:val="en-GB"/>
        </w:rPr>
        <w:t>.</w:t>
      </w:r>
    </w:p>
    <w:p w:rsidR="00AE3248" w:rsidRPr="00CF65A6" w:rsidRDefault="00AE3248" w:rsidP="00AE3248">
      <w:pPr>
        <w:numPr>
          <w:ilvl w:val="1"/>
          <w:numId w:val="1"/>
        </w:numPr>
        <w:spacing w:after="120"/>
        <w:rPr>
          <w:rFonts w:asciiTheme="minorHAnsi" w:hAnsiTheme="minorHAnsi"/>
          <w:bCs/>
          <w:lang w:val="en-GB"/>
        </w:rPr>
      </w:pPr>
      <w:r>
        <w:rPr>
          <w:rFonts w:asciiTheme="minorHAnsi" w:hAnsiTheme="minorHAnsi"/>
          <w:bCs/>
          <w:lang w:val="en-GB"/>
        </w:rPr>
        <w:t>Overall</w:t>
      </w:r>
      <w:r w:rsidR="003973CD">
        <w:rPr>
          <w:rFonts w:asciiTheme="minorHAnsi" w:hAnsiTheme="minorHAnsi"/>
          <w:bCs/>
          <w:lang w:val="en-GB"/>
        </w:rPr>
        <w:t xml:space="preserve">, the PBAC concluded that benralizumab is non-inferior to mepolizumab in terms of </w:t>
      </w:r>
      <w:r w:rsidR="004F4B7D" w:rsidRPr="00D8553E">
        <w:rPr>
          <w:rFonts w:asciiTheme="minorHAnsi" w:hAnsiTheme="minorHAnsi"/>
          <w:szCs w:val="20"/>
        </w:rPr>
        <w:t xml:space="preserve">comparative </w:t>
      </w:r>
      <w:r w:rsidR="003973CD">
        <w:rPr>
          <w:rFonts w:asciiTheme="minorHAnsi" w:hAnsiTheme="minorHAnsi"/>
          <w:bCs/>
          <w:lang w:val="en-GB"/>
        </w:rPr>
        <w:t xml:space="preserve">efficacy and safety. </w:t>
      </w:r>
      <w:r w:rsidR="00632A00" w:rsidRPr="00632A00">
        <w:rPr>
          <w:rFonts w:asciiTheme="minorHAnsi" w:hAnsiTheme="minorHAnsi"/>
          <w:bCs/>
          <w:lang w:val="en-GB"/>
        </w:rPr>
        <w:t>In forming this view the PBAC considered, in addition to the evidence presented,</w:t>
      </w:r>
      <w:r w:rsidR="00632A00">
        <w:rPr>
          <w:rFonts w:asciiTheme="minorHAnsi" w:hAnsiTheme="minorHAnsi"/>
          <w:bCs/>
          <w:lang w:val="en-GB"/>
        </w:rPr>
        <w:t xml:space="preserve"> the clinical need for additional treatment options for uncontrolled </w:t>
      </w:r>
      <w:r w:rsidR="004E6DF6">
        <w:rPr>
          <w:rFonts w:asciiTheme="minorHAnsi" w:hAnsiTheme="minorHAnsi"/>
          <w:bCs/>
          <w:lang w:val="en-GB"/>
        </w:rPr>
        <w:t xml:space="preserve">severe </w:t>
      </w:r>
      <w:r w:rsidR="00632A00">
        <w:rPr>
          <w:rFonts w:asciiTheme="minorHAnsi" w:hAnsiTheme="minorHAnsi"/>
          <w:bCs/>
          <w:lang w:val="en-GB"/>
        </w:rPr>
        <w:t xml:space="preserve">asthma. </w:t>
      </w:r>
    </w:p>
    <w:p w:rsidR="003C087A" w:rsidRDefault="003973CD" w:rsidP="000D7089">
      <w:pPr>
        <w:numPr>
          <w:ilvl w:val="1"/>
          <w:numId w:val="1"/>
        </w:numPr>
        <w:spacing w:after="120"/>
        <w:rPr>
          <w:rFonts w:asciiTheme="minorHAnsi" w:hAnsiTheme="minorHAnsi"/>
          <w:bCs/>
          <w:lang w:val="en-GB"/>
        </w:rPr>
      </w:pPr>
      <w:r w:rsidRPr="000D7089">
        <w:rPr>
          <w:rFonts w:asciiTheme="minorHAnsi" w:hAnsiTheme="minorHAnsi"/>
          <w:bCs/>
          <w:lang w:val="en-GB"/>
        </w:rPr>
        <w:t>The PBAC recommended the listing of benralizumab on a cost-minimisation basis with mepolizumab.</w:t>
      </w:r>
      <w:r w:rsidR="000D7089">
        <w:rPr>
          <w:rFonts w:asciiTheme="minorHAnsi" w:hAnsiTheme="minorHAnsi"/>
          <w:bCs/>
          <w:lang w:val="en-GB"/>
        </w:rPr>
        <w:t xml:space="preserve"> </w:t>
      </w:r>
    </w:p>
    <w:p w:rsidR="000D7089" w:rsidRPr="00602DD9" w:rsidRDefault="00356F91" w:rsidP="00BA0B81">
      <w:pPr>
        <w:numPr>
          <w:ilvl w:val="1"/>
          <w:numId w:val="1"/>
        </w:numPr>
        <w:spacing w:after="120"/>
        <w:rPr>
          <w:rFonts w:asciiTheme="minorHAnsi" w:hAnsiTheme="minorHAnsi"/>
          <w:bCs/>
          <w:lang w:val="en-GB"/>
        </w:rPr>
      </w:pPr>
      <w:r w:rsidRPr="00602DD9">
        <w:rPr>
          <w:rFonts w:asciiTheme="minorHAnsi" w:hAnsiTheme="minorHAnsi"/>
          <w:bCs/>
          <w:lang w:val="en-GB"/>
        </w:rPr>
        <w:t xml:space="preserve">The PBAC </w:t>
      </w:r>
      <w:r w:rsidR="00BA0B81" w:rsidRPr="00602DD9">
        <w:rPr>
          <w:rFonts w:asciiTheme="minorHAnsi" w:hAnsiTheme="minorHAnsi"/>
          <w:bCs/>
          <w:lang w:val="en-GB"/>
        </w:rPr>
        <w:t>considered that the estimation of equi-effective doses should include the fixed loading doses of benralizumab, which would be consistent with methods used to estimate the equi-effective doses of other biologics (in other conditions) that require induction doses.</w:t>
      </w:r>
      <w:r w:rsidR="00602DD9" w:rsidRPr="00602DD9">
        <w:rPr>
          <w:rFonts w:asciiTheme="minorHAnsi" w:hAnsiTheme="minorHAnsi"/>
          <w:bCs/>
          <w:lang w:val="en-GB"/>
        </w:rPr>
        <w:t xml:space="preserve"> </w:t>
      </w:r>
      <w:r w:rsidR="000D7089" w:rsidRPr="00602DD9">
        <w:rPr>
          <w:rFonts w:asciiTheme="minorHAnsi" w:hAnsiTheme="minorHAnsi"/>
          <w:bCs/>
          <w:lang w:val="en-GB"/>
        </w:rPr>
        <w:t>The PBAC considered that it would be appropriate to inclu</w:t>
      </w:r>
      <w:r w:rsidR="00BA3EA4" w:rsidRPr="00602DD9">
        <w:rPr>
          <w:rFonts w:asciiTheme="minorHAnsi" w:hAnsiTheme="minorHAnsi"/>
          <w:bCs/>
          <w:lang w:val="en-GB"/>
        </w:rPr>
        <w:t>de</w:t>
      </w:r>
      <w:r w:rsidR="000D7089" w:rsidRPr="00602DD9">
        <w:rPr>
          <w:rFonts w:asciiTheme="minorHAnsi" w:hAnsiTheme="minorHAnsi"/>
          <w:bCs/>
          <w:lang w:val="en-GB"/>
        </w:rPr>
        <w:t xml:space="preserve"> the loading dose over a one year time frame consistent with the duration of the key trials (CALIMA and SIROCCO).</w:t>
      </w:r>
    </w:p>
    <w:p w:rsidR="000D7089" w:rsidRDefault="00714BCF" w:rsidP="00602DD9">
      <w:pPr>
        <w:numPr>
          <w:ilvl w:val="1"/>
          <w:numId w:val="1"/>
        </w:numPr>
        <w:spacing w:after="120"/>
        <w:rPr>
          <w:rFonts w:asciiTheme="minorHAnsi" w:hAnsiTheme="minorHAnsi"/>
          <w:bCs/>
          <w:lang w:val="en-GB"/>
        </w:rPr>
      </w:pPr>
      <w:r>
        <w:rPr>
          <w:rFonts w:asciiTheme="minorHAnsi" w:hAnsiTheme="minorHAnsi"/>
          <w:bCs/>
          <w:lang w:val="en-GB"/>
        </w:rPr>
        <w:t>T</w:t>
      </w:r>
      <w:r w:rsidR="009323A5">
        <w:rPr>
          <w:rFonts w:asciiTheme="minorHAnsi" w:hAnsiTheme="minorHAnsi"/>
          <w:bCs/>
          <w:lang w:val="en-GB"/>
        </w:rPr>
        <w:t>hus, t</w:t>
      </w:r>
      <w:r>
        <w:rPr>
          <w:rFonts w:asciiTheme="minorHAnsi" w:hAnsiTheme="minorHAnsi"/>
          <w:bCs/>
          <w:lang w:val="en-GB"/>
        </w:rPr>
        <w:t>he PBAC considered that the equi-effective doses wer</w:t>
      </w:r>
      <w:r w:rsidR="000D7089">
        <w:rPr>
          <w:rFonts w:asciiTheme="minorHAnsi" w:hAnsiTheme="minorHAnsi"/>
          <w:bCs/>
          <w:lang w:val="en-GB"/>
        </w:rPr>
        <w:t>e:</w:t>
      </w:r>
    </w:p>
    <w:p w:rsidR="000D7089" w:rsidRDefault="000D7089" w:rsidP="003F53CD">
      <w:pPr>
        <w:pStyle w:val="Bulletpoints"/>
        <w:numPr>
          <w:ilvl w:val="0"/>
          <w:numId w:val="8"/>
        </w:numPr>
        <w:tabs>
          <w:tab w:val="left" w:pos="1134"/>
        </w:tabs>
        <w:spacing w:after="120"/>
        <w:ind w:left="1134" w:hanging="283"/>
        <w:rPr>
          <w:rFonts w:asciiTheme="minorHAnsi" w:hAnsiTheme="minorHAnsi"/>
          <w:lang w:val="en-GB"/>
        </w:rPr>
      </w:pPr>
      <w:r>
        <w:rPr>
          <w:rFonts w:asciiTheme="minorHAnsi" w:hAnsiTheme="minorHAnsi"/>
          <w:lang w:val="en-GB"/>
        </w:rPr>
        <w:t xml:space="preserve">benralizumab </w:t>
      </w:r>
      <w:r w:rsidRPr="000D7089">
        <w:rPr>
          <w:rFonts w:asciiTheme="minorHAnsi" w:hAnsiTheme="minorHAnsi"/>
          <w:lang w:val="en-GB"/>
        </w:rPr>
        <w:t xml:space="preserve">30 mg every </w:t>
      </w:r>
      <w:r>
        <w:rPr>
          <w:rFonts w:asciiTheme="minorHAnsi" w:hAnsiTheme="minorHAnsi"/>
          <w:lang w:val="en-GB"/>
        </w:rPr>
        <w:t xml:space="preserve">four weeks for the first three doses, then every </w:t>
      </w:r>
      <w:r w:rsidRPr="000D7089">
        <w:rPr>
          <w:rFonts w:asciiTheme="minorHAnsi" w:hAnsiTheme="minorHAnsi"/>
          <w:lang w:val="en-GB"/>
        </w:rPr>
        <w:t>eight weeks (</w:t>
      </w:r>
      <w:r>
        <w:rPr>
          <w:rFonts w:asciiTheme="minorHAnsi" w:hAnsiTheme="minorHAnsi"/>
          <w:lang w:val="en-GB"/>
        </w:rPr>
        <w:t>7</w:t>
      </w:r>
      <w:r w:rsidRPr="000D7089">
        <w:rPr>
          <w:rFonts w:asciiTheme="minorHAnsi" w:hAnsiTheme="minorHAnsi"/>
          <w:lang w:val="en-GB"/>
        </w:rPr>
        <w:t xml:space="preserve">.5 doses </w:t>
      </w:r>
      <w:r>
        <w:rPr>
          <w:rFonts w:asciiTheme="minorHAnsi" w:hAnsiTheme="minorHAnsi"/>
          <w:lang w:val="en-GB"/>
        </w:rPr>
        <w:t xml:space="preserve">over </w:t>
      </w:r>
      <w:r w:rsidR="004E6DF6">
        <w:rPr>
          <w:rFonts w:asciiTheme="minorHAnsi" w:hAnsiTheme="minorHAnsi"/>
          <w:lang w:val="en-GB"/>
        </w:rPr>
        <w:t>one</w:t>
      </w:r>
      <w:r>
        <w:rPr>
          <w:rFonts w:asciiTheme="minorHAnsi" w:hAnsiTheme="minorHAnsi"/>
          <w:lang w:val="en-GB"/>
        </w:rPr>
        <w:t xml:space="preserve"> </w:t>
      </w:r>
      <w:r w:rsidRPr="000D7089">
        <w:rPr>
          <w:rFonts w:asciiTheme="minorHAnsi" w:hAnsiTheme="minorHAnsi"/>
          <w:lang w:val="en-GB"/>
        </w:rPr>
        <w:t>year)</w:t>
      </w:r>
      <w:r>
        <w:rPr>
          <w:rFonts w:asciiTheme="minorHAnsi" w:hAnsiTheme="minorHAnsi"/>
          <w:lang w:val="en-GB"/>
        </w:rPr>
        <w:t>;</w:t>
      </w:r>
      <w:r w:rsidRPr="000D7089">
        <w:rPr>
          <w:rFonts w:asciiTheme="minorHAnsi" w:hAnsiTheme="minorHAnsi"/>
          <w:lang w:val="en-GB"/>
        </w:rPr>
        <w:t xml:space="preserve"> and </w:t>
      </w:r>
    </w:p>
    <w:p w:rsidR="000D7089" w:rsidRPr="000D7089" w:rsidRDefault="000D7089" w:rsidP="003F53CD">
      <w:pPr>
        <w:pStyle w:val="Bulletpoints"/>
        <w:numPr>
          <w:ilvl w:val="0"/>
          <w:numId w:val="8"/>
        </w:numPr>
        <w:tabs>
          <w:tab w:val="left" w:pos="1134"/>
        </w:tabs>
        <w:spacing w:after="120"/>
        <w:ind w:left="1134" w:hanging="283"/>
        <w:rPr>
          <w:rFonts w:asciiTheme="minorHAnsi" w:hAnsiTheme="minorHAnsi"/>
          <w:lang w:val="en-GB"/>
        </w:rPr>
      </w:pPr>
      <w:r w:rsidRPr="000D7089">
        <w:rPr>
          <w:rFonts w:asciiTheme="minorHAnsi" w:hAnsiTheme="minorHAnsi"/>
          <w:lang w:val="en-GB"/>
        </w:rPr>
        <w:t xml:space="preserve">mepolizumab 100 mg every four weeks (13 doses </w:t>
      </w:r>
      <w:r>
        <w:rPr>
          <w:rFonts w:asciiTheme="minorHAnsi" w:hAnsiTheme="minorHAnsi"/>
          <w:lang w:val="en-GB"/>
        </w:rPr>
        <w:t xml:space="preserve">over one </w:t>
      </w:r>
      <w:r w:rsidRPr="000D7089">
        <w:rPr>
          <w:rFonts w:asciiTheme="minorHAnsi" w:hAnsiTheme="minorHAnsi"/>
          <w:lang w:val="en-GB"/>
        </w:rPr>
        <w:t xml:space="preserve">year). </w:t>
      </w:r>
    </w:p>
    <w:p w:rsidR="00714BCF" w:rsidRDefault="000D7089" w:rsidP="00571549">
      <w:pPr>
        <w:numPr>
          <w:ilvl w:val="1"/>
          <w:numId w:val="1"/>
        </w:numPr>
        <w:spacing w:after="120"/>
        <w:rPr>
          <w:rFonts w:asciiTheme="minorHAnsi" w:hAnsiTheme="minorHAnsi"/>
          <w:bCs/>
          <w:lang w:val="en-GB"/>
        </w:rPr>
      </w:pPr>
      <w:r>
        <w:rPr>
          <w:rFonts w:asciiTheme="minorHAnsi" w:hAnsiTheme="minorHAnsi"/>
          <w:bCs/>
          <w:lang w:val="en-GB"/>
        </w:rPr>
        <w:t xml:space="preserve">The PBAC </w:t>
      </w:r>
      <w:r w:rsidRPr="00192A0A">
        <w:rPr>
          <w:rFonts w:asciiTheme="minorHAnsi" w:hAnsiTheme="minorHAnsi"/>
          <w:bCs/>
          <w:lang w:val="en-GB"/>
        </w:rPr>
        <w:t>note</w:t>
      </w:r>
      <w:r>
        <w:rPr>
          <w:rFonts w:asciiTheme="minorHAnsi" w:hAnsiTheme="minorHAnsi"/>
          <w:bCs/>
          <w:lang w:val="en-GB"/>
        </w:rPr>
        <w:t>d</w:t>
      </w:r>
      <w:r w:rsidRPr="00192A0A">
        <w:rPr>
          <w:rFonts w:asciiTheme="minorHAnsi" w:hAnsiTheme="minorHAnsi"/>
          <w:bCs/>
          <w:lang w:val="en-GB"/>
        </w:rPr>
        <w:t xml:space="preserve"> th</w:t>
      </w:r>
      <w:r w:rsidR="00BA0B81">
        <w:rPr>
          <w:rFonts w:asciiTheme="minorHAnsi" w:hAnsiTheme="minorHAnsi"/>
          <w:bCs/>
          <w:lang w:val="en-GB"/>
        </w:rPr>
        <w:t xml:space="preserve">at the </w:t>
      </w:r>
      <w:r w:rsidR="00BA0B81" w:rsidRPr="00BA0B81">
        <w:rPr>
          <w:rFonts w:asciiTheme="minorHAnsi" w:hAnsiTheme="minorHAnsi"/>
          <w:bCs/>
          <w:lang w:val="en-GB"/>
        </w:rPr>
        <w:t>submission</w:t>
      </w:r>
      <w:r w:rsidR="00BA0B81">
        <w:rPr>
          <w:rFonts w:asciiTheme="minorHAnsi" w:hAnsiTheme="minorHAnsi"/>
          <w:bCs/>
          <w:lang w:val="en-GB"/>
        </w:rPr>
        <w:t>’s cost-minimisation analysis</w:t>
      </w:r>
      <w:r w:rsidR="00BA0B81" w:rsidRPr="00BA0B81">
        <w:rPr>
          <w:rFonts w:asciiTheme="minorHAnsi" w:hAnsiTheme="minorHAnsi"/>
          <w:bCs/>
          <w:lang w:val="en-GB"/>
        </w:rPr>
        <w:t xml:space="preserve"> </w:t>
      </w:r>
      <w:r w:rsidR="00BA0B81">
        <w:rPr>
          <w:rFonts w:asciiTheme="minorHAnsi" w:hAnsiTheme="minorHAnsi"/>
          <w:bCs/>
          <w:lang w:val="en-GB"/>
        </w:rPr>
        <w:t xml:space="preserve">included cost-offsets for </w:t>
      </w:r>
      <w:r w:rsidR="00BA0B81" w:rsidRPr="00BA0B81">
        <w:rPr>
          <w:rFonts w:asciiTheme="minorHAnsi" w:hAnsiTheme="minorHAnsi"/>
          <w:bCs/>
          <w:lang w:val="en-GB"/>
        </w:rPr>
        <w:t>r</w:t>
      </w:r>
      <w:r w:rsidR="00BA0B81">
        <w:rPr>
          <w:rFonts w:asciiTheme="minorHAnsi" w:hAnsiTheme="minorHAnsi"/>
          <w:bCs/>
          <w:lang w:val="en-GB"/>
        </w:rPr>
        <w:t>educed a</w:t>
      </w:r>
      <w:r w:rsidR="00BA0B81" w:rsidRPr="00BA0B81">
        <w:rPr>
          <w:rFonts w:asciiTheme="minorHAnsi" w:hAnsiTheme="minorHAnsi"/>
          <w:bCs/>
          <w:lang w:val="en-GB"/>
        </w:rPr>
        <w:t xml:space="preserve">dministration costs </w:t>
      </w:r>
      <w:r w:rsidR="00BA0B81">
        <w:rPr>
          <w:rFonts w:asciiTheme="minorHAnsi" w:hAnsiTheme="minorHAnsi"/>
          <w:bCs/>
          <w:lang w:val="en-GB"/>
        </w:rPr>
        <w:t xml:space="preserve">as </w:t>
      </w:r>
      <w:r w:rsidR="00BA0B81" w:rsidRPr="00BA0B81">
        <w:rPr>
          <w:rFonts w:asciiTheme="minorHAnsi" w:hAnsiTheme="minorHAnsi"/>
          <w:bCs/>
          <w:lang w:val="en-GB"/>
        </w:rPr>
        <w:t xml:space="preserve">benralizumab </w:t>
      </w:r>
      <w:r w:rsidR="00BA0B81">
        <w:rPr>
          <w:rFonts w:asciiTheme="minorHAnsi" w:hAnsiTheme="minorHAnsi"/>
          <w:bCs/>
          <w:lang w:val="en-GB"/>
        </w:rPr>
        <w:t>is administered less frequently than</w:t>
      </w:r>
      <w:r w:rsidR="00BA0B81" w:rsidRPr="00BA0B81">
        <w:rPr>
          <w:rFonts w:asciiTheme="minorHAnsi" w:hAnsiTheme="minorHAnsi"/>
          <w:bCs/>
          <w:lang w:val="en-GB"/>
        </w:rPr>
        <w:t xml:space="preserve"> mepolizumab (eight weekly versus four weekly dosing).</w:t>
      </w:r>
      <w:r w:rsidR="00BA0B81">
        <w:rPr>
          <w:rFonts w:asciiTheme="minorHAnsi" w:hAnsiTheme="minorHAnsi"/>
          <w:bCs/>
          <w:lang w:val="en-GB"/>
        </w:rPr>
        <w:t xml:space="preserve"> The PBAC noted that the </w:t>
      </w:r>
      <w:r w:rsidRPr="00192A0A">
        <w:rPr>
          <w:rFonts w:asciiTheme="minorHAnsi" w:hAnsiTheme="minorHAnsi"/>
          <w:bCs/>
          <w:lang w:val="en-GB"/>
        </w:rPr>
        <w:t>pre-PBAC response</w:t>
      </w:r>
      <w:r w:rsidR="00BA0B81">
        <w:rPr>
          <w:rFonts w:asciiTheme="minorHAnsi" w:hAnsiTheme="minorHAnsi"/>
          <w:bCs/>
          <w:lang w:val="en-GB"/>
        </w:rPr>
        <w:t xml:space="preserve"> had </w:t>
      </w:r>
      <w:r w:rsidR="00BA0B81" w:rsidRPr="00BA0B81">
        <w:rPr>
          <w:rFonts w:asciiTheme="minorHAnsi" w:hAnsiTheme="minorHAnsi"/>
          <w:bCs/>
          <w:lang w:val="en-GB"/>
        </w:rPr>
        <w:t xml:space="preserve">proposed revised </w:t>
      </w:r>
      <w:r w:rsidR="00BA0B81">
        <w:rPr>
          <w:rFonts w:asciiTheme="minorHAnsi" w:hAnsiTheme="minorHAnsi"/>
          <w:bCs/>
          <w:lang w:val="en-GB"/>
        </w:rPr>
        <w:t xml:space="preserve">administration costs, which appropriately removed the </w:t>
      </w:r>
      <w:r w:rsidR="00BA0B81" w:rsidRPr="00BA0B81">
        <w:rPr>
          <w:rFonts w:asciiTheme="minorHAnsi" w:hAnsiTheme="minorHAnsi"/>
          <w:bCs/>
          <w:lang w:val="en-GB"/>
        </w:rPr>
        <w:t>costs of specialist visits.</w:t>
      </w:r>
      <w:r w:rsidR="00992486">
        <w:rPr>
          <w:rFonts w:asciiTheme="minorHAnsi" w:hAnsiTheme="minorHAnsi"/>
          <w:bCs/>
          <w:lang w:val="en-GB"/>
        </w:rPr>
        <w:t xml:space="preserve"> The PBAC considered </w:t>
      </w:r>
      <w:r w:rsidR="00571549">
        <w:rPr>
          <w:rFonts w:asciiTheme="minorHAnsi" w:hAnsiTheme="minorHAnsi"/>
          <w:bCs/>
          <w:lang w:val="en-GB"/>
        </w:rPr>
        <w:t xml:space="preserve">that the revised cost-offsets </w:t>
      </w:r>
      <w:r w:rsidR="00F17359">
        <w:rPr>
          <w:rFonts w:asciiTheme="minorHAnsi" w:hAnsiTheme="minorHAnsi"/>
          <w:bCs/>
          <w:lang w:val="en-GB"/>
        </w:rPr>
        <w:t xml:space="preserve">may </w:t>
      </w:r>
      <w:r w:rsidR="00571549">
        <w:rPr>
          <w:rFonts w:asciiTheme="minorHAnsi" w:hAnsiTheme="minorHAnsi"/>
          <w:bCs/>
          <w:lang w:val="en-GB"/>
        </w:rPr>
        <w:t xml:space="preserve">remain overestimated as benralizumab </w:t>
      </w:r>
      <w:r w:rsidR="00571549" w:rsidRPr="00571549">
        <w:rPr>
          <w:rFonts w:asciiTheme="minorHAnsi" w:hAnsiTheme="minorHAnsi"/>
          <w:bCs/>
          <w:lang w:val="en-GB"/>
        </w:rPr>
        <w:t>would likely be administered by practice nurses</w:t>
      </w:r>
      <w:r w:rsidR="004F4B7D">
        <w:rPr>
          <w:rFonts w:asciiTheme="minorHAnsi" w:hAnsiTheme="minorHAnsi"/>
          <w:bCs/>
          <w:lang w:val="en-GB"/>
        </w:rPr>
        <w:t>,</w:t>
      </w:r>
      <w:r w:rsidR="00571549" w:rsidRPr="00571549">
        <w:rPr>
          <w:rFonts w:asciiTheme="minorHAnsi" w:hAnsiTheme="minorHAnsi"/>
          <w:bCs/>
          <w:lang w:val="en-GB"/>
        </w:rPr>
        <w:t xml:space="preserve"> </w:t>
      </w:r>
      <w:r w:rsidR="00571549">
        <w:rPr>
          <w:rFonts w:asciiTheme="minorHAnsi" w:hAnsiTheme="minorHAnsi"/>
          <w:bCs/>
          <w:lang w:val="en-GB"/>
        </w:rPr>
        <w:t xml:space="preserve">rather than under the Nurse Practitioner MBS item code. </w:t>
      </w:r>
      <w:r w:rsidR="00992486">
        <w:rPr>
          <w:rFonts w:asciiTheme="minorHAnsi" w:hAnsiTheme="minorHAnsi"/>
          <w:bCs/>
          <w:lang w:val="en-GB"/>
        </w:rPr>
        <w:t xml:space="preserve"> </w:t>
      </w:r>
    </w:p>
    <w:p w:rsidR="006F79C7" w:rsidRPr="006F79C7" w:rsidRDefault="006F79C7" w:rsidP="0062696D">
      <w:pPr>
        <w:pStyle w:val="ListParagraph"/>
        <w:numPr>
          <w:ilvl w:val="1"/>
          <w:numId w:val="1"/>
        </w:numPr>
        <w:spacing w:after="120"/>
        <w:rPr>
          <w:rFonts w:asciiTheme="minorHAnsi" w:hAnsiTheme="minorHAnsi"/>
          <w:bCs/>
          <w:lang w:val="en-GB"/>
        </w:rPr>
      </w:pPr>
      <w:r w:rsidRPr="006F79C7">
        <w:rPr>
          <w:rFonts w:asciiTheme="minorHAnsi" w:hAnsiTheme="minorHAnsi"/>
          <w:bCs/>
          <w:lang w:val="en-GB"/>
        </w:rPr>
        <w:t>The PBAC considered that the number of treated patients was overestimated</w:t>
      </w:r>
      <w:r>
        <w:rPr>
          <w:rFonts w:asciiTheme="minorHAnsi" w:hAnsiTheme="minorHAnsi"/>
          <w:bCs/>
          <w:lang w:val="en-GB"/>
        </w:rPr>
        <w:t xml:space="preserve"> for the reasons outlined in Paragraph 6.</w:t>
      </w:r>
      <w:r w:rsidR="0062696D">
        <w:rPr>
          <w:rFonts w:asciiTheme="minorHAnsi" w:hAnsiTheme="minorHAnsi"/>
          <w:bCs/>
          <w:lang w:val="en-GB"/>
        </w:rPr>
        <w:t>66</w:t>
      </w:r>
      <w:r w:rsidRPr="006F79C7">
        <w:rPr>
          <w:rFonts w:asciiTheme="minorHAnsi" w:hAnsiTheme="minorHAnsi"/>
          <w:bCs/>
          <w:lang w:val="en-GB"/>
        </w:rPr>
        <w:t xml:space="preserve">. </w:t>
      </w:r>
    </w:p>
    <w:p w:rsidR="00DA0CBD" w:rsidRPr="006E49AE" w:rsidRDefault="00795BF6" w:rsidP="0062696D">
      <w:pPr>
        <w:pStyle w:val="ListParagraph"/>
        <w:numPr>
          <w:ilvl w:val="1"/>
          <w:numId w:val="1"/>
        </w:numPr>
        <w:spacing w:after="120"/>
        <w:rPr>
          <w:rFonts w:asciiTheme="minorHAnsi" w:hAnsiTheme="minorHAnsi"/>
          <w:bCs/>
          <w:lang w:val="en-GB"/>
        </w:rPr>
      </w:pPr>
      <w:r w:rsidRPr="006E49AE">
        <w:rPr>
          <w:rFonts w:asciiTheme="minorHAnsi" w:hAnsiTheme="minorHAnsi"/>
          <w:bCs/>
          <w:lang w:val="en-GB"/>
        </w:rPr>
        <w:t xml:space="preserve">At the same meeting, the PBAC also considered two minor submissions </w:t>
      </w:r>
      <w:r w:rsidR="00636891" w:rsidRPr="006E49AE">
        <w:rPr>
          <w:rFonts w:asciiTheme="minorHAnsi" w:hAnsiTheme="minorHAnsi"/>
          <w:bCs/>
          <w:lang w:val="en-GB"/>
        </w:rPr>
        <w:t xml:space="preserve">that </w:t>
      </w:r>
      <w:r w:rsidRPr="006E49AE">
        <w:rPr>
          <w:rFonts w:asciiTheme="minorHAnsi" w:hAnsiTheme="minorHAnsi"/>
          <w:bCs/>
          <w:lang w:val="en-GB"/>
        </w:rPr>
        <w:t>request</w:t>
      </w:r>
      <w:r w:rsidR="00636891" w:rsidRPr="006E49AE">
        <w:rPr>
          <w:rFonts w:asciiTheme="minorHAnsi" w:hAnsiTheme="minorHAnsi"/>
          <w:bCs/>
          <w:lang w:val="en-GB"/>
        </w:rPr>
        <w:t>ed</w:t>
      </w:r>
      <w:r w:rsidRPr="006E49AE">
        <w:rPr>
          <w:rFonts w:asciiTheme="minorHAnsi" w:hAnsiTheme="minorHAnsi"/>
          <w:bCs/>
          <w:lang w:val="en-GB"/>
        </w:rPr>
        <w:t xml:space="preserve"> changes to the current PBS restrictions for biologics for </w:t>
      </w:r>
      <w:r w:rsidR="00636891" w:rsidRPr="006E49AE">
        <w:rPr>
          <w:rFonts w:asciiTheme="minorHAnsi" w:hAnsiTheme="minorHAnsi"/>
          <w:bCs/>
          <w:lang w:val="en-GB"/>
        </w:rPr>
        <w:t xml:space="preserve">uncontrolled </w:t>
      </w:r>
      <w:r w:rsidRPr="006E49AE">
        <w:rPr>
          <w:rFonts w:asciiTheme="minorHAnsi" w:hAnsiTheme="minorHAnsi"/>
          <w:bCs/>
          <w:lang w:val="en-GB"/>
        </w:rPr>
        <w:t>severe asthma</w:t>
      </w:r>
      <w:r w:rsidR="005F2A3D" w:rsidRPr="006E49AE">
        <w:rPr>
          <w:rFonts w:asciiTheme="minorHAnsi" w:hAnsiTheme="minorHAnsi"/>
          <w:bCs/>
          <w:lang w:val="en-GB"/>
        </w:rPr>
        <w:t xml:space="preserve"> (refer to item</w:t>
      </w:r>
      <w:r w:rsidR="0062696D">
        <w:rPr>
          <w:rFonts w:asciiTheme="minorHAnsi" w:hAnsiTheme="minorHAnsi"/>
          <w:bCs/>
          <w:lang w:val="en-GB"/>
        </w:rPr>
        <w:t>s</w:t>
      </w:r>
      <w:r w:rsidR="005F2A3D" w:rsidRPr="006E49AE">
        <w:rPr>
          <w:rFonts w:asciiTheme="minorHAnsi" w:hAnsiTheme="minorHAnsi"/>
          <w:bCs/>
          <w:lang w:val="en-GB"/>
        </w:rPr>
        <w:t xml:space="preserve"> 6.11 and 6.16 for details)</w:t>
      </w:r>
      <w:r w:rsidRPr="006E49AE">
        <w:rPr>
          <w:rFonts w:asciiTheme="minorHAnsi" w:hAnsiTheme="minorHAnsi"/>
          <w:bCs/>
          <w:lang w:val="en-GB"/>
        </w:rPr>
        <w:t>. As part of these considerations, the PBAC recommended</w:t>
      </w:r>
      <w:r w:rsidR="00917819" w:rsidRPr="006E49AE">
        <w:rPr>
          <w:rFonts w:asciiTheme="minorHAnsi" w:hAnsiTheme="minorHAnsi"/>
          <w:bCs/>
          <w:lang w:val="en-GB"/>
        </w:rPr>
        <w:t xml:space="preserve"> </w:t>
      </w:r>
      <w:r w:rsidR="0030070B" w:rsidRPr="006E49AE">
        <w:rPr>
          <w:rFonts w:asciiTheme="minorHAnsi" w:hAnsiTheme="minorHAnsi"/>
          <w:bCs/>
          <w:lang w:val="en-GB"/>
        </w:rPr>
        <w:t xml:space="preserve">amending the clinical criterion stipulating that a "patient must be under the care of the same physician for at least 12 months". The PBAC recommended that this criterion be replaced with a requirement for patients to be either under the care of the same physician for at least six months, or be diagnosed as having uncontrolled severe asthma by a </w:t>
      </w:r>
      <w:r w:rsidR="0062696D" w:rsidRPr="006E49AE">
        <w:rPr>
          <w:rFonts w:asciiTheme="minorHAnsi" w:hAnsiTheme="minorHAnsi"/>
          <w:bCs/>
          <w:lang w:val="en-GB"/>
        </w:rPr>
        <w:t>multidis</w:t>
      </w:r>
      <w:r w:rsidR="0062696D">
        <w:rPr>
          <w:rFonts w:asciiTheme="minorHAnsi" w:hAnsiTheme="minorHAnsi"/>
          <w:bCs/>
          <w:lang w:val="en-GB"/>
        </w:rPr>
        <w:t>c</w:t>
      </w:r>
      <w:r w:rsidR="0062696D" w:rsidRPr="006E49AE">
        <w:rPr>
          <w:rFonts w:asciiTheme="minorHAnsi" w:hAnsiTheme="minorHAnsi"/>
          <w:bCs/>
          <w:lang w:val="en-GB"/>
        </w:rPr>
        <w:t>iplinary</w:t>
      </w:r>
      <w:r w:rsidR="0030070B" w:rsidRPr="006E49AE">
        <w:rPr>
          <w:rFonts w:asciiTheme="minorHAnsi" w:hAnsiTheme="minorHAnsi"/>
          <w:bCs/>
          <w:lang w:val="en-GB"/>
        </w:rPr>
        <w:t xml:space="preserve"> severe asthma clinic team. </w:t>
      </w:r>
      <w:r w:rsidRPr="006E49AE">
        <w:rPr>
          <w:rFonts w:asciiTheme="minorHAnsi" w:hAnsiTheme="minorHAnsi"/>
          <w:bCs/>
          <w:lang w:val="en-GB"/>
        </w:rPr>
        <w:t>The PBAC considered that th</w:t>
      </w:r>
      <w:r w:rsidR="00B636F7">
        <w:rPr>
          <w:rFonts w:asciiTheme="minorHAnsi" w:hAnsiTheme="minorHAnsi"/>
          <w:bCs/>
          <w:lang w:val="en-GB"/>
        </w:rPr>
        <w:t>ese</w:t>
      </w:r>
      <w:r w:rsidR="0062696D">
        <w:rPr>
          <w:rFonts w:asciiTheme="minorHAnsi" w:hAnsiTheme="minorHAnsi"/>
          <w:bCs/>
          <w:lang w:val="en-GB"/>
        </w:rPr>
        <w:t xml:space="preserve"> </w:t>
      </w:r>
      <w:r w:rsidR="0024263E" w:rsidRPr="006E49AE">
        <w:rPr>
          <w:rFonts w:asciiTheme="minorHAnsi" w:hAnsiTheme="minorHAnsi"/>
          <w:bCs/>
          <w:lang w:val="en-GB"/>
        </w:rPr>
        <w:t>change</w:t>
      </w:r>
      <w:r w:rsidR="00410AE9">
        <w:rPr>
          <w:rFonts w:asciiTheme="minorHAnsi" w:hAnsiTheme="minorHAnsi"/>
          <w:bCs/>
          <w:lang w:val="en-GB"/>
        </w:rPr>
        <w:t>s</w:t>
      </w:r>
      <w:r w:rsidRPr="006E49AE">
        <w:rPr>
          <w:rFonts w:asciiTheme="minorHAnsi" w:hAnsiTheme="minorHAnsi"/>
          <w:bCs/>
          <w:lang w:val="en-GB"/>
        </w:rPr>
        <w:t xml:space="preserve"> should be made to all biologics for uncontrolled, severe asthma</w:t>
      </w:r>
      <w:r w:rsidR="00527EE6" w:rsidRPr="006E49AE">
        <w:rPr>
          <w:rFonts w:asciiTheme="minorHAnsi" w:hAnsiTheme="minorHAnsi"/>
          <w:bCs/>
          <w:lang w:val="en-GB"/>
        </w:rPr>
        <w:t>.</w:t>
      </w:r>
    </w:p>
    <w:p w:rsidR="003C6BA2" w:rsidRPr="00145674" w:rsidRDefault="00695B8D" w:rsidP="00695B8D">
      <w:pPr>
        <w:numPr>
          <w:ilvl w:val="1"/>
          <w:numId w:val="1"/>
        </w:numPr>
        <w:spacing w:after="120"/>
        <w:rPr>
          <w:rFonts w:asciiTheme="minorHAnsi" w:hAnsiTheme="minorHAnsi"/>
          <w:bCs/>
          <w:lang w:val="en-GB"/>
        </w:rPr>
      </w:pPr>
      <w:r w:rsidRPr="00695B8D">
        <w:rPr>
          <w:rFonts w:asciiTheme="minorHAnsi" w:hAnsiTheme="minorHAnsi"/>
          <w:bCs/>
          <w:lang w:val="en-GB"/>
        </w:rPr>
        <w:t xml:space="preserve">The PBAC recommended </w:t>
      </w:r>
      <w:r>
        <w:rPr>
          <w:rFonts w:asciiTheme="minorHAnsi" w:hAnsiTheme="minorHAnsi"/>
          <w:bCs/>
          <w:lang w:val="en-GB"/>
        </w:rPr>
        <w:t xml:space="preserve">that benralizumab </w:t>
      </w:r>
      <w:r w:rsidRPr="00695B8D">
        <w:rPr>
          <w:rFonts w:asciiTheme="minorHAnsi" w:hAnsiTheme="minorHAnsi"/>
          <w:bCs/>
          <w:lang w:val="en-GB"/>
        </w:rPr>
        <w:t xml:space="preserve">should be treated as interchangeable on an individual patient basis with </w:t>
      </w:r>
      <w:r>
        <w:rPr>
          <w:rFonts w:asciiTheme="minorHAnsi" w:hAnsiTheme="minorHAnsi"/>
          <w:bCs/>
          <w:lang w:val="en-GB"/>
        </w:rPr>
        <w:t>mepolizumab.</w:t>
      </w:r>
      <w:r w:rsidR="003973CD">
        <w:rPr>
          <w:rFonts w:asciiTheme="minorHAnsi" w:hAnsiTheme="minorHAnsi"/>
          <w:bCs/>
          <w:lang w:val="en-GB"/>
        </w:rPr>
        <w:t xml:space="preserve"> </w:t>
      </w:r>
    </w:p>
    <w:p w:rsidR="00145674" w:rsidRPr="00145674" w:rsidRDefault="00145674" w:rsidP="00145674">
      <w:pPr>
        <w:numPr>
          <w:ilvl w:val="1"/>
          <w:numId w:val="1"/>
        </w:numPr>
        <w:spacing w:after="120"/>
        <w:rPr>
          <w:rFonts w:asciiTheme="minorHAnsi" w:hAnsiTheme="minorHAnsi"/>
          <w:bCs/>
          <w:lang w:val="en-GB"/>
        </w:rPr>
      </w:pPr>
      <w:r w:rsidRPr="00145674">
        <w:rPr>
          <w:rFonts w:asciiTheme="minorHAnsi" w:hAnsiTheme="minorHAnsi"/>
          <w:bCs/>
          <w:lang w:val="en-GB"/>
        </w:rPr>
        <w:t xml:space="preserve">The PBAC advised that benralizumab is not suitable for prescribing by nurse practitioners.  </w:t>
      </w:r>
    </w:p>
    <w:p w:rsidR="00145674" w:rsidRPr="00145674" w:rsidRDefault="00145674" w:rsidP="00145674">
      <w:pPr>
        <w:numPr>
          <w:ilvl w:val="1"/>
          <w:numId w:val="1"/>
        </w:numPr>
        <w:spacing w:after="120"/>
        <w:rPr>
          <w:rFonts w:asciiTheme="minorHAnsi" w:hAnsiTheme="minorHAnsi"/>
          <w:bCs/>
          <w:lang w:val="en-GB"/>
        </w:rPr>
      </w:pPr>
      <w:r w:rsidRPr="00145674">
        <w:rPr>
          <w:rFonts w:asciiTheme="minorHAnsi" w:hAnsiTheme="minorHAnsi"/>
          <w:bCs/>
          <w:lang w:val="en-GB"/>
        </w:rPr>
        <w:t xml:space="preserve">The PBAC recommended that the Early Supply Rule should apply. </w:t>
      </w:r>
    </w:p>
    <w:p w:rsidR="00145674" w:rsidRPr="003C6BA2" w:rsidRDefault="00145674" w:rsidP="006A26D3">
      <w:pPr>
        <w:numPr>
          <w:ilvl w:val="1"/>
          <w:numId w:val="1"/>
        </w:numPr>
        <w:spacing w:after="120"/>
        <w:rPr>
          <w:rFonts w:asciiTheme="minorHAnsi" w:hAnsiTheme="minorHAnsi"/>
          <w:bCs/>
          <w:lang w:val="en-GB"/>
        </w:rPr>
      </w:pPr>
      <w:r w:rsidRPr="00145674">
        <w:rPr>
          <w:rFonts w:asciiTheme="minorHAnsi" w:hAnsiTheme="minorHAnsi"/>
          <w:bCs/>
          <w:lang w:val="en-GB"/>
        </w:rPr>
        <w:t xml:space="preserve">The PBAC </w:t>
      </w:r>
      <w:r w:rsidRPr="003C6BA2">
        <w:rPr>
          <w:rFonts w:asciiTheme="minorHAnsi" w:hAnsiTheme="minorHAnsi"/>
          <w:bCs/>
          <w:lang w:val="en-GB"/>
        </w:rPr>
        <w:t>noted th</w:t>
      </w:r>
      <w:r w:rsidR="00405B25">
        <w:rPr>
          <w:rFonts w:asciiTheme="minorHAnsi" w:hAnsiTheme="minorHAnsi"/>
          <w:bCs/>
          <w:lang w:val="en-GB"/>
        </w:rPr>
        <w:t>at</w:t>
      </w:r>
      <w:r w:rsidRPr="003C6BA2">
        <w:rPr>
          <w:rFonts w:asciiTheme="minorHAnsi" w:hAnsiTheme="minorHAnsi"/>
          <w:bCs/>
          <w:lang w:val="en-GB"/>
        </w:rPr>
        <w:t xml:space="preserve"> flow-on changes </w:t>
      </w:r>
      <w:r w:rsidR="003C6BA2" w:rsidRPr="003C6BA2">
        <w:rPr>
          <w:rFonts w:asciiTheme="minorHAnsi" w:hAnsiTheme="minorHAnsi"/>
          <w:bCs/>
          <w:lang w:val="en-GB"/>
        </w:rPr>
        <w:t xml:space="preserve">would be required </w:t>
      </w:r>
      <w:r w:rsidR="001B3678">
        <w:rPr>
          <w:rFonts w:asciiTheme="minorHAnsi" w:hAnsiTheme="minorHAnsi"/>
          <w:bCs/>
          <w:lang w:val="en-GB"/>
        </w:rPr>
        <w:t xml:space="preserve">to the </w:t>
      </w:r>
      <w:r w:rsidR="00405B25" w:rsidRPr="00405B25">
        <w:rPr>
          <w:rFonts w:asciiTheme="minorHAnsi" w:hAnsiTheme="minorHAnsi"/>
          <w:bCs/>
          <w:lang w:val="en-GB"/>
        </w:rPr>
        <w:t>mepolizumab and omalizumab</w:t>
      </w:r>
      <w:r w:rsidR="001B3678">
        <w:rPr>
          <w:rFonts w:asciiTheme="minorHAnsi" w:hAnsiTheme="minorHAnsi"/>
          <w:bCs/>
          <w:lang w:val="en-GB"/>
        </w:rPr>
        <w:t xml:space="preserve"> restrictions </w:t>
      </w:r>
      <w:r w:rsidR="006A26D3">
        <w:rPr>
          <w:rFonts w:asciiTheme="minorHAnsi" w:hAnsiTheme="minorHAnsi"/>
          <w:bCs/>
          <w:lang w:val="en-GB"/>
        </w:rPr>
        <w:t xml:space="preserve">for </w:t>
      </w:r>
      <w:r w:rsidR="006A26D3" w:rsidRPr="006A26D3">
        <w:rPr>
          <w:rFonts w:asciiTheme="minorHAnsi" w:hAnsiTheme="minorHAnsi"/>
          <w:bCs/>
          <w:lang w:val="en-GB"/>
        </w:rPr>
        <w:t xml:space="preserve">the treatment of uncontrolled severe eosinophilic asthma and uncontrolled severe allergic asthma respectively </w:t>
      </w:r>
      <w:r w:rsidR="001B3678">
        <w:rPr>
          <w:rFonts w:asciiTheme="minorHAnsi" w:hAnsiTheme="minorHAnsi"/>
          <w:bCs/>
          <w:lang w:val="en-GB"/>
        </w:rPr>
        <w:t xml:space="preserve">to clarify that they cannot be </w:t>
      </w:r>
      <w:r w:rsidR="001B3678" w:rsidRPr="001B3678">
        <w:rPr>
          <w:rFonts w:asciiTheme="minorHAnsi" w:hAnsiTheme="minorHAnsi"/>
          <w:bCs/>
          <w:lang w:val="en-GB"/>
        </w:rPr>
        <w:t>used in combination with, or within 6 months of treatment with, PBS subsidised benralizumab</w:t>
      </w:r>
      <w:r w:rsidR="003C6BA2" w:rsidRPr="003C6BA2">
        <w:rPr>
          <w:rFonts w:asciiTheme="minorHAnsi" w:hAnsiTheme="minorHAnsi"/>
          <w:bCs/>
          <w:lang w:val="en-GB"/>
        </w:rPr>
        <w:t xml:space="preserve">. The </w:t>
      </w:r>
      <w:r w:rsidR="00405B25">
        <w:rPr>
          <w:rFonts w:asciiTheme="minorHAnsi" w:hAnsiTheme="minorHAnsi"/>
          <w:bCs/>
          <w:lang w:val="en-GB"/>
        </w:rPr>
        <w:t xml:space="preserve">PBAC </w:t>
      </w:r>
      <w:r w:rsidR="004E76E9">
        <w:rPr>
          <w:rFonts w:asciiTheme="minorHAnsi" w:hAnsiTheme="minorHAnsi"/>
          <w:bCs/>
          <w:lang w:val="en-GB"/>
        </w:rPr>
        <w:t>noted</w:t>
      </w:r>
      <w:r w:rsidR="003C6BA2" w:rsidRPr="003C6BA2">
        <w:rPr>
          <w:rFonts w:asciiTheme="minorHAnsi" w:hAnsiTheme="minorHAnsi"/>
          <w:bCs/>
          <w:lang w:val="en-GB"/>
        </w:rPr>
        <w:t xml:space="preserve"> that the restriction was complex. </w:t>
      </w:r>
    </w:p>
    <w:p w:rsidR="00145674" w:rsidRPr="00145674" w:rsidRDefault="00145674" w:rsidP="00145674">
      <w:pPr>
        <w:numPr>
          <w:ilvl w:val="1"/>
          <w:numId w:val="1"/>
        </w:numPr>
        <w:spacing w:after="120"/>
        <w:rPr>
          <w:rFonts w:asciiTheme="minorHAnsi" w:hAnsiTheme="minorHAnsi"/>
          <w:bCs/>
          <w:lang w:val="en-GB"/>
        </w:rPr>
      </w:pPr>
      <w:r w:rsidRPr="00145674">
        <w:rPr>
          <w:rFonts w:asciiTheme="minorHAnsi" w:hAnsiTheme="minorHAnsi"/>
          <w:bCs/>
          <w:lang w:val="en-GB"/>
        </w:rPr>
        <w:t xml:space="preserve">The PBAC noted that this submission is not eligible for an Independent Review as it received a positive recommendation. </w:t>
      </w:r>
    </w:p>
    <w:p w:rsidR="003E1DD1" w:rsidRPr="00223E0D" w:rsidRDefault="003E1DD1" w:rsidP="003E1DD1">
      <w:pPr>
        <w:spacing w:before="240"/>
        <w:rPr>
          <w:rFonts w:asciiTheme="minorHAnsi" w:hAnsiTheme="minorHAnsi"/>
          <w:b/>
          <w:bCs/>
          <w:lang w:val="en-GB"/>
        </w:rPr>
      </w:pPr>
      <w:r w:rsidRPr="00223E0D">
        <w:rPr>
          <w:rFonts w:asciiTheme="minorHAnsi" w:hAnsiTheme="minorHAnsi"/>
          <w:b/>
          <w:bCs/>
          <w:lang w:val="en-GB"/>
        </w:rPr>
        <w:t>Outcome:</w:t>
      </w:r>
    </w:p>
    <w:p w:rsidR="00CC2EA0" w:rsidRDefault="003E1DD1" w:rsidP="003E1DD1">
      <w:pPr>
        <w:rPr>
          <w:rFonts w:asciiTheme="minorHAnsi" w:hAnsiTheme="minorHAnsi"/>
          <w:bCs/>
          <w:lang w:val="en-GB"/>
        </w:rPr>
      </w:pPr>
      <w:r w:rsidRPr="00223E0D">
        <w:rPr>
          <w:rFonts w:asciiTheme="minorHAnsi" w:hAnsiTheme="minorHAnsi"/>
          <w:bCs/>
          <w:lang w:val="en-GB"/>
        </w:rPr>
        <w:t xml:space="preserve">Recommended </w:t>
      </w:r>
    </w:p>
    <w:p w:rsidR="003E1DD1" w:rsidRPr="00F11F42" w:rsidRDefault="003E1DD1" w:rsidP="00543231">
      <w:pPr>
        <w:pStyle w:val="PBACHeading1"/>
        <w:rPr>
          <w:lang w:val="en-GB"/>
        </w:rPr>
      </w:pPr>
      <w:r w:rsidRPr="00F11F42">
        <w:rPr>
          <w:lang w:val="en-GB"/>
        </w:rPr>
        <w:t>Recommended listing</w:t>
      </w:r>
    </w:p>
    <w:p w:rsidR="009111C1" w:rsidRPr="00702AA9" w:rsidRDefault="003C6BA2" w:rsidP="003E1DD1">
      <w:pPr>
        <w:widowControl/>
        <w:numPr>
          <w:ilvl w:val="1"/>
          <w:numId w:val="1"/>
        </w:numPr>
        <w:spacing w:after="120"/>
        <w:ind w:left="709"/>
        <w:jc w:val="left"/>
        <w:rPr>
          <w:rFonts w:asciiTheme="minorHAnsi" w:hAnsiTheme="minorHAnsi"/>
          <w:bCs/>
        </w:rPr>
      </w:pPr>
      <w:r w:rsidRPr="00702AA9">
        <w:rPr>
          <w:rFonts w:asciiTheme="minorHAnsi" w:hAnsiTheme="minorHAnsi"/>
          <w:bCs/>
        </w:rPr>
        <w:t xml:space="preserve">Add new item. </w:t>
      </w:r>
    </w:p>
    <w:tbl>
      <w:tblPr>
        <w:tblW w:w="5000" w:type="pct"/>
        <w:tblLook w:val="04A0" w:firstRow="1" w:lastRow="0" w:firstColumn="1" w:lastColumn="0" w:noHBand="0" w:noVBand="1"/>
      </w:tblPr>
      <w:tblGrid>
        <w:gridCol w:w="2347"/>
        <w:gridCol w:w="876"/>
        <w:gridCol w:w="1000"/>
        <w:gridCol w:w="1808"/>
        <w:gridCol w:w="403"/>
        <w:gridCol w:w="2690"/>
      </w:tblGrid>
      <w:tr w:rsidR="00F11F42" w:rsidRPr="00702AA9" w:rsidTr="00B03053">
        <w:trPr>
          <w:gridAfter w:val="1"/>
          <w:wAfter w:w="1474" w:type="pct"/>
          <w:cantSplit/>
          <w:trHeight w:val="465"/>
        </w:trPr>
        <w:tc>
          <w:tcPr>
            <w:tcW w:w="1286"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Name, Restriction,</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Max.</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№.of</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Rpts</w:t>
            </w:r>
          </w:p>
        </w:tc>
        <w:tc>
          <w:tcPr>
            <w:tcW w:w="1212" w:type="pct"/>
            <w:gridSpan w:val="2"/>
            <w:tcBorders>
              <w:top w:val="nil"/>
              <w:left w:val="nil"/>
              <w:bottom w:val="single" w:sz="4" w:space="0" w:color="auto"/>
              <w:right w:val="nil"/>
            </w:tcBorders>
            <w:vAlign w:val="center"/>
            <w:hideMark/>
          </w:tcPr>
          <w:p w:rsidR="00F11F42" w:rsidRPr="00702AA9" w:rsidRDefault="00F11F42" w:rsidP="007F70E2">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F11F42" w:rsidRPr="00702AA9" w:rsidTr="00B03053">
        <w:trPr>
          <w:gridAfter w:val="1"/>
          <w:wAfter w:w="1474" w:type="pct"/>
          <w:cantSplit/>
          <w:trHeight w:val="570"/>
        </w:trPr>
        <w:tc>
          <w:tcPr>
            <w:tcW w:w="1286"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mallCaps/>
                <w:sz w:val="20"/>
                <w:szCs w:val="20"/>
              </w:rPr>
              <w:t>BENRALIZUMAB</w:t>
            </w:r>
          </w:p>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30 mg in 1 mL injection, (prefilled syringe)</w:t>
            </w:r>
          </w:p>
        </w:tc>
        <w:tc>
          <w:tcPr>
            <w:tcW w:w="480"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4</w:t>
            </w:r>
          </w:p>
        </w:tc>
        <w:tc>
          <w:tcPr>
            <w:tcW w:w="991" w:type="pct"/>
            <w:hideMark/>
          </w:tcPr>
          <w:p w:rsidR="00F11F42" w:rsidRPr="00702AA9" w:rsidRDefault="00F11F42" w:rsidP="007F70E2">
            <w:pPr>
              <w:keepNext/>
              <w:jc w:val="left"/>
              <w:rPr>
                <w:rFonts w:ascii="Arial Narrow" w:hAnsi="Arial Narrow"/>
                <w:sz w:val="20"/>
              </w:rPr>
            </w:pPr>
            <w:r w:rsidRPr="00702AA9">
              <w:rPr>
                <w:rFonts w:ascii="Arial Narrow" w:hAnsi="Arial Narrow"/>
                <w:sz w:val="20"/>
              </w:rPr>
              <w:t>Fasenra</w:t>
            </w:r>
            <w:r w:rsidRPr="00702AA9">
              <w:rPr>
                <w:rFonts w:ascii="Arial Narrow" w:hAnsi="Arial Narrow"/>
                <w:sz w:val="20"/>
                <w:vertAlign w:val="superscript"/>
              </w:rPr>
              <w:t>®</w:t>
            </w:r>
          </w:p>
          <w:p w:rsidR="00F11F42" w:rsidRPr="00702AA9" w:rsidRDefault="00F11F42" w:rsidP="007F70E2">
            <w:pPr>
              <w:keepNext/>
              <w:spacing w:before="40" w:after="40"/>
              <w:jc w:val="left"/>
              <w:rPr>
                <w:rFonts w:ascii="Arial Narrow" w:hAnsi="Arial Narrow"/>
                <w:sz w:val="20"/>
                <w:szCs w:val="20"/>
              </w:rPr>
            </w:pPr>
            <w:r w:rsidRPr="00702AA9">
              <w:rPr>
                <w:rFonts w:ascii="Arial Narrow" w:hAnsi="Arial Narrow"/>
                <w:sz w:val="20"/>
              </w:rPr>
              <w:t>AstraZeneca Pty Ltd</w:t>
            </w:r>
          </w:p>
        </w:tc>
        <w:tc>
          <w:tcPr>
            <w:tcW w:w="221" w:type="pct"/>
          </w:tcPr>
          <w:p w:rsidR="00F11F42" w:rsidRPr="00702AA9" w:rsidRDefault="00F11F42" w:rsidP="007F70E2">
            <w:pPr>
              <w:keepNext/>
              <w:spacing w:before="40" w:after="40"/>
              <w:jc w:val="left"/>
              <w:rPr>
                <w:rFonts w:ascii="Arial Narrow" w:hAnsi="Arial Narrow"/>
                <w:sz w:val="20"/>
                <w:szCs w:val="20"/>
              </w:rPr>
            </w:pP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Initial treatment</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Restriction Level / Method:</w:t>
            </w:r>
          </w:p>
          <w:p w:rsidR="009111C1" w:rsidRPr="00702AA9" w:rsidRDefault="009111C1" w:rsidP="007F70E2">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0446EB" w:rsidRDefault="009111C1" w:rsidP="007F70E2">
            <w:pPr>
              <w:rPr>
                <w:rFonts w:ascii="Arial Narrow" w:hAnsi="Arial Narrow"/>
                <w:sz w:val="20"/>
              </w:rPr>
            </w:pPr>
            <w:r w:rsidRPr="000446EB">
              <w:rPr>
                <w:rFonts w:ascii="Arial Narrow" w:hAnsi="Arial Narrow"/>
                <w:sz w:val="20"/>
              </w:rPr>
              <w:t xml:space="preserve">Patient must be </w:t>
            </w:r>
            <w:r w:rsidR="00AA562C" w:rsidRPr="000446EB">
              <w:rPr>
                <w:rFonts w:ascii="Arial Narrow" w:hAnsi="Arial Narrow"/>
                <w:sz w:val="20"/>
              </w:rPr>
              <w:t xml:space="preserve">under the care of </w:t>
            </w:r>
            <w:r w:rsidR="00180C70" w:rsidRPr="000446EB">
              <w:rPr>
                <w:rFonts w:ascii="Arial Narrow" w:hAnsi="Arial Narrow"/>
                <w:sz w:val="20"/>
              </w:rPr>
              <w:t xml:space="preserve">the same physician </w:t>
            </w:r>
            <w:r w:rsidRPr="000446EB">
              <w:rPr>
                <w:rFonts w:ascii="Arial Narrow" w:hAnsi="Arial Narrow"/>
                <w:sz w:val="20"/>
              </w:rPr>
              <w:t>for at least 6 months,</w:t>
            </w:r>
          </w:p>
          <w:p w:rsidR="009111C1" w:rsidRPr="000446EB" w:rsidRDefault="009111C1" w:rsidP="007F70E2">
            <w:pPr>
              <w:rPr>
                <w:rFonts w:ascii="Arial Narrow" w:hAnsi="Arial Narrow"/>
                <w:sz w:val="20"/>
              </w:rPr>
            </w:pPr>
            <w:r w:rsidRPr="000446EB">
              <w:rPr>
                <w:rFonts w:ascii="Arial Narrow" w:hAnsi="Arial Narrow"/>
                <w:sz w:val="20"/>
              </w:rPr>
              <w:t>OR</w:t>
            </w:r>
          </w:p>
          <w:p w:rsidR="009111C1" w:rsidRPr="000446EB" w:rsidRDefault="009111C1" w:rsidP="007F70E2">
            <w:pPr>
              <w:rPr>
                <w:rFonts w:ascii="Arial Narrow" w:hAnsi="Arial Narrow"/>
                <w:sz w:val="20"/>
              </w:rPr>
            </w:pPr>
            <w:r w:rsidRPr="000446EB">
              <w:rPr>
                <w:rFonts w:ascii="Arial Narrow" w:hAnsi="Arial Narrow"/>
                <w:sz w:val="20"/>
              </w:rPr>
              <w:t xml:space="preserve">Patient must have been </w:t>
            </w:r>
            <w:r w:rsidR="00CD7224" w:rsidRPr="000446EB">
              <w:rPr>
                <w:rFonts w:ascii="Arial Narrow" w:hAnsi="Arial Narrow"/>
                <w:sz w:val="20"/>
              </w:rPr>
              <w:t xml:space="preserve">diagnosed by a multidisciplinary </w:t>
            </w:r>
            <w:r w:rsidRPr="000446EB">
              <w:rPr>
                <w:rFonts w:ascii="Arial Narrow" w:hAnsi="Arial Narrow"/>
                <w:sz w:val="20"/>
              </w:rPr>
              <w:t xml:space="preserve">severe asthma clinic </w:t>
            </w:r>
            <w:r w:rsidR="00CD7224" w:rsidRPr="000446EB">
              <w:rPr>
                <w:rFonts w:ascii="Arial Narrow" w:hAnsi="Arial Narrow"/>
                <w:sz w:val="20"/>
              </w:rPr>
              <w:t>team</w:t>
            </w:r>
            <w:r w:rsidR="000446EB">
              <w:rPr>
                <w:rFonts w:ascii="Arial Narrow" w:hAnsi="Arial Narrow"/>
                <w:sz w:val="20"/>
              </w:rPr>
              <w:t>,</w:t>
            </w:r>
          </w:p>
          <w:p w:rsidR="009111C1" w:rsidRPr="000446EB" w:rsidRDefault="009111C1" w:rsidP="007F70E2">
            <w:pPr>
              <w:rPr>
                <w:rFonts w:ascii="Arial Narrow" w:hAnsi="Arial Narrow"/>
                <w:sz w:val="20"/>
              </w:rPr>
            </w:pPr>
            <w:r w:rsidRPr="000446EB">
              <w:rPr>
                <w:rFonts w:ascii="Arial Narrow" w:hAnsi="Arial Narrow"/>
                <w:sz w:val="20"/>
              </w:rPr>
              <w:t>AND</w:t>
            </w:r>
          </w:p>
          <w:p w:rsidR="009111C1" w:rsidRPr="000446EB" w:rsidRDefault="009111C1" w:rsidP="007F70E2">
            <w:pPr>
              <w:rPr>
                <w:rFonts w:ascii="Arial Narrow" w:hAnsi="Arial Narrow"/>
                <w:sz w:val="20"/>
              </w:rPr>
            </w:pPr>
            <w:r w:rsidRPr="000446EB">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9111C1" w:rsidRPr="000446EB" w:rsidRDefault="009111C1" w:rsidP="007F70E2">
            <w:pPr>
              <w:rPr>
                <w:rFonts w:ascii="Arial Narrow" w:hAnsi="Arial Narrow"/>
                <w:sz w:val="20"/>
              </w:rPr>
            </w:pPr>
            <w:r w:rsidRPr="000446EB">
              <w:rPr>
                <w:rFonts w:ascii="Arial Narrow" w:hAnsi="Arial Narrow"/>
                <w:sz w:val="20"/>
              </w:rPr>
              <w:t>AND</w:t>
            </w:r>
          </w:p>
          <w:p w:rsidR="009111C1" w:rsidRPr="000446EB" w:rsidRDefault="009111C1" w:rsidP="007F70E2">
            <w:pPr>
              <w:rPr>
                <w:rFonts w:ascii="Arial Narrow" w:hAnsi="Arial Narrow"/>
                <w:sz w:val="20"/>
              </w:rPr>
            </w:pPr>
            <w:r w:rsidRPr="000446EB">
              <w:rPr>
                <w:rFonts w:ascii="Arial Narrow" w:hAnsi="Arial Narrow"/>
                <w:sz w:val="20"/>
              </w:rPr>
              <w:t>Patient must have a duration of asthma of at least 1 year,</w:t>
            </w:r>
          </w:p>
          <w:p w:rsidR="009111C1" w:rsidRPr="000446EB" w:rsidRDefault="009111C1" w:rsidP="007F70E2">
            <w:pPr>
              <w:rPr>
                <w:rFonts w:ascii="Arial Narrow" w:hAnsi="Arial Narrow"/>
                <w:sz w:val="20"/>
              </w:rPr>
            </w:pPr>
            <w:r w:rsidRPr="000446EB">
              <w:rPr>
                <w:rFonts w:ascii="Arial Narrow" w:hAnsi="Arial Narrow"/>
                <w:sz w:val="20"/>
              </w:rPr>
              <w:t>AND</w:t>
            </w:r>
          </w:p>
          <w:p w:rsidR="009111C1" w:rsidRPr="000446EB" w:rsidRDefault="009111C1" w:rsidP="007F70E2">
            <w:pPr>
              <w:rPr>
                <w:rFonts w:ascii="Arial Narrow" w:hAnsi="Arial Narrow"/>
                <w:sz w:val="20"/>
              </w:rPr>
            </w:pPr>
            <w:r w:rsidRPr="000446EB">
              <w:rPr>
                <w:rFonts w:ascii="Arial Narrow" w:hAnsi="Arial Narrow"/>
                <w:sz w:val="20"/>
              </w:rPr>
              <w:t xml:space="preserve">Patient must have forced expiratory volume (FEV1) less than or equal to 80% predicted, documented on 1 or more occasions in the previous 12 months, </w:t>
            </w:r>
          </w:p>
          <w:p w:rsidR="009111C1" w:rsidRPr="000446EB" w:rsidRDefault="009111C1" w:rsidP="007F70E2">
            <w:pPr>
              <w:rPr>
                <w:rFonts w:ascii="Arial Narrow" w:hAnsi="Arial Narrow"/>
                <w:sz w:val="20"/>
              </w:rPr>
            </w:pPr>
            <w:r w:rsidRPr="000446EB">
              <w:rPr>
                <w:rFonts w:ascii="Arial Narrow" w:hAnsi="Arial Narrow"/>
                <w:sz w:val="20"/>
              </w:rPr>
              <w:t>AND</w:t>
            </w:r>
          </w:p>
          <w:p w:rsidR="009111C1" w:rsidRPr="000446EB" w:rsidRDefault="009111C1" w:rsidP="007F70E2">
            <w:pPr>
              <w:rPr>
                <w:rFonts w:ascii="Arial Narrow" w:hAnsi="Arial Narrow"/>
                <w:sz w:val="20"/>
              </w:rPr>
            </w:pPr>
            <w:r w:rsidRPr="000446EB">
              <w:rPr>
                <w:rFonts w:ascii="Arial Narrow" w:hAnsi="Arial Narrow"/>
                <w:sz w:val="20"/>
              </w:rPr>
              <w:t xml:space="preserve">Patient must have blood eosinophil count greater than or equal to 300 cells per microlitre in the last 12 months, </w:t>
            </w:r>
          </w:p>
          <w:p w:rsidR="009111C1" w:rsidRPr="000446EB" w:rsidRDefault="009111C1" w:rsidP="007F70E2">
            <w:pPr>
              <w:rPr>
                <w:rFonts w:ascii="Arial Narrow" w:hAnsi="Arial Narrow"/>
                <w:sz w:val="20"/>
              </w:rPr>
            </w:pPr>
            <w:r w:rsidRPr="000446EB">
              <w:rPr>
                <w:rFonts w:ascii="Arial Narrow" w:hAnsi="Arial Narrow"/>
                <w:sz w:val="20"/>
              </w:rPr>
              <w:t>AND</w:t>
            </w:r>
          </w:p>
          <w:p w:rsidR="009111C1" w:rsidRPr="000446EB" w:rsidRDefault="009111C1" w:rsidP="007F70E2">
            <w:pPr>
              <w:rPr>
                <w:rFonts w:ascii="Arial Narrow" w:hAnsi="Arial Narrow"/>
                <w:sz w:val="20"/>
              </w:rPr>
            </w:pPr>
            <w:r w:rsidRPr="000446EB">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9111C1" w:rsidRPr="000446EB" w:rsidRDefault="009111C1" w:rsidP="007F70E2">
            <w:pPr>
              <w:rPr>
                <w:rFonts w:ascii="Arial Narrow" w:hAnsi="Arial Narrow"/>
                <w:sz w:val="20"/>
              </w:rPr>
            </w:pPr>
            <w:r w:rsidRPr="000446EB">
              <w:rPr>
                <w:rFonts w:ascii="Arial Narrow" w:hAnsi="Arial Narrow"/>
                <w:sz w:val="20"/>
              </w:rPr>
              <w:t>AND</w:t>
            </w:r>
          </w:p>
          <w:p w:rsidR="009111C1" w:rsidRPr="000446EB" w:rsidRDefault="009111C1" w:rsidP="007F70E2">
            <w:pPr>
              <w:spacing w:before="40" w:after="40"/>
              <w:rPr>
                <w:rFonts w:ascii="Arial Narrow" w:hAnsi="Arial Narrow"/>
                <w:sz w:val="20"/>
                <w:szCs w:val="20"/>
              </w:rPr>
            </w:pPr>
            <w:r w:rsidRPr="000446EB">
              <w:rPr>
                <w:rFonts w:ascii="Arial Narrow" w:hAnsi="Arial Narrow"/>
                <w:sz w:val="20"/>
              </w:rPr>
              <w:t>The treatment must not be used in combination with, or within 6 months of treatment with, PBS-subsidised omalizumab or mepolizumab.</w:t>
            </w:r>
          </w:p>
        </w:tc>
      </w:tr>
      <w:tr w:rsidR="009111C1"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9111C1" w:rsidRPr="000446EB" w:rsidRDefault="009111C1" w:rsidP="0062696D">
            <w:pPr>
              <w:rPr>
                <w:rFonts w:ascii="Arial Narrow" w:hAnsi="Arial Narrow"/>
                <w:sz w:val="20"/>
              </w:rPr>
            </w:pPr>
            <w:r w:rsidRPr="000446EB">
              <w:rPr>
                <w:rFonts w:ascii="Arial Narrow" w:hAnsi="Arial Narrow"/>
                <w:sz w:val="20"/>
              </w:rPr>
              <w:t>Patient must be aged 12 years or older.</w:t>
            </w:r>
          </w:p>
        </w:tc>
      </w:tr>
      <w:tr w:rsidR="009111C1" w:rsidRPr="00702AA9" w:rsidTr="00B03053">
        <w:trPr>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3C1C72">
            <w:pPr>
              <w:spacing w:before="40" w:after="40"/>
              <w:rPr>
                <w:rFonts w:ascii="Arial Narrow" w:hAnsi="Arial Narrow"/>
                <w:sz w:val="20"/>
              </w:rPr>
            </w:pPr>
            <w:r w:rsidRPr="00702AA9">
              <w:rPr>
                <w:rFonts w:ascii="Arial Narrow" w:hAnsi="Arial Narrow"/>
                <w:sz w:val="20"/>
              </w:rPr>
              <w:t>Optimised asthma therapy includes:</w:t>
            </w:r>
          </w:p>
          <w:p w:rsidR="009111C1" w:rsidRPr="00702AA9" w:rsidRDefault="009111C1" w:rsidP="003C1C72">
            <w:pPr>
              <w:spacing w:before="40" w:after="40"/>
              <w:rPr>
                <w:rFonts w:ascii="Arial Narrow" w:hAnsi="Arial Narrow"/>
                <w:sz w:val="20"/>
              </w:rPr>
            </w:pPr>
            <w:r w:rsidRPr="00702AA9">
              <w:rPr>
                <w:rFonts w:ascii="Arial Narrow" w:hAnsi="Arial Narrow"/>
                <w:sz w:val="20"/>
              </w:rPr>
              <w:t>(i) Adherence to maximal inhaled therapy, including high dose inhaled corticosteroid (ICS) plus long-acting beta-2 agonist (LABA) therapy for at least 12 months, unless contraindicated or not tolerated;</w:t>
            </w:r>
          </w:p>
          <w:p w:rsidR="009111C1" w:rsidRPr="00702AA9" w:rsidRDefault="009111C1" w:rsidP="003C1C72">
            <w:pPr>
              <w:spacing w:before="40" w:after="40"/>
              <w:rPr>
                <w:rFonts w:ascii="Arial Narrow" w:hAnsi="Arial Narrow"/>
                <w:sz w:val="20"/>
              </w:rPr>
            </w:pPr>
            <w:r w:rsidRPr="00702AA9">
              <w:rPr>
                <w:rFonts w:ascii="Arial Narrow" w:hAnsi="Arial Narrow"/>
                <w:sz w:val="20"/>
              </w:rPr>
              <w:t>AND</w:t>
            </w:r>
          </w:p>
          <w:p w:rsidR="009111C1" w:rsidRPr="00702AA9" w:rsidRDefault="009111C1" w:rsidP="003C1C72">
            <w:pPr>
              <w:spacing w:before="40" w:after="40"/>
              <w:rPr>
                <w:rFonts w:ascii="Arial Narrow" w:hAnsi="Arial Narrow"/>
                <w:sz w:val="20"/>
              </w:rPr>
            </w:pPr>
            <w:r w:rsidRPr="00702AA9">
              <w:rPr>
                <w:rFonts w:ascii="Arial Narrow" w:hAnsi="Arial Narrow"/>
                <w:sz w:val="20"/>
              </w:rPr>
              <w:t>(ii) treatment with oral corticosteroids, either daily oral corticosteroids for at least 6 weeks, OR a cumulative dose of oral corticosteroids of at least 500 mg prednisolone equivalent in the previous 12 months, unless contraindicated or not tolerated.</w:t>
            </w:r>
          </w:p>
          <w:p w:rsidR="009111C1" w:rsidRPr="00702AA9" w:rsidRDefault="009111C1" w:rsidP="003C1C72">
            <w:pPr>
              <w:spacing w:before="40" w:after="40"/>
              <w:rPr>
                <w:rFonts w:ascii="Arial Narrow" w:hAnsi="Arial Narrow"/>
                <w:sz w:val="20"/>
              </w:rPr>
            </w:pPr>
            <w:r w:rsidRPr="00702AA9">
              <w:rPr>
                <w:rFonts w:ascii="Arial Narrow" w:hAnsi="Arial Narrow"/>
                <w:sz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9111C1" w:rsidRPr="00702AA9" w:rsidRDefault="009111C1" w:rsidP="003C1C72">
            <w:pPr>
              <w:spacing w:before="40" w:after="40"/>
              <w:rPr>
                <w:rFonts w:ascii="Arial Narrow" w:hAnsi="Arial Narrow"/>
                <w:sz w:val="20"/>
              </w:rPr>
            </w:pPr>
            <w:r w:rsidRPr="00702AA9">
              <w:rPr>
                <w:rFonts w:ascii="Arial Narrow" w:hAnsi="Arial Narrow"/>
                <w:sz w:val="20"/>
              </w:rPr>
              <w:t>The following initiation criteria indicate failure to achieve adequate control and must be demonstrated in all patients at the time of the application:</w:t>
            </w:r>
          </w:p>
          <w:p w:rsidR="009111C1" w:rsidRPr="00702AA9" w:rsidRDefault="009111C1" w:rsidP="003C1C72">
            <w:pPr>
              <w:spacing w:before="40" w:after="40"/>
              <w:rPr>
                <w:rFonts w:ascii="Arial Narrow" w:hAnsi="Arial Narrow"/>
                <w:sz w:val="20"/>
              </w:rPr>
            </w:pPr>
            <w:r w:rsidRPr="00702AA9">
              <w:rPr>
                <w:rFonts w:ascii="Arial Narrow" w:hAnsi="Arial Narrow"/>
                <w:sz w:val="20"/>
              </w:rPr>
              <w:t>(a) an Asthma Control Questionnaire (ACQ-5) score of at least 2.0, as assessed in the previous month, AND</w:t>
            </w:r>
          </w:p>
          <w:p w:rsidR="009111C1" w:rsidRPr="00702AA9" w:rsidRDefault="009111C1" w:rsidP="003C1C72">
            <w:pPr>
              <w:spacing w:before="40" w:after="40"/>
              <w:rPr>
                <w:rFonts w:ascii="Arial Narrow" w:hAnsi="Arial Narrow"/>
                <w:sz w:val="20"/>
              </w:rPr>
            </w:pPr>
            <w:r w:rsidRPr="00702AA9">
              <w:rPr>
                <w:rFonts w:ascii="Arial Narrow" w:hAnsi="Arial Narrow"/>
                <w:sz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9111C1" w:rsidRPr="00702AA9" w:rsidRDefault="009111C1" w:rsidP="003C1C72">
            <w:pPr>
              <w:spacing w:before="40" w:after="40"/>
              <w:rPr>
                <w:rFonts w:ascii="Arial Narrow" w:hAnsi="Arial Narrow"/>
                <w:sz w:val="20"/>
              </w:rPr>
            </w:pPr>
            <w:r w:rsidRPr="00702AA9">
              <w:rPr>
                <w:rFonts w:ascii="Arial Narrow" w:hAnsi="Arial Narrow"/>
                <w:sz w:val="20"/>
              </w:rPr>
              <w:t xml:space="preserve">The </w:t>
            </w:r>
            <w:r w:rsidRPr="000446EB">
              <w:rPr>
                <w:rFonts w:ascii="Arial Narrow" w:hAnsi="Arial Narrow"/>
                <w:sz w:val="20"/>
              </w:rPr>
              <w:t>Asthma Control Questionnaire (5 item version) assessment of the patient must be made at time of application for treatment (to establish baseline score) and again around 2</w:t>
            </w:r>
            <w:r w:rsidR="008458ED" w:rsidRPr="000446EB">
              <w:rPr>
                <w:rFonts w:ascii="Arial Narrow" w:hAnsi="Arial Narrow"/>
                <w:sz w:val="20"/>
              </w:rPr>
              <w:t>4</w:t>
            </w:r>
            <w:r w:rsidR="00784BAA" w:rsidRPr="000446EB">
              <w:rPr>
                <w:rFonts w:ascii="Arial Narrow" w:hAnsi="Arial Narrow"/>
                <w:sz w:val="20"/>
              </w:rPr>
              <w:t xml:space="preserve"> </w:t>
            </w:r>
            <w:r w:rsidRPr="000446EB">
              <w:rPr>
                <w:rFonts w:ascii="Arial Narrow" w:hAnsi="Arial Narrow"/>
                <w:sz w:val="20"/>
              </w:rPr>
              <w:t>weeks after the first dose so that there is adequate time for a response to be demonstrated</w:t>
            </w:r>
            <w:r w:rsidRPr="00702AA9">
              <w:rPr>
                <w:rFonts w:ascii="Arial Narrow" w:hAnsi="Arial Narrow"/>
                <w:sz w:val="20"/>
              </w:rPr>
              <w:t xml:space="preserve"> and for the application for continuing therapy to be processed.</w:t>
            </w:r>
          </w:p>
          <w:p w:rsidR="009111C1" w:rsidRPr="00702AA9" w:rsidRDefault="009111C1" w:rsidP="003C1C72">
            <w:pPr>
              <w:spacing w:before="40" w:after="40"/>
              <w:rPr>
                <w:rFonts w:ascii="Arial Narrow" w:hAnsi="Arial Narrow"/>
                <w:sz w:val="20"/>
              </w:rPr>
            </w:pPr>
            <w:r w:rsidRPr="00702AA9">
              <w:rPr>
                <w:rFonts w:ascii="Arial Narrow" w:hAnsi="Arial Narrow"/>
                <w:sz w:val="20"/>
              </w:rPr>
              <w:t>This assessment at around 2</w:t>
            </w:r>
            <w:r w:rsidR="008458ED" w:rsidRPr="00702AA9">
              <w:rPr>
                <w:rFonts w:ascii="Arial Narrow" w:hAnsi="Arial Narrow"/>
                <w:sz w:val="20"/>
              </w:rPr>
              <w:t>4</w:t>
            </w:r>
            <w:r w:rsidR="00784BAA" w:rsidRPr="00702AA9">
              <w:rPr>
                <w:rFonts w:ascii="Arial Narrow" w:hAnsi="Arial Narrow"/>
                <w:sz w:val="20"/>
              </w:rPr>
              <w:t xml:space="preserve"> </w:t>
            </w:r>
            <w:r w:rsidRPr="00702AA9">
              <w:rPr>
                <w:rFonts w:ascii="Arial Narrow" w:hAnsi="Arial Narrow"/>
                <w:sz w:val="20"/>
              </w:rPr>
              <w:t>weeks,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w:t>
            </w:r>
          </w:p>
          <w:p w:rsidR="009111C1" w:rsidRPr="000446EB" w:rsidRDefault="009111C1" w:rsidP="003C1C72">
            <w:pPr>
              <w:spacing w:before="40" w:after="40"/>
              <w:rPr>
                <w:rFonts w:ascii="Arial Narrow" w:hAnsi="Arial Narrow"/>
                <w:sz w:val="20"/>
              </w:rPr>
            </w:pPr>
            <w:r w:rsidRPr="00702AA9">
              <w:rPr>
                <w:rFonts w:ascii="Arial Narrow" w:hAnsi="Arial Narrow"/>
                <w:sz w:val="20"/>
              </w:rPr>
              <w:t xml:space="preserve">A patient </w:t>
            </w:r>
            <w:r w:rsidRPr="000446EB">
              <w:rPr>
                <w:rFonts w:ascii="Arial Narrow" w:hAnsi="Arial Narrow"/>
                <w:sz w:val="20"/>
              </w:rPr>
              <w:t>who fails to respond to a course of PBS-subsidised benralizumab for the treatment of uncontrolled severe eosinophilic asthma will not be eligible to receive further PBS-subsidised treatment with benralizumab, mepolizumab or omalizumab within 6 months of the date on which treatment was ceased.</w:t>
            </w:r>
          </w:p>
          <w:p w:rsidR="000F45DD" w:rsidRPr="000446EB" w:rsidRDefault="000F45DD" w:rsidP="003C1C72">
            <w:pPr>
              <w:spacing w:before="40" w:after="40"/>
              <w:rPr>
                <w:rFonts w:ascii="Arial Narrow" w:hAnsi="Arial Narrow"/>
                <w:sz w:val="20"/>
              </w:rPr>
            </w:pPr>
            <w:r w:rsidRPr="000446EB">
              <w:rPr>
                <w:rFonts w:ascii="Arial Narrow" w:hAnsi="Arial Narrow"/>
                <w:sz w:val="20"/>
              </w:rPr>
              <w:t>A multidisciplinary severe asthma clinic team comprises of:</w:t>
            </w:r>
          </w:p>
          <w:p w:rsidR="000F45DD" w:rsidRPr="000446EB" w:rsidRDefault="000F45DD" w:rsidP="003C1C72">
            <w:pPr>
              <w:pStyle w:val="ListParagraph"/>
              <w:numPr>
                <w:ilvl w:val="0"/>
                <w:numId w:val="2"/>
              </w:numPr>
              <w:spacing w:before="40" w:after="40"/>
              <w:rPr>
                <w:rFonts w:ascii="Arial Narrow" w:hAnsi="Arial Narrow"/>
                <w:sz w:val="20"/>
              </w:rPr>
            </w:pPr>
            <w:r w:rsidRPr="000446EB">
              <w:rPr>
                <w:rFonts w:ascii="Arial Narrow" w:hAnsi="Arial Narrow"/>
                <w:sz w:val="20"/>
              </w:rPr>
              <w:t xml:space="preserve">A respiratory physician; and </w:t>
            </w:r>
          </w:p>
          <w:p w:rsidR="000F45DD" w:rsidRPr="000446EB" w:rsidRDefault="000F45DD" w:rsidP="003C1C72">
            <w:pPr>
              <w:pStyle w:val="ListParagraph"/>
              <w:numPr>
                <w:ilvl w:val="0"/>
                <w:numId w:val="2"/>
              </w:numPr>
              <w:spacing w:before="40" w:after="40"/>
              <w:rPr>
                <w:rFonts w:ascii="Arial Narrow" w:hAnsi="Arial Narrow"/>
                <w:sz w:val="20"/>
              </w:rPr>
            </w:pPr>
            <w:r w:rsidRPr="000446EB">
              <w:rPr>
                <w:rFonts w:ascii="Arial Narrow" w:hAnsi="Arial Narrow"/>
                <w:sz w:val="20"/>
              </w:rPr>
              <w:t>A pharmacist, nurse or asthma educator.</w:t>
            </w:r>
          </w:p>
          <w:p w:rsidR="009111C1" w:rsidRPr="00702AA9" w:rsidRDefault="009111C1" w:rsidP="003C1C72">
            <w:pPr>
              <w:spacing w:before="40" w:after="40"/>
              <w:rPr>
                <w:rFonts w:ascii="Arial Narrow" w:hAnsi="Arial Narrow"/>
                <w:sz w:val="20"/>
              </w:rPr>
            </w:pPr>
            <w:r w:rsidRPr="000446EB">
              <w:rPr>
                <w:rFonts w:ascii="Arial Narrow" w:hAnsi="Arial Narrow"/>
                <w:sz w:val="20"/>
              </w:rPr>
              <w:t>At the time of the authority application, medical practitioners should request 4 repeats to provide for an initial course of benralizumab sufficient for 32</w:t>
            </w:r>
            <w:r w:rsidR="00FF0A19" w:rsidRPr="000446EB">
              <w:rPr>
                <w:rFonts w:ascii="Arial Narrow" w:hAnsi="Arial Narrow"/>
                <w:sz w:val="20"/>
              </w:rPr>
              <w:t xml:space="preserve"> </w:t>
            </w:r>
            <w:r w:rsidRPr="000446EB">
              <w:rPr>
                <w:rFonts w:ascii="Arial Narrow" w:hAnsi="Arial Narrow"/>
                <w:sz w:val="20"/>
              </w:rPr>
              <w:t>weeks of therapy.</w:t>
            </w:r>
          </w:p>
          <w:p w:rsidR="009111C1" w:rsidRPr="00702AA9" w:rsidRDefault="009111C1" w:rsidP="003C1C72">
            <w:pPr>
              <w:spacing w:before="40" w:after="40"/>
              <w:rPr>
                <w:rFonts w:ascii="Arial Narrow" w:hAnsi="Arial Narrow"/>
                <w:sz w:val="20"/>
              </w:rPr>
            </w:pPr>
            <w:r w:rsidRPr="00702AA9">
              <w:rPr>
                <w:rFonts w:ascii="Arial Narrow" w:hAnsi="Arial Narrow"/>
                <w:sz w:val="20"/>
              </w:rPr>
              <w:t>Benralizumab may not be used concurrently with mepolizumab or omalizumab or within 6 months of each other. A patient is required to have ceased treatment with mepolizumab or omalizumab for 6 months prior to initiating treatment with benralizumab.</w:t>
            </w:r>
          </w:p>
          <w:p w:rsidR="009111C1" w:rsidRPr="00702AA9" w:rsidRDefault="009111C1" w:rsidP="003C1C72">
            <w:pPr>
              <w:spacing w:before="40" w:after="40"/>
              <w:rPr>
                <w:rFonts w:ascii="Arial Narrow" w:hAnsi="Arial Narrow"/>
                <w:sz w:val="20"/>
              </w:rPr>
            </w:pPr>
            <w:r w:rsidRPr="00702AA9">
              <w:rPr>
                <w:rFonts w:ascii="Arial Narrow" w:hAnsi="Arial Narrow"/>
                <w:sz w:val="20"/>
              </w:rPr>
              <w:t>The authority application must be made in writing and must include:</w:t>
            </w:r>
          </w:p>
          <w:p w:rsidR="009111C1" w:rsidRPr="00702AA9" w:rsidRDefault="009111C1" w:rsidP="003C1C72">
            <w:pPr>
              <w:spacing w:before="40" w:after="40"/>
              <w:rPr>
                <w:rFonts w:ascii="Arial Narrow" w:hAnsi="Arial Narrow"/>
                <w:sz w:val="20"/>
              </w:rPr>
            </w:pPr>
            <w:r w:rsidRPr="00702AA9">
              <w:rPr>
                <w:rFonts w:ascii="Arial Narrow" w:hAnsi="Arial Narrow"/>
                <w:sz w:val="20"/>
              </w:rPr>
              <w:t>(a) a completed authority prescription form; and</w:t>
            </w:r>
          </w:p>
          <w:p w:rsidR="009111C1" w:rsidRPr="00702AA9" w:rsidRDefault="009111C1" w:rsidP="003C1C72">
            <w:pPr>
              <w:spacing w:before="40" w:after="40"/>
              <w:rPr>
                <w:rFonts w:ascii="Arial Narrow" w:hAnsi="Arial Narrow"/>
                <w:sz w:val="20"/>
              </w:rPr>
            </w:pPr>
            <w:r w:rsidRPr="00702AA9">
              <w:rPr>
                <w:rFonts w:ascii="Arial Narrow" w:hAnsi="Arial Narrow"/>
                <w:sz w:val="20"/>
              </w:rPr>
              <w:t>(b) a completed Severe Eosinophilic Asthma Initial PBS Authority Application - Supporting Information Form,</w:t>
            </w:r>
          </w:p>
          <w:p w:rsidR="009111C1" w:rsidRPr="00702AA9" w:rsidRDefault="009111C1" w:rsidP="003C1C72">
            <w:pPr>
              <w:spacing w:before="40" w:after="40"/>
              <w:rPr>
                <w:rFonts w:ascii="Arial Narrow" w:hAnsi="Arial Narrow"/>
                <w:sz w:val="20"/>
              </w:rPr>
            </w:pPr>
            <w:r w:rsidRPr="00702AA9">
              <w:rPr>
                <w:rFonts w:ascii="Arial Narrow" w:hAnsi="Arial Narrow"/>
                <w:sz w:val="20"/>
              </w:rPr>
              <w:t>which includes the following:</w:t>
            </w:r>
          </w:p>
          <w:p w:rsidR="009111C1" w:rsidRPr="00702AA9" w:rsidRDefault="009111C1" w:rsidP="003C1C72">
            <w:pPr>
              <w:spacing w:before="40" w:after="40"/>
              <w:rPr>
                <w:rFonts w:ascii="Arial Narrow" w:hAnsi="Arial Narrow"/>
                <w:sz w:val="20"/>
              </w:rPr>
            </w:pPr>
            <w:r w:rsidRPr="00702AA9">
              <w:rPr>
                <w:rFonts w:ascii="Arial Narrow" w:hAnsi="Arial Narrow"/>
                <w:sz w:val="20"/>
              </w:rPr>
              <w:t>(i) details of prior optimised asthma drug therapy (date of commencement and duration of therapy); and</w:t>
            </w:r>
          </w:p>
          <w:p w:rsidR="009111C1" w:rsidRPr="00702AA9" w:rsidRDefault="009111C1" w:rsidP="003C1C72">
            <w:pPr>
              <w:spacing w:before="40" w:after="40"/>
              <w:rPr>
                <w:rFonts w:ascii="Arial Narrow" w:hAnsi="Arial Narrow"/>
                <w:sz w:val="20"/>
              </w:rPr>
            </w:pPr>
            <w:r w:rsidRPr="00702AA9">
              <w:rPr>
                <w:rFonts w:ascii="Arial Narrow" w:hAnsi="Arial Narrow"/>
                <w:sz w:val="20"/>
              </w:rPr>
              <w:t>(ii) details of severe exacerbation/s experienced in the past 12 months while receiving optimised asthma therapy (date and treatment); and</w:t>
            </w:r>
          </w:p>
          <w:p w:rsidR="009111C1" w:rsidRPr="00702AA9" w:rsidRDefault="009111C1" w:rsidP="003C1C72">
            <w:pPr>
              <w:spacing w:before="40" w:after="40"/>
              <w:rPr>
                <w:rFonts w:ascii="Arial Narrow" w:hAnsi="Arial Narrow"/>
                <w:sz w:val="20"/>
              </w:rPr>
            </w:pPr>
            <w:r w:rsidRPr="00702AA9">
              <w:rPr>
                <w:rFonts w:ascii="Arial Narrow" w:hAnsi="Arial Narrow"/>
                <w:sz w:val="20"/>
              </w:rPr>
              <w:t>(iii) the signed patient or parent/guardian acknowledgement; and</w:t>
            </w:r>
          </w:p>
          <w:p w:rsidR="009111C1" w:rsidRPr="00702AA9" w:rsidRDefault="009111C1" w:rsidP="003C1C72">
            <w:pPr>
              <w:spacing w:before="40" w:after="40"/>
              <w:rPr>
                <w:rFonts w:ascii="Arial Narrow" w:hAnsi="Arial Narrow"/>
                <w:sz w:val="20"/>
              </w:rPr>
            </w:pPr>
            <w:r w:rsidRPr="00702AA9">
              <w:rPr>
                <w:rFonts w:ascii="Arial Narrow" w:hAnsi="Arial Narrow"/>
                <w:sz w:val="20"/>
              </w:rPr>
              <w:t>(c) a copy of the eosinophil pathology report; and</w:t>
            </w:r>
          </w:p>
          <w:p w:rsidR="009111C1" w:rsidRPr="00702AA9" w:rsidRDefault="009111C1" w:rsidP="003C1C72">
            <w:pPr>
              <w:spacing w:before="40" w:after="40"/>
              <w:rPr>
                <w:rFonts w:ascii="Arial Narrow" w:hAnsi="Arial Narrow"/>
                <w:sz w:val="20"/>
                <w:szCs w:val="24"/>
              </w:rPr>
            </w:pPr>
            <w:r w:rsidRPr="00702AA9">
              <w:rPr>
                <w:rFonts w:ascii="Arial Narrow" w:hAnsi="Arial Narrow"/>
                <w:sz w:val="20"/>
              </w:rPr>
              <w:t>(d) a completed Asthma Control Questionnaire (ACQ-5) calculation sheet including the date of assessment of the patient's symptoms.</w:t>
            </w:r>
          </w:p>
        </w:tc>
      </w:tr>
      <w:tr w:rsidR="009111C1" w:rsidRPr="00702AA9" w:rsidTr="00B03053">
        <w:trPr>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B03053">
            <w:pPr>
              <w:spacing w:before="40" w:after="40"/>
              <w:rPr>
                <w:rFonts w:ascii="Arial Narrow" w:hAnsi="Arial Narrow"/>
                <w:sz w:val="20"/>
              </w:rPr>
            </w:pPr>
            <w:r w:rsidRPr="00702AA9">
              <w:rPr>
                <w:rFonts w:ascii="Arial Narrow" w:hAnsi="Arial Narrow"/>
                <w:sz w:val="20"/>
              </w:rPr>
              <w:t>The Department of Human Services website (www.humanservices.gov.au) has details of the accepted toxicities, including severity, which will be accepted for the purposes of exempting a patient from the requirement of treatment with optimised asthma therapy.</w:t>
            </w:r>
          </w:p>
          <w:p w:rsidR="009111C1" w:rsidRPr="00702AA9" w:rsidRDefault="009111C1" w:rsidP="00B03053">
            <w:pPr>
              <w:spacing w:before="40" w:after="40"/>
              <w:rPr>
                <w:rFonts w:ascii="Arial Narrow" w:hAnsi="Arial Narrow"/>
                <w:sz w:val="20"/>
              </w:rPr>
            </w:pPr>
            <w:r w:rsidRPr="00702AA9">
              <w:rPr>
                <w:rFonts w:ascii="Arial Narrow" w:hAnsi="Arial Narrow"/>
                <w:sz w:val="20"/>
              </w:rPr>
              <w:t xml:space="preserve">For copies of the ACQ, please contact </w:t>
            </w:r>
            <w:r w:rsidR="00F11F42" w:rsidRPr="00702AA9">
              <w:rPr>
                <w:rFonts w:ascii="Arial Narrow" w:hAnsi="Arial Narrow"/>
                <w:sz w:val="20"/>
              </w:rPr>
              <w:t>AstraZeneca</w:t>
            </w:r>
            <w:r w:rsidR="00FF0A19" w:rsidRPr="00702AA9">
              <w:rPr>
                <w:rFonts w:ascii="Arial Narrow" w:hAnsi="Arial Narrow"/>
                <w:sz w:val="20"/>
              </w:rPr>
              <w:t xml:space="preserve"> </w:t>
            </w:r>
            <w:r w:rsidRPr="00702AA9">
              <w:rPr>
                <w:rFonts w:ascii="Arial Narrow" w:hAnsi="Arial Narrow"/>
                <w:sz w:val="20"/>
              </w:rPr>
              <w:t xml:space="preserve">on </w:t>
            </w:r>
            <w:r w:rsidR="00FF0A19" w:rsidRPr="00702AA9">
              <w:rPr>
                <w:rFonts w:ascii="Arial Narrow" w:hAnsi="Arial Narrow"/>
                <w:sz w:val="20"/>
              </w:rPr>
              <w:t>[phone number to be advised]</w:t>
            </w:r>
            <w:r w:rsidRPr="00702AA9">
              <w:rPr>
                <w:rFonts w:ascii="Arial Narrow" w:hAnsi="Arial Narrow"/>
                <w:sz w:val="20"/>
              </w:rPr>
              <w:t>.</w:t>
            </w:r>
          </w:p>
          <w:p w:rsidR="009111C1" w:rsidRPr="00702AA9" w:rsidRDefault="009111C1" w:rsidP="00B03053">
            <w:pPr>
              <w:spacing w:before="40" w:after="40"/>
              <w:rPr>
                <w:rFonts w:ascii="Arial Narrow" w:hAnsi="Arial Narrow"/>
                <w:sz w:val="20"/>
              </w:rPr>
            </w:pPr>
            <w:r w:rsidRPr="00702AA9">
              <w:rPr>
                <w:rFonts w:ascii="Arial Narrow" w:hAnsi="Arial Narrow"/>
                <w:sz w:val="20"/>
              </w:rPr>
              <w:t xml:space="preserve">It is recommended that an application for continuing treatment is submitted at the time of the </w:t>
            </w:r>
            <w:r w:rsidR="00400516" w:rsidRPr="00702AA9">
              <w:rPr>
                <w:rFonts w:ascii="Arial Narrow" w:hAnsi="Arial Narrow"/>
                <w:sz w:val="20"/>
              </w:rPr>
              <w:t>24</w:t>
            </w:r>
            <w:r w:rsidR="00BD1BA8" w:rsidRPr="00702AA9">
              <w:rPr>
                <w:rFonts w:ascii="Arial Narrow" w:hAnsi="Arial Narrow"/>
                <w:sz w:val="20"/>
              </w:rPr>
              <w:t xml:space="preserve"> </w:t>
            </w:r>
            <w:r w:rsidRPr="00702AA9">
              <w:rPr>
                <w:rFonts w:ascii="Arial Narrow" w:hAnsi="Arial Narrow"/>
                <w:sz w:val="20"/>
              </w:rPr>
              <w:t>week assessment, to ensure continuity of treatment for those patients who meet the continuation criteria for PBS-subsidised benralizumab treatment.</w:t>
            </w:r>
          </w:p>
          <w:p w:rsidR="009111C1" w:rsidRPr="00702AA9" w:rsidRDefault="009111C1" w:rsidP="00B03053">
            <w:pPr>
              <w:spacing w:before="40" w:after="40"/>
              <w:rPr>
                <w:rFonts w:ascii="Arial Narrow" w:hAnsi="Arial Narrow"/>
                <w:sz w:val="20"/>
              </w:rPr>
            </w:pPr>
            <w:r w:rsidRPr="00702AA9">
              <w:rPr>
                <w:rFonts w:ascii="Arial Narrow" w:hAnsi="Arial Narrow"/>
                <w:sz w:val="20"/>
              </w:rPr>
              <w:t>Any queries concerning the arrangements to prescribe may be directed to the Department of Human Services on 1800 700 270 (hours of operation 8 a.m. to 5 p.m. EST Monday to Friday).</w:t>
            </w:r>
          </w:p>
          <w:p w:rsidR="009111C1" w:rsidRPr="00702AA9" w:rsidRDefault="009111C1" w:rsidP="00B03053">
            <w:pPr>
              <w:spacing w:before="40" w:after="40"/>
              <w:rPr>
                <w:rFonts w:ascii="Arial Narrow" w:hAnsi="Arial Narrow"/>
                <w:sz w:val="20"/>
              </w:rPr>
            </w:pPr>
            <w:r w:rsidRPr="00702AA9">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9111C1" w:rsidRPr="00702AA9" w:rsidRDefault="009111C1" w:rsidP="00B03053">
            <w:pPr>
              <w:spacing w:before="40" w:after="40"/>
              <w:rPr>
                <w:rFonts w:ascii="Arial Narrow" w:hAnsi="Arial Narrow"/>
                <w:sz w:val="20"/>
              </w:rPr>
            </w:pPr>
            <w:r w:rsidRPr="00702AA9">
              <w:rPr>
                <w:rFonts w:ascii="Arial Narrow" w:hAnsi="Arial Narrow"/>
                <w:sz w:val="20"/>
              </w:rPr>
              <w:t>Applications for authority to prescribe should be forwarded to:</w:t>
            </w:r>
          </w:p>
          <w:p w:rsidR="009111C1" w:rsidRPr="00702AA9" w:rsidRDefault="009111C1" w:rsidP="00B03053">
            <w:pPr>
              <w:spacing w:before="40" w:after="40"/>
              <w:rPr>
                <w:rFonts w:ascii="Arial Narrow" w:hAnsi="Arial Narrow"/>
                <w:sz w:val="20"/>
              </w:rPr>
            </w:pPr>
            <w:r w:rsidRPr="00702AA9">
              <w:rPr>
                <w:rFonts w:ascii="Arial Narrow" w:hAnsi="Arial Narrow"/>
                <w:sz w:val="20"/>
              </w:rPr>
              <w:t>Department of Human Services</w:t>
            </w:r>
          </w:p>
          <w:p w:rsidR="009111C1" w:rsidRPr="00702AA9" w:rsidRDefault="009111C1" w:rsidP="00B03053">
            <w:pPr>
              <w:spacing w:before="40" w:after="40"/>
              <w:rPr>
                <w:rFonts w:ascii="Arial Narrow" w:hAnsi="Arial Narrow"/>
                <w:sz w:val="20"/>
              </w:rPr>
            </w:pPr>
            <w:r w:rsidRPr="00702AA9">
              <w:rPr>
                <w:rFonts w:ascii="Arial Narrow" w:hAnsi="Arial Narrow"/>
                <w:sz w:val="20"/>
              </w:rPr>
              <w:t>Complex Drugs</w:t>
            </w:r>
          </w:p>
          <w:p w:rsidR="009111C1" w:rsidRPr="00702AA9" w:rsidRDefault="009111C1" w:rsidP="00B03053">
            <w:pPr>
              <w:spacing w:before="40" w:after="40"/>
              <w:rPr>
                <w:rFonts w:ascii="Arial Narrow" w:hAnsi="Arial Narrow"/>
                <w:sz w:val="20"/>
              </w:rPr>
            </w:pPr>
            <w:r w:rsidRPr="00702AA9">
              <w:rPr>
                <w:rFonts w:ascii="Arial Narrow" w:hAnsi="Arial Narrow"/>
                <w:sz w:val="20"/>
              </w:rPr>
              <w:t>Reply Paid 9826</w:t>
            </w:r>
          </w:p>
          <w:p w:rsidR="009111C1" w:rsidRPr="00702AA9" w:rsidRDefault="009111C1" w:rsidP="00B03053">
            <w:pPr>
              <w:spacing w:before="40" w:after="40"/>
              <w:rPr>
                <w:rFonts w:ascii="Arial Narrow" w:hAnsi="Arial Narrow"/>
                <w:sz w:val="20"/>
              </w:rPr>
            </w:pPr>
            <w:r w:rsidRPr="00702AA9">
              <w:rPr>
                <w:rFonts w:ascii="Arial Narrow" w:hAnsi="Arial Narrow"/>
                <w:sz w:val="20"/>
              </w:rPr>
              <w:t>HOBART TAS 7001</w:t>
            </w:r>
          </w:p>
          <w:p w:rsidR="009111C1" w:rsidRPr="000446EB" w:rsidRDefault="009111C1" w:rsidP="00B03053">
            <w:pPr>
              <w:spacing w:before="40" w:after="40"/>
              <w:rPr>
                <w:rFonts w:ascii="Arial Narrow" w:hAnsi="Arial Narrow"/>
                <w:sz w:val="20"/>
              </w:rPr>
            </w:pPr>
            <w:r w:rsidRPr="00702AA9">
              <w:rPr>
                <w:rFonts w:ascii="Arial Narrow" w:hAnsi="Arial Narrow"/>
                <w:sz w:val="20"/>
              </w:rPr>
              <w:t xml:space="preserve">TREATMENT OF </w:t>
            </w:r>
            <w:r w:rsidRPr="000446EB">
              <w:rPr>
                <w:rFonts w:ascii="Arial Narrow" w:hAnsi="Arial Narrow"/>
                <w:sz w:val="20"/>
              </w:rPr>
              <w:t>ADULT AND ADOLESCENT PATIENTS WITH UNCONTROLLED SEVERE EOSINOPHILIC ASTHMA</w:t>
            </w:r>
          </w:p>
          <w:p w:rsidR="009111C1" w:rsidRPr="000446EB" w:rsidRDefault="009111C1" w:rsidP="00B03053">
            <w:pPr>
              <w:spacing w:before="40" w:after="40"/>
              <w:rPr>
                <w:rFonts w:ascii="Arial Narrow" w:hAnsi="Arial Narrow"/>
                <w:sz w:val="20"/>
              </w:rPr>
            </w:pPr>
            <w:r w:rsidRPr="000446EB">
              <w:rPr>
                <w:rFonts w:ascii="Arial Narrow" w:hAnsi="Arial Narrow"/>
                <w:sz w:val="20"/>
              </w:rPr>
              <w:t>Patients are eligible to commence a 'benralizumab treatment cycle' (initial treatment course with or without continuing treatment course/s) if they satisfy the eligibility criteria as detailed under the initial treatment restriction.</w:t>
            </w:r>
          </w:p>
          <w:p w:rsidR="009111C1" w:rsidRPr="000446EB" w:rsidRDefault="009111C1" w:rsidP="00B03053">
            <w:pPr>
              <w:spacing w:before="40" w:after="40"/>
              <w:rPr>
                <w:rFonts w:ascii="Arial Narrow" w:hAnsi="Arial Narrow"/>
                <w:sz w:val="20"/>
              </w:rPr>
            </w:pPr>
            <w:r w:rsidRPr="000446EB">
              <w:rPr>
                <w:rFonts w:ascii="Arial Narrow" w:hAnsi="Arial Narrow"/>
                <w:sz w:val="20"/>
              </w:rPr>
              <w:t xml:space="preserve">Once a patient has either failed to achieve or maintain a response to benralizumab, they are deemed to have completed a treatment cycle and they must have, at a minimum, a 6 month break in PBS-subsidised benralizumab therapy before they are eligible to commence the next </w:t>
            </w:r>
            <w:r w:rsidR="00636891" w:rsidRPr="000446EB">
              <w:rPr>
                <w:rFonts w:ascii="Arial Narrow" w:hAnsi="Arial Narrow"/>
                <w:sz w:val="20"/>
              </w:rPr>
              <w:t>‘</w:t>
            </w:r>
            <w:r w:rsidRPr="000446EB">
              <w:rPr>
                <w:rFonts w:ascii="Arial Narrow" w:hAnsi="Arial Narrow"/>
                <w:sz w:val="20"/>
              </w:rPr>
              <w:t>benralizumab treatment cycle</w:t>
            </w:r>
            <w:r w:rsidR="00636891" w:rsidRPr="000446EB">
              <w:rPr>
                <w:rFonts w:ascii="Arial Narrow" w:hAnsi="Arial Narrow"/>
                <w:sz w:val="20"/>
              </w:rPr>
              <w:t>’</w:t>
            </w:r>
            <w:r w:rsidRPr="000446EB">
              <w:rPr>
                <w:rFonts w:ascii="Arial Narrow" w:hAnsi="Arial Narrow"/>
                <w:sz w:val="20"/>
              </w:rPr>
              <w:t>, or if eligible, a ‘mepolizumab treatment cycle’ or an 'omalizumab treatment cycle'. The length of a treatment break is measured from the date the most recent treatment with PBS-subsidised benralizumab is stopped to the date of the first application for initial treatment with benralizumab</w:t>
            </w:r>
            <w:r w:rsidR="00A5020A" w:rsidRPr="000446EB">
              <w:rPr>
                <w:rFonts w:ascii="Arial Narrow" w:hAnsi="Arial Narrow"/>
                <w:sz w:val="20"/>
              </w:rPr>
              <w:t>, mepolizumab or omalizumab</w:t>
            </w:r>
            <w:r w:rsidRPr="000446EB">
              <w:rPr>
                <w:rFonts w:ascii="Arial Narrow" w:hAnsi="Arial Narrow"/>
                <w:sz w:val="20"/>
              </w:rPr>
              <w:t xml:space="preserve"> under the new treatment cycle.</w:t>
            </w:r>
          </w:p>
          <w:p w:rsidR="009111C1" w:rsidRPr="000446EB" w:rsidRDefault="009111C1" w:rsidP="00B03053">
            <w:pPr>
              <w:spacing w:before="40" w:after="40"/>
              <w:rPr>
                <w:rFonts w:ascii="Arial Narrow" w:hAnsi="Arial Narrow"/>
                <w:sz w:val="20"/>
              </w:rPr>
            </w:pPr>
            <w:r w:rsidRPr="000446EB">
              <w:rPr>
                <w:rFonts w:ascii="Arial Narrow" w:hAnsi="Arial Narrow"/>
                <w:sz w:val="20"/>
              </w:rPr>
              <w:t>There is no limit to the number of treatment cycles a patient may undertake in their lifetime.</w:t>
            </w:r>
          </w:p>
          <w:p w:rsidR="009111C1" w:rsidRPr="000446EB" w:rsidRDefault="009111C1" w:rsidP="00B03053">
            <w:pPr>
              <w:spacing w:before="40" w:after="40"/>
              <w:rPr>
                <w:rFonts w:ascii="Arial Narrow" w:hAnsi="Arial Narrow"/>
                <w:sz w:val="20"/>
              </w:rPr>
            </w:pPr>
            <w:r w:rsidRPr="000446EB">
              <w:rPr>
                <w:rFonts w:ascii="Arial Narrow" w:hAnsi="Arial Narrow"/>
                <w:sz w:val="20"/>
              </w:rPr>
              <w:t>(1) How to prescribe PBS-subsidised benralizumab therapy:</w:t>
            </w:r>
          </w:p>
          <w:p w:rsidR="009111C1" w:rsidRPr="000446EB" w:rsidRDefault="009111C1" w:rsidP="00B03053">
            <w:pPr>
              <w:spacing w:before="40" w:after="40"/>
              <w:rPr>
                <w:rFonts w:ascii="Arial Narrow" w:hAnsi="Arial Narrow"/>
                <w:sz w:val="20"/>
              </w:rPr>
            </w:pPr>
            <w:r w:rsidRPr="000446EB">
              <w:rPr>
                <w:rFonts w:ascii="Arial Narrow" w:hAnsi="Arial Narrow"/>
                <w:sz w:val="20"/>
              </w:rPr>
              <w:t>(a) Initial treatment:</w:t>
            </w:r>
          </w:p>
          <w:p w:rsidR="009111C1" w:rsidRPr="000446EB" w:rsidRDefault="009111C1" w:rsidP="00B03053">
            <w:pPr>
              <w:spacing w:before="40" w:after="40"/>
              <w:rPr>
                <w:rFonts w:ascii="Arial Narrow" w:hAnsi="Arial Narrow"/>
                <w:sz w:val="20"/>
              </w:rPr>
            </w:pPr>
            <w:r w:rsidRPr="000446EB">
              <w:rPr>
                <w:rFonts w:ascii="Arial Narrow" w:hAnsi="Arial Narrow"/>
                <w:sz w:val="20"/>
              </w:rPr>
              <w:t>Applications for initial treatment should be made where:</w:t>
            </w:r>
          </w:p>
          <w:p w:rsidR="009111C1" w:rsidRPr="000446EB" w:rsidRDefault="009111C1" w:rsidP="00B03053">
            <w:pPr>
              <w:spacing w:before="40" w:after="40"/>
              <w:rPr>
                <w:rFonts w:ascii="Arial Narrow" w:hAnsi="Arial Narrow"/>
                <w:sz w:val="20"/>
              </w:rPr>
            </w:pPr>
            <w:r w:rsidRPr="000446EB">
              <w:rPr>
                <w:rFonts w:ascii="Arial Narrow" w:hAnsi="Arial Narrow"/>
                <w:sz w:val="20"/>
              </w:rPr>
              <w:t>i) A patient has received no prior PBS-subsidised benralizumab treatment and wishes to commence such therapy; or</w:t>
            </w:r>
          </w:p>
          <w:p w:rsidR="009111C1" w:rsidRPr="000446EB" w:rsidRDefault="009111C1" w:rsidP="00B03053">
            <w:pPr>
              <w:spacing w:before="40" w:after="40"/>
              <w:rPr>
                <w:rFonts w:ascii="Arial Narrow" w:hAnsi="Arial Narrow"/>
                <w:sz w:val="20"/>
              </w:rPr>
            </w:pPr>
            <w:r w:rsidRPr="000446EB">
              <w:rPr>
                <w:rFonts w:ascii="Arial Narrow" w:hAnsi="Arial Narrow"/>
                <w:sz w:val="20"/>
              </w:rPr>
              <w:t>ii) A patient wishes to recommence treatment with benralizumab following a break in PBS-subsidised therapy of more than 6 months; or</w:t>
            </w:r>
          </w:p>
          <w:p w:rsidR="009111C1" w:rsidRPr="000446EB" w:rsidRDefault="009111C1" w:rsidP="00B03053">
            <w:pPr>
              <w:spacing w:before="40" w:after="40"/>
              <w:rPr>
                <w:rFonts w:ascii="Arial Narrow" w:hAnsi="Arial Narrow"/>
                <w:sz w:val="20"/>
              </w:rPr>
            </w:pPr>
            <w:r w:rsidRPr="000446EB">
              <w:rPr>
                <w:rFonts w:ascii="Arial Narrow" w:hAnsi="Arial Narrow"/>
                <w:sz w:val="20"/>
              </w:rPr>
              <w:t>iii) A patient has received prior PBS-subsidised mepolizumab or omalizumab and wishes to commence treatment with benralizumab after a treatment break of 6 months.</w:t>
            </w:r>
          </w:p>
          <w:p w:rsidR="009111C1" w:rsidRPr="000446EB" w:rsidRDefault="009111C1" w:rsidP="00B03053">
            <w:pPr>
              <w:spacing w:before="40" w:after="40"/>
              <w:rPr>
                <w:rFonts w:ascii="Arial Narrow" w:hAnsi="Arial Narrow"/>
                <w:sz w:val="20"/>
              </w:rPr>
            </w:pPr>
            <w:r w:rsidRPr="000446EB">
              <w:rPr>
                <w:rFonts w:ascii="Arial Narrow" w:hAnsi="Arial Narrow"/>
                <w:sz w:val="20"/>
              </w:rPr>
              <w:t>All applications for initial treatment for non-grandfather patients will be limited to provide for a maximum of 32 weeks of therapy for benralizumab.</w:t>
            </w:r>
          </w:p>
          <w:p w:rsidR="009111C1" w:rsidRPr="00702AA9" w:rsidRDefault="009111C1" w:rsidP="00B03053">
            <w:pPr>
              <w:spacing w:before="40" w:after="40"/>
              <w:rPr>
                <w:rFonts w:ascii="Arial Narrow" w:hAnsi="Arial Narrow"/>
                <w:sz w:val="20"/>
              </w:rPr>
            </w:pPr>
            <w:r w:rsidRPr="000446EB">
              <w:rPr>
                <w:rFonts w:ascii="Arial Narrow" w:hAnsi="Arial Narrow"/>
                <w:sz w:val="20"/>
              </w:rPr>
              <w:t>(b) Grandfather patients:</w:t>
            </w:r>
          </w:p>
          <w:p w:rsidR="009111C1" w:rsidRPr="00702AA9" w:rsidRDefault="009111C1" w:rsidP="00B03053">
            <w:pPr>
              <w:spacing w:before="40" w:after="40"/>
              <w:rPr>
                <w:rFonts w:ascii="Arial Narrow" w:hAnsi="Arial Narrow"/>
                <w:sz w:val="20"/>
              </w:rPr>
            </w:pPr>
            <w:r w:rsidRPr="00702AA9">
              <w:rPr>
                <w:rFonts w:ascii="Arial Narrow" w:hAnsi="Arial Narrow"/>
                <w:sz w:val="20"/>
              </w:rPr>
              <w:t xml:space="preserve">For patients who commenced treatment with benralizumab for uncontrolled severe eosinophilic asthma prior to </w:t>
            </w:r>
            <w:r w:rsidR="00BD1BA8" w:rsidRPr="00702AA9">
              <w:rPr>
                <w:rFonts w:ascii="Arial Narrow" w:hAnsi="Arial Narrow"/>
                <w:i/>
                <w:sz w:val="20"/>
              </w:rPr>
              <w:t xml:space="preserve">[insert date of listing] </w:t>
            </w:r>
            <w:r w:rsidRPr="00702AA9">
              <w:rPr>
                <w:rFonts w:ascii="Arial Narrow" w:hAnsi="Arial Narrow"/>
                <w:sz w:val="20"/>
              </w:rPr>
              <w:t>and who continue</w:t>
            </w:r>
            <w:r w:rsidRPr="00702AA9">
              <w:rPr>
                <w:rFonts w:ascii="Arial Narrow" w:hAnsi="Arial Narrow"/>
                <w:strike/>
                <w:sz w:val="20"/>
              </w:rPr>
              <w:t>s</w:t>
            </w:r>
            <w:r w:rsidRPr="00702AA9">
              <w:rPr>
                <w:rFonts w:ascii="Arial Narrow" w:hAnsi="Arial Narrow"/>
                <w:sz w:val="20"/>
              </w:rPr>
              <w:t xml:space="preserve"> to receive treatment at the time of application, may qualify for treatment under the initial 'grandfather' treatment restriction. A patient may only qualify for PBS-subsidised treatment under this restriction once. A maximum of 24 weeks of treatment with benralizumab will be authorised under this criterion. Approval will be based on the criteria included in the relevant restriction. Following completion of the Initial PBS-subsidised course, further applications for treatment with benralizumab will be assessed under the continuing treatment restriction.</w:t>
            </w:r>
          </w:p>
          <w:p w:rsidR="009111C1" w:rsidRPr="00702AA9" w:rsidRDefault="009111C1" w:rsidP="00B03053">
            <w:pPr>
              <w:spacing w:before="40" w:after="40"/>
              <w:rPr>
                <w:rFonts w:ascii="Arial Narrow" w:hAnsi="Arial Narrow"/>
                <w:sz w:val="20"/>
              </w:rPr>
            </w:pPr>
            <w:r w:rsidRPr="00702AA9">
              <w:rPr>
                <w:rFonts w:ascii="Arial Narrow" w:hAnsi="Arial Narrow"/>
                <w:sz w:val="20"/>
              </w:rPr>
              <w:t>'Grandfather' arrangements will only apply for the first treatment cycle (initial treatment course with or without continuing treatment course/s). If a 'Grandfathered' patient recommences on second and subsequent cycles after a treatment break, the 'Grandfathered' patient must re-qualify for Initial treatment under the criteria that apply to a new patient. See 'Re-commencement of treatment after a 6 month break in PBS-subsidised therapy' below for further details.</w:t>
            </w:r>
          </w:p>
          <w:p w:rsidR="009111C1" w:rsidRPr="00702AA9" w:rsidRDefault="009111C1" w:rsidP="00B03053">
            <w:pPr>
              <w:spacing w:before="40" w:after="40"/>
              <w:rPr>
                <w:rFonts w:ascii="Arial Narrow" w:hAnsi="Arial Narrow"/>
                <w:sz w:val="20"/>
              </w:rPr>
            </w:pPr>
            <w:r w:rsidRPr="00702AA9">
              <w:rPr>
                <w:rFonts w:ascii="Arial Narrow" w:hAnsi="Arial Narrow"/>
                <w:sz w:val="20"/>
              </w:rPr>
              <w:t>(c) Continuing treatment:</w:t>
            </w:r>
          </w:p>
          <w:p w:rsidR="009111C1" w:rsidRPr="00702AA9" w:rsidRDefault="009111C1" w:rsidP="00B03053">
            <w:pPr>
              <w:spacing w:before="40" w:after="40"/>
              <w:rPr>
                <w:rFonts w:ascii="Arial Narrow" w:hAnsi="Arial Narrow"/>
                <w:sz w:val="20"/>
              </w:rPr>
            </w:pPr>
            <w:r w:rsidRPr="00702AA9">
              <w:rPr>
                <w:rFonts w:ascii="Arial Narrow" w:hAnsi="Arial Narrow"/>
                <w:sz w:val="20"/>
              </w:rPr>
              <w:t>Following the completion of the initial treatment course with benralizumab, a patient may qualify to receive up to a further 24 weeks of continuing treatment with benralizumab providing they have demonstrated an adequate response to treatment. The patient remains eligible to receive continuing benralizumab treatment in courses of up to 24 weeks providing they continue to sustain the response.</w:t>
            </w:r>
          </w:p>
          <w:p w:rsidR="009111C1" w:rsidRPr="000446EB" w:rsidRDefault="009111C1" w:rsidP="00B03053">
            <w:pPr>
              <w:spacing w:before="40" w:after="40"/>
              <w:rPr>
                <w:rFonts w:ascii="Arial Narrow" w:hAnsi="Arial Narrow"/>
                <w:sz w:val="20"/>
              </w:rPr>
            </w:pPr>
            <w:r w:rsidRPr="00702AA9">
              <w:rPr>
                <w:rFonts w:ascii="Arial Narrow" w:hAnsi="Arial Narrow"/>
                <w:sz w:val="20"/>
              </w:rPr>
              <w:t xml:space="preserve">(2) Baseline measurements to determine </w:t>
            </w:r>
            <w:r w:rsidRPr="000446EB">
              <w:rPr>
                <w:rFonts w:ascii="Arial Narrow" w:hAnsi="Arial Narrow"/>
                <w:sz w:val="20"/>
              </w:rPr>
              <w:t>response:</w:t>
            </w:r>
          </w:p>
          <w:p w:rsidR="009111C1" w:rsidRPr="000446EB" w:rsidRDefault="009111C1" w:rsidP="00B03053">
            <w:pPr>
              <w:spacing w:before="40" w:after="40"/>
              <w:rPr>
                <w:rFonts w:ascii="Arial Narrow" w:hAnsi="Arial Narrow"/>
                <w:sz w:val="20"/>
              </w:rPr>
            </w:pPr>
            <w:r w:rsidRPr="000446EB">
              <w:rPr>
                <w:rFonts w:ascii="Arial Narrow" w:hAnsi="Arial Narrow"/>
                <w:sz w:val="20"/>
              </w:rPr>
              <w:t>The Department of Human Services will determine whether a response to treatment has been demonstrated based on the baseline measurements of the Asthma Control Questionnaire (ACQ; 5 item version) and oral corticosteroid dose, submitted with the Initial authority application for benralizumab. However, prescribers may provide new baseline measurements when a new Initial treatment authority application is submitted and the Department of Human Services will assess response according to these revised baseline measurements.</w:t>
            </w:r>
          </w:p>
          <w:p w:rsidR="009111C1" w:rsidRPr="000446EB" w:rsidRDefault="009111C1" w:rsidP="00B03053">
            <w:pPr>
              <w:spacing w:before="40" w:after="40"/>
              <w:rPr>
                <w:rFonts w:ascii="Arial Narrow" w:hAnsi="Arial Narrow"/>
                <w:sz w:val="20"/>
              </w:rPr>
            </w:pPr>
            <w:r w:rsidRPr="000446EB">
              <w:rPr>
                <w:rFonts w:ascii="Arial Narrow" w:hAnsi="Arial Narrow"/>
                <w:sz w:val="20"/>
              </w:rPr>
              <w:t>(3) Re-commencement of treatment after a 6 month break in PBS-subsidised therapy:</w:t>
            </w:r>
          </w:p>
          <w:p w:rsidR="009111C1" w:rsidRPr="00702AA9" w:rsidRDefault="009111C1" w:rsidP="00B03053">
            <w:pPr>
              <w:spacing w:before="40" w:after="40"/>
              <w:rPr>
                <w:rFonts w:ascii="Arial Narrow" w:hAnsi="Arial Narrow"/>
                <w:sz w:val="20"/>
              </w:rPr>
            </w:pPr>
            <w:r w:rsidRPr="000446EB">
              <w:rPr>
                <w:rFonts w:ascii="Arial Narrow" w:hAnsi="Arial Narrow"/>
                <w:sz w:val="20"/>
              </w:rPr>
              <w:t>A patient who wishes to trial a second or subsequent benralizumab treatment cycle, or an initial mepolizumab or omalizumab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w:t>
            </w:r>
            <w:r w:rsidRPr="00702AA9">
              <w:rPr>
                <w:rFonts w:ascii="Arial Narrow" w:hAnsi="Arial Narrow"/>
                <w:sz w:val="20"/>
              </w:rPr>
              <w:t>ecified, immediately prior to the time the new baseline assessments are performed.</w:t>
            </w:r>
          </w:p>
          <w:p w:rsidR="009111C1" w:rsidRPr="00702AA9" w:rsidRDefault="009111C1" w:rsidP="00B03053">
            <w:pPr>
              <w:spacing w:before="40" w:after="40"/>
              <w:rPr>
                <w:rFonts w:ascii="Arial Narrow" w:hAnsi="Arial Narrow"/>
                <w:sz w:val="20"/>
              </w:rPr>
            </w:pPr>
            <w:r w:rsidRPr="00702AA9">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9111C1" w:rsidRPr="00702AA9" w:rsidRDefault="009111C1"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9111C1" w:rsidRPr="00702AA9" w:rsidRDefault="009111C1"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rPr>
              <w:t>Special Pricing Arrangements apply.</w:t>
            </w:r>
          </w:p>
        </w:tc>
      </w:tr>
      <w:tr w:rsidR="00B03053" w:rsidRPr="00702AA9" w:rsidTr="00B03053">
        <w:trPr>
          <w:gridAfter w:val="1"/>
          <w:wAfter w:w="1474" w:type="pct"/>
          <w:cantSplit/>
          <w:trHeight w:val="465"/>
        </w:trPr>
        <w:tc>
          <w:tcPr>
            <w:tcW w:w="1286" w:type="pct"/>
            <w:tcBorders>
              <w:top w:val="nil"/>
              <w:left w:val="nil"/>
              <w:right w:val="nil"/>
            </w:tcBorders>
          </w:tcPr>
          <w:p w:rsidR="00B03053" w:rsidRPr="00702AA9" w:rsidRDefault="00B03053" w:rsidP="006F79C7">
            <w:pPr>
              <w:keepNext/>
              <w:spacing w:before="40" w:after="40"/>
              <w:rPr>
                <w:rFonts w:ascii="Arial Narrow" w:hAnsi="Arial Narrow"/>
                <w:b/>
                <w:sz w:val="20"/>
                <w:szCs w:val="20"/>
              </w:rPr>
            </w:pPr>
          </w:p>
        </w:tc>
        <w:tc>
          <w:tcPr>
            <w:tcW w:w="480" w:type="pct"/>
            <w:tcBorders>
              <w:top w:val="nil"/>
              <w:left w:val="nil"/>
              <w:right w:val="nil"/>
            </w:tcBorders>
          </w:tcPr>
          <w:p w:rsidR="00B03053" w:rsidRPr="00702AA9" w:rsidRDefault="00B03053" w:rsidP="006F79C7">
            <w:pPr>
              <w:keepNext/>
              <w:spacing w:before="40" w:after="40"/>
              <w:rPr>
                <w:rFonts w:ascii="Arial Narrow" w:hAnsi="Arial Narrow"/>
                <w:b/>
                <w:sz w:val="20"/>
                <w:szCs w:val="20"/>
              </w:rPr>
            </w:pPr>
          </w:p>
        </w:tc>
        <w:tc>
          <w:tcPr>
            <w:tcW w:w="548" w:type="pct"/>
            <w:tcBorders>
              <w:top w:val="nil"/>
              <w:left w:val="nil"/>
              <w:right w:val="nil"/>
            </w:tcBorders>
          </w:tcPr>
          <w:p w:rsidR="00B03053" w:rsidRPr="00702AA9" w:rsidRDefault="00B03053" w:rsidP="006F79C7">
            <w:pPr>
              <w:keepNext/>
              <w:spacing w:before="40" w:after="40"/>
              <w:rPr>
                <w:rFonts w:ascii="Arial Narrow" w:hAnsi="Arial Narrow"/>
                <w:b/>
                <w:sz w:val="20"/>
                <w:szCs w:val="20"/>
              </w:rPr>
            </w:pPr>
          </w:p>
        </w:tc>
        <w:tc>
          <w:tcPr>
            <w:tcW w:w="1212" w:type="pct"/>
            <w:gridSpan w:val="2"/>
            <w:tcBorders>
              <w:top w:val="nil"/>
              <w:left w:val="nil"/>
              <w:right w:val="nil"/>
            </w:tcBorders>
            <w:vAlign w:val="center"/>
          </w:tcPr>
          <w:p w:rsidR="00B03053" w:rsidRPr="00702AA9" w:rsidRDefault="00B03053" w:rsidP="006F79C7">
            <w:pPr>
              <w:keepNext/>
              <w:spacing w:before="40" w:after="40"/>
              <w:jc w:val="left"/>
              <w:rPr>
                <w:rFonts w:ascii="Arial Narrow" w:hAnsi="Arial Narrow"/>
                <w:b/>
                <w:sz w:val="20"/>
              </w:rPr>
            </w:pPr>
          </w:p>
        </w:tc>
      </w:tr>
      <w:tr w:rsidR="00F11F42" w:rsidRPr="00702AA9" w:rsidTr="00B03053">
        <w:trPr>
          <w:gridAfter w:val="1"/>
          <w:wAfter w:w="1474" w:type="pct"/>
          <w:cantSplit/>
          <w:trHeight w:val="465"/>
        </w:trPr>
        <w:tc>
          <w:tcPr>
            <w:tcW w:w="1286" w:type="pct"/>
            <w:tcBorders>
              <w:left w:val="nil"/>
              <w:bottom w:val="single" w:sz="4" w:space="0" w:color="auto"/>
              <w:right w:val="nil"/>
            </w:tcBorders>
            <w:hideMark/>
          </w:tcPr>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Name, Restriction,</w:t>
            </w:r>
          </w:p>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left w:val="nil"/>
              <w:bottom w:val="single" w:sz="4" w:space="0" w:color="auto"/>
              <w:right w:val="nil"/>
            </w:tcBorders>
            <w:hideMark/>
          </w:tcPr>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Max.</w:t>
            </w:r>
          </w:p>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left w:val="nil"/>
              <w:bottom w:val="single" w:sz="4" w:space="0" w:color="auto"/>
              <w:right w:val="nil"/>
            </w:tcBorders>
            <w:hideMark/>
          </w:tcPr>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№.of</w:t>
            </w:r>
          </w:p>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Rpts</w:t>
            </w:r>
          </w:p>
        </w:tc>
        <w:tc>
          <w:tcPr>
            <w:tcW w:w="1212" w:type="pct"/>
            <w:gridSpan w:val="2"/>
            <w:tcBorders>
              <w:left w:val="nil"/>
              <w:bottom w:val="single" w:sz="4" w:space="0" w:color="auto"/>
              <w:right w:val="nil"/>
            </w:tcBorders>
            <w:vAlign w:val="center"/>
            <w:hideMark/>
          </w:tcPr>
          <w:p w:rsidR="00F11F42" w:rsidRPr="00702AA9" w:rsidRDefault="00F11F42" w:rsidP="006F79C7">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F11F42" w:rsidRPr="00702AA9" w:rsidTr="00B03053">
        <w:trPr>
          <w:gridAfter w:val="1"/>
          <w:wAfter w:w="1474" w:type="pct"/>
          <w:cantSplit/>
          <w:trHeight w:val="570"/>
        </w:trPr>
        <w:tc>
          <w:tcPr>
            <w:tcW w:w="1286" w:type="pct"/>
            <w:tcBorders>
              <w:top w:val="single" w:sz="4" w:space="0" w:color="auto"/>
            </w:tcBorders>
            <w:hideMark/>
          </w:tcPr>
          <w:p w:rsidR="00F11F42" w:rsidRPr="00702AA9" w:rsidRDefault="00F11F42" w:rsidP="006F79C7">
            <w:pPr>
              <w:keepNext/>
              <w:spacing w:before="40" w:after="40"/>
              <w:rPr>
                <w:rFonts w:ascii="Arial Narrow" w:hAnsi="Arial Narrow"/>
                <w:sz w:val="20"/>
                <w:szCs w:val="20"/>
              </w:rPr>
            </w:pPr>
            <w:r w:rsidRPr="00702AA9">
              <w:rPr>
                <w:rFonts w:ascii="Arial Narrow" w:hAnsi="Arial Narrow"/>
                <w:smallCaps/>
                <w:sz w:val="20"/>
                <w:szCs w:val="20"/>
              </w:rPr>
              <w:t>BENRALIZUMAB</w:t>
            </w:r>
          </w:p>
          <w:p w:rsidR="00F11F42" w:rsidRPr="00702AA9" w:rsidRDefault="00F11F42" w:rsidP="006F79C7">
            <w:pPr>
              <w:keepNext/>
              <w:spacing w:before="40" w:after="40"/>
              <w:rPr>
                <w:rFonts w:ascii="Arial Narrow" w:hAnsi="Arial Narrow"/>
                <w:sz w:val="20"/>
                <w:szCs w:val="20"/>
              </w:rPr>
            </w:pPr>
            <w:r w:rsidRPr="00702AA9">
              <w:rPr>
                <w:rFonts w:ascii="Arial Narrow" w:hAnsi="Arial Narrow"/>
                <w:sz w:val="20"/>
                <w:szCs w:val="20"/>
              </w:rPr>
              <w:t>30 mg in 1 mL injection, (prefilled syringe)</w:t>
            </w:r>
          </w:p>
        </w:tc>
        <w:tc>
          <w:tcPr>
            <w:tcW w:w="480" w:type="pct"/>
            <w:tcBorders>
              <w:top w:val="single" w:sz="4" w:space="0" w:color="auto"/>
            </w:tcBorders>
            <w:hideMark/>
          </w:tcPr>
          <w:p w:rsidR="00F11F42" w:rsidRPr="00702AA9" w:rsidRDefault="00F11F42" w:rsidP="006F79C7">
            <w:pPr>
              <w:keepNext/>
              <w:spacing w:before="40" w:after="40"/>
              <w:rPr>
                <w:rFonts w:ascii="Arial Narrow" w:hAnsi="Arial Narrow"/>
                <w:sz w:val="20"/>
                <w:szCs w:val="20"/>
              </w:rPr>
            </w:pPr>
            <w:r w:rsidRPr="00702AA9">
              <w:rPr>
                <w:rFonts w:ascii="Arial Narrow" w:hAnsi="Arial Narrow"/>
                <w:sz w:val="20"/>
                <w:szCs w:val="20"/>
              </w:rPr>
              <w:t>1</w:t>
            </w:r>
          </w:p>
        </w:tc>
        <w:tc>
          <w:tcPr>
            <w:tcW w:w="548" w:type="pct"/>
            <w:tcBorders>
              <w:top w:val="single" w:sz="4" w:space="0" w:color="auto"/>
            </w:tcBorders>
            <w:hideMark/>
          </w:tcPr>
          <w:p w:rsidR="00F11F42" w:rsidRPr="00702AA9" w:rsidRDefault="00F11F42" w:rsidP="006F79C7">
            <w:pPr>
              <w:keepNext/>
              <w:spacing w:before="40" w:after="40"/>
              <w:rPr>
                <w:rFonts w:ascii="Arial Narrow" w:hAnsi="Arial Narrow"/>
                <w:sz w:val="20"/>
                <w:szCs w:val="20"/>
              </w:rPr>
            </w:pPr>
            <w:r w:rsidRPr="00702AA9">
              <w:rPr>
                <w:rFonts w:ascii="Arial Narrow" w:hAnsi="Arial Narrow"/>
                <w:sz w:val="20"/>
                <w:szCs w:val="20"/>
              </w:rPr>
              <w:t>4</w:t>
            </w:r>
          </w:p>
        </w:tc>
        <w:tc>
          <w:tcPr>
            <w:tcW w:w="991" w:type="pct"/>
            <w:tcBorders>
              <w:top w:val="single" w:sz="4" w:space="0" w:color="auto"/>
            </w:tcBorders>
            <w:hideMark/>
          </w:tcPr>
          <w:p w:rsidR="00F11F42" w:rsidRPr="00702AA9" w:rsidRDefault="00F11F42" w:rsidP="006F79C7">
            <w:pPr>
              <w:keepNext/>
              <w:jc w:val="left"/>
              <w:rPr>
                <w:rFonts w:ascii="Arial Narrow" w:hAnsi="Arial Narrow"/>
                <w:sz w:val="20"/>
              </w:rPr>
            </w:pPr>
            <w:r w:rsidRPr="00702AA9">
              <w:rPr>
                <w:rFonts w:ascii="Arial Narrow" w:hAnsi="Arial Narrow"/>
                <w:sz w:val="20"/>
              </w:rPr>
              <w:t>Fasenra</w:t>
            </w:r>
            <w:r w:rsidRPr="00702AA9">
              <w:rPr>
                <w:rFonts w:ascii="Arial Narrow" w:hAnsi="Arial Narrow"/>
                <w:sz w:val="20"/>
                <w:vertAlign w:val="superscript"/>
              </w:rPr>
              <w:t>®</w:t>
            </w:r>
          </w:p>
          <w:p w:rsidR="00F11F42" w:rsidRPr="00702AA9" w:rsidRDefault="00F11F42" w:rsidP="006F79C7">
            <w:pPr>
              <w:keepNext/>
              <w:spacing w:before="40" w:after="40"/>
              <w:jc w:val="left"/>
              <w:rPr>
                <w:rFonts w:ascii="Arial Narrow" w:hAnsi="Arial Narrow"/>
                <w:sz w:val="20"/>
                <w:szCs w:val="20"/>
              </w:rPr>
            </w:pPr>
            <w:r w:rsidRPr="00702AA9">
              <w:rPr>
                <w:rFonts w:ascii="Arial Narrow" w:hAnsi="Arial Narrow"/>
                <w:sz w:val="20"/>
              </w:rPr>
              <w:t>AstraZeneca Pty Ltd</w:t>
            </w:r>
          </w:p>
        </w:tc>
        <w:tc>
          <w:tcPr>
            <w:tcW w:w="221" w:type="pct"/>
            <w:tcBorders>
              <w:top w:val="single" w:sz="4" w:space="0" w:color="auto"/>
            </w:tcBorders>
          </w:tcPr>
          <w:p w:rsidR="00F11F42" w:rsidRPr="00702AA9" w:rsidRDefault="00F11F42" w:rsidP="006F79C7">
            <w:pPr>
              <w:keepNext/>
              <w:spacing w:before="40" w:after="40"/>
              <w:jc w:val="left"/>
              <w:rPr>
                <w:rFonts w:ascii="Arial Narrow" w:hAnsi="Arial Narrow"/>
                <w:sz w:val="20"/>
                <w:szCs w:val="20"/>
              </w:rPr>
            </w:pP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sz w:val="20"/>
                <w:szCs w:val="20"/>
              </w:rPr>
            </w:pPr>
            <w:r w:rsidRPr="00702AA9">
              <w:rPr>
                <w:rFonts w:ascii="Arial Narrow" w:hAnsi="Arial Narrow"/>
                <w:sz w:val="20"/>
                <w:szCs w:val="20"/>
              </w:rPr>
              <w:t>Initial treatment</w:t>
            </w:r>
            <w:r w:rsidR="00B80639" w:rsidRPr="00702AA9">
              <w:rPr>
                <w:rFonts w:ascii="Arial Narrow" w:hAnsi="Arial Narrow"/>
                <w:sz w:val="20"/>
                <w:szCs w:val="20"/>
              </w:rPr>
              <w:t xml:space="preserve"> – balance of supply</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481D6D" w:rsidRPr="00702AA9" w:rsidRDefault="00481D6D" w:rsidP="006F79C7">
            <w:pPr>
              <w:spacing w:before="40" w:after="40"/>
              <w:rPr>
                <w:rFonts w:ascii="Arial Narrow" w:hAnsi="Arial Narrow"/>
                <w:b/>
                <w:sz w:val="20"/>
                <w:szCs w:val="20"/>
              </w:rPr>
            </w:pPr>
            <w:r w:rsidRPr="00702AA9">
              <w:rPr>
                <w:rFonts w:ascii="Arial Narrow" w:hAnsi="Arial Narrow"/>
                <w:b/>
                <w:sz w:val="20"/>
                <w:szCs w:val="20"/>
              </w:rPr>
              <w:t>Restriction Level / Method:</w:t>
            </w:r>
          </w:p>
          <w:p w:rsidR="00481D6D" w:rsidRPr="00702AA9" w:rsidRDefault="00481D6D" w:rsidP="006F79C7">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481D6D" w:rsidRPr="00702AA9" w:rsidRDefault="00B610D1" w:rsidP="006F79C7">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00481D6D" w:rsidRPr="00702AA9">
              <w:rPr>
                <w:rFonts w:ascii="Arial Narrow" w:hAnsi="Arial Narrow"/>
                <w:sz w:val="20"/>
                <w:szCs w:val="20"/>
              </w:rPr>
              <w:t>Authority Required - In Writing</w:t>
            </w:r>
          </w:p>
          <w:p w:rsidR="00481D6D" w:rsidRPr="00702AA9" w:rsidRDefault="00B610D1"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1"/>
                  </w:checkBox>
                </w:ffData>
              </w:fldChar>
            </w:r>
            <w:bookmarkStart w:id="9" w:name="Check3"/>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bookmarkEnd w:id="9"/>
            <w:r w:rsidR="00481D6D" w:rsidRPr="00702AA9">
              <w:rPr>
                <w:rFonts w:ascii="Arial Narrow" w:hAnsi="Arial Narrow"/>
                <w:sz w:val="20"/>
                <w:szCs w:val="20"/>
              </w:rPr>
              <w:t>Authority Required - Telephone</w:t>
            </w:r>
          </w:p>
          <w:p w:rsidR="00481D6D" w:rsidRPr="00702AA9" w:rsidRDefault="00481D6D"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481D6D" w:rsidRPr="00702AA9" w:rsidRDefault="00481D6D" w:rsidP="006F79C7">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481D6D" w:rsidRPr="00702AA9" w:rsidRDefault="00481D6D" w:rsidP="006F79C7">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245DE4" w:rsidRPr="00702AA9" w:rsidRDefault="00245DE4" w:rsidP="00245DE4">
            <w:pPr>
              <w:spacing w:before="40" w:after="40"/>
              <w:rPr>
                <w:rFonts w:ascii="Arial Narrow" w:hAnsi="Arial Narrow"/>
                <w:sz w:val="20"/>
                <w:szCs w:val="20"/>
              </w:rPr>
            </w:pPr>
            <w:r w:rsidRPr="00702AA9">
              <w:rPr>
                <w:rFonts w:ascii="Arial Narrow" w:hAnsi="Arial Narrow"/>
                <w:sz w:val="20"/>
                <w:szCs w:val="20"/>
              </w:rPr>
              <w:t>Patient must have received insufficient therapy with this drug under the Initial trea</w:t>
            </w:r>
            <w:r w:rsidR="00E6578E" w:rsidRPr="00702AA9">
              <w:rPr>
                <w:rFonts w:ascii="Arial Narrow" w:hAnsi="Arial Narrow"/>
                <w:sz w:val="20"/>
                <w:szCs w:val="20"/>
              </w:rPr>
              <w:t>tment restriction to complete 32</w:t>
            </w:r>
            <w:r w:rsidRPr="00702AA9">
              <w:rPr>
                <w:rFonts w:ascii="Arial Narrow" w:hAnsi="Arial Narrow"/>
                <w:sz w:val="20"/>
                <w:szCs w:val="20"/>
              </w:rPr>
              <w:t xml:space="preserve"> weeks treatment, </w:t>
            </w:r>
          </w:p>
          <w:p w:rsidR="00245DE4" w:rsidRPr="00702AA9" w:rsidRDefault="00245DE4" w:rsidP="00245DE4">
            <w:pPr>
              <w:spacing w:before="40" w:after="40"/>
              <w:rPr>
                <w:rFonts w:ascii="Arial Narrow" w:hAnsi="Arial Narrow"/>
                <w:sz w:val="20"/>
                <w:szCs w:val="20"/>
              </w:rPr>
            </w:pPr>
            <w:r w:rsidRPr="00702AA9">
              <w:rPr>
                <w:rFonts w:ascii="Arial Narrow" w:hAnsi="Arial Narrow"/>
                <w:sz w:val="20"/>
                <w:szCs w:val="20"/>
              </w:rPr>
              <w:t>AND</w:t>
            </w:r>
          </w:p>
          <w:p w:rsidR="00481D6D" w:rsidRPr="00702AA9" w:rsidRDefault="00245DE4" w:rsidP="006F79C7">
            <w:pPr>
              <w:spacing w:before="40" w:after="40"/>
              <w:rPr>
                <w:rFonts w:ascii="Arial Narrow" w:hAnsi="Arial Narrow"/>
                <w:sz w:val="20"/>
                <w:szCs w:val="20"/>
              </w:rPr>
            </w:pPr>
            <w:r w:rsidRPr="00702AA9">
              <w:rPr>
                <w:rFonts w:ascii="Arial Narrow" w:hAnsi="Arial Narrow"/>
                <w:sz w:val="20"/>
                <w:szCs w:val="20"/>
              </w:rPr>
              <w:t>The treatment must provide no m</w:t>
            </w:r>
            <w:r w:rsidR="00E6578E" w:rsidRPr="00702AA9">
              <w:rPr>
                <w:rFonts w:ascii="Arial Narrow" w:hAnsi="Arial Narrow"/>
                <w:sz w:val="20"/>
                <w:szCs w:val="20"/>
              </w:rPr>
              <w:t>ore than the balance of up to 32</w:t>
            </w:r>
            <w:r w:rsidRPr="00702AA9">
              <w:rPr>
                <w:rFonts w:ascii="Arial Narrow" w:hAnsi="Arial Narrow"/>
                <w:sz w:val="20"/>
                <w:szCs w:val="20"/>
              </w:rPr>
              <w:t xml:space="preserve"> weeks treatment available under the above restriction. </w:t>
            </w:r>
          </w:p>
        </w:tc>
      </w:tr>
      <w:tr w:rsidR="00481D6D"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481D6D" w:rsidRPr="00702AA9" w:rsidRDefault="00481D6D" w:rsidP="006F79C7">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481D6D" w:rsidRPr="00702AA9" w:rsidRDefault="00481D6D" w:rsidP="006F79C7">
            <w:pPr>
              <w:rPr>
                <w:rFonts w:ascii="Arial Narrow" w:hAnsi="Arial Narrow"/>
                <w:sz w:val="20"/>
              </w:rPr>
            </w:pPr>
            <w:r w:rsidRPr="00702AA9">
              <w:rPr>
                <w:rFonts w:ascii="Arial Narrow" w:hAnsi="Arial Narrow"/>
                <w:sz w:val="20"/>
              </w:rPr>
              <w:t>Patient must be aged 12 years or older.</w:t>
            </w:r>
          </w:p>
        </w:tc>
      </w:tr>
      <w:tr w:rsidR="00481D6D" w:rsidRPr="00702AA9" w:rsidTr="00F11F42">
        <w:trPr>
          <w:trHeight w:val="360"/>
        </w:trPr>
        <w:tc>
          <w:tcPr>
            <w:tcW w:w="1286" w:type="pct"/>
            <w:tcBorders>
              <w:top w:val="single" w:sz="4" w:space="0" w:color="auto"/>
              <w:left w:val="single" w:sz="4" w:space="0" w:color="auto"/>
              <w:bottom w:val="single" w:sz="4" w:space="0" w:color="auto"/>
              <w:right w:val="single" w:sz="4" w:space="0" w:color="auto"/>
            </w:tcBorders>
            <w:hideMark/>
          </w:tcPr>
          <w:p w:rsidR="00481D6D" w:rsidRPr="00702AA9" w:rsidRDefault="00481D6D" w:rsidP="006F79C7">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hideMark/>
          </w:tcPr>
          <w:p w:rsidR="004E1028" w:rsidRPr="00702AA9" w:rsidRDefault="004E1028" w:rsidP="00B03053">
            <w:pPr>
              <w:spacing w:before="40" w:after="40"/>
              <w:rPr>
                <w:rFonts w:ascii="Arial Narrow" w:hAnsi="Arial Narrow"/>
                <w:sz w:val="20"/>
              </w:rPr>
            </w:pPr>
            <w:r w:rsidRPr="00702AA9">
              <w:rPr>
                <w:rFonts w:ascii="Arial Narrow" w:hAnsi="Arial Narrow"/>
                <w:sz w:val="20"/>
              </w:rPr>
              <w:t xml:space="preserve">Authority approval for sufficient therapy to complete a maximum of 32 weeks of treatment may be requested by telephone by contacting the Department of Human Services on 1800 700 270 (hours of operation 8 a.m. to 5 p.m. EST Monday to Friday). </w:t>
            </w:r>
          </w:p>
          <w:p w:rsidR="004E1028" w:rsidRPr="00702AA9" w:rsidRDefault="004E1028" w:rsidP="00B03053">
            <w:pPr>
              <w:spacing w:before="40" w:after="40"/>
              <w:rPr>
                <w:rFonts w:ascii="Arial Narrow" w:hAnsi="Arial Narrow"/>
                <w:sz w:val="20"/>
              </w:rPr>
            </w:pPr>
            <w:r w:rsidRPr="00702AA9">
              <w:rPr>
                <w:rFonts w:ascii="Arial Narrow" w:hAnsi="Arial Narrow"/>
                <w:sz w:val="20"/>
              </w:rPr>
              <w:t>Written application for authority approval for sufficient the</w:t>
            </w:r>
            <w:r w:rsidR="009E572F" w:rsidRPr="00702AA9">
              <w:rPr>
                <w:rFonts w:ascii="Arial Narrow" w:hAnsi="Arial Narrow"/>
                <w:sz w:val="20"/>
              </w:rPr>
              <w:t>rapy to complete a maximum of 32</w:t>
            </w:r>
            <w:r w:rsidRPr="00702AA9">
              <w:rPr>
                <w:rFonts w:ascii="Arial Narrow" w:hAnsi="Arial Narrow"/>
                <w:sz w:val="20"/>
              </w:rPr>
              <w:t xml:space="preserve"> weeks of treatment should be forwarded to: </w:t>
            </w:r>
          </w:p>
          <w:p w:rsidR="004E1028" w:rsidRPr="00702AA9" w:rsidRDefault="004E1028" w:rsidP="00B03053">
            <w:pPr>
              <w:spacing w:before="40" w:after="40"/>
              <w:rPr>
                <w:rFonts w:ascii="Arial Narrow" w:hAnsi="Arial Narrow"/>
                <w:sz w:val="20"/>
              </w:rPr>
            </w:pPr>
            <w:r w:rsidRPr="00702AA9">
              <w:rPr>
                <w:rFonts w:ascii="Arial Narrow" w:hAnsi="Arial Narrow"/>
                <w:sz w:val="20"/>
              </w:rPr>
              <w:t>Department of Human Services</w:t>
            </w:r>
          </w:p>
          <w:p w:rsidR="004E1028" w:rsidRPr="00702AA9" w:rsidRDefault="004E1028" w:rsidP="00B03053">
            <w:pPr>
              <w:spacing w:before="40" w:after="40"/>
              <w:rPr>
                <w:rFonts w:ascii="Arial Narrow" w:hAnsi="Arial Narrow"/>
                <w:sz w:val="20"/>
              </w:rPr>
            </w:pPr>
            <w:r w:rsidRPr="00702AA9">
              <w:rPr>
                <w:rFonts w:ascii="Arial Narrow" w:hAnsi="Arial Narrow"/>
                <w:sz w:val="20"/>
              </w:rPr>
              <w:t xml:space="preserve">Complex Drugs </w:t>
            </w:r>
          </w:p>
          <w:p w:rsidR="004E1028" w:rsidRPr="00702AA9" w:rsidRDefault="004E1028" w:rsidP="00B03053">
            <w:pPr>
              <w:spacing w:before="40" w:after="40"/>
              <w:rPr>
                <w:rFonts w:ascii="Arial Narrow" w:hAnsi="Arial Narrow"/>
                <w:sz w:val="20"/>
              </w:rPr>
            </w:pPr>
            <w:r w:rsidRPr="00702AA9">
              <w:rPr>
                <w:rFonts w:ascii="Arial Narrow" w:hAnsi="Arial Narrow"/>
                <w:sz w:val="20"/>
              </w:rPr>
              <w:t xml:space="preserve">Reply Paid 9826 </w:t>
            </w:r>
          </w:p>
          <w:p w:rsidR="00481D6D" w:rsidRPr="00702AA9" w:rsidRDefault="004E1028" w:rsidP="00B03053">
            <w:pPr>
              <w:spacing w:before="40" w:after="40"/>
              <w:rPr>
                <w:rFonts w:ascii="Arial Narrow" w:hAnsi="Arial Narrow"/>
                <w:sz w:val="20"/>
              </w:rPr>
            </w:pPr>
            <w:r w:rsidRPr="00702AA9">
              <w:rPr>
                <w:rFonts w:ascii="Arial Narrow" w:hAnsi="Arial Narrow"/>
                <w:sz w:val="20"/>
              </w:rPr>
              <w:t>HOBART TAS 7001</w:t>
            </w:r>
          </w:p>
          <w:p w:rsidR="00564B96" w:rsidRPr="00702AA9" w:rsidRDefault="00564B96" w:rsidP="00B03053">
            <w:pPr>
              <w:spacing w:before="40" w:after="40"/>
              <w:rPr>
                <w:rFonts w:ascii="Arial Narrow" w:hAnsi="Arial Narrow"/>
                <w:sz w:val="20"/>
              </w:rPr>
            </w:pPr>
            <w:r w:rsidRPr="00702AA9">
              <w:rPr>
                <w:rFonts w:ascii="Arial Narrow" w:hAnsi="Arial Narrow"/>
                <w:sz w:val="20"/>
              </w:rPr>
              <w:t>TREATMENT OF ADULT AND ADOLESCENT PATIENTS WITH UNCONTROLLED SEVERE EOSINOPHILIC ASTHMA</w:t>
            </w:r>
          </w:p>
          <w:p w:rsidR="00564B96" w:rsidRPr="00702AA9" w:rsidRDefault="00564B96" w:rsidP="00B03053">
            <w:pPr>
              <w:spacing w:before="40" w:after="40"/>
              <w:rPr>
                <w:rFonts w:ascii="Arial Narrow" w:hAnsi="Arial Narrow"/>
                <w:i/>
                <w:sz w:val="20"/>
              </w:rPr>
            </w:pPr>
            <w:r w:rsidRPr="00702AA9">
              <w:rPr>
                <w:rFonts w:ascii="Arial Narrow" w:hAnsi="Arial Narrow"/>
                <w:i/>
                <w:sz w:val="20"/>
              </w:rPr>
              <w:t>(Per note for initial treatment)</w:t>
            </w:r>
          </w:p>
          <w:p w:rsidR="00481D6D" w:rsidRPr="00702AA9" w:rsidRDefault="00481D6D"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481D6D" w:rsidRPr="00702AA9" w:rsidRDefault="00481D6D"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481D6D" w:rsidRPr="00702AA9" w:rsidRDefault="00481D6D" w:rsidP="00B03053">
            <w:pPr>
              <w:spacing w:before="40" w:after="40"/>
              <w:rPr>
                <w:rFonts w:ascii="Arial Narrow" w:hAnsi="Arial Narrow"/>
                <w:sz w:val="20"/>
                <w:szCs w:val="24"/>
              </w:rPr>
            </w:pPr>
            <w:r w:rsidRPr="00702AA9">
              <w:rPr>
                <w:rFonts w:ascii="Arial Narrow" w:hAnsi="Arial Narrow"/>
                <w:sz w:val="20"/>
              </w:rPr>
              <w:t>Special Pricing Arrangements apply.</w:t>
            </w:r>
          </w:p>
        </w:tc>
      </w:tr>
      <w:tr w:rsidR="00B03053" w:rsidRPr="00702AA9" w:rsidTr="00B03053">
        <w:trPr>
          <w:gridAfter w:val="1"/>
          <w:wAfter w:w="1474" w:type="pct"/>
          <w:cantSplit/>
          <w:trHeight w:val="465"/>
        </w:trPr>
        <w:tc>
          <w:tcPr>
            <w:tcW w:w="1286"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480"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548"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1212" w:type="pct"/>
            <w:gridSpan w:val="2"/>
            <w:tcBorders>
              <w:top w:val="nil"/>
              <w:left w:val="nil"/>
              <w:right w:val="nil"/>
            </w:tcBorders>
            <w:vAlign w:val="center"/>
          </w:tcPr>
          <w:p w:rsidR="00B03053" w:rsidRPr="00702AA9" w:rsidRDefault="00B03053" w:rsidP="007F70E2">
            <w:pPr>
              <w:keepNext/>
              <w:spacing w:before="40" w:after="40"/>
              <w:jc w:val="left"/>
              <w:rPr>
                <w:rFonts w:ascii="Arial Narrow" w:hAnsi="Arial Narrow"/>
                <w:b/>
                <w:sz w:val="20"/>
              </w:rPr>
            </w:pPr>
          </w:p>
        </w:tc>
      </w:tr>
      <w:tr w:rsidR="00F11F42" w:rsidRPr="00702AA9" w:rsidTr="00B03053">
        <w:trPr>
          <w:gridAfter w:val="1"/>
          <w:wAfter w:w="1474" w:type="pct"/>
          <w:cantSplit/>
          <w:trHeight w:val="465"/>
        </w:trPr>
        <w:tc>
          <w:tcPr>
            <w:tcW w:w="1286"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Name, Restriction,</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Max.</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№.of</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Rpts</w:t>
            </w:r>
          </w:p>
        </w:tc>
        <w:tc>
          <w:tcPr>
            <w:tcW w:w="1212" w:type="pct"/>
            <w:gridSpan w:val="2"/>
            <w:tcBorders>
              <w:top w:val="nil"/>
              <w:left w:val="nil"/>
              <w:bottom w:val="single" w:sz="4" w:space="0" w:color="auto"/>
              <w:right w:val="nil"/>
            </w:tcBorders>
            <w:vAlign w:val="center"/>
            <w:hideMark/>
          </w:tcPr>
          <w:p w:rsidR="00F11F42" w:rsidRPr="00702AA9" w:rsidRDefault="00F11F42" w:rsidP="007F70E2">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F11F42" w:rsidRPr="00702AA9" w:rsidTr="00B03053">
        <w:trPr>
          <w:gridAfter w:val="1"/>
          <w:wAfter w:w="1474" w:type="pct"/>
          <w:cantSplit/>
          <w:trHeight w:val="570"/>
        </w:trPr>
        <w:tc>
          <w:tcPr>
            <w:tcW w:w="1286"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mallCaps/>
                <w:sz w:val="20"/>
                <w:szCs w:val="20"/>
              </w:rPr>
              <w:t>BENRALIZUMAB</w:t>
            </w:r>
          </w:p>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30 mg in 1 mL injection, (prefilled syringe)</w:t>
            </w:r>
          </w:p>
        </w:tc>
        <w:tc>
          <w:tcPr>
            <w:tcW w:w="480"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2</w:t>
            </w:r>
          </w:p>
        </w:tc>
        <w:tc>
          <w:tcPr>
            <w:tcW w:w="991" w:type="pct"/>
            <w:hideMark/>
          </w:tcPr>
          <w:p w:rsidR="00F11F42" w:rsidRPr="00702AA9" w:rsidRDefault="00F11F42" w:rsidP="007F70E2">
            <w:pPr>
              <w:keepNext/>
              <w:jc w:val="left"/>
              <w:rPr>
                <w:rFonts w:ascii="Arial Narrow" w:hAnsi="Arial Narrow"/>
                <w:sz w:val="20"/>
              </w:rPr>
            </w:pPr>
            <w:r w:rsidRPr="00702AA9">
              <w:rPr>
                <w:rFonts w:ascii="Arial Narrow" w:hAnsi="Arial Narrow"/>
                <w:sz w:val="20"/>
              </w:rPr>
              <w:t>Fasenra</w:t>
            </w:r>
            <w:r w:rsidRPr="00702AA9">
              <w:rPr>
                <w:rFonts w:ascii="Arial Narrow" w:hAnsi="Arial Narrow"/>
                <w:sz w:val="20"/>
                <w:vertAlign w:val="superscript"/>
              </w:rPr>
              <w:t>®</w:t>
            </w:r>
          </w:p>
          <w:p w:rsidR="00F11F42" w:rsidRPr="00702AA9" w:rsidRDefault="00F11F42" w:rsidP="007F70E2">
            <w:pPr>
              <w:keepNext/>
              <w:spacing w:before="40" w:after="40"/>
              <w:jc w:val="left"/>
              <w:rPr>
                <w:rFonts w:ascii="Arial Narrow" w:hAnsi="Arial Narrow"/>
                <w:sz w:val="20"/>
                <w:szCs w:val="20"/>
              </w:rPr>
            </w:pPr>
            <w:r w:rsidRPr="00702AA9">
              <w:rPr>
                <w:rFonts w:ascii="Arial Narrow" w:hAnsi="Arial Narrow"/>
                <w:sz w:val="20"/>
              </w:rPr>
              <w:t>AstraZeneca Pty Ltd</w:t>
            </w:r>
          </w:p>
        </w:tc>
        <w:tc>
          <w:tcPr>
            <w:tcW w:w="221" w:type="pct"/>
          </w:tcPr>
          <w:p w:rsidR="00F11F42" w:rsidRPr="00702AA9" w:rsidRDefault="00F11F42" w:rsidP="007F70E2">
            <w:pPr>
              <w:keepNext/>
              <w:spacing w:before="40" w:after="40"/>
              <w:jc w:val="left"/>
              <w:rPr>
                <w:rFonts w:ascii="Arial Narrow" w:hAnsi="Arial Narrow"/>
                <w:sz w:val="20"/>
                <w:szCs w:val="20"/>
              </w:rPr>
            </w:pP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Continuing treatment</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Restriction Level / Method:</w:t>
            </w:r>
          </w:p>
          <w:p w:rsidR="009111C1" w:rsidRPr="00702AA9" w:rsidRDefault="009111C1" w:rsidP="007F70E2">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rPr>
                <w:rFonts w:ascii="Arial Narrow" w:hAnsi="Arial Narrow"/>
                <w:sz w:val="20"/>
              </w:rPr>
            </w:pPr>
            <w:r w:rsidRPr="00702AA9">
              <w:rPr>
                <w:rFonts w:ascii="Arial Narrow" w:hAnsi="Arial Narrow"/>
                <w:sz w:val="20"/>
              </w:rPr>
              <w:t xml:space="preserve">Patient must have demonstrated or sustained an adequate response to PBS subsidised treatment with this drug, </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rPr>
              <w:t>The treatment must not be used in combination with, or within 6 months of treatment with, PBS subsidised omalizumab or mepolizumab.</w:t>
            </w:r>
          </w:p>
        </w:tc>
      </w:tr>
      <w:tr w:rsidR="009111C1"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2E1254">
            <w:pPr>
              <w:rPr>
                <w:rFonts w:ascii="Arial Narrow" w:hAnsi="Arial Narrow"/>
                <w:sz w:val="20"/>
              </w:rPr>
            </w:pPr>
            <w:r w:rsidRPr="00702AA9">
              <w:rPr>
                <w:rFonts w:ascii="Arial Narrow" w:hAnsi="Arial Narrow"/>
                <w:sz w:val="20"/>
              </w:rPr>
              <w:t>Patient must be aged 12 years or older.</w:t>
            </w:r>
          </w:p>
        </w:tc>
      </w:tr>
      <w:tr w:rsidR="009111C1" w:rsidRPr="00702AA9" w:rsidTr="00F11F42">
        <w:trPr>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4"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An adequate response to benralizumab treatment is defined as:</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a reduction in the Asthma Control Questionnaire (ACQ 5) score of at least 0.5 from baseline,</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OR</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 xml:space="preserve">(b) maintenance </w:t>
            </w:r>
            <w:r w:rsidR="0016498F" w:rsidRPr="00702AA9">
              <w:rPr>
                <w:rFonts w:ascii="Arial Narrow" w:hAnsi="Arial Narrow"/>
                <w:sz w:val="20"/>
                <w:szCs w:val="24"/>
              </w:rPr>
              <w:t xml:space="preserve">oral corticosteroid </w:t>
            </w:r>
            <w:r w:rsidRPr="00702AA9">
              <w:rPr>
                <w:rFonts w:ascii="Arial Narrow" w:hAnsi="Arial Narrow"/>
                <w:sz w:val="20"/>
                <w:szCs w:val="24"/>
              </w:rPr>
              <w:t>dose reduced by at least 25% from baseline, and no deterioration in ACQ 5 score from baseline.</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 xml:space="preserve">All applications for continuing treatment with benralizumab must include a measurement of response to the prior course of therapy. The Asthma Control Questionnaire (5 item version) assessment of the patient's response to the prior course of treatment, and the assessment of oral corticosteroid dose, must be made at around </w:t>
            </w:r>
            <w:r w:rsidR="003A267B" w:rsidRPr="00702AA9">
              <w:rPr>
                <w:rFonts w:ascii="Arial Narrow" w:hAnsi="Arial Narrow"/>
                <w:sz w:val="20"/>
              </w:rPr>
              <w:t>24</w:t>
            </w:r>
            <w:r w:rsidRPr="00702AA9">
              <w:rPr>
                <w:rFonts w:ascii="Arial Narrow" w:hAnsi="Arial Narrow"/>
                <w:sz w:val="20"/>
              </w:rPr>
              <w:t xml:space="preserve"> </w:t>
            </w:r>
            <w:r w:rsidRPr="00702AA9">
              <w:rPr>
                <w:rFonts w:ascii="Arial Narrow" w:hAnsi="Arial Narrow"/>
                <w:sz w:val="20"/>
                <w:szCs w:val="24"/>
              </w:rPr>
              <w:t>weeks after the first dose of PBS subsidised benralizumab so that there is adequate time for a response to be demonstrated and for the application for continuing therapy to be processed.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 xml:space="preserve">The first assessment should, where possible, be completed by the same physician who initiated treatment with benralizumab. 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 </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patient who fails to respond to a course of PBS subsidised benralizumab for the treatment of uncontrolled severe eosinophilic asthma will not be eligible to receive further PBS subsidised treatment with benralizumab for this condition within 6 months of the date on which treatment was ceased.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At the time of the authority application, medical practitioners should request the appropriate number of repeats to provide for a continuing course of benralizumab sufficient for 24 weeks of therapy.</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The authority application must be made in writing and must include:</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a completed authority prescription form; and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(b) a completed Severe Eosinophilic Asthma Continuing PBS Authority Application   Supporting Information Form which includes details of maintenance oral corticosteroid dose; and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(c) a completed Asthma Control Questionnaire (ACQ 5) calculation sheet including the date of assessment of the patient's symptoms</w:t>
            </w:r>
          </w:p>
        </w:tc>
      </w:tr>
      <w:tr w:rsidR="009111C1" w:rsidRPr="00702AA9" w:rsidTr="00F11F42">
        <w:trPr>
          <w:trHeight w:val="360"/>
        </w:trPr>
        <w:tc>
          <w:tcPr>
            <w:tcW w:w="1286"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If the same physician cannot assess the patient please call the Department of Human Services on 1800 700 270.</w:t>
            </w:r>
          </w:p>
          <w:p w:rsidR="009111C1" w:rsidRPr="000446EB" w:rsidRDefault="009111C1" w:rsidP="00B03053">
            <w:pPr>
              <w:spacing w:before="40" w:after="40"/>
              <w:rPr>
                <w:rFonts w:ascii="Arial Narrow" w:hAnsi="Arial Narrow"/>
                <w:sz w:val="20"/>
                <w:szCs w:val="24"/>
              </w:rPr>
            </w:pPr>
            <w:r w:rsidRPr="000446EB">
              <w:rPr>
                <w:rFonts w:ascii="Arial Narrow" w:hAnsi="Arial Narrow"/>
                <w:sz w:val="20"/>
                <w:szCs w:val="24"/>
              </w:rPr>
              <w:t>It is recommended that second and subsequent applications for continuing treatment are submitted at the time of a 1</w:t>
            </w:r>
            <w:r w:rsidR="002E1254" w:rsidRPr="000446EB">
              <w:rPr>
                <w:rFonts w:ascii="Arial Narrow" w:hAnsi="Arial Narrow"/>
                <w:sz w:val="20"/>
                <w:szCs w:val="24"/>
              </w:rPr>
              <w:t>6</w:t>
            </w:r>
            <w:r w:rsidRPr="000446EB">
              <w:rPr>
                <w:rFonts w:ascii="Arial Narrow" w:hAnsi="Arial Narrow"/>
                <w:sz w:val="20"/>
                <w:szCs w:val="24"/>
              </w:rPr>
              <w:t xml:space="preserve"> week assessment, to ensure continuity of treatment for those patients who meet the continuation criteria for PBS subsidised benralizumab treatment.</w:t>
            </w:r>
          </w:p>
          <w:p w:rsidR="009111C1" w:rsidRPr="00702AA9" w:rsidRDefault="009111C1" w:rsidP="00B03053">
            <w:pPr>
              <w:spacing w:before="40" w:after="40"/>
              <w:rPr>
                <w:rFonts w:ascii="Arial Narrow" w:hAnsi="Arial Narrow"/>
                <w:sz w:val="20"/>
                <w:szCs w:val="24"/>
              </w:rPr>
            </w:pPr>
            <w:r w:rsidRPr="000446EB">
              <w:rPr>
                <w:rFonts w:ascii="Arial Narrow" w:hAnsi="Arial Narrow"/>
                <w:sz w:val="20"/>
                <w:szCs w:val="24"/>
              </w:rPr>
              <w:t>Any queries concerning the arrangements to prescribe may be directed to the Department of Human Services on 1800 700</w:t>
            </w:r>
            <w:r w:rsidRPr="00702AA9">
              <w:rPr>
                <w:rFonts w:ascii="Arial Narrow" w:hAnsi="Arial Narrow"/>
                <w:sz w:val="20"/>
                <w:szCs w:val="24"/>
              </w:rPr>
              <w:t xml:space="preserve"> 270 (hours of operation 8 a.m. to 5 p.m. EST Monday to Friday).</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Prescribing information (including Authority Application forms and other relevant documentation as applicable) is available on the Department of Human Services website at www.humanservices.gov.au</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Applications for authority to prescribe should be forwarded to:</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Department of Human Services</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Complex Drugs</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Reply Paid 9826</w:t>
            </w:r>
          </w:p>
          <w:p w:rsidR="009111C1" w:rsidRPr="00702AA9" w:rsidRDefault="00B03053" w:rsidP="00B03053">
            <w:pPr>
              <w:spacing w:before="40" w:after="40"/>
              <w:rPr>
                <w:rFonts w:ascii="Arial Narrow" w:hAnsi="Arial Narrow"/>
                <w:sz w:val="20"/>
                <w:szCs w:val="24"/>
              </w:rPr>
            </w:pPr>
            <w:r>
              <w:rPr>
                <w:rFonts w:ascii="Arial Narrow" w:hAnsi="Arial Narrow"/>
                <w:sz w:val="20"/>
                <w:szCs w:val="24"/>
              </w:rPr>
              <w:t>HOBART TAS 7001</w:t>
            </w:r>
          </w:p>
        </w:tc>
      </w:tr>
      <w:tr w:rsidR="00BE24A3" w:rsidRPr="00702AA9" w:rsidTr="00F11F42">
        <w:trPr>
          <w:trHeight w:val="360"/>
        </w:trPr>
        <w:tc>
          <w:tcPr>
            <w:tcW w:w="1286" w:type="pct"/>
            <w:tcBorders>
              <w:top w:val="single" w:sz="4" w:space="0" w:color="auto"/>
              <w:left w:val="single" w:sz="4" w:space="0" w:color="auto"/>
              <w:bottom w:val="single" w:sz="4" w:space="0" w:color="auto"/>
              <w:right w:val="single" w:sz="4" w:space="0" w:color="auto"/>
            </w:tcBorders>
          </w:tcPr>
          <w:p w:rsidR="00BE24A3" w:rsidRPr="00702AA9" w:rsidRDefault="00BE24A3" w:rsidP="007F70E2">
            <w:pPr>
              <w:spacing w:before="40" w:after="40"/>
              <w:rPr>
                <w:rFonts w:ascii="Arial Narrow" w:hAnsi="Arial Narrow"/>
                <w:b/>
                <w:sz w:val="20"/>
                <w:szCs w:val="20"/>
              </w:rPr>
            </w:pPr>
            <w:r w:rsidRPr="00702AA9">
              <w:rPr>
                <w:rFonts w:ascii="Arial Narrow" w:hAnsi="Arial Narrow"/>
                <w:b/>
                <w:sz w:val="20"/>
                <w:szCs w:val="20"/>
              </w:rPr>
              <w:t>Administrative advice (additional note)</w:t>
            </w:r>
          </w:p>
        </w:tc>
        <w:tc>
          <w:tcPr>
            <w:tcW w:w="3714" w:type="pct"/>
            <w:gridSpan w:val="5"/>
            <w:tcBorders>
              <w:top w:val="single" w:sz="4" w:space="0" w:color="auto"/>
              <w:left w:val="single" w:sz="4" w:space="0" w:color="auto"/>
              <w:bottom w:val="single" w:sz="4" w:space="0" w:color="auto"/>
              <w:right w:val="single" w:sz="4" w:space="0" w:color="auto"/>
            </w:tcBorders>
          </w:tcPr>
          <w:p w:rsidR="00BE24A3" w:rsidRPr="00702AA9" w:rsidRDefault="00BE24A3" w:rsidP="00B03053">
            <w:pPr>
              <w:spacing w:before="40" w:after="40"/>
              <w:rPr>
                <w:rFonts w:ascii="Arial Narrow" w:hAnsi="Arial Narrow"/>
                <w:sz w:val="20"/>
              </w:rPr>
            </w:pPr>
            <w:r w:rsidRPr="00702AA9">
              <w:rPr>
                <w:rFonts w:ascii="Arial Narrow" w:hAnsi="Arial Narrow"/>
                <w:sz w:val="20"/>
              </w:rPr>
              <w:t xml:space="preserve">For copies of the ACQ, please contact </w:t>
            </w:r>
            <w:r w:rsidR="00F11F42" w:rsidRPr="00702AA9">
              <w:rPr>
                <w:rFonts w:ascii="Arial Narrow" w:hAnsi="Arial Narrow"/>
                <w:sz w:val="20"/>
              </w:rPr>
              <w:t>AstraZeneca</w:t>
            </w:r>
            <w:r w:rsidRPr="00702AA9">
              <w:rPr>
                <w:rFonts w:ascii="Arial Narrow" w:hAnsi="Arial Narrow"/>
                <w:sz w:val="20"/>
              </w:rPr>
              <w:t xml:space="preserve"> on</w:t>
            </w:r>
            <w:r w:rsidR="00FA6679" w:rsidRPr="00702AA9">
              <w:rPr>
                <w:rFonts w:ascii="Arial Narrow" w:hAnsi="Arial Narrow"/>
                <w:sz w:val="20"/>
              </w:rPr>
              <w:t xml:space="preserve"> </w:t>
            </w:r>
            <w:r w:rsidRPr="00702AA9">
              <w:rPr>
                <w:rFonts w:ascii="Arial Narrow" w:hAnsi="Arial Narrow"/>
                <w:sz w:val="20"/>
              </w:rPr>
              <w:t>[phone number to be advised].</w:t>
            </w:r>
          </w:p>
          <w:p w:rsidR="00BE24A3" w:rsidRPr="00702AA9" w:rsidRDefault="00BE24A3" w:rsidP="00B03053">
            <w:pPr>
              <w:spacing w:before="40" w:after="40"/>
              <w:rPr>
                <w:rFonts w:ascii="Arial Narrow" w:hAnsi="Arial Narrow"/>
                <w:sz w:val="20"/>
              </w:rPr>
            </w:pPr>
            <w:r w:rsidRPr="00702AA9">
              <w:rPr>
                <w:rFonts w:ascii="Arial Narrow" w:hAnsi="Arial Narrow"/>
                <w:sz w:val="20"/>
              </w:rPr>
              <w:t>TREATMENT OF ADULT AND ADOLESCENT PATIENTS WITH UNCONTROLLED SEVERE EOSINOPHILIC ASTHMA</w:t>
            </w:r>
          </w:p>
          <w:p w:rsidR="00BE24A3" w:rsidRPr="00702AA9" w:rsidRDefault="00BE24A3" w:rsidP="00B03053">
            <w:pPr>
              <w:spacing w:before="40" w:after="40"/>
              <w:rPr>
                <w:rFonts w:ascii="Arial Narrow" w:hAnsi="Arial Narrow"/>
                <w:i/>
                <w:sz w:val="20"/>
              </w:rPr>
            </w:pPr>
            <w:r w:rsidRPr="00702AA9">
              <w:rPr>
                <w:rFonts w:ascii="Arial Narrow" w:hAnsi="Arial Narrow"/>
                <w:i/>
                <w:sz w:val="20"/>
              </w:rPr>
              <w:t>(Per note for initial treatment)</w:t>
            </w:r>
          </w:p>
          <w:p w:rsidR="00BE24A3" w:rsidRPr="00702AA9" w:rsidRDefault="00BE24A3"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BE24A3" w:rsidRPr="00702AA9" w:rsidRDefault="00BE24A3"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BE24A3" w:rsidRPr="00702AA9" w:rsidRDefault="00BE24A3" w:rsidP="00B03053">
            <w:pPr>
              <w:spacing w:before="40" w:after="40"/>
              <w:rPr>
                <w:rFonts w:ascii="Arial Narrow" w:hAnsi="Arial Narrow"/>
                <w:sz w:val="20"/>
                <w:szCs w:val="24"/>
              </w:rPr>
            </w:pPr>
            <w:r w:rsidRPr="00702AA9">
              <w:rPr>
                <w:rFonts w:ascii="Arial Narrow" w:hAnsi="Arial Narrow"/>
                <w:sz w:val="20"/>
              </w:rPr>
              <w:t>Special Pricing Arrangements apply.</w:t>
            </w:r>
          </w:p>
        </w:tc>
      </w:tr>
      <w:tr w:rsidR="00B03053" w:rsidRPr="00702AA9" w:rsidTr="00B03053">
        <w:trPr>
          <w:gridAfter w:val="1"/>
          <w:wAfter w:w="1474" w:type="pct"/>
          <w:cantSplit/>
          <w:trHeight w:val="465"/>
        </w:trPr>
        <w:tc>
          <w:tcPr>
            <w:tcW w:w="1286" w:type="pct"/>
            <w:tcBorders>
              <w:top w:val="nil"/>
              <w:left w:val="nil"/>
              <w:right w:val="nil"/>
            </w:tcBorders>
          </w:tcPr>
          <w:p w:rsidR="00B03053" w:rsidRPr="00702AA9" w:rsidRDefault="00B03053" w:rsidP="006F79C7">
            <w:pPr>
              <w:keepNext/>
              <w:spacing w:before="40" w:after="40"/>
              <w:rPr>
                <w:rFonts w:ascii="Arial Narrow" w:hAnsi="Arial Narrow"/>
                <w:b/>
                <w:sz w:val="20"/>
                <w:szCs w:val="20"/>
              </w:rPr>
            </w:pPr>
          </w:p>
        </w:tc>
        <w:tc>
          <w:tcPr>
            <w:tcW w:w="480" w:type="pct"/>
            <w:tcBorders>
              <w:top w:val="nil"/>
              <w:left w:val="nil"/>
              <w:right w:val="nil"/>
            </w:tcBorders>
          </w:tcPr>
          <w:p w:rsidR="00B03053" w:rsidRPr="00702AA9" w:rsidRDefault="00B03053" w:rsidP="006F79C7">
            <w:pPr>
              <w:keepNext/>
              <w:spacing w:before="40" w:after="40"/>
              <w:rPr>
                <w:rFonts w:ascii="Arial Narrow" w:hAnsi="Arial Narrow"/>
                <w:b/>
                <w:sz w:val="20"/>
                <w:szCs w:val="20"/>
              </w:rPr>
            </w:pPr>
          </w:p>
        </w:tc>
        <w:tc>
          <w:tcPr>
            <w:tcW w:w="548" w:type="pct"/>
            <w:tcBorders>
              <w:top w:val="nil"/>
              <w:left w:val="nil"/>
              <w:right w:val="nil"/>
            </w:tcBorders>
          </w:tcPr>
          <w:p w:rsidR="00B03053" w:rsidRPr="00702AA9" w:rsidRDefault="00B03053" w:rsidP="006F79C7">
            <w:pPr>
              <w:keepNext/>
              <w:spacing w:before="40" w:after="40"/>
              <w:rPr>
                <w:rFonts w:ascii="Arial Narrow" w:hAnsi="Arial Narrow"/>
                <w:b/>
                <w:sz w:val="20"/>
                <w:szCs w:val="20"/>
              </w:rPr>
            </w:pPr>
          </w:p>
        </w:tc>
        <w:tc>
          <w:tcPr>
            <w:tcW w:w="1212" w:type="pct"/>
            <w:gridSpan w:val="2"/>
            <w:tcBorders>
              <w:top w:val="nil"/>
              <w:left w:val="nil"/>
              <w:right w:val="nil"/>
            </w:tcBorders>
            <w:vAlign w:val="center"/>
          </w:tcPr>
          <w:p w:rsidR="00B03053" w:rsidRPr="00702AA9" w:rsidRDefault="00B03053" w:rsidP="006F79C7">
            <w:pPr>
              <w:keepNext/>
              <w:spacing w:before="40" w:after="40"/>
              <w:jc w:val="left"/>
              <w:rPr>
                <w:rFonts w:ascii="Arial Narrow" w:hAnsi="Arial Narrow"/>
                <w:b/>
                <w:sz w:val="20"/>
              </w:rPr>
            </w:pPr>
          </w:p>
        </w:tc>
      </w:tr>
      <w:tr w:rsidR="00F11F42" w:rsidRPr="00702AA9" w:rsidTr="00B03053">
        <w:trPr>
          <w:gridAfter w:val="1"/>
          <w:wAfter w:w="1474" w:type="pct"/>
          <w:cantSplit/>
          <w:trHeight w:val="465"/>
        </w:trPr>
        <w:tc>
          <w:tcPr>
            <w:tcW w:w="1286" w:type="pct"/>
            <w:tcBorders>
              <w:top w:val="nil"/>
              <w:left w:val="nil"/>
              <w:bottom w:val="single" w:sz="4" w:space="0" w:color="auto"/>
              <w:right w:val="nil"/>
            </w:tcBorders>
            <w:hideMark/>
          </w:tcPr>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Name, Restriction,</w:t>
            </w:r>
          </w:p>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Max.</w:t>
            </w:r>
          </w:p>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№.of</w:t>
            </w:r>
          </w:p>
          <w:p w:rsidR="00F11F42" w:rsidRPr="00702AA9" w:rsidRDefault="00F11F42" w:rsidP="006F79C7">
            <w:pPr>
              <w:keepNext/>
              <w:spacing w:before="40" w:after="40"/>
              <w:rPr>
                <w:rFonts w:ascii="Arial Narrow" w:hAnsi="Arial Narrow"/>
                <w:b/>
                <w:sz w:val="20"/>
                <w:szCs w:val="20"/>
              </w:rPr>
            </w:pPr>
            <w:r w:rsidRPr="00702AA9">
              <w:rPr>
                <w:rFonts w:ascii="Arial Narrow" w:hAnsi="Arial Narrow"/>
                <w:b/>
                <w:sz w:val="20"/>
                <w:szCs w:val="20"/>
              </w:rPr>
              <w:t>Rpts</w:t>
            </w:r>
          </w:p>
        </w:tc>
        <w:tc>
          <w:tcPr>
            <w:tcW w:w="1212" w:type="pct"/>
            <w:gridSpan w:val="2"/>
            <w:tcBorders>
              <w:top w:val="nil"/>
              <w:left w:val="nil"/>
              <w:bottom w:val="single" w:sz="4" w:space="0" w:color="auto"/>
              <w:right w:val="nil"/>
            </w:tcBorders>
            <w:vAlign w:val="center"/>
            <w:hideMark/>
          </w:tcPr>
          <w:p w:rsidR="00F11F42" w:rsidRPr="00702AA9" w:rsidRDefault="00F11F42" w:rsidP="006F79C7">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F11F42" w:rsidRPr="00702AA9" w:rsidTr="00B03053">
        <w:trPr>
          <w:gridAfter w:val="1"/>
          <w:wAfter w:w="1474" w:type="pct"/>
          <w:cantSplit/>
          <w:trHeight w:val="570"/>
        </w:trPr>
        <w:tc>
          <w:tcPr>
            <w:tcW w:w="1286" w:type="pct"/>
            <w:hideMark/>
          </w:tcPr>
          <w:p w:rsidR="00F11F42" w:rsidRPr="00702AA9" w:rsidRDefault="00F11F42" w:rsidP="006F79C7">
            <w:pPr>
              <w:keepNext/>
              <w:spacing w:before="40" w:after="40"/>
              <w:rPr>
                <w:rFonts w:ascii="Arial Narrow" w:hAnsi="Arial Narrow"/>
                <w:sz w:val="20"/>
                <w:szCs w:val="20"/>
              </w:rPr>
            </w:pPr>
            <w:r w:rsidRPr="00702AA9">
              <w:rPr>
                <w:rFonts w:ascii="Arial Narrow" w:hAnsi="Arial Narrow"/>
                <w:smallCaps/>
                <w:sz w:val="20"/>
                <w:szCs w:val="20"/>
              </w:rPr>
              <w:t>BENRALIZUMAB</w:t>
            </w:r>
          </w:p>
          <w:p w:rsidR="00F11F42" w:rsidRPr="00702AA9" w:rsidRDefault="00F11F42" w:rsidP="006F79C7">
            <w:pPr>
              <w:keepNext/>
              <w:spacing w:before="40" w:after="40"/>
              <w:rPr>
                <w:rFonts w:ascii="Arial Narrow" w:hAnsi="Arial Narrow"/>
                <w:sz w:val="20"/>
                <w:szCs w:val="20"/>
              </w:rPr>
            </w:pPr>
            <w:r w:rsidRPr="00702AA9">
              <w:rPr>
                <w:rFonts w:ascii="Arial Narrow" w:hAnsi="Arial Narrow"/>
                <w:sz w:val="20"/>
                <w:szCs w:val="20"/>
              </w:rPr>
              <w:t>30 mg in 1 mL injection, (prefilled syringe)</w:t>
            </w:r>
          </w:p>
        </w:tc>
        <w:tc>
          <w:tcPr>
            <w:tcW w:w="480" w:type="pct"/>
            <w:hideMark/>
          </w:tcPr>
          <w:p w:rsidR="00F11F42" w:rsidRPr="00702AA9" w:rsidRDefault="00F11F42" w:rsidP="006F79C7">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F11F42" w:rsidRPr="00702AA9" w:rsidRDefault="00F11F42" w:rsidP="006F79C7">
            <w:pPr>
              <w:keepNext/>
              <w:spacing w:before="40" w:after="40"/>
              <w:rPr>
                <w:rFonts w:ascii="Arial Narrow" w:hAnsi="Arial Narrow"/>
                <w:sz w:val="20"/>
                <w:szCs w:val="20"/>
              </w:rPr>
            </w:pPr>
            <w:r w:rsidRPr="00702AA9">
              <w:rPr>
                <w:rFonts w:ascii="Arial Narrow" w:hAnsi="Arial Narrow"/>
                <w:sz w:val="20"/>
                <w:szCs w:val="20"/>
              </w:rPr>
              <w:t>2</w:t>
            </w:r>
          </w:p>
        </w:tc>
        <w:tc>
          <w:tcPr>
            <w:tcW w:w="991" w:type="pct"/>
            <w:hideMark/>
          </w:tcPr>
          <w:p w:rsidR="00F11F42" w:rsidRPr="00702AA9" w:rsidRDefault="00F11F42" w:rsidP="006F79C7">
            <w:pPr>
              <w:keepNext/>
              <w:jc w:val="left"/>
              <w:rPr>
                <w:rFonts w:ascii="Arial Narrow" w:hAnsi="Arial Narrow"/>
                <w:sz w:val="20"/>
              </w:rPr>
            </w:pPr>
            <w:r w:rsidRPr="00702AA9">
              <w:rPr>
                <w:rFonts w:ascii="Arial Narrow" w:hAnsi="Arial Narrow"/>
                <w:sz w:val="20"/>
              </w:rPr>
              <w:t>Fasenra</w:t>
            </w:r>
            <w:r w:rsidRPr="00702AA9">
              <w:rPr>
                <w:rFonts w:ascii="Arial Narrow" w:hAnsi="Arial Narrow"/>
                <w:sz w:val="20"/>
                <w:vertAlign w:val="superscript"/>
              </w:rPr>
              <w:t>®</w:t>
            </w:r>
          </w:p>
          <w:p w:rsidR="00F11F42" w:rsidRPr="00702AA9" w:rsidRDefault="00F11F42" w:rsidP="006F79C7">
            <w:pPr>
              <w:keepNext/>
              <w:spacing w:before="40" w:after="40"/>
              <w:jc w:val="left"/>
              <w:rPr>
                <w:rFonts w:ascii="Arial Narrow" w:hAnsi="Arial Narrow"/>
                <w:sz w:val="20"/>
                <w:szCs w:val="20"/>
              </w:rPr>
            </w:pPr>
            <w:r w:rsidRPr="00702AA9">
              <w:rPr>
                <w:rFonts w:ascii="Arial Narrow" w:hAnsi="Arial Narrow"/>
                <w:sz w:val="20"/>
              </w:rPr>
              <w:t>AstraZeneca Pty Ltd</w:t>
            </w:r>
          </w:p>
        </w:tc>
        <w:tc>
          <w:tcPr>
            <w:tcW w:w="221" w:type="pct"/>
          </w:tcPr>
          <w:p w:rsidR="00F11F42" w:rsidRPr="00702AA9" w:rsidRDefault="00F11F42" w:rsidP="006F79C7">
            <w:pPr>
              <w:keepNext/>
              <w:spacing w:before="40" w:after="40"/>
              <w:jc w:val="left"/>
              <w:rPr>
                <w:rFonts w:ascii="Arial Narrow" w:hAnsi="Arial Narrow"/>
                <w:sz w:val="20"/>
                <w:szCs w:val="20"/>
              </w:rPr>
            </w:pP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234410" w:rsidP="006F79C7">
            <w:pPr>
              <w:spacing w:before="40" w:after="40"/>
              <w:rPr>
                <w:rFonts w:ascii="Arial Narrow" w:hAnsi="Arial Narrow"/>
                <w:sz w:val="20"/>
                <w:szCs w:val="20"/>
              </w:rPr>
            </w:pPr>
            <w:r w:rsidRPr="00702AA9">
              <w:rPr>
                <w:rFonts w:ascii="Arial Narrow" w:hAnsi="Arial Narrow"/>
                <w:sz w:val="20"/>
                <w:szCs w:val="20"/>
              </w:rPr>
              <w:t>Continuing</w:t>
            </w:r>
            <w:r w:rsidR="008D6C50" w:rsidRPr="00702AA9">
              <w:rPr>
                <w:rFonts w:ascii="Arial Narrow" w:hAnsi="Arial Narrow"/>
                <w:sz w:val="20"/>
                <w:szCs w:val="20"/>
              </w:rPr>
              <w:t xml:space="preserve"> treatment – balance of supply</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8D6C50" w:rsidRPr="00702AA9" w:rsidRDefault="008D6C50" w:rsidP="006F79C7">
            <w:pPr>
              <w:spacing w:before="40" w:after="40"/>
              <w:rPr>
                <w:rFonts w:ascii="Arial Narrow" w:hAnsi="Arial Narrow"/>
                <w:b/>
                <w:sz w:val="20"/>
                <w:szCs w:val="20"/>
              </w:rPr>
            </w:pPr>
            <w:r w:rsidRPr="00702AA9">
              <w:rPr>
                <w:rFonts w:ascii="Arial Narrow" w:hAnsi="Arial Narrow"/>
                <w:b/>
                <w:sz w:val="20"/>
                <w:szCs w:val="20"/>
              </w:rPr>
              <w:t>Restriction Level / Method:</w:t>
            </w:r>
          </w:p>
          <w:p w:rsidR="008D6C50" w:rsidRPr="00702AA9" w:rsidRDefault="008D6C50" w:rsidP="006F79C7">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8D6C50" w:rsidRPr="00702AA9" w:rsidRDefault="00144F32" w:rsidP="006F79C7">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008D6C50" w:rsidRPr="00702AA9">
              <w:rPr>
                <w:rFonts w:ascii="Arial Narrow" w:hAnsi="Arial Narrow"/>
                <w:sz w:val="20"/>
                <w:szCs w:val="20"/>
              </w:rPr>
              <w:t>Authority Required - In Writing</w:t>
            </w:r>
          </w:p>
          <w:p w:rsidR="008D6C50" w:rsidRPr="00702AA9" w:rsidRDefault="00144F32" w:rsidP="006F79C7">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008D6C50" w:rsidRPr="00702AA9">
              <w:rPr>
                <w:rFonts w:ascii="Arial Narrow" w:hAnsi="Arial Narrow"/>
                <w:sz w:val="20"/>
                <w:szCs w:val="20"/>
              </w:rPr>
              <w:t>Authority Required - Telephone</w:t>
            </w:r>
          </w:p>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8D6C50" w:rsidRPr="00702AA9" w:rsidRDefault="008D6C50" w:rsidP="006F79C7">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8D6C50" w:rsidRPr="00702AA9" w:rsidRDefault="008D6C50" w:rsidP="006F79C7">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t xml:space="preserve">Patient must have received insufficient therapy with this drug under the </w:t>
            </w:r>
            <w:r w:rsidR="00E94F6D" w:rsidRPr="00702AA9">
              <w:rPr>
                <w:rFonts w:ascii="Arial Narrow" w:hAnsi="Arial Narrow"/>
                <w:sz w:val="20"/>
                <w:szCs w:val="20"/>
              </w:rPr>
              <w:t>continuing</w:t>
            </w:r>
            <w:r w:rsidRPr="00702AA9">
              <w:rPr>
                <w:rFonts w:ascii="Arial Narrow" w:hAnsi="Arial Narrow"/>
                <w:sz w:val="20"/>
                <w:szCs w:val="20"/>
              </w:rPr>
              <w:t xml:space="preserve"> treatment restriction to complete 2</w:t>
            </w:r>
            <w:r w:rsidR="00F274B7" w:rsidRPr="00702AA9">
              <w:rPr>
                <w:rFonts w:ascii="Arial Narrow" w:hAnsi="Arial Narrow"/>
                <w:sz w:val="20"/>
                <w:szCs w:val="20"/>
              </w:rPr>
              <w:t>4</w:t>
            </w:r>
            <w:r w:rsidRPr="00702AA9">
              <w:rPr>
                <w:rFonts w:ascii="Arial Narrow" w:hAnsi="Arial Narrow"/>
                <w:sz w:val="20"/>
                <w:szCs w:val="20"/>
              </w:rPr>
              <w:t xml:space="preserve"> weeks treatment, </w:t>
            </w:r>
          </w:p>
          <w:p w:rsidR="008D6C50" w:rsidRPr="00702AA9" w:rsidRDefault="008D6C50" w:rsidP="006F79C7">
            <w:pPr>
              <w:spacing w:before="40" w:after="40"/>
              <w:rPr>
                <w:rFonts w:ascii="Arial Narrow" w:hAnsi="Arial Narrow"/>
                <w:sz w:val="20"/>
                <w:szCs w:val="20"/>
              </w:rPr>
            </w:pPr>
            <w:r w:rsidRPr="00702AA9">
              <w:rPr>
                <w:rFonts w:ascii="Arial Narrow" w:hAnsi="Arial Narrow"/>
                <w:sz w:val="20"/>
                <w:szCs w:val="20"/>
              </w:rPr>
              <w:t>AND</w:t>
            </w:r>
          </w:p>
          <w:p w:rsidR="008D6C50" w:rsidRPr="00702AA9" w:rsidRDefault="008D6C50" w:rsidP="00F274B7">
            <w:pPr>
              <w:spacing w:before="40" w:after="40"/>
              <w:rPr>
                <w:rFonts w:ascii="Arial Narrow" w:hAnsi="Arial Narrow"/>
                <w:sz w:val="20"/>
                <w:szCs w:val="20"/>
              </w:rPr>
            </w:pPr>
            <w:r w:rsidRPr="00702AA9">
              <w:rPr>
                <w:rFonts w:ascii="Arial Narrow" w:hAnsi="Arial Narrow"/>
                <w:sz w:val="20"/>
                <w:szCs w:val="20"/>
              </w:rPr>
              <w:t>The treatment must provide no more than the balance of up to 2</w:t>
            </w:r>
            <w:r w:rsidR="00F274B7" w:rsidRPr="00702AA9">
              <w:rPr>
                <w:rFonts w:ascii="Arial Narrow" w:hAnsi="Arial Narrow"/>
                <w:sz w:val="20"/>
                <w:szCs w:val="20"/>
              </w:rPr>
              <w:t>4</w:t>
            </w:r>
            <w:r w:rsidRPr="00702AA9">
              <w:rPr>
                <w:rFonts w:ascii="Arial Narrow" w:hAnsi="Arial Narrow"/>
                <w:sz w:val="20"/>
                <w:szCs w:val="20"/>
              </w:rPr>
              <w:t xml:space="preserve"> weeks treatment available under the above restriction. </w:t>
            </w:r>
          </w:p>
        </w:tc>
      </w:tr>
      <w:tr w:rsidR="008D6C50" w:rsidRPr="00702AA9" w:rsidTr="00F11F42">
        <w:trPr>
          <w:cantSplit/>
          <w:trHeight w:val="360"/>
        </w:trPr>
        <w:tc>
          <w:tcPr>
            <w:tcW w:w="1286" w:type="pct"/>
            <w:tcBorders>
              <w:top w:val="single" w:sz="4" w:space="0" w:color="auto"/>
              <w:left w:val="single" w:sz="4" w:space="0" w:color="auto"/>
              <w:bottom w:val="single" w:sz="4" w:space="0" w:color="auto"/>
              <w:right w:val="single" w:sz="4" w:space="0" w:color="auto"/>
            </w:tcBorders>
          </w:tcPr>
          <w:p w:rsidR="008D6C50" w:rsidRPr="00702AA9" w:rsidRDefault="008D6C50" w:rsidP="006F79C7">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8D6C50" w:rsidRPr="00702AA9" w:rsidRDefault="008D6C50" w:rsidP="006F79C7">
            <w:pPr>
              <w:rPr>
                <w:rFonts w:ascii="Arial Narrow" w:hAnsi="Arial Narrow"/>
                <w:sz w:val="20"/>
              </w:rPr>
            </w:pPr>
            <w:r w:rsidRPr="00702AA9">
              <w:rPr>
                <w:rFonts w:ascii="Arial Narrow" w:hAnsi="Arial Narrow"/>
                <w:sz w:val="20"/>
              </w:rPr>
              <w:t>Patient must be aged 12 years or older.</w:t>
            </w:r>
          </w:p>
        </w:tc>
      </w:tr>
      <w:tr w:rsidR="008D6C50" w:rsidRPr="00702AA9" w:rsidTr="00F11F42">
        <w:trPr>
          <w:trHeight w:val="360"/>
        </w:trPr>
        <w:tc>
          <w:tcPr>
            <w:tcW w:w="1286" w:type="pct"/>
            <w:tcBorders>
              <w:top w:val="single" w:sz="4" w:space="0" w:color="auto"/>
              <w:left w:val="single" w:sz="4" w:space="0" w:color="auto"/>
              <w:bottom w:val="single" w:sz="4" w:space="0" w:color="auto"/>
              <w:right w:val="single" w:sz="4" w:space="0" w:color="auto"/>
            </w:tcBorders>
            <w:hideMark/>
          </w:tcPr>
          <w:p w:rsidR="008D6C50" w:rsidRPr="00702AA9" w:rsidRDefault="008D6C50" w:rsidP="006F79C7">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hideMark/>
          </w:tcPr>
          <w:p w:rsidR="008D6C50" w:rsidRPr="00702AA9" w:rsidRDefault="008D6C50" w:rsidP="00B03053">
            <w:pPr>
              <w:spacing w:before="40" w:after="40"/>
              <w:rPr>
                <w:rFonts w:ascii="Arial Narrow" w:hAnsi="Arial Narrow"/>
                <w:sz w:val="20"/>
              </w:rPr>
            </w:pPr>
            <w:r w:rsidRPr="00702AA9">
              <w:rPr>
                <w:rFonts w:ascii="Arial Narrow" w:hAnsi="Arial Narrow"/>
                <w:sz w:val="20"/>
              </w:rPr>
              <w:t>Authority approval for sufficient therapy to complete a maximum of 2</w:t>
            </w:r>
            <w:r w:rsidR="00C16A45" w:rsidRPr="00702AA9">
              <w:rPr>
                <w:rFonts w:ascii="Arial Narrow" w:hAnsi="Arial Narrow"/>
                <w:sz w:val="20"/>
              </w:rPr>
              <w:t>4</w:t>
            </w:r>
            <w:r w:rsidRPr="00702AA9">
              <w:rPr>
                <w:rFonts w:ascii="Arial Narrow" w:hAnsi="Arial Narrow"/>
                <w:sz w:val="20"/>
              </w:rPr>
              <w:t xml:space="preserve"> weeks of treatment may be requested by telephone by contacting the Department of Human Services on 1800 700 270 (hours of operation 8 a.m. to 5 p.m. EST Monday to Friday). </w:t>
            </w:r>
          </w:p>
          <w:p w:rsidR="008D6C50" w:rsidRPr="00702AA9" w:rsidRDefault="008D6C50" w:rsidP="00B03053">
            <w:pPr>
              <w:spacing w:before="40" w:after="40"/>
              <w:rPr>
                <w:rFonts w:ascii="Arial Narrow" w:hAnsi="Arial Narrow"/>
                <w:sz w:val="20"/>
              </w:rPr>
            </w:pPr>
            <w:r w:rsidRPr="00702AA9">
              <w:rPr>
                <w:rFonts w:ascii="Arial Narrow" w:hAnsi="Arial Narrow"/>
                <w:sz w:val="20"/>
              </w:rPr>
              <w:t>Written application for authority approval for sufficient therapy to complete a ma</w:t>
            </w:r>
            <w:r w:rsidR="00C16A45" w:rsidRPr="00702AA9">
              <w:rPr>
                <w:rFonts w:ascii="Arial Narrow" w:hAnsi="Arial Narrow"/>
                <w:sz w:val="20"/>
              </w:rPr>
              <w:t xml:space="preserve">ximum of </w:t>
            </w:r>
            <w:r w:rsidRPr="00702AA9">
              <w:rPr>
                <w:rFonts w:ascii="Arial Narrow" w:hAnsi="Arial Narrow"/>
                <w:sz w:val="20"/>
              </w:rPr>
              <w:t>2</w:t>
            </w:r>
            <w:r w:rsidR="00C16A45" w:rsidRPr="00702AA9">
              <w:rPr>
                <w:rFonts w:ascii="Arial Narrow" w:hAnsi="Arial Narrow"/>
                <w:sz w:val="20"/>
              </w:rPr>
              <w:t>4</w:t>
            </w:r>
            <w:r w:rsidRPr="00702AA9">
              <w:rPr>
                <w:rFonts w:ascii="Arial Narrow" w:hAnsi="Arial Narrow"/>
                <w:sz w:val="20"/>
              </w:rPr>
              <w:t xml:space="preserve"> weeks of treatment should be forwarded to: </w:t>
            </w:r>
          </w:p>
          <w:p w:rsidR="008D6C50" w:rsidRPr="00702AA9" w:rsidRDefault="008D6C50" w:rsidP="00B03053">
            <w:pPr>
              <w:spacing w:before="40" w:after="40"/>
              <w:rPr>
                <w:rFonts w:ascii="Arial Narrow" w:hAnsi="Arial Narrow"/>
                <w:sz w:val="20"/>
              </w:rPr>
            </w:pPr>
            <w:r w:rsidRPr="00702AA9">
              <w:rPr>
                <w:rFonts w:ascii="Arial Narrow" w:hAnsi="Arial Narrow"/>
                <w:sz w:val="20"/>
              </w:rPr>
              <w:t>Department of Human Services</w:t>
            </w:r>
          </w:p>
          <w:p w:rsidR="008D6C50" w:rsidRPr="00702AA9" w:rsidRDefault="008D6C50" w:rsidP="00B03053">
            <w:pPr>
              <w:spacing w:before="40" w:after="40"/>
              <w:rPr>
                <w:rFonts w:ascii="Arial Narrow" w:hAnsi="Arial Narrow"/>
                <w:sz w:val="20"/>
              </w:rPr>
            </w:pPr>
            <w:r w:rsidRPr="00702AA9">
              <w:rPr>
                <w:rFonts w:ascii="Arial Narrow" w:hAnsi="Arial Narrow"/>
                <w:sz w:val="20"/>
              </w:rPr>
              <w:t xml:space="preserve">Complex Drugs </w:t>
            </w:r>
          </w:p>
          <w:p w:rsidR="008D6C50" w:rsidRPr="00702AA9" w:rsidRDefault="008D6C50" w:rsidP="00B03053">
            <w:pPr>
              <w:spacing w:before="40" w:after="40"/>
              <w:rPr>
                <w:rFonts w:ascii="Arial Narrow" w:hAnsi="Arial Narrow"/>
                <w:sz w:val="20"/>
              </w:rPr>
            </w:pPr>
            <w:r w:rsidRPr="00702AA9">
              <w:rPr>
                <w:rFonts w:ascii="Arial Narrow" w:hAnsi="Arial Narrow"/>
                <w:sz w:val="20"/>
              </w:rPr>
              <w:t xml:space="preserve">Reply Paid 9826 </w:t>
            </w:r>
          </w:p>
          <w:p w:rsidR="008D6C50" w:rsidRPr="00702AA9" w:rsidRDefault="008D6C50" w:rsidP="00B03053">
            <w:pPr>
              <w:spacing w:before="40" w:after="40"/>
              <w:rPr>
                <w:rFonts w:ascii="Arial Narrow" w:hAnsi="Arial Narrow"/>
                <w:sz w:val="20"/>
              </w:rPr>
            </w:pPr>
            <w:r w:rsidRPr="00702AA9">
              <w:rPr>
                <w:rFonts w:ascii="Arial Narrow" w:hAnsi="Arial Narrow"/>
                <w:sz w:val="20"/>
              </w:rPr>
              <w:t>HOBART TAS 7001</w:t>
            </w:r>
          </w:p>
          <w:p w:rsidR="008D6C50" w:rsidRPr="00702AA9" w:rsidRDefault="008D6C50" w:rsidP="00B03053">
            <w:pPr>
              <w:spacing w:before="40" w:after="40"/>
              <w:rPr>
                <w:rFonts w:ascii="Arial Narrow" w:hAnsi="Arial Narrow"/>
                <w:sz w:val="20"/>
              </w:rPr>
            </w:pPr>
            <w:r w:rsidRPr="00702AA9">
              <w:rPr>
                <w:rFonts w:ascii="Arial Narrow" w:hAnsi="Arial Narrow"/>
                <w:sz w:val="20"/>
              </w:rPr>
              <w:t>TREATMENT OF ADULT AND ADOLESCENT PATIENTS WITH UNCONTROLLED SEVERE EOSINOPHILIC ASTHMA</w:t>
            </w:r>
          </w:p>
          <w:p w:rsidR="008D6C50" w:rsidRPr="00702AA9" w:rsidRDefault="008D6C50" w:rsidP="00B03053">
            <w:pPr>
              <w:spacing w:before="40" w:after="40"/>
              <w:rPr>
                <w:rFonts w:ascii="Arial Narrow" w:hAnsi="Arial Narrow"/>
                <w:i/>
                <w:sz w:val="20"/>
              </w:rPr>
            </w:pPr>
            <w:r w:rsidRPr="00702AA9">
              <w:rPr>
                <w:rFonts w:ascii="Arial Narrow" w:hAnsi="Arial Narrow"/>
                <w:i/>
                <w:sz w:val="20"/>
              </w:rPr>
              <w:t>(Per note for initial treatment)</w:t>
            </w:r>
          </w:p>
          <w:p w:rsidR="008D6C50" w:rsidRPr="00702AA9" w:rsidRDefault="008D6C50"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8D6C50" w:rsidRPr="00702AA9" w:rsidRDefault="008D6C50"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8D6C50" w:rsidRPr="00702AA9" w:rsidRDefault="008D6C50" w:rsidP="00B03053">
            <w:pPr>
              <w:spacing w:before="40" w:after="40"/>
              <w:rPr>
                <w:rFonts w:ascii="Arial Narrow" w:hAnsi="Arial Narrow"/>
                <w:sz w:val="20"/>
                <w:szCs w:val="24"/>
              </w:rPr>
            </w:pPr>
            <w:r w:rsidRPr="00702AA9">
              <w:rPr>
                <w:rFonts w:ascii="Arial Narrow" w:hAnsi="Arial Narrow"/>
                <w:sz w:val="20"/>
              </w:rPr>
              <w:t>Special Pricing Arrangements apply.</w:t>
            </w:r>
          </w:p>
        </w:tc>
      </w:tr>
      <w:tr w:rsidR="00F11F42" w:rsidRPr="00702AA9" w:rsidTr="00F11F42">
        <w:trPr>
          <w:gridAfter w:val="1"/>
          <w:wAfter w:w="1475" w:type="pct"/>
          <w:cantSplit/>
          <w:trHeight w:val="465"/>
        </w:trPr>
        <w:tc>
          <w:tcPr>
            <w:tcW w:w="1285"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Name, Restriction,</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Max.</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№.of</w:t>
            </w:r>
          </w:p>
          <w:p w:rsidR="00F11F42" w:rsidRPr="00702AA9" w:rsidRDefault="00F11F42" w:rsidP="007F70E2">
            <w:pPr>
              <w:keepNext/>
              <w:spacing w:before="40" w:after="40"/>
              <w:rPr>
                <w:rFonts w:ascii="Arial Narrow" w:hAnsi="Arial Narrow"/>
                <w:b/>
                <w:sz w:val="20"/>
                <w:szCs w:val="20"/>
              </w:rPr>
            </w:pPr>
            <w:r w:rsidRPr="00702AA9">
              <w:rPr>
                <w:rFonts w:ascii="Arial Narrow" w:hAnsi="Arial Narrow"/>
                <w:b/>
                <w:sz w:val="20"/>
                <w:szCs w:val="20"/>
              </w:rPr>
              <w:t>Rpts</w:t>
            </w:r>
          </w:p>
        </w:tc>
        <w:tc>
          <w:tcPr>
            <w:tcW w:w="1212" w:type="pct"/>
            <w:gridSpan w:val="2"/>
            <w:tcBorders>
              <w:top w:val="nil"/>
              <w:left w:val="nil"/>
              <w:bottom w:val="single" w:sz="4" w:space="0" w:color="auto"/>
              <w:right w:val="nil"/>
            </w:tcBorders>
            <w:vAlign w:val="center"/>
            <w:hideMark/>
          </w:tcPr>
          <w:p w:rsidR="00F11F42" w:rsidRPr="00702AA9" w:rsidRDefault="00F11F42" w:rsidP="007F70E2">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F11F42" w:rsidRPr="00702AA9" w:rsidTr="00F11F42">
        <w:trPr>
          <w:gridAfter w:val="1"/>
          <w:wAfter w:w="1475" w:type="pct"/>
          <w:cantSplit/>
          <w:trHeight w:val="570"/>
        </w:trPr>
        <w:tc>
          <w:tcPr>
            <w:tcW w:w="1285"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mallCaps/>
                <w:sz w:val="20"/>
                <w:szCs w:val="20"/>
              </w:rPr>
              <w:t>BENRALIZUMAB</w:t>
            </w:r>
          </w:p>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30 mg in 1 mL injection, (prefilled syringe)</w:t>
            </w:r>
          </w:p>
        </w:tc>
        <w:tc>
          <w:tcPr>
            <w:tcW w:w="480"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F11F42" w:rsidRPr="00702AA9" w:rsidRDefault="00F11F42" w:rsidP="007F70E2">
            <w:pPr>
              <w:keepNext/>
              <w:spacing w:before="40" w:after="40"/>
              <w:rPr>
                <w:rFonts w:ascii="Arial Narrow" w:hAnsi="Arial Narrow"/>
                <w:sz w:val="20"/>
                <w:szCs w:val="20"/>
              </w:rPr>
            </w:pPr>
            <w:r w:rsidRPr="00702AA9">
              <w:rPr>
                <w:rFonts w:ascii="Arial Narrow" w:hAnsi="Arial Narrow"/>
                <w:sz w:val="20"/>
                <w:szCs w:val="20"/>
              </w:rPr>
              <w:t>2</w:t>
            </w:r>
          </w:p>
        </w:tc>
        <w:tc>
          <w:tcPr>
            <w:tcW w:w="991" w:type="pct"/>
            <w:hideMark/>
          </w:tcPr>
          <w:p w:rsidR="00F11F42" w:rsidRPr="00702AA9" w:rsidRDefault="00F11F42" w:rsidP="007F70E2">
            <w:pPr>
              <w:keepNext/>
              <w:jc w:val="left"/>
              <w:rPr>
                <w:rFonts w:ascii="Arial Narrow" w:hAnsi="Arial Narrow"/>
                <w:sz w:val="20"/>
              </w:rPr>
            </w:pPr>
            <w:r w:rsidRPr="00702AA9">
              <w:rPr>
                <w:rFonts w:ascii="Arial Narrow" w:hAnsi="Arial Narrow"/>
                <w:sz w:val="20"/>
              </w:rPr>
              <w:t>Fasenra</w:t>
            </w:r>
            <w:r w:rsidRPr="00702AA9">
              <w:rPr>
                <w:rFonts w:ascii="Arial Narrow" w:hAnsi="Arial Narrow"/>
                <w:sz w:val="20"/>
                <w:vertAlign w:val="superscript"/>
              </w:rPr>
              <w:t>®</w:t>
            </w:r>
          </w:p>
          <w:p w:rsidR="00F11F42" w:rsidRPr="00702AA9" w:rsidRDefault="00F11F42" w:rsidP="007F70E2">
            <w:pPr>
              <w:keepNext/>
              <w:spacing w:before="40" w:after="40"/>
              <w:jc w:val="left"/>
              <w:rPr>
                <w:rFonts w:ascii="Arial Narrow" w:hAnsi="Arial Narrow"/>
                <w:sz w:val="20"/>
                <w:szCs w:val="20"/>
              </w:rPr>
            </w:pPr>
            <w:r w:rsidRPr="00702AA9">
              <w:rPr>
                <w:rFonts w:ascii="Arial Narrow" w:hAnsi="Arial Narrow"/>
                <w:sz w:val="20"/>
              </w:rPr>
              <w:t>AstraZeneca Pty Ltd</w:t>
            </w:r>
          </w:p>
        </w:tc>
        <w:tc>
          <w:tcPr>
            <w:tcW w:w="221" w:type="pct"/>
          </w:tcPr>
          <w:p w:rsidR="00F11F42" w:rsidRPr="00702AA9" w:rsidRDefault="00F11F42" w:rsidP="007F70E2">
            <w:pPr>
              <w:keepNext/>
              <w:spacing w:before="40" w:after="40"/>
              <w:jc w:val="left"/>
              <w:rPr>
                <w:rFonts w:ascii="Arial Narrow" w:hAnsi="Arial Narrow"/>
                <w:sz w:val="20"/>
                <w:szCs w:val="20"/>
              </w:rPr>
            </w:pP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sz w:val="20"/>
                <w:szCs w:val="20"/>
              </w:rPr>
              <w:t>Category / Program</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Prescriber type:</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PBS Indication:</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i/>
                <w:sz w:val="20"/>
                <w:szCs w:val="20"/>
              </w:rPr>
            </w:pPr>
            <w:r w:rsidRPr="00702AA9">
              <w:rPr>
                <w:rFonts w:ascii="Arial Narrow" w:hAnsi="Arial Narrow"/>
                <w:b/>
                <w:sz w:val="20"/>
                <w:szCs w:val="20"/>
              </w:rPr>
              <w:t>Treatment phase:</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t>Initial treatment – grandfather patients</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Restriction Level / Method:</w:t>
            </w:r>
          </w:p>
          <w:p w:rsidR="009111C1" w:rsidRPr="00702AA9" w:rsidRDefault="009111C1" w:rsidP="007F70E2">
            <w:pPr>
              <w:spacing w:before="40" w:after="40"/>
              <w:rPr>
                <w:rFonts w:ascii="Arial Narrow" w:hAnsi="Arial Narrow"/>
                <w:sz w:val="20"/>
                <w:szCs w:val="20"/>
              </w:rPr>
            </w:pP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5"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rPr>
                <w:rFonts w:ascii="Arial Narrow" w:hAnsi="Arial Narrow"/>
                <w:sz w:val="20"/>
              </w:rPr>
            </w:pPr>
            <w:r w:rsidRPr="00702AA9">
              <w:rPr>
                <w:rFonts w:ascii="Arial Narrow" w:hAnsi="Arial Narrow"/>
                <w:sz w:val="20"/>
              </w:rPr>
              <w:t xml:space="preserve">Patient must have received non-PBS treatment with this drug for this condition prior to </w:t>
            </w:r>
            <w:r w:rsidR="0016498F" w:rsidRPr="00702AA9">
              <w:rPr>
                <w:rFonts w:ascii="Arial Narrow" w:hAnsi="Arial Narrow"/>
                <w:sz w:val="20"/>
              </w:rPr>
              <w:t>[Date to be finalised]</w:t>
            </w:r>
            <w:r w:rsidRPr="00702AA9">
              <w:rPr>
                <w:rFonts w:ascii="Arial Narrow" w:hAnsi="Arial Narrow"/>
                <w:sz w:val="20"/>
              </w:rPr>
              <w:t>,</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rPr>
                <w:rFonts w:ascii="Arial Narrow" w:hAnsi="Arial Narrow"/>
                <w:sz w:val="20"/>
              </w:rPr>
            </w:pPr>
            <w:r w:rsidRPr="00702AA9">
              <w:rPr>
                <w:rFonts w:ascii="Arial Narrow" w:hAnsi="Arial Narrow"/>
                <w:sz w:val="20"/>
              </w:rPr>
              <w:t>Patient must be receiving treatment with this drug for this condition at the time of application,</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rPr>
                <w:rFonts w:ascii="Arial Narrow" w:hAnsi="Arial Narrow"/>
                <w:sz w:val="20"/>
              </w:rPr>
            </w:pPr>
            <w:r w:rsidRPr="00702AA9">
              <w:rPr>
                <w:rFonts w:ascii="Arial Narrow" w:hAnsi="Arial Narrow"/>
                <w:sz w:val="20"/>
              </w:rPr>
              <w:t>Patient must have had, prior to commencement of benralizumab,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or(ii) airway hyperresponsiveness defined as a greater than 20% decline in FEV1 during a direct bronchial provocation test or greater than 15% decline during an indirect bronchial provocation test, or(iii) peak expiratory flow (PEF) variability of greater than 15% between the two highest and two lowest peak expiratory flow rates during 14 days,</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rPr>
                <w:rFonts w:ascii="Arial Narrow" w:hAnsi="Arial Narrow"/>
                <w:sz w:val="20"/>
              </w:rPr>
            </w:pPr>
            <w:r w:rsidRPr="00702AA9">
              <w:rPr>
                <w:rFonts w:ascii="Arial Narrow" w:hAnsi="Arial Narrow"/>
                <w:sz w:val="20"/>
              </w:rPr>
              <w:t>Patient must have had blood eosinophil count greater than or equal to 300 cells per microlitre prior to commencement of benralizumab,</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rPr>
                <w:rFonts w:ascii="Arial Narrow" w:hAnsi="Arial Narrow"/>
                <w:sz w:val="20"/>
              </w:rPr>
            </w:pPr>
            <w:r w:rsidRPr="00702AA9">
              <w:rPr>
                <w:rFonts w:ascii="Arial Narrow" w:hAnsi="Arial Narrow"/>
                <w:sz w:val="20"/>
              </w:rPr>
              <w:t>Patient must have had a duration of asthma of at least 1 year prior to commencement of benralizumab,</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rPr>
                <w:rFonts w:ascii="Arial Narrow" w:hAnsi="Arial Narrow"/>
                <w:sz w:val="20"/>
              </w:rPr>
            </w:pPr>
            <w:r w:rsidRPr="00702AA9">
              <w:rPr>
                <w:rFonts w:ascii="Arial Narrow" w:hAnsi="Arial Narrow"/>
                <w:sz w:val="20"/>
              </w:rPr>
              <w:t>Patient must have failed to achieve adequate control with optimised asthma therapy prior to benralizumab therapy despite formal assessment of and adherence to correct inhaler technique, which has been documented,</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rPr>
                <w:rFonts w:ascii="Arial Narrow" w:hAnsi="Arial Narrow"/>
                <w:sz w:val="20"/>
              </w:rPr>
            </w:pPr>
            <w:r w:rsidRPr="00702AA9">
              <w:rPr>
                <w:rFonts w:ascii="Arial Narrow" w:hAnsi="Arial Narrow"/>
                <w:sz w:val="20"/>
              </w:rPr>
              <w:t>Patient must have demonstrated an adequate response to treatment with benralizumab,</w:t>
            </w:r>
          </w:p>
          <w:p w:rsidR="009111C1" w:rsidRPr="00702AA9" w:rsidRDefault="009111C1" w:rsidP="007F70E2">
            <w:pPr>
              <w:rPr>
                <w:rFonts w:ascii="Arial Narrow" w:hAnsi="Arial Narrow"/>
                <w:sz w:val="20"/>
              </w:rPr>
            </w:pPr>
            <w:r w:rsidRPr="00702AA9">
              <w:rPr>
                <w:rFonts w:ascii="Arial Narrow" w:hAnsi="Arial Narrow"/>
                <w:sz w:val="20"/>
              </w:rPr>
              <w:t>AND</w:t>
            </w:r>
          </w:p>
          <w:p w:rsidR="009111C1" w:rsidRPr="00702AA9" w:rsidRDefault="009111C1" w:rsidP="007F70E2">
            <w:pPr>
              <w:spacing w:before="40" w:after="40"/>
              <w:rPr>
                <w:rFonts w:ascii="Arial Narrow" w:hAnsi="Arial Narrow"/>
                <w:sz w:val="20"/>
                <w:szCs w:val="20"/>
              </w:rPr>
            </w:pPr>
            <w:r w:rsidRPr="00702AA9">
              <w:rPr>
                <w:rFonts w:ascii="Arial Narrow" w:hAnsi="Arial Narrow"/>
                <w:sz w:val="20"/>
              </w:rPr>
              <w:t>The treatment must not be used in combination with mepolizumab or omalizumab.</w:t>
            </w:r>
          </w:p>
        </w:tc>
      </w:tr>
      <w:tr w:rsidR="009111C1" w:rsidRPr="00702AA9" w:rsidTr="00F11F42">
        <w:trPr>
          <w:cantSplit/>
          <w:trHeight w:val="360"/>
        </w:trPr>
        <w:tc>
          <w:tcPr>
            <w:tcW w:w="1285" w:type="pct"/>
            <w:tcBorders>
              <w:top w:val="single" w:sz="4" w:space="0" w:color="auto"/>
              <w:left w:val="single" w:sz="4" w:space="0" w:color="auto"/>
              <w:bottom w:val="single" w:sz="4" w:space="0" w:color="auto"/>
              <w:right w:val="single" w:sz="4" w:space="0" w:color="auto"/>
            </w:tcBorders>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5" w:type="pct"/>
            <w:gridSpan w:val="5"/>
            <w:tcBorders>
              <w:top w:val="single" w:sz="4" w:space="0" w:color="auto"/>
              <w:left w:val="single" w:sz="4" w:space="0" w:color="auto"/>
              <w:bottom w:val="single" w:sz="4" w:space="0" w:color="auto"/>
              <w:right w:val="single" w:sz="4" w:space="0" w:color="auto"/>
            </w:tcBorders>
          </w:tcPr>
          <w:p w:rsidR="009111C1" w:rsidRPr="00702AA9" w:rsidRDefault="009111C1" w:rsidP="004E0270">
            <w:pPr>
              <w:rPr>
                <w:rFonts w:ascii="Arial Narrow" w:hAnsi="Arial Narrow"/>
                <w:sz w:val="20"/>
              </w:rPr>
            </w:pPr>
            <w:r w:rsidRPr="00702AA9">
              <w:rPr>
                <w:rFonts w:ascii="Arial Narrow" w:hAnsi="Arial Narrow"/>
                <w:sz w:val="20"/>
              </w:rPr>
              <w:t>Patient must be aged 12 years or older.</w:t>
            </w:r>
          </w:p>
        </w:tc>
      </w:tr>
      <w:tr w:rsidR="009111C1" w:rsidRPr="00702AA9" w:rsidTr="00F11F42">
        <w:trPr>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B03053">
            <w:pPr>
              <w:spacing w:before="40" w:after="40"/>
              <w:rPr>
                <w:rFonts w:ascii="Arial Narrow" w:hAnsi="Arial Narrow"/>
                <w:sz w:val="20"/>
              </w:rPr>
            </w:pPr>
            <w:r w:rsidRPr="00702AA9">
              <w:rPr>
                <w:rFonts w:ascii="Arial Narrow" w:hAnsi="Arial Narrow"/>
                <w:sz w:val="20"/>
              </w:rPr>
              <w:t>Optimised asthma therapy includes:</w:t>
            </w:r>
          </w:p>
          <w:p w:rsidR="009111C1" w:rsidRPr="00702AA9" w:rsidRDefault="009111C1" w:rsidP="00B03053">
            <w:pPr>
              <w:spacing w:before="40" w:after="40"/>
              <w:rPr>
                <w:rFonts w:ascii="Arial Narrow" w:hAnsi="Arial Narrow"/>
                <w:sz w:val="20"/>
              </w:rPr>
            </w:pPr>
            <w:r w:rsidRPr="00702AA9">
              <w:rPr>
                <w:rFonts w:ascii="Arial Narrow" w:hAnsi="Arial Narrow"/>
                <w:sz w:val="20"/>
              </w:rPr>
              <w:t>(i) Adherence to maximal inhaled therapy, including high dose inhaled corticosteroid (ICS) plus long-acting beta-2 agonist (LABA) therapy for at least 12 months, unless contraindicated or not tolerated;</w:t>
            </w:r>
          </w:p>
          <w:p w:rsidR="009111C1" w:rsidRPr="00702AA9" w:rsidRDefault="009111C1" w:rsidP="00B03053">
            <w:pPr>
              <w:spacing w:before="40" w:after="40"/>
              <w:rPr>
                <w:rFonts w:ascii="Arial Narrow" w:hAnsi="Arial Narrow"/>
                <w:sz w:val="20"/>
              </w:rPr>
            </w:pPr>
            <w:r w:rsidRPr="00702AA9">
              <w:rPr>
                <w:rFonts w:ascii="Arial Narrow" w:hAnsi="Arial Narrow"/>
                <w:sz w:val="20"/>
              </w:rPr>
              <w:t>AND</w:t>
            </w:r>
          </w:p>
          <w:p w:rsidR="009111C1" w:rsidRPr="00702AA9" w:rsidRDefault="009111C1" w:rsidP="00B03053">
            <w:pPr>
              <w:spacing w:before="40" w:after="40"/>
              <w:rPr>
                <w:rFonts w:ascii="Arial Narrow" w:hAnsi="Arial Narrow"/>
                <w:sz w:val="20"/>
              </w:rPr>
            </w:pPr>
            <w:r w:rsidRPr="00702AA9">
              <w:rPr>
                <w:rFonts w:ascii="Arial Narrow" w:hAnsi="Arial Narrow"/>
                <w:sz w:val="20"/>
              </w:rPr>
              <w:t>(ii) treatment with oral corticosteroids, either daily oral corticosteroids for at least 6 weeks, OR a cumulative dose of oral corticosteroids of at least 500 mg prednisolone equivalent in the previous 12 months, unless contraindicated or not tolerated.</w:t>
            </w:r>
          </w:p>
          <w:p w:rsidR="009111C1" w:rsidRPr="00702AA9" w:rsidRDefault="009111C1" w:rsidP="00B03053">
            <w:pPr>
              <w:spacing w:before="40" w:after="40"/>
              <w:rPr>
                <w:rFonts w:ascii="Arial Narrow" w:hAnsi="Arial Narrow"/>
                <w:sz w:val="20"/>
              </w:rPr>
            </w:pPr>
            <w:r w:rsidRPr="00702AA9">
              <w:rPr>
                <w:rFonts w:ascii="Arial Narrow" w:hAnsi="Arial Narrow"/>
                <w:sz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review of the patient's records should be conducted to extract pre- and post-benralizumab data on symptoms, quality of life, medication doses, exacerbations and hospitalisations. Parameters to establish response are: (i) a reduction in Asthma Control Questionnaire (ACQ-5) score of at least 0.5; and/or (ii) maintenance oral corticosteroid dose reduced by at least 25% from baseline.</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The assessment of the patient's response to the initial PBS subsidised course of treatment must be made at around 1</w:t>
            </w:r>
            <w:r w:rsidR="003A535C" w:rsidRPr="00702AA9">
              <w:rPr>
                <w:rFonts w:ascii="Arial Narrow" w:hAnsi="Arial Narrow"/>
                <w:sz w:val="20"/>
                <w:szCs w:val="24"/>
              </w:rPr>
              <w:t>6</w:t>
            </w:r>
            <w:r w:rsidRPr="00702AA9">
              <w:rPr>
                <w:rFonts w:ascii="Arial Narrow" w:hAnsi="Arial Narrow"/>
                <w:sz w:val="20"/>
                <w:szCs w:val="24"/>
              </w:rPr>
              <w:t xml:space="preserve"> weeks after the first dose so that there is adequate time for a response to be demonstrated and for the application for continuing therapy to be processed. The same parameters used to establish response to non-PBS-subsidised therapy with benralizumab should be used for the assessment.</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Patients will be eligible to receive continuing courses of benralizumab treatment of up to 24 weeks providing they continue to demonstrate an adequate response to treatment.</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patient may qualify for PBS-subsidised treatment under this restriction once only.</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patient who fails to respond to a course of PBS-subsidised benralizumab for the treatment of uncontrolled severe eosinophilic asthma will not be eligible to receive further PBS-subsidised treatment with benralizumab, mepolizumab or omalizumab within 6 months of the date on which treatment was ceased.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At the time of the authority application, medical practitioners should request the appropriate maximum quantity and number of repeats to provide for a continuing course of benralizumab sufficient for 24 weeks of therapy.</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The authority application must be made in writing and must include:</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 a completed authority prescription form; and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(b) a completed Severe Eosinophilic Asthma Grandfather PBS Authority Application - Supporting Information Form,</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which includes the following:</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(i) details of prior optimised asthma drug therapy (date of commencement and duration of therapy); and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(ii) details of pre- and post-benralizumab data on symptoms, quality of life, medication doses, severe exacerbation/s and hospitalisations, and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(iii) the signed patient or parent/guardian acknowledgement; and</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(c) a copy of the pre-benralizumab eosinophil pathology report.</w:t>
            </w:r>
          </w:p>
        </w:tc>
      </w:tr>
      <w:tr w:rsidR="009111C1" w:rsidRPr="00702AA9" w:rsidTr="00F11F42">
        <w:trPr>
          <w:trHeight w:val="360"/>
        </w:trPr>
        <w:tc>
          <w:tcPr>
            <w:tcW w:w="1285" w:type="pct"/>
            <w:tcBorders>
              <w:top w:val="single" w:sz="4" w:space="0" w:color="auto"/>
              <w:left w:val="single" w:sz="4" w:space="0" w:color="auto"/>
              <w:bottom w:val="single" w:sz="4" w:space="0" w:color="auto"/>
              <w:right w:val="single" w:sz="4" w:space="0" w:color="auto"/>
            </w:tcBorders>
            <w:hideMark/>
          </w:tcPr>
          <w:p w:rsidR="009111C1" w:rsidRPr="00702AA9" w:rsidRDefault="009111C1" w:rsidP="007F70E2">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5" w:type="pct"/>
            <w:gridSpan w:val="5"/>
            <w:tcBorders>
              <w:top w:val="single" w:sz="4" w:space="0" w:color="auto"/>
              <w:left w:val="single" w:sz="4" w:space="0" w:color="auto"/>
              <w:bottom w:val="single" w:sz="4" w:space="0" w:color="auto"/>
              <w:right w:val="single" w:sz="4" w:space="0" w:color="auto"/>
            </w:tcBorders>
            <w:hideMark/>
          </w:tcPr>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The Department of Human Services website (www.humanservices.gov.au) has details of the accepted toxicities, including severity, which will be accepted for the purposes of exempting a patient from the requirement of treatment with optimised asthma therapy.</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It is recommended that an application for continuing treatment is submitted at the time of the 1</w:t>
            </w:r>
            <w:r w:rsidR="002E1254" w:rsidRPr="00702AA9">
              <w:rPr>
                <w:rFonts w:ascii="Arial Narrow" w:hAnsi="Arial Narrow"/>
                <w:sz w:val="20"/>
                <w:szCs w:val="24"/>
              </w:rPr>
              <w:t>6</w:t>
            </w:r>
            <w:r w:rsidRPr="00702AA9">
              <w:rPr>
                <w:rFonts w:ascii="Arial Narrow" w:hAnsi="Arial Narrow"/>
                <w:sz w:val="20"/>
                <w:szCs w:val="24"/>
              </w:rPr>
              <w:t xml:space="preserve"> week assessment, to ensure continuity of treatment for those patients who meet the continuation criterion for PBS subsidised benralizumab treatment.</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Any queries concerning the arrangements to prescribe may be directed to the Department of Human Services on 1800 700 270 (hours of operation 8 a.m. to 5 p.m. EST Monday to Friday).</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Prescribing information (including Authority Application forms and other relevant documentation as applicable) is available on the Department of Human Services website at www.humanservices.gov.au</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Applications for authority to prescribe should be forwarded to:</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Department of Human Services</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Complex Drugs Programs</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Reply Paid 9826</w:t>
            </w:r>
          </w:p>
          <w:p w:rsidR="009111C1" w:rsidRPr="00702AA9" w:rsidRDefault="009111C1" w:rsidP="00B03053">
            <w:pPr>
              <w:spacing w:before="40" w:after="40"/>
              <w:rPr>
                <w:rFonts w:ascii="Arial Narrow" w:hAnsi="Arial Narrow"/>
                <w:sz w:val="20"/>
                <w:szCs w:val="24"/>
              </w:rPr>
            </w:pPr>
            <w:r w:rsidRPr="00702AA9">
              <w:rPr>
                <w:rFonts w:ascii="Arial Narrow" w:hAnsi="Arial Narrow"/>
                <w:sz w:val="20"/>
                <w:szCs w:val="24"/>
              </w:rPr>
              <w:t>HOBART TAS 7001</w:t>
            </w:r>
          </w:p>
          <w:p w:rsidR="009111C1" w:rsidRPr="00702AA9" w:rsidRDefault="009111C1" w:rsidP="00B03053">
            <w:pPr>
              <w:spacing w:before="40" w:after="40"/>
              <w:rPr>
                <w:rFonts w:ascii="Arial Narrow" w:hAnsi="Arial Narrow"/>
                <w:i/>
                <w:sz w:val="20"/>
                <w:szCs w:val="24"/>
              </w:rPr>
            </w:pPr>
            <w:r w:rsidRPr="00702AA9">
              <w:rPr>
                <w:rFonts w:ascii="Arial Narrow" w:hAnsi="Arial Narrow"/>
                <w:sz w:val="20"/>
                <w:szCs w:val="24"/>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tc>
      </w:tr>
      <w:tr w:rsidR="00BE24A3" w:rsidRPr="00702AA9" w:rsidTr="00F11F42">
        <w:trPr>
          <w:trHeight w:val="360"/>
        </w:trPr>
        <w:tc>
          <w:tcPr>
            <w:tcW w:w="1285" w:type="pct"/>
            <w:tcBorders>
              <w:top w:val="single" w:sz="4" w:space="0" w:color="auto"/>
              <w:left w:val="single" w:sz="4" w:space="0" w:color="auto"/>
              <w:bottom w:val="single" w:sz="4" w:space="0" w:color="auto"/>
              <w:right w:val="single" w:sz="4" w:space="0" w:color="auto"/>
            </w:tcBorders>
          </w:tcPr>
          <w:p w:rsidR="00BE24A3" w:rsidRPr="00702AA9" w:rsidRDefault="00BE24A3" w:rsidP="00BE24A3">
            <w:pPr>
              <w:spacing w:before="40" w:after="40"/>
              <w:jc w:val="left"/>
              <w:rPr>
                <w:rFonts w:ascii="Arial Narrow" w:hAnsi="Arial Narrow"/>
                <w:b/>
                <w:sz w:val="20"/>
                <w:szCs w:val="20"/>
              </w:rPr>
            </w:pPr>
            <w:r w:rsidRPr="00702AA9">
              <w:rPr>
                <w:rFonts w:ascii="Arial Narrow" w:hAnsi="Arial Narrow"/>
                <w:b/>
                <w:sz w:val="20"/>
                <w:szCs w:val="20"/>
              </w:rPr>
              <w:t>Administrative advice (additional note)</w:t>
            </w:r>
          </w:p>
        </w:tc>
        <w:tc>
          <w:tcPr>
            <w:tcW w:w="3715" w:type="pct"/>
            <w:gridSpan w:val="5"/>
            <w:tcBorders>
              <w:top w:val="single" w:sz="4" w:space="0" w:color="auto"/>
              <w:left w:val="single" w:sz="4" w:space="0" w:color="auto"/>
              <w:bottom w:val="single" w:sz="4" w:space="0" w:color="auto"/>
              <w:right w:val="single" w:sz="4" w:space="0" w:color="auto"/>
            </w:tcBorders>
          </w:tcPr>
          <w:p w:rsidR="00BE24A3" w:rsidRPr="00702AA9" w:rsidRDefault="00BE24A3" w:rsidP="00B03053">
            <w:pPr>
              <w:spacing w:before="40" w:after="40"/>
              <w:rPr>
                <w:rFonts w:ascii="Arial Narrow" w:hAnsi="Arial Narrow"/>
                <w:i/>
                <w:sz w:val="20"/>
              </w:rPr>
            </w:pPr>
            <w:r w:rsidRPr="00702AA9">
              <w:rPr>
                <w:rFonts w:ascii="Arial Narrow" w:hAnsi="Arial Narrow"/>
                <w:sz w:val="20"/>
              </w:rPr>
              <w:t xml:space="preserve">For copies of the ACQ, please contact </w:t>
            </w:r>
            <w:r w:rsidR="00F11F42" w:rsidRPr="00702AA9">
              <w:rPr>
                <w:rFonts w:ascii="Arial Narrow" w:hAnsi="Arial Narrow"/>
                <w:i/>
                <w:sz w:val="20"/>
              </w:rPr>
              <w:t>AstraZeneca</w:t>
            </w:r>
            <w:r w:rsidRPr="00702AA9">
              <w:rPr>
                <w:rFonts w:ascii="Arial Narrow" w:hAnsi="Arial Narrow"/>
                <w:i/>
                <w:sz w:val="20"/>
              </w:rPr>
              <w:t xml:space="preserve"> on [phone number to be advised].</w:t>
            </w:r>
          </w:p>
          <w:p w:rsidR="00BE24A3" w:rsidRPr="00702AA9" w:rsidRDefault="00BE24A3" w:rsidP="00B03053">
            <w:pPr>
              <w:spacing w:before="40" w:after="40"/>
              <w:rPr>
                <w:rFonts w:ascii="Arial Narrow" w:hAnsi="Arial Narrow"/>
                <w:sz w:val="20"/>
              </w:rPr>
            </w:pPr>
            <w:r w:rsidRPr="00702AA9">
              <w:rPr>
                <w:rFonts w:ascii="Arial Narrow" w:hAnsi="Arial Narrow"/>
                <w:sz w:val="20"/>
              </w:rPr>
              <w:t>TREATMENT OF ADULT AND ADOLESCENT PATIENTS WITH UNCONTROLLED SEVERE EOSINOPHILIC ASTHMA</w:t>
            </w:r>
          </w:p>
          <w:p w:rsidR="00BE24A3" w:rsidRPr="00702AA9" w:rsidRDefault="00BE24A3" w:rsidP="00B03053">
            <w:pPr>
              <w:spacing w:before="40" w:after="40"/>
              <w:rPr>
                <w:rFonts w:ascii="Arial Narrow" w:hAnsi="Arial Narrow"/>
                <w:i/>
                <w:sz w:val="20"/>
              </w:rPr>
            </w:pPr>
            <w:r w:rsidRPr="00702AA9">
              <w:rPr>
                <w:rFonts w:ascii="Arial Narrow" w:hAnsi="Arial Narrow"/>
                <w:i/>
                <w:sz w:val="20"/>
              </w:rPr>
              <w:t>(Per note for initial treatment)</w:t>
            </w:r>
          </w:p>
          <w:p w:rsidR="00BE24A3" w:rsidRPr="00702AA9" w:rsidRDefault="00BE24A3"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BE24A3" w:rsidRPr="00702AA9" w:rsidRDefault="00BE24A3"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BE24A3" w:rsidRPr="00702AA9" w:rsidRDefault="00BE24A3" w:rsidP="00B03053">
            <w:pPr>
              <w:spacing w:before="40" w:after="40"/>
              <w:rPr>
                <w:rFonts w:ascii="Arial Narrow" w:hAnsi="Arial Narrow"/>
                <w:sz w:val="20"/>
                <w:szCs w:val="24"/>
              </w:rPr>
            </w:pPr>
            <w:r w:rsidRPr="00702AA9">
              <w:rPr>
                <w:rFonts w:ascii="Arial Narrow" w:hAnsi="Arial Narrow"/>
                <w:sz w:val="20"/>
              </w:rPr>
              <w:t>Special Pricing Arrangements apply.</w:t>
            </w:r>
          </w:p>
        </w:tc>
      </w:tr>
    </w:tbl>
    <w:p w:rsidR="001A3960" w:rsidRPr="00702AA9" w:rsidRDefault="009111C1" w:rsidP="00B03053">
      <w:pPr>
        <w:widowControl/>
        <w:numPr>
          <w:ilvl w:val="1"/>
          <w:numId w:val="1"/>
        </w:numPr>
        <w:spacing w:before="120" w:after="120"/>
        <w:ind w:left="709"/>
        <w:jc w:val="left"/>
        <w:rPr>
          <w:rFonts w:asciiTheme="minorHAnsi" w:hAnsiTheme="minorHAnsi"/>
          <w:bCs/>
        </w:rPr>
      </w:pPr>
      <w:r w:rsidRPr="00702AA9">
        <w:rPr>
          <w:rFonts w:asciiTheme="minorHAnsi" w:hAnsiTheme="minorHAnsi"/>
          <w:bCs/>
        </w:rPr>
        <w:t xml:space="preserve">Flow-ons to </w:t>
      </w:r>
      <w:r w:rsidR="00DA6811" w:rsidRPr="00702AA9">
        <w:rPr>
          <w:rFonts w:asciiTheme="minorHAnsi" w:hAnsiTheme="minorHAnsi"/>
          <w:bCs/>
        </w:rPr>
        <w:t xml:space="preserve">the following </w:t>
      </w:r>
      <w:r w:rsidRPr="00702AA9">
        <w:rPr>
          <w:rFonts w:asciiTheme="minorHAnsi" w:hAnsiTheme="minorHAnsi"/>
          <w:bCs/>
        </w:rPr>
        <w:t>mepolizumab and omalizumab restrictions.</w:t>
      </w:r>
      <w:r w:rsidR="00DD5C66" w:rsidRPr="00702AA9">
        <w:rPr>
          <w:rFonts w:asciiTheme="minorHAnsi" w:hAnsiTheme="minorHAnsi"/>
          <w:bCs/>
        </w:rPr>
        <w:t xml:space="preserve"> Note that no changes are required to the ‘balance of supply’ restrictions</w:t>
      </w:r>
      <w:r w:rsidR="005F17D3" w:rsidRPr="00702AA9">
        <w:rPr>
          <w:rFonts w:asciiTheme="minorHAnsi" w:hAnsiTheme="minorHAnsi"/>
          <w:bCs/>
        </w:rPr>
        <w:t>.</w:t>
      </w:r>
    </w:p>
    <w:tbl>
      <w:tblPr>
        <w:tblW w:w="5000" w:type="pct"/>
        <w:tblLayout w:type="fixed"/>
        <w:tblLook w:val="04A0" w:firstRow="1" w:lastRow="0" w:firstColumn="1" w:lastColumn="0" w:noHBand="0" w:noVBand="1"/>
      </w:tblPr>
      <w:tblGrid>
        <w:gridCol w:w="2346"/>
        <w:gridCol w:w="876"/>
        <w:gridCol w:w="1000"/>
        <w:gridCol w:w="1557"/>
        <w:gridCol w:w="2945"/>
        <w:gridCol w:w="400"/>
      </w:tblGrid>
      <w:tr w:rsidR="00C41F2E" w:rsidRPr="00702AA9" w:rsidTr="00B03053">
        <w:trPr>
          <w:cantSplit/>
          <w:trHeight w:val="465"/>
        </w:trPr>
        <w:tc>
          <w:tcPr>
            <w:tcW w:w="1286" w:type="pct"/>
            <w:tcBorders>
              <w:top w:val="nil"/>
              <w:left w:val="nil"/>
              <w:bottom w:val="single" w:sz="4" w:space="0" w:color="auto"/>
              <w:right w:val="nil"/>
            </w:tcBorders>
            <w:hideMark/>
          </w:tcPr>
          <w:p w:rsidR="00C41F2E" w:rsidRPr="00702AA9" w:rsidRDefault="00C41F2E" w:rsidP="007F70E2">
            <w:pPr>
              <w:keepNext/>
              <w:spacing w:before="40" w:after="40"/>
              <w:rPr>
                <w:rFonts w:ascii="Arial Narrow" w:hAnsi="Arial Narrow"/>
                <w:b/>
                <w:sz w:val="20"/>
                <w:szCs w:val="20"/>
              </w:rPr>
            </w:pPr>
            <w:r w:rsidRPr="00702AA9">
              <w:rPr>
                <w:rFonts w:ascii="Arial Narrow" w:hAnsi="Arial Narrow"/>
                <w:b/>
                <w:sz w:val="20"/>
                <w:szCs w:val="20"/>
              </w:rPr>
              <w:t>Name, Restriction,</w:t>
            </w:r>
          </w:p>
          <w:p w:rsidR="00C41F2E" w:rsidRPr="00702AA9" w:rsidRDefault="00C41F2E" w:rsidP="007F70E2">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C41F2E" w:rsidRPr="00702AA9" w:rsidRDefault="00C41F2E" w:rsidP="007F70E2">
            <w:pPr>
              <w:keepNext/>
              <w:spacing w:before="40" w:after="40"/>
              <w:rPr>
                <w:rFonts w:ascii="Arial Narrow" w:hAnsi="Arial Narrow"/>
                <w:b/>
                <w:sz w:val="20"/>
                <w:szCs w:val="20"/>
              </w:rPr>
            </w:pPr>
            <w:r w:rsidRPr="00702AA9">
              <w:rPr>
                <w:rFonts w:ascii="Arial Narrow" w:hAnsi="Arial Narrow"/>
                <w:b/>
                <w:sz w:val="20"/>
                <w:szCs w:val="20"/>
              </w:rPr>
              <w:t>Max.</w:t>
            </w:r>
          </w:p>
          <w:p w:rsidR="00C41F2E" w:rsidRPr="00702AA9" w:rsidRDefault="00C41F2E" w:rsidP="007F70E2">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C41F2E" w:rsidRPr="00702AA9" w:rsidRDefault="00C41F2E" w:rsidP="007F70E2">
            <w:pPr>
              <w:keepNext/>
              <w:spacing w:before="40" w:after="40"/>
              <w:rPr>
                <w:rFonts w:ascii="Arial Narrow" w:hAnsi="Arial Narrow"/>
                <w:b/>
                <w:sz w:val="20"/>
                <w:szCs w:val="20"/>
              </w:rPr>
            </w:pPr>
            <w:r w:rsidRPr="00702AA9">
              <w:rPr>
                <w:rFonts w:ascii="Arial Narrow" w:hAnsi="Arial Narrow"/>
                <w:b/>
                <w:sz w:val="20"/>
                <w:szCs w:val="20"/>
              </w:rPr>
              <w:t>№.of</w:t>
            </w:r>
          </w:p>
          <w:p w:rsidR="00C41F2E" w:rsidRPr="00702AA9" w:rsidRDefault="00C41F2E" w:rsidP="007F70E2">
            <w:pPr>
              <w:keepNext/>
              <w:spacing w:before="40" w:after="40"/>
              <w:rPr>
                <w:rFonts w:ascii="Arial Narrow" w:hAnsi="Arial Narrow"/>
                <w:b/>
                <w:sz w:val="20"/>
                <w:szCs w:val="20"/>
              </w:rPr>
            </w:pPr>
            <w:r w:rsidRPr="00702AA9">
              <w:rPr>
                <w:rFonts w:ascii="Arial Narrow" w:hAnsi="Arial Narrow"/>
                <w:b/>
                <w:sz w:val="20"/>
                <w:szCs w:val="20"/>
              </w:rPr>
              <w:t>Rpts</w:t>
            </w:r>
          </w:p>
        </w:tc>
        <w:tc>
          <w:tcPr>
            <w:tcW w:w="853" w:type="pct"/>
            <w:tcBorders>
              <w:top w:val="nil"/>
              <w:left w:val="nil"/>
              <w:bottom w:val="single" w:sz="4" w:space="0" w:color="auto"/>
              <w:right w:val="nil"/>
            </w:tcBorders>
            <w:vAlign w:val="center"/>
          </w:tcPr>
          <w:p w:rsidR="00C41F2E" w:rsidRPr="00702AA9" w:rsidRDefault="00C41F2E" w:rsidP="007F70E2">
            <w:pPr>
              <w:keepNext/>
              <w:spacing w:before="40" w:after="40"/>
              <w:rPr>
                <w:rFonts w:ascii="Arial Narrow" w:hAnsi="Arial Narrow"/>
                <w:b/>
                <w:sz w:val="20"/>
                <w:szCs w:val="20"/>
              </w:rPr>
            </w:pPr>
          </w:p>
        </w:tc>
        <w:tc>
          <w:tcPr>
            <w:tcW w:w="1833" w:type="pct"/>
            <w:gridSpan w:val="2"/>
            <w:tcBorders>
              <w:top w:val="nil"/>
              <w:left w:val="nil"/>
              <w:bottom w:val="single" w:sz="4" w:space="0" w:color="auto"/>
              <w:right w:val="nil"/>
            </w:tcBorders>
            <w:vAlign w:val="center"/>
            <w:hideMark/>
          </w:tcPr>
          <w:p w:rsidR="00C41F2E" w:rsidRPr="00702AA9" w:rsidRDefault="00C41F2E" w:rsidP="007F70E2">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C41F2E" w:rsidRPr="00702AA9" w:rsidTr="00B03053">
        <w:trPr>
          <w:cantSplit/>
          <w:trHeight w:val="570"/>
        </w:trPr>
        <w:tc>
          <w:tcPr>
            <w:tcW w:w="1286" w:type="pct"/>
            <w:hideMark/>
          </w:tcPr>
          <w:p w:rsidR="00C41F2E" w:rsidRPr="00702AA9" w:rsidRDefault="00C41F2E" w:rsidP="007F70E2">
            <w:pPr>
              <w:keepNext/>
              <w:spacing w:before="40" w:after="40"/>
              <w:rPr>
                <w:rFonts w:ascii="Arial Narrow" w:hAnsi="Arial Narrow"/>
                <w:sz w:val="20"/>
                <w:szCs w:val="20"/>
              </w:rPr>
            </w:pPr>
            <w:r w:rsidRPr="00702AA9">
              <w:rPr>
                <w:rFonts w:ascii="Arial Narrow" w:hAnsi="Arial Narrow"/>
                <w:smallCaps/>
                <w:sz w:val="20"/>
                <w:szCs w:val="20"/>
              </w:rPr>
              <w:t>mepolizumab</w:t>
            </w:r>
          </w:p>
          <w:p w:rsidR="00C41F2E" w:rsidRPr="00702AA9" w:rsidRDefault="00C41F2E" w:rsidP="00DB130C">
            <w:pPr>
              <w:keepNext/>
              <w:spacing w:before="40" w:after="40"/>
              <w:rPr>
                <w:rFonts w:ascii="Arial Narrow" w:hAnsi="Arial Narrow"/>
                <w:sz w:val="20"/>
                <w:szCs w:val="20"/>
              </w:rPr>
            </w:pPr>
            <w:r w:rsidRPr="00702AA9">
              <w:rPr>
                <w:rFonts w:ascii="Arial Narrow" w:hAnsi="Arial Narrow"/>
                <w:sz w:val="20"/>
                <w:szCs w:val="20"/>
              </w:rPr>
              <w:t xml:space="preserve">100 mg injection, </w:t>
            </w:r>
            <w:r w:rsidR="00DB130C" w:rsidRPr="00702AA9">
              <w:rPr>
                <w:rFonts w:ascii="Arial Narrow" w:hAnsi="Arial Narrow"/>
                <w:sz w:val="20"/>
                <w:szCs w:val="20"/>
              </w:rPr>
              <w:t>1 vial</w:t>
            </w:r>
          </w:p>
        </w:tc>
        <w:tc>
          <w:tcPr>
            <w:tcW w:w="480" w:type="pct"/>
            <w:hideMark/>
          </w:tcPr>
          <w:p w:rsidR="00C41F2E" w:rsidRPr="00702AA9" w:rsidRDefault="00C41F2E" w:rsidP="007F70E2">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C41F2E" w:rsidRPr="00702AA9" w:rsidRDefault="00DB130C" w:rsidP="007F70E2">
            <w:pPr>
              <w:keepNext/>
              <w:spacing w:before="40" w:after="40"/>
              <w:rPr>
                <w:rFonts w:ascii="Arial Narrow" w:hAnsi="Arial Narrow"/>
                <w:sz w:val="20"/>
                <w:szCs w:val="20"/>
              </w:rPr>
            </w:pPr>
            <w:r w:rsidRPr="00702AA9">
              <w:rPr>
                <w:rFonts w:ascii="Arial Narrow" w:hAnsi="Arial Narrow"/>
                <w:sz w:val="20"/>
                <w:szCs w:val="20"/>
              </w:rPr>
              <w:t>7</w:t>
            </w:r>
          </w:p>
        </w:tc>
        <w:tc>
          <w:tcPr>
            <w:tcW w:w="853" w:type="pct"/>
          </w:tcPr>
          <w:p w:rsidR="00C41F2E" w:rsidRPr="00702AA9" w:rsidRDefault="00C41F2E" w:rsidP="007F70E2">
            <w:pPr>
              <w:keepNext/>
              <w:spacing w:before="40" w:after="40"/>
              <w:jc w:val="left"/>
              <w:rPr>
                <w:rFonts w:ascii="Arial Narrow" w:hAnsi="Arial Narrow"/>
                <w:sz w:val="20"/>
                <w:szCs w:val="20"/>
              </w:rPr>
            </w:pPr>
          </w:p>
        </w:tc>
        <w:tc>
          <w:tcPr>
            <w:tcW w:w="1614" w:type="pct"/>
            <w:hideMark/>
          </w:tcPr>
          <w:p w:rsidR="00C41F2E" w:rsidRPr="00702AA9" w:rsidRDefault="00DB130C" w:rsidP="007F70E2">
            <w:pPr>
              <w:keepNext/>
              <w:jc w:val="left"/>
              <w:rPr>
                <w:rFonts w:ascii="Arial Narrow" w:hAnsi="Arial Narrow"/>
                <w:sz w:val="20"/>
              </w:rPr>
            </w:pPr>
            <w:r w:rsidRPr="00702AA9">
              <w:rPr>
                <w:rFonts w:ascii="Arial Narrow" w:hAnsi="Arial Narrow"/>
                <w:sz w:val="20"/>
              </w:rPr>
              <w:t>Nucala</w:t>
            </w:r>
            <w:r w:rsidR="00C41F2E" w:rsidRPr="00702AA9">
              <w:rPr>
                <w:rFonts w:ascii="Arial Narrow" w:hAnsi="Arial Narrow"/>
                <w:sz w:val="20"/>
                <w:vertAlign w:val="superscript"/>
              </w:rPr>
              <w:t>®</w:t>
            </w:r>
          </w:p>
          <w:p w:rsidR="00C41F2E" w:rsidRPr="00702AA9" w:rsidRDefault="00DB130C" w:rsidP="007F70E2">
            <w:pPr>
              <w:keepNext/>
              <w:spacing w:before="40" w:after="40"/>
              <w:jc w:val="left"/>
              <w:rPr>
                <w:rFonts w:ascii="Arial Narrow" w:hAnsi="Arial Narrow"/>
                <w:sz w:val="20"/>
                <w:szCs w:val="20"/>
              </w:rPr>
            </w:pPr>
            <w:r w:rsidRPr="00702AA9">
              <w:rPr>
                <w:rFonts w:ascii="Arial Narrow" w:hAnsi="Arial Narrow"/>
                <w:sz w:val="20"/>
              </w:rPr>
              <w:t>GlaxoSmithKline Australia</w:t>
            </w:r>
            <w:r w:rsidR="00C41F2E" w:rsidRPr="00702AA9">
              <w:rPr>
                <w:rFonts w:ascii="Arial Narrow" w:hAnsi="Arial Narrow"/>
                <w:sz w:val="20"/>
              </w:rPr>
              <w:t xml:space="preserve"> Pty Ltd</w:t>
            </w:r>
          </w:p>
        </w:tc>
        <w:tc>
          <w:tcPr>
            <w:tcW w:w="219" w:type="pct"/>
          </w:tcPr>
          <w:p w:rsidR="00C41F2E" w:rsidRPr="00702AA9" w:rsidRDefault="00C41F2E" w:rsidP="007F70E2">
            <w:pPr>
              <w:keepNext/>
              <w:spacing w:before="40" w:after="40"/>
              <w:jc w:val="left"/>
              <w:rPr>
                <w:rFonts w:ascii="Arial Narrow" w:hAnsi="Arial Narrow"/>
                <w:sz w:val="20"/>
                <w:szCs w:val="20"/>
              </w:rPr>
            </w:pP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t>Initial treatment</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Restriction Level / Method:</w:t>
            </w:r>
          </w:p>
          <w:p w:rsidR="00C41F2E" w:rsidRPr="00702AA9" w:rsidRDefault="00C41F2E" w:rsidP="007F70E2">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C41F2E" w:rsidRPr="00702AA9" w:rsidRDefault="00C41F2E"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C41F2E" w:rsidRPr="00702AA9" w:rsidRDefault="00C41F2E" w:rsidP="007F70E2">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rPr>
                <w:rFonts w:ascii="Arial Narrow" w:hAnsi="Arial Narrow"/>
                <w:i/>
                <w:sz w:val="20"/>
              </w:rPr>
            </w:pPr>
            <w:r w:rsidRPr="00702AA9">
              <w:rPr>
                <w:rFonts w:ascii="Arial Narrow" w:hAnsi="Arial Narrow"/>
                <w:i/>
                <w:sz w:val="20"/>
              </w:rPr>
              <w:t xml:space="preserve">Patient must be </w:t>
            </w:r>
            <w:r w:rsidR="00CF3DAF" w:rsidRPr="00702AA9">
              <w:rPr>
                <w:rFonts w:ascii="Arial Narrow" w:hAnsi="Arial Narrow"/>
                <w:i/>
                <w:sz w:val="20"/>
              </w:rPr>
              <w:t xml:space="preserve">under the care of </w:t>
            </w:r>
            <w:r w:rsidR="00E628A1" w:rsidRPr="00702AA9">
              <w:rPr>
                <w:rFonts w:ascii="Arial Narrow" w:hAnsi="Arial Narrow"/>
                <w:i/>
                <w:sz w:val="20"/>
              </w:rPr>
              <w:t>the same physician</w:t>
            </w:r>
            <w:r w:rsidRPr="00702AA9">
              <w:rPr>
                <w:rFonts w:ascii="Arial Narrow" w:hAnsi="Arial Narrow"/>
                <w:i/>
                <w:sz w:val="20"/>
              </w:rPr>
              <w:t xml:space="preserve"> for at least </w:t>
            </w:r>
            <w:r w:rsidR="00E628A1" w:rsidRPr="00702AA9">
              <w:rPr>
                <w:rFonts w:ascii="Arial Narrow" w:hAnsi="Arial Narrow"/>
                <w:i/>
                <w:strike/>
                <w:sz w:val="20"/>
              </w:rPr>
              <w:t>12</w:t>
            </w:r>
            <w:r w:rsidR="00E628A1" w:rsidRPr="00702AA9">
              <w:rPr>
                <w:rFonts w:ascii="Arial Narrow" w:hAnsi="Arial Narrow"/>
                <w:i/>
                <w:sz w:val="20"/>
              </w:rPr>
              <w:t xml:space="preserve"> </w:t>
            </w:r>
            <w:r w:rsidRPr="00702AA9">
              <w:rPr>
                <w:rFonts w:ascii="Arial Narrow" w:hAnsi="Arial Narrow"/>
                <w:i/>
                <w:sz w:val="20"/>
              </w:rPr>
              <w:t>6 months,</w:t>
            </w:r>
          </w:p>
          <w:p w:rsidR="00C41F2E" w:rsidRPr="00702AA9" w:rsidRDefault="00C41F2E" w:rsidP="007F70E2">
            <w:pPr>
              <w:rPr>
                <w:rFonts w:ascii="Arial Narrow" w:hAnsi="Arial Narrow"/>
                <w:i/>
                <w:sz w:val="20"/>
              </w:rPr>
            </w:pPr>
            <w:r w:rsidRPr="00702AA9">
              <w:rPr>
                <w:rFonts w:ascii="Arial Narrow" w:hAnsi="Arial Narrow"/>
                <w:i/>
                <w:sz w:val="20"/>
              </w:rPr>
              <w:t>OR</w:t>
            </w:r>
          </w:p>
          <w:p w:rsidR="00C41F2E" w:rsidRPr="00702AA9" w:rsidRDefault="006521F9" w:rsidP="007F70E2">
            <w:pPr>
              <w:rPr>
                <w:rFonts w:ascii="Arial Narrow" w:hAnsi="Arial Narrow"/>
                <w:i/>
                <w:sz w:val="20"/>
                <w:szCs w:val="24"/>
              </w:rPr>
            </w:pPr>
            <w:r w:rsidRPr="00702AA9">
              <w:rPr>
                <w:rFonts w:ascii="Arial Narrow" w:hAnsi="Arial Narrow"/>
                <w:i/>
                <w:sz w:val="20"/>
              </w:rPr>
              <w:t>Patient must have been diagnosed by a multidisciplinary severe asthma clinic team</w:t>
            </w:r>
          </w:p>
          <w:p w:rsidR="00C41F2E" w:rsidRPr="00702AA9" w:rsidRDefault="00C41F2E" w:rsidP="007F70E2">
            <w:pPr>
              <w:rPr>
                <w:rFonts w:ascii="Arial Narrow" w:hAnsi="Arial Narrow"/>
                <w:sz w:val="20"/>
              </w:rPr>
            </w:pPr>
            <w:r w:rsidRPr="00702AA9">
              <w:rPr>
                <w:rFonts w:ascii="Arial Narrow" w:hAnsi="Arial Narrow"/>
                <w:sz w:val="20"/>
              </w:rPr>
              <w:t>AND</w:t>
            </w:r>
          </w:p>
          <w:p w:rsidR="00C41F2E" w:rsidRPr="00702AA9" w:rsidRDefault="00C41F2E" w:rsidP="007F70E2">
            <w:pPr>
              <w:rPr>
                <w:rFonts w:ascii="Arial Narrow" w:hAnsi="Arial Narrow"/>
                <w:sz w:val="20"/>
              </w:rPr>
            </w:pPr>
            <w:r w:rsidRPr="00702AA9">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C41F2E" w:rsidRPr="00702AA9" w:rsidRDefault="00C41F2E" w:rsidP="007F70E2">
            <w:pPr>
              <w:rPr>
                <w:rFonts w:ascii="Arial Narrow" w:hAnsi="Arial Narrow"/>
                <w:sz w:val="20"/>
              </w:rPr>
            </w:pPr>
            <w:r w:rsidRPr="00702AA9">
              <w:rPr>
                <w:rFonts w:ascii="Arial Narrow" w:hAnsi="Arial Narrow"/>
                <w:sz w:val="20"/>
              </w:rPr>
              <w:t>AND</w:t>
            </w:r>
          </w:p>
          <w:p w:rsidR="00C41F2E" w:rsidRPr="00702AA9" w:rsidRDefault="00C41F2E" w:rsidP="007F70E2">
            <w:pPr>
              <w:rPr>
                <w:rFonts w:ascii="Arial Narrow" w:hAnsi="Arial Narrow"/>
                <w:sz w:val="20"/>
              </w:rPr>
            </w:pPr>
            <w:r w:rsidRPr="00702AA9">
              <w:rPr>
                <w:rFonts w:ascii="Arial Narrow" w:hAnsi="Arial Narrow"/>
                <w:sz w:val="20"/>
              </w:rPr>
              <w:t>Patient must have a duration of asthma of at least 1 year,</w:t>
            </w:r>
          </w:p>
          <w:p w:rsidR="00C41F2E" w:rsidRPr="00702AA9" w:rsidRDefault="00C41F2E" w:rsidP="007F70E2">
            <w:pPr>
              <w:rPr>
                <w:rFonts w:ascii="Arial Narrow" w:hAnsi="Arial Narrow"/>
                <w:sz w:val="20"/>
              </w:rPr>
            </w:pPr>
            <w:r w:rsidRPr="00702AA9">
              <w:rPr>
                <w:rFonts w:ascii="Arial Narrow" w:hAnsi="Arial Narrow"/>
                <w:sz w:val="20"/>
              </w:rPr>
              <w:t>AND</w:t>
            </w:r>
          </w:p>
          <w:p w:rsidR="00C41F2E" w:rsidRPr="00702AA9" w:rsidRDefault="00C41F2E" w:rsidP="007F70E2">
            <w:pPr>
              <w:rPr>
                <w:rFonts w:ascii="Arial Narrow" w:hAnsi="Arial Narrow"/>
                <w:sz w:val="20"/>
              </w:rPr>
            </w:pPr>
            <w:r w:rsidRPr="00702AA9">
              <w:rPr>
                <w:rFonts w:ascii="Arial Narrow" w:hAnsi="Arial Narrow"/>
                <w:sz w:val="20"/>
              </w:rPr>
              <w:t xml:space="preserve">Patient must have forced expiratory volume (FEV1) less than or equal to 80% predicted, documented on 1 or more occasions in the previous 12 months, </w:t>
            </w:r>
          </w:p>
          <w:p w:rsidR="00C41F2E" w:rsidRPr="00702AA9" w:rsidRDefault="00C41F2E" w:rsidP="007F70E2">
            <w:pPr>
              <w:rPr>
                <w:rFonts w:ascii="Arial Narrow" w:hAnsi="Arial Narrow"/>
                <w:sz w:val="20"/>
              </w:rPr>
            </w:pPr>
            <w:r w:rsidRPr="00702AA9">
              <w:rPr>
                <w:rFonts w:ascii="Arial Narrow" w:hAnsi="Arial Narrow"/>
                <w:sz w:val="20"/>
              </w:rPr>
              <w:t>AND</w:t>
            </w:r>
          </w:p>
          <w:p w:rsidR="00C41F2E" w:rsidRPr="00702AA9" w:rsidRDefault="00C41F2E" w:rsidP="007F70E2">
            <w:pPr>
              <w:rPr>
                <w:rFonts w:ascii="Arial Narrow" w:hAnsi="Arial Narrow"/>
                <w:sz w:val="20"/>
              </w:rPr>
            </w:pPr>
            <w:r w:rsidRPr="00702AA9">
              <w:rPr>
                <w:rFonts w:ascii="Arial Narrow" w:hAnsi="Arial Narrow"/>
                <w:sz w:val="20"/>
              </w:rPr>
              <w:t xml:space="preserve">Patient must have blood eosinophil count greater than or equal to 300 cells per microlitre in the last 12 months, </w:t>
            </w:r>
          </w:p>
          <w:p w:rsidR="00C41F2E" w:rsidRPr="00702AA9" w:rsidRDefault="00C41F2E" w:rsidP="007F70E2">
            <w:pPr>
              <w:rPr>
                <w:rFonts w:ascii="Arial Narrow" w:hAnsi="Arial Narrow"/>
                <w:strike/>
                <w:sz w:val="20"/>
              </w:rPr>
            </w:pPr>
            <w:r w:rsidRPr="00702AA9">
              <w:rPr>
                <w:rFonts w:ascii="Arial Narrow" w:hAnsi="Arial Narrow"/>
                <w:strike/>
                <w:sz w:val="20"/>
              </w:rPr>
              <w:t>AND</w:t>
            </w:r>
          </w:p>
          <w:p w:rsidR="00C41F2E" w:rsidRPr="00702AA9" w:rsidRDefault="00C41F2E" w:rsidP="007F70E2">
            <w:pPr>
              <w:rPr>
                <w:rFonts w:ascii="Arial Narrow" w:hAnsi="Arial Narrow"/>
                <w:strike/>
                <w:sz w:val="20"/>
              </w:rPr>
            </w:pPr>
            <w:r w:rsidRPr="00702AA9">
              <w:rPr>
                <w:rFonts w:ascii="Arial Narrow" w:hAnsi="Arial Narrow"/>
                <w:strike/>
                <w:sz w:val="20"/>
              </w:rPr>
              <w:t xml:space="preserve">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 </w:t>
            </w:r>
          </w:p>
          <w:p w:rsidR="00C41F2E" w:rsidRPr="00702AA9" w:rsidRDefault="00C41F2E" w:rsidP="007F70E2">
            <w:pPr>
              <w:rPr>
                <w:rFonts w:ascii="Arial Narrow" w:hAnsi="Arial Narrow"/>
                <w:sz w:val="20"/>
              </w:rPr>
            </w:pPr>
            <w:r w:rsidRPr="00702AA9">
              <w:rPr>
                <w:rFonts w:ascii="Arial Narrow" w:hAnsi="Arial Narrow"/>
                <w:sz w:val="20"/>
              </w:rPr>
              <w:t>AND</w:t>
            </w:r>
          </w:p>
          <w:p w:rsidR="00C41F2E" w:rsidRPr="00702AA9" w:rsidRDefault="00C41F2E" w:rsidP="007F70E2">
            <w:pPr>
              <w:rPr>
                <w:rFonts w:ascii="Arial Narrow" w:hAnsi="Arial Narrow"/>
                <w:sz w:val="20"/>
              </w:rPr>
            </w:pPr>
            <w:r w:rsidRPr="00702AA9">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C41F2E" w:rsidRPr="00702AA9" w:rsidRDefault="00C41F2E" w:rsidP="007F70E2">
            <w:pPr>
              <w:rPr>
                <w:rFonts w:ascii="Arial Narrow" w:hAnsi="Arial Narrow"/>
                <w:sz w:val="20"/>
              </w:rPr>
            </w:pPr>
            <w:r w:rsidRPr="00702AA9">
              <w:rPr>
                <w:rFonts w:ascii="Arial Narrow" w:hAnsi="Arial Narrow"/>
                <w:sz w:val="20"/>
              </w:rPr>
              <w:t>AND</w:t>
            </w:r>
          </w:p>
          <w:p w:rsidR="00C41F2E" w:rsidRPr="00702AA9" w:rsidRDefault="00C41F2E" w:rsidP="00DB130C">
            <w:pPr>
              <w:spacing w:before="40" w:after="40"/>
              <w:rPr>
                <w:rFonts w:ascii="Arial Narrow" w:hAnsi="Arial Narrow"/>
                <w:sz w:val="20"/>
                <w:szCs w:val="20"/>
              </w:rPr>
            </w:pPr>
            <w:r w:rsidRPr="00702AA9">
              <w:rPr>
                <w:rFonts w:ascii="Arial Narrow" w:hAnsi="Arial Narrow"/>
                <w:sz w:val="20"/>
              </w:rPr>
              <w:t xml:space="preserve">The treatment must not be used in combination with, or within 6 months of treatment with, PBS-subsidised omalizumab </w:t>
            </w:r>
            <w:r w:rsidRPr="00702AA9">
              <w:rPr>
                <w:rFonts w:ascii="Arial Narrow" w:hAnsi="Arial Narrow"/>
                <w:i/>
                <w:sz w:val="20"/>
              </w:rPr>
              <w:t xml:space="preserve">or </w:t>
            </w:r>
            <w:r w:rsidR="00DB130C" w:rsidRPr="00702AA9">
              <w:rPr>
                <w:rFonts w:ascii="Arial Narrow" w:hAnsi="Arial Narrow"/>
                <w:i/>
                <w:sz w:val="20"/>
              </w:rPr>
              <w:t>benralizumab</w:t>
            </w:r>
            <w:r w:rsidRPr="00702AA9">
              <w:rPr>
                <w:rFonts w:ascii="Arial Narrow" w:hAnsi="Arial Narrow"/>
                <w:sz w:val="20"/>
              </w:rPr>
              <w:t>.</w:t>
            </w:r>
          </w:p>
        </w:tc>
      </w:tr>
      <w:tr w:rsidR="00C41F2E"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C41F2E" w:rsidRPr="00702AA9" w:rsidRDefault="00C41F2E" w:rsidP="007F70E2">
            <w:pPr>
              <w:rPr>
                <w:rFonts w:ascii="Arial Narrow" w:hAnsi="Arial Narrow"/>
                <w:sz w:val="20"/>
              </w:rPr>
            </w:pPr>
            <w:r w:rsidRPr="00702AA9">
              <w:rPr>
                <w:rFonts w:ascii="Arial Narrow" w:hAnsi="Arial Narrow"/>
                <w:sz w:val="20"/>
              </w:rPr>
              <w:t>Patient must be aged 12 years or older.</w:t>
            </w:r>
          </w:p>
        </w:tc>
      </w:tr>
      <w:tr w:rsidR="00C41F2E" w:rsidRPr="00702AA9" w:rsidTr="00B03053">
        <w:trPr>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B03053">
            <w:pPr>
              <w:spacing w:before="40" w:after="40"/>
              <w:rPr>
                <w:rFonts w:ascii="Arial Narrow" w:hAnsi="Arial Narrow"/>
                <w:sz w:val="20"/>
              </w:rPr>
            </w:pPr>
            <w:r w:rsidRPr="00702AA9">
              <w:rPr>
                <w:rFonts w:ascii="Arial Narrow" w:hAnsi="Arial Narrow"/>
                <w:sz w:val="20"/>
              </w:rPr>
              <w:t>Optimised asthma therapy includes:</w:t>
            </w:r>
          </w:p>
          <w:p w:rsidR="00C41F2E" w:rsidRPr="00702AA9" w:rsidRDefault="00C41F2E" w:rsidP="00B03053">
            <w:pPr>
              <w:spacing w:before="40" w:after="40"/>
              <w:rPr>
                <w:rFonts w:ascii="Arial Narrow" w:hAnsi="Arial Narrow"/>
                <w:sz w:val="20"/>
              </w:rPr>
            </w:pPr>
            <w:r w:rsidRPr="00702AA9">
              <w:rPr>
                <w:rFonts w:ascii="Arial Narrow" w:hAnsi="Arial Narrow"/>
                <w:sz w:val="20"/>
              </w:rPr>
              <w:t>(i) Adherence to maximal inhaled therapy, including high dose inhaled corticosteroid (ICS) plus long-acting beta-2 agonist (LABA) therapy for at least 12 months, unless contraindicated or not tolerated;</w:t>
            </w:r>
          </w:p>
          <w:p w:rsidR="00C41F2E" w:rsidRPr="00702AA9" w:rsidRDefault="00C41F2E" w:rsidP="00B03053">
            <w:pPr>
              <w:spacing w:before="40" w:after="40"/>
              <w:rPr>
                <w:rFonts w:ascii="Arial Narrow" w:hAnsi="Arial Narrow"/>
                <w:sz w:val="20"/>
              </w:rPr>
            </w:pPr>
            <w:r w:rsidRPr="00702AA9">
              <w:rPr>
                <w:rFonts w:ascii="Arial Narrow" w:hAnsi="Arial Narrow"/>
                <w:sz w:val="20"/>
              </w:rPr>
              <w:t>AND</w:t>
            </w:r>
          </w:p>
          <w:p w:rsidR="00C41F2E" w:rsidRPr="00702AA9" w:rsidRDefault="00C41F2E" w:rsidP="00B03053">
            <w:pPr>
              <w:spacing w:before="40" w:after="40"/>
              <w:rPr>
                <w:rFonts w:ascii="Arial Narrow" w:hAnsi="Arial Narrow"/>
                <w:sz w:val="20"/>
              </w:rPr>
            </w:pPr>
            <w:r w:rsidRPr="00702AA9">
              <w:rPr>
                <w:rFonts w:ascii="Arial Narrow" w:hAnsi="Arial Narrow"/>
                <w:sz w:val="20"/>
              </w:rPr>
              <w:t>(ii) treatment with oral corticosteroids, either daily oral corticosteroids for at least 6 weeks, OR a cumulative dose of oral corticosteroids of at least 500 mg prednisolone equivalent in the previous 12 months, unless contraindicated or not tolerated.</w:t>
            </w:r>
          </w:p>
          <w:p w:rsidR="00C41F2E" w:rsidRPr="00702AA9" w:rsidRDefault="00C41F2E" w:rsidP="00B03053">
            <w:pPr>
              <w:spacing w:before="40" w:after="40"/>
              <w:rPr>
                <w:rFonts w:ascii="Arial Narrow" w:hAnsi="Arial Narrow"/>
                <w:sz w:val="20"/>
              </w:rPr>
            </w:pPr>
            <w:r w:rsidRPr="00702AA9">
              <w:rPr>
                <w:rFonts w:ascii="Arial Narrow" w:hAnsi="Arial Narrow"/>
                <w:sz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C41F2E" w:rsidRPr="00702AA9" w:rsidRDefault="00C41F2E" w:rsidP="00B03053">
            <w:pPr>
              <w:spacing w:before="40" w:after="40"/>
              <w:rPr>
                <w:rFonts w:ascii="Arial Narrow" w:hAnsi="Arial Narrow"/>
                <w:sz w:val="20"/>
              </w:rPr>
            </w:pPr>
            <w:r w:rsidRPr="00702AA9">
              <w:rPr>
                <w:rFonts w:ascii="Arial Narrow" w:hAnsi="Arial Narrow"/>
                <w:sz w:val="20"/>
              </w:rPr>
              <w:t>The following initiation criteria indicate failure to achieve adequate control and must be demonstrated in all patients at the time of the application:</w:t>
            </w:r>
          </w:p>
          <w:p w:rsidR="00C41F2E" w:rsidRPr="00702AA9" w:rsidRDefault="00C41F2E" w:rsidP="00B03053">
            <w:pPr>
              <w:spacing w:before="40" w:after="40"/>
              <w:rPr>
                <w:rFonts w:ascii="Arial Narrow" w:hAnsi="Arial Narrow"/>
                <w:sz w:val="20"/>
              </w:rPr>
            </w:pPr>
            <w:r w:rsidRPr="00702AA9">
              <w:rPr>
                <w:rFonts w:ascii="Arial Narrow" w:hAnsi="Arial Narrow"/>
                <w:sz w:val="20"/>
              </w:rPr>
              <w:t>(a) an Asthma Control Questionnaire (ACQ-5) score of at least 2.0, as assessed in the previous month, AND</w:t>
            </w:r>
          </w:p>
          <w:p w:rsidR="00C41F2E" w:rsidRPr="00702AA9" w:rsidRDefault="00C41F2E" w:rsidP="00B03053">
            <w:pPr>
              <w:spacing w:before="40" w:after="40"/>
              <w:rPr>
                <w:rFonts w:ascii="Arial Narrow" w:hAnsi="Arial Narrow"/>
                <w:sz w:val="20"/>
              </w:rPr>
            </w:pPr>
            <w:r w:rsidRPr="00702AA9">
              <w:rPr>
                <w:rFonts w:ascii="Arial Narrow" w:hAnsi="Arial Narrow"/>
                <w:sz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C41F2E" w:rsidRPr="00702AA9" w:rsidRDefault="00C41F2E" w:rsidP="00B03053">
            <w:pPr>
              <w:spacing w:before="40" w:after="40"/>
              <w:rPr>
                <w:rFonts w:ascii="Arial Narrow" w:hAnsi="Arial Narrow"/>
                <w:sz w:val="20"/>
              </w:rPr>
            </w:pPr>
            <w:r w:rsidRPr="00702AA9">
              <w:rPr>
                <w:rFonts w:ascii="Arial Narrow" w:hAnsi="Arial Narrow"/>
                <w:sz w:val="20"/>
              </w:rPr>
              <w:t>The Asthma Control Questionnaire (5 item version) assessment of the patient must be made at time of application for treatment (to establish baseline score) and again around 26 to 30 weeks after the first dose so that there is adequate time for a response to be demonstrated and for the application for continuing therapy to be processed.</w:t>
            </w:r>
          </w:p>
          <w:p w:rsidR="00C41F2E" w:rsidRPr="00702AA9" w:rsidRDefault="00C41F2E" w:rsidP="00B03053">
            <w:pPr>
              <w:spacing w:before="40" w:after="40"/>
              <w:rPr>
                <w:rFonts w:ascii="Arial Narrow" w:hAnsi="Arial Narrow"/>
                <w:sz w:val="20"/>
              </w:rPr>
            </w:pPr>
            <w:r w:rsidRPr="00702AA9">
              <w:rPr>
                <w:rFonts w:ascii="Arial Narrow" w:hAnsi="Arial Narrow"/>
                <w:sz w:val="20"/>
              </w:rPr>
              <w:t>This assessment at around 26 to 30 weeks,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benralizumab.</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A patient who fails to respond to a course of PBS-subsidised </w:t>
            </w:r>
            <w:r w:rsidR="005E4A46" w:rsidRPr="00702AA9">
              <w:rPr>
                <w:rFonts w:ascii="Arial Narrow" w:hAnsi="Arial Narrow"/>
                <w:sz w:val="20"/>
              </w:rPr>
              <w:t>mepolizumab</w:t>
            </w:r>
            <w:r w:rsidRPr="00702AA9">
              <w:rPr>
                <w:rFonts w:ascii="Arial Narrow" w:hAnsi="Arial Narrow"/>
                <w:sz w:val="20"/>
              </w:rPr>
              <w:t xml:space="preserve"> for the treatment of uncontrolled severe eosinophilic asthma will not be eligible to receive further PBS-subsidised treatment with</w:t>
            </w:r>
            <w:r w:rsidR="005E4A46" w:rsidRPr="00702AA9">
              <w:rPr>
                <w:rFonts w:ascii="Arial Narrow" w:hAnsi="Arial Narrow"/>
                <w:sz w:val="20"/>
              </w:rPr>
              <w:t xml:space="preserve"> </w:t>
            </w:r>
            <w:r w:rsidRPr="00702AA9">
              <w:rPr>
                <w:rFonts w:ascii="Arial Narrow" w:hAnsi="Arial Narrow"/>
                <w:sz w:val="20"/>
              </w:rPr>
              <w:t>mepolizumab</w:t>
            </w:r>
            <w:r w:rsidR="005E4A46" w:rsidRPr="00702AA9">
              <w:rPr>
                <w:rFonts w:ascii="Arial Narrow" w:hAnsi="Arial Narrow"/>
                <w:i/>
                <w:sz w:val="20"/>
              </w:rPr>
              <w:t>, benralizumab</w:t>
            </w:r>
            <w:r w:rsidRPr="00702AA9">
              <w:rPr>
                <w:rFonts w:ascii="Arial Narrow" w:hAnsi="Arial Narrow"/>
                <w:sz w:val="20"/>
              </w:rPr>
              <w:t xml:space="preserve"> or omalizumab within 6 months of the date on which treatment was ceased.</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At the time of the authority application, medical practitioners should request </w:t>
            </w:r>
            <w:r w:rsidR="005E4A46" w:rsidRPr="00702AA9">
              <w:rPr>
                <w:rFonts w:ascii="Arial Narrow" w:hAnsi="Arial Narrow"/>
                <w:sz w:val="20"/>
              </w:rPr>
              <w:t>7</w:t>
            </w:r>
            <w:r w:rsidRPr="00702AA9">
              <w:rPr>
                <w:rFonts w:ascii="Arial Narrow" w:hAnsi="Arial Narrow"/>
                <w:sz w:val="20"/>
              </w:rPr>
              <w:t xml:space="preserve"> repeats to provide for an initial course of </w:t>
            </w:r>
            <w:r w:rsidR="005E4A46" w:rsidRPr="00702AA9">
              <w:rPr>
                <w:rFonts w:ascii="Arial Narrow" w:hAnsi="Arial Narrow"/>
                <w:sz w:val="20"/>
              </w:rPr>
              <w:t>mepolizumab</w:t>
            </w:r>
            <w:r w:rsidRPr="00702AA9">
              <w:rPr>
                <w:rFonts w:ascii="Arial Narrow" w:hAnsi="Arial Narrow"/>
                <w:sz w:val="20"/>
              </w:rPr>
              <w:t xml:space="preserve"> sufficient for 32 weeks of therapy.</w:t>
            </w:r>
          </w:p>
          <w:p w:rsidR="00625F3F" w:rsidRPr="00702AA9" w:rsidRDefault="00625F3F" w:rsidP="00B03053">
            <w:pPr>
              <w:spacing w:before="40" w:after="40"/>
              <w:rPr>
                <w:rFonts w:ascii="Arial Narrow" w:hAnsi="Arial Narrow"/>
                <w:i/>
                <w:sz w:val="20"/>
              </w:rPr>
            </w:pPr>
            <w:r w:rsidRPr="00702AA9">
              <w:rPr>
                <w:rFonts w:ascii="Arial Narrow" w:hAnsi="Arial Narrow"/>
                <w:i/>
                <w:sz w:val="20"/>
              </w:rPr>
              <w:t>A multidisciplinary severe asthma clinic team comprises of:</w:t>
            </w:r>
          </w:p>
          <w:p w:rsidR="00625F3F" w:rsidRPr="00702AA9" w:rsidRDefault="00625F3F" w:rsidP="00B03053">
            <w:pPr>
              <w:pStyle w:val="ListParagraph"/>
              <w:numPr>
                <w:ilvl w:val="0"/>
                <w:numId w:val="2"/>
              </w:numPr>
              <w:spacing w:before="40" w:after="40"/>
              <w:rPr>
                <w:rFonts w:ascii="Arial Narrow" w:hAnsi="Arial Narrow"/>
                <w:i/>
                <w:sz w:val="20"/>
              </w:rPr>
            </w:pPr>
            <w:r w:rsidRPr="00702AA9">
              <w:rPr>
                <w:rFonts w:ascii="Arial Narrow" w:hAnsi="Arial Narrow"/>
                <w:i/>
                <w:sz w:val="20"/>
              </w:rPr>
              <w:t xml:space="preserve">A respiratory physician; and </w:t>
            </w:r>
          </w:p>
          <w:p w:rsidR="00625F3F" w:rsidRPr="00702AA9" w:rsidRDefault="00625F3F" w:rsidP="00B03053">
            <w:pPr>
              <w:pStyle w:val="ListParagraph"/>
              <w:numPr>
                <w:ilvl w:val="0"/>
                <w:numId w:val="2"/>
              </w:numPr>
              <w:spacing w:before="40" w:after="40"/>
              <w:rPr>
                <w:rFonts w:ascii="Arial Narrow" w:hAnsi="Arial Narrow"/>
                <w:i/>
                <w:sz w:val="20"/>
              </w:rPr>
            </w:pPr>
            <w:r w:rsidRPr="00702AA9">
              <w:rPr>
                <w:rFonts w:ascii="Arial Narrow" w:hAnsi="Arial Narrow"/>
                <w:i/>
                <w:sz w:val="20"/>
              </w:rPr>
              <w:t>A pharmacist, nurse or asthma educator.</w:t>
            </w:r>
          </w:p>
          <w:p w:rsidR="00C41F2E" w:rsidRPr="00702AA9" w:rsidRDefault="005E4A46" w:rsidP="00B03053">
            <w:pPr>
              <w:spacing w:before="40" w:after="40"/>
              <w:rPr>
                <w:rFonts w:ascii="Arial Narrow" w:hAnsi="Arial Narrow"/>
                <w:sz w:val="20"/>
              </w:rPr>
            </w:pPr>
            <w:r w:rsidRPr="00702AA9">
              <w:rPr>
                <w:rFonts w:ascii="Arial Narrow" w:hAnsi="Arial Narrow"/>
                <w:sz w:val="20"/>
              </w:rPr>
              <w:t>Mepolizumab</w:t>
            </w:r>
            <w:r w:rsidR="00C41F2E" w:rsidRPr="00702AA9">
              <w:rPr>
                <w:rFonts w:ascii="Arial Narrow" w:hAnsi="Arial Narrow"/>
                <w:sz w:val="20"/>
              </w:rPr>
              <w:t xml:space="preserve"> </w:t>
            </w:r>
            <w:r w:rsidRPr="00702AA9">
              <w:rPr>
                <w:rFonts w:ascii="Arial Narrow" w:hAnsi="Arial Narrow"/>
                <w:strike/>
                <w:sz w:val="20"/>
              </w:rPr>
              <w:t xml:space="preserve">and </w:t>
            </w:r>
            <w:r w:rsidR="00C41F2E" w:rsidRPr="00702AA9">
              <w:rPr>
                <w:rFonts w:ascii="Arial Narrow" w:hAnsi="Arial Narrow"/>
                <w:strike/>
                <w:sz w:val="20"/>
              </w:rPr>
              <w:t>omalizumab</w:t>
            </w:r>
            <w:r w:rsidRPr="00702AA9">
              <w:rPr>
                <w:rFonts w:ascii="Arial Narrow" w:hAnsi="Arial Narrow"/>
                <w:sz w:val="20"/>
              </w:rPr>
              <w:t xml:space="preserve"> may not be used concurrently </w:t>
            </w:r>
            <w:r w:rsidRPr="00702AA9">
              <w:rPr>
                <w:rFonts w:ascii="Arial Narrow" w:hAnsi="Arial Narrow"/>
                <w:i/>
                <w:sz w:val="20"/>
              </w:rPr>
              <w:t xml:space="preserve">with benralizumab or </w:t>
            </w:r>
            <w:r w:rsidR="002F6364" w:rsidRPr="00702AA9">
              <w:rPr>
                <w:rFonts w:ascii="Arial Narrow" w:hAnsi="Arial Narrow"/>
                <w:i/>
                <w:sz w:val="20"/>
              </w:rPr>
              <w:t>oma</w:t>
            </w:r>
            <w:r w:rsidRPr="00702AA9">
              <w:rPr>
                <w:rFonts w:ascii="Arial Narrow" w:hAnsi="Arial Narrow"/>
                <w:i/>
                <w:sz w:val="20"/>
              </w:rPr>
              <w:t>lizumab,</w:t>
            </w:r>
            <w:r w:rsidRPr="00702AA9">
              <w:rPr>
                <w:rFonts w:ascii="Arial Narrow" w:hAnsi="Arial Narrow"/>
                <w:sz w:val="20"/>
              </w:rPr>
              <w:t xml:space="preserve"> </w:t>
            </w:r>
            <w:r w:rsidR="00C41F2E" w:rsidRPr="00702AA9">
              <w:rPr>
                <w:rFonts w:ascii="Arial Narrow" w:hAnsi="Arial Narrow"/>
                <w:sz w:val="20"/>
              </w:rPr>
              <w:t xml:space="preserve">or within 6 months of each other. A patient is required to have ceased treatment with </w:t>
            </w:r>
            <w:r w:rsidRPr="00702AA9">
              <w:rPr>
                <w:rFonts w:ascii="Arial Narrow" w:hAnsi="Arial Narrow"/>
                <w:i/>
                <w:sz w:val="20"/>
              </w:rPr>
              <w:t>benralizumab</w:t>
            </w:r>
            <w:r w:rsidR="00C41F2E" w:rsidRPr="00702AA9">
              <w:rPr>
                <w:rFonts w:ascii="Arial Narrow" w:hAnsi="Arial Narrow"/>
                <w:i/>
                <w:sz w:val="20"/>
              </w:rPr>
              <w:t xml:space="preserve"> or</w:t>
            </w:r>
            <w:r w:rsidR="00C41F2E" w:rsidRPr="00702AA9">
              <w:rPr>
                <w:rFonts w:ascii="Arial Narrow" w:hAnsi="Arial Narrow"/>
                <w:sz w:val="20"/>
              </w:rPr>
              <w:t xml:space="preserve"> omalizumab for 6 months prior to initiating treatment with </w:t>
            </w:r>
            <w:r w:rsidRPr="00702AA9">
              <w:rPr>
                <w:rFonts w:ascii="Arial Narrow" w:hAnsi="Arial Narrow"/>
                <w:sz w:val="20"/>
              </w:rPr>
              <w:t>mepolizumab</w:t>
            </w:r>
            <w:r w:rsidR="00C41F2E" w:rsidRPr="00702AA9">
              <w:rPr>
                <w:rFonts w:ascii="Arial Narrow" w:hAnsi="Arial Narrow"/>
                <w:sz w:val="20"/>
              </w:rPr>
              <w:t>.</w:t>
            </w:r>
          </w:p>
          <w:p w:rsidR="00C41F2E" w:rsidRPr="00702AA9" w:rsidRDefault="00C41F2E" w:rsidP="00B03053">
            <w:pPr>
              <w:spacing w:before="40" w:after="40"/>
              <w:rPr>
                <w:rFonts w:ascii="Arial Narrow" w:hAnsi="Arial Narrow"/>
                <w:sz w:val="20"/>
              </w:rPr>
            </w:pPr>
            <w:r w:rsidRPr="00702AA9">
              <w:rPr>
                <w:rFonts w:ascii="Arial Narrow" w:hAnsi="Arial Narrow"/>
                <w:sz w:val="20"/>
              </w:rPr>
              <w:t>The authority application must be made in writing and must include:</w:t>
            </w:r>
          </w:p>
          <w:p w:rsidR="00C41F2E" w:rsidRPr="00702AA9" w:rsidRDefault="00C41F2E" w:rsidP="00B03053">
            <w:pPr>
              <w:spacing w:before="40" w:after="40"/>
              <w:rPr>
                <w:rFonts w:ascii="Arial Narrow" w:hAnsi="Arial Narrow"/>
                <w:sz w:val="20"/>
              </w:rPr>
            </w:pPr>
            <w:r w:rsidRPr="00702AA9">
              <w:rPr>
                <w:rFonts w:ascii="Arial Narrow" w:hAnsi="Arial Narrow"/>
                <w:sz w:val="20"/>
              </w:rPr>
              <w:t>(a) a completed authority prescription form; and</w:t>
            </w:r>
          </w:p>
          <w:p w:rsidR="00C41F2E" w:rsidRPr="00702AA9" w:rsidRDefault="00C41F2E" w:rsidP="00B03053">
            <w:pPr>
              <w:spacing w:before="40" w:after="40"/>
              <w:rPr>
                <w:rFonts w:ascii="Arial Narrow" w:hAnsi="Arial Narrow"/>
                <w:sz w:val="20"/>
              </w:rPr>
            </w:pPr>
            <w:r w:rsidRPr="00702AA9">
              <w:rPr>
                <w:rFonts w:ascii="Arial Narrow" w:hAnsi="Arial Narrow"/>
                <w:sz w:val="20"/>
              </w:rPr>
              <w:t>(b) a completed Severe Eosinophilic Asthma Initial PBS Authority Application - Supporting Information Form,</w:t>
            </w:r>
          </w:p>
          <w:p w:rsidR="00C41F2E" w:rsidRPr="00702AA9" w:rsidRDefault="00C41F2E" w:rsidP="00B03053">
            <w:pPr>
              <w:spacing w:before="40" w:after="40"/>
              <w:rPr>
                <w:rFonts w:ascii="Arial Narrow" w:hAnsi="Arial Narrow"/>
                <w:sz w:val="20"/>
              </w:rPr>
            </w:pPr>
            <w:r w:rsidRPr="00702AA9">
              <w:rPr>
                <w:rFonts w:ascii="Arial Narrow" w:hAnsi="Arial Narrow"/>
                <w:sz w:val="20"/>
              </w:rPr>
              <w:t>which includes the following:</w:t>
            </w:r>
          </w:p>
          <w:p w:rsidR="00C41F2E" w:rsidRPr="00702AA9" w:rsidRDefault="00C41F2E" w:rsidP="00B03053">
            <w:pPr>
              <w:spacing w:before="40" w:after="40"/>
              <w:rPr>
                <w:rFonts w:ascii="Arial Narrow" w:hAnsi="Arial Narrow"/>
                <w:sz w:val="20"/>
              </w:rPr>
            </w:pPr>
            <w:r w:rsidRPr="00702AA9">
              <w:rPr>
                <w:rFonts w:ascii="Arial Narrow" w:hAnsi="Arial Narrow"/>
                <w:sz w:val="20"/>
              </w:rPr>
              <w:t>(i) details of prior optimised asthma drug therapy (date of commencement and duration of therapy); and</w:t>
            </w:r>
          </w:p>
          <w:p w:rsidR="00C41F2E" w:rsidRPr="00702AA9" w:rsidRDefault="00C41F2E" w:rsidP="00B03053">
            <w:pPr>
              <w:spacing w:before="40" w:after="40"/>
              <w:rPr>
                <w:rFonts w:ascii="Arial Narrow" w:hAnsi="Arial Narrow"/>
                <w:sz w:val="20"/>
              </w:rPr>
            </w:pPr>
            <w:r w:rsidRPr="00702AA9">
              <w:rPr>
                <w:rFonts w:ascii="Arial Narrow" w:hAnsi="Arial Narrow"/>
                <w:sz w:val="20"/>
              </w:rPr>
              <w:t>(ii) details of severe exacerbation/s experienced in the past 12 months while receiving optimised asthma therapy (date and treatment); and</w:t>
            </w:r>
          </w:p>
          <w:p w:rsidR="00C41F2E" w:rsidRPr="00702AA9" w:rsidRDefault="00C41F2E" w:rsidP="00B03053">
            <w:pPr>
              <w:spacing w:before="40" w:after="40"/>
              <w:rPr>
                <w:rFonts w:ascii="Arial Narrow" w:hAnsi="Arial Narrow"/>
                <w:sz w:val="20"/>
              </w:rPr>
            </w:pPr>
            <w:r w:rsidRPr="00702AA9">
              <w:rPr>
                <w:rFonts w:ascii="Arial Narrow" w:hAnsi="Arial Narrow"/>
                <w:sz w:val="20"/>
              </w:rPr>
              <w:t>(iii) the signed patient or parent/guardian acknowledgement; and</w:t>
            </w:r>
          </w:p>
          <w:p w:rsidR="00C41F2E" w:rsidRPr="00702AA9" w:rsidRDefault="00C41F2E" w:rsidP="00B03053">
            <w:pPr>
              <w:spacing w:before="40" w:after="40"/>
              <w:rPr>
                <w:rFonts w:ascii="Arial Narrow" w:hAnsi="Arial Narrow"/>
                <w:sz w:val="20"/>
              </w:rPr>
            </w:pPr>
            <w:r w:rsidRPr="00702AA9">
              <w:rPr>
                <w:rFonts w:ascii="Arial Narrow" w:hAnsi="Arial Narrow"/>
                <w:sz w:val="20"/>
              </w:rPr>
              <w:t>(c) a copy of the eosinophil pathology report; and</w:t>
            </w:r>
          </w:p>
          <w:p w:rsidR="00C41F2E" w:rsidRPr="00702AA9" w:rsidRDefault="00C41F2E" w:rsidP="00B03053">
            <w:pPr>
              <w:spacing w:before="40" w:after="40"/>
              <w:rPr>
                <w:rFonts w:ascii="Arial Narrow" w:hAnsi="Arial Narrow"/>
                <w:sz w:val="20"/>
                <w:szCs w:val="24"/>
              </w:rPr>
            </w:pPr>
            <w:r w:rsidRPr="00702AA9">
              <w:rPr>
                <w:rFonts w:ascii="Arial Narrow" w:hAnsi="Arial Narrow"/>
                <w:sz w:val="20"/>
              </w:rPr>
              <w:t xml:space="preserve">(d) a completed Asthma Control Questionnaire (ACQ-5) calculation sheet including the date of assessment of the </w:t>
            </w:r>
            <w:r w:rsidR="00F11F42" w:rsidRPr="00702AA9">
              <w:rPr>
                <w:rFonts w:ascii="Arial Narrow" w:hAnsi="Arial Narrow"/>
                <w:sz w:val="20"/>
              </w:rPr>
              <w:t>patient’s</w:t>
            </w:r>
            <w:r w:rsidRPr="00702AA9">
              <w:rPr>
                <w:rFonts w:ascii="Arial Narrow" w:hAnsi="Arial Narrow"/>
                <w:sz w:val="20"/>
              </w:rPr>
              <w:t xml:space="preserve"> symptoms.</w:t>
            </w:r>
          </w:p>
        </w:tc>
      </w:tr>
      <w:tr w:rsidR="00C41F2E" w:rsidRPr="00702AA9" w:rsidTr="00B03053">
        <w:trPr>
          <w:trHeight w:val="360"/>
        </w:trPr>
        <w:tc>
          <w:tcPr>
            <w:tcW w:w="1286" w:type="pct"/>
            <w:tcBorders>
              <w:top w:val="single" w:sz="4" w:space="0" w:color="auto"/>
              <w:left w:val="single" w:sz="4" w:space="0" w:color="auto"/>
              <w:bottom w:val="single" w:sz="4" w:space="0" w:color="auto"/>
              <w:right w:val="single" w:sz="4" w:space="0" w:color="auto"/>
            </w:tcBorders>
            <w:hideMark/>
          </w:tcPr>
          <w:p w:rsidR="00C41F2E" w:rsidRPr="00702AA9" w:rsidRDefault="00C41F2E" w:rsidP="007F70E2">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hideMark/>
          </w:tcPr>
          <w:p w:rsidR="00C41F2E" w:rsidRPr="00702AA9" w:rsidRDefault="00C41F2E" w:rsidP="00B03053">
            <w:pPr>
              <w:spacing w:before="40" w:after="40"/>
              <w:rPr>
                <w:rFonts w:ascii="Arial Narrow" w:hAnsi="Arial Narrow"/>
                <w:sz w:val="20"/>
              </w:rPr>
            </w:pPr>
            <w:r w:rsidRPr="00702AA9">
              <w:rPr>
                <w:rFonts w:ascii="Arial Narrow" w:hAnsi="Arial Narrow"/>
                <w:sz w:val="20"/>
              </w:rPr>
              <w:t>The Department of Human Services website (www.humanservices.gov.au) has details of the accepted toxicities, including severity, which will be accepted for the purposes of exempting a patient from the requirement of treatment with optimised asthma therapy.</w:t>
            </w:r>
          </w:p>
          <w:p w:rsidR="00C41F2E" w:rsidRPr="00702AA9" w:rsidRDefault="00C41F2E" w:rsidP="00B03053">
            <w:pPr>
              <w:spacing w:before="40" w:after="40"/>
              <w:rPr>
                <w:rFonts w:ascii="Arial Narrow" w:hAnsi="Arial Narrow"/>
                <w:sz w:val="20"/>
              </w:rPr>
            </w:pPr>
            <w:r w:rsidRPr="00702AA9">
              <w:rPr>
                <w:rFonts w:ascii="Arial Narrow" w:hAnsi="Arial Narrow"/>
                <w:sz w:val="20"/>
              </w:rPr>
              <w:t>For copies of the ACQ, please contact GlaxoSmithKline Medical Information on 1800 033 109.</w:t>
            </w:r>
          </w:p>
          <w:p w:rsidR="00C41F2E" w:rsidRPr="00702AA9" w:rsidRDefault="00C41F2E" w:rsidP="00B03053">
            <w:pPr>
              <w:spacing w:before="40" w:after="40"/>
              <w:rPr>
                <w:rFonts w:ascii="Arial Narrow" w:hAnsi="Arial Narrow"/>
                <w:sz w:val="20"/>
              </w:rPr>
            </w:pPr>
            <w:r w:rsidRPr="00702AA9">
              <w:rPr>
                <w:rFonts w:ascii="Arial Narrow" w:hAnsi="Arial Narrow"/>
                <w:sz w:val="20"/>
              </w:rPr>
              <w:t>It is recommended that an application for continuing treatment is submitted at the time of the 26 to 30</w:t>
            </w:r>
            <w:r w:rsidR="005E4A46" w:rsidRPr="00702AA9">
              <w:rPr>
                <w:rFonts w:ascii="Arial Narrow" w:hAnsi="Arial Narrow"/>
                <w:i/>
                <w:sz w:val="20"/>
              </w:rPr>
              <w:t xml:space="preserve"> </w:t>
            </w:r>
            <w:r w:rsidRPr="00702AA9">
              <w:rPr>
                <w:rFonts w:ascii="Arial Narrow" w:hAnsi="Arial Narrow"/>
                <w:sz w:val="20"/>
              </w:rPr>
              <w:t xml:space="preserve">week assessment, to ensure continuity of treatment for those patients who meet the continuation criteria for PBS-subsidised </w:t>
            </w:r>
            <w:r w:rsidR="005E4A46" w:rsidRPr="00702AA9">
              <w:rPr>
                <w:rFonts w:ascii="Arial Narrow" w:hAnsi="Arial Narrow"/>
                <w:sz w:val="20"/>
              </w:rPr>
              <w:t>mepolizumab</w:t>
            </w:r>
            <w:r w:rsidRPr="00702AA9">
              <w:rPr>
                <w:rFonts w:ascii="Arial Narrow" w:hAnsi="Arial Narrow"/>
                <w:sz w:val="20"/>
              </w:rPr>
              <w:t xml:space="preserve"> treatment.</w:t>
            </w:r>
          </w:p>
          <w:p w:rsidR="00C41F2E" w:rsidRPr="00702AA9" w:rsidRDefault="00C41F2E" w:rsidP="00B03053">
            <w:pPr>
              <w:spacing w:before="40" w:after="40"/>
              <w:rPr>
                <w:rFonts w:ascii="Arial Narrow" w:hAnsi="Arial Narrow"/>
                <w:sz w:val="20"/>
              </w:rPr>
            </w:pPr>
            <w:r w:rsidRPr="00702AA9">
              <w:rPr>
                <w:rFonts w:ascii="Arial Narrow" w:hAnsi="Arial Narrow"/>
                <w:sz w:val="20"/>
              </w:rPr>
              <w:t>Any queries concerning the arrangements to prescribe may be directed to the Department of Human Services on 1800 700 270 (hours of operation 8 a.m. to 5 p.m. EST Monday to Friday).</w:t>
            </w:r>
          </w:p>
          <w:p w:rsidR="00C41F2E" w:rsidRPr="00702AA9" w:rsidRDefault="00C41F2E" w:rsidP="00B03053">
            <w:pPr>
              <w:spacing w:before="40" w:after="40"/>
              <w:rPr>
                <w:rFonts w:ascii="Arial Narrow" w:hAnsi="Arial Narrow"/>
                <w:sz w:val="20"/>
              </w:rPr>
            </w:pPr>
            <w:r w:rsidRPr="00702AA9">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C41F2E" w:rsidRPr="00702AA9" w:rsidRDefault="00C41F2E" w:rsidP="00B03053">
            <w:pPr>
              <w:spacing w:before="40" w:after="40"/>
              <w:rPr>
                <w:rFonts w:ascii="Arial Narrow" w:hAnsi="Arial Narrow"/>
                <w:sz w:val="20"/>
              </w:rPr>
            </w:pPr>
            <w:r w:rsidRPr="00702AA9">
              <w:rPr>
                <w:rFonts w:ascii="Arial Narrow" w:hAnsi="Arial Narrow"/>
                <w:sz w:val="20"/>
              </w:rPr>
              <w:t>Applications for authority to prescribe should be forwarded to:</w:t>
            </w:r>
          </w:p>
          <w:p w:rsidR="00C41F2E" w:rsidRPr="00702AA9" w:rsidRDefault="00C41F2E" w:rsidP="00B03053">
            <w:pPr>
              <w:spacing w:before="40" w:after="40"/>
              <w:rPr>
                <w:rFonts w:ascii="Arial Narrow" w:hAnsi="Arial Narrow"/>
                <w:sz w:val="20"/>
              </w:rPr>
            </w:pPr>
            <w:r w:rsidRPr="00702AA9">
              <w:rPr>
                <w:rFonts w:ascii="Arial Narrow" w:hAnsi="Arial Narrow"/>
                <w:sz w:val="20"/>
              </w:rPr>
              <w:t>Department of Human Services</w:t>
            </w:r>
          </w:p>
          <w:p w:rsidR="00C41F2E" w:rsidRPr="00702AA9" w:rsidRDefault="00C41F2E" w:rsidP="00B03053">
            <w:pPr>
              <w:spacing w:before="40" w:after="40"/>
              <w:rPr>
                <w:rFonts w:ascii="Arial Narrow" w:hAnsi="Arial Narrow"/>
                <w:sz w:val="20"/>
              </w:rPr>
            </w:pPr>
            <w:r w:rsidRPr="00702AA9">
              <w:rPr>
                <w:rFonts w:ascii="Arial Narrow" w:hAnsi="Arial Narrow"/>
                <w:sz w:val="20"/>
              </w:rPr>
              <w:t>Complex Drugs</w:t>
            </w:r>
          </w:p>
          <w:p w:rsidR="00C41F2E" w:rsidRPr="00702AA9" w:rsidRDefault="00C41F2E" w:rsidP="00B03053">
            <w:pPr>
              <w:spacing w:before="40" w:after="40"/>
              <w:rPr>
                <w:rFonts w:ascii="Arial Narrow" w:hAnsi="Arial Narrow"/>
                <w:sz w:val="20"/>
              </w:rPr>
            </w:pPr>
            <w:r w:rsidRPr="00702AA9">
              <w:rPr>
                <w:rFonts w:ascii="Arial Narrow" w:hAnsi="Arial Narrow"/>
                <w:sz w:val="20"/>
              </w:rPr>
              <w:t>Reply Paid 9826</w:t>
            </w:r>
          </w:p>
          <w:p w:rsidR="00C41F2E" w:rsidRPr="00702AA9" w:rsidRDefault="00C41F2E" w:rsidP="00B03053">
            <w:pPr>
              <w:spacing w:before="40" w:after="40"/>
              <w:rPr>
                <w:rFonts w:ascii="Arial Narrow" w:hAnsi="Arial Narrow"/>
                <w:sz w:val="20"/>
              </w:rPr>
            </w:pPr>
            <w:r w:rsidRPr="00702AA9">
              <w:rPr>
                <w:rFonts w:ascii="Arial Narrow" w:hAnsi="Arial Narrow"/>
                <w:sz w:val="20"/>
              </w:rPr>
              <w:t>HOBART TAS 7001</w:t>
            </w:r>
          </w:p>
          <w:p w:rsidR="00C41F2E" w:rsidRPr="00702AA9" w:rsidRDefault="00C41F2E" w:rsidP="00B03053">
            <w:pPr>
              <w:spacing w:before="40" w:after="40"/>
              <w:rPr>
                <w:rFonts w:ascii="Arial Narrow" w:hAnsi="Arial Narrow"/>
                <w:sz w:val="20"/>
              </w:rPr>
            </w:pPr>
            <w:r w:rsidRPr="00702AA9">
              <w:rPr>
                <w:rFonts w:ascii="Arial Narrow" w:hAnsi="Arial Narrow"/>
                <w:sz w:val="20"/>
              </w:rPr>
              <w:t>TREATMENT OF ADULT AND ADOLESCENT PATIENTS WITH UNCONTROLLED SEVERE EOSINOPHILIC ASTHMA</w:t>
            </w:r>
          </w:p>
          <w:p w:rsidR="00C41F2E" w:rsidRPr="00702AA9" w:rsidRDefault="00C41F2E" w:rsidP="00B03053">
            <w:pPr>
              <w:spacing w:before="40" w:after="40"/>
              <w:rPr>
                <w:rFonts w:ascii="Arial Narrow" w:hAnsi="Arial Narrow"/>
                <w:sz w:val="20"/>
              </w:rPr>
            </w:pPr>
            <w:r w:rsidRPr="00702AA9">
              <w:rPr>
                <w:rFonts w:ascii="Arial Narrow" w:hAnsi="Arial Narrow"/>
                <w:sz w:val="20"/>
              </w:rPr>
              <w:t>Patients are eligible to commence a '</w:t>
            </w:r>
            <w:r w:rsidR="005E4A46" w:rsidRPr="00702AA9">
              <w:rPr>
                <w:rFonts w:ascii="Arial Narrow" w:hAnsi="Arial Narrow"/>
                <w:sz w:val="20"/>
              </w:rPr>
              <w:t>mepolizumab</w:t>
            </w:r>
            <w:r w:rsidRPr="00702AA9">
              <w:rPr>
                <w:rFonts w:ascii="Arial Narrow" w:hAnsi="Arial Narrow"/>
                <w:sz w:val="20"/>
              </w:rPr>
              <w:t xml:space="preserve"> treatment cycle' (initial treatment course with or without continuing treatment course/s) if they satisfy the eligibility criteria as detailed under the initial treatment restriction.</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Once a patient has either failed to achieve or maintain a response to </w:t>
            </w:r>
            <w:r w:rsidR="005E4A46" w:rsidRPr="00702AA9">
              <w:rPr>
                <w:rFonts w:ascii="Arial Narrow" w:hAnsi="Arial Narrow"/>
                <w:sz w:val="20"/>
              </w:rPr>
              <w:t>mepolizumab</w:t>
            </w:r>
            <w:r w:rsidRPr="00702AA9">
              <w:rPr>
                <w:rFonts w:ascii="Arial Narrow" w:hAnsi="Arial Narrow"/>
                <w:sz w:val="20"/>
              </w:rPr>
              <w:t xml:space="preserve">, they are deemed to have completed a treatment cycle and they must have, at a minimum, a 6 month break in PBS-subsidised </w:t>
            </w:r>
            <w:r w:rsidR="005E4A46" w:rsidRPr="00702AA9">
              <w:rPr>
                <w:rFonts w:ascii="Arial Narrow" w:hAnsi="Arial Narrow"/>
                <w:sz w:val="20"/>
              </w:rPr>
              <w:t>mepolizumab</w:t>
            </w:r>
            <w:r w:rsidRPr="00702AA9">
              <w:rPr>
                <w:rFonts w:ascii="Arial Narrow" w:hAnsi="Arial Narrow"/>
                <w:sz w:val="20"/>
              </w:rPr>
              <w:t xml:space="preserve"> therapy before they are eligible to commence the next </w:t>
            </w:r>
            <w:r w:rsidR="005E4A46" w:rsidRPr="00702AA9">
              <w:rPr>
                <w:rFonts w:ascii="Arial Narrow" w:hAnsi="Arial Narrow"/>
                <w:sz w:val="20"/>
              </w:rPr>
              <w:t>mepolizumab</w:t>
            </w:r>
            <w:r w:rsidRPr="00702AA9">
              <w:rPr>
                <w:rFonts w:ascii="Arial Narrow" w:hAnsi="Arial Narrow"/>
                <w:sz w:val="20"/>
              </w:rPr>
              <w:t xml:space="preserve"> treatment cycle, or if eligible, </w:t>
            </w:r>
            <w:r w:rsidRPr="00702AA9">
              <w:rPr>
                <w:rFonts w:ascii="Arial Narrow" w:hAnsi="Arial Narrow"/>
                <w:i/>
                <w:sz w:val="20"/>
              </w:rPr>
              <w:t>a ‘</w:t>
            </w:r>
            <w:r w:rsidR="005E4A46" w:rsidRPr="00702AA9">
              <w:rPr>
                <w:rFonts w:ascii="Arial Narrow" w:hAnsi="Arial Narrow"/>
                <w:i/>
                <w:sz w:val="20"/>
              </w:rPr>
              <w:t>benralizumab</w:t>
            </w:r>
            <w:r w:rsidRPr="00702AA9">
              <w:rPr>
                <w:rFonts w:ascii="Arial Narrow" w:hAnsi="Arial Narrow"/>
                <w:i/>
                <w:sz w:val="20"/>
              </w:rPr>
              <w:t xml:space="preserve"> treatment cycle’ or</w:t>
            </w:r>
            <w:r w:rsidRPr="00702AA9">
              <w:rPr>
                <w:rFonts w:ascii="Arial Narrow" w:hAnsi="Arial Narrow"/>
                <w:sz w:val="20"/>
              </w:rPr>
              <w:t xml:space="preserve"> an 'omalizumab treatment cycle'. The length of a treatment break is measured from the date the most recent treatment with PBS-subsidised </w:t>
            </w:r>
            <w:r w:rsidR="005E4A46" w:rsidRPr="00702AA9">
              <w:rPr>
                <w:rFonts w:ascii="Arial Narrow" w:hAnsi="Arial Narrow"/>
                <w:sz w:val="20"/>
              </w:rPr>
              <w:t>mepolizumab</w:t>
            </w:r>
            <w:r w:rsidRPr="00702AA9">
              <w:rPr>
                <w:rFonts w:ascii="Arial Narrow" w:hAnsi="Arial Narrow"/>
                <w:sz w:val="20"/>
              </w:rPr>
              <w:t xml:space="preserve"> is stopped to the date of the first application for initial treatment with </w:t>
            </w:r>
            <w:r w:rsidR="005E4A46" w:rsidRPr="00702AA9">
              <w:rPr>
                <w:rFonts w:ascii="Arial Narrow" w:hAnsi="Arial Narrow"/>
                <w:sz w:val="20"/>
              </w:rPr>
              <w:t>mepolizumab</w:t>
            </w:r>
            <w:r w:rsidR="00A5020A" w:rsidRPr="00702AA9">
              <w:rPr>
                <w:rFonts w:ascii="Arial Narrow" w:hAnsi="Arial Narrow"/>
                <w:i/>
                <w:sz w:val="20"/>
              </w:rPr>
              <w:t>, benralizumab or omalizumab</w:t>
            </w:r>
            <w:r w:rsidRPr="00702AA9">
              <w:rPr>
                <w:rFonts w:ascii="Arial Narrow" w:hAnsi="Arial Narrow"/>
                <w:sz w:val="20"/>
              </w:rPr>
              <w:t xml:space="preserve"> under the new treatment cycle.</w:t>
            </w:r>
          </w:p>
          <w:p w:rsidR="00C41F2E" w:rsidRPr="00702AA9" w:rsidRDefault="00C41F2E" w:rsidP="00B03053">
            <w:pPr>
              <w:spacing w:before="40" w:after="40"/>
              <w:rPr>
                <w:rFonts w:ascii="Arial Narrow" w:hAnsi="Arial Narrow"/>
                <w:sz w:val="20"/>
              </w:rPr>
            </w:pPr>
            <w:r w:rsidRPr="00702AA9">
              <w:rPr>
                <w:rFonts w:ascii="Arial Narrow" w:hAnsi="Arial Narrow"/>
                <w:sz w:val="20"/>
              </w:rPr>
              <w:t>There is no limit to the number of treatment cycles a patient may undertake in their lifetime.</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(1) How to prescribe PBS-subsidised </w:t>
            </w:r>
            <w:r w:rsidR="005E4A46" w:rsidRPr="00702AA9">
              <w:rPr>
                <w:rFonts w:ascii="Arial Narrow" w:hAnsi="Arial Narrow"/>
                <w:sz w:val="20"/>
              </w:rPr>
              <w:t>mepolizumab</w:t>
            </w:r>
            <w:r w:rsidRPr="00702AA9">
              <w:rPr>
                <w:rFonts w:ascii="Arial Narrow" w:hAnsi="Arial Narrow"/>
                <w:sz w:val="20"/>
              </w:rPr>
              <w:t xml:space="preserve"> therapy:</w:t>
            </w:r>
          </w:p>
          <w:p w:rsidR="00C41F2E" w:rsidRPr="00702AA9" w:rsidRDefault="00C41F2E" w:rsidP="00B03053">
            <w:pPr>
              <w:spacing w:before="40" w:after="40"/>
              <w:rPr>
                <w:rFonts w:ascii="Arial Narrow" w:hAnsi="Arial Narrow"/>
                <w:sz w:val="20"/>
              </w:rPr>
            </w:pPr>
            <w:r w:rsidRPr="00702AA9">
              <w:rPr>
                <w:rFonts w:ascii="Arial Narrow" w:hAnsi="Arial Narrow"/>
                <w:sz w:val="20"/>
              </w:rPr>
              <w:t>(a) Initial treatment:</w:t>
            </w:r>
          </w:p>
          <w:p w:rsidR="00C41F2E" w:rsidRPr="00702AA9" w:rsidRDefault="00C41F2E" w:rsidP="00B03053">
            <w:pPr>
              <w:spacing w:before="40" w:after="40"/>
              <w:rPr>
                <w:rFonts w:ascii="Arial Narrow" w:hAnsi="Arial Narrow"/>
                <w:sz w:val="20"/>
              </w:rPr>
            </w:pPr>
            <w:r w:rsidRPr="00702AA9">
              <w:rPr>
                <w:rFonts w:ascii="Arial Narrow" w:hAnsi="Arial Narrow"/>
                <w:sz w:val="20"/>
              </w:rPr>
              <w:t>Applications for initial treatment should be made where:</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i) A patient has received no prior PBS-subsidised </w:t>
            </w:r>
            <w:r w:rsidR="005E4A46" w:rsidRPr="00702AA9">
              <w:rPr>
                <w:rFonts w:ascii="Arial Narrow" w:hAnsi="Arial Narrow"/>
                <w:sz w:val="20"/>
              </w:rPr>
              <w:t>mepolizumab</w:t>
            </w:r>
            <w:r w:rsidRPr="00702AA9">
              <w:rPr>
                <w:rFonts w:ascii="Arial Narrow" w:hAnsi="Arial Narrow"/>
                <w:sz w:val="20"/>
              </w:rPr>
              <w:t xml:space="preserve"> treatment and wishes to commence such therapy; or</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ii) A patient wishes to recommence treatment with </w:t>
            </w:r>
            <w:r w:rsidR="005E4A46" w:rsidRPr="00702AA9">
              <w:rPr>
                <w:rFonts w:ascii="Arial Narrow" w:hAnsi="Arial Narrow"/>
                <w:sz w:val="20"/>
              </w:rPr>
              <w:t>mepolizumab</w:t>
            </w:r>
            <w:r w:rsidRPr="00702AA9">
              <w:rPr>
                <w:rFonts w:ascii="Arial Narrow" w:hAnsi="Arial Narrow"/>
                <w:sz w:val="20"/>
              </w:rPr>
              <w:t xml:space="preserve"> following a break in PBS-subsidised therapy of more than 6 months; or</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iii) A patient has received prior PBS-subsidised </w:t>
            </w:r>
            <w:r w:rsidR="005E4A46" w:rsidRPr="00702AA9">
              <w:rPr>
                <w:rFonts w:ascii="Arial Narrow" w:hAnsi="Arial Narrow"/>
                <w:i/>
                <w:sz w:val="20"/>
              </w:rPr>
              <w:t>benralizumab</w:t>
            </w:r>
            <w:r w:rsidRPr="00702AA9">
              <w:rPr>
                <w:rFonts w:ascii="Arial Narrow" w:hAnsi="Arial Narrow"/>
                <w:i/>
                <w:sz w:val="20"/>
              </w:rPr>
              <w:t xml:space="preserve"> or</w:t>
            </w:r>
            <w:r w:rsidRPr="00702AA9">
              <w:rPr>
                <w:rFonts w:ascii="Arial Narrow" w:hAnsi="Arial Narrow"/>
                <w:sz w:val="20"/>
              </w:rPr>
              <w:t xml:space="preserve"> omalizumab and wishes to commence treatment with </w:t>
            </w:r>
            <w:r w:rsidR="005F46F6" w:rsidRPr="00702AA9">
              <w:rPr>
                <w:rFonts w:ascii="Arial Narrow" w:hAnsi="Arial Narrow"/>
                <w:sz w:val="20"/>
              </w:rPr>
              <w:t>mepolizumab</w:t>
            </w:r>
            <w:r w:rsidRPr="00702AA9">
              <w:rPr>
                <w:rFonts w:ascii="Arial Narrow" w:hAnsi="Arial Narrow"/>
                <w:sz w:val="20"/>
              </w:rPr>
              <w:t xml:space="preserve"> after a treatment break of 6 months.</w:t>
            </w:r>
          </w:p>
          <w:p w:rsidR="00C41F2E" w:rsidRPr="00702AA9" w:rsidRDefault="00C41F2E" w:rsidP="00B03053">
            <w:pPr>
              <w:spacing w:before="40" w:after="40"/>
              <w:rPr>
                <w:rFonts w:ascii="Arial Narrow" w:hAnsi="Arial Narrow"/>
                <w:sz w:val="20"/>
              </w:rPr>
            </w:pPr>
            <w:r w:rsidRPr="00702AA9">
              <w:rPr>
                <w:rFonts w:ascii="Arial Narrow" w:hAnsi="Arial Narrow"/>
                <w:strike/>
                <w:sz w:val="20"/>
              </w:rPr>
              <w:t>All</w:t>
            </w:r>
            <w:r w:rsidRPr="00702AA9">
              <w:rPr>
                <w:rFonts w:ascii="Arial Narrow" w:hAnsi="Arial Narrow"/>
                <w:sz w:val="20"/>
              </w:rPr>
              <w:t xml:space="preserve"> </w:t>
            </w:r>
            <w:r w:rsidR="00E61E1F" w:rsidRPr="00702AA9">
              <w:rPr>
                <w:rFonts w:ascii="Arial Narrow" w:hAnsi="Arial Narrow"/>
                <w:sz w:val="20"/>
              </w:rPr>
              <w:t>A</w:t>
            </w:r>
            <w:r w:rsidRPr="00702AA9">
              <w:rPr>
                <w:rFonts w:ascii="Arial Narrow" w:hAnsi="Arial Narrow"/>
                <w:sz w:val="20"/>
              </w:rPr>
              <w:t xml:space="preserve">pplications for initial treatment </w:t>
            </w:r>
            <w:r w:rsidRPr="00702AA9">
              <w:rPr>
                <w:rFonts w:ascii="Arial Narrow" w:hAnsi="Arial Narrow"/>
                <w:strike/>
                <w:sz w:val="20"/>
              </w:rPr>
              <w:t xml:space="preserve">for non-grandfather patients </w:t>
            </w:r>
            <w:r w:rsidRPr="00702AA9">
              <w:rPr>
                <w:rFonts w:ascii="Arial Narrow" w:hAnsi="Arial Narrow"/>
                <w:sz w:val="20"/>
              </w:rPr>
              <w:t xml:space="preserve">will be limited to provide for a maximum of 32 weeks of therapy for </w:t>
            </w:r>
            <w:r w:rsidR="005F46F6" w:rsidRPr="00702AA9">
              <w:rPr>
                <w:rFonts w:ascii="Arial Narrow" w:hAnsi="Arial Narrow"/>
                <w:sz w:val="20"/>
              </w:rPr>
              <w:t>mepolizumab</w:t>
            </w:r>
            <w:r w:rsidRPr="00702AA9">
              <w:rPr>
                <w:rFonts w:ascii="Arial Narrow" w:hAnsi="Arial Narrow"/>
                <w:sz w:val="20"/>
              </w:rPr>
              <w:t>.</w:t>
            </w:r>
          </w:p>
          <w:p w:rsidR="00C41F2E" w:rsidRPr="00702AA9" w:rsidRDefault="00C41F2E" w:rsidP="00B03053">
            <w:pPr>
              <w:spacing w:before="40" w:after="40"/>
              <w:rPr>
                <w:rFonts w:ascii="Arial Narrow" w:hAnsi="Arial Narrow"/>
                <w:strike/>
                <w:sz w:val="20"/>
              </w:rPr>
            </w:pPr>
            <w:r w:rsidRPr="00702AA9">
              <w:rPr>
                <w:rFonts w:ascii="Arial Narrow" w:hAnsi="Arial Narrow"/>
                <w:strike/>
                <w:sz w:val="20"/>
              </w:rPr>
              <w:t>(b) Grandfather patients:</w:t>
            </w:r>
          </w:p>
          <w:p w:rsidR="00C41F2E" w:rsidRPr="00702AA9" w:rsidRDefault="00C41F2E" w:rsidP="00B03053">
            <w:pPr>
              <w:spacing w:before="40" w:after="40"/>
              <w:rPr>
                <w:rFonts w:ascii="Arial Narrow" w:hAnsi="Arial Narrow"/>
                <w:strike/>
                <w:sz w:val="20"/>
              </w:rPr>
            </w:pPr>
            <w:r w:rsidRPr="00702AA9">
              <w:rPr>
                <w:rFonts w:ascii="Arial Narrow" w:hAnsi="Arial Narrow"/>
                <w:strike/>
                <w:sz w:val="20"/>
              </w:rPr>
              <w:t xml:space="preserve">For patients who commenced treatment with </w:t>
            </w:r>
            <w:r w:rsidR="005F46F6" w:rsidRPr="00702AA9">
              <w:rPr>
                <w:rFonts w:ascii="Arial Narrow" w:hAnsi="Arial Narrow"/>
                <w:strike/>
                <w:sz w:val="20"/>
              </w:rPr>
              <w:t>mepolizumab</w:t>
            </w:r>
            <w:r w:rsidRPr="00702AA9">
              <w:rPr>
                <w:rFonts w:ascii="Arial Narrow" w:hAnsi="Arial Narrow"/>
                <w:strike/>
                <w:sz w:val="20"/>
              </w:rPr>
              <w:t xml:space="preserve"> for uncontrolled severe eosinophilic asthma prior to 1 January 2017 and who continues to receive treatment at the time of application, may qualify for treatment under the initial 'grandfather' treatment restriction. A patient may only qualify for PBS-subsidised treatment under this restriction once. A maximum of 24 weeks of treatment with </w:t>
            </w:r>
            <w:r w:rsidR="005F46F6" w:rsidRPr="00702AA9">
              <w:rPr>
                <w:rFonts w:ascii="Arial Narrow" w:hAnsi="Arial Narrow"/>
                <w:strike/>
                <w:sz w:val="20"/>
              </w:rPr>
              <w:t>mepolizumab</w:t>
            </w:r>
            <w:r w:rsidRPr="00702AA9">
              <w:rPr>
                <w:rFonts w:ascii="Arial Narrow" w:hAnsi="Arial Narrow"/>
                <w:strike/>
                <w:sz w:val="20"/>
              </w:rPr>
              <w:t xml:space="preserve"> will be authorised under this criterion. Approval will be based on the criteria included in the relevant restriction. Following completion of the Initial PBS-subsidised course, further applications for treatment with </w:t>
            </w:r>
            <w:r w:rsidR="005F46F6" w:rsidRPr="00702AA9">
              <w:rPr>
                <w:rFonts w:ascii="Arial Narrow" w:hAnsi="Arial Narrow"/>
                <w:strike/>
                <w:sz w:val="20"/>
              </w:rPr>
              <w:t>mepolizumab</w:t>
            </w:r>
            <w:r w:rsidRPr="00702AA9">
              <w:rPr>
                <w:rFonts w:ascii="Arial Narrow" w:hAnsi="Arial Narrow"/>
                <w:strike/>
                <w:sz w:val="20"/>
              </w:rPr>
              <w:t xml:space="preserve"> will be assessed under the continuing treatment restriction.</w:t>
            </w:r>
          </w:p>
          <w:p w:rsidR="00C41F2E" w:rsidRPr="00702AA9" w:rsidRDefault="00C41F2E" w:rsidP="00B03053">
            <w:pPr>
              <w:spacing w:before="40" w:after="40"/>
              <w:rPr>
                <w:rFonts w:ascii="Arial Narrow" w:hAnsi="Arial Narrow"/>
                <w:strike/>
                <w:sz w:val="20"/>
              </w:rPr>
            </w:pPr>
            <w:r w:rsidRPr="00702AA9">
              <w:rPr>
                <w:rFonts w:ascii="Arial Narrow" w:hAnsi="Arial Narrow"/>
                <w:strike/>
                <w:sz w:val="20"/>
              </w:rPr>
              <w:t>'Grandfather' arrangements will only apply for the first treatment cycle (initial treatment course with or without continuing treatment course/s). If a 'Grandfathered' patient recommences on second and subsequent cycles after a treatment break, the 'Grandfathered' patient must re-qualify for Initial treatment under the criteria that apply to a new patient. See 'Re-commencement of treatment after a 6 month break in PBS-subsidised therapy' below for further details.</w:t>
            </w:r>
          </w:p>
          <w:p w:rsidR="00C41F2E" w:rsidRPr="00702AA9" w:rsidRDefault="00C41F2E" w:rsidP="00B03053">
            <w:pPr>
              <w:spacing w:before="40" w:after="40"/>
              <w:rPr>
                <w:rFonts w:ascii="Arial Narrow" w:hAnsi="Arial Narrow"/>
                <w:sz w:val="20"/>
              </w:rPr>
            </w:pPr>
            <w:r w:rsidRPr="00702AA9">
              <w:rPr>
                <w:rFonts w:ascii="Arial Narrow" w:hAnsi="Arial Narrow"/>
                <w:sz w:val="20"/>
              </w:rPr>
              <w:t>(</w:t>
            </w:r>
            <w:r w:rsidRPr="00702AA9">
              <w:rPr>
                <w:rFonts w:ascii="Arial Narrow" w:hAnsi="Arial Narrow"/>
                <w:i/>
                <w:strike/>
                <w:sz w:val="20"/>
              </w:rPr>
              <w:t>c</w:t>
            </w:r>
            <w:r w:rsidR="00720038" w:rsidRPr="00702AA9">
              <w:rPr>
                <w:rFonts w:ascii="Arial Narrow" w:hAnsi="Arial Narrow"/>
                <w:i/>
                <w:sz w:val="20"/>
              </w:rPr>
              <w:t>b</w:t>
            </w:r>
            <w:r w:rsidRPr="00702AA9">
              <w:rPr>
                <w:rFonts w:ascii="Arial Narrow" w:hAnsi="Arial Narrow"/>
                <w:sz w:val="20"/>
              </w:rPr>
              <w:t>) Continuing treatment:</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Following the completion of the initial treatment course with </w:t>
            </w:r>
            <w:r w:rsidR="005F46F6" w:rsidRPr="00702AA9">
              <w:rPr>
                <w:rFonts w:ascii="Arial Narrow" w:hAnsi="Arial Narrow"/>
                <w:sz w:val="20"/>
              </w:rPr>
              <w:t>mepolizumab</w:t>
            </w:r>
            <w:r w:rsidRPr="00702AA9">
              <w:rPr>
                <w:rFonts w:ascii="Arial Narrow" w:hAnsi="Arial Narrow"/>
                <w:sz w:val="20"/>
              </w:rPr>
              <w:t xml:space="preserve">, a patient may qualify to receive up to a further 24 weeks of continuing treatment with </w:t>
            </w:r>
            <w:r w:rsidR="005F46F6" w:rsidRPr="00702AA9">
              <w:rPr>
                <w:rFonts w:ascii="Arial Narrow" w:hAnsi="Arial Narrow"/>
                <w:sz w:val="20"/>
              </w:rPr>
              <w:t>mepolizumab</w:t>
            </w:r>
            <w:r w:rsidRPr="00702AA9">
              <w:rPr>
                <w:rFonts w:ascii="Arial Narrow" w:hAnsi="Arial Narrow"/>
                <w:sz w:val="20"/>
              </w:rPr>
              <w:t xml:space="preserve"> providing they have demonstrated an adequate response to treatment. The patient remains eligible to receive continuing </w:t>
            </w:r>
            <w:r w:rsidR="005F46F6" w:rsidRPr="00702AA9">
              <w:rPr>
                <w:rFonts w:ascii="Arial Narrow" w:hAnsi="Arial Narrow"/>
                <w:sz w:val="20"/>
              </w:rPr>
              <w:t>mepolizumab</w:t>
            </w:r>
            <w:r w:rsidRPr="00702AA9">
              <w:rPr>
                <w:rFonts w:ascii="Arial Narrow" w:hAnsi="Arial Narrow"/>
                <w:sz w:val="20"/>
              </w:rPr>
              <w:t xml:space="preserve"> treatment in courses of up to 24 weeks providing they continue to sustain the response.</w:t>
            </w:r>
          </w:p>
          <w:p w:rsidR="00C41F2E" w:rsidRPr="00702AA9" w:rsidRDefault="00C41F2E" w:rsidP="00B03053">
            <w:pPr>
              <w:spacing w:before="40" w:after="40"/>
              <w:rPr>
                <w:rFonts w:ascii="Arial Narrow" w:hAnsi="Arial Narrow"/>
                <w:sz w:val="20"/>
              </w:rPr>
            </w:pPr>
            <w:r w:rsidRPr="00702AA9">
              <w:rPr>
                <w:rFonts w:ascii="Arial Narrow" w:hAnsi="Arial Narrow"/>
                <w:sz w:val="20"/>
              </w:rPr>
              <w:t>(2) Baseline measurements to determine response:</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The Department of Human Services will determine whether a response to treatment has been demonstrated based on the baseline measurements of the Asthma Control Questionnaire (ACQ; 5 item version) and oral corticosteroid dose, submitted with the Initial authority application for </w:t>
            </w:r>
            <w:r w:rsidR="005F46F6" w:rsidRPr="00702AA9">
              <w:rPr>
                <w:rFonts w:ascii="Arial Narrow" w:hAnsi="Arial Narrow"/>
                <w:sz w:val="20"/>
              </w:rPr>
              <w:t>mepolizumab</w:t>
            </w:r>
            <w:r w:rsidRPr="00702AA9">
              <w:rPr>
                <w:rFonts w:ascii="Arial Narrow" w:hAnsi="Arial Narrow"/>
                <w:sz w:val="20"/>
              </w:rPr>
              <w:t>. However, prescribers may provide new baseline measurements when a new Initial treatment authority application is submitted and the Department of Human Services will assess response according to these revised baseline measurements.</w:t>
            </w:r>
          </w:p>
          <w:p w:rsidR="00C41F2E" w:rsidRPr="00702AA9" w:rsidRDefault="00C41F2E" w:rsidP="00B03053">
            <w:pPr>
              <w:spacing w:before="40" w:after="40"/>
              <w:rPr>
                <w:rFonts w:ascii="Arial Narrow" w:hAnsi="Arial Narrow"/>
                <w:sz w:val="20"/>
              </w:rPr>
            </w:pPr>
            <w:r w:rsidRPr="00702AA9">
              <w:rPr>
                <w:rFonts w:ascii="Arial Narrow" w:hAnsi="Arial Narrow"/>
                <w:sz w:val="20"/>
              </w:rPr>
              <w:t>(3) Re-commencement of treatment after a 6 month break in PBS-subsidised therapy:</w:t>
            </w:r>
          </w:p>
          <w:p w:rsidR="00C41F2E" w:rsidRPr="00702AA9" w:rsidRDefault="00C41F2E" w:rsidP="00B03053">
            <w:pPr>
              <w:spacing w:before="40" w:after="40"/>
              <w:rPr>
                <w:rFonts w:ascii="Arial Narrow" w:hAnsi="Arial Narrow"/>
                <w:sz w:val="20"/>
              </w:rPr>
            </w:pPr>
            <w:r w:rsidRPr="00702AA9">
              <w:rPr>
                <w:rFonts w:ascii="Arial Narrow" w:hAnsi="Arial Narrow"/>
                <w:sz w:val="20"/>
              </w:rPr>
              <w:t xml:space="preserve">A patient who wishes to trial a second or subsequent </w:t>
            </w:r>
            <w:r w:rsidR="005F46F6" w:rsidRPr="00702AA9">
              <w:rPr>
                <w:rFonts w:ascii="Arial Narrow" w:hAnsi="Arial Narrow"/>
                <w:sz w:val="20"/>
              </w:rPr>
              <w:t>mepolizumab</w:t>
            </w:r>
            <w:r w:rsidRPr="00702AA9">
              <w:rPr>
                <w:rFonts w:ascii="Arial Narrow" w:hAnsi="Arial Narrow"/>
                <w:sz w:val="20"/>
              </w:rPr>
              <w:t xml:space="preserve"> treatment cycle, or an initial </w:t>
            </w:r>
            <w:r w:rsidR="005F46F6" w:rsidRPr="00702AA9">
              <w:rPr>
                <w:rFonts w:ascii="Arial Narrow" w:hAnsi="Arial Narrow"/>
                <w:i/>
                <w:sz w:val="20"/>
              </w:rPr>
              <w:t>benralizumab</w:t>
            </w:r>
            <w:r w:rsidRPr="00702AA9">
              <w:rPr>
                <w:rFonts w:ascii="Arial Narrow" w:hAnsi="Arial Narrow"/>
                <w:i/>
                <w:sz w:val="20"/>
              </w:rPr>
              <w:t xml:space="preserve"> or</w:t>
            </w:r>
            <w:r w:rsidRPr="00702AA9">
              <w:rPr>
                <w:rFonts w:ascii="Arial Narrow" w:hAnsi="Arial Narrow"/>
                <w:sz w:val="20"/>
              </w:rPr>
              <w:t xml:space="preserve"> omalizumab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p>
          <w:p w:rsidR="00C41F2E" w:rsidRPr="00702AA9" w:rsidRDefault="00C41F2E" w:rsidP="00B03053">
            <w:pPr>
              <w:spacing w:before="40" w:after="40"/>
              <w:rPr>
                <w:rFonts w:ascii="Arial Narrow" w:hAnsi="Arial Narrow"/>
                <w:sz w:val="20"/>
              </w:rPr>
            </w:pPr>
            <w:r w:rsidRPr="00702AA9">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C41F2E" w:rsidRPr="00702AA9" w:rsidRDefault="00C41F2E"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C41F2E" w:rsidRPr="00702AA9" w:rsidRDefault="00C41F2E"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C41F2E" w:rsidRPr="00702AA9" w:rsidRDefault="00C41F2E" w:rsidP="00B03053">
            <w:pPr>
              <w:spacing w:before="40" w:after="40"/>
              <w:rPr>
                <w:rFonts w:ascii="Arial Narrow" w:hAnsi="Arial Narrow"/>
                <w:sz w:val="20"/>
                <w:szCs w:val="24"/>
              </w:rPr>
            </w:pPr>
            <w:r w:rsidRPr="00702AA9">
              <w:rPr>
                <w:rFonts w:ascii="Arial Narrow" w:hAnsi="Arial Narrow"/>
                <w:sz w:val="20"/>
              </w:rPr>
              <w:t>Special Pricing Arrangements apply.</w:t>
            </w:r>
          </w:p>
        </w:tc>
      </w:tr>
      <w:tr w:rsidR="00B03053" w:rsidRPr="00702AA9" w:rsidTr="00B03053">
        <w:trPr>
          <w:cantSplit/>
          <w:trHeight w:val="465"/>
        </w:trPr>
        <w:tc>
          <w:tcPr>
            <w:tcW w:w="1286"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480"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548"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853" w:type="pct"/>
            <w:tcBorders>
              <w:top w:val="nil"/>
              <w:left w:val="nil"/>
              <w:right w:val="nil"/>
            </w:tcBorders>
            <w:vAlign w:val="center"/>
          </w:tcPr>
          <w:p w:rsidR="00B03053" w:rsidRPr="00702AA9" w:rsidRDefault="00B03053" w:rsidP="007F70E2">
            <w:pPr>
              <w:keepNext/>
              <w:spacing w:before="40" w:after="40"/>
              <w:rPr>
                <w:rFonts w:ascii="Arial Narrow" w:hAnsi="Arial Narrow"/>
                <w:b/>
                <w:sz w:val="20"/>
                <w:szCs w:val="20"/>
              </w:rPr>
            </w:pPr>
          </w:p>
        </w:tc>
        <w:tc>
          <w:tcPr>
            <w:tcW w:w="1833" w:type="pct"/>
            <w:gridSpan w:val="2"/>
            <w:tcBorders>
              <w:top w:val="nil"/>
              <w:left w:val="nil"/>
              <w:right w:val="nil"/>
            </w:tcBorders>
            <w:vAlign w:val="center"/>
          </w:tcPr>
          <w:p w:rsidR="00B03053" w:rsidRPr="00702AA9" w:rsidRDefault="00B03053" w:rsidP="007F70E2">
            <w:pPr>
              <w:keepNext/>
              <w:spacing w:before="40" w:after="40"/>
              <w:jc w:val="left"/>
              <w:rPr>
                <w:rFonts w:ascii="Arial Narrow" w:hAnsi="Arial Narrow"/>
                <w:b/>
                <w:sz w:val="20"/>
              </w:rPr>
            </w:pPr>
          </w:p>
        </w:tc>
      </w:tr>
      <w:tr w:rsidR="00BB6FAF" w:rsidRPr="00702AA9" w:rsidTr="008B2777">
        <w:trPr>
          <w:cantSplit/>
          <w:trHeight w:val="465"/>
        </w:trPr>
        <w:tc>
          <w:tcPr>
            <w:tcW w:w="1286" w:type="pct"/>
            <w:tcBorders>
              <w:top w:val="nil"/>
              <w:left w:val="nil"/>
              <w:bottom w:val="single" w:sz="4" w:space="0" w:color="auto"/>
              <w:right w:val="nil"/>
            </w:tcBorders>
            <w:hideMark/>
          </w:tcPr>
          <w:p w:rsidR="00BB6FAF" w:rsidRPr="00702AA9" w:rsidRDefault="00BB6FAF" w:rsidP="007F70E2">
            <w:pPr>
              <w:keepNext/>
              <w:spacing w:before="40" w:after="40"/>
              <w:rPr>
                <w:rFonts w:ascii="Arial Narrow" w:hAnsi="Arial Narrow"/>
                <w:b/>
                <w:sz w:val="20"/>
                <w:szCs w:val="20"/>
              </w:rPr>
            </w:pPr>
            <w:r w:rsidRPr="00702AA9">
              <w:rPr>
                <w:rFonts w:ascii="Arial Narrow" w:hAnsi="Arial Narrow"/>
                <w:b/>
                <w:sz w:val="20"/>
                <w:szCs w:val="20"/>
              </w:rPr>
              <w:t>Name, Restriction,</w:t>
            </w:r>
          </w:p>
          <w:p w:rsidR="00BB6FAF" w:rsidRPr="00702AA9" w:rsidRDefault="00BB6FAF" w:rsidP="007F70E2">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BB6FAF" w:rsidRPr="00702AA9" w:rsidRDefault="00BB6FAF" w:rsidP="007F70E2">
            <w:pPr>
              <w:keepNext/>
              <w:spacing w:before="40" w:after="40"/>
              <w:rPr>
                <w:rFonts w:ascii="Arial Narrow" w:hAnsi="Arial Narrow"/>
                <w:b/>
                <w:sz w:val="20"/>
                <w:szCs w:val="20"/>
              </w:rPr>
            </w:pPr>
            <w:r w:rsidRPr="00702AA9">
              <w:rPr>
                <w:rFonts w:ascii="Arial Narrow" w:hAnsi="Arial Narrow"/>
                <w:b/>
                <w:sz w:val="20"/>
                <w:szCs w:val="20"/>
              </w:rPr>
              <w:t>Max.</w:t>
            </w:r>
          </w:p>
          <w:p w:rsidR="00BB6FAF" w:rsidRPr="00702AA9" w:rsidRDefault="00BB6FAF" w:rsidP="007F70E2">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BB6FAF" w:rsidRPr="00702AA9" w:rsidRDefault="00BB6FAF" w:rsidP="007F70E2">
            <w:pPr>
              <w:keepNext/>
              <w:spacing w:before="40" w:after="40"/>
              <w:rPr>
                <w:rFonts w:ascii="Arial Narrow" w:hAnsi="Arial Narrow"/>
                <w:b/>
                <w:sz w:val="20"/>
                <w:szCs w:val="20"/>
              </w:rPr>
            </w:pPr>
            <w:r w:rsidRPr="00702AA9">
              <w:rPr>
                <w:rFonts w:ascii="Arial Narrow" w:hAnsi="Arial Narrow"/>
                <w:b/>
                <w:sz w:val="20"/>
                <w:szCs w:val="20"/>
              </w:rPr>
              <w:t>№.of</w:t>
            </w:r>
          </w:p>
          <w:p w:rsidR="00BB6FAF" w:rsidRPr="00702AA9" w:rsidRDefault="00BB6FAF" w:rsidP="007F70E2">
            <w:pPr>
              <w:keepNext/>
              <w:spacing w:before="40" w:after="40"/>
              <w:rPr>
                <w:rFonts w:ascii="Arial Narrow" w:hAnsi="Arial Narrow"/>
                <w:b/>
                <w:sz w:val="20"/>
                <w:szCs w:val="20"/>
              </w:rPr>
            </w:pPr>
            <w:r w:rsidRPr="00702AA9">
              <w:rPr>
                <w:rFonts w:ascii="Arial Narrow" w:hAnsi="Arial Narrow"/>
                <w:b/>
                <w:sz w:val="20"/>
                <w:szCs w:val="20"/>
              </w:rPr>
              <w:t>Rpts</w:t>
            </w:r>
          </w:p>
        </w:tc>
        <w:tc>
          <w:tcPr>
            <w:tcW w:w="853" w:type="pct"/>
            <w:tcBorders>
              <w:top w:val="nil"/>
              <w:left w:val="nil"/>
              <w:bottom w:val="single" w:sz="4" w:space="0" w:color="auto"/>
              <w:right w:val="nil"/>
            </w:tcBorders>
            <w:vAlign w:val="center"/>
            <w:hideMark/>
          </w:tcPr>
          <w:p w:rsidR="00BB6FAF" w:rsidRPr="00702AA9" w:rsidRDefault="00BB6FAF" w:rsidP="007F70E2">
            <w:pPr>
              <w:keepNext/>
              <w:spacing w:before="40" w:after="40"/>
              <w:rPr>
                <w:rFonts w:ascii="Arial Narrow" w:hAnsi="Arial Narrow"/>
                <w:b/>
                <w:sz w:val="20"/>
                <w:szCs w:val="20"/>
              </w:rPr>
            </w:pPr>
          </w:p>
        </w:tc>
        <w:tc>
          <w:tcPr>
            <w:tcW w:w="1833" w:type="pct"/>
            <w:gridSpan w:val="2"/>
            <w:tcBorders>
              <w:top w:val="nil"/>
              <w:left w:val="nil"/>
              <w:bottom w:val="single" w:sz="4" w:space="0" w:color="auto"/>
              <w:right w:val="nil"/>
            </w:tcBorders>
            <w:vAlign w:val="center"/>
            <w:hideMark/>
          </w:tcPr>
          <w:p w:rsidR="00BB6FAF" w:rsidRPr="00702AA9" w:rsidRDefault="00BB6FAF" w:rsidP="007F70E2">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BB6FAF" w:rsidRPr="00702AA9" w:rsidTr="00BB6FAF">
        <w:trPr>
          <w:cantSplit/>
          <w:trHeight w:val="570"/>
        </w:trPr>
        <w:tc>
          <w:tcPr>
            <w:tcW w:w="1286" w:type="pct"/>
            <w:hideMark/>
          </w:tcPr>
          <w:p w:rsidR="00BB6FAF" w:rsidRPr="00702AA9" w:rsidRDefault="00BB6FAF" w:rsidP="007F70E2">
            <w:pPr>
              <w:keepNext/>
              <w:spacing w:before="40" w:after="40"/>
              <w:rPr>
                <w:rFonts w:ascii="Arial Narrow" w:hAnsi="Arial Narrow"/>
                <w:sz w:val="20"/>
                <w:szCs w:val="20"/>
              </w:rPr>
            </w:pPr>
            <w:r w:rsidRPr="00702AA9">
              <w:rPr>
                <w:rFonts w:ascii="Arial Narrow" w:hAnsi="Arial Narrow"/>
                <w:smallCaps/>
                <w:sz w:val="20"/>
                <w:szCs w:val="20"/>
              </w:rPr>
              <w:t>mepolizumab</w:t>
            </w:r>
          </w:p>
          <w:p w:rsidR="00BB6FAF" w:rsidRPr="00702AA9" w:rsidRDefault="00BB6FAF" w:rsidP="007F70E2">
            <w:pPr>
              <w:keepNext/>
              <w:spacing w:before="40" w:after="40"/>
              <w:rPr>
                <w:rFonts w:ascii="Arial Narrow" w:hAnsi="Arial Narrow"/>
                <w:sz w:val="20"/>
                <w:szCs w:val="20"/>
              </w:rPr>
            </w:pPr>
            <w:r w:rsidRPr="00702AA9">
              <w:rPr>
                <w:rFonts w:ascii="Arial Narrow" w:hAnsi="Arial Narrow"/>
                <w:sz w:val="20"/>
                <w:szCs w:val="20"/>
              </w:rPr>
              <w:t>100 mg injection, 1 vial</w:t>
            </w:r>
          </w:p>
        </w:tc>
        <w:tc>
          <w:tcPr>
            <w:tcW w:w="480" w:type="pct"/>
            <w:hideMark/>
          </w:tcPr>
          <w:p w:rsidR="00BB6FAF" w:rsidRPr="00702AA9" w:rsidRDefault="00BB6FAF" w:rsidP="007F70E2">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BB6FAF" w:rsidRPr="00702AA9" w:rsidRDefault="00BB6FAF" w:rsidP="007F70E2">
            <w:pPr>
              <w:keepNext/>
              <w:spacing w:before="40" w:after="40"/>
              <w:rPr>
                <w:rFonts w:ascii="Arial Narrow" w:hAnsi="Arial Narrow"/>
                <w:sz w:val="20"/>
                <w:szCs w:val="20"/>
              </w:rPr>
            </w:pPr>
            <w:r w:rsidRPr="00702AA9">
              <w:rPr>
                <w:rFonts w:ascii="Arial Narrow" w:hAnsi="Arial Narrow"/>
                <w:sz w:val="20"/>
                <w:szCs w:val="20"/>
              </w:rPr>
              <w:t>5</w:t>
            </w:r>
          </w:p>
        </w:tc>
        <w:tc>
          <w:tcPr>
            <w:tcW w:w="853" w:type="pct"/>
            <w:hideMark/>
          </w:tcPr>
          <w:p w:rsidR="00BB6FAF" w:rsidRPr="00702AA9" w:rsidRDefault="00BB6FAF" w:rsidP="007F70E2">
            <w:pPr>
              <w:keepNext/>
              <w:spacing w:before="40" w:after="40"/>
              <w:jc w:val="left"/>
              <w:rPr>
                <w:rFonts w:ascii="Arial Narrow" w:hAnsi="Arial Narrow"/>
                <w:sz w:val="20"/>
                <w:szCs w:val="20"/>
              </w:rPr>
            </w:pPr>
          </w:p>
        </w:tc>
        <w:tc>
          <w:tcPr>
            <w:tcW w:w="1614" w:type="pct"/>
            <w:hideMark/>
          </w:tcPr>
          <w:p w:rsidR="00BB6FAF" w:rsidRPr="00702AA9" w:rsidRDefault="00BB6FAF" w:rsidP="007F70E2">
            <w:pPr>
              <w:keepNext/>
              <w:jc w:val="left"/>
              <w:rPr>
                <w:rFonts w:ascii="Arial Narrow" w:hAnsi="Arial Narrow"/>
                <w:sz w:val="20"/>
              </w:rPr>
            </w:pPr>
            <w:r w:rsidRPr="00702AA9">
              <w:rPr>
                <w:rFonts w:ascii="Arial Narrow" w:hAnsi="Arial Narrow"/>
                <w:sz w:val="20"/>
              </w:rPr>
              <w:t>Nucala</w:t>
            </w:r>
            <w:r w:rsidRPr="00702AA9">
              <w:rPr>
                <w:rFonts w:ascii="Arial Narrow" w:hAnsi="Arial Narrow"/>
                <w:sz w:val="20"/>
                <w:vertAlign w:val="superscript"/>
              </w:rPr>
              <w:t>®</w:t>
            </w:r>
          </w:p>
          <w:p w:rsidR="00BB6FAF" w:rsidRPr="00702AA9" w:rsidRDefault="00BB6FAF" w:rsidP="007F70E2">
            <w:pPr>
              <w:keepNext/>
              <w:spacing w:before="40" w:after="40"/>
              <w:jc w:val="left"/>
              <w:rPr>
                <w:rFonts w:ascii="Arial Narrow" w:hAnsi="Arial Narrow"/>
                <w:sz w:val="20"/>
                <w:szCs w:val="20"/>
              </w:rPr>
            </w:pPr>
            <w:r w:rsidRPr="00702AA9">
              <w:rPr>
                <w:rFonts w:ascii="Arial Narrow" w:hAnsi="Arial Narrow"/>
                <w:sz w:val="20"/>
              </w:rPr>
              <w:t>GlaxoSmithKline Australia Pty Ltd</w:t>
            </w:r>
          </w:p>
        </w:tc>
        <w:tc>
          <w:tcPr>
            <w:tcW w:w="219" w:type="pct"/>
          </w:tcPr>
          <w:p w:rsidR="00BB6FAF" w:rsidRPr="00702AA9" w:rsidRDefault="00BB6FAF" w:rsidP="007F70E2">
            <w:pPr>
              <w:keepNext/>
              <w:spacing w:before="40" w:after="40"/>
              <w:jc w:val="left"/>
              <w:rPr>
                <w:rFonts w:ascii="Arial Narrow" w:hAnsi="Arial Narrow"/>
                <w:sz w:val="20"/>
                <w:szCs w:val="20"/>
              </w:rPr>
            </w:pP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t>Uncontrolled severe eosinophilic asthma</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t>Continuing treatment</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Restriction Level / Method:</w:t>
            </w:r>
          </w:p>
          <w:p w:rsidR="00BB6FAF" w:rsidRPr="00702AA9" w:rsidRDefault="00BB6FAF" w:rsidP="007F70E2">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BB6FAF" w:rsidRPr="00702AA9" w:rsidRDefault="00BB6FAF"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BB6FAF" w:rsidRPr="00702AA9" w:rsidRDefault="00BB6FAF" w:rsidP="007F70E2">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rPr>
                <w:rFonts w:ascii="Arial Narrow" w:hAnsi="Arial Narrow"/>
                <w:sz w:val="20"/>
              </w:rPr>
            </w:pPr>
            <w:r w:rsidRPr="00702AA9">
              <w:rPr>
                <w:rFonts w:ascii="Arial Narrow" w:hAnsi="Arial Narrow"/>
                <w:sz w:val="20"/>
              </w:rPr>
              <w:t xml:space="preserve">Patient must have demonstrated or sustained an adequate response to PBS subsidised treatment with this drug, </w:t>
            </w:r>
          </w:p>
          <w:p w:rsidR="00BB6FAF" w:rsidRPr="00702AA9" w:rsidRDefault="00BB6FAF" w:rsidP="007F70E2">
            <w:pPr>
              <w:rPr>
                <w:rFonts w:ascii="Arial Narrow" w:hAnsi="Arial Narrow"/>
                <w:sz w:val="20"/>
              </w:rPr>
            </w:pPr>
            <w:r w:rsidRPr="00702AA9">
              <w:rPr>
                <w:rFonts w:ascii="Arial Narrow" w:hAnsi="Arial Narrow"/>
                <w:sz w:val="20"/>
              </w:rPr>
              <w:t>AND</w:t>
            </w:r>
          </w:p>
          <w:p w:rsidR="00BB6FAF" w:rsidRPr="00702AA9" w:rsidRDefault="00BB6FAF" w:rsidP="00BB6FAF">
            <w:pPr>
              <w:spacing w:before="40" w:after="40"/>
              <w:rPr>
                <w:rFonts w:ascii="Arial Narrow" w:hAnsi="Arial Narrow"/>
                <w:sz w:val="20"/>
                <w:szCs w:val="20"/>
              </w:rPr>
            </w:pPr>
            <w:r w:rsidRPr="00702AA9">
              <w:rPr>
                <w:rFonts w:ascii="Arial Narrow" w:hAnsi="Arial Narrow"/>
                <w:sz w:val="20"/>
              </w:rPr>
              <w:t xml:space="preserve">The treatment must not be used in combination with, or within 6 months of treatment with, PBS subsidised </w:t>
            </w:r>
            <w:r w:rsidRPr="00702AA9">
              <w:rPr>
                <w:rFonts w:ascii="Arial Narrow" w:hAnsi="Arial Narrow"/>
                <w:i/>
                <w:sz w:val="20"/>
              </w:rPr>
              <w:t xml:space="preserve">benralizumab or </w:t>
            </w:r>
            <w:r w:rsidRPr="00702AA9">
              <w:rPr>
                <w:rFonts w:ascii="Arial Narrow" w:hAnsi="Arial Narrow"/>
                <w:sz w:val="20"/>
              </w:rPr>
              <w:t>omalizumab.</w:t>
            </w:r>
          </w:p>
        </w:tc>
      </w:tr>
      <w:tr w:rsidR="00BB6FAF" w:rsidRPr="00702AA9" w:rsidTr="00BB6FAF">
        <w:trPr>
          <w:cantSplit/>
          <w:trHeight w:val="360"/>
        </w:trPr>
        <w:tc>
          <w:tcPr>
            <w:tcW w:w="1286" w:type="pct"/>
            <w:tcBorders>
              <w:top w:val="single" w:sz="4" w:space="0" w:color="auto"/>
              <w:left w:val="single" w:sz="4" w:space="0" w:color="auto"/>
              <w:bottom w:val="single" w:sz="4" w:space="0" w:color="auto"/>
              <w:right w:val="single" w:sz="4" w:space="0" w:color="auto"/>
            </w:tcBorders>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BB6FAF" w:rsidRPr="00702AA9" w:rsidRDefault="00BB6FAF" w:rsidP="007F70E2">
            <w:pPr>
              <w:rPr>
                <w:rFonts w:ascii="Arial Narrow" w:hAnsi="Arial Narrow"/>
                <w:sz w:val="20"/>
              </w:rPr>
            </w:pPr>
            <w:r w:rsidRPr="00702AA9">
              <w:rPr>
                <w:rFonts w:ascii="Arial Narrow" w:hAnsi="Arial Narrow"/>
                <w:sz w:val="20"/>
              </w:rPr>
              <w:t>Patient must be aged 12 years or older.</w:t>
            </w:r>
          </w:p>
        </w:tc>
      </w:tr>
      <w:tr w:rsidR="00BB6FAF" w:rsidRPr="00702AA9" w:rsidTr="00BB6FAF">
        <w:trPr>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4" w:type="pct"/>
            <w:gridSpan w:val="5"/>
            <w:tcBorders>
              <w:top w:val="single" w:sz="4" w:space="0" w:color="auto"/>
              <w:left w:val="single" w:sz="4" w:space="0" w:color="auto"/>
              <w:bottom w:val="single" w:sz="4" w:space="0" w:color="auto"/>
              <w:right w:val="single" w:sz="4" w:space="0" w:color="auto"/>
            </w:tcBorders>
          </w:tcPr>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An adequate response to mepolizumab treatment is defined as:</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(a) a reduction in the Asthma Control Questionnaire (ACQ 5) score of at least 0.5 from baseline,</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OR</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(b) maintenance OCS dose reduced by at least 25% from baseline, and no deterioration in ACQ 5 score from baseline.</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 xml:space="preserve">All applications for continuing treatment with mepolizumab must include a measurement of response to the prior course of therapy. The Asthma Control Questionnaire (5 item version) assessment of the patient's response to the prior course of treatment, and the assessment of oral corticosteroid dose, must be made at around </w:t>
            </w:r>
            <w:r w:rsidRPr="00702AA9">
              <w:rPr>
                <w:rFonts w:ascii="Arial Narrow" w:hAnsi="Arial Narrow"/>
                <w:sz w:val="20"/>
              </w:rPr>
              <w:t xml:space="preserve">26 to 30 </w:t>
            </w:r>
            <w:r w:rsidRPr="00702AA9">
              <w:rPr>
                <w:rFonts w:ascii="Arial Narrow" w:hAnsi="Arial Narrow"/>
                <w:sz w:val="20"/>
                <w:szCs w:val="24"/>
              </w:rPr>
              <w:t xml:space="preserve">weeks after the first dose of PBS subsidised </w:t>
            </w:r>
            <w:r w:rsidR="00D93CE6" w:rsidRPr="00702AA9">
              <w:rPr>
                <w:rFonts w:ascii="Arial Narrow" w:hAnsi="Arial Narrow"/>
                <w:sz w:val="20"/>
                <w:szCs w:val="24"/>
              </w:rPr>
              <w:t>mepolizumab</w:t>
            </w:r>
            <w:r w:rsidRPr="00702AA9">
              <w:rPr>
                <w:rFonts w:ascii="Arial Narrow" w:hAnsi="Arial Narrow"/>
                <w:sz w:val="20"/>
                <w:szCs w:val="24"/>
              </w:rPr>
              <w:t xml:space="preserve"> so that there is adequate time for a response to be demonstrated and for the application for continuing therapy to be processed.</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 xml:space="preserve">The first assessment should, where possible, be completed by the same physician who initiated treatment with </w:t>
            </w:r>
            <w:r w:rsidR="00D93CE6" w:rsidRPr="00702AA9">
              <w:rPr>
                <w:rFonts w:ascii="Arial Narrow" w:hAnsi="Arial Narrow"/>
                <w:sz w:val="20"/>
                <w:szCs w:val="24"/>
              </w:rPr>
              <w:t>mepolizumab</w:t>
            </w:r>
            <w:r w:rsidRPr="00702AA9">
              <w:rPr>
                <w:rFonts w:ascii="Arial Narrow" w:hAnsi="Arial Narrow"/>
                <w:sz w:val="20"/>
                <w:szCs w:val="24"/>
              </w:rPr>
              <w:t xml:space="preserve">. 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mepolizumab. </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 xml:space="preserve">A patient who fails to respond to a course of PBS subsidised </w:t>
            </w:r>
            <w:r w:rsidR="00D93CE6" w:rsidRPr="00702AA9">
              <w:rPr>
                <w:rFonts w:ascii="Arial Narrow" w:hAnsi="Arial Narrow"/>
                <w:sz w:val="20"/>
                <w:szCs w:val="24"/>
              </w:rPr>
              <w:t>mepolizumab</w:t>
            </w:r>
            <w:r w:rsidRPr="00702AA9">
              <w:rPr>
                <w:rFonts w:ascii="Arial Narrow" w:hAnsi="Arial Narrow"/>
                <w:sz w:val="20"/>
                <w:szCs w:val="24"/>
              </w:rPr>
              <w:t xml:space="preserve"> for the treatment of uncontrolled severe eosinophilic asthma will not be eligible to receive further PBS subsidised treatment with </w:t>
            </w:r>
            <w:r w:rsidR="00D93CE6" w:rsidRPr="00702AA9">
              <w:rPr>
                <w:rFonts w:ascii="Arial Narrow" w:hAnsi="Arial Narrow"/>
                <w:sz w:val="20"/>
                <w:szCs w:val="24"/>
              </w:rPr>
              <w:t>mepolizumab</w:t>
            </w:r>
            <w:r w:rsidRPr="00702AA9">
              <w:rPr>
                <w:rFonts w:ascii="Arial Narrow" w:hAnsi="Arial Narrow"/>
                <w:sz w:val="20"/>
                <w:szCs w:val="24"/>
              </w:rPr>
              <w:t xml:space="preserve"> for this condition within 6 months of the date on which treatment was ceased.</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 xml:space="preserve">At the time of the authority application, medical practitioners should request the appropriate number of repeats to provide for a continuing course of </w:t>
            </w:r>
            <w:r w:rsidR="00D93CE6" w:rsidRPr="00702AA9">
              <w:rPr>
                <w:rFonts w:ascii="Arial Narrow" w:hAnsi="Arial Narrow"/>
                <w:sz w:val="20"/>
                <w:szCs w:val="24"/>
              </w:rPr>
              <w:t>mepolizumab</w:t>
            </w:r>
            <w:r w:rsidRPr="00702AA9">
              <w:rPr>
                <w:rFonts w:ascii="Arial Narrow" w:hAnsi="Arial Narrow"/>
                <w:sz w:val="20"/>
                <w:szCs w:val="24"/>
              </w:rPr>
              <w:t xml:space="preserve"> sufficient for 24 weeks of therapy.</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The authority application must be made in writing and must include:</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(a) a completed authority prescription form; and</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(b) a completed Severe Eosinophilic Asthma Continuing PBS Authority Application   Supporting Information Form which includes details of maintenance oral corticosteroid dose; and</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(c) a completed Asthma Control Questionnaire (ACQ 5) calculation sheet including the date of assessment of the patient's symptoms</w:t>
            </w:r>
          </w:p>
        </w:tc>
      </w:tr>
      <w:tr w:rsidR="00BB6FAF" w:rsidRPr="00702AA9" w:rsidTr="00BB6FAF">
        <w:trPr>
          <w:trHeight w:val="360"/>
        </w:trPr>
        <w:tc>
          <w:tcPr>
            <w:tcW w:w="1286" w:type="pct"/>
            <w:tcBorders>
              <w:top w:val="single" w:sz="4" w:space="0" w:color="auto"/>
              <w:left w:val="single" w:sz="4" w:space="0" w:color="auto"/>
              <w:bottom w:val="single" w:sz="4" w:space="0" w:color="auto"/>
              <w:right w:val="single" w:sz="4" w:space="0" w:color="auto"/>
            </w:tcBorders>
            <w:hideMark/>
          </w:tcPr>
          <w:p w:rsidR="00BB6FAF" w:rsidRPr="00702AA9" w:rsidRDefault="00BB6FAF" w:rsidP="007F70E2">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tcPr>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If the same physician cannot assess the patient please call the Department of Human Services on 1800 700 270.</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 xml:space="preserve">It is recommended that second and subsequent applications for continuing treatment are submitted at the time of an 18 to 22 week assessment, to ensure continuity of treatment for those patients who meet the continuation criteria for PBS subsidised </w:t>
            </w:r>
            <w:r w:rsidR="00D93CE6" w:rsidRPr="00702AA9">
              <w:rPr>
                <w:rFonts w:ascii="Arial Narrow" w:hAnsi="Arial Narrow"/>
                <w:sz w:val="20"/>
                <w:szCs w:val="24"/>
              </w:rPr>
              <w:t>mepolizumab</w:t>
            </w:r>
            <w:r w:rsidRPr="00702AA9">
              <w:rPr>
                <w:rFonts w:ascii="Arial Narrow" w:hAnsi="Arial Narrow"/>
                <w:sz w:val="20"/>
                <w:szCs w:val="24"/>
              </w:rPr>
              <w:t xml:space="preserve"> treatment.</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Any queries concerning the arrangements to prescribe may be directed to the Department of Human Services on 1800 700 270 (hours of operation 8 a.m. to 5 p.m. EST Monday to Friday).</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Prescribing information (including Authority Application forms and other relevant documentation as applicable) is available on the Department of Human Services website at www.humanservices.gov.au</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Applications for authority to prescribe should be forwarded to:</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Department of Human Services</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Complex Drugs</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Reply Paid 9826</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HOBART TAS 7001</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Authority Required</w:t>
            </w:r>
          </w:p>
          <w:p w:rsidR="00BB6FAF" w:rsidRPr="00702AA9" w:rsidRDefault="00BB6FAF" w:rsidP="00B03053">
            <w:pPr>
              <w:spacing w:before="40" w:after="40"/>
              <w:rPr>
                <w:rFonts w:ascii="Arial Narrow" w:hAnsi="Arial Narrow"/>
                <w:sz w:val="20"/>
                <w:szCs w:val="24"/>
              </w:rPr>
            </w:pPr>
            <w:r w:rsidRPr="00702AA9">
              <w:rPr>
                <w:rFonts w:ascii="Arial Narrow" w:hAnsi="Arial Narrow"/>
                <w:sz w:val="20"/>
                <w:szCs w:val="24"/>
              </w:rPr>
              <w:t>Uncontrolled severe eosinophilic asthma</w:t>
            </w:r>
          </w:p>
        </w:tc>
      </w:tr>
      <w:tr w:rsidR="008B2777" w:rsidRPr="00702AA9" w:rsidTr="00BB6FAF">
        <w:trPr>
          <w:trHeight w:val="360"/>
        </w:trPr>
        <w:tc>
          <w:tcPr>
            <w:tcW w:w="1286" w:type="pct"/>
            <w:tcBorders>
              <w:top w:val="single" w:sz="4" w:space="0" w:color="auto"/>
              <w:left w:val="single" w:sz="4" w:space="0" w:color="auto"/>
              <w:bottom w:val="single" w:sz="4" w:space="0" w:color="auto"/>
              <w:right w:val="single" w:sz="4" w:space="0" w:color="auto"/>
            </w:tcBorders>
          </w:tcPr>
          <w:p w:rsidR="008B2777" w:rsidRPr="00702AA9" w:rsidRDefault="008B2777" w:rsidP="007F70E2">
            <w:pPr>
              <w:spacing w:before="40" w:after="40"/>
              <w:rPr>
                <w:rFonts w:ascii="Arial Narrow" w:hAnsi="Arial Narrow"/>
                <w:b/>
                <w:sz w:val="20"/>
                <w:szCs w:val="20"/>
              </w:rPr>
            </w:pPr>
            <w:r w:rsidRPr="00702AA9">
              <w:rPr>
                <w:rFonts w:ascii="Arial Narrow" w:hAnsi="Arial Narrow"/>
                <w:b/>
                <w:sz w:val="20"/>
                <w:szCs w:val="20"/>
              </w:rPr>
              <w:t>Administrative advice (additional note)</w:t>
            </w:r>
          </w:p>
        </w:tc>
        <w:tc>
          <w:tcPr>
            <w:tcW w:w="3714" w:type="pct"/>
            <w:gridSpan w:val="5"/>
            <w:tcBorders>
              <w:top w:val="single" w:sz="4" w:space="0" w:color="auto"/>
              <w:left w:val="single" w:sz="4" w:space="0" w:color="auto"/>
              <w:bottom w:val="single" w:sz="4" w:space="0" w:color="auto"/>
              <w:right w:val="single" w:sz="4" w:space="0" w:color="auto"/>
            </w:tcBorders>
          </w:tcPr>
          <w:p w:rsidR="008B2777" w:rsidRPr="00702AA9" w:rsidRDefault="008B2777" w:rsidP="00B03053">
            <w:pPr>
              <w:spacing w:before="40" w:after="40"/>
              <w:rPr>
                <w:rFonts w:ascii="Arial Narrow" w:hAnsi="Arial Narrow"/>
                <w:sz w:val="20"/>
              </w:rPr>
            </w:pPr>
            <w:r w:rsidRPr="00702AA9">
              <w:rPr>
                <w:rFonts w:ascii="Arial Narrow" w:hAnsi="Arial Narrow"/>
                <w:sz w:val="20"/>
              </w:rPr>
              <w:t>For copies of the ACQ, please contact GlaxoSmithKline Medical Information on 1800 033 109.</w:t>
            </w:r>
          </w:p>
          <w:p w:rsidR="008B2777" w:rsidRPr="00702AA9" w:rsidRDefault="008B2777" w:rsidP="00B03053">
            <w:pPr>
              <w:spacing w:before="40" w:after="40"/>
              <w:rPr>
                <w:rFonts w:ascii="Arial Narrow" w:hAnsi="Arial Narrow"/>
                <w:sz w:val="20"/>
              </w:rPr>
            </w:pPr>
            <w:r w:rsidRPr="00702AA9">
              <w:rPr>
                <w:rFonts w:ascii="Arial Narrow" w:hAnsi="Arial Narrow"/>
                <w:sz w:val="20"/>
              </w:rPr>
              <w:t>TREATMENT OF ADULT AND ADOLESCENT PATIENTS WITH UNCONTROLLED SEVERE EOSINOPHILIC ASTHMA</w:t>
            </w:r>
          </w:p>
          <w:p w:rsidR="008B2777" w:rsidRPr="00702AA9" w:rsidRDefault="008B2777" w:rsidP="00B03053">
            <w:pPr>
              <w:spacing w:before="40" w:after="40"/>
              <w:rPr>
                <w:rFonts w:ascii="Arial Narrow" w:hAnsi="Arial Narrow"/>
                <w:i/>
                <w:sz w:val="20"/>
              </w:rPr>
            </w:pPr>
            <w:r w:rsidRPr="00702AA9">
              <w:rPr>
                <w:rFonts w:ascii="Arial Narrow" w:hAnsi="Arial Narrow"/>
                <w:i/>
                <w:sz w:val="20"/>
              </w:rPr>
              <w:t>(Per note for initial treatment)</w:t>
            </w:r>
          </w:p>
          <w:p w:rsidR="008B2777" w:rsidRPr="00702AA9" w:rsidRDefault="008B2777" w:rsidP="00B03053">
            <w:pPr>
              <w:spacing w:before="40" w:after="40"/>
              <w:rPr>
                <w:rFonts w:ascii="Arial Narrow" w:hAnsi="Arial Narrow"/>
                <w:sz w:val="20"/>
              </w:rPr>
            </w:pPr>
            <w:r w:rsidRPr="00702AA9">
              <w:rPr>
                <w:rFonts w:ascii="Arial Narrow" w:hAnsi="Arial Narrow"/>
                <w:sz w:val="20"/>
              </w:rPr>
              <w:t>No increase in the maximum quantity or number of units may be authorised.</w:t>
            </w:r>
          </w:p>
          <w:p w:rsidR="008B2777" w:rsidRPr="00702AA9" w:rsidRDefault="008B2777" w:rsidP="00B03053">
            <w:pPr>
              <w:spacing w:before="40" w:after="40"/>
              <w:rPr>
                <w:rFonts w:ascii="Arial Narrow" w:hAnsi="Arial Narrow"/>
                <w:sz w:val="20"/>
              </w:rPr>
            </w:pPr>
            <w:r w:rsidRPr="00702AA9">
              <w:rPr>
                <w:rFonts w:ascii="Arial Narrow" w:hAnsi="Arial Narrow"/>
                <w:sz w:val="20"/>
              </w:rPr>
              <w:t>No increase in the maximum number of repeats may be authorised.</w:t>
            </w:r>
          </w:p>
          <w:p w:rsidR="008B2777" w:rsidRPr="00702AA9" w:rsidRDefault="008B2777" w:rsidP="00B03053">
            <w:pPr>
              <w:spacing w:before="40" w:after="40"/>
              <w:rPr>
                <w:rFonts w:ascii="Arial Narrow" w:hAnsi="Arial Narrow"/>
                <w:sz w:val="20"/>
                <w:szCs w:val="24"/>
              </w:rPr>
            </w:pPr>
            <w:r w:rsidRPr="00702AA9">
              <w:rPr>
                <w:rFonts w:ascii="Arial Narrow" w:hAnsi="Arial Narrow"/>
                <w:sz w:val="20"/>
              </w:rPr>
              <w:t>Special Pricing Arrangements apply.</w:t>
            </w:r>
          </w:p>
        </w:tc>
      </w:tr>
      <w:tr w:rsidR="00B03053" w:rsidRPr="00702AA9" w:rsidTr="00B03053">
        <w:trPr>
          <w:cantSplit/>
          <w:trHeight w:val="465"/>
        </w:trPr>
        <w:tc>
          <w:tcPr>
            <w:tcW w:w="1286"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480"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548" w:type="pct"/>
            <w:tcBorders>
              <w:top w:val="nil"/>
              <w:left w:val="nil"/>
              <w:right w:val="nil"/>
            </w:tcBorders>
          </w:tcPr>
          <w:p w:rsidR="00B03053" w:rsidRPr="00702AA9" w:rsidRDefault="00B03053" w:rsidP="007F70E2">
            <w:pPr>
              <w:keepNext/>
              <w:spacing w:before="40" w:after="40"/>
              <w:rPr>
                <w:rFonts w:ascii="Arial Narrow" w:hAnsi="Arial Narrow"/>
                <w:b/>
                <w:sz w:val="20"/>
                <w:szCs w:val="20"/>
              </w:rPr>
            </w:pPr>
          </w:p>
        </w:tc>
        <w:tc>
          <w:tcPr>
            <w:tcW w:w="853" w:type="pct"/>
            <w:tcBorders>
              <w:top w:val="nil"/>
              <w:left w:val="nil"/>
              <w:right w:val="nil"/>
            </w:tcBorders>
            <w:vAlign w:val="center"/>
          </w:tcPr>
          <w:p w:rsidR="00B03053" w:rsidRPr="00702AA9" w:rsidRDefault="00B03053" w:rsidP="007F70E2">
            <w:pPr>
              <w:keepNext/>
              <w:spacing w:before="40" w:after="40"/>
              <w:rPr>
                <w:rFonts w:ascii="Arial Narrow" w:hAnsi="Arial Narrow"/>
                <w:b/>
                <w:sz w:val="20"/>
                <w:szCs w:val="20"/>
              </w:rPr>
            </w:pPr>
          </w:p>
        </w:tc>
        <w:tc>
          <w:tcPr>
            <w:tcW w:w="1833" w:type="pct"/>
            <w:gridSpan w:val="2"/>
            <w:tcBorders>
              <w:top w:val="nil"/>
              <w:left w:val="nil"/>
              <w:right w:val="nil"/>
            </w:tcBorders>
            <w:vAlign w:val="center"/>
          </w:tcPr>
          <w:p w:rsidR="00B03053" w:rsidRPr="00702AA9" w:rsidRDefault="00B03053" w:rsidP="007F70E2">
            <w:pPr>
              <w:keepNext/>
              <w:spacing w:before="40" w:after="40"/>
              <w:jc w:val="left"/>
              <w:rPr>
                <w:rFonts w:ascii="Arial Narrow" w:hAnsi="Arial Narrow"/>
                <w:b/>
                <w:sz w:val="20"/>
              </w:rPr>
            </w:pPr>
          </w:p>
        </w:tc>
      </w:tr>
      <w:tr w:rsidR="000A2BCD" w:rsidRPr="00702AA9" w:rsidTr="00B03053">
        <w:trPr>
          <w:cantSplit/>
          <w:trHeight w:val="465"/>
        </w:trPr>
        <w:tc>
          <w:tcPr>
            <w:tcW w:w="1286" w:type="pct"/>
            <w:tcBorders>
              <w:top w:val="nil"/>
              <w:left w:val="nil"/>
              <w:bottom w:val="single" w:sz="4" w:space="0" w:color="auto"/>
              <w:right w:val="nil"/>
            </w:tcBorders>
            <w:hideMark/>
          </w:tcPr>
          <w:p w:rsidR="000A2BCD" w:rsidRPr="00702AA9" w:rsidRDefault="000A2BCD" w:rsidP="007F70E2">
            <w:pPr>
              <w:keepNext/>
              <w:spacing w:before="40" w:after="40"/>
              <w:rPr>
                <w:rFonts w:ascii="Arial Narrow" w:hAnsi="Arial Narrow"/>
                <w:b/>
                <w:sz w:val="20"/>
                <w:szCs w:val="20"/>
              </w:rPr>
            </w:pPr>
            <w:r w:rsidRPr="00702AA9">
              <w:rPr>
                <w:rFonts w:ascii="Arial Narrow" w:hAnsi="Arial Narrow"/>
                <w:b/>
                <w:sz w:val="20"/>
                <w:szCs w:val="20"/>
              </w:rPr>
              <w:t>Name, Restriction,</w:t>
            </w:r>
          </w:p>
          <w:p w:rsidR="000A2BCD" w:rsidRPr="00702AA9" w:rsidRDefault="000A2BCD" w:rsidP="007F70E2">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0A2BCD" w:rsidRPr="00702AA9" w:rsidRDefault="000A2BCD" w:rsidP="007F70E2">
            <w:pPr>
              <w:keepNext/>
              <w:spacing w:before="40" w:after="40"/>
              <w:rPr>
                <w:rFonts w:ascii="Arial Narrow" w:hAnsi="Arial Narrow"/>
                <w:b/>
                <w:sz w:val="20"/>
                <w:szCs w:val="20"/>
              </w:rPr>
            </w:pPr>
            <w:r w:rsidRPr="00702AA9">
              <w:rPr>
                <w:rFonts w:ascii="Arial Narrow" w:hAnsi="Arial Narrow"/>
                <w:b/>
                <w:sz w:val="20"/>
                <w:szCs w:val="20"/>
              </w:rPr>
              <w:t>Max.</w:t>
            </w:r>
          </w:p>
          <w:p w:rsidR="000A2BCD" w:rsidRPr="00702AA9" w:rsidRDefault="000A2BCD" w:rsidP="007F70E2">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0A2BCD" w:rsidRPr="00702AA9" w:rsidRDefault="000A2BCD" w:rsidP="007F70E2">
            <w:pPr>
              <w:keepNext/>
              <w:spacing w:before="40" w:after="40"/>
              <w:rPr>
                <w:rFonts w:ascii="Arial Narrow" w:hAnsi="Arial Narrow"/>
                <w:b/>
                <w:sz w:val="20"/>
                <w:szCs w:val="20"/>
              </w:rPr>
            </w:pPr>
            <w:r w:rsidRPr="00702AA9">
              <w:rPr>
                <w:rFonts w:ascii="Arial Narrow" w:hAnsi="Arial Narrow"/>
                <w:b/>
                <w:sz w:val="20"/>
                <w:szCs w:val="20"/>
              </w:rPr>
              <w:t>№.of</w:t>
            </w:r>
          </w:p>
          <w:p w:rsidR="000A2BCD" w:rsidRPr="00702AA9" w:rsidRDefault="000A2BCD" w:rsidP="007F70E2">
            <w:pPr>
              <w:keepNext/>
              <w:spacing w:before="40" w:after="40"/>
              <w:rPr>
                <w:rFonts w:ascii="Arial Narrow" w:hAnsi="Arial Narrow"/>
                <w:b/>
                <w:sz w:val="20"/>
                <w:szCs w:val="20"/>
              </w:rPr>
            </w:pPr>
            <w:r w:rsidRPr="00702AA9">
              <w:rPr>
                <w:rFonts w:ascii="Arial Narrow" w:hAnsi="Arial Narrow"/>
                <w:b/>
                <w:sz w:val="20"/>
                <w:szCs w:val="20"/>
              </w:rPr>
              <w:t>Rpts</w:t>
            </w:r>
          </w:p>
        </w:tc>
        <w:tc>
          <w:tcPr>
            <w:tcW w:w="853" w:type="pct"/>
            <w:tcBorders>
              <w:top w:val="nil"/>
              <w:left w:val="nil"/>
              <w:bottom w:val="single" w:sz="4" w:space="0" w:color="auto"/>
              <w:right w:val="nil"/>
            </w:tcBorders>
            <w:vAlign w:val="center"/>
          </w:tcPr>
          <w:p w:rsidR="000A2BCD" w:rsidRPr="00702AA9" w:rsidRDefault="000A2BCD" w:rsidP="007F70E2">
            <w:pPr>
              <w:keepNext/>
              <w:spacing w:before="40" w:after="40"/>
              <w:rPr>
                <w:rFonts w:ascii="Arial Narrow" w:hAnsi="Arial Narrow"/>
                <w:b/>
                <w:sz w:val="20"/>
                <w:szCs w:val="20"/>
              </w:rPr>
            </w:pPr>
          </w:p>
        </w:tc>
        <w:tc>
          <w:tcPr>
            <w:tcW w:w="1833" w:type="pct"/>
            <w:gridSpan w:val="2"/>
            <w:tcBorders>
              <w:top w:val="nil"/>
              <w:left w:val="nil"/>
              <w:bottom w:val="single" w:sz="4" w:space="0" w:color="auto"/>
              <w:right w:val="nil"/>
            </w:tcBorders>
            <w:vAlign w:val="center"/>
            <w:hideMark/>
          </w:tcPr>
          <w:p w:rsidR="000A2BCD" w:rsidRPr="00702AA9" w:rsidRDefault="000A2BCD" w:rsidP="007F70E2">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B8742C" w:rsidRPr="00702AA9" w:rsidTr="00B03053">
        <w:trPr>
          <w:cantSplit/>
          <w:trHeight w:val="570"/>
        </w:trPr>
        <w:tc>
          <w:tcPr>
            <w:tcW w:w="1286" w:type="pct"/>
            <w:hideMark/>
          </w:tcPr>
          <w:p w:rsidR="00B8742C" w:rsidRPr="00702AA9" w:rsidRDefault="00B8742C" w:rsidP="006B521D">
            <w:pPr>
              <w:keepNext/>
              <w:spacing w:before="40" w:after="40"/>
              <w:rPr>
                <w:rFonts w:ascii="Arial Narrow" w:hAnsi="Arial Narrow"/>
                <w:sz w:val="20"/>
                <w:szCs w:val="20"/>
              </w:rPr>
            </w:pPr>
            <w:r w:rsidRPr="00702AA9">
              <w:rPr>
                <w:rFonts w:ascii="Arial Narrow" w:hAnsi="Arial Narrow"/>
                <w:smallCaps/>
                <w:sz w:val="20"/>
                <w:szCs w:val="20"/>
              </w:rPr>
              <w:t>omalizumab</w:t>
            </w:r>
          </w:p>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75 mg in 0.5 mL injection, 1 syringe</w:t>
            </w:r>
          </w:p>
          <w:p w:rsidR="00B8742C" w:rsidRPr="00702AA9" w:rsidRDefault="00B8742C" w:rsidP="00B8742C">
            <w:pPr>
              <w:keepNext/>
              <w:spacing w:before="40" w:after="40"/>
              <w:rPr>
                <w:rFonts w:ascii="Arial Narrow" w:hAnsi="Arial Narrow"/>
                <w:sz w:val="20"/>
                <w:szCs w:val="20"/>
              </w:rPr>
            </w:pPr>
            <w:r w:rsidRPr="00702AA9">
              <w:rPr>
                <w:rFonts w:ascii="Arial Narrow" w:hAnsi="Arial Narrow"/>
                <w:smallCaps/>
                <w:sz w:val="20"/>
                <w:szCs w:val="20"/>
              </w:rPr>
              <w:t>omalizumab</w:t>
            </w:r>
          </w:p>
          <w:p w:rsidR="00B8742C" w:rsidRPr="00702AA9" w:rsidRDefault="00B8742C" w:rsidP="000A2BCD">
            <w:pPr>
              <w:keepNext/>
              <w:spacing w:before="40" w:after="40"/>
              <w:rPr>
                <w:rFonts w:ascii="Arial Narrow" w:hAnsi="Arial Narrow"/>
                <w:sz w:val="20"/>
                <w:szCs w:val="20"/>
              </w:rPr>
            </w:pPr>
            <w:r w:rsidRPr="00702AA9">
              <w:rPr>
                <w:rFonts w:ascii="Arial Narrow" w:hAnsi="Arial Narrow"/>
                <w:sz w:val="20"/>
                <w:szCs w:val="20"/>
              </w:rPr>
              <w:t>150 mg in 1 mL injection, 1 syringe</w:t>
            </w:r>
          </w:p>
        </w:tc>
        <w:tc>
          <w:tcPr>
            <w:tcW w:w="480" w:type="pct"/>
            <w:hideMark/>
          </w:tcPr>
          <w:p w:rsidR="00B8742C" w:rsidRPr="00702AA9" w:rsidRDefault="00B8742C" w:rsidP="007F70E2">
            <w:pPr>
              <w:keepNext/>
              <w:spacing w:before="40" w:after="40"/>
              <w:rPr>
                <w:rFonts w:ascii="Arial Narrow" w:hAnsi="Arial Narrow"/>
                <w:sz w:val="20"/>
                <w:szCs w:val="20"/>
              </w:rPr>
            </w:pPr>
            <w:r w:rsidRPr="00702AA9">
              <w:rPr>
                <w:rFonts w:ascii="Arial Narrow" w:hAnsi="Arial Narrow"/>
                <w:sz w:val="20"/>
                <w:szCs w:val="20"/>
              </w:rPr>
              <w:t>1</w:t>
            </w:r>
          </w:p>
          <w:p w:rsidR="00B8742C" w:rsidRPr="00702AA9" w:rsidRDefault="00B8742C" w:rsidP="007F70E2">
            <w:pPr>
              <w:keepNext/>
              <w:spacing w:before="40" w:after="40"/>
              <w:rPr>
                <w:rFonts w:ascii="Arial Narrow" w:hAnsi="Arial Narrow"/>
                <w:sz w:val="20"/>
                <w:szCs w:val="20"/>
              </w:rPr>
            </w:pPr>
          </w:p>
          <w:p w:rsidR="00B8742C" w:rsidRPr="00702AA9" w:rsidRDefault="00B8742C" w:rsidP="007F70E2">
            <w:pPr>
              <w:keepNext/>
              <w:spacing w:before="40" w:after="40"/>
              <w:rPr>
                <w:rFonts w:ascii="Arial Narrow" w:hAnsi="Arial Narrow"/>
                <w:sz w:val="20"/>
                <w:szCs w:val="20"/>
              </w:rPr>
            </w:pPr>
          </w:p>
          <w:p w:rsidR="00B8742C" w:rsidRPr="00702AA9" w:rsidRDefault="00B8742C" w:rsidP="007F70E2">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B8742C" w:rsidRPr="00702AA9" w:rsidRDefault="00B8742C" w:rsidP="007F70E2">
            <w:pPr>
              <w:keepNext/>
              <w:spacing w:before="40" w:after="40"/>
              <w:rPr>
                <w:rFonts w:ascii="Arial Narrow" w:hAnsi="Arial Narrow"/>
                <w:sz w:val="20"/>
                <w:szCs w:val="20"/>
              </w:rPr>
            </w:pPr>
            <w:r w:rsidRPr="00702AA9">
              <w:rPr>
                <w:rFonts w:ascii="Arial Narrow" w:hAnsi="Arial Narrow"/>
                <w:sz w:val="20"/>
                <w:szCs w:val="20"/>
              </w:rPr>
              <w:t>0</w:t>
            </w:r>
          </w:p>
          <w:p w:rsidR="00B8742C" w:rsidRPr="00702AA9" w:rsidRDefault="00B8742C" w:rsidP="007F70E2">
            <w:pPr>
              <w:keepNext/>
              <w:spacing w:before="40" w:after="40"/>
              <w:rPr>
                <w:rFonts w:ascii="Arial Narrow" w:hAnsi="Arial Narrow"/>
                <w:sz w:val="20"/>
                <w:szCs w:val="20"/>
              </w:rPr>
            </w:pPr>
          </w:p>
          <w:p w:rsidR="00B8742C" w:rsidRPr="00702AA9" w:rsidRDefault="00B8742C" w:rsidP="007F70E2">
            <w:pPr>
              <w:keepNext/>
              <w:spacing w:before="40" w:after="40"/>
              <w:rPr>
                <w:rFonts w:ascii="Arial Narrow" w:hAnsi="Arial Narrow"/>
                <w:sz w:val="20"/>
                <w:szCs w:val="20"/>
              </w:rPr>
            </w:pPr>
          </w:p>
          <w:p w:rsidR="00B8742C" w:rsidRPr="00702AA9" w:rsidRDefault="00B8742C" w:rsidP="007F70E2">
            <w:pPr>
              <w:keepNext/>
              <w:spacing w:before="40" w:after="40"/>
              <w:rPr>
                <w:rFonts w:ascii="Arial Narrow" w:hAnsi="Arial Narrow"/>
                <w:sz w:val="20"/>
                <w:szCs w:val="20"/>
              </w:rPr>
            </w:pPr>
            <w:r w:rsidRPr="00702AA9">
              <w:rPr>
                <w:rFonts w:ascii="Arial Narrow" w:hAnsi="Arial Narrow"/>
                <w:sz w:val="20"/>
                <w:szCs w:val="20"/>
              </w:rPr>
              <w:t>0</w:t>
            </w:r>
          </w:p>
        </w:tc>
        <w:tc>
          <w:tcPr>
            <w:tcW w:w="853" w:type="pct"/>
          </w:tcPr>
          <w:p w:rsidR="00B8742C" w:rsidRPr="00702AA9" w:rsidRDefault="00B8742C" w:rsidP="007F70E2">
            <w:pPr>
              <w:keepNext/>
              <w:spacing w:before="40" w:after="40"/>
              <w:jc w:val="left"/>
              <w:rPr>
                <w:rFonts w:ascii="Arial Narrow" w:hAnsi="Arial Narrow"/>
                <w:sz w:val="20"/>
                <w:szCs w:val="20"/>
              </w:rPr>
            </w:pPr>
          </w:p>
        </w:tc>
        <w:tc>
          <w:tcPr>
            <w:tcW w:w="1614" w:type="pct"/>
            <w:hideMark/>
          </w:tcPr>
          <w:p w:rsidR="00B8742C" w:rsidRPr="00702AA9" w:rsidRDefault="00B8742C" w:rsidP="006B521D">
            <w:pPr>
              <w:keepNext/>
              <w:jc w:val="left"/>
              <w:rPr>
                <w:rFonts w:ascii="Arial Narrow" w:hAnsi="Arial Narrow"/>
                <w:sz w:val="20"/>
              </w:rPr>
            </w:pPr>
            <w:r w:rsidRPr="00702AA9">
              <w:rPr>
                <w:rFonts w:ascii="Arial Narrow" w:hAnsi="Arial Narrow"/>
                <w:sz w:val="20"/>
              </w:rPr>
              <w:t>Xolair</w:t>
            </w:r>
            <w:r w:rsidRPr="00702AA9">
              <w:rPr>
                <w:rFonts w:ascii="Arial Narrow" w:hAnsi="Arial Narrow"/>
                <w:sz w:val="20"/>
                <w:vertAlign w:val="superscript"/>
              </w:rPr>
              <w:t>®</w:t>
            </w:r>
          </w:p>
          <w:p w:rsidR="00B8742C" w:rsidRPr="00702AA9" w:rsidRDefault="00B8742C" w:rsidP="007F70E2">
            <w:pPr>
              <w:keepNext/>
              <w:spacing w:before="40" w:after="40"/>
              <w:jc w:val="left"/>
              <w:rPr>
                <w:rFonts w:ascii="Arial Narrow" w:hAnsi="Arial Narrow"/>
                <w:sz w:val="20"/>
                <w:szCs w:val="20"/>
              </w:rPr>
            </w:pPr>
            <w:r w:rsidRPr="00702AA9">
              <w:rPr>
                <w:rFonts w:ascii="Arial Narrow" w:hAnsi="Arial Narrow"/>
                <w:sz w:val="20"/>
              </w:rPr>
              <w:t>Novartis Pharmaceuticals Australia Pty Ltd</w:t>
            </w:r>
          </w:p>
        </w:tc>
        <w:tc>
          <w:tcPr>
            <w:tcW w:w="219" w:type="pct"/>
          </w:tcPr>
          <w:p w:rsidR="00B8742C" w:rsidRPr="00702AA9" w:rsidRDefault="00B8742C" w:rsidP="007F70E2">
            <w:pPr>
              <w:keepNext/>
              <w:spacing w:before="40" w:after="40"/>
              <w:jc w:val="left"/>
              <w:rPr>
                <w:rFonts w:ascii="Arial Narrow" w:hAnsi="Arial Narrow"/>
                <w:sz w:val="20"/>
                <w:szCs w:val="20"/>
              </w:rPr>
            </w:pP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b/>
                <w:sz w:val="20"/>
                <w:szCs w:val="20"/>
              </w:rPr>
            </w:pPr>
            <w:r w:rsidRPr="00702AA9">
              <w:rPr>
                <w:rFonts w:ascii="Arial Narrow" w:hAnsi="Arial Narrow"/>
                <w:sz w:val="20"/>
                <w:szCs w:val="20"/>
              </w:rPr>
              <w:t>Category / Program</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Prescriber type:</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PBS Indication:</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273ADD">
            <w:pPr>
              <w:spacing w:before="40" w:after="40"/>
              <w:rPr>
                <w:rFonts w:ascii="Arial Narrow" w:hAnsi="Arial Narrow"/>
                <w:sz w:val="20"/>
                <w:szCs w:val="20"/>
              </w:rPr>
            </w:pPr>
            <w:r w:rsidRPr="00702AA9">
              <w:rPr>
                <w:rFonts w:ascii="Arial Narrow" w:hAnsi="Arial Narrow"/>
                <w:sz w:val="20"/>
                <w:szCs w:val="20"/>
              </w:rPr>
              <w:t>Uncontrolled severe allergic asthma</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i/>
                <w:sz w:val="20"/>
                <w:szCs w:val="20"/>
              </w:rPr>
            </w:pPr>
            <w:r w:rsidRPr="00702AA9">
              <w:rPr>
                <w:rFonts w:ascii="Arial Narrow" w:hAnsi="Arial Narrow"/>
                <w:b/>
                <w:sz w:val="20"/>
                <w:szCs w:val="20"/>
              </w:rPr>
              <w:t>Treatment phase:</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t>Initial treatment</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Restriction Level / Method:</w:t>
            </w:r>
          </w:p>
          <w:p w:rsidR="00B8742C" w:rsidRPr="00702AA9" w:rsidRDefault="00B8742C" w:rsidP="007F70E2">
            <w:pPr>
              <w:spacing w:before="40" w:after="40"/>
              <w:rPr>
                <w:rFonts w:ascii="Arial Narrow" w:hAnsi="Arial Narrow"/>
                <w:sz w:val="20"/>
                <w:szCs w:val="20"/>
              </w:rPr>
            </w:pP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B8742C" w:rsidRPr="00702AA9" w:rsidRDefault="00B8742C" w:rsidP="007F70E2">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4" w:type="pct"/>
            <w:gridSpan w:val="5"/>
            <w:tcBorders>
              <w:top w:val="single" w:sz="4" w:space="0" w:color="auto"/>
              <w:left w:val="single" w:sz="4" w:space="0" w:color="auto"/>
              <w:bottom w:val="single" w:sz="4" w:space="0" w:color="auto"/>
              <w:right w:val="single" w:sz="4" w:space="0" w:color="auto"/>
            </w:tcBorders>
          </w:tcPr>
          <w:p w:rsidR="00B8742C" w:rsidRPr="00702AA9" w:rsidRDefault="00B8742C" w:rsidP="007F70E2">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rPr>
                <w:rFonts w:ascii="Arial Narrow" w:hAnsi="Arial Narrow"/>
                <w:i/>
                <w:sz w:val="20"/>
              </w:rPr>
            </w:pPr>
            <w:r w:rsidRPr="00702AA9">
              <w:rPr>
                <w:rFonts w:ascii="Arial Narrow" w:hAnsi="Arial Narrow"/>
                <w:sz w:val="20"/>
              </w:rPr>
              <w:t xml:space="preserve">Patient must be </w:t>
            </w:r>
            <w:r w:rsidR="002F6364" w:rsidRPr="00702AA9">
              <w:rPr>
                <w:rFonts w:ascii="Arial Narrow" w:hAnsi="Arial Narrow"/>
                <w:sz w:val="20"/>
              </w:rPr>
              <w:t xml:space="preserve">under the care of </w:t>
            </w:r>
            <w:r w:rsidR="0002073D" w:rsidRPr="00702AA9">
              <w:rPr>
                <w:rFonts w:ascii="Arial Narrow" w:hAnsi="Arial Narrow"/>
                <w:sz w:val="20"/>
              </w:rPr>
              <w:t xml:space="preserve">the same physician </w:t>
            </w:r>
            <w:r w:rsidRPr="00702AA9">
              <w:rPr>
                <w:rFonts w:ascii="Arial Narrow" w:hAnsi="Arial Narrow"/>
                <w:sz w:val="20"/>
              </w:rPr>
              <w:t>for at least</w:t>
            </w:r>
            <w:r w:rsidRPr="00702AA9">
              <w:rPr>
                <w:rFonts w:ascii="Arial Narrow" w:hAnsi="Arial Narrow"/>
                <w:i/>
                <w:sz w:val="20"/>
              </w:rPr>
              <w:t xml:space="preserve"> </w:t>
            </w:r>
            <w:r w:rsidR="003A535C" w:rsidRPr="00702AA9">
              <w:rPr>
                <w:rFonts w:ascii="Arial Narrow" w:hAnsi="Arial Narrow"/>
                <w:strike/>
                <w:sz w:val="20"/>
              </w:rPr>
              <w:t>12</w:t>
            </w:r>
            <w:r w:rsidRPr="00702AA9">
              <w:rPr>
                <w:rFonts w:ascii="Arial Narrow" w:hAnsi="Arial Narrow"/>
                <w:i/>
                <w:sz w:val="20"/>
              </w:rPr>
              <w:t>6 months,</w:t>
            </w:r>
          </w:p>
          <w:p w:rsidR="00B8742C" w:rsidRPr="00702AA9" w:rsidRDefault="00B8742C" w:rsidP="007F70E2">
            <w:pPr>
              <w:rPr>
                <w:rFonts w:ascii="Arial Narrow" w:hAnsi="Arial Narrow"/>
                <w:i/>
                <w:sz w:val="20"/>
              </w:rPr>
            </w:pPr>
            <w:r w:rsidRPr="00702AA9">
              <w:rPr>
                <w:rFonts w:ascii="Arial Narrow" w:hAnsi="Arial Narrow"/>
                <w:i/>
                <w:sz w:val="20"/>
              </w:rPr>
              <w:t>OR</w:t>
            </w:r>
          </w:p>
          <w:p w:rsidR="00B8742C" w:rsidRPr="00702AA9" w:rsidRDefault="00162334" w:rsidP="007F70E2">
            <w:pPr>
              <w:rPr>
                <w:rFonts w:ascii="Arial Narrow" w:hAnsi="Arial Narrow"/>
                <w:i/>
                <w:sz w:val="20"/>
              </w:rPr>
            </w:pPr>
            <w:r w:rsidRPr="00702AA9">
              <w:rPr>
                <w:rFonts w:ascii="Arial Narrow" w:hAnsi="Arial Narrow"/>
                <w:i/>
                <w:sz w:val="20"/>
              </w:rPr>
              <w:t xml:space="preserve">Patient must have been diagnosed by a multidisciplinary severe asthma clinic team </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Patient must have a duration of asthma of at least 1 year,</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 xml:space="preserve">Patient must have forced expiratory volume (FEV1) less than or equal to 80% predicted, documented on 1 or more occasions in the previous 12 months, </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Patient must have past or current evidence of atopy, documented by skin prick testing or RAST,</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Patient must have total serum human immunoglobulin E greater than or equal to 30 IU/mL,</w:t>
            </w:r>
          </w:p>
          <w:p w:rsidR="00B8742C" w:rsidRPr="00702AA9" w:rsidRDefault="00B8742C" w:rsidP="007F70E2">
            <w:pPr>
              <w:rPr>
                <w:rFonts w:ascii="Arial Narrow" w:hAnsi="Arial Narrow"/>
                <w:strike/>
                <w:sz w:val="20"/>
              </w:rPr>
            </w:pPr>
            <w:r w:rsidRPr="00702AA9">
              <w:rPr>
                <w:rFonts w:ascii="Arial Narrow" w:hAnsi="Arial Narrow"/>
                <w:strike/>
                <w:sz w:val="20"/>
              </w:rPr>
              <w:t>AND</w:t>
            </w:r>
          </w:p>
          <w:p w:rsidR="00B8742C" w:rsidRPr="00702AA9" w:rsidRDefault="00B8742C" w:rsidP="007F70E2">
            <w:pPr>
              <w:rPr>
                <w:rFonts w:ascii="Arial Narrow" w:hAnsi="Arial Narrow"/>
                <w:sz w:val="20"/>
              </w:rPr>
            </w:pPr>
            <w:r w:rsidRPr="00702AA9">
              <w:rPr>
                <w:rFonts w:ascii="Arial Narrow" w:hAnsi="Arial Narrow"/>
                <w:strike/>
                <w:sz w:val="20"/>
              </w:rPr>
              <w:t>Patient must have signed a patient or parent/guardian acknowledgement indicating they understand and acknowledge that PBS-subsidised treatment will cease if they do not meet the predetermined response criteria for ongoing PBS-subsidised treatment, as outlined in the restriction for continuing treatment</w:t>
            </w:r>
            <w:r w:rsidRPr="00702AA9">
              <w:rPr>
                <w:rFonts w:ascii="Arial Narrow" w:hAnsi="Arial Narrow"/>
                <w:sz w:val="20"/>
              </w:rPr>
              <w:t xml:space="preserve">, </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 xml:space="preserve">Patient must have failed to achieve adequate control with optimised asthma therapy, despite formal assessment of and adherence to correct inhaler technique, which has been documented, </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7F70E2">
            <w:pPr>
              <w:rPr>
                <w:rFonts w:ascii="Arial Narrow" w:hAnsi="Arial Narrow"/>
                <w:sz w:val="20"/>
              </w:rPr>
            </w:pPr>
            <w:r w:rsidRPr="00702AA9">
              <w:rPr>
                <w:rFonts w:ascii="Arial Narrow" w:hAnsi="Arial Narrow"/>
                <w:sz w:val="20"/>
              </w:rPr>
              <w:t>Patient must not receive more than 28 weeks of treatment under this restriction,</w:t>
            </w:r>
          </w:p>
          <w:p w:rsidR="00B8742C" w:rsidRPr="00702AA9" w:rsidRDefault="00B8742C" w:rsidP="007F70E2">
            <w:pPr>
              <w:rPr>
                <w:rFonts w:ascii="Arial Narrow" w:hAnsi="Arial Narrow"/>
                <w:sz w:val="20"/>
              </w:rPr>
            </w:pPr>
            <w:r w:rsidRPr="00702AA9">
              <w:rPr>
                <w:rFonts w:ascii="Arial Narrow" w:hAnsi="Arial Narrow"/>
                <w:sz w:val="20"/>
              </w:rPr>
              <w:t>AND</w:t>
            </w:r>
          </w:p>
          <w:p w:rsidR="00B8742C" w:rsidRPr="00702AA9" w:rsidRDefault="00B8742C" w:rsidP="004F0298">
            <w:pPr>
              <w:spacing w:before="40" w:after="40"/>
              <w:rPr>
                <w:rFonts w:ascii="Arial Narrow" w:hAnsi="Arial Narrow"/>
                <w:sz w:val="20"/>
                <w:szCs w:val="20"/>
              </w:rPr>
            </w:pPr>
            <w:r w:rsidRPr="00702AA9">
              <w:rPr>
                <w:rFonts w:ascii="Arial Narrow" w:hAnsi="Arial Narrow"/>
                <w:sz w:val="20"/>
              </w:rPr>
              <w:t xml:space="preserve">The treatment must not be used in combination with, or within 6 months of treatment with, PBS-subsidised mepolizumab </w:t>
            </w:r>
            <w:r w:rsidRPr="00702AA9">
              <w:rPr>
                <w:rFonts w:ascii="Arial Narrow" w:hAnsi="Arial Narrow"/>
                <w:i/>
                <w:sz w:val="20"/>
              </w:rPr>
              <w:t>or benralizumab</w:t>
            </w:r>
            <w:r w:rsidRPr="00702AA9">
              <w:rPr>
                <w:rFonts w:ascii="Arial Narrow" w:hAnsi="Arial Narrow"/>
                <w:sz w:val="20"/>
              </w:rPr>
              <w:t>.</w:t>
            </w:r>
          </w:p>
        </w:tc>
      </w:tr>
      <w:tr w:rsidR="00B8742C" w:rsidRPr="00702AA9" w:rsidTr="00B03053">
        <w:trPr>
          <w:cantSplit/>
          <w:trHeight w:val="360"/>
        </w:trPr>
        <w:tc>
          <w:tcPr>
            <w:tcW w:w="1286" w:type="pct"/>
            <w:tcBorders>
              <w:top w:val="single" w:sz="4" w:space="0" w:color="auto"/>
              <w:left w:val="single" w:sz="4" w:space="0" w:color="auto"/>
              <w:bottom w:val="single" w:sz="4" w:space="0" w:color="auto"/>
              <w:right w:val="single" w:sz="4" w:space="0" w:color="auto"/>
            </w:tcBorders>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4" w:type="pct"/>
            <w:gridSpan w:val="5"/>
            <w:tcBorders>
              <w:top w:val="single" w:sz="4" w:space="0" w:color="auto"/>
              <w:left w:val="single" w:sz="4" w:space="0" w:color="auto"/>
              <w:bottom w:val="single" w:sz="4" w:space="0" w:color="auto"/>
              <w:right w:val="single" w:sz="4" w:space="0" w:color="auto"/>
            </w:tcBorders>
          </w:tcPr>
          <w:p w:rsidR="00B8742C" w:rsidRPr="00702AA9" w:rsidRDefault="00B8742C" w:rsidP="007F70E2">
            <w:pPr>
              <w:rPr>
                <w:rFonts w:ascii="Arial Narrow" w:hAnsi="Arial Narrow"/>
                <w:sz w:val="20"/>
              </w:rPr>
            </w:pPr>
            <w:r w:rsidRPr="00702AA9">
              <w:rPr>
                <w:rFonts w:ascii="Arial Narrow" w:hAnsi="Arial Narrow"/>
                <w:sz w:val="20"/>
              </w:rPr>
              <w:t>Patient must be aged 12 years or older.</w:t>
            </w:r>
          </w:p>
        </w:tc>
      </w:tr>
      <w:tr w:rsidR="00B8742C" w:rsidRPr="00702AA9" w:rsidTr="00B03053">
        <w:trPr>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B03053">
            <w:pPr>
              <w:spacing w:before="40" w:after="40"/>
              <w:rPr>
                <w:rFonts w:ascii="Arial Narrow" w:hAnsi="Arial Narrow"/>
                <w:sz w:val="20"/>
              </w:rPr>
            </w:pPr>
            <w:r w:rsidRPr="00702AA9">
              <w:rPr>
                <w:rFonts w:ascii="Arial Narrow" w:hAnsi="Arial Narrow"/>
                <w:sz w:val="20"/>
              </w:rPr>
              <w:t>Optimised asthma therapy includes:</w:t>
            </w:r>
          </w:p>
          <w:p w:rsidR="00B8742C" w:rsidRPr="00702AA9" w:rsidRDefault="00B8742C" w:rsidP="00B03053">
            <w:pPr>
              <w:spacing w:before="40" w:after="40"/>
              <w:rPr>
                <w:rFonts w:ascii="Arial Narrow" w:hAnsi="Arial Narrow"/>
                <w:sz w:val="20"/>
              </w:rPr>
            </w:pPr>
            <w:r w:rsidRPr="00702AA9">
              <w:rPr>
                <w:rFonts w:ascii="Arial Narrow" w:hAnsi="Arial Narrow"/>
                <w:sz w:val="20"/>
              </w:rPr>
              <w:t>(i) Adherence to maximal inhaled therapy, including high dose inhaled corticosteroid (ICS) plus long-acting beta-2 agonist (LABA) therapy for at least 12 months, unless contraindicated or not tolerated;</w:t>
            </w:r>
          </w:p>
          <w:p w:rsidR="00B8742C" w:rsidRPr="00702AA9" w:rsidRDefault="00B8742C" w:rsidP="00B03053">
            <w:pPr>
              <w:spacing w:before="40" w:after="40"/>
              <w:rPr>
                <w:rFonts w:ascii="Arial Narrow" w:hAnsi="Arial Narrow"/>
                <w:sz w:val="20"/>
              </w:rPr>
            </w:pPr>
            <w:r w:rsidRPr="00702AA9">
              <w:rPr>
                <w:rFonts w:ascii="Arial Narrow" w:hAnsi="Arial Narrow"/>
                <w:sz w:val="20"/>
              </w:rPr>
              <w:t>AND</w:t>
            </w:r>
          </w:p>
          <w:p w:rsidR="00B8742C" w:rsidRPr="00702AA9" w:rsidRDefault="00B8742C" w:rsidP="00B03053">
            <w:pPr>
              <w:spacing w:before="40" w:after="40"/>
              <w:rPr>
                <w:rFonts w:ascii="Arial Narrow" w:hAnsi="Arial Narrow"/>
                <w:sz w:val="20"/>
              </w:rPr>
            </w:pPr>
            <w:r w:rsidRPr="00702AA9">
              <w:rPr>
                <w:rFonts w:ascii="Arial Narrow" w:hAnsi="Arial Narrow"/>
                <w:sz w:val="20"/>
              </w:rPr>
              <w:t>(ii) treatment with oral corticosteroids, either daily oral corticosteroids for at least 6 weeks, OR a cumulative dose of oral corticosteroids of at least 500 mg prednisolone equivalent in the previous 12 months, unless contraindicated or not tolerated.</w:t>
            </w:r>
          </w:p>
          <w:p w:rsidR="00B8742C" w:rsidRPr="00702AA9" w:rsidRDefault="00B8742C" w:rsidP="00B03053">
            <w:pPr>
              <w:spacing w:before="40" w:after="40"/>
              <w:rPr>
                <w:rFonts w:ascii="Arial Narrow" w:hAnsi="Arial Narrow"/>
                <w:sz w:val="20"/>
              </w:rPr>
            </w:pPr>
            <w:r w:rsidRPr="00702AA9">
              <w:rPr>
                <w:rFonts w:ascii="Arial Narrow" w:hAnsi="Arial Narrow"/>
                <w:sz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rsidR="00B8742C" w:rsidRPr="00702AA9" w:rsidRDefault="00B8742C" w:rsidP="00B03053">
            <w:pPr>
              <w:spacing w:before="40" w:after="40"/>
              <w:rPr>
                <w:rFonts w:ascii="Arial Narrow" w:hAnsi="Arial Narrow"/>
                <w:sz w:val="20"/>
              </w:rPr>
            </w:pPr>
            <w:r w:rsidRPr="00702AA9">
              <w:rPr>
                <w:rFonts w:ascii="Arial Narrow" w:hAnsi="Arial Narrow"/>
                <w:sz w:val="20"/>
              </w:rPr>
              <w:t>The initial IgE assessment must be no more than 12 months old at the time of application.</w:t>
            </w:r>
          </w:p>
          <w:p w:rsidR="00B8742C" w:rsidRPr="00702AA9" w:rsidRDefault="00B8742C" w:rsidP="00B03053">
            <w:pPr>
              <w:spacing w:before="40" w:after="40"/>
              <w:rPr>
                <w:rFonts w:ascii="Arial Narrow" w:hAnsi="Arial Narrow"/>
                <w:sz w:val="20"/>
              </w:rPr>
            </w:pPr>
            <w:r w:rsidRPr="00702AA9">
              <w:rPr>
                <w:rFonts w:ascii="Arial Narrow" w:hAnsi="Arial Narrow"/>
                <w:sz w:val="20"/>
              </w:rPr>
              <w:t>The following initiation criteria indicate failure to achieve adequate control and must be demonstrated in all patients at the time of the application:</w:t>
            </w:r>
          </w:p>
          <w:p w:rsidR="00B8742C" w:rsidRPr="00702AA9" w:rsidRDefault="00B8742C" w:rsidP="00B03053">
            <w:pPr>
              <w:spacing w:before="40" w:after="40"/>
              <w:rPr>
                <w:rFonts w:ascii="Arial Narrow" w:hAnsi="Arial Narrow"/>
                <w:sz w:val="20"/>
              </w:rPr>
            </w:pPr>
            <w:r w:rsidRPr="00702AA9">
              <w:rPr>
                <w:rFonts w:ascii="Arial Narrow" w:hAnsi="Arial Narrow"/>
                <w:sz w:val="20"/>
              </w:rPr>
              <w:t>(a) an Asthma Control Questionnaire (ACQ-5) score of at least 2.0, as assessed in the previous month, AND</w:t>
            </w:r>
          </w:p>
          <w:p w:rsidR="00B8742C" w:rsidRPr="00702AA9" w:rsidRDefault="00B8742C" w:rsidP="00B03053">
            <w:pPr>
              <w:spacing w:before="40" w:after="40"/>
              <w:rPr>
                <w:rFonts w:ascii="Arial Narrow" w:hAnsi="Arial Narrow"/>
                <w:sz w:val="20"/>
              </w:rPr>
            </w:pPr>
            <w:r w:rsidRPr="00702AA9">
              <w:rPr>
                <w:rFonts w:ascii="Arial Narrow" w:hAnsi="Arial Narrow"/>
                <w:sz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rsidR="00B8742C" w:rsidRPr="00702AA9" w:rsidRDefault="00B8742C" w:rsidP="00B03053">
            <w:pPr>
              <w:spacing w:before="40" w:after="40"/>
              <w:rPr>
                <w:rFonts w:ascii="Arial Narrow" w:hAnsi="Arial Narrow"/>
                <w:sz w:val="20"/>
              </w:rPr>
            </w:pPr>
            <w:r w:rsidRPr="00702AA9">
              <w:rPr>
                <w:rFonts w:ascii="Arial Narrow" w:hAnsi="Arial Narrow"/>
                <w:sz w:val="20"/>
              </w:rPr>
              <w:t>The Asthma Control Questionnaire (5 item version) assessment of the patient's response to this initial course of treatment, and the assessment of oral corticosteroid dose, must be made at around 22 to 26 weeks after the first dose so that there is adequate time for a response to be demonstrated and for the application for continuing therapy to be processed.</w:t>
            </w:r>
          </w:p>
          <w:p w:rsidR="00B8742C" w:rsidRPr="00702AA9" w:rsidRDefault="002F6364" w:rsidP="00B03053">
            <w:pPr>
              <w:spacing w:before="40" w:after="40"/>
              <w:rPr>
                <w:rFonts w:ascii="Arial Narrow" w:hAnsi="Arial Narrow"/>
                <w:sz w:val="20"/>
              </w:rPr>
            </w:pPr>
            <w:r w:rsidRPr="00702AA9">
              <w:rPr>
                <w:rFonts w:ascii="Arial Narrow" w:hAnsi="Arial Narrow"/>
                <w:sz w:val="20"/>
              </w:rPr>
              <w:t>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omalizumab.</w:t>
            </w:r>
          </w:p>
          <w:p w:rsidR="00B8742C" w:rsidRPr="00702AA9" w:rsidRDefault="00B8742C" w:rsidP="00B03053">
            <w:pPr>
              <w:spacing w:before="40" w:after="40"/>
              <w:rPr>
                <w:rFonts w:ascii="Arial Narrow" w:hAnsi="Arial Narrow"/>
                <w:sz w:val="20"/>
              </w:rPr>
            </w:pPr>
            <w:r w:rsidRPr="00702AA9">
              <w:rPr>
                <w:rFonts w:ascii="Arial Narrow" w:hAnsi="Arial Narrow"/>
                <w:sz w:val="20"/>
              </w:rPr>
              <w:t>A patient who fails to respond to a course of PBS-subsidised omalizumab for the treatment of uncontrolled severe allergic asthma will not be eligible to receive further PBS-subsidised treatment with omalizumab</w:t>
            </w:r>
            <w:r w:rsidRPr="00702AA9">
              <w:rPr>
                <w:rFonts w:ascii="Arial Narrow" w:hAnsi="Arial Narrow"/>
                <w:i/>
                <w:sz w:val="20"/>
              </w:rPr>
              <w:t>,</w:t>
            </w:r>
            <w:r w:rsidRPr="00702AA9">
              <w:rPr>
                <w:rFonts w:ascii="Arial Narrow" w:hAnsi="Arial Narrow"/>
                <w:sz w:val="20"/>
              </w:rPr>
              <w:t xml:space="preserve"> </w:t>
            </w:r>
            <w:r w:rsidRPr="00702AA9">
              <w:rPr>
                <w:rFonts w:ascii="Arial Narrow" w:hAnsi="Arial Narrow"/>
                <w:strike/>
                <w:sz w:val="20"/>
              </w:rPr>
              <w:t>or</w:t>
            </w:r>
            <w:r w:rsidRPr="00702AA9">
              <w:rPr>
                <w:rFonts w:ascii="Arial Narrow" w:hAnsi="Arial Narrow"/>
                <w:sz w:val="20"/>
              </w:rPr>
              <w:t xml:space="preserve"> mepolizumab</w:t>
            </w:r>
            <w:r w:rsidRPr="00702AA9">
              <w:rPr>
                <w:rFonts w:ascii="Arial Narrow" w:hAnsi="Arial Narrow"/>
                <w:i/>
                <w:sz w:val="20"/>
              </w:rPr>
              <w:t xml:space="preserve"> or benralizumab</w:t>
            </w:r>
            <w:r w:rsidRPr="00702AA9">
              <w:rPr>
                <w:rFonts w:ascii="Arial Narrow" w:hAnsi="Arial Narrow"/>
                <w:sz w:val="20"/>
              </w:rPr>
              <w:t xml:space="preserve"> for this condition within 6 months of the date on which treatment was ceased.</w:t>
            </w:r>
          </w:p>
          <w:p w:rsidR="00B8742C" w:rsidRPr="00702AA9" w:rsidRDefault="00B8742C" w:rsidP="00B03053">
            <w:pPr>
              <w:spacing w:before="40" w:after="40"/>
              <w:rPr>
                <w:rFonts w:ascii="Arial Narrow" w:hAnsi="Arial Narrow"/>
                <w:sz w:val="20"/>
              </w:rPr>
            </w:pPr>
            <w:r w:rsidRPr="00702AA9">
              <w:rPr>
                <w:rFonts w:ascii="Arial Narrow" w:hAnsi="Arial Narrow"/>
                <w:sz w:val="20"/>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p w:rsidR="00211F0A" w:rsidRPr="00702AA9" w:rsidRDefault="00211F0A" w:rsidP="00B03053">
            <w:pPr>
              <w:spacing w:before="40" w:after="40"/>
              <w:rPr>
                <w:rFonts w:ascii="Arial Narrow" w:hAnsi="Arial Narrow"/>
                <w:i/>
                <w:sz w:val="20"/>
              </w:rPr>
            </w:pPr>
            <w:r w:rsidRPr="00702AA9">
              <w:rPr>
                <w:rFonts w:ascii="Arial Narrow" w:hAnsi="Arial Narrow"/>
                <w:i/>
                <w:sz w:val="20"/>
              </w:rPr>
              <w:t>A multidisciplinary severe asthma clinic team comprises of:</w:t>
            </w:r>
          </w:p>
          <w:p w:rsidR="00211F0A" w:rsidRPr="00702AA9" w:rsidRDefault="00211F0A" w:rsidP="00B03053">
            <w:pPr>
              <w:pStyle w:val="ListParagraph"/>
              <w:numPr>
                <w:ilvl w:val="0"/>
                <w:numId w:val="2"/>
              </w:numPr>
              <w:spacing w:before="40" w:after="40"/>
              <w:rPr>
                <w:rFonts w:ascii="Arial Narrow" w:hAnsi="Arial Narrow"/>
                <w:i/>
                <w:sz w:val="20"/>
              </w:rPr>
            </w:pPr>
            <w:r w:rsidRPr="00702AA9">
              <w:rPr>
                <w:rFonts w:ascii="Arial Narrow" w:hAnsi="Arial Narrow"/>
                <w:i/>
                <w:sz w:val="20"/>
              </w:rPr>
              <w:t xml:space="preserve">A respiratory physician; and </w:t>
            </w:r>
          </w:p>
          <w:p w:rsidR="00211F0A" w:rsidRPr="00702AA9" w:rsidRDefault="00211F0A" w:rsidP="00B03053">
            <w:pPr>
              <w:pStyle w:val="ListParagraph"/>
              <w:numPr>
                <w:ilvl w:val="0"/>
                <w:numId w:val="2"/>
              </w:numPr>
              <w:spacing w:before="40" w:after="40"/>
              <w:rPr>
                <w:rFonts w:ascii="Arial Narrow" w:hAnsi="Arial Narrow"/>
                <w:i/>
                <w:sz w:val="20"/>
              </w:rPr>
            </w:pPr>
            <w:r w:rsidRPr="00702AA9">
              <w:rPr>
                <w:rFonts w:ascii="Arial Narrow" w:hAnsi="Arial Narrow"/>
                <w:i/>
                <w:sz w:val="20"/>
              </w:rPr>
              <w:t>A pharmacist, nurse or asthma educator.</w:t>
            </w:r>
          </w:p>
          <w:p w:rsidR="002F6364" w:rsidRPr="00702AA9" w:rsidRDefault="002F6364" w:rsidP="00B03053">
            <w:pPr>
              <w:spacing w:before="40" w:after="40"/>
              <w:rPr>
                <w:rFonts w:ascii="Arial Narrow" w:hAnsi="Arial Narrow"/>
                <w:i/>
                <w:sz w:val="20"/>
              </w:rPr>
            </w:pPr>
            <w:r w:rsidRPr="00702AA9">
              <w:rPr>
                <w:rFonts w:ascii="Arial Narrow" w:hAnsi="Arial Narrow"/>
                <w:i/>
                <w:sz w:val="20"/>
              </w:rPr>
              <w:t>Omalizumab may not be used concurrently with benralizumab or mepolizumab, or within 6 months of each other. A patient is required to have ceased treatment with benralizumab or mepolizumab for 6 months prior to initiating treatment with omalizumab.</w:t>
            </w:r>
          </w:p>
          <w:p w:rsidR="00B8742C" w:rsidRPr="00702AA9" w:rsidRDefault="00B8742C" w:rsidP="00B03053">
            <w:pPr>
              <w:spacing w:before="40" w:after="40"/>
              <w:rPr>
                <w:rFonts w:ascii="Arial Narrow" w:hAnsi="Arial Narrow"/>
                <w:sz w:val="20"/>
              </w:rPr>
            </w:pPr>
            <w:r w:rsidRPr="00702AA9">
              <w:rPr>
                <w:rFonts w:ascii="Arial Narrow" w:hAnsi="Arial Narrow"/>
                <w:sz w:val="20"/>
              </w:rPr>
              <w:t>The authority application must be made in writing and must include:</w:t>
            </w:r>
          </w:p>
          <w:p w:rsidR="00B8742C" w:rsidRPr="00702AA9" w:rsidRDefault="00B8742C" w:rsidP="00B03053">
            <w:pPr>
              <w:spacing w:before="40" w:after="40"/>
              <w:rPr>
                <w:rFonts w:ascii="Arial Narrow" w:hAnsi="Arial Narrow"/>
                <w:sz w:val="20"/>
              </w:rPr>
            </w:pPr>
            <w:r w:rsidRPr="00702AA9">
              <w:rPr>
                <w:rFonts w:ascii="Arial Narrow" w:hAnsi="Arial Narrow"/>
                <w:sz w:val="20"/>
              </w:rPr>
              <w:t>(a) a completed authority prescription form; and</w:t>
            </w:r>
          </w:p>
          <w:p w:rsidR="00B8742C" w:rsidRPr="00702AA9" w:rsidRDefault="00B8742C" w:rsidP="00B03053">
            <w:pPr>
              <w:spacing w:before="40" w:after="40"/>
              <w:rPr>
                <w:rFonts w:ascii="Arial Narrow" w:hAnsi="Arial Narrow"/>
                <w:sz w:val="20"/>
              </w:rPr>
            </w:pPr>
            <w:r w:rsidRPr="00702AA9">
              <w:rPr>
                <w:rFonts w:ascii="Arial Narrow" w:hAnsi="Arial Narrow"/>
                <w:sz w:val="20"/>
              </w:rPr>
              <w:t>(b) a completed Severe Allergic Asthma PBS Authority Application - Supporting Information Form,</w:t>
            </w:r>
          </w:p>
          <w:p w:rsidR="00B8742C" w:rsidRPr="00702AA9" w:rsidRDefault="00B8742C" w:rsidP="00B03053">
            <w:pPr>
              <w:spacing w:before="40" w:after="40"/>
              <w:rPr>
                <w:rFonts w:ascii="Arial Narrow" w:hAnsi="Arial Narrow"/>
                <w:sz w:val="20"/>
              </w:rPr>
            </w:pPr>
            <w:r w:rsidRPr="00702AA9">
              <w:rPr>
                <w:rFonts w:ascii="Arial Narrow" w:hAnsi="Arial Narrow"/>
                <w:sz w:val="20"/>
              </w:rPr>
              <w:t>which includes the following:</w:t>
            </w:r>
          </w:p>
          <w:p w:rsidR="00B8742C" w:rsidRPr="00702AA9" w:rsidRDefault="00B8742C" w:rsidP="00B03053">
            <w:pPr>
              <w:spacing w:before="40" w:after="40"/>
              <w:rPr>
                <w:rFonts w:ascii="Arial Narrow" w:hAnsi="Arial Narrow"/>
                <w:sz w:val="20"/>
              </w:rPr>
            </w:pPr>
            <w:r w:rsidRPr="00702AA9">
              <w:rPr>
                <w:rFonts w:ascii="Arial Narrow" w:hAnsi="Arial Narrow"/>
                <w:sz w:val="20"/>
              </w:rPr>
              <w:t>(i) details of prior optimised asthma drug therapy (date of commencement and duration of therapy); and</w:t>
            </w:r>
          </w:p>
          <w:p w:rsidR="00B8742C" w:rsidRPr="00702AA9" w:rsidRDefault="00B8742C" w:rsidP="00B03053">
            <w:pPr>
              <w:spacing w:before="40" w:after="40"/>
              <w:rPr>
                <w:rFonts w:ascii="Arial Narrow" w:hAnsi="Arial Narrow"/>
                <w:sz w:val="20"/>
              </w:rPr>
            </w:pPr>
            <w:r w:rsidRPr="00702AA9">
              <w:rPr>
                <w:rFonts w:ascii="Arial Narrow" w:hAnsi="Arial Narrow"/>
                <w:sz w:val="20"/>
              </w:rPr>
              <w:t>(ii) details of severe exacerbation/s experienced in the past 12 months while receiving optimised asthma therapy (date and treatment); and</w:t>
            </w:r>
          </w:p>
          <w:p w:rsidR="00B8742C" w:rsidRPr="00702AA9" w:rsidRDefault="00B8742C" w:rsidP="00B03053">
            <w:pPr>
              <w:spacing w:before="40" w:after="40"/>
              <w:rPr>
                <w:rFonts w:ascii="Arial Narrow" w:hAnsi="Arial Narrow"/>
                <w:sz w:val="20"/>
              </w:rPr>
            </w:pPr>
            <w:r w:rsidRPr="00702AA9">
              <w:rPr>
                <w:rFonts w:ascii="Arial Narrow" w:hAnsi="Arial Narrow"/>
                <w:sz w:val="20"/>
              </w:rPr>
              <w:t>(iii) the signed patient or parent/guardian acknowledgement; and</w:t>
            </w:r>
          </w:p>
          <w:p w:rsidR="00B8742C" w:rsidRPr="00702AA9" w:rsidRDefault="00B8742C" w:rsidP="00B03053">
            <w:pPr>
              <w:spacing w:before="40" w:after="40"/>
              <w:rPr>
                <w:rFonts w:ascii="Arial Narrow" w:hAnsi="Arial Narrow"/>
                <w:sz w:val="20"/>
              </w:rPr>
            </w:pPr>
            <w:r w:rsidRPr="00702AA9">
              <w:rPr>
                <w:rFonts w:ascii="Arial Narrow" w:hAnsi="Arial Narrow"/>
                <w:sz w:val="20"/>
              </w:rPr>
              <w:t xml:space="preserve">(c) the IgE pathology report; and </w:t>
            </w:r>
          </w:p>
          <w:p w:rsidR="00B8742C" w:rsidRPr="00702AA9" w:rsidRDefault="00B8742C" w:rsidP="00B03053">
            <w:pPr>
              <w:spacing w:before="40" w:after="40"/>
              <w:rPr>
                <w:rFonts w:ascii="Arial Narrow" w:hAnsi="Arial Narrow"/>
                <w:sz w:val="20"/>
                <w:szCs w:val="24"/>
              </w:rPr>
            </w:pPr>
            <w:r w:rsidRPr="00702AA9">
              <w:rPr>
                <w:rFonts w:ascii="Arial Narrow" w:hAnsi="Arial Narrow"/>
                <w:sz w:val="20"/>
              </w:rPr>
              <w:t>(d) a completed Asthma Control Questionnaire (ACQ-5) calculation sheet including the date of assessment of the patient's symptoms.</w:t>
            </w:r>
          </w:p>
        </w:tc>
      </w:tr>
      <w:tr w:rsidR="00B8742C" w:rsidRPr="00702AA9" w:rsidTr="00B03053">
        <w:trPr>
          <w:trHeight w:val="360"/>
        </w:trPr>
        <w:tc>
          <w:tcPr>
            <w:tcW w:w="1286" w:type="pct"/>
            <w:tcBorders>
              <w:top w:val="single" w:sz="4" w:space="0" w:color="auto"/>
              <w:left w:val="single" w:sz="4" w:space="0" w:color="auto"/>
              <w:bottom w:val="single" w:sz="4" w:space="0" w:color="auto"/>
              <w:right w:val="single" w:sz="4" w:space="0" w:color="auto"/>
            </w:tcBorders>
            <w:hideMark/>
          </w:tcPr>
          <w:p w:rsidR="00B8742C" w:rsidRPr="00702AA9" w:rsidRDefault="00B8742C" w:rsidP="007F70E2">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4" w:type="pct"/>
            <w:gridSpan w:val="5"/>
            <w:tcBorders>
              <w:top w:val="single" w:sz="4" w:space="0" w:color="auto"/>
              <w:left w:val="single" w:sz="4" w:space="0" w:color="auto"/>
              <w:bottom w:val="single" w:sz="4" w:space="0" w:color="auto"/>
              <w:right w:val="single" w:sz="4" w:space="0" w:color="auto"/>
            </w:tcBorders>
            <w:hideMark/>
          </w:tcPr>
          <w:p w:rsidR="00B8742C" w:rsidRPr="00702AA9" w:rsidRDefault="00B8742C" w:rsidP="00B03053">
            <w:pPr>
              <w:spacing w:before="40" w:after="40"/>
              <w:rPr>
                <w:rFonts w:ascii="Arial Narrow" w:hAnsi="Arial Narrow"/>
                <w:sz w:val="20"/>
              </w:rPr>
            </w:pPr>
            <w:r w:rsidRPr="00702AA9">
              <w:rPr>
                <w:rFonts w:ascii="Arial Narrow" w:hAnsi="Arial Narrow"/>
                <w:sz w:val="20"/>
              </w:rPr>
              <w:t>The Department of Human Services website (www.humanservices.gov.au) has details of the accepted toxicities, including severity, which will be accepted for the purposes of exempting a patient from the requirement of treatment with optimised asthma therapy.</w:t>
            </w:r>
          </w:p>
          <w:p w:rsidR="00B8742C" w:rsidRPr="00702AA9" w:rsidRDefault="00B8742C" w:rsidP="00B03053">
            <w:pPr>
              <w:spacing w:before="40" w:after="40"/>
              <w:rPr>
                <w:rFonts w:ascii="Arial Narrow" w:hAnsi="Arial Narrow"/>
                <w:sz w:val="20"/>
              </w:rPr>
            </w:pPr>
            <w:r w:rsidRPr="00702AA9">
              <w:rPr>
                <w:rFonts w:ascii="Arial Narrow" w:hAnsi="Arial Narrow"/>
                <w:sz w:val="20"/>
              </w:rPr>
              <w:t xml:space="preserve">For copies of the ACQ and the calculation sheets please contact Novartis Medical Information on 1800 671 203 or </w:t>
            </w:r>
            <w:r w:rsidRPr="00127CDA">
              <w:rPr>
                <w:rFonts w:ascii="Arial Narrow" w:hAnsi="Arial Narrow"/>
                <w:sz w:val="20"/>
              </w:rPr>
              <w:t>medinfo.phauno@novartis.com</w:t>
            </w:r>
          </w:p>
          <w:p w:rsidR="00B8742C" w:rsidRPr="00702AA9" w:rsidRDefault="00B8742C" w:rsidP="00B03053">
            <w:pPr>
              <w:spacing w:before="40" w:after="40"/>
              <w:rPr>
                <w:rFonts w:ascii="Arial Narrow" w:hAnsi="Arial Narrow"/>
                <w:sz w:val="20"/>
              </w:rPr>
            </w:pPr>
            <w:r w:rsidRPr="00702AA9">
              <w:rPr>
                <w:rFonts w:ascii="Arial Narrow" w:hAnsi="Arial Narrow"/>
                <w:sz w:val="20"/>
              </w:rPr>
              <w:t>It is recommended that an application for continuing treatment is submitted at the time of the 22 to 26 week assessment, to ensure continuity of treatment for those patients who meet the continuation criterion for PBS-subsidised omalizumab treatment.</w:t>
            </w:r>
          </w:p>
          <w:p w:rsidR="00B8742C" w:rsidRPr="00702AA9" w:rsidRDefault="00B8742C" w:rsidP="00B03053">
            <w:pPr>
              <w:spacing w:before="40" w:after="40"/>
              <w:rPr>
                <w:rFonts w:ascii="Arial Narrow" w:hAnsi="Arial Narrow"/>
                <w:sz w:val="20"/>
              </w:rPr>
            </w:pPr>
            <w:r w:rsidRPr="00702AA9">
              <w:rPr>
                <w:rFonts w:ascii="Arial Narrow" w:hAnsi="Arial Narrow"/>
                <w:sz w:val="20"/>
              </w:rPr>
              <w:t>Any queries concerning the arrangements to prescribe may be directed to the Department of Human Services on 1800 700 270 (hours of operation 8 a.m. to 5 p.m. EST Monday to Friday).</w:t>
            </w:r>
          </w:p>
          <w:p w:rsidR="00B8742C" w:rsidRPr="00702AA9" w:rsidRDefault="00B8742C" w:rsidP="00B03053">
            <w:pPr>
              <w:spacing w:before="40" w:after="40"/>
              <w:rPr>
                <w:rFonts w:ascii="Arial Narrow" w:hAnsi="Arial Narrow"/>
                <w:sz w:val="20"/>
              </w:rPr>
            </w:pPr>
            <w:r w:rsidRPr="00702AA9">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B8742C" w:rsidRPr="00702AA9" w:rsidRDefault="00B8742C" w:rsidP="00B03053">
            <w:pPr>
              <w:spacing w:before="40" w:after="40"/>
              <w:rPr>
                <w:rFonts w:ascii="Arial Narrow" w:hAnsi="Arial Narrow"/>
                <w:sz w:val="20"/>
              </w:rPr>
            </w:pPr>
            <w:r w:rsidRPr="00702AA9">
              <w:rPr>
                <w:rFonts w:ascii="Arial Narrow" w:hAnsi="Arial Narrow"/>
                <w:sz w:val="20"/>
              </w:rPr>
              <w:t>Applications for authority to prescribe should be forwarded to:</w:t>
            </w:r>
          </w:p>
          <w:p w:rsidR="00B8742C" w:rsidRPr="00702AA9" w:rsidRDefault="00B8742C" w:rsidP="00B03053">
            <w:pPr>
              <w:spacing w:before="40" w:after="40"/>
              <w:rPr>
                <w:rFonts w:ascii="Arial Narrow" w:hAnsi="Arial Narrow"/>
                <w:sz w:val="20"/>
              </w:rPr>
            </w:pPr>
            <w:r w:rsidRPr="00702AA9">
              <w:rPr>
                <w:rFonts w:ascii="Arial Narrow" w:hAnsi="Arial Narrow"/>
                <w:sz w:val="20"/>
              </w:rPr>
              <w:t>Department of Human Services</w:t>
            </w:r>
          </w:p>
          <w:p w:rsidR="00B8742C" w:rsidRPr="00702AA9" w:rsidRDefault="00B8742C" w:rsidP="00B03053">
            <w:pPr>
              <w:spacing w:before="40" w:after="40"/>
              <w:rPr>
                <w:rFonts w:ascii="Arial Narrow" w:hAnsi="Arial Narrow"/>
                <w:sz w:val="20"/>
              </w:rPr>
            </w:pPr>
            <w:r w:rsidRPr="00702AA9">
              <w:rPr>
                <w:rFonts w:ascii="Arial Narrow" w:hAnsi="Arial Narrow"/>
                <w:sz w:val="20"/>
              </w:rPr>
              <w:t>Complex Drugs</w:t>
            </w:r>
          </w:p>
          <w:p w:rsidR="00B8742C" w:rsidRPr="00702AA9" w:rsidRDefault="00B8742C" w:rsidP="00B03053">
            <w:pPr>
              <w:spacing w:before="40" w:after="40"/>
              <w:rPr>
                <w:rFonts w:ascii="Arial Narrow" w:hAnsi="Arial Narrow"/>
                <w:sz w:val="20"/>
              </w:rPr>
            </w:pPr>
            <w:r w:rsidRPr="00702AA9">
              <w:rPr>
                <w:rFonts w:ascii="Arial Narrow" w:hAnsi="Arial Narrow"/>
                <w:sz w:val="20"/>
              </w:rPr>
              <w:t>Reply Paid 9826</w:t>
            </w:r>
          </w:p>
          <w:p w:rsidR="00B8742C" w:rsidRPr="00702AA9" w:rsidRDefault="00B8742C" w:rsidP="00B03053">
            <w:pPr>
              <w:spacing w:before="40" w:after="40"/>
              <w:rPr>
                <w:rFonts w:ascii="Arial Narrow" w:hAnsi="Arial Narrow"/>
                <w:sz w:val="20"/>
              </w:rPr>
            </w:pPr>
            <w:r w:rsidRPr="00702AA9">
              <w:rPr>
                <w:rFonts w:ascii="Arial Narrow" w:hAnsi="Arial Narrow"/>
                <w:sz w:val="20"/>
              </w:rPr>
              <w:t>HOBART TAS 7001</w:t>
            </w:r>
          </w:p>
          <w:p w:rsidR="00B8742C" w:rsidRPr="00702AA9" w:rsidRDefault="00B8742C" w:rsidP="00B03053">
            <w:pPr>
              <w:spacing w:before="40" w:after="40"/>
              <w:rPr>
                <w:rFonts w:ascii="Arial Narrow" w:hAnsi="Arial Narrow"/>
                <w:sz w:val="20"/>
              </w:rPr>
            </w:pPr>
            <w:r w:rsidRPr="00702AA9">
              <w:rPr>
                <w:rFonts w:ascii="Arial Narrow" w:hAnsi="Arial Narrow"/>
                <w:sz w:val="20"/>
              </w:rPr>
              <w:t>Note</w:t>
            </w:r>
            <w:r w:rsidR="00B03053">
              <w:rPr>
                <w:rFonts w:ascii="Arial Narrow" w:hAnsi="Arial Narrow"/>
                <w:sz w:val="20"/>
              </w:rPr>
              <w:t>:</w:t>
            </w:r>
          </w:p>
          <w:p w:rsidR="00B8742C" w:rsidRPr="00702AA9" w:rsidRDefault="00B8742C" w:rsidP="00B03053">
            <w:pPr>
              <w:spacing w:before="40" w:after="40"/>
              <w:rPr>
                <w:rFonts w:ascii="Arial Narrow" w:hAnsi="Arial Narrow"/>
                <w:sz w:val="20"/>
              </w:rPr>
            </w:pPr>
            <w:r w:rsidRPr="00702AA9">
              <w:rPr>
                <w:rFonts w:ascii="Arial Narrow" w:hAnsi="Arial Narrow"/>
                <w:sz w:val="20"/>
              </w:rPr>
              <w:t>TREATMENT OF ADULT AND ADOLESCENT PATIENTS WITH UNCONTROLLED SEVERE ALLERGIC ASTHMA</w:t>
            </w:r>
          </w:p>
          <w:p w:rsidR="00B8742C" w:rsidRPr="00702AA9" w:rsidRDefault="00B8742C" w:rsidP="00B03053">
            <w:pPr>
              <w:spacing w:before="40" w:after="40"/>
              <w:rPr>
                <w:rFonts w:ascii="Arial Narrow" w:hAnsi="Arial Narrow"/>
                <w:sz w:val="20"/>
              </w:rPr>
            </w:pPr>
            <w:r w:rsidRPr="00702AA9">
              <w:rPr>
                <w:rFonts w:ascii="Arial Narrow" w:hAnsi="Arial Narrow"/>
                <w:sz w:val="20"/>
              </w:rPr>
              <w:t>Patients are eligible to commence an 'omalizumab treatment cycle' (initial treatment course with or without continuing treatment course/s) if they satisfy the eligibility criteria as detailed under the initial treatment restriction.</w:t>
            </w:r>
          </w:p>
          <w:p w:rsidR="00B8742C" w:rsidRPr="00702AA9" w:rsidRDefault="00B8742C" w:rsidP="00B03053">
            <w:pPr>
              <w:spacing w:before="40" w:after="40"/>
              <w:rPr>
                <w:rFonts w:ascii="Arial Narrow" w:hAnsi="Arial Narrow"/>
                <w:sz w:val="20"/>
              </w:rPr>
            </w:pPr>
            <w:r w:rsidRPr="00702AA9">
              <w:rPr>
                <w:rFonts w:ascii="Arial Narrow" w:hAnsi="Arial Narrow"/>
                <w:sz w:val="20"/>
              </w:rPr>
              <w:t xml:space="preserve">Once a patient has either failed to achieve or maintain a response to omalizumab, they are deemed to have completed a treatment cycle and they must have, at a minimum, a 6 month break in PBS-subsidised omalizumab therapy before they are eligible to commence the next omalizumab treatment cycle, or if eligible, a ‘mepolizumab treatment cycle’ </w:t>
            </w:r>
            <w:r w:rsidRPr="00702AA9">
              <w:rPr>
                <w:rFonts w:ascii="Arial Narrow" w:hAnsi="Arial Narrow"/>
                <w:i/>
                <w:sz w:val="20"/>
              </w:rPr>
              <w:t>or a 'benralizumab treatment cycle'</w:t>
            </w:r>
            <w:r w:rsidRPr="00702AA9">
              <w:rPr>
                <w:rFonts w:ascii="Arial Narrow" w:hAnsi="Arial Narrow"/>
                <w:sz w:val="20"/>
              </w:rPr>
              <w:t>. The length of a treatment break is measured from the date the most recent treatment with PBS-subsidised omalizumab</w:t>
            </w:r>
            <w:r w:rsidRPr="00702AA9">
              <w:rPr>
                <w:rFonts w:ascii="Arial Narrow" w:hAnsi="Arial Narrow"/>
                <w:i/>
                <w:sz w:val="20"/>
              </w:rPr>
              <w:t>,</w:t>
            </w:r>
            <w:r w:rsidRPr="00702AA9">
              <w:rPr>
                <w:rFonts w:ascii="Arial Narrow" w:hAnsi="Arial Narrow"/>
                <w:sz w:val="20"/>
              </w:rPr>
              <w:t xml:space="preserve"> </w:t>
            </w:r>
            <w:r w:rsidRPr="00702AA9">
              <w:rPr>
                <w:rFonts w:ascii="Arial Narrow" w:hAnsi="Arial Narrow"/>
                <w:strike/>
                <w:sz w:val="20"/>
              </w:rPr>
              <w:t>or</w:t>
            </w:r>
            <w:r w:rsidRPr="00702AA9">
              <w:rPr>
                <w:rFonts w:ascii="Arial Narrow" w:hAnsi="Arial Narrow"/>
                <w:sz w:val="20"/>
              </w:rPr>
              <w:t xml:space="preserve"> mepolizumab </w:t>
            </w:r>
            <w:r w:rsidRPr="00702AA9">
              <w:rPr>
                <w:rFonts w:ascii="Arial Narrow" w:hAnsi="Arial Narrow"/>
                <w:i/>
                <w:sz w:val="20"/>
              </w:rPr>
              <w:t>or benralizumab</w:t>
            </w:r>
            <w:r w:rsidRPr="00702AA9">
              <w:rPr>
                <w:rFonts w:ascii="Arial Narrow" w:hAnsi="Arial Narrow"/>
                <w:sz w:val="20"/>
              </w:rPr>
              <w:t xml:space="preserve"> is stopped to the date of the first application for initial treatment with omalizumab</w:t>
            </w:r>
            <w:r w:rsidRPr="00702AA9">
              <w:rPr>
                <w:rFonts w:ascii="Arial Narrow" w:hAnsi="Arial Narrow"/>
                <w:i/>
                <w:sz w:val="20"/>
              </w:rPr>
              <w:t>,</w:t>
            </w:r>
            <w:r w:rsidRPr="00702AA9">
              <w:rPr>
                <w:rFonts w:ascii="Arial Narrow" w:hAnsi="Arial Narrow"/>
                <w:sz w:val="20"/>
              </w:rPr>
              <w:t xml:space="preserve"> </w:t>
            </w:r>
            <w:r w:rsidRPr="00702AA9">
              <w:rPr>
                <w:rFonts w:ascii="Arial Narrow" w:hAnsi="Arial Narrow"/>
                <w:strike/>
                <w:sz w:val="20"/>
              </w:rPr>
              <w:t>or</w:t>
            </w:r>
            <w:r w:rsidRPr="00702AA9">
              <w:rPr>
                <w:rFonts w:ascii="Arial Narrow" w:hAnsi="Arial Narrow"/>
                <w:sz w:val="20"/>
              </w:rPr>
              <w:t xml:space="preserve"> mepolizumab </w:t>
            </w:r>
            <w:r w:rsidRPr="00702AA9">
              <w:rPr>
                <w:rFonts w:ascii="Arial Narrow" w:hAnsi="Arial Narrow"/>
                <w:i/>
                <w:sz w:val="20"/>
              </w:rPr>
              <w:t>or benralizumab</w:t>
            </w:r>
            <w:r w:rsidRPr="00702AA9">
              <w:rPr>
                <w:rFonts w:ascii="Arial Narrow" w:hAnsi="Arial Narrow"/>
                <w:sz w:val="20"/>
              </w:rPr>
              <w:t xml:space="preserve"> under the new treatment cycle.</w:t>
            </w:r>
          </w:p>
          <w:p w:rsidR="00B8742C" w:rsidRPr="00702AA9" w:rsidRDefault="00B8742C" w:rsidP="00B03053">
            <w:pPr>
              <w:spacing w:before="40" w:after="40"/>
              <w:rPr>
                <w:rFonts w:ascii="Arial Narrow" w:hAnsi="Arial Narrow"/>
                <w:sz w:val="20"/>
              </w:rPr>
            </w:pPr>
            <w:r w:rsidRPr="00702AA9">
              <w:rPr>
                <w:rFonts w:ascii="Arial Narrow" w:hAnsi="Arial Narrow"/>
                <w:sz w:val="20"/>
              </w:rPr>
              <w:t>There is no limit to the number of treatment cycles a patient may undertake in their lifetime.</w:t>
            </w:r>
          </w:p>
          <w:p w:rsidR="00B8742C" w:rsidRPr="00702AA9" w:rsidRDefault="00B8742C" w:rsidP="00B03053">
            <w:pPr>
              <w:spacing w:before="40" w:after="40"/>
              <w:rPr>
                <w:rFonts w:ascii="Arial Narrow" w:hAnsi="Arial Narrow"/>
                <w:sz w:val="20"/>
              </w:rPr>
            </w:pPr>
            <w:r w:rsidRPr="00702AA9">
              <w:rPr>
                <w:rFonts w:ascii="Arial Narrow" w:hAnsi="Arial Narrow"/>
                <w:sz w:val="20"/>
              </w:rPr>
              <w:t>(1) How to prescribe PBS-subsidised omalizumab therapy:</w:t>
            </w:r>
          </w:p>
          <w:p w:rsidR="00B8742C" w:rsidRPr="00702AA9" w:rsidRDefault="00B8742C" w:rsidP="00B03053">
            <w:pPr>
              <w:spacing w:before="40" w:after="40"/>
              <w:rPr>
                <w:rFonts w:ascii="Arial Narrow" w:hAnsi="Arial Narrow"/>
                <w:sz w:val="20"/>
              </w:rPr>
            </w:pPr>
            <w:r w:rsidRPr="00702AA9">
              <w:rPr>
                <w:rFonts w:ascii="Arial Narrow" w:hAnsi="Arial Narrow"/>
                <w:sz w:val="20"/>
              </w:rPr>
              <w:t>(a) Initial treatment:</w:t>
            </w:r>
          </w:p>
          <w:p w:rsidR="00B8742C" w:rsidRPr="00702AA9" w:rsidRDefault="00B8742C" w:rsidP="00B03053">
            <w:pPr>
              <w:spacing w:before="40" w:after="40"/>
              <w:rPr>
                <w:rFonts w:ascii="Arial Narrow" w:hAnsi="Arial Narrow"/>
                <w:sz w:val="20"/>
              </w:rPr>
            </w:pPr>
            <w:r w:rsidRPr="00702AA9">
              <w:rPr>
                <w:rFonts w:ascii="Arial Narrow" w:hAnsi="Arial Narrow"/>
                <w:sz w:val="20"/>
              </w:rPr>
              <w:t>Applications for initial treatment should be made where:</w:t>
            </w:r>
          </w:p>
          <w:p w:rsidR="00B8742C" w:rsidRPr="00702AA9" w:rsidRDefault="00B8742C" w:rsidP="00B03053">
            <w:pPr>
              <w:spacing w:before="40" w:after="40"/>
              <w:rPr>
                <w:rFonts w:ascii="Arial Narrow" w:hAnsi="Arial Narrow"/>
                <w:sz w:val="20"/>
              </w:rPr>
            </w:pPr>
            <w:r w:rsidRPr="00702AA9">
              <w:rPr>
                <w:rFonts w:ascii="Arial Narrow" w:hAnsi="Arial Narrow"/>
                <w:sz w:val="20"/>
              </w:rPr>
              <w:t>i) A patient has received no prior PBS-subsidised omalizumab treatment and wishes to commence such therapy; or</w:t>
            </w:r>
          </w:p>
          <w:p w:rsidR="00B8742C" w:rsidRPr="00702AA9" w:rsidRDefault="00B8742C" w:rsidP="00B03053">
            <w:pPr>
              <w:spacing w:before="40" w:after="40"/>
              <w:rPr>
                <w:rFonts w:ascii="Arial Narrow" w:hAnsi="Arial Narrow"/>
                <w:sz w:val="20"/>
              </w:rPr>
            </w:pPr>
            <w:r w:rsidRPr="00702AA9">
              <w:rPr>
                <w:rFonts w:ascii="Arial Narrow" w:hAnsi="Arial Narrow"/>
                <w:sz w:val="20"/>
              </w:rPr>
              <w:t>ii) A patient wishes to recommence treatment with omalizumab following a break in PBS-subsidised therapy of more than 6 months; or</w:t>
            </w:r>
          </w:p>
          <w:p w:rsidR="00B8742C" w:rsidRPr="00702AA9" w:rsidRDefault="00B8742C" w:rsidP="00B03053">
            <w:pPr>
              <w:spacing w:before="40" w:after="40"/>
              <w:rPr>
                <w:rFonts w:ascii="Arial Narrow" w:hAnsi="Arial Narrow"/>
                <w:sz w:val="20"/>
              </w:rPr>
            </w:pPr>
            <w:r w:rsidRPr="00702AA9">
              <w:rPr>
                <w:rFonts w:ascii="Arial Narrow" w:hAnsi="Arial Narrow"/>
                <w:sz w:val="20"/>
              </w:rPr>
              <w:t>iii) A patient has received prior PBS-subsidised mepolizumab</w:t>
            </w:r>
            <w:r w:rsidRPr="00702AA9">
              <w:rPr>
                <w:rFonts w:ascii="Arial Narrow" w:hAnsi="Arial Narrow"/>
                <w:i/>
                <w:sz w:val="20"/>
              </w:rPr>
              <w:t xml:space="preserve"> or</w:t>
            </w:r>
            <w:r w:rsidRPr="00702AA9">
              <w:rPr>
                <w:rFonts w:ascii="Arial Narrow" w:hAnsi="Arial Narrow"/>
                <w:sz w:val="20"/>
              </w:rPr>
              <w:t xml:space="preserve"> </w:t>
            </w:r>
            <w:r w:rsidRPr="00702AA9">
              <w:rPr>
                <w:rFonts w:ascii="Arial Narrow" w:hAnsi="Arial Narrow"/>
                <w:i/>
                <w:sz w:val="20"/>
              </w:rPr>
              <w:t>benralizumab</w:t>
            </w:r>
            <w:r w:rsidRPr="00702AA9">
              <w:rPr>
                <w:rFonts w:ascii="Arial Narrow" w:hAnsi="Arial Narrow"/>
                <w:sz w:val="20"/>
              </w:rPr>
              <w:t xml:space="preserve"> and wishes to commence treatment with omalizumab after a treatment break of 6 months.</w:t>
            </w:r>
          </w:p>
          <w:p w:rsidR="00B8742C" w:rsidRPr="00702AA9" w:rsidRDefault="00B8742C" w:rsidP="00B03053">
            <w:pPr>
              <w:spacing w:before="40" w:after="40"/>
              <w:rPr>
                <w:rFonts w:ascii="Arial Narrow" w:hAnsi="Arial Narrow"/>
                <w:sz w:val="20"/>
              </w:rPr>
            </w:pPr>
            <w:r w:rsidRPr="00702AA9">
              <w:rPr>
                <w:rFonts w:ascii="Arial Narrow" w:hAnsi="Arial Narrow"/>
                <w:sz w:val="20"/>
              </w:rPr>
              <w:t xml:space="preserve">All applications for initial treatment </w:t>
            </w:r>
            <w:r w:rsidRPr="00702AA9">
              <w:rPr>
                <w:rFonts w:ascii="Arial Narrow" w:hAnsi="Arial Narrow"/>
                <w:strike/>
                <w:sz w:val="20"/>
              </w:rPr>
              <w:t xml:space="preserve">for non-grandfather patients </w:t>
            </w:r>
            <w:r w:rsidRPr="00702AA9">
              <w:rPr>
                <w:rFonts w:ascii="Arial Narrow" w:hAnsi="Arial Narrow"/>
                <w:sz w:val="20"/>
              </w:rPr>
              <w:t>will be limited to provide for a maximum of 28 weeks of therapy of omalizumab.</w:t>
            </w:r>
          </w:p>
          <w:p w:rsidR="00B8742C" w:rsidRPr="00702AA9" w:rsidRDefault="00B8742C" w:rsidP="00B03053">
            <w:pPr>
              <w:spacing w:before="40" w:after="40"/>
              <w:rPr>
                <w:rFonts w:ascii="Arial Narrow" w:hAnsi="Arial Narrow"/>
                <w:sz w:val="20"/>
              </w:rPr>
            </w:pPr>
            <w:r w:rsidRPr="00702AA9">
              <w:rPr>
                <w:rFonts w:ascii="Arial Narrow" w:hAnsi="Arial Narrow"/>
                <w:sz w:val="20"/>
              </w:rPr>
              <w:t>(b) Continuing treatment:</w:t>
            </w:r>
          </w:p>
          <w:p w:rsidR="00B8742C" w:rsidRPr="00702AA9" w:rsidRDefault="00B8742C" w:rsidP="00B03053">
            <w:pPr>
              <w:spacing w:before="40" w:after="40"/>
              <w:rPr>
                <w:rFonts w:ascii="Arial Narrow" w:hAnsi="Arial Narrow"/>
                <w:sz w:val="20"/>
              </w:rPr>
            </w:pPr>
            <w:r w:rsidRPr="00702AA9">
              <w:rPr>
                <w:rFonts w:ascii="Arial Narrow" w:hAnsi="Arial Narrow"/>
                <w:sz w:val="20"/>
              </w:rPr>
              <w:t>Following the completion of the initial treatment course with omalizumab, a patient may qualify to receive up to a further 24 weeks of continuing treatment with omalizumab providing they have demonstrated an adequate response to treatment. The patient remains eligible to receive continuing omalizumab treatment in courses of up to 24 weeks providing they continue to sustain the response.</w:t>
            </w:r>
          </w:p>
          <w:p w:rsidR="00B8742C" w:rsidRPr="00702AA9" w:rsidRDefault="00B8742C" w:rsidP="00B03053">
            <w:pPr>
              <w:spacing w:before="40" w:after="40"/>
              <w:rPr>
                <w:rFonts w:ascii="Arial Narrow" w:hAnsi="Arial Narrow"/>
                <w:sz w:val="20"/>
              </w:rPr>
            </w:pPr>
            <w:r w:rsidRPr="00702AA9">
              <w:rPr>
                <w:rFonts w:ascii="Arial Narrow" w:hAnsi="Arial Narrow"/>
                <w:sz w:val="20"/>
              </w:rPr>
              <w:t>(2) Baseline measurements to determine response:</w:t>
            </w:r>
          </w:p>
          <w:p w:rsidR="00B8742C" w:rsidRPr="00702AA9" w:rsidRDefault="00B8742C" w:rsidP="00B03053">
            <w:pPr>
              <w:spacing w:before="40" w:after="40"/>
              <w:rPr>
                <w:rFonts w:ascii="Arial Narrow" w:hAnsi="Arial Narrow"/>
                <w:sz w:val="20"/>
              </w:rPr>
            </w:pPr>
            <w:r w:rsidRPr="00702AA9">
              <w:rPr>
                <w:rFonts w:ascii="Arial Narrow" w:hAnsi="Arial Narrow"/>
                <w:sz w:val="20"/>
              </w:rPr>
              <w:t>The Department of Human Services will determine whether a response to treatment has been demonstrated based on the baseline measurements of the Asthma Control Questionnaire (ACQ; 5 item version) or oral corticosteroid dose submitted with the Initial authority application for omalizumab. For patients transitioned from the paediatric to the adolescent/adult restriction, the exacerbation history may also be used to determine response. However, prescribers may provide new baseline measurements when a new Initial treatment authority application is submitted and the Department of Human Services will assess response according to these revised baseline measurements.</w:t>
            </w:r>
          </w:p>
          <w:p w:rsidR="00B8742C" w:rsidRPr="00702AA9" w:rsidRDefault="00B8742C" w:rsidP="00B03053">
            <w:pPr>
              <w:spacing w:before="40" w:after="40"/>
              <w:rPr>
                <w:rFonts w:ascii="Arial Narrow" w:hAnsi="Arial Narrow"/>
                <w:sz w:val="20"/>
              </w:rPr>
            </w:pPr>
            <w:r w:rsidRPr="00702AA9">
              <w:rPr>
                <w:rFonts w:ascii="Arial Narrow" w:hAnsi="Arial Narrow"/>
                <w:sz w:val="20"/>
              </w:rPr>
              <w:t>(3) Re-commencement of treatment after a 6 month break in PBS-subsidised therapy:</w:t>
            </w:r>
          </w:p>
          <w:p w:rsidR="00B8742C" w:rsidRPr="00702AA9" w:rsidRDefault="00B8742C" w:rsidP="00B03053">
            <w:pPr>
              <w:spacing w:before="40" w:after="40"/>
              <w:rPr>
                <w:rFonts w:ascii="Arial Narrow" w:hAnsi="Arial Narrow"/>
                <w:sz w:val="20"/>
              </w:rPr>
            </w:pPr>
            <w:r w:rsidRPr="00702AA9">
              <w:rPr>
                <w:rFonts w:ascii="Arial Narrow" w:hAnsi="Arial Narrow"/>
                <w:sz w:val="20"/>
              </w:rPr>
              <w:t xml:space="preserve">A patient who wishes to trial a second or subsequent omalizumab treatment cycle, or an initial mepolizumab </w:t>
            </w:r>
            <w:r w:rsidRPr="00702AA9">
              <w:rPr>
                <w:rFonts w:ascii="Arial Narrow" w:hAnsi="Arial Narrow"/>
                <w:i/>
                <w:sz w:val="20"/>
              </w:rPr>
              <w:t>or benralizumab</w:t>
            </w:r>
            <w:r w:rsidRPr="00702AA9">
              <w:rPr>
                <w:rFonts w:ascii="Arial Narrow" w:hAnsi="Arial Narrow"/>
                <w:sz w:val="20"/>
              </w:rPr>
              <w:t xml:space="preserve"> treatment cycle, following a break in PBS-subsidised therapy of at least 6 months, must re-qualify for initial treatment with respect to the indices of disease severity (oral corticosteroid dose, Asthma Control Questionnaire (ACQ-5) score, and relevant exacerbation history). Patients must have received optimised standard therapy, at adequate doses and for the minimum period specified, immediately prior to the time the new baseline assessments are performed.</w:t>
            </w:r>
          </w:p>
          <w:p w:rsidR="00B8742C" w:rsidRPr="00702AA9" w:rsidRDefault="00B8742C" w:rsidP="00B03053">
            <w:pPr>
              <w:spacing w:before="40" w:after="40"/>
              <w:rPr>
                <w:rFonts w:ascii="Arial Narrow" w:hAnsi="Arial Narrow"/>
                <w:sz w:val="20"/>
              </w:rPr>
            </w:pPr>
            <w:r w:rsidRPr="00702AA9">
              <w:rPr>
                <w:rFonts w:ascii="Arial Narrow" w:hAnsi="Arial Narrow"/>
                <w:sz w:val="20"/>
              </w:rPr>
              <w:t>(4) Monitoring of patients:</w:t>
            </w:r>
          </w:p>
          <w:p w:rsidR="00B8742C" w:rsidRPr="00702AA9" w:rsidRDefault="00B8742C" w:rsidP="00B03053">
            <w:pPr>
              <w:spacing w:before="40" w:after="40"/>
              <w:rPr>
                <w:rFonts w:ascii="Arial Narrow" w:hAnsi="Arial Narrow"/>
                <w:sz w:val="20"/>
              </w:rPr>
            </w:pPr>
            <w:r w:rsidRPr="00702AA9">
              <w:rPr>
                <w:rFonts w:ascii="Arial Narrow" w:hAnsi="Arial Narrow"/>
                <w:sz w:val="20"/>
              </w:rPr>
              <w:t>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possible and prompt medical attention should be sought if allergic reactions occur.</w:t>
            </w:r>
          </w:p>
          <w:p w:rsidR="00B8742C" w:rsidRPr="00702AA9" w:rsidRDefault="00B8742C" w:rsidP="00B03053">
            <w:pPr>
              <w:spacing w:before="40" w:after="40"/>
              <w:rPr>
                <w:rFonts w:ascii="Arial Narrow" w:hAnsi="Arial Narrow"/>
                <w:sz w:val="20"/>
              </w:rPr>
            </w:pPr>
            <w:r w:rsidRPr="00702AA9">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B8742C" w:rsidRPr="00702AA9" w:rsidRDefault="00B8742C" w:rsidP="00B03053">
            <w:pPr>
              <w:spacing w:before="40" w:after="40"/>
              <w:rPr>
                <w:rFonts w:ascii="Arial Narrow" w:hAnsi="Arial Narrow"/>
                <w:sz w:val="20"/>
              </w:rPr>
            </w:pPr>
            <w:r w:rsidRPr="00702AA9">
              <w:rPr>
                <w:rFonts w:ascii="Arial Narrow" w:hAnsi="Arial Narrow"/>
                <w:sz w:val="20"/>
              </w:rPr>
              <w:t>Special Pricing Arrangements apply.</w:t>
            </w:r>
          </w:p>
        </w:tc>
      </w:tr>
      <w:tr w:rsidR="00B03053" w:rsidRPr="00702AA9" w:rsidTr="00B03053">
        <w:trPr>
          <w:cantSplit/>
          <w:trHeight w:val="465"/>
        </w:trPr>
        <w:tc>
          <w:tcPr>
            <w:tcW w:w="1285" w:type="pct"/>
            <w:tcBorders>
              <w:top w:val="nil"/>
              <w:left w:val="nil"/>
              <w:right w:val="nil"/>
            </w:tcBorders>
          </w:tcPr>
          <w:p w:rsidR="00B03053" w:rsidRPr="00702AA9" w:rsidRDefault="00B03053" w:rsidP="006B521D">
            <w:pPr>
              <w:keepNext/>
              <w:spacing w:before="40" w:after="40"/>
              <w:rPr>
                <w:rFonts w:ascii="Arial Narrow" w:hAnsi="Arial Narrow"/>
                <w:b/>
                <w:sz w:val="20"/>
                <w:szCs w:val="20"/>
              </w:rPr>
            </w:pPr>
          </w:p>
        </w:tc>
        <w:tc>
          <w:tcPr>
            <w:tcW w:w="480" w:type="pct"/>
            <w:tcBorders>
              <w:top w:val="nil"/>
              <w:left w:val="nil"/>
              <w:right w:val="nil"/>
            </w:tcBorders>
          </w:tcPr>
          <w:p w:rsidR="00B03053" w:rsidRPr="00702AA9" w:rsidRDefault="00B03053" w:rsidP="006B521D">
            <w:pPr>
              <w:keepNext/>
              <w:spacing w:before="40" w:after="40"/>
              <w:rPr>
                <w:rFonts w:ascii="Arial Narrow" w:hAnsi="Arial Narrow"/>
                <w:b/>
                <w:sz w:val="20"/>
                <w:szCs w:val="20"/>
              </w:rPr>
            </w:pPr>
          </w:p>
        </w:tc>
        <w:tc>
          <w:tcPr>
            <w:tcW w:w="548" w:type="pct"/>
            <w:tcBorders>
              <w:top w:val="nil"/>
              <w:left w:val="nil"/>
              <w:right w:val="nil"/>
            </w:tcBorders>
          </w:tcPr>
          <w:p w:rsidR="00B03053" w:rsidRPr="00702AA9" w:rsidRDefault="00B03053" w:rsidP="006B521D">
            <w:pPr>
              <w:keepNext/>
              <w:spacing w:before="40" w:after="40"/>
              <w:rPr>
                <w:rFonts w:ascii="Arial Narrow" w:hAnsi="Arial Narrow"/>
                <w:b/>
                <w:sz w:val="20"/>
                <w:szCs w:val="20"/>
              </w:rPr>
            </w:pPr>
          </w:p>
        </w:tc>
        <w:tc>
          <w:tcPr>
            <w:tcW w:w="853" w:type="pct"/>
            <w:tcBorders>
              <w:top w:val="nil"/>
              <w:left w:val="nil"/>
              <w:right w:val="nil"/>
            </w:tcBorders>
            <w:vAlign w:val="center"/>
          </w:tcPr>
          <w:p w:rsidR="00B03053" w:rsidRPr="00702AA9" w:rsidRDefault="00B03053" w:rsidP="006B521D">
            <w:pPr>
              <w:keepNext/>
              <w:spacing w:before="40" w:after="40"/>
              <w:rPr>
                <w:rFonts w:ascii="Arial Narrow" w:hAnsi="Arial Narrow"/>
                <w:b/>
                <w:sz w:val="20"/>
                <w:szCs w:val="20"/>
              </w:rPr>
            </w:pPr>
          </w:p>
        </w:tc>
        <w:tc>
          <w:tcPr>
            <w:tcW w:w="1834" w:type="pct"/>
            <w:gridSpan w:val="2"/>
            <w:tcBorders>
              <w:top w:val="nil"/>
              <w:left w:val="nil"/>
              <w:right w:val="nil"/>
            </w:tcBorders>
            <w:vAlign w:val="center"/>
          </w:tcPr>
          <w:p w:rsidR="00B03053" w:rsidRPr="00702AA9" w:rsidRDefault="00B03053" w:rsidP="006B521D">
            <w:pPr>
              <w:keepNext/>
              <w:spacing w:before="40" w:after="40"/>
              <w:jc w:val="left"/>
              <w:rPr>
                <w:rFonts w:ascii="Arial Narrow" w:hAnsi="Arial Narrow"/>
                <w:b/>
                <w:sz w:val="20"/>
              </w:rPr>
            </w:pPr>
          </w:p>
        </w:tc>
      </w:tr>
      <w:tr w:rsidR="00B8742C" w:rsidRPr="00702AA9" w:rsidTr="006B521D">
        <w:trPr>
          <w:cantSplit/>
          <w:trHeight w:val="465"/>
        </w:trPr>
        <w:tc>
          <w:tcPr>
            <w:tcW w:w="1285" w:type="pct"/>
            <w:tcBorders>
              <w:top w:val="nil"/>
              <w:left w:val="nil"/>
              <w:bottom w:val="single" w:sz="4" w:space="0" w:color="auto"/>
              <w:right w:val="nil"/>
            </w:tcBorders>
            <w:hideMark/>
          </w:tcPr>
          <w:p w:rsidR="00B8742C" w:rsidRPr="00702AA9" w:rsidRDefault="00B8742C" w:rsidP="006B521D">
            <w:pPr>
              <w:keepNext/>
              <w:spacing w:before="40" w:after="40"/>
              <w:rPr>
                <w:rFonts w:ascii="Arial Narrow" w:hAnsi="Arial Narrow"/>
                <w:b/>
                <w:sz w:val="20"/>
                <w:szCs w:val="20"/>
              </w:rPr>
            </w:pPr>
            <w:r w:rsidRPr="00702AA9">
              <w:rPr>
                <w:rFonts w:ascii="Arial Narrow" w:hAnsi="Arial Narrow"/>
                <w:b/>
                <w:sz w:val="20"/>
                <w:szCs w:val="20"/>
              </w:rPr>
              <w:t>Name, Restriction,</w:t>
            </w:r>
          </w:p>
          <w:p w:rsidR="00B8742C" w:rsidRPr="00702AA9" w:rsidRDefault="00B8742C" w:rsidP="006B521D">
            <w:pPr>
              <w:keepNext/>
              <w:spacing w:before="40" w:after="40"/>
              <w:rPr>
                <w:rFonts w:ascii="Arial Narrow" w:hAnsi="Arial Narrow"/>
                <w:b/>
                <w:sz w:val="20"/>
                <w:szCs w:val="20"/>
              </w:rPr>
            </w:pPr>
            <w:r w:rsidRPr="00702AA9">
              <w:rPr>
                <w:rFonts w:ascii="Arial Narrow" w:hAnsi="Arial Narrow"/>
                <w:b/>
                <w:sz w:val="20"/>
                <w:szCs w:val="20"/>
              </w:rPr>
              <w:t>Manner of administration and form</w:t>
            </w:r>
          </w:p>
        </w:tc>
        <w:tc>
          <w:tcPr>
            <w:tcW w:w="480" w:type="pct"/>
            <w:tcBorders>
              <w:top w:val="nil"/>
              <w:left w:val="nil"/>
              <w:bottom w:val="single" w:sz="4" w:space="0" w:color="auto"/>
              <w:right w:val="nil"/>
            </w:tcBorders>
            <w:hideMark/>
          </w:tcPr>
          <w:p w:rsidR="00B8742C" w:rsidRPr="00702AA9" w:rsidRDefault="00B8742C" w:rsidP="006B521D">
            <w:pPr>
              <w:keepNext/>
              <w:spacing w:before="40" w:after="40"/>
              <w:rPr>
                <w:rFonts w:ascii="Arial Narrow" w:hAnsi="Arial Narrow"/>
                <w:b/>
                <w:sz w:val="20"/>
                <w:szCs w:val="20"/>
              </w:rPr>
            </w:pPr>
            <w:r w:rsidRPr="00702AA9">
              <w:rPr>
                <w:rFonts w:ascii="Arial Narrow" w:hAnsi="Arial Narrow"/>
                <w:b/>
                <w:sz w:val="20"/>
                <w:szCs w:val="20"/>
              </w:rPr>
              <w:t>Max.</w:t>
            </w:r>
          </w:p>
          <w:p w:rsidR="00B8742C" w:rsidRPr="00702AA9" w:rsidRDefault="00B8742C" w:rsidP="006B521D">
            <w:pPr>
              <w:keepNext/>
              <w:spacing w:before="40" w:after="40"/>
              <w:rPr>
                <w:rFonts w:ascii="Arial Narrow" w:hAnsi="Arial Narrow"/>
                <w:b/>
                <w:sz w:val="20"/>
                <w:szCs w:val="20"/>
              </w:rPr>
            </w:pPr>
            <w:r w:rsidRPr="00702AA9">
              <w:rPr>
                <w:rFonts w:ascii="Arial Narrow" w:hAnsi="Arial Narrow"/>
                <w:b/>
                <w:sz w:val="20"/>
                <w:szCs w:val="20"/>
              </w:rPr>
              <w:t>Qty</w:t>
            </w:r>
          </w:p>
        </w:tc>
        <w:tc>
          <w:tcPr>
            <w:tcW w:w="548" w:type="pct"/>
            <w:tcBorders>
              <w:top w:val="nil"/>
              <w:left w:val="nil"/>
              <w:bottom w:val="single" w:sz="4" w:space="0" w:color="auto"/>
              <w:right w:val="nil"/>
            </w:tcBorders>
            <w:hideMark/>
          </w:tcPr>
          <w:p w:rsidR="00B8742C" w:rsidRPr="00702AA9" w:rsidRDefault="00B8742C" w:rsidP="006B521D">
            <w:pPr>
              <w:keepNext/>
              <w:spacing w:before="40" w:after="40"/>
              <w:rPr>
                <w:rFonts w:ascii="Arial Narrow" w:hAnsi="Arial Narrow"/>
                <w:b/>
                <w:sz w:val="20"/>
                <w:szCs w:val="20"/>
              </w:rPr>
            </w:pPr>
            <w:r w:rsidRPr="00702AA9">
              <w:rPr>
                <w:rFonts w:ascii="Arial Narrow" w:hAnsi="Arial Narrow"/>
                <w:b/>
                <w:sz w:val="20"/>
                <w:szCs w:val="20"/>
              </w:rPr>
              <w:t>№.of</w:t>
            </w:r>
          </w:p>
          <w:p w:rsidR="00B8742C" w:rsidRPr="00702AA9" w:rsidRDefault="00B8742C" w:rsidP="006B521D">
            <w:pPr>
              <w:keepNext/>
              <w:spacing w:before="40" w:after="40"/>
              <w:rPr>
                <w:rFonts w:ascii="Arial Narrow" w:hAnsi="Arial Narrow"/>
                <w:b/>
                <w:sz w:val="20"/>
                <w:szCs w:val="20"/>
              </w:rPr>
            </w:pPr>
            <w:r w:rsidRPr="00702AA9">
              <w:rPr>
                <w:rFonts w:ascii="Arial Narrow" w:hAnsi="Arial Narrow"/>
                <w:b/>
                <w:sz w:val="20"/>
                <w:szCs w:val="20"/>
              </w:rPr>
              <w:t>Rpts</w:t>
            </w:r>
          </w:p>
        </w:tc>
        <w:tc>
          <w:tcPr>
            <w:tcW w:w="853" w:type="pct"/>
            <w:tcBorders>
              <w:top w:val="nil"/>
              <w:left w:val="nil"/>
              <w:bottom w:val="single" w:sz="4" w:space="0" w:color="auto"/>
              <w:right w:val="nil"/>
            </w:tcBorders>
            <w:vAlign w:val="center"/>
          </w:tcPr>
          <w:p w:rsidR="00B8742C" w:rsidRPr="00702AA9" w:rsidRDefault="00B8742C" w:rsidP="006B521D">
            <w:pPr>
              <w:keepNext/>
              <w:spacing w:before="40" w:after="40"/>
              <w:rPr>
                <w:rFonts w:ascii="Arial Narrow" w:hAnsi="Arial Narrow"/>
                <w:b/>
                <w:sz w:val="20"/>
                <w:szCs w:val="20"/>
              </w:rPr>
            </w:pPr>
          </w:p>
        </w:tc>
        <w:tc>
          <w:tcPr>
            <w:tcW w:w="1834" w:type="pct"/>
            <w:gridSpan w:val="2"/>
            <w:tcBorders>
              <w:top w:val="nil"/>
              <w:left w:val="nil"/>
              <w:bottom w:val="single" w:sz="4" w:space="0" w:color="auto"/>
              <w:right w:val="nil"/>
            </w:tcBorders>
            <w:vAlign w:val="center"/>
            <w:hideMark/>
          </w:tcPr>
          <w:p w:rsidR="00B8742C" w:rsidRPr="00702AA9" w:rsidRDefault="00B8742C" w:rsidP="006B521D">
            <w:pPr>
              <w:keepNext/>
              <w:spacing w:before="40" w:after="40"/>
              <w:jc w:val="left"/>
              <w:rPr>
                <w:rFonts w:ascii="Arial Narrow" w:hAnsi="Arial Narrow"/>
                <w:b/>
                <w:sz w:val="20"/>
                <w:szCs w:val="20"/>
                <w:lang w:val="fr-FR"/>
              </w:rPr>
            </w:pPr>
            <w:r w:rsidRPr="00702AA9">
              <w:rPr>
                <w:rFonts w:ascii="Arial Narrow" w:hAnsi="Arial Narrow"/>
                <w:b/>
                <w:sz w:val="20"/>
              </w:rPr>
              <w:t>Proprietary Name and Manufacturer</w:t>
            </w:r>
          </w:p>
        </w:tc>
      </w:tr>
      <w:tr w:rsidR="00B8742C" w:rsidRPr="00702AA9" w:rsidTr="006B521D">
        <w:trPr>
          <w:cantSplit/>
          <w:trHeight w:val="570"/>
        </w:trPr>
        <w:tc>
          <w:tcPr>
            <w:tcW w:w="1285" w:type="pct"/>
            <w:hideMark/>
          </w:tcPr>
          <w:p w:rsidR="00B8742C" w:rsidRPr="00702AA9" w:rsidRDefault="00B8742C" w:rsidP="006B521D">
            <w:pPr>
              <w:keepNext/>
              <w:spacing w:before="40" w:after="40"/>
              <w:rPr>
                <w:rFonts w:ascii="Arial Narrow" w:hAnsi="Arial Narrow"/>
                <w:sz w:val="20"/>
                <w:szCs w:val="20"/>
              </w:rPr>
            </w:pPr>
            <w:r w:rsidRPr="00702AA9">
              <w:rPr>
                <w:rFonts w:ascii="Arial Narrow" w:hAnsi="Arial Narrow"/>
                <w:smallCaps/>
                <w:sz w:val="20"/>
                <w:szCs w:val="20"/>
              </w:rPr>
              <w:t>omalizumab</w:t>
            </w:r>
          </w:p>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75 mg in 0.5 mL injection, 1 syringe</w:t>
            </w:r>
          </w:p>
          <w:p w:rsidR="00B8742C" w:rsidRPr="00702AA9" w:rsidRDefault="00B8742C" w:rsidP="006B521D">
            <w:pPr>
              <w:keepNext/>
              <w:spacing w:before="40" w:after="40"/>
              <w:rPr>
                <w:rFonts w:ascii="Arial Narrow" w:hAnsi="Arial Narrow"/>
                <w:sz w:val="20"/>
                <w:szCs w:val="20"/>
              </w:rPr>
            </w:pPr>
            <w:r w:rsidRPr="00702AA9">
              <w:rPr>
                <w:rFonts w:ascii="Arial Narrow" w:hAnsi="Arial Narrow"/>
                <w:smallCaps/>
                <w:sz w:val="20"/>
                <w:szCs w:val="20"/>
              </w:rPr>
              <w:t>omalizumab</w:t>
            </w:r>
          </w:p>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150 mg in 1 mL injection, 1 syringe</w:t>
            </w:r>
          </w:p>
        </w:tc>
        <w:tc>
          <w:tcPr>
            <w:tcW w:w="480" w:type="pct"/>
            <w:hideMark/>
          </w:tcPr>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1</w:t>
            </w:r>
          </w:p>
          <w:p w:rsidR="00B8742C" w:rsidRPr="00702AA9" w:rsidRDefault="00B8742C" w:rsidP="006B521D">
            <w:pPr>
              <w:keepNext/>
              <w:spacing w:before="40" w:after="40"/>
              <w:rPr>
                <w:rFonts w:ascii="Arial Narrow" w:hAnsi="Arial Narrow"/>
                <w:sz w:val="20"/>
                <w:szCs w:val="20"/>
              </w:rPr>
            </w:pPr>
          </w:p>
          <w:p w:rsidR="00B8742C" w:rsidRPr="00702AA9" w:rsidRDefault="00B8742C" w:rsidP="006B521D">
            <w:pPr>
              <w:keepNext/>
              <w:spacing w:before="40" w:after="40"/>
              <w:rPr>
                <w:rFonts w:ascii="Arial Narrow" w:hAnsi="Arial Narrow"/>
                <w:sz w:val="20"/>
                <w:szCs w:val="20"/>
              </w:rPr>
            </w:pPr>
          </w:p>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1</w:t>
            </w:r>
          </w:p>
        </w:tc>
        <w:tc>
          <w:tcPr>
            <w:tcW w:w="548" w:type="pct"/>
            <w:hideMark/>
          </w:tcPr>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0</w:t>
            </w:r>
          </w:p>
          <w:p w:rsidR="00B8742C" w:rsidRPr="00702AA9" w:rsidRDefault="00B8742C" w:rsidP="006B521D">
            <w:pPr>
              <w:keepNext/>
              <w:spacing w:before="40" w:after="40"/>
              <w:rPr>
                <w:rFonts w:ascii="Arial Narrow" w:hAnsi="Arial Narrow"/>
                <w:sz w:val="20"/>
                <w:szCs w:val="20"/>
              </w:rPr>
            </w:pPr>
          </w:p>
          <w:p w:rsidR="00B8742C" w:rsidRPr="00702AA9" w:rsidRDefault="00B8742C" w:rsidP="006B521D">
            <w:pPr>
              <w:keepNext/>
              <w:spacing w:before="40" w:after="40"/>
              <w:rPr>
                <w:rFonts w:ascii="Arial Narrow" w:hAnsi="Arial Narrow"/>
                <w:sz w:val="20"/>
                <w:szCs w:val="20"/>
              </w:rPr>
            </w:pPr>
          </w:p>
          <w:p w:rsidR="00B8742C" w:rsidRPr="00702AA9" w:rsidRDefault="00B8742C" w:rsidP="006B521D">
            <w:pPr>
              <w:keepNext/>
              <w:spacing w:before="40" w:after="40"/>
              <w:rPr>
                <w:rFonts w:ascii="Arial Narrow" w:hAnsi="Arial Narrow"/>
                <w:sz w:val="20"/>
                <w:szCs w:val="20"/>
              </w:rPr>
            </w:pPr>
            <w:r w:rsidRPr="00702AA9">
              <w:rPr>
                <w:rFonts w:ascii="Arial Narrow" w:hAnsi="Arial Narrow"/>
                <w:sz w:val="20"/>
                <w:szCs w:val="20"/>
              </w:rPr>
              <w:t>0</w:t>
            </w:r>
          </w:p>
        </w:tc>
        <w:tc>
          <w:tcPr>
            <w:tcW w:w="853" w:type="pct"/>
          </w:tcPr>
          <w:p w:rsidR="00B8742C" w:rsidRPr="00702AA9" w:rsidRDefault="00B8742C" w:rsidP="006B521D">
            <w:pPr>
              <w:keepNext/>
              <w:spacing w:before="40" w:after="40"/>
              <w:jc w:val="left"/>
              <w:rPr>
                <w:rFonts w:ascii="Arial Narrow" w:hAnsi="Arial Narrow"/>
                <w:sz w:val="20"/>
                <w:szCs w:val="20"/>
              </w:rPr>
            </w:pPr>
          </w:p>
        </w:tc>
        <w:tc>
          <w:tcPr>
            <w:tcW w:w="1614" w:type="pct"/>
            <w:hideMark/>
          </w:tcPr>
          <w:p w:rsidR="00B8742C" w:rsidRPr="00702AA9" w:rsidRDefault="00B8742C" w:rsidP="006B521D">
            <w:pPr>
              <w:keepNext/>
              <w:jc w:val="left"/>
              <w:rPr>
                <w:rFonts w:ascii="Arial Narrow" w:hAnsi="Arial Narrow"/>
                <w:sz w:val="20"/>
              </w:rPr>
            </w:pPr>
            <w:r w:rsidRPr="00702AA9">
              <w:rPr>
                <w:rFonts w:ascii="Arial Narrow" w:hAnsi="Arial Narrow"/>
                <w:sz w:val="20"/>
              </w:rPr>
              <w:t>Xolair</w:t>
            </w:r>
            <w:r w:rsidRPr="00702AA9">
              <w:rPr>
                <w:rFonts w:ascii="Arial Narrow" w:hAnsi="Arial Narrow"/>
                <w:sz w:val="20"/>
                <w:vertAlign w:val="superscript"/>
              </w:rPr>
              <w:t>®</w:t>
            </w:r>
          </w:p>
          <w:p w:rsidR="00B8742C" w:rsidRPr="00702AA9" w:rsidRDefault="00B8742C" w:rsidP="006B521D">
            <w:pPr>
              <w:keepNext/>
              <w:spacing w:before="40" w:after="40"/>
              <w:jc w:val="left"/>
              <w:rPr>
                <w:rFonts w:ascii="Arial Narrow" w:hAnsi="Arial Narrow"/>
                <w:sz w:val="20"/>
                <w:szCs w:val="20"/>
              </w:rPr>
            </w:pPr>
            <w:r w:rsidRPr="00702AA9">
              <w:rPr>
                <w:rFonts w:ascii="Arial Narrow" w:hAnsi="Arial Narrow"/>
                <w:sz w:val="20"/>
              </w:rPr>
              <w:t>Novartis Pharmaceuticals Australia Pty Ltd</w:t>
            </w:r>
          </w:p>
        </w:tc>
        <w:tc>
          <w:tcPr>
            <w:tcW w:w="220" w:type="pct"/>
          </w:tcPr>
          <w:p w:rsidR="00B8742C" w:rsidRPr="00702AA9" w:rsidRDefault="00B8742C" w:rsidP="006B521D">
            <w:pPr>
              <w:keepNext/>
              <w:spacing w:before="40" w:after="40"/>
              <w:jc w:val="left"/>
              <w:rPr>
                <w:rFonts w:ascii="Arial Narrow" w:hAnsi="Arial Narrow"/>
                <w:sz w:val="20"/>
                <w:szCs w:val="20"/>
              </w:rPr>
            </w:pP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b/>
                <w:sz w:val="20"/>
                <w:szCs w:val="20"/>
              </w:rPr>
            </w:pPr>
            <w:r w:rsidRPr="00702AA9">
              <w:rPr>
                <w:rFonts w:ascii="Arial Narrow" w:hAnsi="Arial Narrow"/>
                <w:sz w:val="20"/>
                <w:szCs w:val="20"/>
              </w:rPr>
              <w:t>Category / Program</w:t>
            </w:r>
          </w:p>
        </w:tc>
        <w:tc>
          <w:tcPr>
            <w:tcW w:w="3715" w:type="pct"/>
            <w:gridSpan w:val="5"/>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t>Section 100 Highly Specialised Drugs Program – public and private</w:t>
            </w: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Prescriber type:</w:t>
            </w:r>
          </w:p>
        </w:tc>
        <w:tc>
          <w:tcPr>
            <w:tcW w:w="3715" w:type="pct"/>
            <w:gridSpan w:val="5"/>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Dental  </w:t>
            </w: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Medical Practitioners  </w:t>
            </w: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Nurse practitioners  </w:t>
            </w: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 xml:space="preserve">Optometrists </w:t>
            </w: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Midwives</w:t>
            </w: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PBS Indication:</w:t>
            </w:r>
          </w:p>
        </w:tc>
        <w:tc>
          <w:tcPr>
            <w:tcW w:w="3715" w:type="pct"/>
            <w:gridSpan w:val="5"/>
            <w:tcBorders>
              <w:top w:val="single" w:sz="4" w:space="0" w:color="auto"/>
              <w:left w:val="single" w:sz="4" w:space="0" w:color="auto"/>
              <w:bottom w:val="single" w:sz="4" w:space="0" w:color="auto"/>
              <w:right w:val="single" w:sz="4" w:space="0" w:color="auto"/>
            </w:tcBorders>
            <w:hideMark/>
          </w:tcPr>
          <w:p w:rsidR="00333F0B" w:rsidRPr="00702AA9" w:rsidRDefault="00333F0B" w:rsidP="00273ADD">
            <w:pPr>
              <w:spacing w:before="40" w:after="40"/>
              <w:rPr>
                <w:rFonts w:ascii="Arial Narrow" w:hAnsi="Arial Narrow"/>
                <w:sz w:val="20"/>
                <w:szCs w:val="20"/>
              </w:rPr>
            </w:pPr>
            <w:r w:rsidRPr="00702AA9">
              <w:rPr>
                <w:rFonts w:ascii="Arial Narrow" w:hAnsi="Arial Narrow"/>
                <w:sz w:val="20"/>
                <w:szCs w:val="20"/>
              </w:rPr>
              <w:t xml:space="preserve">Uncontrolled severe </w:t>
            </w:r>
            <w:r w:rsidR="00273ADD" w:rsidRPr="00702AA9">
              <w:rPr>
                <w:rFonts w:ascii="Arial Narrow" w:hAnsi="Arial Narrow"/>
                <w:sz w:val="20"/>
                <w:szCs w:val="20"/>
              </w:rPr>
              <w:t>allergic</w:t>
            </w:r>
            <w:r w:rsidRPr="00702AA9">
              <w:rPr>
                <w:rFonts w:ascii="Arial Narrow" w:hAnsi="Arial Narrow"/>
                <w:sz w:val="20"/>
                <w:szCs w:val="20"/>
              </w:rPr>
              <w:t xml:space="preserve"> asthma</w:t>
            </w: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i/>
                <w:sz w:val="20"/>
                <w:szCs w:val="20"/>
              </w:rPr>
            </w:pPr>
            <w:r w:rsidRPr="00702AA9">
              <w:rPr>
                <w:rFonts w:ascii="Arial Narrow" w:hAnsi="Arial Narrow"/>
                <w:b/>
                <w:sz w:val="20"/>
                <w:szCs w:val="20"/>
              </w:rPr>
              <w:t>Treatment phase:</w:t>
            </w:r>
          </w:p>
        </w:tc>
        <w:tc>
          <w:tcPr>
            <w:tcW w:w="3715" w:type="pct"/>
            <w:gridSpan w:val="5"/>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t>Continuing treatment</w:t>
            </w: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Restriction Level / Method:</w:t>
            </w:r>
          </w:p>
          <w:p w:rsidR="00333F0B" w:rsidRPr="00702AA9" w:rsidRDefault="00333F0B" w:rsidP="006B521D">
            <w:pPr>
              <w:spacing w:before="40" w:after="40"/>
              <w:rPr>
                <w:rFonts w:ascii="Arial Narrow" w:hAnsi="Arial Narrow"/>
                <w:sz w:val="20"/>
                <w:szCs w:val="20"/>
              </w:rPr>
            </w:pPr>
          </w:p>
        </w:tc>
        <w:tc>
          <w:tcPr>
            <w:tcW w:w="3715" w:type="pct"/>
            <w:gridSpan w:val="5"/>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Check1"/>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Restricted benefit</w:t>
            </w:r>
          </w:p>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1"/>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In Writing</w:t>
            </w:r>
          </w:p>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Check3"/>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Telephone</w:t>
            </w:r>
          </w:p>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Emergency</w:t>
            </w:r>
          </w:p>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Authority Required - Electronic</w:t>
            </w:r>
          </w:p>
          <w:p w:rsidR="00333F0B" w:rsidRPr="00702AA9" w:rsidRDefault="00333F0B" w:rsidP="006B521D">
            <w:pPr>
              <w:spacing w:before="40" w:after="40"/>
              <w:rPr>
                <w:rFonts w:ascii="Arial Narrow" w:hAnsi="Arial Narrow"/>
                <w:sz w:val="20"/>
                <w:szCs w:val="20"/>
              </w:rPr>
            </w:pPr>
            <w:r w:rsidRPr="00702AA9">
              <w:rPr>
                <w:rFonts w:ascii="Arial Narrow" w:hAnsi="Arial Narrow"/>
                <w:sz w:val="20"/>
                <w:szCs w:val="20"/>
              </w:rPr>
              <w:fldChar w:fldCharType="begin">
                <w:ffData>
                  <w:name w:val="Check5"/>
                  <w:enabled/>
                  <w:calcOnExit w:val="0"/>
                  <w:checkBox>
                    <w:sizeAuto/>
                    <w:default w:val="0"/>
                  </w:checkBox>
                </w:ffData>
              </w:fldChar>
            </w:r>
            <w:r w:rsidRPr="00702AA9">
              <w:rPr>
                <w:rFonts w:ascii="Arial Narrow" w:hAnsi="Arial Narrow"/>
                <w:sz w:val="20"/>
                <w:szCs w:val="20"/>
              </w:rPr>
              <w:instrText xml:space="preserve"> FORMCHECKBOX </w:instrText>
            </w:r>
            <w:r w:rsidR="00127CDA">
              <w:rPr>
                <w:rFonts w:ascii="Arial Narrow" w:hAnsi="Arial Narrow"/>
                <w:sz w:val="20"/>
                <w:szCs w:val="20"/>
              </w:rPr>
            </w:r>
            <w:r w:rsidR="00127CDA">
              <w:rPr>
                <w:rFonts w:ascii="Arial Narrow" w:hAnsi="Arial Narrow"/>
                <w:sz w:val="20"/>
                <w:szCs w:val="20"/>
              </w:rPr>
              <w:fldChar w:fldCharType="separate"/>
            </w:r>
            <w:r w:rsidRPr="00702AA9">
              <w:rPr>
                <w:rFonts w:ascii="Arial Narrow" w:hAnsi="Arial Narrow"/>
                <w:sz w:val="20"/>
                <w:szCs w:val="20"/>
              </w:rPr>
              <w:fldChar w:fldCharType="end"/>
            </w:r>
            <w:r w:rsidRPr="00702AA9">
              <w:rPr>
                <w:rFonts w:ascii="Arial Narrow" w:hAnsi="Arial Narrow"/>
                <w:sz w:val="20"/>
                <w:szCs w:val="20"/>
              </w:rPr>
              <w:t>Streamlined</w:t>
            </w: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 xml:space="preserve">Treatment criteria </w:t>
            </w:r>
          </w:p>
        </w:tc>
        <w:tc>
          <w:tcPr>
            <w:tcW w:w="3715" w:type="pct"/>
            <w:gridSpan w:val="5"/>
            <w:tcBorders>
              <w:top w:val="single" w:sz="4" w:space="0" w:color="auto"/>
              <w:left w:val="single" w:sz="4" w:space="0" w:color="auto"/>
              <w:bottom w:val="single" w:sz="4" w:space="0" w:color="auto"/>
              <w:right w:val="single" w:sz="4" w:space="0" w:color="auto"/>
            </w:tcBorders>
          </w:tcPr>
          <w:p w:rsidR="00333F0B" w:rsidRPr="00702AA9" w:rsidRDefault="00333F0B" w:rsidP="006B521D">
            <w:pPr>
              <w:spacing w:before="40" w:after="40"/>
              <w:rPr>
                <w:rFonts w:ascii="Arial Narrow" w:hAnsi="Arial Narrow"/>
                <w:sz w:val="20"/>
                <w:szCs w:val="20"/>
              </w:rPr>
            </w:pPr>
            <w:r w:rsidRPr="00702AA9">
              <w:rPr>
                <w:rFonts w:ascii="Arial Narrow" w:hAnsi="Arial Narrow"/>
                <w:sz w:val="20"/>
              </w:rPr>
              <w:t>Must be treated by a respiratory physician, clinical immunologist, allergist or general physician experienced in the management of patients with severe asthma.</w:t>
            </w:r>
          </w:p>
        </w:tc>
      </w:tr>
      <w:tr w:rsidR="00333F0B" w:rsidRPr="00702AA9" w:rsidTr="00333F0B">
        <w:trPr>
          <w:cantSplit/>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sz w:val="20"/>
                <w:szCs w:val="20"/>
              </w:rPr>
            </w:pPr>
            <w:r w:rsidRPr="00702AA9">
              <w:rPr>
                <w:rFonts w:ascii="Arial Narrow" w:hAnsi="Arial Narrow"/>
                <w:b/>
                <w:sz w:val="20"/>
                <w:szCs w:val="20"/>
              </w:rPr>
              <w:t>Clinical criteria:</w:t>
            </w:r>
            <w:r w:rsidRPr="00702AA9">
              <w:rPr>
                <w:rFonts w:ascii="Arial Narrow" w:hAnsi="Arial Narrow"/>
                <w:sz w:val="20"/>
                <w:szCs w:val="20"/>
              </w:rPr>
              <w:t xml:space="preserve"> </w:t>
            </w:r>
          </w:p>
        </w:tc>
        <w:tc>
          <w:tcPr>
            <w:tcW w:w="3715" w:type="pct"/>
            <w:gridSpan w:val="5"/>
            <w:tcBorders>
              <w:top w:val="single" w:sz="4" w:space="0" w:color="auto"/>
              <w:left w:val="single" w:sz="4" w:space="0" w:color="auto"/>
              <w:bottom w:val="single" w:sz="4" w:space="0" w:color="auto"/>
              <w:right w:val="single" w:sz="4" w:space="0" w:color="auto"/>
            </w:tcBorders>
          </w:tcPr>
          <w:p w:rsidR="00EF5842" w:rsidRPr="00702AA9" w:rsidRDefault="00EF5842" w:rsidP="00EF5842">
            <w:pPr>
              <w:spacing w:before="40" w:after="40"/>
              <w:rPr>
                <w:rFonts w:ascii="Arial Narrow" w:hAnsi="Arial Narrow"/>
                <w:sz w:val="20"/>
                <w:szCs w:val="20"/>
              </w:rPr>
            </w:pPr>
            <w:r w:rsidRPr="00702AA9">
              <w:rPr>
                <w:rFonts w:ascii="Arial Narrow" w:hAnsi="Arial Narrow"/>
                <w:sz w:val="20"/>
                <w:szCs w:val="20"/>
              </w:rPr>
              <w:t>Patient must have a documented history of severe allergic asthma,</w:t>
            </w:r>
          </w:p>
          <w:p w:rsidR="00EF5842" w:rsidRPr="00702AA9" w:rsidRDefault="00EF5842" w:rsidP="00EF5842">
            <w:pPr>
              <w:spacing w:before="40" w:after="40"/>
              <w:rPr>
                <w:rFonts w:ascii="Arial Narrow" w:hAnsi="Arial Narrow"/>
                <w:sz w:val="20"/>
                <w:szCs w:val="20"/>
              </w:rPr>
            </w:pPr>
            <w:r w:rsidRPr="00702AA9">
              <w:rPr>
                <w:rFonts w:ascii="Arial Narrow" w:hAnsi="Arial Narrow"/>
                <w:sz w:val="20"/>
                <w:szCs w:val="20"/>
              </w:rPr>
              <w:t>AND</w:t>
            </w:r>
          </w:p>
          <w:p w:rsidR="00EF5842" w:rsidRPr="00702AA9" w:rsidRDefault="00EF5842" w:rsidP="00EF5842">
            <w:pPr>
              <w:spacing w:before="40" w:after="40"/>
              <w:rPr>
                <w:rFonts w:ascii="Arial Narrow" w:hAnsi="Arial Narrow"/>
                <w:sz w:val="20"/>
                <w:szCs w:val="20"/>
              </w:rPr>
            </w:pPr>
            <w:r w:rsidRPr="00702AA9">
              <w:rPr>
                <w:rFonts w:ascii="Arial Narrow" w:hAnsi="Arial Narrow"/>
                <w:sz w:val="20"/>
                <w:szCs w:val="20"/>
              </w:rPr>
              <w:t>Patient must have demonstrated or sustained an adequate response to PBS-subsidised treatment with this drug,</w:t>
            </w:r>
          </w:p>
          <w:p w:rsidR="00EF5842" w:rsidRPr="00702AA9" w:rsidRDefault="00EF5842" w:rsidP="00EF5842">
            <w:pPr>
              <w:spacing w:before="40" w:after="40"/>
              <w:rPr>
                <w:rFonts w:ascii="Arial Narrow" w:hAnsi="Arial Narrow"/>
                <w:sz w:val="20"/>
                <w:szCs w:val="20"/>
              </w:rPr>
            </w:pPr>
            <w:r w:rsidRPr="00702AA9">
              <w:rPr>
                <w:rFonts w:ascii="Arial Narrow" w:hAnsi="Arial Narrow"/>
                <w:sz w:val="20"/>
                <w:szCs w:val="20"/>
              </w:rPr>
              <w:t>AND</w:t>
            </w:r>
          </w:p>
          <w:p w:rsidR="00EF5842" w:rsidRPr="00702AA9" w:rsidRDefault="00EF5842" w:rsidP="00EF5842">
            <w:pPr>
              <w:spacing w:before="40" w:after="40"/>
              <w:rPr>
                <w:rFonts w:ascii="Arial Narrow" w:hAnsi="Arial Narrow"/>
                <w:sz w:val="20"/>
                <w:szCs w:val="20"/>
              </w:rPr>
            </w:pPr>
            <w:r w:rsidRPr="00702AA9">
              <w:rPr>
                <w:rFonts w:ascii="Arial Narrow" w:hAnsi="Arial Narrow"/>
                <w:sz w:val="20"/>
                <w:szCs w:val="20"/>
              </w:rPr>
              <w:t>Patient must not receive more than 24 weeks of treatment under this restriction,</w:t>
            </w:r>
          </w:p>
          <w:p w:rsidR="00EF5842" w:rsidRPr="00702AA9" w:rsidRDefault="00EF5842" w:rsidP="00EF5842">
            <w:pPr>
              <w:spacing w:before="40" w:after="40"/>
              <w:rPr>
                <w:rFonts w:ascii="Arial Narrow" w:hAnsi="Arial Narrow"/>
                <w:sz w:val="20"/>
                <w:szCs w:val="20"/>
              </w:rPr>
            </w:pPr>
            <w:r w:rsidRPr="00702AA9">
              <w:rPr>
                <w:rFonts w:ascii="Arial Narrow" w:hAnsi="Arial Narrow"/>
                <w:sz w:val="20"/>
                <w:szCs w:val="20"/>
              </w:rPr>
              <w:t>AND</w:t>
            </w:r>
          </w:p>
          <w:p w:rsidR="00333F0B" w:rsidRPr="00702AA9" w:rsidRDefault="00F11F42" w:rsidP="00EF5842">
            <w:pPr>
              <w:spacing w:before="40" w:after="40"/>
              <w:rPr>
                <w:rFonts w:ascii="Arial Narrow" w:hAnsi="Arial Narrow"/>
                <w:sz w:val="20"/>
                <w:szCs w:val="20"/>
              </w:rPr>
            </w:pPr>
            <w:r>
              <w:rPr>
                <w:rFonts w:ascii="Arial Narrow" w:hAnsi="Arial Narrow"/>
                <w:sz w:val="20"/>
                <w:szCs w:val="20"/>
              </w:rPr>
              <w:t>T</w:t>
            </w:r>
            <w:r w:rsidR="00EF5842" w:rsidRPr="00702AA9">
              <w:rPr>
                <w:rFonts w:ascii="Arial Narrow" w:hAnsi="Arial Narrow"/>
                <w:sz w:val="20"/>
                <w:szCs w:val="20"/>
              </w:rPr>
              <w:t xml:space="preserve">he treatment must not be used in combination with, or within 6 months of treatment with, PBS-subsidised mepolizumab </w:t>
            </w:r>
            <w:r w:rsidR="00EF5842" w:rsidRPr="00702AA9">
              <w:rPr>
                <w:rFonts w:ascii="Arial Narrow" w:hAnsi="Arial Narrow"/>
                <w:i/>
                <w:sz w:val="20"/>
                <w:szCs w:val="20"/>
              </w:rPr>
              <w:t>or benralizumab</w:t>
            </w:r>
            <w:r w:rsidR="00EF5842" w:rsidRPr="00702AA9">
              <w:rPr>
                <w:rFonts w:ascii="Arial Narrow" w:hAnsi="Arial Narrow"/>
                <w:sz w:val="20"/>
                <w:szCs w:val="20"/>
              </w:rPr>
              <w:t>.</w:t>
            </w:r>
          </w:p>
        </w:tc>
      </w:tr>
      <w:tr w:rsidR="00333F0B" w:rsidRPr="00702AA9" w:rsidTr="006B521D">
        <w:trPr>
          <w:cantSplit/>
          <w:trHeight w:val="360"/>
        </w:trPr>
        <w:tc>
          <w:tcPr>
            <w:tcW w:w="1285" w:type="pct"/>
            <w:tcBorders>
              <w:top w:val="single" w:sz="4" w:space="0" w:color="auto"/>
              <w:left w:val="single" w:sz="4" w:space="0" w:color="auto"/>
              <w:bottom w:val="single" w:sz="4" w:space="0" w:color="auto"/>
              <w:right w:val="single" w:sz="4" w:space="0" w:color="auto"/>
            </w:tcBorders>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 xml:space="preserve">Population criteria </w:t>
            </w:r>
          </w:p>
        </w:tc>
        <w:tc>
          <w:tcPr>
            <w:tcW w:w="3715" w:type="pct"/>
            <w:gridSpan w:val="5"/>
            <w:tcBorders>
              <w:top w:val="single" w:sz="4" w:space="0" w:color="auto"/>
              <w:left w:val="single" w:sz="4" w:space="0" w:color="auto"/>
              <w:bottom w:val="single" w:sz="4" w:space="0" w:color="auto"/>
              <w:right w:val="single" w:sz="4" w:space="0" w:color="auto"/>
            </w:tcBorders>
          </w:tcPr>
          <w:p w:rsidR="00333F0B" w:rsidRPr="00702AA9" w:rsidRDefault="00EF5842" w:rsidP="006B521D">
            <w:pPr>
              <w:rPr>
                <w:rFonts w:ascii="Arial Narrow" w:hAnsi="Arial Narrow"/>
                <w:sz w:val="20"/>
              </w:rPr>
            </w:pPr>
            <w:r w:rsidRPr="00702AA9">
              <w:rPr>
                <w:rFonts w:ascii="Arial Narrow" w:hAnsi="Arial Narrow"/>
                <w:sz w:val="20"/>
              </w:rPr>
              <w:t>Patient must be aged 12 years or older.</w:t>
            </w:r>
          </w:p>
        </w:tc>
      </w:tr>
      <w:tr w:rsidR="00333F0B" w:rsidRPr="00702AA9" w:rsidTr="00333F0B">
        <w:trPr>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Prescriber Instructions</w:t>
            </w:r>
          </w:p>
        </w:tc>
        <w:tc>
          <w:tcPr>
            <w:tcW w:w="3715" w:type="pct"/>
            <w:gridSpan w:val="5"/>
            <w:tcBorders>
              <w:top w:val="single" w:sz="4" w:space="0" w:color="auto"/>
              <w:left w:val="single" w:sz="4" w:space="0" w:color="auto"/>
              <w:bottom w:val="single" w:sz="4" w:space="0" w:color="auto"/>
              <w:right w:val="single" w:sz="4" w:space="0" w:color="auto"/>
            </w:tcBorders>
          </w:tcPr>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An adequate response to omalizumab treatment is defined as:</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(a) a reduction in the Asthma Control Questionnaire (ACQ-5) score of at least 0.5 from baseline, OR</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(b) maintenance oral corticosteroid dose reduced by at least 25% from baseline, and no deterioration in ACQ-5 score from baseline, OR</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(c) a reduction in the time-adjusted exacerbation rates compared to the 12 months prior to baseline (this criterion is only applicable for patients transitioned from the paediatric to the adolescent/adult restriction).</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All applications for continuing treatment with omalizumab must include a measurement of response to the prior course of therapy. The Asthma Control Questionnaire (5 item version) assessment of the patient's response to the prior course of treatment, the assessment of oral corticosteroid dose, and the assessment of time adjusted exacerbation rate must be made at around 18 to 22 weeks after the first dose of PBS-subsidised omalizumab so that there is adequate time for a response to be demonstrated and for the application for continuing therapy to be processed.</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The first assessment should, where possible, be completed by the same physician who initiated treatment with omalizumab. This assessment, which will be used to determine eligibility for continuing treatment, must be submitted within 4 weeks of the date of assessment, and no later than 2 weeks prior to the patient completing their current treatment course, to avoid an interruption to supply. Where a response assessment is not undertaken and submitted within this timeframe, the patient will be deemed to have failed to respond to treatment with omalizumab.</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TGA-approved Product Information), sufficient for 24 weeks of therapy.</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The authority application must be made in writing and must include:</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(a) a completed authority prescription form(s); and</w:t>
            </w:r>
          </w:p>
          <w:p w:rsidR="006647B7" w:rsidRPr="00702AA9" w:rsidRDefault="006647B7" w:rsidP="00B03053">
            <w:pPr>
              <w:spacing w:before="40" w:after="40"/>
              <w:rPr>
                <w:rFonts w:ascii="Arial Narrow" w:hAnsi="Arial Narrow"/>
                <w:sz w:val="20"/>
                <w:szCs w:val="24"/>
              </w:rPr>
            </w:pPr>
            <w:r w:rsidRPr="00702AA9">
              <w:rPr>
                <w:rFonts w:ascii="Arial Narrow" w:hAnsi="Arial Narrow"/>
                <w:sz w:val="20"/>
                <w:szCs w:val="24"/>
              </w:rPr>
              <w:t>(b) a completed Severe Allergic Asthma PBS Authority Application and Supporting Information Form which includes details of maintenance oral corticosteroid dose; and</w:t>
            </w:r>
          </w:p>
          <w:p w:rsidR="00333F0B" w:rsidRPr="00702AA9" w:rsidRDefault="006647B7" w:rsidP="00B03053">
            <w:pPr>
              <w:spacing w:before="40" w:after="40"/>
              <w:rPr>
                <w:rFonts w:ascii="Arial Narrow" w:hAnsi="Arial Narrow"/>
                <w:sz w:val="20"/>
                <w:szCs w:val="24"/>
              </w:rPr>
            </w:pPr>
            <w:r w:rsidRPr="00702AA9">
              <w:rPr>
                <w:rFonts w:ascii="Arial Narrow" w:hAnsi="Arial Narrow"/>
                <w:sz w:val="20"/>
                <w:szCs w:val="24"/>
              </w:rPr>
              <w:t>(c) a completed Asthma Control Questionnaire (ACQ-5) calculation sheet including the date of assessment of the patient's symptoms and is endorsed with the signature of the prescriber; for patients transitioned from the paediatric to the adolescent/adult restrictions an exacerbation calculation sheet may be submitted.</w:t>
            </w:r>
          </w:p>
        </w:tc>
      </w:tr>
      <w:tr w:rsidR="00333F0B" w:rsidTr="00333F0B">
        <w:trPr>
          <w:trHeight w:val="360"/>
        </w:trPr>
        <w:tc>
          <w:tcPr>
            <w:tcW w:w="1285" w:type="pct"/>
            <w:tcBorders>
              <w:top w:val="single" w:sz="4" w:space="0" w:color="auto"/>
              <w:left w:val="single" w:sz="4" w:space="0" w:color="auto"/>
              <w:bottom w:val="single" w:sz="4" w:space="0" w:color="auto"/>
              <w:right w:val="single" w:sz="4" w:space="0" w:color="auto"/>
            </w:tcBorders>
            <w:hideMark/>
          </w:tcPr>
          <w:p w:rsidR="00333F0B" w:rsidRPr="00702AA9" w:rsidRDefault="00333F0B" w:rsidP="006B521D">
            <w:pPr>
              <w:spacing w:before="40" w:after="40"/>
              <w:rPr>
                <w:rFonts w:ascii="Arial Narrow" w:hAnsi="Arial Narrow"/>
                <w:b/>
                <w:sz w:val="20"/>
                <w:szCs w:val="20"/>
              </w:rPr>
            </w:pPr>
            <w:r w:rsidRPr="00702AA9">
              <w:rPr>
                <w:rFonts w:ascii="Arial Narrow" w:hAnsi="Arial Narrow"/>
                <w:b/>
                <w:sz w:val="20"/>
                <w:szCs w:val="20"/>
              </w:rPr>
              <w:t>Administrative Advice</w:t>
            </w:r>
          </w:p>
        </w:tc>
        <w:tc>
          <w:tcPr>
            <w:tcW w:w="3715" w:type="pct"/>
            <w:gridSpan w:val="5"/>
            <w:tcBorders>
              <w:top w:val="single" w:sz="4" w:space="0" w:color="auto"/>
              <w:left w:val="single" w:sz="4" w:space="0" w:color="auto"/>
              <w:bottom w:val="single" w:sz="4" w:space="0" w:color="auto"/>
              <w:right w:val="single" w:sz="4" w:space="0" w:color="auto"/>
            </w:tcBorders>
          </w:tcPr>
          <w:p w:rsidR="006647B7" w:rsidRPr="00702AA9" w:rsidRDefault="006647B7" w:rsidP="00B03053">
            <w:pPr>
              <w:spacing w:before="40" w:after="40"/>
              <w:rPr>
                <w:rFonts w:ascii="Arial Narrow" w:hAnsi="Arial Narrow"/>
                <w:sz w:val="20"/>
              </w:rPr>
            </w:pPr>
            <w:r w:rsidRPr="00702AA9">
              <w:rPr>
                <w:rFonts w:ascii="Arial Narrow" w:hAnsi="Arial Narrow"/>
                <w:sz w:val="20"/>
              </w:rPr>
              <w:t>If the same physician cannot assess the patient please call the Department of Human Services on 1800 700 270.</w:t>
            </w:r>
          </w:p>
          <w:p w:rsidR="006647B7" w:rsidRPr="00702AA9" w:rsidRDefault="006647B7" w:rsidP="00B03053">
            <w:pPr>
              <w:spacing w:before="40" w:after="40"/>
              <w:rPr>
                <w:rFonts w:ascii="Arial Narrow" w:hAnsi="Arial Narrow"/>
                <w:sz w:val="20"/>
              </w:rPr>
            </w:pPr>
            <w:r w:rsidRPr="00702AA9">
              <w:rPr>
                <w:rFonts w:ascii="Arial Narrow" w:hAnsi="Arial Narrow"/>
                <w:sz w:val="20"/>
              </w:rPr>
              <w:t>For copies of the ACQ and the calculation sheets please contact Novartis Medical Information on 1800 671 203 or medinfo.phauno@novartis.com</w:t>
            </w:r>
          </w:p>
          <w:p w:rsidR="006647B7" w:rsidRPr="00702AA9" w:rsidRDefault="006647B7" w:rsidP="00B03053">
            <w:pPr>
              <w:spacing w:before="40" w:after="40"/>
              <w:rPr>
                <w:rFonts w:ascii="Arial Narrow" w:hAnsi="Arial Narrow"/>
                <w:sz w:val="20"/>
              </w:rPr>
            </w:pPr>
            <w:r w:rsidRPr="00702AA9">
              <w:rPr>
                <w:rFonts w:ascii="Arial Narrow" w:hAnsi="Arial Narrow"/>
                <w:sz w:val="20"/>
              </w:rPr>
              <w:t>It is recommended that an application for continuing treatment is submitted at the time of the 18 to 22 week assessment, to ensure continuity of treatment for those patients who meet the continuation criterion for PBS-subsidised omalizumab treatment.</w:t>
            </w:r>
          </w:p>
          <w:p w:rsidR="006647B7" w:rsidRPr="00702AA9" w:rsidRDefault="006647B7" w:rsidP="00B03053">
            <w:pPr>
              <w:spacing w:before="40" w:after="40"/>
              <w:rPr>
                <w:rFonts w:ascii="Arial Narrow" w:hAnsi="Arial Narrow"/>
                <w:sz w:val="20"/>
              </w:rPr>
            </w:pPr>
            <w:r w:rsidRPr="00702AA9">
              <w:rPr>
                <w:rFonts w:ascii="Arial Narrow" w:hAnsi="Arial Narrow"/>
                <w:sz w:val="20"/>
              </w:rPr>
              <w:t>Any queries concerning the arrangements to prescribe may be directed to the Department of Human Services on 1800 700 270 (hours of operation 8 a.m. to 5 p.m. EST Monday to Friday).</w:t>
            </w:r>
          </w:p>
          <w:p w:rsidR="006647B7" w:rsidRPr="00702AA9" w:rsidRDefault="006647B7" w:rsidP="00B03053">
            <w:pPr>
              <w:spacing w:before="40" w:after="40"/>
              <w:rPr>
                <w:rFonts w:ascii="Arial Narrow" w:hAnsi="Arial Narrow"/>
                <w:sz w:val="20"/>
              </w:rPr>
            </w:pPr>
            <w:r w:rsidRPr="00702AA9">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6647B7" w:rsidRPr="00702AA9" w:rsidRDefault="006647B7" w:rsidP="00B03053">
            <w:pPr>
              <w:spacing w:before="40" w:after="40"/>
              <w:rPr>
                <w:rFonts w:ascii="Arial Narrow" w:hAnsi="Arial Narrow"/>
                <w:sz w:val="20"/>
              </w:rPr>
            </w:pPr>
            <w:r w:rsidRPr="00702AA9">
              <w:rPr>
                <w:rFonts w:ascii="Arial Narrow" w:hAnsi="Arial Narrow"/>
                <w:sz w:val="20"/>
              </w:rPr>
              <w:t>Applications for authority to prescribe should be forwarded to:</w:t>
            </w:r>
          </w:p>
          <w:p w:rsidR="006647B7" w:rsidRPr="00702AA9" w:rsidRDefault="006647B7" w:rsidP="00B03053">
            <w:pPr>
              <w:spacing w:before="40" w:after="40"/>
              <w:rPr>
                <w:rFonts w:ascii="Arial Narrow" w:hAnsi="Arial Narrow"/>
                <w:sz w:val="20"/>
              </w:rPr>
            </w:pPr>
            <w:r w:rsidRPr="00702AA9">
              <w:rPr>
                <w:rFonts w:ascii="Arial Narrow" w:hAnsi="Arial Narrow"/>
                <w:sz w:val="20"/>
              </w:rPr>
              <w:t>Department of Human Services</w:t>
            </w:r>
          </w:p>
          <w:p w:rsidR="006647B7" w:rsidRPr="00702AA9" w:rsidRDefault="006647B7" w:rsidP="00B03053">
            <w:pPr>
              <w:spacing w:before="40" w:after="40"/>
              <w:rPr>
                <w:rFonts w:ascii="Arial Narrow" w:hAnsi="Arial Narrow"/>
                <w:sz w:val="20"/>
              </w:rPr>
            </w:pPr>
            <w:r w:rsidRPr="00702AA9">
              <w:rPr>
                <w:rFonts w:ascii="Arial Narrow" w:hAnsi="Arial Narrow"/>
                <w:sz w:val="20"/>
              </w:rPr>
              <w:t>Complex Drugs</w:t>
            </w:r>
          </w:p>
          <w:p w:rsidR="006647B7" w:rsidRPr="00702AA9" w:rsidRDefault="006647B7" w:rsidP="00B03053">
            <w:pPr>
              <w:spacing w:before="40" w:after="40"/>
              <w:rPr>
                <w:rFonts w:ascii="Arial Narrow" w:hAnsi="Arial Narrow"/>
                <w:sz w:val="20"/>
              </w:rPr>
            </w:pPr>
            <w:r w:rsidRPr="00702AA9">
              <w:rPr>
                <w:rFonts w:ascii="Arial Narrow" w:hAnsi="Arial Narrow"/>
                <w:sz w:val="20"/>
              </w:rPr>
              <w:t>Reply Paid 9826</w:t>
            </w:r>
          </w:p>
          <w:p w:rsidR="006647B7" w:rsidRPr="00702AA9" w:rsidRDefault="006647B7" w:rsidP="00B03053">
            <w:pPr>
              <w:spacing w:before="40" w:after="40"/>
              <w:rPr>
                <w:rFonts w:ascii="Arial Narrow" w:hAnsi="Arial Narrow"/>
                <w:sz w:val="20"/>
              </w:rPr>
            </w:pPr>
            <w:r w:rsidRPr="00702AA9">
              <w:rPr>
                <w:rFonts w:ascii="Arial Narrow" w:hAnsi="Arial Narrow"/>
                <w:sz w:val="20"/>
              </w:rPr>
              <w:t>HOBART TAS 7001</w:t>
            </w:r>
          </w:p>
          <w:p w:rsidR="006647B7" w:rsidRPr="00702AA9" w:rsidRDefault="006647B7" w:rsidP="00B03053">
            <w:pPr>
              <w:spacing w:before="40" w:after="40"/>
              <w:rPr>
                <w:rFonts w:ascii="Arial Narrow" w:hAnsi="Arial Narrow"/>
                <w:sz w:val="20"/>
              </w:rPr>
            </w:pPr>
            <w:r w:rsidRPr="00702AA9">
              <w:rPr>
                <w:rFonts w:ascii="Arial Narrow" w:hAnsi="Arial Narrow"/>
                <w:sz w:val="20"/>
              </w:rPr>
              <w:t>TREATMENT OF ADULT AND ADOLESCENT PATIENTS WITH UNCONTROLLED SEVERE ALLERGIC ASTHMA</w:t>
            </w:r>
          </w:p>
          <w:p w:rsidR="006647B7" w:rsidRPr="00702AA9" w:rsidRDefault="00DD5C66" w:rsidP="00B03053">
            <w:pPr>
              <w:spacing w:before="40" w:after="40"/>
              <w:rPr>
                <w:rFonts w:ascii="Arial Narrow" w:hAnsi="Arial Narrow"/>
                <w:sz w:val="20"/>
              </w:rPr>
            </w:pPr>
            <w:r w:rsidRPr="00702AA9">
              <w:rPr>
                <w:rFonts w:ascii="Arial Narrow" w:hAnsi="Arial Narrow"/>
                <w:i/>
                <w:sz w:val="20"/>
              </w:rPr>
              <w:t>(Per note for initial treatment)</w:t>
            </w:r>
          </w:p>
          <w:p w:rsidR="00333F0B" w:rsidRPr="00702AA9" w:rsidRDefault="006647B7" w:rsidP="00B03053">
            <w:pPr>
              <w:spacing w:before="40" w:after="40"/>
              <w:rPr>
                <w:rFonts w:ascii="Arial Narrow" w:hAnsi="Arial Narrow"/>
                <w:sz w:val="20"/>
              </w:rPr>
            </w:pPr>
            <w:r w:rsidRPr="00702AA9">
              <w:rPr>
                <w:rFonts w:ascii="Arial Narrow" w:hAnsi="Arial Narrow"/>
                <w:sz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p w:rsidR="00AC6A56" w:rsidRPr="004D779F" w:rsidRDefault="00AC6A56" w:rsidP="00B03053">
            <w:pPr>
              <w:spacing w:before="40" w:after="40"/>
              <w:rPr>
                <w:rFonts w:ascii="Arial Narrow" w:hAnsi="Arial Narrow"/>
                <w:sz w:val="20"/>
              </w:rPr>
            </w:pPr>
            <w:r w:rsidRPr="00702AA9">
              <w:rPr>
                <w:rFonts w:ascii="Arial Narrow" w:hAnsi="Arial Narrow"/>
                <w:sz w:val="20"/>
              </w:rPr>
              <w:t>Special Pricing Arrangements apply.</w:t>
            </w:r>
          </w:p>
        </w:tc>
      </w:tr>
    </w:tbl>
    <w:bookmarkEnd w:id="0"/>
    <w:p w:rsidR="003F53CD" w:rsidRPr="00B03053" w:rsidRDefault="003F53CD" w:rsidP="00B03053">
      <w:pPr>
        <w:pStyle w:val="PBACHeading1"/>
        <w:rPr>
          <w:rFonts w:eastAsiaTheme="minorHAnsi"/>
        </w:rPr>
      </w:pPr>
      <w:r w:rsidRPr="00B03053">
        <w:rPr>
          <w:rFonts w:eastAsiaTheme="minorHAnsi"/>
        </w:rPr>
        <w:t>Context for Decision</w:t>
      </w:r>
    </w:p>
    <w:p w:rsidR="003F53CD" w:rsidRPr="003F53CD" w:rsidRDefault="003F53CD" w:rsidP="00B03053">
      <w:pPr>
        <w:widowControl/>
        <w:rPr>
          <w:rFonts w:asciiTheme="minorHAnsi" w:eastAsiaTheme="minorHAnsi" w:hAnsiTheme="minorHAnsi"/>
          <w:snapToGrid/>
        </w:rPr>
      </w:pPr>
      <w:r w:rsidRPr="003F53CD">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F53CD" w:rsidRPr="00B03053" w:rsidRDefault="003F53CD" w:rsidP="00B03053">
      <w:pPr>
        <w:pStyle w:val="PBACHeading1"/>
        <w:rPr>
          <w:rFonts w:eastAsiaTheme="minorHAnsi"/>
        </w:rPr>
      </w:pPr>
      <w:r w:rsidRPr="00B03053">
        <w:rPr>
          <w:rFonts w:eastAsiaTheme="minorHAnsi"/>
        </w:rPr>
        <w:t>Sponsor’s Comment</w:t>
      </w:r>
    </w:p>
    <w:p w:rsidR="003F53CD" w:rsidRPr="003F53CD" w:rsidRDefault="003F53CD" w:rsidP="00B03053">
      <w:pPr>
        <w:widowControl/>
        <w:spacing w:after="120" w:line="276" w:lineRule="auto"/>
        <w:rPr>
          <w:rFonts w:asciiTheme="minorHAnsi" w:eastAsiaTheme="minorHAnsi" w:hAnsiTheme="minorHAnsi"/>
          <w:bCs/>
          <w:snapToGrid/>
        </w:rPr>
      </w:pPr>
      <w:r w:rsidRPr="003F53CD">
        <w:rPr>
          <w:rFonts w:asciiTheme="minorHAnsi" w:eastAsiaTheme="minorHAnsi" w:hAnsiTheme="minorHAnsi"/>
          <w:bCs/>
          <w:snapToGrid/>
        </w:rPr>
        <w:t>The sponsor had no comment.</w:t>
      </w:r>
    </w:p>
    <w:p w:rsidR="00AB46C7" w:rsidRDefault="00AB46C7" w:rsidP="00E4147D">
      <w:pPr>
        <w:rPr>
          <w:rFonts w:cs="Calibri"/>
        </w:rPr>
      </w:pPr>
    </w:p>
    <w:sectPr w:rsidR="00AB46C7" w:rsidSect="003E1DD1">
      <w:headerReference w:type="even" r:id="rId9"/>
      <w:headerReference w:type="default" r:id="rId10"/>
      <w:footerReference w:type="even" r:id="rId11"/>
      <w:footerReference w:type="default" r:id="rId12"/>
      <w:headerReference w:type="first" r:id="rId13"/>
      <w:footerReference w:type="first" r:id="rId14"/>
      <w:pgSz w:w="11907" w:h="16840" w:code="9"/>
      <w:pgMar w:top="1440" w:right="1559"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3B7F9" w15:done="0"/>
  <w15:commentEx w15:paraId="75C9E6FF" w15:paraIdParent="0A43B7F9" w15:done="0"/>
  <w15:commentEx w15:paraId="5057276E" w15:paraIdParent="0A43B7F9" w15:done="0"/>
  <w15:commentEx w15:paraId="6BBEC4B4" w15:done="0"/>
  <w15:commentEx w15:paraId="2F0321C6" w15:paraIdParent="6BBEC4B4" w15:done="0"/>
  <w15:commentEx w15:paraId="182D2016" w15:paraIdParent="6BBEC4B4" w15:done="0"/>
  <w15:commentEx w15:paraId="588F2373" w15:paraIdParent="6BBEC4B4" w15:done="0"/>
  <w15:commentEx w15:paraId="280384D9" w15:done="0"/>
  <w15:commentEx w15:paraId="4EAED568" w15:paraIdParent="280384D9" w15:done="0"/>
  <w15:commentEx w15:paraId="30EBE570" w15:paraIdParent="280384D9" w15:done="0"/>
  <w15:commentEx w15:paraId="245012C1" w15:done="0"/>
  <w15:commentEx w15:paraId="0CB6EAA7" w15:paraIdParent="245012C1" w15:done="0"/>
  <w15:commentEx w15:paraId="0855C2C3" w15:paraIdParent="245012C1" w15:done="0"/>
  <w15:commentEx w15:paraId="0FCC02C4" w15:done="0"/>
  <w15:commentEx w15:paraId="58DF9223" w15:done="0"/>
  <w15:commentEx w15:paraId="0F61DC37" w15:paraIdParent="58DF9223" w15:done="0"/>
  <w15:commentEx w15:paraId="2A11A289" w15:done="0"/>
  <w15:commentEx w15:paraId="1CCFA8EF" w15:paraIdParent="2A11A289" w15:done="0"/>
  <w15:commentEx w15:paraId="436174D2" w15:done="0"/>
  <w15:commentEx w15:paraId="46D52E64" w15:done="0"/>
  <w15:commentEx w15:paraId="3E4B736F" w15:done="0"/>
  <w15:commentEx w15:paraId="3B84B34A" w15:done="0"/>
  <w15:commentEx w15:paraId="27663D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3B7F9" w16cid:durableId="1E6646C1"/>
  <w16cid:commentId w16cid:paraId="75C9E6FF" w16cid:durableId="1E664EDB"/>
  <w16cid:commentId w16cid:paraId="5057276E" w16cid:durableId="1E668AA7"/>
  <w16cid:commentId w16cid:paraId="6BBEC4B4" w16cid:durableId="1E6646C2"/>
  <w16cid:commentId w16cid:paraId="2F0321C6" w16cid:durableId="1E665075"/>
  <w16cid:commentId w16cid:paraId="182D2016" w16cid:durableId="1E668AFF"/>
  <w16cid:commentId w16cid:paraId="588F2373" w16cid:durableId="1E668B01"/>
  <w16cid:commentId w16cid:paraId="280384D9" w16cid:durableId="1E6646C3"/>
  <w16cid:commentId w16cid:paraId="4EAED568" w16cid:durableId="1E665069"/>
  <w16cid:commentId w16cid:paraId="30EBE570" w16cid:durableId="1E668BDF"/>
  <w16cid:commentId w16cid:paraId="245012C1" w16cid:durableId="1E6646C4"/>
  <w16cid:commentId w16cid:paraId="0CB6EAA7" w16cid:durableId="1E6651CA"/>
  <w16cid:commentId w16cid:paraId="0855C2C3" w16cid:durableId="1E668BF4"/>
  <w16cid:commentId w16cid:paraId="0FCC02C4" w16cid:durableId="1E6646C5"/>
  <w16cid:commentId w16cid:paraId="58DF9223" w16cid:durableId="1E6646C6"/>
  <w16cid:commentId w16cid:paraId="0F61DC37" w16cid:durableId="1E668C2C"/>
  <w16cid:commentId w16cid:paraId="2A11A289" w16cid:durableId="1E6646C7"/>
  <w16cid:commentId w16cid:paraId="1CCFA8EF" w16cid:durableId="1E665210"/>
  <w16cid:commentId w16cid:paraId="436174D2" w16cid:durableId="1E6646C8"/>
  <w16cid:commentId w16cid:paraId="46D52E64" w16cid:durableId="1E6646C9"/>
  <w16cid:commentId w16cid:paraId="3E4B736F" w16cid:durableId="1E6646CA"/>
  <w16cid:commentId w16cid:paraId="3B84B34A" w16cid:durableId="1E6646CB"/>
  <w16cid:commentId w16cid:paraId="27663D4F" w16cid:durableId="1E6646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DA" w:rsidRDefault="00127CDA" w:rsidP="00124A51">
      <w:r>
        <w:separator/>
      </w:r>
    </w:p>
    <w:p w:rsidR="00127CDA" w:rsidRDefault="00127CDA"/>
  </w:endnote>
  <w:endnote w:type="continuationSeparator" w:id="0">
    <w:p w:rsidR="00127CDA" w:rsidRDefault="00127CDA" w:rsidP="00124A51">
      <w:r>
        <w:continuationSeparator/>
      </w:r>
    </w:p>
    <w:p w:rsidR="00127CDA" w:rsidRDefault="00127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Yu Gothic"/>
    <w:panose1 w:val="00000000000000000000"/>
    <w:charset w:val="80"/>
    <w:family w:val="auto"/>
    <w:notTrueType/>
    <w:pitch w:val="default"/>
    <w:sig w:usb0="00000003" w:usb1="08070000" w:usb2="00000010" w:usb3="00000000" w:csb0="00020001" w:csb1="00000000"/>
  </w:font>
  <w:font w:name="Shaker2Lancet-Italic">
    <w:altName w:val="Calibri"/>
    <w:panose1 w:val="00000000000000000000"/>
    <w:charset w:val="00"/>
    <w:family w:val="auto"/>
    <w:notTrueType/>
    <w:pitch w:val="default"/>
    <w:sig w:usb0="00000003" w:usb1="00000000" w:usb2="00000000" w:usb3="00000000" w:csb0="00000001" w:csb1="00000000"/>
  </w:font>
  <w:font w:name="Shaker2Lancet-Bold">
    <w:altName w:val="Yu Gothic"/>
    <w:panose1 w:val="00000000000000000000"/>
    <w:charset w:val="00"/>
    <w:family w:val="auto"/>
    <w:notTrueType/>
    <w:pitch w:val="default"/>
    <w:sig w:usb0="00000000" w:usb1="08070000" w:usb2="00000010" w:usb3="00000000" w:csb0="00020001" w:csb1="00000000"/>
  </w:font>
  <w:font w:name="Shaker2Lancet-Bol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D7" w:rsidRDefault="003E6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80052"/>
      <w:docPartObj>
        <w:docPartGallery w:val="Page Numbers (Bottom of Page)"/>
        <w:docPartUnique/>
      </w:docPartObj>
    </w:sdtPr>
    <w:sdtEndPr>
      <w:rPr>
        <w:b/>
        <w:noProof/>
      </w:rPr>
    </w:sdtEndPr>
    <w:sdtContent>
      <w:p w:rsidR="003E6ED7" w:rsidRPr="003D535D" w:rsidRDefault="003E6ED7">
        <w:pPr>
          <w:pStyle w:val="Footer"/>
          <w:jc w:val="center"/>
          <w:rPr>
            <w:b/>
          </w:rPr>
        </w:pPr>
        <w:r w:rsidRPr="003D535D">
          <w:rPr>
            <w:b/>
          </w:rPr>
          <w:fldChar w:fldCharType="begin"/>
        </w:r>
        <w:r w:rsidRPr="003D535D">
          <w:rPr>
            <w:b/>
          </w:rPr>
          <w:instrText xml:space="preserve"> PAGE   \* MERGEFORMAT </w:instrText>
        </w:r>
        <w:r w:rsidRPr="003D535D">
          <w:rPr>
            <w:b/>
          </w:rPr>
          <w:fldChar w:fldCharType="separate"/>
        </w:r>
        <w:r w:rsidR="00127CDA">
          <w:rPr>
            <w:b/>
            <w:noProof/>
          </w:rPr>
          <w:t>1</w:t>
        </w:r>
        <w:r w:rsidRPr="003D535D">
          <w:rPr>
            <w:b/>
            <w:noProof/>
          </w:rPr>
          <w:fldChar w:fldCharType="end"/>
        </w:r>
      </w:p>
    </w:sdtContent>
  </w:sdt>
  <w:p w:rsidR="003E6ED7" w:rsidRDefault="003E6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D7" w:rsidRDefault="003E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DA" w:rsidRDefault="00127CDA" w:rsidP="00124A51">
      <w:r>
        <w:separator/>
      </w:r>
    </w:p>
    <w:p w:rsidR="00127CDA" w:rsidRDefault="00127CDA"/>
  </w:footnote>
  <w:footnote w:type="continuationSeparator" w:id="0">
    <w:p w:rsidR="00127CDA" w:rsidRDefault="00127CDA" w:rsidP="00124A51">
      <w:r>
        <w:continuationSeparator/>
      </w:r>
    </w:p>
    <w:p w:rsidR="00127CDA" w:rsidRDefault="00127C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D7" w:rsidRDefault="003E6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D7" w:rsidRDefault="003E6ED7" w:rsidP="0081025B">
    <w:pPr>
      <w:pStyle w:val="Header"/>
      <w:ind w:left="360"/>
      <w:jc w:val="center"/>
      <w:rPr>
        <w:rFonts w:asciiTheme="minorHAnsi" w:hAnsiTheme="minorHAnsi"/>
        <w:i/>
        <w:color w:val="808080"/>
        <w:sz w:val="22"/>
      </w:rPr>
    </w:pPr>
    <w:r w:rsidRPr="006754E1">
      <w:rPr>
        <w:rFonts w:asciiTheme="minorHAnsi" w:hAnsiTheme="minorHAnsi"/>
        <w:i/>
        <w:color w:val="808080"/>
        <w:sz w:val="22"/>
      </w:rPr>
      <w:t>Public Summary Document – March 2018 PBAC Meeting</w:t>
    </w:r>
  </w:p>
  <w:p w:rsidR="003E6ED7" w:rsidRPr="006754E1" w:rsidRDefault="003E6ED7" w:rsidP="0081025B">
    <w:pPr>
      <w:pStyle w:val="Header"/>
      <w:ind w:left="360"/>
      <w:jc w:val="center"/>
      <w:rPr>
        <w:rFonts w:asciiTheme="minorHAnsi" w:hAnsiTheme="minorHAnsi"/>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D7" w:rsidRDefault="003E6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CD7"/>
    <w:multiLevelType w:val="multilevel"/>
    <w:tmpl w:val="E8CC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E7C4D"/>
    <w:multiLevelType w:val="multilevel"/>
    <w:tmpl w:val="93302C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54B6B"/>
    <w:multiLevelType w:val="hybridMultilevel"/>
    <w:tmpl w:val="6908EDE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nsid w:val="44442297"/>
    <w:multiLevelType w:val="hybridMultilevel"/>
    <w:tmpl w:val="BB9A955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7526C3D4">
      <w:start w:val="4"/>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22569"/>
    <w:multiLevelType w:val="multilevel"/>
    <w:tmpl w:val="D454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8701A"/>
    <w:multiLevelType w:val="multilevel"/>
    <w:tmpl w:val="AA3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D033C"/>
    <w:multiLevelType w:val="multilevel"/>
    <w:tmpl w:val="D77400F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0"/>
  </w:num>
  <w:num w:numId="5">
    <w:abstractNumId w:val="6"/>
  </w:num>
  <w:num w:numId="6">
    <w:abstractNumId w:val="5"/>
  </w:num>
  <w:num w:numId="7">
    <w:abstractNumId w:val="1"/>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Burke">
    <w15:presenceInfo w15:providerId="Windows Live" w15:userId="5cbc78d6711c4fe1"/>
  </w15:person>
  <w15:person w15:author="SHARMA Rashmi">
    <w15:presenceInfo w15:providerId="AD" w15:userId="S-1-12-1-164440413-1326570189-3782217144-2814986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CB"/>
    <w:rsid w:val="00000790"/>
    <w:rsid w:val="0000110B"/>
    <w:rsid w:val="00001513"/>
    <w:rsid w:val="00001C2E"/>
    <w:rsid w:val="00003499"/>
    <w:rsid w:val="000039B7"/>
    <w:rsid w:val="0000512B"/>
    <w:rsid w:val="00005505"/>
    <w:rsid w:val="000056B2"/>
    <w:rsid w:val="000064D0"/>
    <w:rsid w:val="00007907"/>
    <w:rsid w:val="00010D02"/>
    <w:rsid w:val="00011483"/>
    <w:rsid w:val="00011B30"/>
    <w:rsid w:val="00011B5F"/>
    <w:rsid w:val="00011B8C"/>
    <w:rsid w:val="00012D52"/>
    <w:rsid w:val="00013247"/>
    <w:rsid w:val="000133C7"/>
    <w:rsid w:val="000139F9"/>
    <w:rsid w:val="00013E38"/>
    <w:rsid w:val="0001525C"/>
    <w:rsid w:val="00015886"/>
    <w:rsid w:val="00015A92"/>
    <w:rsid w:val="00015BDA"/>
    <w:rsid w:val="00015C30"/>
    <w:rsid w:val="000162EF"/>
    <w:rsid w:val="000165CF"/>
    <w:rsid w:val="00016D92"/>
    <w:rsid w:val="00016DB8"/>
    <w:rsid w:val="00017131"/>
    <w:rsid w:val="00017B2D"/>
    <w:rsid w:val="0002073D"/>
    <w:rsid w:val="00020CB3"/>
    <w:rsid w:val="000217CB"/>
    <w:rsid w:val="000220CE"/>
    <w:rsid w:val="0002225F"/>
    <w:rsid w:val="0002346C"/>
    <w:rsid w:val="00023763"/>
    <w:rsid w:val="00023AC8"/>
    <w:rsid w:val="00023C87"/>
    <w:rsid w:val="00024688"/>
    <w:rsid w:val="00024DFB"/>
    <w:rsid w:val="00025C24"/>
    <w:rsid w:val="00025F13"/>
    <w:rsid w:val="00025FF1"/>
    <w:rsid w:val="000260C1"/>
    <w:rsid w:val="00026794"/>
    <w:rsid w:val="0002717B"/>
    <w:rsid w:val="000275A4"/>
    <w:rsid w:val="000300FD"/>
    <w:rsid w:val="000304F9"/>
    <w:rsid w:val="00030542"/>
    <w:rsid w:val="000320DE"/>
    <w:rsid w:val="00033863"/>
    <w:rsid w:val="00034659"/>
    <w:rsid w:val="00034C37"/>
    <w:rsid w:val="00034E05"/>
    <w:rsid w:val="00035DC0"/>
    <w:rsid w:val="00036289"/>
    <w:rsid w:val="000363A6"/>
    <w:rsid w:val="00036829"/>
    <w:rsid w:val="00036A84"/>
    <w:rsid w:val="00036D72"/>
    <w:rsid w:val="000378C5"/>
    <w:rsid w:val="00040895"/>
    <w:rsid w:val="0004150D"/>
    <w:rsid w:val="0004208F"/>
    <w:rsid w:val="00042B46"/>
    <w:rsid w:val="00043042"/>
    <w:rsid w:val="00043C37"/>
    <w:rsid w:val="00044134"/>
    <w:rsid w:val="00044633"/>
    <w:rsid w:val="000446EB"/>
    <w:rsid w:val="00044A4F"/>
    <w:rsid w:val="00045017"/>
    <w:rsid w:val="0004595F"/>
    <w:rsid w:val="00045A2B"/>
    <w:rsid w:val="000463CF"/>
    <w:rsid w:val="0004698F"/>
    <w:rsid w:val="00046C0C"/>
    <w:rsid w:val="00047713"/>
    <w:rsid w:val="000506C0"/>
    <w:rsid w:val="0005171C"/>
    <w:rsid w:val="0005188C"/>
    <w:rsid w:val="0005190D"/>
    <w:rsid w:val="00052F3A"/>
    <w:rsid w:val="000539D0"/>
    <w:rsid w:val="00054425"/>
    <w:rsid w:val="00054621"/>
    <w:rsid w:val="000546BB"/>
    <w:rsid w:val="000546D7"/>
    <w:rsid w:val="00054AAC"/>
    <w:rsid w:val="000552BF"/>
    <w:rsid w:val="00055415"/>
    <w:rsid w:val="00055CCF"/>
    <w:rsid w:val="00056322"/>
    <w:rsid w:val="000567DC"/>
    <w:rsid w:val="000576B6"/>
    <w:rsid w:val="00060051"/>
    <w:rsid w:val="00060157"/>
    <w:rsid w:val="0006084B"/>
    <w:rsid w:val="00060B47"/>
    <w:rsid w:val="00061D68"/>
    <w:rsid w:val="00062507"/>
    <w:rsid w:val="000626A9"/>
    <w:rsid w:val="00062C9E"/>
    <w:rsid w:val="0006312F"/>
    <w:rsid w:val="0006314D"/>
    <w:rsid w:val="00064B95"/>
    <w:rsid w:val="00066343"/>
    <w:rsid w:val="00066360"/>
    <w:rsid w:val="000667FB"/>
    <w:rsid w:val="00067849"/>
    <w:rsid w:val="00071248"/>
    <w:rsid w:val="00071BD1"/>
    <w:rsid w:val="000720B9"/>
    <w:rsid w:val="00072AEA"/>
    <w:rsid w:val="00073796"/>
    <w:rsid w:val="000737F7"/>
    <w:rsid w:val="000749BC"/>
    <w:rsid w:val="0007530F"/>
    <w:rsid w:val="000759B1"/>
    <w:rsid w:val="00075A03"/>
    <w:rsid w:val="0007672F"/>
    <w:rsid w:val="000774F0"/>
    <w:rsid w:val="00080909"/>
    <w:rsid w:val="000812CA"/>
    <w:rsid w:val="00081562"/>
    <w:rsid w:val="000818CC"/>
    <w:rsid w:val="0008258D"/>
    <w:rsid w:val="000826CE"/>
    <w:rsid w:val="0008312E"/>
    <w:rsid w:val="00083AF6"/>
    <w:rsid w:val="00083E99"/>
    <w:rsid w:val="00085058"/>
    <w:rsid w:val="000856C5"/>
    <w:rsid w:val="00086ADF"/>
    <w:rsid w:val="00086E69"/>
    <w:rsid w:val="00090C7E"/>
    <w:rsid w:val="0009117C"/>
    <w:rsid w:val="00091FDB"/>
    <w:rsid w:val="00092600"/>
    <w:rsid w:val="0009262B"/>
    <w:rsid w:val="00092E98"/>
    <w:rsid w:val="00093040"/>
    <w:rsid w:val="00093310"/>
    <w:rsid w:val="00093721"/>
    <w:rsid w:val="0009445C"/>
    <w:rsid w:val="00095044"/>
    <w:rsid w:val="00095FE5"/>
    <w:rsid w:val="00096284"/>
    <w:rsid w:val="0009629F"/>
    <w:rsid w:val="000965BD"/>
    <w:rsid w:val="000A04FF"/>
    <w:rsid w:val="000A21C8"/>
    <w:rsid w:val="000A2251"/>
    <w:rsid w:val="000A2BCD"/>
    <w:rsid w:val="000A2BD4"/>
    <w:rsid w:val="000A2C57"/>
    <w:rsid w:val="000A2C92"/>
    <w:rsid w:val="000A3402"/>
    <w:rsid w:val="000A59BD"/>
    <w:rsid w:val="000A7D08"/>
    <w:rsid w:val="000B0670"/>
    <w:rsid w:val="000B0720"/>
    <w:rsid w:val="000B0932"/>
    <w:rsid w:val="000B0E75"/>
    <w:rsid w:val="000B11A2"/>
    <w:rsid w:val="000B1F02"/>
    <w:rsid w:val="000B31EC"/>
    <w:rsid w:val="000B3A7D"/>
    <w:rsid w:val="000B4525"/>
    <w:rsid w:val="000B4A5E"/>
    <w:rsid w:val="000B6393"/>
    <w:rsid w:val="000B6CAC"/>
    <w:rsid w:val="000B75AD"/>
    <w:rsid w:val="000B7612"/>
    <w:rsid w:val="000C187A"/>
    <w:rsid w:val="000C1AEE"/>
    <w:rsid w:val="000C1D31"/>
    <w:rsid w:val="000C260C"/>
    <w:rsid w:val="000C3BDE"/>
    <w:rsid w:val="000C3DF9"/>
    <w:rsid w:val="000C433D"/>
    <w:rsid w:val="000C459C"/>
    <w:rsid w:val="000C4A8C"/>
    <w:rsid w:val="000C6713"/>
    <w:rsid w:val="000C683A"/>
    <w:rsid w:val="000C6BB3"/>
    <w:rsid w:val="000C7F97"/>
    <w:rsid w:val="000D03A2"/>
    <w:rsid w:val="000D0493"/>
    <w:rsid w:val="000D078F"/>
    <w:rsid w:val="000D1BFC"/>
    <w:rsid w:val="000D281A"/>
    <w:rsid w:val="000D326A"/>
    <w:rsid w:val="000D4884"/>
    <w:rsid w:val="000D51FB"/>
    <w:rsid w:val="000D5B68"/>
    <w:rsid w:val="000D6382"/>
    <w:rsid w:val="000D7089"/>
    <w:rsid w:val="000D763B"/>
    <w:rsid w:val="000D7E38"/>
    <w:rsid w:val="000D7F9D"/>
    <w:rsid w:val="000E0235"/>
    <w:rsid w:val="000E0272"/>
    <w:rsid w:val="000E0765"/>
    <w:rsid w:val="000E09AA"/>
    <w:rsid w:val="000E11C4"/>
    <w:rsid w:val="000E129F"/>
    <w:rsid w:val="000E135D"/>
    <w:rsid w:val="000E1875"/>
    <w:rsid w:val="000E2112"/>
    <w:rsid w:val="000E21CE"/>
    <w:rsid w:val="000E3D8D"/>
    <w:rsid w:val="000E4428"/>
    <w:rsid w:val="000E511A"/>
    <w:rsid w:val="000E5AAB"/>
    <w:rsid w:val="000E6014"/>
    <w:rsid w:val="000E644B"/>
    <w:rsid w:val="000E6540"/>
    <w:rsid w:val="000E6BF3"/>
    <w:rsid w:val="000F00BA"/>
    <w:rsid w:val="000F01CC"/>
    <w:rsid w:val="000F0592"/>
    <w:rsid w:val="000F0CB9"/>
    <w:rsid w:val="000F17A5"/>
    <w:rsid w:val="000F2FCA"/>
    <w:rsid w:val="000F316A"/>
    <w:rsid w:val="000F32E2"/>
    <w:rsid w:val="000F3C74"/>
    <w:rsid w:val="000F42B7"/>
    <w:rsid w:val="000F45DD"/>
    <w:rsid w:val="000F4BB8"/>
    <w:rsid w:val="000F50E9"/>
    <w:rsid w:val="000F51F1"/>
    <w:rsid w:val="000F522C"/>
    <w:rsid w:val="000F7127"/>
    <w:rsid w:val="00100929"/>
    <w:rsid w:val="00100F8A"/>
    <w:rsid w:val="00101BCF"/>
    <w:rsid w:val="00102AE0"/>
    <w:rsid w:val="001032BE"/>
    <w:rsid w:val="00103590"/>
    <w:rsid w:val="00103730"/>
    <w:rsid w:val="00103C8B"/>
    <w:rsid w:val="00103D4E"/>
    <w:rsid w:val="001047E6"/>
    <w:rsid w:val="0010483C"/>
    <w:rsid w:val="001055FB"/>
    <w:rsid w:val="00105AE2"/>
    <w:rsid w:val="00105B58"/>
    <w:rsid w:val="00105F47"/>
    <w:rsid w:val="001066C6"/>
    <w:rsid w:val="00106A3C"/>
    <w:rsid w:val="00106B80"/>
    <w:rsid w:val="00106C72"/>
    <w:rsid w:val="001072A5"/>
    <w:rsid w:val="00107938"/>
    <w:rsid w:val="0011032E"/>
    <w:rsid w:val="001104B6"/>
    <w:rsid w:val="00110A03"/>
    <w:rsid w:val="00110A17"/>
    <w:rsid w:val="00111ED0"/>
    <w:rsid w:val="001122EB"/>
    <w:rsid w:val="00112594"/>
    <w:rsid w:val="0011348B"/>
    <w:rsid w:val="00115982"/>
    <w:rsid w:val="00115BF0"/>
    <w:rsid w:val="00116307"/>
    <w:rsid w:val="001164FB"/>
    <w:rsid w:val="00116C50"/>
    <w:rsid w:val="00116C53"/>
    <w:rsid w:val="00117059"/>
    <w:rsid w:val="001175C0"/>
    <w:rsid w:val="00120495"/>
    <w:rsid w:val="00120A5F"/>
    <w:rsid w:val="00120CA2"/>
    <w:rsid w:val="00121799"/>
    <w:rsid w:val="001222FC"/>
    <w:rsid w:val="0012256D"/>
    <w:rsid w:val="0012362E"/>
    <w:rsid w:val="00123857"/>
    <w:rsid w:val="00123B07"/>
    <w:rsid w:val="00123D8D"/>
    <w:rsid w:val="00124158"/>
    <w:rsid w:val="00124317"/>
    <w:rsid w:val="001244C8"/>
    <w:rsid w:val="0012471E"/>
    <w:rsid w:val="00124854"/>
    <w:rsid w:val="00124A51"/>
    <w:rsid w:val="00124E52"/>
    <w:rsid w:val="00125491"/>
    <w:rsid w:val="00125E56"/>
    <w:rsid w:val="00125EF2"/>
    <w:rsid w:val="00126145"/>
    <w:rsid w:val="00126597"/>
    <w:rsid w:val="00126621"/>
    <w:rsid w:val="00126639"/>
    <w:rsid w:val="00126861"/>
    <w:rsid w:val="00127007"/>
    <w:rsid w:val="0012737D"/>
    <w:rsid w:val="00127C0D"/>
    <w:rsid w:val="00127CDA"/>
    <w:rsid w:val="001301E9"/>
    <w:rsid w:val="00131D82"/>
    <w:rsid w:val="001323B0"/>
    <w:rsid w:val="001324B7"/>
    <w:rsid w:val="001326F4"/>
    <w:rsid w:val="00132C31"/>
    <w:rsid w:val="00132E89"/>
    <w:rsid w:val="001334E1"/>
    <w:rsid w:val="00133D36"/>
    <w:rsid w:val="00133DD3"/>
    <w:rsid w:val="001348C0"/>
    <w:rsid w:val="001348F7"/>
    <w:rsid w:val="00134A80"/>
    <w:rsid w:val="00135612"/>
    <w:rsid w:val="0013579B"/>
    <w:rsid w:val="00135940"/>
    <w:rsid w:val="00136014"/>
    <w:rsid w:val="00137645"/>
    <w:rsid w:val="00137E96"/>
    <w:rsid w:val="0014015A"/>
    <w:rsid w:val="00140D51"/>
    <w:rsid w:val="00140E99"/>
    <w:rsid w:val="00142B00"/>
    <w:rsid w:val="00143882"/>
    <w:rsid w:val="00144EF1"/>
    <w:rsid w:val="00144F32"/>
    <w:rsid w:val="00145327"/>
    <w:rsid w:val="00145540"/>
    <w:rsid w:val="00145674"/>
    <w:rsid w:val="001456B0"/>
    <w:rsid w:val="001457CA"/>
    <w:rsid w:val="00145EB8"/>
    <w:rsid w:val="00146012"/>
    <w:rsid w:val="001464C4"/>
    <w:rsid w:val="00147082"/>
    <w:rsid w:val="0014735A"/>
    <w:rsid w:val="00147EAB"/>
    <w:rsid w:val="0015032D"/>
    <w:rsid w:val="00150BF0"/>
    <w:rsid w:val="00151005"/>
    <w:rsid w:val="0015140A"/>
    <w:rsid w:val="001515F7"/>
    <w:rsid w:val="00151946"/>
    <w:rsid w:val="00152E91"/>
    <w:rsid w:val="00153692"/>
    <w:rsid w:val="00154683"/>
    <w:rsid w:val="00154F30"/>
    <w:rsid w:val="001553D1"/>
    <w:rsid w:val="001554CC"/>
    <w:rsid w:val="00155EDE"/>
    <w:rsid w:val="00157130"/>
    <w:rsid w:val="00157231"/>
    <w:rsid w:val="001576B1"/>
    <w:rsid w:val="001600F2"/>
    <w:rsid w:val="00160A4C"/>
    <w:rsid w:val="00161A8F"/>
    <w:rsid w:val="00162334"/>
    <w:rsid w:val="00162913"/>
    <w:rsid w:val="001634EA"/>
    <w:rsid w:val="00163B96"/>
    <w:rsid w:val="00163EFF"/>
    <w:rsid w:val="0016498F"/>
    <w:rsid w:val="00164E7C"/>
    <w:rsid w:val="00165BB7"/>
    <w:rsid w:val="001661FB"/>
    <w:rsid w:val="00167279"/>
    <w:rsid w:val="001706D3"/>
    <w:rsid w:val="00170DDB"/>
    <w:rsid w:val="00171962"/>
    <w:rsid w:val="001724DB"/>
    <w:rsid w:val="00173565"/>
    <w:rsid w:val="00173B07"/>
    <w:rsid w:val="001747B8"/>
    <w:rsid w:val="00176228"/>
    <w:rsid w:val="0017636E"/>
    <w:rsid w:val="00176567"/>
    <w:rsid w:val="0017738D"/>
    <w:rsid w:val="0018031B"/>
    <w:rsid w:val="00180B79"/>
    <w:rsid w:val="00180C70"/>
    <w:rsid w:val="00181916"/>
    <w:rsid w:val="00181D9C"/>
    <w:rsid w:val="001826E9"/>
    <w:rsid w:val="0018278B"/>
    <w:rsid w:val="00183131"/>
    <w:rsid w:val="001846D2"/>
    <w:rsid w:val="0018474A"/>
    <w:rsid w:val="00184C65"/>
    <w:rsid w:val="00185275"/>
    <w:rsid w:val="001868CD"/>
    <w:rsid w:val="00186E67"/>
    <w:rsid w:val="0018752F"/>
    <w:rsid w:val="001903F7"/>
    <w:rsid w:val="00190807"/>
    <w:rsid w:val="00191095"/>
    <w:rsid w:val="0019193C"/>
    <w:rsid w:val="00192293"/>
    <w:rsid w:val="00192A0A"/>
    <w:rsid w:val="0019383E"/>
    <w:rsid w:val="00194992"/>
    <w:rsid w:val="00195222"/>
    <w:rsid w:val="00195F96"/>
    <w:rsid w:val="001960B2"/>
    <w:rsid w:val="0019722C"/>
    <w:rsid w:val="0019731C"/>
    <w:rsid w:val="001975D8"/>
    <w:rsid w:val="001A0510"/>
    <w:rsid w:val="001A13A6"/>
    <w:rsid w:val="001A1CAF"/>
    <w:rsid w:val="001A1E70"/>
    <w:rsid w:val="001A2006"/>
    <w:rsid w:val="001A2595"/>
    <w:rsid w:val="001A29D4"/>
    <w:rsid w:val="001A2B2A"/>
    <w:rsid w:val="001A33A3"/>
    <w:rsid w:val="001A3960"/>
    <w:rsid w:val="001A43FA"/>
    <w:rsid w:val="001A59FB"/>
    <w:rsid w:val="001A61CA"/>
    <w:rsid w:val="001A6354"/>
    <w:rsid w:val="001A64EC"/>
    <w:rsid w:val="001A6C0E"/>
    <w:rsid w:val="001A747B"/>
    <w:rsid w:val="001A7692"/>
    <w:rsid w:val="001A7AE8"/>
    <w:rsid w:val="001B0ACF"/>
    <w:rsid w:val="001B1473"/>
    <w:rsid w:val="001B19D3"/>
    <w:rsid w:val="001B1C6B"/>
    <w:rsid w:val="001B204E"/>
    <w:rsid w:val="001B31FC"/>
    <w:rsid w:val="001B3443"/>
    <w:rsid w:val="001B3678"/>
    <w:rsid w:val="001B41A9"/>
    <w:rsid w:val="001B4D20"/>
    <w:rsid w:val="001B517D"/>
    <w:rsid w:val="001B57E2"/>
    <w:rsid w:val="001B68BB"/>
    <w:rsid w:val="001B6F84"/>
    <w:rsid w:val="001B7B89"/>
    <w:rsid w:val="001C0162"/>
    <w:rsid w:val="001C0263"/>
    <w:rsid w:val="001C0826"/>
    <w:rsid w:val="001C09DF"/>
    <w:rsid w:val="001C139C"/>
    <w:rsid w:val="001C19F9"/>
    <w:rsid w:val="001C2A9B"/>
    <w:rsid w:val="001C3873"/>
    <w:rsid w:val="001C4299"/>
    <w:rsid w:val="001C447C"/>
    <w:rsid w:val="001C511D"/>
    <w:rsid w:val="001C5B50"/>
    <w:rsid w:val="001C5F94"/>
    <w:rsid w:val="001C6E66"/>
    <w:rsid w:val="001C798F"/>
    <w:rsid w:val="001C7E2C"/>
    <w:rsid w:val="001D0532"/>
    <w:rsid w:val="001D38FB"/>
    <w:rsid w:val="001D3992"/>
    <w:rsid w:val="001D477E"/>
    <w:rsid w:val="001D48AB"/>
    <w:rsid w:val="001D4A86"/>
    <w:rsid w:val="001D57BD"/>
    <w:rsid w:val="001D6BF6"/>
    <w:rsid w:val="001E085A"/>
    <w:rsid w:val="001E0FD9"/>
    <w:rsid w:val="001E238E"/>
    <w:rsid w:val="001E2483"/>
    <w:rsid w:val="001E259B"/>
    <w:rsid w:val="001E2B1E"/>
    <w:rsid w:val="001E30D4"/>
    <w:rsid w:val="001E3DDF"/>
    <w:rsid w:val="001E40A9"/>
    <w:rsid w:val="001E4680"/>
    <w:rsid w:val="001E46F1"/>
    <w:rsid w:val="001E518A"/>
    <w:rsid w:val="001E52EB"/>
    <w:rsid w:val="001E59AE"/>
    <w:rsid w:val="001E5B3A"/>
    <w:rsid w:val="001E6011"/>
    <w:rsid w:val="001E61D2"/>
    <w:rsid w:val="001E740C"/>
    <w:rsid w:val="001E7D32"/>
    <w:rsid w:val="001F0036"/>
    <w:rsid w:val="001F0A98"/>
    <w:rsid w:val="001F0C6A"/>
    <w:rsid w:val="001F1235"/>
    <w:rsid w:val="001F1402"/>
    <w:rsid w:val="001F1AAE"/>
    <w:rsid w:val="001F1AE8"/>
    <w:rsid w:val="001F1CB3"/>
    <w:rsid w:val="001F3385"/>
    <w:rsid w:val="001F38B5"/>
    <w:rsid w:val="001F4096"/>
    <w:rsid w:val="001F4693"/>
    <w:rsid w:val="001F5060"/>
    <w:rsid w:val="001F62CC"/>
    <w:rsid w:val="001F690F"/>
    <w:rsid w:val="001F6BFB"/>
    <w:rsid w:val="001F70ED"/>
    <w:rsid w:val="001F72C2"/>
    <w:rsid w:val="001F7361"/>
    <w:rsid w:val="001F7C04"/>
    <w:rsid w:val="002003C5"/>
    <w:rsid w:val="00200878"/>
    <w:rsid w:val="002011B0"/>
    <w:rsid w:val="00201331"/>
    <w:rsid w:val="0020178E"/>
    <w:rsid w:val="00201A95"/>
    <w:rsid w:val="0020234B"/>
    <w:rsid w:val="002025BA"/>
    <w:rsid w:val="00203153"/>
    <w:rsid w:val="00203181"/>
    <w:rsid w:val="002036C2"/>
    <w:rsid w:val="00203783"/>
    <w:rsid w:val="0020385F"/>
    <w:rsid w:val="00204A86"/>
    <w:rsid w:val="00204DDC"/>
    <w:rsid w:val="00204E0A"/>
    <w:rsid w:val="00206926"/>
    <w:rsid w:val="00206AFF"/>
    <w:rsid w:val="00207021"/>
    <w:rsid w:val="0020732F"/>
    <w:rsid w:val="00207D00"/>
    <w:rsid w:val="00210174"/>
    <w:rsid w:val="002105C1"/>
    <w:rsid w:val="002114F1"/>
    <w:rsid w:val="002119F5"/>
    <w:rsid w:val="00211F0A"/>
    <w:rsid w:val="00212567"/>
    <w:rsid w:val="00213473"/>
    <w:rsid w:val="00214801"/>
    <w:rsid w:val="002149CA"/>
    <w:rsid w:val="00214AF6"/>
    <w:rsid w:val="00214E54"/>
    <w:rsid w:val="002157EF"/>
    <w:rsid w:val="00215A0D"/>
    <w:rsid w:val="002165A1"/>
    <w:rsid w:val="00216E07"/>
    <w:rsid w:val="002170A8"/>
    <w:rsid w:val="00217A1F"/>
    <w:rsid w:val="00217E0D"/>
    <w:rsid w:val="00220043"/>
    <w:rsid w:val="00220EFE"/>
    <w:rsid w:val="00221373"/>
    <w:rsid w:val="00222FE5"/>
    <w:rsid w:val="00223B49"/>
    <w:rsid w:val="00223BBF"/>
    <w:rsid w:val="00223E0D"/>
    <w:rsid w:val="00223E8B"/>
    <w:rsid w:val="00223EC8"/>
    <w:rsid w:val="00224DD4"/>
    <w:rsid w:val="00224FDA"/>
    <w:rsid w:val="00225B92"/>
    <w:rsid w:val="0022684B"/>
    <w:rsid w:val="00227B07"/>
    <w:rsid w:val="002309CC"/>
    <w:rsid w:val="00230C0E"/>
    <w:rsid w:val="00230E90"/>
    <w:rsid w:val="002319A0"/>
    <w:rsid w:val="0023209F"/>
    <w:rsid w:val="00232ED4"/>
    <w:rsid w:val="0023360E"/>
    <w:rsid w:val="00233FD1"/>
    <w:rsid w:val="0023436B"/>
    <w:rsid w:val="00234410"/>
    <w:rsid w:val="00234552"/>
    <w:rsid w:val="00234881"/>
    <w:rsid w:val="00234F17"/>
    <w:rsid w:val="0023629D"/>
    <w:rsid w:val="00237255"/>
    <w:rsid w:val="002375E7"/>
    <w:rsid w:val="002401F7"/>
    <w:rsid w:val="00240605"/>
    <w:rsid w:val="00240896"/>
    <w:rsid w:val="00240ABB"/>
    <w:rsid w:val="002412E5"/>
    <w:rsid w:val="002419E3"/>
    <w:rsid w:val="002424AF"/>
    <w:rsid w:val="0024263E"/>
    <w:rsid w:val="0024363B"/>
    <w:rsid w:val="002436BB"/>
    <w:rsid w:val="0024398B"/>
    <w:rsid w:val="002439DC"/>
    <w:rsid w:val="00243A95"/>
    <w:rsid w:val="00244DC8"/>
    <w:rsid w:val="002458BA"/>
    <w:rsid w:val="002458C6"/>
    <w:rsid w:val="00245DE4"/>
    <w:rsid w:val="0024636C"/>
    <w:rsid w:val="00247925"/>
    <w:rsid w:val="0025004B"/>
    <w:rsid w:val="00250587"/>
    <w:rsid w:val="0025210F"/>
    <w:rsid w:val="002525C5"/>
    <w:rsid w:val="00252AA5"/>
    <w:rsid w:val="002531FC"/>
    <w:rsid w:val="002539EB"/>
    <w:rsid w:val="002542DB"/>
    <w:rsid w:val="00254A9D"/>
    <w:rsid w:val="00254DCF"/>
    <w:rsid w:val="0025521E"/>
    <w:rsid w:val="0025534B"/>
    <w:rsid w:val="00255BB7"/>
    <w:rsid w:val="00256AAA"/>
    <w:rsid w:val="00256D70"/>
    <w:rsid w:val="00257189"/>
    <w:rsid w:val="00257541"/>
    <w:rsid w:val="00257E03"/>
    <w:rsid w:val="00257FDF"/>
    <w:rsid w:val="00260799"/>
    <w:rsid w:val="002625DC"/>
    <w:rsid w:val="002626B9"/>
    <w:rsid w:val="002626FF"/>
    <w:rsid w:val="00262A1A"/>
    <w:rsid w:val="00262A87"/>
    <w:rsid w:val="002633D3"/>
    <w:rsid w:val="00263710"/>
    <w:rsid w:val="00263767"/>
    <w:rsid w:val="00263940"/>
    <w:rsid w:val="00263F1B"/>
    <w:rsid w:val="00264D26"/>
    <w:rsid w:val="002653C3"/>
    <w:rsid w:val="002656DF"/>
    <w:rsid w:val="002664FA"/>
    <w:rsid w:val="00266E9D"/>
    <w:rsid w:val="00267028"/>
    <w:rsid w:val="00267642"/>
    <w:rsid w:val="00267AEA"/>
    <w:rsid w:val="002700E6"/>
    <w:rsid w:val="00271D3A"/>
    <w:rsid w:val="00271D8F"/>
    <w:rsid w:val="0027294B"/>
    <w:rsid w:val="00272EF3"/>
    <w:rsid w:val="0027365F"/>
    <w:rsid w:val="00273ADD"/>
    <w:rsid w:val="00273C94"/>
    <w:rsid w:val="002740BC"/>
    <w:rsid w:val="0027542E"/>
    <w:rsid w:val="00275C5A"/>
    <w:rsid w:val="0028029D"/>
    <w:rsid w:val="002806C0"/>
    <w:rsid w:val="00280C1A"/>
    <w:rsid w:val="00281014"/>
    <w:rsid w:val="0028157D"/>
    <w:rsid w:val="002818F3"/>
    <w:rsid w:val="00281C36"/>
    <w:rsid w:val="00281DAD"/>
    <w:rsid w:val="00282525"/>
    <w:rsid w:val="00282CC9"/>
    <w:rsid w:val="002832B4"/>
    <w:rsid w:val="00283851"/>
    <w:rsid w:val="00284065"/>
    <w:rsid w:val="002846C3"/>
    <w:rsid w:val="0028585B"/>
    <w:rsid w:val="00285A08"/>
    <w:rsid w:val="00285BD9"/>
    <w:rsid w:val="00285E9C"/>
    <w:rsid w:val="00286856"/>
    <w:rsid w:val="0028793F"/>
    <w:rsid w:val="00290266"/>
    <w:rsid w:val="002918D3"/>
    <w:rsid w:val="0029285E"/>
    <w:rsid w:val="0029449D"/>
    <w:rsid w:val="002944A0"/>
    <w:rsid w:val="00294B19"/>
    <w:rsid w:val="00295AE2"/>
    <w:rsid w:val="00296D7A"/>
    <w:rsid w:val="00296FA0"/>
    <w:rsid w:val="00297186"/>
    <w:rsid w:val="00297948"/>
    <w:rsid w:val="002A14AB"/>
    <w:rsid w:val="002A2711"/>
    <w:rsid w:val="002A28C4"/>
    <w:rsid w:val="002A2F50"/>
    <w:rsid w:val="002A4362"/>
    <w:rsid w:val="002A53AD"/>
    <w:rsid w:val="002A595C"/>
    <w:rsid w:val="002A65C3"/>
    <w:rsid w:val="002A662E"/>
    <w:rsid w:val="002A6A0F"/>
    <w:rsid w:val="002A78C0"/>
    <w:rsid w:val="002B066F"/>
    <w:rsid w:val="002B09A4"/>
    <w:rsid w:val="002B09CF"/>
    <w:rsid w:val="002B1322"/>
    <w:rsid w:val="002B1B81"/>
    <w:rsid w:val="002B1C1F"/>
    <w:rsid w:val="002B272E"/>
    <w:rsid w:val="002B3ACD"/>
    <w:rsid w:val="002B42C0"/>
    <w:rsid w:val="002B432F"/>
    <w:rsid w:val="002B482C"/>
    <w:rsid w:val="002B4D65"/>
    <w:rsid w:val="002B5671"/>
    <w:rsid w:val="002B5A1A"/>
    <w:rsid w:val="002B5CDF"/>
    <w:rsid w:val="002B5D5A"/>
    <w:rsid w:val="002B61F7"/>
    <w:rsid w:val="002B62AC"/>
    <w:rsid w:val="002B62B3"/>
    <w:rsid w:val="002B663B"/>
    <w:rsid w:val="002B6754"/>
    <w:rsid w:val="002B6CCE"/>
    <w:rsid w:val="002B71C4"/>
    <w:rsid w:val="002B7A34"/>
    <w:rsid w:val="002B7A4B"/>
    <w:rsid w:val="002C0096"/>
    <w:rsid w:val="002C0642"/>
    <w:rsid w:val="002C09D4"/>
    <w:rsid w:val="002C20F5"/>
    <w:rsid w:val="002C2510"/>
    <w:rsid w:val="002C2775"/>
    <w:rsid w:val="002C27C1"/>
    <w:rsid w:val="002C2824"/>
    <w:rsid w:val="002C489E"/>
    <w:rsid w:val="002C5099"/>
    <w:rsid w:val="002C5889"/>
    <w:rsid w:val="002C6169"/>
    <w:rsid w:val="002C71CE"/>
    <w:rsid w:val="002C7C0E"/>
    <w:rsid w:val="002D042A"/>
    <w:rsid w:val="002D0A09"/>
    <w:rsid w:val="002D1267"/>
    <w:rsid w:val="002D1A5B"/>
    <w:rsid w:val="002D26AC"/>
    <w:rsid w:val="002D312A"/>
    <w:rsid w:val="002D3915"/>
    <w:rsid w:val="002D39A2"/>
    <w:rsid w:val="002D3A9D"/>
    <w:rsid w:val="002D3AD6"/>
    <w:rsid w:val="002D3B1C"/>
    <w:rsid w:val="002D4A8C"/>
    <w:rsid w:val="002D5432"/>
    <w:rsid w:val="002D563D"/>
    <w:rsid w:val="002D577C"/>
    <w:rsid w:val="002D6C92"/>
    <w:rsid w:val="002E1254"/>
    <w:rsid w:val="002E15B9"/>
    <w:rsid w:val="002E16EF"/>
    <w:rsid w:val="002E2158"/>
    <w:rsid w:val="002E3683"/>
    <w:rsid w:val="002E51E3"/>
    <w:rsid w:val="002E6ABA"/>
    <w:rsid w:val="002E7722"/>
    <w:rsid w:val="002F01B8"/>
    <w:rsid w:val="002F051B"/>
    <w:rsid w:val="002F07BA"/>
    <w:rsid w:val="002F0A53"/>
    <w:rsid w:val="002F0B06"/>
    <w:rsid w:val="002F0DA9"/>
    <w:rsid w:val="002F3A2F"/>
    <w:rsid w:val="002F3F59"/>
    <w:rsid w:val="002F6162"/>
    <w:rsid w:val="002F6364"/>
    <w:rsid w:val="002F643C"/>
    <w:rsid w:val="002F703C"/>
    <w:rsid w:val="002F71C0"/>
    <w:rsid w:val="002F73FF"/>
    <w:rsid w:val="002F74D9"/>
    <w:rsid w:val="00300540"/>
    <w:rsid w:val="0030070B"/>
    <w:rsid w:val="00301017"/>
    <w:rsid w:val="0030155F"/>
    <w:rsid w:val="003022CB"/>
    <w:rsid w:val="003025EB"/>
    <w:rsid w:val="00303082"/>
    <w:rsid w:val="00303D4F"/>
    <w:rsid w:val="00304CE0"/>
    <w:rsid w:val="00305481"/>
    <w:rsid w:val="0030587B"/>
    <w:rsid w:val="0030601B"/>
    <w:rsid w:val="003066CD"/>
    <w:rsid w:val="00306CBF"/>
    <w:rsid w:val="00306D98"/>
    <w:rsid w:val="00307323"/>
    <w:rsid w:val="0030786C"/>
    <w:rsid w:val="00307E30"/>
    <w:rsid w:val="0031031A"/>
    <w:rsid w:val="0031053B"/>
    <w:rsid w:val="00310800"/>
    <w:rsid w:val="00310981"/>
    <w:rsid w:val="00311F8A"/>
    <w:rsid w:val="00312456"/>
    <w:rsid w:val="003127A1"/>
    <w:rsid w:val="00312E39"/>
    <w:rsid w:val="003137D6"/>
    <w:rsid w:val="00315154"/>
    <w:rsid w:val="00315498"/>
    <w:rsid w:val="003159CD"/>
    <w:rsid w:val="00315C80"/>
    <w:rsid w:val="00316B73"/>
    <w:rsid w:val="003171ED"/>
    <w:rsid w:val="00317C7F"/>
    <w:rsid w:val="00320B84"/>
    <w:rsid w:val="00321BA4"/>
    <w:rsid w:val="00321ECF"/>
    <w:rsid w:val="00322107"/>
    <w:rsid w:val="00322846"/>
    <w:rsid w:val="0032381D"/>
    <w:rsid w:val="0032396A"/>
    <w:rsid w:val="0032414E"/>
    <w:rsid w:val="003252E4"/>
    <w:rsid w:val="003257C6"/>
    <w:rsid w:val="003263DB"/>
    <w:rsid w:val="00326DA7"/>
    <w:rsid w:val="003270E4"/>
    <w:rsid w:val="003277CF"/>
    <w:rsid w:val="00330139"/>
    <w:rsid w:val="003303E6"/>
    <w:rsid w:val="00330467"/>
    <w:rsid w:val="003305DF"/>
    <w:rsid w:val="003308FE"/>
    <w:rsid w:val="00330D7D"/>
    <w:rsid w:val="00330F5C"/>
    <w:rsid w:val="003331F0"/>
    <w:rsid w:val="00333B86"/>
    <w:rsid w:val="00333F0B"/>
    <w:rsid w:val="00334993"/>
    <w:rsid w:val="00334D88"/>
    <w:rsid w:val="003353FB"/>
    <w:rsid w:val="003360DA"/>
    <w:rsid w:val="0033638B"/>
    <w:rsid w:val="00336454"/>
    <w:rsid w:val="003366C9"/>
    <w:rsid w:val="003368BD"/>
    <w:rsid w:val="003368D3"/>
    <w:rsid w:val="00336CA9"/>
    <w:rsid w:val="00337153"/>
    <w:rsid w:val="003371B0"/>
    <w:rsid w:val="00337F53"/>
    <w:rsid w:val="00340DF1"/>
    <w:rsid w:val="00341D79"/>
    <w:rsid w:val="003421DF"/>
    <w:rsid w:val="0034347B"/>
    <w:rsid w:val="00343AB7"/>
    <w:rsid w:val="00344A5B"/>
    <w:rsid w:val="00345AFA"/>
    <w:rsid w:val="00345FC4"/>
    <w:rsid w:val="00347659"/>
    <w:rsid w:val="00347D78"/>
    <w:rsid w:val="00347F6E"/>
    <w:rsid w:val="003502F1"/>
    <w:rsid w:val="00350470"/>
    <w:rsid w:val="0035079A"/>
    <w:rsid w:val="00350DD6"/>
    <w:rsid w:val="003517F9"/>
    <w:rsid w:val="00351E70"/>
    <w:rsid w:val="00352145"/>
    <w:rsid w:val="00353B34"/>
    <w:rsid w:val="003542A8"/>
    <w:rsid w:val="0035490D"/>
    <w:rsid w:val="0035620E"/>
    <w:rsid w:val="003563D7"/>
    <w:rsid w:val="00356F91"/>
    <w:rsid w:val="00357A1F"/>
    <w:rsid w:val="00360A2D"/>
    <w:rsid w:val="003624C4"/>
    <w:rsid w:val="00362659"/>
    <w:rsid w:val="003627CB"/>
    <w:rsid w:val="00363CD3"/>
    <w:rsid w:val="00363EAC"/>
    <w:rsid w:val="0036499C"/>
    <w:rsid w:val="0036528E"/>
    <w:rsid w:val="003654AC"/>
    <w:rsid w:val="00365A7D"/>
    <w:rsid w:val="00365D4A"/>
    <w:rsid w:val="003663B4"/>
    <w:rsid w:val="003664B0"/>
    <w:rsid w:val="00366501"/>
    <w:rsid w:val="00367102"/>
    <w:rsid w:val="00367907"/>
    <w:rsid w:val="0037073F"/>
    <w:rsid w:val="003709F3"/>
    <w:rsid w:val="00370CB8"/>
    <w:rsid w:val="003710CF"/>
    <w:rsid w:val="0037114D"/>
    <w:rsid w:val="00372B92"/>
    <w:rsid w:val="0037358A"/>
    <w:rsid w:val="00373590"/>
    <w:rsid w:val="003750F6"/>
    <w:rsid w:val="003760BD"/>
    <w:rsid w:val="003760FC"/>
    <w:rsid w:val="00377083"/>
    <w:rsid w:val="00377B70"/>
    <w:rsid w:val="00377B72"/>
    <w:rsid w:val="00380E30"/>
    <w:rsid w:val="003829A5"/>
    <w:rsid w:val="00382DA8"/>
    <w:rsid w:val="0038365C"/>
    <w:rsid w:val="0038369B"/>
    <w:rsid w:val="00383964"/>
    <w:rsid w:val="00383B78"/>
    <w:rsid w:val="00383C80"/>
    <w:rsid w:val="00385191"/>
    <w:rsid w:val="0038599B"/>
    <w:rsid w:val="00385A9D"/>
    <w:rsid w:val="003869AB"/>
    <w:rsid w:val="00386ABA"/>
    <w:rsid w:val="00387A7B"/>
    <w:rsid w:val="00387E5F"/>
    <w:rsid w:val="003902B1"/>
    <w:rsid w:val="003911D5"/>
    <w:rsid w:val="00391FD9"/>
    <w:rsid w:val="00392444"/>
    <w:rsid w:val="0039261F"/>
    <w:rsid w:val="003929A9"/>
    <w:rsid w:val="00393456"/>
    <w:rsid w:val="00393AF9"/>
    <w:rsid w:val="00394C47"/>
    <w:rsid w:val="00394E8D"/>
    <w:rsid w:val="003954E5"/>
    <w:rsid w:val="00396896"/>
    <w:rsid w:val="00396FD0"/>
    <w:rsid w:val="003973CD"/>
    <w:rsid w:val="003A1644"/>
    <w:rsid w:val="003A1A7A"/>
    <w:rsid w:val="003A21AA"/>
    <w:rsid w:val="003A2392"/>
    <w:rsid w:val="003A24A6"/>
    <w:rsid w:val="003A267B"/>
    <w:rsid w:val="003A2831"/>
    <w:rsid w:val="003A2A83"/>
    <w:rsid w:val="003A374F"/>
    <w:rsid w:val="003A39FB"/>
    <w:rsid w:val="003A3ED1"/>
    <w:rsid w:val="003A4350"/>
    <w:rsid w:val="003A51CB"/>
    <w:rsid w:val="003A535C"/>
    <w:rsid w:val="003A5461"/>
    <w:rsid w:val="003A59D0"/>
    <w:rsid w:val="003A673E"/>
    <w:rsid w:val="003A6BB5"/>
    <w:rsid w:val="003A7133"/>
    <w:rsid w:val="003B3AD9"/>
    <w:rsid w:val="003B426E"/>
    <w:rsid w:val="003B42B1"/>
    <w:rsid w:val="003B4EB4"/>
    <w:rsid w:val="003B5B61"/>
    <w:rsid w:val="003C080C"/>
    <w:rsid w:val="003C086D"/>
    <w:rsid w:val="003C087A"/>
    <w:rsid w:val="003C1654"/>
    <w:rsid w:val="003C1C72"/>
    <w:rsid w:val="003C1E2F"/>
    <w:rsid w:val="003C20DC"/>
    <w:rsid w:val="003C21E9"/>
    <w:rsid w:val="003C2CD6"/>
    <w:rsid w:val="003C3553"/>
    <w:rsid w:val="003C46C0"/>
    <w:rsid w:val="003C4B42"/>
    <w:rsid w:val="003C5035"/>
    <w:rsid w:val="003C5927"/>
    <w:rsid w:val="003C685C"/>
    <w:rsid w:val="003C6A5F"/>
    <w:rsid w:val="003C6BA2"/>
    <w:rsid w:val="003C781D"/>
    <w:rsid w:val="003C7D19"/>
    <w:rsid w:val="003D0307"/>
    <w:rsid w:val="003D1828"/>
    <w:rsid w:val="003D1DE4"/>
    <w:rsid w:val="003D2422"/>
    <w:rsid w:val="003D2873"/>
    <w:rsid w:val="003D2CE9"/>
    <w:rsid w:val="003D39A1"/>
    <w:rsid w:val="003D3FBF"/>
    <w:rsid w:val="003D489E"/>
    <w:rsid w:val="003D48EB"/>
    <w:rsid w:val="003D4A30"/>
    <w:rsid w:val="003D535D"/>
    <w:rsid w:val="003D5AEC"/>
    <w:rsid w:val="003D5C59"/>
    <w:rsid w:val="003D5C77"/>
    <w:rsid w:val="003D6670"/>
    <w:rsid w:val="003D6D52"/>
    <w:rsid w:val="003D79BB"/>
    <w:rsid w:val="003D7C27"/>
    <w:rsid w:val="003D7C98"/>
    <w:rsid w:val="003E04D8"/>
    <w:rsid w:val="003E0543"/>
    <w:rsid w:val="003E0782"/>
    <w:rsid w:val="003E10FA"/>
    <w:rsid w:val="003E14C5"/>
    <w:rsid w:val="003E1DD1"/>
    <w:rsid w:val="003E30BB"/>
    <w:rsid w:val="003E3901"/>
    <w:rsid w:val="003E4A4B"/>
    <w:rsid w:val="003E5223"/>
    <w:rsid w:val="003E5B77"/>
    <w:rsid w:val="003E6ED7"/>
    <w:rsid w:val="003F08E6"/>
    <w:rsid w:val="003F1369"/>
    <w:rsid w:val="003F1554"/>
    <w:rsid w:val="003F1715"/>
    <w:rsid w:val="003F1FEA"/>
    <w:rsid w:val="003F2C66"/>
    <w:rsid w:val="003F2CAE"/>
    <w:rsid w:val="003F3819"/>
    <w:rsid w:val="003F3D6B"/>
    <w:rsid w:val="003F4156"/>
    <w:rsid w:val="003F4325"/>
    <w:rsid w:val="003F4C8E"/>
    <w:rsid w:val="003F53CD"/>
    <w:rsid w:val="003F5F50"/>
    <w:rsid w:val="003F6067"/>
    <w:rsid w:val="003F7070"/>
    <w:rsid w:val="00400068"/>
    <w:rsid w:val="004004B8"/>
    <w:rsid w:val="00400516"/>
    <w:rsid w:val="00400B29"/>
    <w:rsid w:val="004014FB"/>
    <w:rsid w:val="00401C68"/>
    <w:rsid w:val="00402824"/>
    <w:rsid w:val="00402ADF"/>
    <w:rsid w:val="00402F2B"/>
    <w:rsid w:val="0040357A"/>
    <w:rsid w:val="00403CBD"/>
    <w:rsid w:val="0040504B"/>
    <w:rsid w:val="00405840"/>
    <w:rsid w:val="00405B25"/>
    <w:rsid w:val="00405EFE"/>
    <w:rsid w:val="00406CDC"/>
    <w:rsid w:val="00410708"/>
    <w:rsid w:val="00410AE9"/>
    <w:rsid w:val="00410E21"/>
    <w:rsid w:val="00410EC7"/>
    <w:rsid w:val="00411B39"/>
    <w:rsid w:val="00413A1E"/>
    <w:rsid w:val="004140EF"/>
    <w:rsid w:val="00414193"/>
    <w:rsid w:val="00414476"/>
    <w:rsid w:val="00414607"/>
    <w:rsid w:val="004149E3"/>
    <w:rsid w:val="00414C2E"/>
    <w:rsid w:val="004151CF"/>
    <w:rsid w:val="0041607A"/>
    <w:rsid w:val="00416364"/>
    <w:rsid w:val="004169C9"/>
    <w:rsid w:val="00416C10"/>
    <w:rsid w:val="00417649"/>
    <w:rsid w:val="00417C8A"/>
    <w:rsid w:val="00417E8C"/>
    <w:rsid w:val="004209F0"/>
    <w:rsid w:val="00420AA6"/>
    <w:rsid w:val="00420B9F"/>
    <w:rsid w:val="00421D3E"/>
    <w:rsid w:val="00422260"/>
    <w:rsid w:val="0042283F"/>
    <w:rsid w:val="00422CE9"/>
    <w:rsid w:val="00422FE3"/>
    <w:rsid w:val="004230D5"/>
    <w:rsid w:val="0042413F"/>
    <w:rsid w:val="00424E62"/>
    <w:rsid w:val="00425B2A"/>
    <w:rsid w:val="00425C8F"/>
    <w:rsid w:val="00426E74"/>
    <w:rsid w:val="004302D7"/>
    <w:rsid w:val="004319F8"/>
    <w:rsid w:val="00431E55"/>
    <w:rsid w:val="004321F6"/>
    <w:rsid w:val="00433044"/>
    <w:rsid w:val="00433C01"/>
    <w:rsid w:val="00433C2A"/>
    <w:rsid w:val="00433D65"/>
    <w:rsid w:val="00435F8D"/>
    <w:rsid w:val="00435FB9"/>
    <w:rsid w:val="004364D2"/>
    <w:rsid w:val="00436738"/>
    <w:rsid w:val="00436901"/>
    <w:rsid w:val="004375B9"/>
    <w:rsid w:val="00437956"/>
    <w:rsid w:val="00437A60"/>
    <w:rsid w:val="00437A9F"/>
    <w:rsid w:val="00440004"/>
    <w:rsid w:val="0044045D"/>
    <w:rsid w:val="00440F1F"/>
    <w:rsid w:val="00441B7B"/>
    <w:rsid w:val="004428D0"/>
    <w:rsid w:val="0044326B"/>
    <w:rsid w:val="0044405B"/>
    <w:rsid w:val="004443A7"/>
    <w:rsid w:val="0044442C"/>
    <w:rsid w:val="004455B8"/>
    <w:rsid w:val="00445941"/>
    <w:rsid w:val="004464EB"/>
    <w:rsid w:val="0044674D"/>
    <w:rsid w:val="004478C6"/>
    <w:rsid w:val="00447A3C"/>
    <w:rsid w:val="00447D26"/>
    <w:rsid w:val="004517A1"/>
    <w:rsid w:val="00451A8F"/>
    <w:rsid w:val="004526E5"/>
    <w:rsid w:val="004534FC"/>
    <w:rsid w:val="0045455F"/>
    <w:rsid w:val="00454932"/>
    <w:rsid w:val="004552D6"/>
    <w:rsid w:val="00455D45"/>
    <w:rsid w:val="00455E22"/>
    <w:rsid w:val="00455FCD"/>
    <w:rsid w:val="00456CEB"/>
    <w:rsid w:val="00456E5A"/>
    <w:rsid w:val="0045700C"/>
    <w:rsid w:val="004572EB"/>
    <w:rsid w:val="0045769A"/>
    <w:rsid w:val="00460F53"/>
    <w:rsid w:val="004613C8"/>
    <w:rsid w:val="00461EA3"/>
    <w:rsid w:val="00462077"/>
    <w:rsid w:val="00462A03"/>
    <w:rsid w:val="00462A25"/>
    <w:rsid w:val="00464506"/>
    <w:rsid w:val="00464595"/>
    <w:rsid w:val="00466425"/>
    <w:rsid w:val="00466E52"/>
    <w:rsid w:val="0046787B"/>
    <w:rsid w:val="00470A0B"/>
    <w:rsid w:val="004711F6"/>
    <w:rsid w:val="00471230"/>
    <w:rsid w:val="004712F0"/>
    <w:rsid w:val="0047230D"/>
    <w:rsid w:val="00472707"/>
    <w:rsid w:val="00472A79"/>
    <w:rsid w:val="004732C6"/>
    <w:rsid w:val="00473F19"/>
    <w:rsid w:val="00474843"/>
    <w:rsid w:val="00475E22"/>
    <w:rsid w:val="00476064"/>
    <w:rsid w:val="004767E2"/>
    <w:rsid w:val="00476BC9"/>
    <w:rsid w:val="00476DEF"/>
    <w:rsid w:val="00477BFF"/>
    <w:rsid w:val="0048088E"/>
    <w:rsid w:val="004811CE"/>
    <w:rsid w:val="00481D6D"/>
    <w:rsid w:val="00481DAD"/>
    <w:rsid w:val="00482720"/>
    <w:rsid w:val="00482898"/>
    <w:rsid w:val="004829CF"/>
    <w:rsid w:val="004835E7"/>
    <w:rsid w:val="00484887"/>
    <w:rsid w:val="00485685"/>
    <w:rsid w:val="00486278"/>
    <w:rsid w:val="00486690"/>
    <w:rsid w:val="004867E2"/>
    <w:rsid w:val="004879E7"/>
    <w:rsid w:val="00490B61"/>
    <w:rsid w:val="00490E22"/>
    <w:rsid w:val="004917E6"/>
    <w:rsid w:val="004919E2"/>
    <w:rsid w:val="00491B3A"/>
    <w:rsid w:val="0049219C"/>
    <w:rsid w:val="00492C94"/>
    <w:rsid w:val="00492CFD"/>
    <w:rsid w:val="0049345B"/>
    <w:rsid w:val="00494238"/>
    <w:rsid w:val="004946B6"/>
    <w:rsid w:val="00494DD5"/>
    <w:rsid w:val="00495C10"/>
    <w:rsid w:val="00495C3A"/>
    <w:rsid w:val="00495CD2"/>
    <w:rsid w:val="004962D2"/>
    <w:rsid w:val="00497B2A"/>
    <w:rsid w:val="00497C3F"/>
    <w:rsid w:val="00497EDC"/>
    <w:rsid w:val="004A0DA1"/>
    <w:rsid w:val="004A156E"/>
    <w:rsid w:val="004A2D15"/>
    <w:rsid w:val="004A32A3"/>
    <w:rsid w:val="004A352C"/>
    <w:rsid w:val="004A37A2"/>
    <w:rsid w:val="004A4BD5"/>
    <w:rsid w:val="004A52E9"/>
    <w:rsid w:val="004A59F0"/>
    <w:rsid w:val="004A6597"/>
    <w:rsid w:val="004A6D50"/>
    <w:rsid w:val="004A6ED7"/>
    <w:rsid w:val="004A7848"/>
    <w:rsid w:val="004B02BB"/>
    <w:rsid w:val="004B02CE"/>
    <w:rsid w:val="004B051B"/>
    <w:rsid w:val="004B09F5"/>
    <w:rsid w:val="004B0AEF"/>
    <w:rsid w:val="004B1160"/>
    <w:rsid w:val="004B14AB"/>
    <w:rsid w:val="004B1CB4"/>
    <w:rsid w:val="004B2C0A"/>
    <w:rsid w:val="004B2D90"/>
    <w:rsid w:val="004B2F18"/>
    <w:rsid w:val="004B3300"/>
    <w:rsid w:val="004B34FA"/>
    <w:rsid w:val="004B399A"/>
    <w:rsid w:val="004B39EA"/>
    <w:rsid w:val="004B3A49"/>
    <w:rsid w:val="004B3DDB"/>
    <w:rsid w:val="004B420C"/>
    <w:rsid w:val="004B44FD"/>
    <w:rsid w:val="004B4E12"/>
    <w:rsid w:val="004B5CFC"/>
    <w:rsid w:val="004B6672"/>
    <w:rsid w:val="004B68BB"/>
    <w:rsid w:val="004B69D9"/>
    <w:rsid w:val="004B71C6"/>
    <w:rsid w:val="004B774D"/>
    <w:rsid w:val="004B775A"/>
    <w:rsid w:val="004B793C"/>
    <w:rsid w:val="004C18B9"/>
    <w:rsid w:val="004C1D29"/>
    <w:rsid w:val="004C1F44"/>
    <w:rsid w:val="004C2082"/>
    <w:rsid w:val="004C2EE8"/>
    <w:rsid w:val="004C38F6"/>
    <w:rsid w:val="004C3ABD"/>
    <w:rsid w:val="004C3C49"/>
    <w:rsid w:val="004C4AED"/>
    <w:rsid w:val="004C4CE4"/>
    <w:rsid w:val="004C502C"/>
    <w:rsid w:val="004D0ECE"/>
    <w:rsid w:val="004D116B"/>
    <w:rsid w:val="004D22D9"/>
    <w:rsid w:val="004D2555"/>
    <w:rsid w:val="004D2C2D"/>
    <w:rsid w:val="004D31EF"/>
    <w:rsid w:val="004D357A"/>
    <w:rsid w:val="004D47C6"/>
    <w:rsid w:val="004D4977"/>
    <w:rsid w:val="004D4CC8"/>
    <w:rsid w:val="004D5EAA"/>
    <w:rsid w:val="004D62A5"/>
    <w:rsid w:val="004D66F3"/>
    <w:rsid w:val="004D7227"/>
    <w:rsid w:val="004D7354"/>
    <w:rsid w:val="004D7499"/>
    <w:rsid w:val="004D779F"/>
    <w:rsid w:val="004D7A45"/>
    <w:rsid w:val="004E0270"/>
    <w:rsid w:val="004E04EF"/>
    <w:rsid w:val="004E0E7F"/>
    <w:rsid w:val="004E0EB8"/>
    <w:rsid w:val="004E1028"/>
    <w:rsid w:val="004E1257"/>
    <w:rsid w:val="004E16F1"/>
    <w:rsid w:val="004E1A2D"/>
    <w:rsid w:val="004E299B"/>
    <w:rsid w:val="004E2ADC"/>
    <w:rsid w:val="004E3236"/>
    <w:rsid w:val="004E40E0"/>
    <w:rsid w:val="004E43B2"/>
    <w:rsid w:val="004E4442"/>
    <w:rsid w:val="004E4D48"/>
    <w:rsid w:val="004E5B9A"/>
    <w:rsid w:val="004E5C32"/>
    <w:rsid w:val="004E6179"/>
    <w:rsid w:val="004E6DF6"/>
    <w:rsid w:val="004E76E9"/>
    <w:rsid w:val="004E7AF4"/>
    <w:rsid w:val="004E7CC4"/>
    <w:rsid w:val="004E7ED2"/>
    <w:rsid w:val="004F0298"/>
    <w:rsid w:val="004F0764"/>
    <w:rsid w:val="004F077D"/>
    <w:rsid w:val="004F1D02"/>
    <w:rsid w:val="004F2679"/>
    <w:rsid w:val="004F2711"/>
    <w:rsid w:val="004F285F"/>
    <w:rsid w:val="004F2F21"/>
    <w:rsid w:val="004F32C3"/>
    <w:rsid w:val="004F4B7D"/>
    <w:rsid w:val="004F5962"/>
    <w:rsid w:val="004F5CAE"/>
    <w:rsid w:val="004F6913"/>
    <w:rsid w:val="004F6DE4"/>
    <w:rsid w:val="004F6F51"/>
    <w:rsid w:val="004F776C"/>
    <w:rsid w:val="004F7865"/>
    <w:rsid w:val="00500216"/>
    <w:rsid w:val="005006C5"/>
    <w:rsid w:val="00501399"/>
    <w:rsid w:val="0050206E"/>
    <w:rsid w:val="0050219B"/>
    <w:rsid w:val="00503F17"/>
    <w:rsid w:val="00506034"/>
    <w:rsid w:val="0050623F"/>
    <w:rsid w:val="00506249"/>
    <w:rsid w:val="0050685E"/>
    <w:rsid w:val="00506928"/>
    <w:rsid w:val="00506DA6"/>
    <w:rsid w:val="0050721E"/>
    <w:rsid w:val="00507728"/>
    <w:rsid w:val="005102A2"/>
    <w:rsid w:val="005128AA"/>
    <w:rsid w:val="00515250"/>
    <w:rsid w:val="00515278"/>
    <w:rsid w:val="005152B5"/>
    <w:rsid w:val="00515978"/>
    <w:rsid w:val="00515AE9"/>
    <w:rsid w:val="00516185"/>
    <w:rsid w:val="005162F2"/>
    <w:rsid w:val="00516D01"/>
    <w:rsid w:val="0051701A"/>
    <w:rsid w:val="00517287"/>
    <w:rsid w:val="00517702"/>
    <w:rsid w:val="00517A55"/>
    <w:rsid w:val="00517FA6"/>
    <w:rsid w:val="00520408"/>
    <w:rsid w:val="00521319"/>
    <w:rsid w:val="00522810"/>
    <w:rsid w:val="00522BC8"/>
    <w:rsid w:val="005231AC"/>
    <w:rsid w:val="005234CC"/>
    <w:rsid w:val="00523C28"/>
    <w:rsid w:val="00524885"/>
    <w:rsid w:val="005248E0"/>
    <w:rsid w:val="00525084"/>
    <w:rsid w:val="0052675F"/>
    <w:rsid w:val="0052729D"/>
    <w:rsid w:val="00527C8B"/>
    <w:rsid w:val="00527EE6"/>
    <w:rsid w:val="005327AE"/>
    <w:rsid w:val="00532DE8"/>
    <w:rsid w:val="00533DBA"/>
    <w:rsid w:val="00534334"/>
    <w:rsid w:val="005344F2"/>
    <w:rsid w:val="005347B4"/>
    <w:rsid w:val="00535A1C"/>
    <w:rsid w:val="00536F42"/>
    <w:rsid w:val="00537182"/>
    <w:rsid w:val="00537233"/>
    <w:rsid w:val="00537978"/>
    <w:rsid w:val="0054008B"/>
    <w:rsid w:val="00540665"/>
    <w:rsid w:val="00540B44"/>
    <w:rsid w:val="0054137A"/>
    <w:rsid w:val="00541E26"/>
    <w:rsid w:val="0054268D"/>
    <w:rsid w:val="00542743"/>
    <w:rsid w:val="00542C04"/>
    <w:rsid w:val="00542C2D"/>
    <w:rsid w:val="00542F8C"/>
    <w:rsid w:val="005430C4"/>
    <w:rsid w:val="00543231"/>
    <w:rsid w:val="00543661"/>
    <w:rsid w:val="005448C2"/>
    <w:rsid w:val="005460F3"/>
    <w:rsid w:val="00546D6D"/>
    <w:rsid w:val="0055031C"/>
    <w:rsid w:val="00550536"/>
    <w:rsid w:val="0055189D"/>
    <w:rsid w:val="00551985"/>
    <w:rsid w:val="00551A7D"/>
    <w:rsid w:val="00551A7E"/>
    <w:rsid w:val="00551D6A"/>
    <w:rsid w:val="00552BD3"/>
    <w:rsid w:val="00554C05"/>
    <w:rsid w:val="00555109"/>
    <w:rsid w:val="0055520B"/>
    <w:rsid w:val="00555A99"/>
    <w:rsid w:val="00557861"/>
    <w:rsid w:val="0056091A"/>
    <w:rsid w:val="00563021"/>
    <w:rsid w:val="00564B96"/>
    <w:rsid w:val="00565DBB"/>
    <w:rsid w:val="0056696F"/>
    <w:rsid w:val="00566D97"/>
    <w:rsid w:val="0056721F"/>
    <w:rsid w:val="00571549"/>
    <w:rsid w:val="00571D38"/>
    <w:rsid w:val="00572269"/>
    <w:rsid w:val="0057244A"/>
    <w:rsid w:val="005733D4"/>
    <w:rsid w:val="00573D0E"/>
    <w:rsid w:val="00574039"/>
    <w:rsid w:val="00574E37"/>
    <w:rsid w:val="00575D8D"/>
    <w:rsid w:val="00575E82"/>
    <w:rsid w:val="005765FB"/>
    <w:rsid w:val="005767E5"/>
    <w:rsid w:val="00576972"/>
    <w:rsid w:val="0057706D"/>
    <w:rsid w:val="00577098"/>
    <w:rsid w:val="00580BC8"/>
    <w:rsid w:val="00580F10"/>
    <w:rsid w:val="00583699"/>
    <w:rsid w:val="00584EF0"/>
    <w:rsid w:val="00585C3A"/>
    <w:rsid w:val="00585CDD"/>
    <w:rsid w:val="00586003"/>
    <w:rsid w:val="005865A4"/>
    <w:rsid w:val="00587058"/>
    <w:rsid w:val="00587CC7"/>
    <w:rsid w:val="00587E0E"/>
    <w:rsid w:val="00590622"/>
    <w:rsid w:val="0059064E"/>
    <w:rsid w:val="00590F41"/>
    <w:rsid w:val="00591957"/>
    <w:rsid w:val="00591C88"/>
    <w:rsid w:val="0059208C"/>
    <w:rsid w:val="005923C3"/>
    <w:rsid w:val="005927CA"/>
    <w:rsid w:val="00592C79"/>
    <w:rsid w:val="00593223"/>
    <w:rsid w:val="00593A1E"/>
    <w:rsid w:val="005963BB"/>
    <w:rsid w:val="00596D50"/>
    <w:rsid w:val="00597B5B"/>
    <w:rsid w:val="00597BF9"/>
    <w:rsid w:val="005A0D57"/>
    <w:rsid w:val="005A373D"/>
    <w:rsid w:val="005A39E4"/>
    <w:rsid w:val="005A3FC3"/>
    <w:rsid w:val="005A4637"/>
    <w:rsid w:val="005A549D"/>
    <w:rsid w:val="005A5FAC"/>
    <w:rsid w:val="005A6524"/>
    <w:rsid w:val="005B0051"/>
    <w:rsid w:val="005B0118"/>
    <w:rsid w:val="005B20B5"/>
    <w:rsid w:val="005B28C7"/>
    <w:rsid w:val="005B3FD2"/>
    <w:rsid w:val="005B46D7"/>
    <w:rsid w:val="005B4EB0"/>
    <w:rsid w:val="005B5019"/>
    <w:rsid w:val="005B5760"/>
    <w:rsid w:val="005B5857"/>
    <w:rsid w:val="005B589E"/>
    <w:rsid w:val="005B6934"/>
    <w:rsid w:val="005B6A5B"/>
    <w:rsid w:val="005B73BF"/>
    <w:rsid w:val="005B7B3A"/>
    <w:rsid w:val="005C1B83"/>
    <w:rsid w:val="005C1DA0"/>
    <w:rsid w:val="005C2D55"/>
    <w:rsid w:val="005C2E60"/>
    <w:rsid w:val="005C32A3"/>
    <w:rsid w:val="005C346B"/>
    <w:rsid w:val="005C3E2B"/>
    <w:rsid w:val="005C506A"/>
    <w:rsid w:val="005C55B8"/>
    <w:rsid w:val="005C5685"/>
    <w:rsid w:val="005C5FDA"/>
    <w:rsid w:val="005C6BEB"/>
    <w:rsid w:val="005C6BF5"/>
    <w:rsid w:val="005C759F"/>
    <w:rsid w:val="005D044D"/>
    <w:rsid w:val="005D0ABD"/>
    <w:rsid w:val="005D18AD"/>
    <w:rsid w:val="005D2130"/>
    <w:rsid w:val="005D26B4"/>
    <w:rsid w:val="005D2A54"/>
    <w:rsid w:val="005D2ADA"/>
    <w:rsid w:val="005D379A"/>
    <w:rsid w:val="005D44EF"/>
    <w:rsid w:val="005D4CF6"/>
    <w:rsid w:val="005D5182"/>
    <w:rsid w:val="005D5BEB"/>
    <w:rsid w:val="005D5DD1"/>
    <w:rsid w:val="005D6E64"/>
    <w:rsid w:val="005D70CA"/>
    <w:rsid w:val="005D7BAD"/>
    <w:rsid w:val="005E0512"/>
    <w:rsid w:val="005E0984"/>
    <w:rsid w:val="005E0C00"/>
    <w:rsid w:val="005E1E15"/>
    <w:rsid w:val="005E1E1F"/>
    <w:rsid w:val="005E353C"/>
    <w:rsid w:val="005E3940"/>
    <w:rsid w:val="005E3B0C"/>
    <w:rsid w:val="005E3D21"/>
    <w:rsid w:val="005E3DBB"/>
    <w:rsid w:val="005E4A46"/>
    <w:rsid w:val="005E5331"/>
    <w:rsid w:val="005E648F"/>
    <w:rsid w:val="005E64CE"/>
    <w:rsid w:val="005E6CBC"/>
    <w:rsid w:val="005E71F6"/>
    <w:rsid w:val="005E73C0"/>
    <w:rsid w:val="005E792D"/>
    <w:rsid w:val="005E7B97"/>
    <w:rsid w:val="005F17D3"/>
    <w:rsid w:val="005F2706"/>
    <w:rsid w:val="005F2A3D"/>
    <w:rsid w:val="005F2B49"/>
    <w:rsid w:val="005F2BDA"/>
    <w:rsid w:val="005F38F7"/>
    <w:rsid w:val="005F3D9F"/>
    <w:rsid w:val="005F434A"/>
    <w:rsid w:val="005F444D"/>
    <w:rsid w:val="005F46F6"/>
    <w:rsid w:val="005F47F8"/>
    <w:rsid w:val="005F4E2D"/>
    <w:rsid w:val="005F52D0"/>
    <w:rsid w:val="005F58CC"/>
    <w:rsid w:val="005F5A06"/>
    <w:rsid w:val="005F60E9"/>
    <w:rsid w:val="005F6795"/>
    <w:rsid w:val="005F6A8F"/>
    <w:rsid w:val="005F6DDA"/>
    <w:rsid w:val="005F73EC"/>
    <w:rsid w:val="00600D17"/>
    <w:rsid w:val="00601279"/>
    <w:rsid w:val="00602263"/>
    <w:rsid w:val="00602B18"/>
    <w:rsid w:val="00602DD9"/>
    <w:rsid w:val="00602E0D"/>
    <w:rsid w:val="00603212"/>
    <w:rsid w:val="006034A4"/>
    <w:rsid w:val="0060373A"/>
    <w:rsid w:val="00603D4F"/>
    <w:rsid w:val="00603DB9"/>
    <w:rsid w:val="00603E59"/>
    <w:rsid w:val="00604223"/>
    <w:rsid w:val="00604E31"/>
    <w:rsid w:val="00604EB2"/>
    <w:rsid w:val="00605924"/>
    <w:rsid w:val="00606E5A"/>
    <w:rsid w:val="00607669"/>
    <w:rsid w:val="00607AFD"/>
    <w:rsid w:val="0061020E"/>
    <w:rsid w:val="0061057A"/>
    <w:rsid w:val="00610844"/>
    <w:rsid w:val="00610B09"/>
    <w:rsid w:val="0061137F"/>
    <w:rsid w:val="006115E5"/>
    <w:rsid w:val="00611B41"/>
    <w:rsid w:val="006122D2"/>
    <w:rsid w:val="00612F97"/>
    <w:rsid w:val="0061345D"/>
    <w:rsid w:val="0061360A"/>
    <w:rsid w:val="006151A7"/>
    <w:rsid w:val="006155F5"/>
    <w:rsid w:val="006164B6"/>
    <w:rsid w:val="00616771"/>
    <w:rsid w:val="00616802"/>
    <w:rsid w:val="00617055"/>
    <w:rsid w:val="00617E12"/>
    <w:rsid w:val="00617EE4"/>
    <w:rsid w:val="00620769"/>
    <w:rsid w:val="00621477"/>
    <w:rsid w:val="0062182D"/>
    <w:rsid w:val="00621B2E"/>
    <w:rsid w:val="00622C4C"/>
    <w:rsid w:val="00624DED"/>
    <w:rsid w:val="00625248"/>
    <w:rsid w:val="006257CF"/>
    <w:rsid w:val="00625A9E"/>
    <w:rsid w:val="00625F3F"/>
    <w:rsid w:val="0062635D"/>
    <w:rsid w:val="00626854"/>
    <w:rsid w:val="0062696D"/>
    <w:rsid w:val="00626B0D"/>
    <w:rsid w:val="00626C41"/>
    <w:rsid w:val="006278A3"/>
    <w:rsid w:val="00630596"/>
    <w:rsid w:val="0063158F"/>
    <w:rsid w:val="00631D6B"/>
    <w:rsid w:val="006320C4"/>
    <w:rsid w:val="00632A00"/>
    <w:rsid w:val="00632FD7"/>
    <w:rsid w:val="006330A1"/>
    <w:rsid w:val="00633CF8"/>
    <w:rsid w:val="0063479F"/>
    <w:rsid w:val="00635120"/>
    <w:rsid w:val="006351C4"/>
    <w:rsid w:val="006353F0"/>
    <w:rsid w:val="006357AF"/>
    <w:rsid w:val="00635B19"/>
    <w:rsid w:val="0063642D"/>
    <w:rsid w:val="006364A1"/>
    <w:rsid w:val="00636891"/>
    <w:rsid w:val="00636F68"/>
    <w:rsid w:val="006371BA"/>
    <w:rsid w:val="006378FA"/>
    <w:rsid w:val="00637BFD"/>
    <w:rsid w:val="00640BDA"/>
    <w:rsid w:val="00640CA9"/>
    <w:rsid w:val="00640DA7"/>
    <w:rsid w:val="00640F3D"/>
    <w:rsid w:val="00641198"/>
    <w:rsid w:val="006416BB"/>
    <w:rsid w:val="00641C4E"/>
    <w:rsid w:val="00642180"/>
    <w:rsid w:val="006422EE"/>
    <w:rsid w:val="0064248C"/>
    <w:rsid w:val="006424BF"/>
    <w:rsid w:val="00643256"/>
    <w:rsid w:val="00643284"/>
    <w:rsid w:val="0064388B"/>
    <w:rsid w:val="006444DD"/>
    <w:rsid w:val="006457DC"/>
    <w:rsid w:val="006471CC"/>
    <w:rsid w:val="00647E9A"/>
    <w:rsid w:val="00647F6D"/>
    <w:rsid w:val="0065079F"/>
    <w:rsid w:val="00650969"/>
    <w:rsid w:val="00650D90"/>
    <w:rsid w:val="00651AEE"/>
    <w:rsid w:val="006521F9"/>
    <w:rsid w:val="006523AE"/>
    <w:rsid w:val="0065379F"/>
    <w:rsid w:val="00653BE4"/>
    <w:rsid w:val="00653FE7"/>
    <w:rsid w:val="0065493E"/>
    <w:rsid w:val="006549BA"/>
    <w:rsid w:val="00655812"/>
    <w:rsid w:val="006562F6"/>
    <w:rsid w:val="00660113"/>
    <w:rsid w:val="0066132B"/>
    <w:rsid w:val="00661A58"/>
    <w:rsid w:val="00661C6B"/>
    <w:rsid w:val="00661F6F"/>
    <w:rsid w:val="00662142"/>
    <w:rsid w:val="006636D1"/>
    <w:rsid w:val="006647B7"/>
    <w:rsid w:val="00664E3D"/>
    <w:rsid w:val="0066649D"/>
    <w:rsid w:val="006668D2"/>
    <w:rsid w:val="00667A89"/>
    <w:rsid w:val="00667B61"/>
    <w:rsid w:val="00670986"/>
    <w:rsid w:val="00670C89"/>
    <w:rsid w:val="00671462"/>
    <w:rsid w:val="00671C3A"/>
    <w:rsid w:val="00671FCE"/>
    <w:rsid w:val="00674306"/>
    <w:rsid w:val="00674E42"/>
    <w:rsid w:val="006754E1"/>
    <w:rsid w:val="00676859"/>
    <w:rsid w:val="006777A7"/>
    <w:rsid w:val="00677D14"/>
    <w:rsid w:val="006812AE"/>
    <w:rsid w:val="0068158A"/>
    <w:rsid w:val="00681632"/>
    <w:rsid w:val="0068163D"/>
    <w:rsid w:val="0068167B"/>
    <w:rsid w:val="00682112"/>
    <w:rsid w:val="006830B6"/>
    <w:rsid w:val="006834DC"/>
    <w:rsid w:val="0068377D"/>
    <w:rsid w:val="00685B1E"/>
    <w:rsid w:val="00685D2C"/>
    <w:rsid w:val="00685DFB"/>
    <w:rsid w:val="00686957"/>
    <w:rsid w:val="00686C47"/>
    <w:rsid w:val="006872BA"/>
    <w:rsid w:val="00690C0A"/>
    <w:rsid w:val="00691505"/>
    <w:rsid w:val="00691648"/>
    <w:rsid w:val="006917D7"/>
    <w:rsid w:val="006920D3"/>
    <w:rsid w:val="00692275"/>
    <w:rsid w:val="00692917"/>
    <w:rsid w:val="00693B96"/>
    <w:rsid w:val="00694F44"/>
    <w:rsid w:val="00695B8D"/>
    <w:rsid w:val="006963C5"/>
    <w:rsid w:val="00696810"/>
    <w:rsid w:val="00697FC9"/>
    <w:rsid w:val="006A05F7"/>
    <w:rsid w:val="006A0798"/>
    <w:rsid w:val="006A1019"/>
    <w:rsid w:val="006A10CC"/>
    <w:rsid w:val="006A163C"/>
    <w:rsid w:val="006A1AC6"/>
    <w:rsid w:val="006A26D3"/>
    <w:rsid w:val="006A3889"/>
    <w:rsid w:val="006A5160"/>
    <w:rsid w:val="006A5DEA"/>
    <w:rsid w:val="006A7E5F"/>
    <w:rsid w:val="006B024D"/>
    <w:rsid w:val="006B04BE"/>
    <w:rsid w:val="006B0E23"/>
    <w:rsid w:val="006B0F8A"/>
    <w:rsid w:val="006B2423"/>
    <w:rsid w:val="006B261B"/>
    <w:rsid w:val="006B2C90"/>
    <w:rsid w:val="006B2E57"/>
    <w:rsid w:val="006B386A"/>
    <w:rsid w:val="006B3C52"/>
    <w:rsid w:val="006B4820"/>
    <w:rsid w:val="006B521D"/>
    <w:rsid w:val="006B6DD0"/>
    <w:rsid w:val="006B7B59"/>
    <w:rsid w:val="006C0F62"/>
    <w:rsid w:val="006C2A8E"/>
    <w:rsid w:val="006C56F8"/>
    <w:rsid w:val="006C573D"/>
    <w:rsid w:val="006C5BC0"/>
    <w:rsid w:val="006C71BA"/>
    <w:rsid w:val="006C74EF"/>
    <w:rsid w:val="006D0551"/>
    <w:rsid w:val="006D12E0"/>
    <w:rsid w:val="006D1805"/>
    <w:rsid w:val="006D288A"/>
    <w:rsid w:val="006D30F3"/>
    <w:rsid w:val="006D3613"/>
    <w:rsid w:val="006D3C5B"/>
    <w:rsid w:val="006D3C7D"/>
    <w:rsid w:val="006D467B"/>
    <w:rsid w:val="006D4B6A"/>
    <w:rsid w:val="006D54EE"/>
    <w:rsid w:val="006D5D5F"/>
    <w:rsid w:val="006D662A"/>
    <w:rsid w:val="006D6B26"/>
    <w:rsid w:val="006D6EDE"/>
    <w:rsid w:val="006E00ED"/>
    <w:rsid w:val="006E0402"/>
    <w:rsid w:val="006E0A6D"/>
    <w:rsid w:val="006E1C1D"/>
    <w:rsid w:val="006E1C35"/>
    <w:rsid w:val="006E1D67"/>
    <w:rsid w:val="006E2731"/>
    <w:rsid w:val="006E2788"/>
    <w:rsid w:val="006E27BC"/>
    <w:rsid w:val="006E32DD"/>
    <w:rsid w:val="006E376A"/>
    <w:rsid w:val="006E39E8"/>
    <w:rsid w:val="006E3AA8"/>
    <w:rsid w:val="006E3F7A"/>
    <w:rsid w:val="006E44D7"/>
    <w:rsid w:val="006E49AE"/>
    <w:rsid w:val="006E4E26"/>
    <w:rsid w:val="006E5B57"/>
    <w:rsid w:val="006E5B79"/>
    <w:rsid w:val="006E69B2"/>
    <w:rsid w:val="006E7089"/>
    <w:rsid w:val="006E76D5"/>
    <w:rsid w:val="006F0FD1"/>
    <w:rsid w:val="006F185D"/>
    <w:rsid w:val="006F19DA"/>
    <w:rsid w:val="006F1CD1"/>
    <w:rsid w:val="006F1E32"/>
    <w:rsid w:val="006F29C3"/>
    <w:rsid w:val="006F306C"/>
    <w:rsid w:val="006F38D2"/>
    <w:rsid w:val="006F3B87"/>
    <w:rsid w:val="006F3EB7"/>
    <w:rsid w:val="006F4938"/>
    <w:rsid w:val="006F568E"/>
    <w:rsid w:val="006F620C"/>
    <w:rsid w:val="006F63A5"/>
    <w:rsid w:val="006F67E5"/>
    <w:rsid w:val="006F67F4"/>
    <w:rsid w:val="006F79C7"/>
    <w:rsid w:val="006F7A9E"/>
    <w:rsid w:val="006F7FD7"/>
    <w:rsid w:val="007004F1"/>
    <w:rsid w:val="0070142B"/>
    <w:rsid w:val="0070276E"/>
    <w:rsid w:val="00702AA9"/>
    <w:rsid w:val="00702AC0"/>
    <w:rsid w:val="00702F8F"/>
    <w:rsid w:val="0070459B"/>
    <w:rsid w:val="00704A46"/>
    <w:rsid w:val="007056B0"/>
    <w:rsid w:val="007065E2"/>
    <w:rsid w:val="00706FE8"/>
    <w:rsid w:val="00710CF6"/>
    <w:rsid w:val="00711A36"/>
    <w:rsid w:val="00712125"/>
    <w:rsid w:val="00712219"/>
    <w:rsid w:val="007124A5"/>
    <w:rsid w:val="007124DE"/>
    <w:rsid w:val="007129F1"/>
    <w:rsid w:val="007143CD"/>
    <w:rsid w:val="007149E2"/>
    <w:rsid w:val="00714BCF"/>
    <w:rsid w:val="0071529C"/>
    <w:rsid w:val="00715328"/>
    <w:rsid w:val="007155A1"/>
    <w:rsid w:val="00715D13"/>
    <w:rsid w:val="007171E1"/>
    <w:rsid w:val="007172AD"/>
    <w:rsid w:val="00720038"/>
    <w:rsid w:val="00720162"/>
    <w:rsid w:val="00721400"/>
    <w:rsid w:val="00721B0C"/>
    <w:rsid w:val="00722527"/>
    <w:rsid w:val="00722B1B"/>
    <w:rsid w:val="00722D19"/>
    <w:rsid w:val="007230D3"/>
    <w:rsid w:val="00723351"/>
    <w:rsid w:val="0072366B"/>
    <w:rsid w:val="0072377C"/>
    <w:rsid w:val="00723A97"/>
    <w:rsid w:val="00724028"/>
    <w:rsid w:val="0072416F"/>
    <w:rsid w:val="00724184"/>
    <w:rsid w:val="007247DE"/>
    <w:rsid w:val="007250D1"/>
    <w:rsid w:val="0072575F"/>
    <w:rsid w:val="00725C3D"/>
    <w:rsid w:val="007262E3"/>
    <w:rsid w:val="0072673E"/>
    <w:rsid w:val="00726ADA"/>
    <w:rsid w:val="00726F0E"/>
    <w:rsid w:val="00727C94"/>
    <w:rsid w:val="007313D9"/>
    <w:rsid w:val="007317DF"/>
    <w:rsid w:val="00731EAE"/>
    <w:rsid w:val="00734CD3"/>
    <w:rsid w:val="00734CDC"/>
    <w:rsid w:val="00735033"/>
    <w:rsid w:val="00735328"/>
    <w:rsid w:val="0073685B"/>
    <w:rsid w:val="00736FEF"/>
    <w:rsid w:val="007371DB"/>
    <w:rsid w:val="00737D97"/>
    <w:rsid w:val="0074009C"/>
    <w:rsid w:val="00741DFC"/>
    <w:rsid w:val="007423B6"/>
    <w:rsid w:val="007429FA"/>
    <w:rsid w:val="007430D4"/>
    <w:rsid w:val="0074659B"/>
    <w:rsid w:val="007472EF"/>
    <w:rsid w:val="007473BD"/>
    <w:rsid w:val="007473ED"/>
    <w:rsid w:val="00750458"/>
    <w:rsid w:val="0075116B"/>
    <w:rsid w:val="0075146B"/>
    <w:rsid w:val="00751D35"/>
    <w:rsid w:val="00752142"/>
    <w:rsid w:val="007523F9"/>
    <w:rsid w:val="00752F4C"/>
    <w:rsid w:val="00753003"/>
    <w:rsid w:val="00753BD9"/>
    <w:rsid w:val="00754219"/>
    <w:rsid w:val="0075435B"/>
    <w:rsid w:val="007547E5"/>
    <w:rsid w:val="00754C90"/>
    <w:rsid w:val="007565A4"/>
    <w:rsid w:val="00756825"/>
    <w:rsid w:val="007573E8"/>
    <w:rsid w:val="007575A4"/>
    <w:rsid w:val="00757631"/>
    <w:rsid w:val="0075764B"/>
    <w:rsid w:val="00757844"/>
    <w:rsid w:val="007604EA"/>
    <w:rsid w:val="00760C4E"/>
    <w:rsid w:val="00760F18"/>
    <w:rsid w:val="0076155A"/>
    <w:rsid w:val="007620E5"/>
    <w:rsid w:val="007629A7"/>
    <w:rsid w:val="00763119"/>
    <w:rsid w:val="00763155"/>
    <w:rsid w:val="00763DCE"/>
    <w:rsid w:val="00763E01"/>
    <w:rsid w:val="00764285"/>
    <w:rsid w:val="007647A9"/>
    <w:rsid w:val="00764CD7"/>
    <w:rsid w:val="00764F85"/>
    <w:rsid w:val="0076569F"/>
    <w:rsid w:val="00765B1A"/>
    <w:rsid w:val="007661AC"/>
    <w:rsid w:val="00766BCC"/>
    <w:rsid w:val="0076714C"/>
    <w:rsid w:val="0076750A"/>
    <w:rsid w:val="00767A98"/>
    <w:rsid w:val="0077142D"/>
    <w:rsid w:val="00771909"/>
    <w:rsid w:val="00773534"/>
    <w:rsid w:val="00773B44"/>
    <w:rsid w:val="00774FD7"/>
    <w:rsid w:val="00775FD1"/>
    <w:rsid w:val="007771FC"/>
    <w:rsid w:val="00780072"/>
    <w:rsid w:val="00781844"/>
    <w:rsid w:val="007843F2"/>
    <w:rsid w:val="007846CD"/>
    <w:rsid w:val="00784868"/>
    <w:rsid w:val="00784BAA"/>
    <w:rsid w:val="00784E93"/>
    <w:rsid w:val="00785693"/>
    <w:rsid w:val="00785A92"/>
    <w:rsid w:val="00785D32"/>
    <w:rsid w:val="00786451"/>
    <w:rsid w:val="00786934"/>
    <w:rsid w:val="00787F7A"/>
    <w:rsid w:val="00790ACA"/>
    <w:rsid w:val="0079299B"/>
    <w:rsid w:val="007945FE"/>
    <w:rsid w:val="007956F3"/>
    <w:rsid w:val="00795BF6"/>
    <w:rsid w:val="007971A5"/>
    <w:rsid w:val="00797FF4"/>
    <w:rsid w:val="007A0A12"/>
    <w:rsid w:val="007A0B0D"/>
    <w:rsid w:val="007A132D"/>
    <w:rsid w:val="007A2078"/>
    <w:rsid w:val="007A27F4"/>
    <w:rsid w:val="007A3335"/>
    <w:rsid w:val="007A4A6A"/>
    <w:rsid w:val="007A5FFE"/>
    <w:rsid w:val="007A637D"/>
    <w:rsid w:val="007A67E3"/>
    <w:rsid w:val="007A6B9A"/>
    <w:rsid w:val="007A73AB"/>
    <w:rsid w:val="007A747A"/>
    <w:rsid w:val="007A788C"/>
    <w:rsid w:val="007A7942"/>
    <w:rsid w:val="007A7C14"/>
    <w:rsid w:val="007B0D68"/>
    <w:rsid w:val="007B251D"/>
    <w:rsid w:val="007B282A"/>
    <w:rsid w:val="007B376A"/>
    <w:rsid w:val="007B3C9F"/>
    <w:rsid w:val="007B3D6D"/>
    <w:rsid w:val="007B3DEA"/>
    <w:rsid w:val="007B4132"/>
    <w:rsid w:val="007B49CE"/>
    <w:rsid w:val="007B4F58"/>
    <w:rsid w:val="007B528D"/>
    <w:rsid w:val="007B69AC"/>
    <w:rsid w:val="007B77D1"/>
    <w:rsid w:val="007B7E9B"/>
    <w:rsid w:val="007C04EF"/>
    <w:rsid w:val="007C0BB3"/>
    <w:rsid w:val="007C0E71"/>
    <w:rsid w:val="007C1CD9"/>
    <w:rsid w:val="007C1E92"/>
    <w:rsid w:val="007C333C"/>
    <w:rsid w:val="007C361D"/>
    <w:rsid w:val="007C3E2A"/>
    <w:rsid w:val="007C3E89"/>
    <w:rsid w:val="007C3F1B"/>
    <w:rsid w:val="007C4B84"/>
    <w:rsid w:val="007C7A72"/>
    <w:rsid w:val="007C7F33"/>
    <w:rsid w:val="007D004F"/>
    <w:rsid w:val="007D0365"/>
    <w:rsid w:val="007D0B38"/>
    <w:rsid w:val="007D0BCE"/>
    <w:rsid w:val="007D1B1F"/>
    <w:rsid w:val="007D2001"/>
    <w:rsid w:val="007D2B49"/>
    <w:rsid w:val="007D4050"/>
    <w:rsid w:val="007D51A9"/>
    <w:rsid w:val="007D51AD"/>
    <w:rsid w:val="007D5440"/>
    <w:rsid w:val="007D62F3"/>
    <w:rsid w:val="007D671C"/>
    <w:rsid w:val="007D67D3"/>
    <w:rsid w:val="007D743F"/>
    <w:rsid w:val="007D7D7E"/>
    <w:rsid w:val="007E0DE1"/>
    <w:rsid w:val="007E0FAA"/>
    <w:rsid w:val="007E17B2"/>
    <w:rsid w:val="007E3192"/>
    <w:rsid w:val="007E3E51"/>
    <w:rsid w:val="007E4F3E"/>
    <w:rsid w:val="007E5C78"/>
    <w:rsid w:val="007E5D3A"/>
    <w:rsid w:val="007E5D4F"/>
    <w:rsid w:val="007E6010"/>
    <w:rsid w:val="007E68E8"/>
    <w:rsid w:val="007E70F8"/>
    <w:rsid w:val="007E7D72"/>
    <w:rsid w:val="007F010B"/>
    <w:rsid w:val="007F08E4"/>
    <w:rsid w:val="007F1017"/>
    <w:rsid w:val="007F1BD6"/>
    <w:rsid w:val="007F3C6C"/>
    <w:rsid w:val="007F4A3F"/>
    <w:rsid w:val="007F4A61"/>
    <w:rsid w:val="007F4B89"/>
    <w:rsid w:val="007F4C24"/>
    <w:rsid w:val="007F5338"/>
    <w:rsid w:val="007F53B4"/>
    <w:rsid w:val="007F574B"/>
    <w:rsid w:val="007F60F7"/>
    <w:rsid w:val="007F61C2"/>
    <w:rsid w:val="007F70E2"/>
    <w:rsid w:val="007F7933"/>
    <w:rsid w:val="00800D04"/>
    <w:rsid w:val="00800E19"/>
    <w:rsid w:val="00800F8A"/>
    <w:rsid w:val="00801487"/>
    <w:rsid w:val="00801E8E"/>
    <w:rsid w:val="00803B0D"/>
    <w:rsid w:val="008042C0"/>
    <w:rsid w:val="00805142"/>
    <w:rsid w:val="00805E58"/>
    <w:rsid w:val="00807681"/>
    <w:rsid w:val="00807A8B"/>
    <w:rsid w:val="00807D7F"/>
    <w:rsid w:val="00807EFA"/>
    <w:rsid w:val="0081025B"/>
    <w:rsid w:val="0081067C"/>
    <w:rsid w:val="00810FE1"/>
    <w:rsid w:val="008110C8"/>
    <w:rsid w:val="00811383"/>
    <w:rsid w:val="008119AC"/>
    <w:rsid w:val="00811AD6"/>
    <w:rsid w:val="00812149"/>
    <w:rsid w:val="00812984"/>
    <w:rsid w:val="00812A0A"/>
    <w:rsid w:val="00812CAC"/>
    <w:rsid w:val="008147C6"/>
    <w:rsid w:val="00814C7D"/>
    <w:rsid w:val="00814D33"/>
    <w:rsid w:val="00815B1D"/>
    <w:rsid w:val="00815ED2"/>
    <w:rsid w:val="00816587"/>
    <w:rsid w:val="008166EF"/>
    <w:rsid w:val="00821A46"/>
    <w:rsid w:val="0082274F"/>
    <w:rsid w:val="00822EB8"/>
    <w:rsid w:val="00823C1E"/>
    <w:rsid w:val="00824E1A"/>
    <w:rsid w:val="00825249"/>
    <w:rsid w:val="00825706"/>
    <w:rsid w:val="00825751"/>
    <w:rsid w:val="00825B9D"/>
    <w:rsid w:val="00825CDF"/>
    <w:rsid w:val="008264EB"/>
    <w:rsid w:val="00826F08"/>
    <w:rsid w:val="0082759D"/>
    <w:rsid w:val="00830290"/>
    <w:rsid w:val="00831DA2"/>
    <w:rsid w:val="00831E31"/>
    <w:rsid w:val="008327A5"/>
    <w:rsid w:val="00832C56"/>
    <w:rsid w:val="00832D7F"/>
    <w:rsid w:val="00833B05"/>
    <w:rsid w:val="00833B86"/>
    <w:rsid w:val="00833B90"/>
    <w:rsid w:val="0083413D"/>
    <w:rsid w:val="00834229"/>
    <w:rsid w:val="008346C9"/>
    <w:rsid w:val="00834EAF"/>
    <w:rsid w:val="008352CA"/>
    <w:rsid w:val="00835421"/>
    <w:rsid w:val="008354FD"/>
    <w:rsid w:val="00835DDD"/>
    <w:rsid w:val="008362B4"/>
    <w:rsid w:val="008366A5"/>
    <w:rsid w:val="008377C2"/>
    <w:rsid w:val="0083793D"/>
    <w:rsid w:val="00840CA2"/>
    <w:rsid w:val="0084109B"/>
    <w:rsid w:val="00841798"/>
    <w:rsid w:val="00841EC9"/>
    <w:rsid w:val="00842519"/>
    <w:rsid w:val="00842E0D"/>
    <w:rsid w:val="008431AA"/>
    <w:rsid w:val="0084374F"/>
    <w:rsid w:val="008458ED"/>
    <w:rsid w:val="00847159"/>
    <w:rsid w:val="00847C4E"/>
    <w:rsid w:val="00847DBF"/>
    <w:rsid w:val="00847DF5"/>
    <w:rsid w:val="00850A80"/>
    <w:rsid w:val="008512D9"/>
    <w:rsid w:val="008518FE"/>
    <w:rsid w:val="00851ACE"/>
    <w:rsid w:val="00852E1B"/>
    <w:rsid w:val="00852F46"/>
    <w:rsid w:val="0085309D"/>
    <w:rsid w:val="00853155"/>
    <w:rsid w:val="00854888"/>
    <w:rsid w:val="008557BC"/>
    <w:rsid w:val="00855D35"/>
    <w:rsid w:val="00856897"/>
    <w:rsid w:val="00856E9A"/>
    <w:rsid w:val="0085724F"/>
    <w:rsid w:val="008572E4"/>
    <w:rsid w:val="0085774D"/>
    <w:rsid w:val="00857D2D"/>
    <w:rsid w:val="00857FA5"/>
    <w:rsid w:val="0086075D"/>
    <w:rsid w:val="0086077C"/>
    <w:rsid w:val="008611F8"/>
    <w:rsid w:val="00861FF9"/>
    <w:rsid w:val="0086225F"/>
    <w:rsid w:val="00862502"/>
    <w:rsid w:val="00863674"/>
    <w:rsid w:val="00863692"/>
    <w:rsid w:val="00863A08"/>
    <w:rsid w:val="00864030"/>
    <w:rsid w:val="00864514"/>
    <w:rsid w:val="0086453A"/>
    <w:rsid w:val="0086508A"/>
    <w:rsid w:val="00865C62"/>
    <w:rsid w:val="00866036"/>
    <w:rsid w:val="008660D4"/>
    <w:rsid w:val="008672BD"/>
    <w:rsid w:val="00867992"/>
    <w:rsid w:val="00870141"/>
    <w:rsid w:val="008702F9"/>
    <w:rsid w:val="00870B9F"/>
    <w:rsid w:val="0087113C"/>
    <w:rsid w:val="00871265"/>
    <w:rsid w:val="0087192E"/>
    <w:rsid w:val="00871B03"/>
    <w:rsid w:val="00871CF5"/>
    <w:rsid w:val="00871FA9"/>
    <w:rsid w:val="00872551"/>
    <w:rsid w:val="008728E9"/>
    <w:rsid w:val="00873236"/>
    <w:rsid w:val="00874B26"/>
    <w:rsid w:val="00875E52"/>
    <w:rsid w:val="00877220"/>
    <w:rsid w:val="008773AD"/>
    <w:rsid w:val="0087740A"/>
    <w:rsid w:val="008776E3"/>
    <w:rsid w:val="00881AEF"/>
    <w:rsid w:val="00881E29"/>
    <w:rsid w:val="0088264A"/>
    <w:rsid w:val="00882874"/>
    <w:rsid w:val="00882F4D"/>
    <w:rsid w:val="00882F7F"/>
    <w:rsid w:val="008831CB"/>
    <w:rsid w:val="0088364C"/>
    <w:rsid w:val="00883787"/>
    <w:rsid w:val="00883A2C"/>
    <w:rsid w:val="0088422F"/>
    <w:rsid w:val="00886CD2"/>
    <w:rsid w:val="00886E87"/>
    <w:rsid w:val="00887563"/>
    <w:rsid w:val="00892068"/>
    <w:rsid w:val="00892A36"/>
    <w:rsid w:val="00892BFC"/>
    <w:rsid w:val="00893239"/>
    <w:rsid w:val="00893546"/>
    <w:rsid w:val="00893597"/>
    <w:rsid w:val="00893D80"/>
    <w:rsid w:val="00893E25"/>
    <w:rsid w:val="00894489"/>
    <w:rsid w:val="008948D0"/>
    <w:rsid w:val="00894CE3"/>
    <w:rsid w:val="00894CF8"/>
    <w:rsid w:val="008951C4"/>
    <w:rsid w:val="00895356"/>
    <w:rsid w:val="008963A5"/>
    <w:rsid w:val="008966E1"/>
    <w:rsid w:val="00896C03"/>
    <w:rsid w:val="00896CE8"/>
    <w:rsid w:val="00897A7C"/>
    <w:rsid w:val="008A1D1F"/>
    <w:rsid w:val="008A2023"/>
    <w:rsid w:val="008A3363"/>
    <w:rsid w:val="008A3371"/>
    <w:rsid w:val="008A3BDA"/>
    <w:rsid w:val="008A3C3E"/>
    <w:rsid w:val="008A3FB7"/>
    <w:rsid w:val="008A548A"/>
    <w:rsid w:val="008A5B16"/>
    <w:rsid w:val="008A66B8"/>
    <w:rsid w:val="008A7241"/>
    <w:rsid w:val="008A770A"/>
    <w:rsid w:val="008A79DE"/>
    <w:rsid w:val="008B0D06"/>
    <w:rsid w:val="008B1019"/>
    <w:rsid w:val="008B1757"/>
    <w:rsid w:val="008B2777"/>
    <w:rsid w:val="008B4102"/>
    <w:rsid w:val="008B4175"/>
    <w:rsid w:val="008B421D"/>
    <w:rsid w:val="008B55A4"/>
    <w:rsid w:val="008B6290"/>
    <w:rsid w:val="008B68A7"/>
    <w:rsid w:val="008B6D23"/>
    <w:rsid w:val="008B7036"/>
    <w:rsid w:val="008B7D7E"/>
    <w:rsid w:val="008C06A9"/>
    <w:rsid w:val="008C0C93"/>
    <w:rsid w:val="008C10D0"/>
    <w:rsid w:val="008C17D7"/>
    <w:rsid w:val="008C1EAC"/>
    <w:rsid w:val="008C242C"/>
    <w:rsid w:val="008C282B"/>
    <w:rsid w:val="008C2C3E"/>
    <w:rsid w:val="008C58C1"/>
    <w:rsid w:val="008C5A20"/>
    <w:rsid w:val="008C6010"/>
    <w:rsid w:val="008C7A0C"/>
    <w:rsid w:val="008C7B08"/>
    <w:rsid w:val="008C7B22"/>
    <w:rsid w:val="008C7ECB"/>
    <w:rsid w:val="008D0341"/>
    <w:rsid w:val="008D03FF"/>
    <w:rsid w:val="008D17CC"/>
    <w:rsid w:val="008D18A6"/>
    <w:rsid w:val="008D2046"/>
    <w:rsid w:val="008D2A98"/>
    <w:rsid w:val="008D31DE"/>
    <w:rsid w:val="008D3390"/>
    <w:rsid w:val="008D379E"/>
    <w:rsid w:val="008D385D"/>
    <w:rsid w:val="008D3C8A"/>
    <w:rsid w:val="008D3F12"/>
    <w:rsid w:val="008D4755"/>
    <w:rsid w:val="008D4C3D"/>
    <w:rsid w:val="008D52AE"/>
    <w:rsid w:val="008D5FD5"/>
    <w:rsid w:val="008D6C50"/>
    <w:rsid w:val="008E0D3C"/>
    <w:rsid w:val="008E0DB3"/>
    <w:rsid w:val="008E1411"/>
    <w:rsid w:val="008E1B9E"/>
    <w:rsid w:val="008E50D3"/>
    <w:rsid w:val="008E55AB"/>
    <w:rsid w:val="008E6033"/>
    <w:rsid w:val="008E62B9"/>
    <w:rsid w:val="008E6BE1"/>
    <w:rsid w:val="008F0213"/>
    <w:rsid w:val="008F055B"/>
    <w:rsid w:val="008F07E1"/>
    <w:rsid w:val="008F0B1B"/>
    <w:rsid w:val="008F120A"/>
    <w:rsid w:val="008F1905"/>
    <w:rsid w:val="008F1D48"/>
    <w:rsid w:val="008F1D6D"/>
    <w:rsid w:val="008F20ED"/>
    <w:rsid w:val="008F220B"/>
    <w:rsid w:val="008F27E0"/>
    <w:rsid w:val="008F36AA"/>
    <w:rsid w:val="008F45B3"/>
    <w:rsid w:val="008F48EB"/>
    <w:rsid w:val="008F4DDF"/>
    <w:rsid w:val="008F4F0B"/>
    <w:rsid w:val="008F675A"/>
    <w:rsid w:val="008F690E"/>
    <w:rsid w:val="008F6BDA"/>
    <w:rsid w:val="008F6FE0"/>
    <w:rsid w:val="008F7804"/>
    <w:rsid w:val="009002D5"/>
    <w:rsid w:val="00900306"/>
    <w:rsid w:val="009008EE"/>
    <w:rsid w:val="00900B1F"/>
    <w:rsid w:val="00901123"/>
    <w:rsid w:val="00901AA4"/>
    <w:rsid w:val="00902656"/>
    <w:rsid w:val="0090355F"/>
    <w:rsid w:val="0090423F"/>
    <w:rsid w:val="009043EE"/>
    <w:rsid w:val="0090443B"/>
    <w:rsid w:val="00904479"/>
    <w:rsid w:val="009046C4"/>
    <w:rsid w:val="00904A74"/>
    <w:rsid w:val="00904EAF"/>
    <w:rsid w:val="009062A5"/>
    <w:rsid w:val="009109C1"/>
    <w:rsid w:val="009109D0"/>
    <w:rsid w:val="00910F18"/>
    <w:rsid w:val="00910F9E"/>
    <w:rsid w:val="00911188"/>
    <w:rsid w:val="009111C1"/>
    <w:rsid w:val="00911272"/>
    <w:rsid w:val="009114BD"/>
    <w:rsid w:val="009118D5"/>
    <w:rsid w:val="009118E8"/>
    <w:rsid w:val="00912F41"/>
    <w:rsid w:val="0091323E"/>
    <w:rsid w:val="009135D6"/>
    <w:rsid w:val="0091374D"/>
    <w:rsid w:val="00914611"/>
    <w:rsid w:val="00914C77"/>
    <w:rsid w:val="00916721"/>
    <w:rsid w:val="00917819"/>
    <w:rsid w:val="0092026A"/>
    <w:rsid w:val="00920A74"/>
    <w:rsid w:val="00920DF4"/>
    <w:rsid w:val="00921017"/>
    <w:rsid w:val="0092369B"/>
    <w:rsid w:val="0092437E"/>
    <w:rsid w:val="009245D6"/>
    <w:rsid w:val="00927943"/>
    <w:rsid w:val="00927EFD"/>
    <w:rsid w:val="0093085C"/>
    <w:rsid w:val="009310A6"/>
    <w:rsid w:val="009323A5"/>
    <w:rsid w:val="00934511"/>
    <w:rsid w:val="00934A1D"/>
    <w:rsid w:val="00934CBE"/>
    <w:rsid w:val="00934E60"/>
    <w:rsid w:val="009353D2"/>
    <w:rsid w:val="00935A81"/>
    <w:rsid w:val="00937F92"/>
    <w:rsid w:val="009400FC"/>
    <w:rsid w:val="00940518"/>
    <w:rsid w:val="009407F7"/>
    <w:rsid w:val="00940B2B"/>
    <w:rsid w:val="00940FDD"/>
    <w:rsid w:val="00941332"/>
    <w:rsid w:val="009417FF"/>
    <w:rsid w:val="009422AC"/>
    <w:rsid w:val="00942729"/>
    <w:rsid w:val="00942B4B"/>
    <w:rsid w:val="00942E7A"/>
    <w:rsid w:val="00943523"/>
    <w:rsid w:val="009438F0"/>
    <w:rsid w:val="00944002"/>
    <w:rsid w:val="00944270"/>
    <w:rsid w:val="00944EF4"/>
    <w:rsid w:val="00945016"/>
    <w:rsid w:val="009454C3"/>
    <w:rsid w:val="00947721"/>
    <w:rsid w:val="00947AE9"/>
    <w:rsid w:val="009500F3"/>
    <w:rsid w:val="009502F5"/>
    <w:rsid w:val="00950827"/>
    <w:rsid w:val="009510A2"/>
    <w:rsid w:val="0095117B"/>
    <w:rsid w:val="00952736"/>
    <w:rsid w:val="00953257"/>
    <w:rsid w:val="00953ACF"/>
    <w:rsid w:val="00953C19"/>
    <w:rsid w:val="009540ED"/>
    <w:rsid w:val="00954161"/>
    <w:rsid w:val="0095428D"/>
    <w:rsid w:val="009549F6"/>
    <w:rsid w:val="00955476"/>
    <w:rsid w:val="00956B3A"/>
    <w:rsid w:val="009575B2"/>
    <w:rsid w:val="009623B2"/>
    <w:rsid w:val="00962CB9"/>
    <w:rsid w:val="0096408E"/>
    <w:rsid w:val="00964312"/>
    <w:rsid w:val="00965B8A"/>
    <w:rsid w:val="00966507"/>
    <w:rsid w:val="00966C11"/>
    <w:rsid w:val="0096786F"/>
    <w:rsid w:val="00967E52"/>
    <w:rsid w:val="00970402"/>
    <w:rsid w:val="00970683"/>
    <w:rsid w:val="009711A0"/>
    <w:rsid w:val="009717AC"/>
    <w:rsid w:val="00971D6B"/>
    <w:rsid w:val="009720E8"/>
    <w:rsid w:val="00972A31"/>
    <w:rsid w:val="00973517"/>
    <w:rsid w:val="009745EE"/>
    <w:rsid w:val="00974873"/>
    <w:rsid w:val="0097581B"/>
    <w:rsid w:val="00976A99"/>
    <w:rsid w:val="00977BE4"/>
    <w:rsid w:val="00977D5D"/>
    <w:rsid w:val="0098000B"/>
    <w:rsid w:val="00980975"/>
    <w:rsid w:val="0098124E"/>
    <w:rsid w:val="009823B1"/>
    <w:rsid w:val="0098324A"/>
    <w:rsid w:val="00983A79"/>
    <w:rsid w:val="00983E57"/>
    <w:rsid w:val="009842A8"/>
    <w:rsid w:val="00984ED9"/>
    <w:rsid w:val="0098675D"/>
    <w:rsid w:val="0098707E"/>
    <w:rsid w:val="0098743E"/>
    <w:rsid w:val="00987F80"/>
    <w:rsid w:val="009911D1"/>
    <w:rsid w:val="009914E2"/>
    <w:rsid w:val="009916D1"/>
    <w:rsid w:val="009917E1"/>
    <w:rsid w:val="00991ADD"/>
    <w:rsid w:val="00991CA2"/>
    <w:rsid w:val="009922FD"/>
    <w:rsid w:val="00992486"/>
    <w:rsid w:val="009932B6"/>
    <w:rsid w:val="0099385A"/>
    <w:rsid w:val="00994865"/>
    <w:rsid w:val="00994CCE"/>
    <w:rsid w:val="009964F6"/>
    <w:rsid w:val="00996614"/>
    <w:rsid w:val="00996684"/>
    <w:rsid w:val="00996B1A"/>
    <w:rsid w:val="009A09B2"/>
    <w:rsid w:val="009A0E68"/>
    <w:rsid w:val="009A2E93"/>
    <w:rsid w:val="009A37CA"/>
    <w:rsid w:val="009A3EB8"/>
    <w:rsid w:val="009A4B6F"/>
    <w:rsid w:val="009A623A"/>
    <w:rsid w:val="009A63F1"/>
    <w:rsid w:val="009A662B"/>
    <w:rsid w:val="009A6D8D"/>
    <w:rsid w:val="009A734F"/>
    <w:rsid w:val="009A77CA"/>
    <w:rsid w:val="009A7F10"/>
    <w:rsid w:val="009B026D"/>
    <w:rsid w:val="009B0705"/>
    <w:rsid w:val="009B071C"/>
    <w:rsid w:val="009B0824"/>
    <w:rsid w:val="009B094E"/>
    <w:rsid w:val="009B27B0"/>
    <w:rsid w:val="009B2AA1"/>
    <w:rsid w:val="009B3E26"/>
    <w:rsid w:val="009B551D"/>
    <w:rsid w:val="009B6AEF"/>
    <w:rsid w:val="009B7680"/>
    <w:rsid w:val="009B783F"/>
    <w:rsid w:val="009B7EE9"/>
    <w:rsid w:val="009B7FF0"/>
    <w:rsid w:val="009C0874"/>
    <w:rsid w:val="009C173E"/>
    <w:rsid w:val="009C321B"/>
    <w:rsid w:val="009C3AC6"/>
    <w:rsid w:val="009C3C68"/>
    <w:rsid w:val="009C3CAE"/>
    <w:rsid w:val="009C3CE1"/>
    <w:rsid w:val="009C56D2"/>
    <w:rsid w:val="009C69D7"/>
    <w:rsid w:val="009C6C20"/>
    <w:rsid w:val="009C6C9B"/>
    <w:rsid w:val="009C6CEA"/>
    <w:rsid w:val="009C727C"/>
    <w:rsid w:val="009C794C"/>
    <w:rsid w:val="009C79A3"/>
    <w:rsid w:val="009C7A66"/>
    <w:rsid w:val="009C7B85"/>
    <w:rsid w:val="009D0055"/>
    <w:rsid w:val="009D057A"/>
    <w:rsid w:val="009D0D73"/>
    <w:rsid w:val="009D11E4"/>
    <w:rsid w:val="009D2792"/>
    <w:rsid w:val="009D2B61"/>
    <w:rsid w:val="009D3100"/>
    <w:rsid w:val="009D43F9"/>
    <w:rsid w:val="009D518A"/>
    <w:rsid w:val="009D56E1"/>
    <w:rsid w:val="009D5B91"/>
    <w:rsid w:val="009D5C23"/>
    <w:rsid w:val="009D64FD"/>
    <w:rsid w:val="009D792E"/>
    <w:rsid w:val="009E0DFE"/>
    <w:rsid w:val="009E12CB"/>
    <w:rsid w:val="009E15C3"/>
    <w:rsid w:val="009E1861"/>
    <w:rsid w:val="009E2490"/>
    <w:rsid w:val="009E30C5"/>
    <w:rsid w:val="009E4C07"/>
    <w:rsid w:val="009E4C36"/>
    <w:rsid w:val="009E4F3F"/>
    <w:rsid w:val="009E572F"/>
    <w:rsid w:val="009E6306"/>
    <w:rsid w:val="009E68B2"/>
    <w:rsid w:val="009E6B6C"/>
    <w:rsid w:val="009E7564"/>
    <w:rsid w:val="009F04C7"/>
    <w:rsid w:val="009F0B63"/>
    <w:rsid w:val="009F2B4D"/>
    <w:rsid w:val="009F374D"/>
    <w:rsid w:val="009F445C"/>
    <w:rsid w:val="009F48E4"/>
    <w:rsid w:val="009F5992"/>
    <w:rsid w:val="009F6622"/>
    <w:rsid w:val="009F6AB7"/>
    <w:rsid w:val="009F733B"/>
    <w:rsid w:val="009F774C"/>
    <w:rsid w:val="009F781E"/>
    <w:rsid w:val="00A00491"/>
    <w:rsid w:val="00A00F6D"/>
    <w:rsid w:val="00A00FB0"/>
    <w:rsid w:val="00A01184"/>
    <w:rsid w:val="00A02917"/>
    <w:rsid w:val="00A02DAC"/>
    <w:rsid w:val="00A03D43"/>
    <w:rsid w:val="00A04380"/>
    <w:rsid w:val="00A04CC9"/>
    <w:rsid w:val="00A05A0B"/>
    <w:rsid w:val="00A06425"/>
    <w:rsid w:val="00A07C6B"/>
    <w:rsid w:val="00A07CC1"/>
    <w:rsid w:val="00A10FFB"/>
    <w:rsid w:val="00A11246"/>
    <w:rsid w:val="00A11CD0"/>
    <w:rsid w:val="00A121DC"/>
    <w:rsid w:val="00A13515"/>
    <w:rsid w:val="00A13948"/>
    <w:rsid w:val="00A1484D"/>
    <w:rsid w:val="00A14D6C"/>
    <w:rsid w:val="00A1555B"/>
    <w:rsid w:val="00A155C5"/>
    <w:rsid w:val="00A16699"/>
    <w:rsid w:val="00A16AD8"/>
    <w:rsid w:val="00A17104"/>
    <w:rsid w:val="00A17FDE"/>
    <w:rsid w:val="00A2019F"/>
    <w:rsid w:val="00A20664"/>
    <w:rsid w:val="00A208F1"/>
    <w:rsid w:val="00A21CF3"/>
    <w:rsid w:val="00A22845"/>
    <w:rsid w:val="00A233BA"/>
    <w:rsid w:val="00A2350E"/>
    <w:rsid w:val="00A2440C"/>
    <w:rsid w:val="00A24C73"/>
    <w:rsid w:val="00A24F2C"/>
    <w:rsid w:val="00A25EBB"/>
    <w:rsid w:val="00A2721C"/>
    <w:rsid w:val="00A27AEC"/>
    <w:rsid w:val="00A303DD"/>
    <w:rsid w:val="00A31955"/>
    <w:rsid w:val="00A320DB"/>
    <w:rsid w:val="00A3279B"/>
    <w:rsid w:val="00A3308E"/>
    <w:rsid w:val="00A33351"/>
    <w:rsid w:val="00A34158"/>
    <w:rsid w:val="00A353C3"/>
    <w:rsid w:val="00A35D16"/>
    <w:rsid w:val="00A35EEC"/>
    <w:rsid w:val="00A36781"/>
    <w:rsid w:val="00A379B0"/>
    <w:rsid w:val="00A37BCD"/>
    <w:rsid w:val="00A37F54"/>
    <w:rsid w:val="00A40331"/>
    <w:rsid w:val="00A40447"/>
    <w:rsid w:val="00A40A3E"/>
    <w:rsid w:val="00A4123A"/>
    <w:rsid w:val="00A43A6A"/>
    <w:rsid w:val="00A43C59"/>
    <w:rsid w:val="00A46081"/>
    <w:rsid w:val="00A479D7"/>
    <w:rsid w:val="00A5020A"/>
    <w:rsid w:val="00A50ECD"/>
    <w:rsid w:val="00A515A3"/>
    <w:rsid w:val="00A51819"/>
    <w:rsid w:val="00A518F3"/>
    <w:rsid w:val="00A51A99"/>
    <w:rsid w:val="00A52729"/>
    <w:rsid w:val="00A52AFF"/>
    <w:rsid w:val="00A534F0"/>
    <w:rsid w:val="00A53675"/>
    <w:rsid w:val="00A53797"/>
    <w:rsid w:val="00A543DD"/>
    <w:rsid w:val="00A54F31"/>
    <w:rsid w:val="00A564D7"/>
    <w:rsid w:val="00A56B6A"/>
    <w:rsid w:val="00A56D2F"/>
    <w:rsid w:val="00A570E8"/>
    <w:rsid w:val="00A57237"/>
    <w:rsid w:val="00A57800"/>
    <w:rsid w:val="00A578DC"/>
    <w:rsid w:val="00A60331"/>
    <w:rsid w:val="00A60429"/>
    <w:rsid w:val="00A604AA"/>
    <w:rsid w:val="00A60556"/>
    <w:rsid w:val="00A631A8"/>
    <w:rsid w:val="00A64D31"/>
    <w:rsid w:val="00A66288"/>
    <w:rsid w:val="00A66EFB"/>
    <w:rsid w:val="00A6725B"/>
    <w:rsid w:val="00A6771D"/>
    <w:rsid w:val="00A70605"/>
    <w:rsid w:val="00A715BA"/>
    <w:rsid w:val="00A71FC0"/>
    <w:rsid w:val="00A722BD"/>
    <w:rsid w:val="00A728BD"/>
    <w:rsid w:val="00A72A69"/>
    <w:rsid w:val="00A73134"/>
    <w:rsid w:val="00A7488F"/>
    <w:rsid w:val="00A74BC2"/>
    <w:rsid w:val="00A750B1"/>
    <w:rsid w:val="00A75E72"/>
    <w:rsid w:val="00A76E35"/>
    <w:rsid w:val="00A77537"/>
    <w:rsid w:val="00A777B2"/>
    <w:rsid w:val="00A778D2"/>
    <w:rsid w:val="00A77A2A"/>
    <w:rsid w:val="00A77AB4"/>
    <w:rsid w:val="00A77E2C"/>
    <w:rsid w:val="00A822CC"/>
    <w:rsid w:val="00A82929"/>
    <w:rsid w:val="00A83026"/>
    <w:rsid w:val="00A83A07"/>
    <w:rsid w:val="00A8438F"/>
    <w:rsid w:val="00A84AC3"/>
    <w:rsid w:val="00A84B35"/>
    <w:rsid w:val="00A84E7B"/>
    <w:rsid w:val="00A853E2"/>
    <w:rsid w:val="00A85877"/>
    <w:rsid w:val="00A85C58"/>
    <w:rsid w:val="00A86E8B"/>
    <w:rsid w:val="00A87164"/>
    <w:rsid w:val="00A8720E"/>
    <w:rsid w:val="00A87CBE"/>
    <w:rsid w:val="00A87EBA"/>
    <w:rsid w:val="00A91526"/>
    <w:rsid w:val="00A91F1B"/>
    <w:rsid w:val="00A93072"/>
    <w:rsid w:val="00A9360A"/>
    <w:rsid w:val="00A9393D"/>
    <w:rsid w:val="00A93953"/>
    <w:rsid w:val="00A93F2E"/>
    <w:rsid w:val="00A959D8"/>
    <w:rsid w:val="00A963E2"/>
    <w:rsid w:val="00A96569"/>
    <w:rsid w:val="00A97100"/>
    <w:rsid w:val="00A973F7"/>
    <w:rsid w:val="00A975AB"/>
    <w:rsid w:val="00AA10CC"/>
    <w:rsid w:val="00AA113D"/>
    <w:rsid w:val="00AA125A"/>
    <w:rsid w:val="00AA130D"/>
    <w:rsid w:val="00AA1549"/>
    <w:rsid w:val="00AA36DD"/>
    <w:rsid w:val="00AA468F"/>
    <w:rsid w:val="00AA5064"/>
    <w:rsid w:val="00AA50F8"/>
    <w:rsid w:val="00AA562C"/>
    <w:rsid w:val="00AA56A5"/>
    <w:rsid w:val="00AA657B"/>
    <w:rsid w:val="00AA6C7D"/>
    <w:rsid w:val="00AA6F14"/>
    <w:rsid w:val="00AA78C6"/>
    <w:rsid w:val="00AA7FD6"/>
    <w:rsid w:val="00AB035F"/>
    <w:rsid w:val="00AB042A"/>
    <w:rsid w:val="00AB0AE2"/>
    <w:rsid w:val="00AB13CB"/>
    <w:rsid w:val="00AB17BA"/>
    <w:rsid w:val="00AB1C28"/>
    <w:rsid w:val="00AB21AF"/>
    <w:rsid w:val="00AB2D34"/>
    <w:rsid w:val="00AB3430"/>
    <w:rsid w:val="00AB46C7"/>
    <w:rsid w:val="00AB4AD1"/>
    <w:rsid w:val="00AB4C54"/>
    <w:rsid w:val="00AB5844"/>
    <w:rsid w:val="00AB5E61"/>
    <w:rsid w:val="00AB72C3"/>
    <w:rsid w:val="00AB7A7F"/>
    <w:rsid w:val="00AB7AB8"/>
    <w:rsid w:val="00AB7B2A"/>
    <w:rsid w:val="00AB7CFA"/>
    <w:rsid w:val="00AB7D81"/>
    <w:rsid w:val="00AC1476"/>
    <w:rsid w:val="00AC19F2"/>
    <w:rsid w:val="00AC2CF4"/>
    <w:rsid w:val="00AC3282"/>
    <w:rsid w:val="00AC3688"/>
    <w:rsid w:val="00AC3C49"/>
    <w:rsid w:val="00AC3DBB"/>
    <w:rsid w:val="00AC534C"/>
    <w:rsid w:val="00AC5B48"/>
    <w:rsid w:val="00AC5C01"/>
    <w:rsid w:val="00AC5D73"/>
    <w:rsid w:val="00AC5F6F"/>
    <w:rsid w:val="00AC6A56"/>
    <w:rsid w:val="00AC7535"/>
    <w:rsid w:val="00AD05E2"/>
    <w:rsid w:val="00AD07D1"/>
    <w:rsid w:val="00AD0EE6"/>
    <w:rsid w:val="00AD10B9"/>
    <w:rsid w:val="00AD10BE"/>
    <w:rsid w:val="00AD1924"/>
    <w:rsid w:val="00AD1C2E"/>
    <w:rsid w:val="00AD27B0"/>
    <w:rsid w:val="00AD2A87"/>
    <w:rsid w:val="00AD2B96"/>
    <w:rsid w:val="00AD3693"/>
    <w:rsid w:val="00AD3ECE"/>
    <w:rsid w:val="00AD4EDD"/>
    <w:rsid w:val="00AD6502"/>
    <w:rsid w:val="00AE0085"/>
    <w:rsid w:val="00AE012F"/>
    <w:rsid w:val="00AE1881"/>
    <w:rsid w:val="00AE1F7C"/>
    <w:rsid w:val="00AE2690"/>
    <w:rsid w:val="00AE2B8A"/>
    <w:rsid w:val="00AE2DD6"/>
    <w:rsid w:val="00AE3248"/>
    <w:rsid w:val="00AE46D4"/>
    <w:rsid w:val="00AE5305"/>
    <w:rsid w:val="00AE53AD"/>
    <w:rsid w:val="00AE6E1F"/>
    <w:rsid w:val="00AF013D"/>
    <w:rsid w:val="00AF0229"/>
    <w:rsid w:val="00AF054D"/>
    <w:rsid w:val="00AF0F9A"/>
    <w:rsid w:val="00AF1213"/>
    <w:rsid w:val="00AF1315"/>
    <w:rsid w:val="00AF19BF"/>
    <w:rsid w:val="00AF1CEB"/>
    <w:rsid w:val="00AF2DC3"/>
    <w:rsid w:val="00AF3470"/>
    <w:rsid w:val="00AF39E1"/>
    <w:rsid w:val="00AF4005"/>
    <w:rsid w:val="00AF4660"/>
    <w:rsid w:val="00AF50D6"/>
    <w:rsid w:val="00AF6D9E"/>
    <w:rsid w:val="00B0000E"/>
    <w:rsid w:val="00B0050C"/>
    <w:rsid w:val="00B00BA0"/>
    <w:rsid w:val="00B0123C"/>
    <w:rsid w:val="00B01D2C"/>
    <w:rsid w:val="00B0284C"/>
    <w:rsid w:val="00B03053"/>
    <w:rsid w:val="00B033E5"/>
    <w:rsid w:val="00B03A63"/>
    <w:rsid w:val="00B03F35"/>
    <w:rsid w:val="00B045C3"/>
    <w:rsid w:val="00B05BCC"/>
    <w:rsid w:val="00B074DC"/>
    <w:rsid w:val="00B10E81"/>
    <w:rsid w:val="00B11812"/>
    <w:rsid w:val="00B118A7"/>
    <w:rsid w:val="00B12489"/>
    <w:rsid w:val="00B12C33"/>
    <w:rsid w:val="00B12EEB"/>
    <w:rsid w:val="00B136EB"/>
    <w:rsid w:val="00B13C8F"/>
    <w:rsid w:val="00B1427B"/>
    <w:rsid w:val="00B14C09"/>
    <w:rsid w:val="00B150C0"/>
    <w:rsid w:val="00B166B0"/>
    <w:rsid w:val="00B16D85"/>
    <w:rsid w:val="00B179F9"/>
    <w:rsid w:val="00B17E35"/>
    <w:rsid w:val="00B201A4"/>
    <w:rsid w:val="00B207EE"/>
    <w:rsid w:val="00B213A6"/>
    <w:rsid w:val="00B215D9"/>
    <w:rsid w:val="00B2299B"/>
    <w:rsid w:val="00B23DE8"/>
    <w:rsid w:val="00B249A6"/>
    <w:rsid w:val="00B24DF6"/>
    <w:rsid w:val="00B252C2"/>
    <w:rsid w:val="00B25750"/>
    <w:rsid w:val="00B26621"/>
    <w:rsid w:val="00B271D7"/>
    <w:rsid w:val="00B27410"/>
    <w:rsid w:val="00B31061"/>
    <w:rsid w:val="00B32219"/>
    <w:rsid w:val="00B33B8E"/>
    <w:rsid w:val="00B34FE2"/>
    <w:rsid w:val="00B35163"/>
    <w:rsid w:val="00B357D8"/>
    <w:rsid w:val="00B35FB3"/>
    <w:rsid w:val="00B3653D"/>
    <w:rsid w:val="00B36AD3"/>
    <w:rsid w:val="00B371E4"/>
    <w:rsid w:val="00B37BFC"/>
    <w:rsid w:val="00B4032A"/>
    <w:rsid w:val="00B40358"/>
    <w:rsid w:val="00B408CF"/>
    <w:rsid w:val="00B40C3B"/>
    <w:rsid w:val="00B41614"/>
    <w:rsid w:val="00B42851"/>
    <w:rsid w:val="00B42F80"/>
    <w:rsid w:val="00B435CB"/>
    <w:rsid w:val="00B45889"/>
    <w:rsid w:val="00B45B17"/>
    <w:rsid w:val="00B45B23"/>
    <w:rsid w:val="00B47B62"/>
    <w:rsid w:val="00B501B6"/>
    <w:rsid w:val="00B5021C"/>
    <w:rsid w:val="00B50DB8"/>
    <w:rsid w:val="00B50EB9"/>
    <w:rsid w:val="00B53159"/>
    <w:rsid w:val="00B534C8"/>
    <w:rsid w:val="00B53654"/>
    <w:rsid w:val="00B53905"/>
    <w:rsid w:val="00B53CAF"/>
    <w:rsid w:val="00B548B3"/>
    <w:rsid w:val="00B54B5B"/>
    <w:rsid w:val="00B5562E"/>
    <w:rsid w:val="00B56664"/>
    <w:rsid w:val="00B56D64"/>
    <w:rsid w:val="00B57000"/>
    <w:rsid w:val="00B5750D"/>
    <w:rsid w:val="00B575B1"/>
    <w:rsid w:val="00B60939"/>
    <w:rsid w:val="00B60AFD"/>
    <w:rsid w:val="00B610D1"/>
    <w:rsid w:val="00B61777"/>
    <w:rsid w:val="00B62715"/>
    <w:rsid w:val="00B62F5D"/>
    <w:rsid w:val="00B62FF3"/>
    <w:rsid w:val="00B636F7"/>
    <w:rsid w:val="00B6372A"/>
    <w:rsid w:val="00B64034"/>
    <w:rsid w:val="00B64154"/>
    <w:rsid w:val="00B643E4"/>
    <w:rsid w:val="00B6476D"/>
    <w:rsid w:val="00B64A78"/>
    <w:rsid w:val="00B64DFC"/>
    <w:rsid w:val="00B64FD9"/>
    <w:rsid w:val="00B65C58"/>
    <w:rsid w:val="00B66123"/>
    <w:rsid w:val="00B66222"/>
    <w:rsid w:val="00B66A50"/>
    <w:rsid w:val="00B66D9C"/>
    <w:rsid w:val="00B67627"/>
    <w:rsid w:val="00B6799F"/>
    <w:rsid w:val="00B67C01"/>
    <w:rsid w:val="00B70115"/>
    <w:rsid w:val="00B70672"/>
    <w:rsid w:val="00B7079A"/>
    <w:rsid w:val="00B74318"/>
    <w:rsid w:val="00B74776"/>
    <w:rsid w:val="00B74FA4"/>
    <w:rsid w:val="00B75681"/>
    <w:rsid w:val="00B772C5"/>
    <w:rsid w:val="00B775AE"/>
    <w:rsid w:val="00B775D7"/>
    <w:rsid w:val="00B77A19"/>
    <w:rsid w:val="00B80543"/>
    <w:rsid w:val="00B80639"/>
    <w:rsid w:val="00B81260"/>
    <w:rsid w:val="00B818A4"/>
    <w:rsid w:val="00B8218A"/>
    <w:rsid w:val="00B828E3"/>
    <w:rsid w:val="00B83AAA"/>
    <w:rsid w:val="00B84117"/>
    <w:rsid w:val="00B854DE"/>
    <w:rsid w:val="00B85AA2"/>
    <w:rsid w:val="00B8630C"/>
    <w:rsid w:val="00B8649C"/>
    <w:rsid w:val="00B869E8"/>
    <w:rsid w:val="00B86B5A"/>
    <w:rsid w:val="00B86C79"/>
    <w:rsid w:val="00B8742C"/>
    <w:rsid w:val="00B87F0A"/>
    <w:rsid w:val="00B9162D"/>
    <w:rsid w:val="00B91B11"/>
    <w:rsid w:val="00B91F23"/>
    <w:rsid w:val="00B92D0B"/>
    <w:rsid w:val="00B9386D"/>
    <w:rsid w:val="00B94945"/>
    <w:rsid w:val="00B94ADD"/>
    <w:rsid w:val="00B971F0"/>
    <w:rsid w:val="00BA0B81"/>
    <w:rsid w:val="00BA13C2"/>
    <w:rsid w:val="00BA18EA"/>
    <w:rsid w:val="00BA1939"/>
    <w:rsid w:val="00BA322D"/>
    <w:rsid w:val="00BA33F6"/>
    <w:rsid w:val="00BA3EA4"/>
    <w:rsid w:val="00BA49AB"/>
    <w:rsid w:val="00BA49C7"/>
    <w:rsid w:val="00BA5397"/>
    <w:rsid w:val="00BA603C"/>
    <w:rsid w:val="00BA6708"/>
    <w:rsid w:val="00BA6B02"/>
    <w:rsid w:val="00BB095D"/>
    <w:rsid w:val="00BB0B4E"/>
    <w:rsid w:val="00BB0BDD"/>
    <w:rsid w:val="00BB17FF"/>
    <w:rsid w:val="00BB241B"/>
    <w:rsid w:val="00BB25FC"/>
    <w:rsid w:val="00BB2921"/>
    <w:rsid w:val="00BB2A73"/>
    <w:rsid w:val="00BB2F98"/>
    <w:rsid w:val="00BB372F"/>
    <w:rsid w:val="00BB472D"/>
    <w:rsid w:val="00BB4ACC"/>
    <w:rsid w:val="00BB5825"/>
    <w:rsid w:val="00BB641C"/>
    <w:rsid w:val="00BB6DF4"/>
    <w:rsid w:val="00BB6FAF"/>
    <w:rsid w:val="00BB703E"/>
    <w:rsid w:val="00BB7405"/>
    <w:rsid w:val="00BB7667"/>
    <w:rsid w:val="00BC02D8"/>
    <w:rsid w:val="00BC1A04"/>
    <w:rsid w:val="00BC1CF6"/>
    <w:rsid w:val="00BC30A5"/>
    <w:rsid w:val="00BC3425"/>
    <w:rsid w:val="00BC3631"/>
    <w:rsid w:val="00BC495B"/>
    <w:rsid w:val="00BC4B94"/>
    <w:rsid w:val="00BD0473"/>
    <w:rsid w:val="00BD0591"/>
    <w:rsid w:val="00BD0A70"/>
    <w:rsid w:val="00BD1BA8"/>
    <w:rsid w:val="00BD305B"/>
    <w:rsid w:val="00BD30FE"/>
    <w:rsid w:val="00BD338B"/>
    <w:rsid w:val="00BD4417"/>
    <w:rsid w:val="00BD489B"/>
    <w:rsid w:val="00BD5EC0"/>
    <w:rsid w:val="00BD6607"/>
    <w:rsid w:val="00BD66CB"/>
    <w:rsid w:val="00BD68A3"/>
    <w:rsid w:val="00BD6938"/>
    <w:rsid w:val="00BD6AC8"/>
    <w:rsid w:val="00BD6CF3"/>
    <w:rsid w:val="00BD7708"/>
    <w:rsid w:val="00BD7EED"/>
    <w:rsid w:val="00BE108A"/>
    <w:rsid w:val="00BE1655"/>
    <w:rsid w:val="00BE1CA6"/>
    <w:rsid w:val="00BE2180"/>
    <w:rsid w:val="00BE21F2"/>
    <w:rsid w:val="00BE24A3"/>
    <w:rsid w:val="00BE26F8"/>
    <w:rsid w:val="00BE298A"/>
    <w:rsid w:val="00BE2FD0"/>
    <w:rsid w:val="00BE3E6E"/>
    <w:rsid w:val="00BE4275"/>
    <w:rsid w:val="00BE4F34"/>
    <w:rsid w:val="00BE63E3"/>
    <w:rsid w:val="00BE76B7"/>
    <w:rsid w:val="00BE7D2F"/>
    <w:rsid w:val="00BF0F95"/>
    <w:rsid w:val="00BF17E7"/>
    <w:rsid w:val="00BF2144"/>
    <w:rsid w:val="00BF2433"/>
    <w:rsid w:val="00BF25C3"/>
    <w:rsid w:val="00BF4D4C"/>
    <w:rsid w:val="00BF52A7"/>
    <w:rsid w:val="00BF5326"/>
    <w:rsid w:val="00BF5362"/>
    <w:rsid w:val="00BF56D5"/>
    <w:rsid w:val="00BF5847"/>
    <w:rsid w:val="00BF5AF3"/>
    <w:rsid w:val="00BF61C9"/>
    <w:rsid w:val="00BF63AA"/>
    <w:rsid w:val="00BF68EE"/>
    <w:rsid w:val="00BF6C94"/>
    <w:rsid w:val="00BF71CF"/>
    <w:rsid w:val="00BF7807"/>
    <w:rsid w:val="00C001F8"/>
    <w:rsid w:val="00C0026A"/>
    <w:rsid w:val="00C00424"/>
    <w:rsid w:val="00C01A72"/>
    <w:rsid w:val="00C02053"/>
    <w:rsid w:val="00C024FB"/>
    <w:rsid w:val="00C028FF"/>
    <w:rsid w:val="00C034C0"/>
    <w:rsid w:val="00C0359A"/>
    <w:rsid w:val="00C03D97"/>
    <w:rsid w:val="00C05B0B"/>
    <w:rsid w:val="00C05C03"/>
    <w:rsid w:val="00C0748B"/>
    <w:rsid w:val="00C1001C"/>
    <w:rsid w:val="00C109EC"/>
    <w:rsid w:val="00C10F77"/>
    <w:rsid w:val="00C11489"/>
    <w:rsid w:val="00C123B9"/>
    <w:rsid w:val="00C124E8"/>
    <w:rsid w:val="00C12C14"/>
    <w:rsid w:val="00C12C69"/>
    <w:rsid w:val="00C13A35"/>
    <w:rsid w:val="00C1512F"/>
    <w:rsid w:val="00C16A45"/>
    <w:rsid w:val="00C16A8A"/>
    <w:rsid w:val="00C16FAF"/>
    <w:rsid w:val="00C17D97"/>
    <w:rsid w:val="00C17DD3"/>
    <w:rsid w:val="00C200AA"/>
    <w:rsid w:val="00C20A16"/>
    <w:rsid w:val="00C20F82"/>
    <w:rsid w:val="00C20FFD"/>
    <w:rsid w:val="00C21542"/>
    <w:rsid w:val="00C221D4"/>
    <w:rsid w:val="00C2293A"/>
    <w:rsid w:val="00C237ED"/>
    <w:rsid w:val="00C23922"/>
    <w:rsid w:val="00C23AEF"/>
    <w:rsid w:val="00C24632"/>
    <w:rsid w:val="00C24B48"/>
    <w:rsid w:val="00C24FA1"/>
    <w:rsid w:val="00C25418"/>
    <w:rsid w:val="00C25836"/>
    <w:rsid w:val="00C25D9C"/>
    <w:rsid w:val="00C26744"/>
    <w:rsid w:val="00C2675F"/>
    <w:rsid w:val="00C27635"/>
    <w:rsid w:val="00C2763C"/>
    <w:rsid w:val="00C2778B"/>
    <w:rsid w:val="00C27CE7"/>
    <w:rsid w:val="00C30638"/>
    <w:rsid w:val="00C30C94"/>
    <w:rsid w:val="00C31649"/>
    <w:rsid w:val="00C31A67"/>
    <w:rsid w:val="00C33083"/>
    <w:rsid w:val="00C331DF"/>
    <w:rsid w:val="00C336DE"/>
    <w:rsid w:val="00C340CE"/>
    <w:rsid w:val="00C34930"/>
    <w:rsid w:val="00C3503A"/>
    <w:rsid w:val="00C35841"/>
    <w:rsid w:val="00C35D9F"/>
    <w:rsid w:val="00C367F0"/>
    <w:rsid w:val="00C3744D"/>
    <w:rsid w:val="00C37686"/>
    <w:rsid w:val="00C376C2"/>
    <w:rsid w:val="00C40385"/>
    <w:rsid w:val="00C41A9F"/>
    <w:rsid w:val="00C41F2E"/>
    <w:rsid w:val="00C42B22"/>
    <w:rsid w:val="00C43599"/>
    <w:rsid w:val="00C43724"/>
    <w:rsid w:val="00C439A1"/>
    <w:rsid w:val="00C44562"/>
    <w:rsid w:val="00C45965"/>
    <w:rsid w:val="00C46BF6"/>
    <w:rsid w:val="00C475AA"/>
    <w:rsid w:val="00C50A00"/>
    <w:rsid w:val="00C5233B"/>
    <w:rsid w:val="00C52C71"/>
    <w:rsid w:val="00C52F7F"/>
    <w:rsid w:val="00C53FA6"/>
    <w:rsid w:val="00C548D8"/>
    <w:rsid w:val="00C54FD2"/>
    <w:rsid w:val="00C56F0C"/>
    <w:rsid w:val="00C57159"/>
    <w:rsid w:val="00C61E3F"/>
    <w:rsid w:val="00C61FF6"/>
    <w:rsid w:val="00C624C3"/>
    <w:rsid w:val="00C63F8D"/>
    <w:rsid w:val="00C6413D"/>
    <w:rsid w:val="00C65576"/>
    <w:rsid w:val="00C657B5"/>
    <w:rsid w:val="00C65DA5"/>
    <w:rsid w:val="00C66165"/>
    <w:rsid w:val="00C6689C"/>
    <w:rsid w:val="00C6730E"/>
    <w:rsid w:val="00C70193"/>
    <w:rsid w:val="00C70D9F"/>
    <w:rsid w:val="00C7151A"/>
    <w:rsid w:val="00C717F1"/>
    <w:rsid w:val="00C71F60"/>
    <w:rsid w:val="00C72241"/>
    <w:rsid w:val="00C739B2"/>
    <w:rsid w:val="00C73CC4"/>
    <w:rsid w:val="00C750C8"/>
    <w:rsid w:val="00C7560F"/>
    <w:rsid w:val="00C7569A"/>
    <w:rsid w:val="00C75CBA"/>
    <w:rsid w:val="00C76BC5"/>
    <w:rsid w:val="00C76DA9"/>
    <w:rsid w:val="00C80A0E"/>
    <w:rsid w:val="00C80D4F"/>
    <w:rsid w:val="00C8155F"/>
    <w:rsid w:val="00C81789"/>
    <w:rsid w:val="00C82042"/>
    <w:rsid w:val="00C8213F"/>
    <w:rsid w:val="00C85E38"/>
    <w:rsid w:val="00C86B68"/>
    <w:rsid w:val="00C86FD5"/>
    <w:rsid w:val="00C8723F"/>
    <w:rsid w:val="00C8797A"/>
    <w:rsid w:val="00C87E1E"/>
    <w:rsid w:val="00C900B8"/>
    <w:rsid w:val="00C90BC9"/>
    <w:rsid w:val="00C90C71"/>
    <w:rsid w:val="00C91008"/>
    <w:rsid w:val="00C91BC2"/>
    <w:rsid w:val="00C91CF7"/>
    <w:rsid w:val="00C92CC6"/>
    <w:rsid w:val="00C93199"/>
    <w:rsid w:val="00C931CF"/>
    <w:rsid w:val="00C938CF"/>
    <w:rsid w:val="00C94968"/>
    <w:rsid w:val="00C94B7B"/>
    <w:rsid w:val="00C958F2"/>
    <w:rsid w:val="00C9624D"/>
    <w:rsid w:val="00C969DA"/>
    <w:rsid w:val="00C97657"/>
    <w:rsid w:val="00C977D0"/>
    <w:rsid w:val="00CA0447"/>
    <w:rsid w:val="00CA1D54"/>
    <w:rsid w:val="00CA2500"/>
    <w:rsid w:val="00CA25FB"/>
    <w:rsid w:val="00CA2BF1"/>
    <w:rsid w:val="00CA2C77"/>
    <w:rsid w:val="00CA33E0"/>
    <w:rsid w:val="00CA3AA6"/>
    <w:rsid w:val="00CA4306"/>
    <w:rsid w:val="00CA444F"/>
    <w:rsid w:val="00CA4C12"/>
    <w:rsid w:val="00CA4C3C"/>
    <w:rsid w:val="00CA5245"/>
    <w:rsid w:val="00CA5398"/>
    <w:rsid w:val="00CA5DAB"/>
    <w:rsid w:val="00CA6CD0"/>
    <w:rsid w:val="00CA71F4"/>
    <w:rsid w:val="00CA7B09"/>
    <w:rsid w:val="00CA7E1A"/>
    <w:rsid w:val="00CA7F91"/>
    <w:rsid w:val="00CB061E"/>
    <w:rsid w:val="00CB0A6D"/>
    <w:rsid w:val="00CB0B0E"/>
    <w:rsid w:val="00CB0BFA"/>
    <w:rsid w:val="00CB1532"/>
    <w:rsid w:val="00CB15D4"/>
    <w:rsid w:val="00CB2F2A"/>
    <w:rsid w:val="00CB3057"/>
    <w:rsid w:val="00CB3A44"/>
    <w:rsid w:val="00CB5B1A"/>
    <w:rsid w:val="00CB65B6"/>
    <w:rsid w:val="00CB6B22"/>
    <w:rsid w:val="00CB7F5F"/>
    <w:rsid w:val="00CC01A3"/>
    <w:rsid w:val="00CC1133"/>
    <w:rsid w:val="00CC1B39"/>
    <w:rsid w:val="00CC2EA0"/>
    <w:rsid w:val="00CC3750"/>
    <w:rsid w:val="00CC499D"/>
    <w:rsid w:val="00CC55A7"/>
    <w:rsid w:val="00CC6CC7"/>
    <w:rsid w:val="00CD0477"/>
    <w:rsid w:val="00CD0700"/>
    <w:rsid w:val="00CD084D"/>
    <w:rsid w:val="00CD15A0"/>
    <w:rsid w:val="00CD2832"/>
    <w:rsid w:val="00CD2A3A"/>
    <w:rsid w:val="00CD2F3B"/>
    <w:rsid w:val="00CD3895"/>
    <w:rsid w:val="00CD3A2D"/>
    <w:rsid w:val="00CD404F"/>
    <w:rsid w:val="00CD416B"/>
    <w:rsid w:val="00CD43AF"/>
    <w:rsid w:val="00CD4925"/>
    <w:rsid w:val="00CD5B03"/>
    <w:rsid w:val="00CD6470"/>
    <w:rsid w:val="00CD667A"/>
    <w:rsid w:val="00CD6ADC"/>
    <w:rsid w:val="00CD7224"/>
    <w:rsid w:val="00CD7AD3"/>
    <w:rsid w:val="00CD7AE2"/>
    <w:rsid w:val="00CD7F27"/>
    <w:rsid w:val="00CE0147"/>
    <w:rsid w:val="00CE102D"/>
    <w:rsid w:val="00CE10D8"/>
    <w:rsid w:val="00CE1AC8"/>
    <w:rsid w:val="00CE1F7B"/>
    <w:rsid w:val="00CE26FA"/>
    <w:rsid w:val="00CE4E68"/>
    <w:rsid w:val="00CE5677"/>
    <w:rsid w:val="00CE6274"/>
    <w:rsid w:val="00CE683A"/>
    <w:rsid w:val="00CE6D20"/>
    <w:rsid w:val="00CE7B4C"/>
    <w:rsid w:val="00CF087F"/>
    <w:rsid w:val="00CF195B"/>
    <w:rsid w:val="00CF29C4"/>
    <w:rsid w:val="00CF2B8D"/>
    <w:rsid w:val="00CF354A"/>
    <w:rsid w:val="00CF3660"/>
    <w:rsid w:val="00CF3DAF"/>
    <w:rsid w:val="00CF4353"/>
    <w:rsid w:val="00CF456B"/>
    <w:rsid w:val="00CF4FFE"/>
    <w:rsid w:val="00CF5365"/>
    <w:rsid w:val="00CF5A22"/>
    <w:rsid w:val="00CF65A6"/>
    <w:rsid w:val="00CF7062"/>
    <w:rsid w:val="00CF7225"/>
    <w:rsid w:val="00D015A9"/>
    <w:rsid w:val="00D0160D"/>
    <w:rsid w:val="00D0262E"/>
    <w:rsid w:val="00D02AAA"/>
    <w:rsid w:val="00D03263"/>
    <w:rsid w:val="00D039D6"/>
    <w:rsid w:val="00D0418F"/>
    <w:rsid w:val="00D04321"/>
    <w:rsid w:val="00D0470C"/>
    <w:rsid w:val="00D04942"/>
    <w:rsid w:val="00D06B1C"/>
    <w:rsid w:val="00D07B94"/>
    <w:rsid w:val="00D110BD"/>
    <w:rsid w:val="00D117EA"/>
    <w:rsid w:val="00D11A07"/>
    <w:rsid w:val="00D1245B"/>
    <w:rsid w:val="00D1265E"/>
    <w:rsid w:val="00D13675"/>
    <w:rsid w:val="00D141E1"/>
    <w:rsid w:val="00D149DE"/>
    <w:rsid w:val="00D15D0C"/>
    <w:rsid w:val="00D15EEE"/>
    <w:rsid w:val="00D161F4"/>
    <w:rsid w:val="00D162FD"/>
    <w:rsid w:val="00D16BD4"/>
    <w:rsid w:val="00D178A1"/>
    <w:rsid w:val="00D17D6C"/>
    <w:rsid w:val="00D17DA3"/>
    <w:rsid w:val="00D200F4"/>
    <w:rsid w:val="00D23797"/>
    <w:rsid w:val="00D237A4"/>
    <w:rsid w:val="00D2588A"/>
    <w:rsid w:val="00D25B2C"/>
    <w:rsid w:val="00D26AF0"/>
    <w:rsid w:val="00D2754D"/>
    <w:rsid w:val="00D278C5"/>
    <w:rsid w:val="00D27B27"/>
    <w:rsid w:val="00D27FCD"/>
    <w:rsid w:val="00D30F0E"/>
    <w:rsid w:val="00D313E5"/>
    <w:rsid w:val="00D31975"/>
    <w:rsid w:val="00D31CB0"/>
    <w:rsid w:val="00D32E2C"/>
    <w:rsid w:val="00D33347"/>
    <w:rsid w:val="00D33BE9"/>
    <w:rsid w:val="00D3455B"/>
    <w:rsid w:val="00D357FF"/>
    <w:rsid w:val="00D36932"/>
    <w:rsid w:val="00D378B7"/>
    <w:rsid w:val="00D40CC0"/>
    <w:rsid w:val="00D41B9F"/>
    <w:rsid w:val="00D420DD"/>
    <w:rsid w:val="00D424C7"/>
    <w:rsid w:val="00D42DE6"/>
    <w:rsid w:val="00D42F39"/>
    <w:rsid w:val="00D43778"/>
    <w:rsid w:val="00D43B09"/>
    <w:rsid w:val="00D43B2A"/>
    <w:rsid w:val="00D43D57"/>
    <w:rsid w:val="00D43E9C"/>
    <w:rsid w:val="00D45F76"/>
    <w:rsid w:val="00D4627A"/>
    <w:rsid w:val="00D46717"/>
    <w:rsid w:val="00D46A44"/>
    <w:rsid w:val="00D47433"/>
    <w:rsid w:val="00D47575"/>
    <w:rsid w:val="00D50135"/>
    <w:rsid w:val="00D502C2"/>
    <w:rsid w:val="00D504AD"/>
    <w:rsid w:val="00D51178"/>
    <w:rsid w:val="00D51D54"/>
    <w:rsid w:val="00D52212"/>
    <w:rsid w:val="00D52538"/>
    <w:rsid w:val="00D5335D"/>
    <w:rsid w:val="00D537A9"/>
    <w:rsid w:val="00D54289"/>
    <w:rsid w:val="00D54589"/>
    <w:rsid w:val="00D54F06"/>
    <w:rsid w:val="00D54F97"/>
    <w:rsid w:val="00D55C8E"/>
    <w:rsid w:val="00D56E34"/>
    <w:rsid w:val="00D60856"/>
    <w:rsid w:val="00D60CE6"/>
    <w:rsid w:val="00D612D2"/>
    <w:rsid w:val="00D613C0"/>
    <w:rsid w:val="00D61D61"/>
    <w:rsid w:val="00D638C0"/>
    <w:rsid w:val="00D65C70"/>
    <w:rsid w:val="00D65CAE"/>
    <w:rsid w:val="00D660F5"/>
    <w:rsid w:val="00D67981"/>
    <w:rsid w:val="00D70126"/>
    <w:rsid w:val="00D70506"/>
    <w:rsid w:val="00D70716"/>
    <w:rsid w:val="00D70B99"/>
    <w:rsid w:val="00D70F16"/>
    <w:rsid w:val="00D71287"/>
    <w:rsid w:val="00D71B4A"/>
    <w:rsid w:val="00D723B9"/>
    <w:rsid w:val="00D73B25"/>
    <w:rsid w:val="00D7401F"/>
    <w:rsid w:val="00D747B8"/>
    <w:rsid w:val="00D75227"/>
    <w:rsid w:val="00D75A15"/>
    <w:rsid w:val="00D76126"/>
    <w:rsid w:val="00D766AD"/>
    <w:rsid w:val="00D76A29"/>
    <w:rsid w:val="00D76A44"/>
    <w:rsid w:val="00D76AD0"/>
    <w:rsid w:val="00D77FDB"/>
    <w:rsid w:val="00D804A9"/>
    <w:rsid w:val="00D8085D"/>
    <w:rsid w:val="00D8127B"/>
    <w:rsid w:val="00D81380"/>
    <w:rsid w:val="00D815EF"/>
    <w:rsid w:val="00D829A6"/>
    <w:rsid w:val="00D82B69"/>
    <w:rsid w:val="00D83D1F"/>
    <w:rsid w:val="00D840D9"/>
    <w:rsid w:val="00D846B6"/>
    <w:rsid w:val="00D84ECA"/>
    <w:rsid w:val="00D85F25"/>
    <w:rsid w:val="00D86D6B"/>
    <w:rsid w:val="00D87258"/>
    <w:rsid w:val="00D907CA"/>
    <w:rsid w:val="00D911A6"/>
    <w:rsid w:val="00D913C4"/>
    <w:rsid w:val="00D91923"/>
    <w:rsid w:val="00D91972"/>
    <w:rsid w:val="00D91CAA"/>
    <w:rsid w:val="00D925D8"/>
    <w:rsid w:val="00D929CC"/>
    <w:rsid w:val="00D9313E"/>
    <w:rsid w:val="00D935AC"/>
    <w:rsid w:val="00D93753"/>
    <w:rsid w:val="00D93CE6"/>
    <w:rsid w:val="00D95A02"/>
    <w:rsid w:val="00D95B84"/>
    <w:rsid w:val="00D966D9"/>
    <w:rsid w:val="00D96B52"/>
    <w:rsid w:val="00D97147"/>
    <w:rsid w:val="00D97BE3"/>
    <w:rsid w:val="00D97C4D"/>
    <w:rsid w:val="00DA0C36"/>
    <w:rsid w:val="00DA0CBD"/>
    <w:rsid w:val="00DA127D"/>
    <w:rsid w:val="00DA14E7"/>
    <w:rsid w:val="00DA15BF"/>
    <w:rsid w:val="00DA23F6"/>
    <w:rsid w:val="00DA2F87"/>
    <w:rsid w:val="00DA3167"/>
    <w:rsid w:val="00DA38B8"/>
    <w:rsid w:val="00DA4B14"/>
    <w:rsid w:val="00DA4CE9"/>
    <w:rsid w:val="00DA4DC3"/>
    <w:rsid w:val="00DA5123"/>
    <w:rsid w:val="00DA5242"/>
    <w:rsid w:val="00DA6811"/>
    <w:rsid w:val="00DA77A5"/>
    <w:rsid w:val="00DA7E29"/>
    <w:rsid w:val="00DB028B"/>
    <w:rsid w:val="00DB0E1A"/>
    <w:rsid w:val="00DB130C"/>
    <w:rsid w:val="00DB195A"/>
    <w:rsid w:val="00DB290C"/>
    <w:rsid w:val="00DB36BF"/>
    <w:rsid w:val="00DB484F"/>
    <w:rsid w:val="00DB532F"/>
    <w:rsid w:val="00DB5D91"/>
    <w:rsid w:val="00DB6B03"/>
    <w:rsid w:val="00DB77A2"/>
    <w:rsid w:val="00DB7FA0"/>
    <w:rsid w:val="00DC04F6"/>
    <w:rsid w:val="00DC0B52"/>
    <w:rsid w:val="00DC0C2F"/>
    <w:rsid w:val="00DC0FE9"/>
    <w:rsid w:val="00DC16ED"/>
    <w:rsid w:val="00DC1EE9"/>
    <w:rsid w:val="00DC216A"/>
    <w:rsid w:val="00DC287C"/>
    <w:rsid w:val="00DC2E80"/>
    <w:rsid w:val="00DC2F84"/>
    <w:rsid w:val="00DC342E"/>
    <w:rsid w:val="00DC3C57"/>
    <w:rsid w:val="00DC41CC"/>
    <w:rsid w:val="00DC5501"/>
    <w:rsid w:val="00DC5F63"/>
    <w:rsid w:val="00DD03F2"/>
    <w:rsid w:val="00DD1B56"/>
    <w:rsid w:val="00DD1EA9"/>
    <w:rsid w:val="00DD2544"/>
    <w:rsid w:val="00DD259F"/>
    <w:rsid w:val="00DD273C"/>
    <w:rsid w:val="00DD2E53"/>
    <w:rsid w:val="00DD3060"/>
    <w:rsid w:val="00DD3F28"/>
    <w:rsid w:val="00DD4537"/>
    <w:rsid w:val="00DD4C1F"/>
    <w:rsid w:val="00DD4E15"/>
    <w:rsid w:val="00DD556A"/>
    <w:rsid w:val="00DD5C66"/>
    <w:rsid w:val="00DD68BF"/>
    <w:rsid w:val="00DE0374"/>
    <w:rsid w:val="00DE19E6"/>
    <w:rsid w:val="00DE1E12"/>
    <w:rsid w:val="00DE23D6"/>
    <w:rsid w:val="00DE26CE"/>
    <w:rsid w:val="00DE3138"/>
    <w:rsid w:val="00DE37F8"/>
    <w:rsid w:val="00DE3C8C"/>
    <w:rsid w:val="00DE3F2F"/>
    <w:rsid w:val="00DE3F7C"/>
    <w:rsid w:val="00DE3F8F"/>
    <w:rsid w:val="00DE403A"/>
    <w:rsid w:val="00DE4122"/>
    <w:rsid w:val="00DE4206"/>
    <w:rsid w:val="00DE466F"/>
    <w:rsid w:val="00DE4FCB"/>
    <w:rsid w:val="00DE543E"/>
    <w:rsid w:val="00DE5465"/>
    <w:rsid w:val="00DE591F"/>
    <w:rsid w:val="00DE64B3"/>
    <w:rsid w:val="00DE6556"/>
    <w:rsid w:val="00DE70D7"/>
    <w:rsid w:val="00DE7832"/>
    <w:rsid w:val="00DE7BFF"/>
    <w:rsid w:val="00DF18FC"/>
    <w:rsid w:val="00DF1D03"/>
    <w:rsid w:val="00DF2015"/>
    <w:rsid w:val="00DF2736"/>
    <w:rsid w:val="00DF3C61"/>
    <w:rsid w:val="00DF5D2B"/>
    <w:rsid w:val="00DF7625"/>
    <w:rsid w:val="00DF79E0"/>
    <w:rsid w:val="00E00E8E"/>
    <w:rsid w:val="00E01C68"/>
    <w:rsid w:val="00E02841"/>
    <w:rsid w:val="00E02873"/>
    <w:rsid w:val="00E03555"/>
    <w:rsid w:val="00E054E7"/>
    <w:rsid w:val="00E05630"/>
    <w:rsid w:val="00E06DBB"/>
    <w:rsid w:val="00E076D5"/>
    <w:rsid w:val="00E07AF2"/>
    <w:rsid w:val="00E07F17"/>
    <w:rsid w:val="00E10149"/>
    <w:rsid w:val="00E104E3"/>
    <w:rsid w:val="00E10547"/>
    <w:rsid w:val="00E1073C"/>
    <w:rsid w:val="00E12764"/>
    <w:rsid w:val="00E12BF7"/>
    <w:rsid w:val="00E12E37"/>
    <w:rsid w:val="00E12E5F"/>
    <w:rsid w:val="00E14103"/>
    <w:rsid w:val="00E1469F"/>
    <w:rsid w:val="00E158B7"/>
    <w:rsid w:val="00E16372"/>
    <w:rsid w:val="00E1763E"/>
    <w:rsid w:val="00E17C34"/>
    <w:rsid w:val="00E17F6C"/>
    <w:rsid w:val="00E201CB"/>
    <w:rsid w:val="00E2020B"/>
    <w:rsid w:val="00E2061E"/>
    <w:rsid w:val="00E20C58"/>
    <w:rsid w:val="00E20E4D"/>
    <w:rsid w:val="00E20ED6"/>
    <w:rsid w:val="00E21358"/>
    <w:rsid w:val="00E21851"/>
    <w:rsid w:val="00E21957"/>
    <w:rsid w:val="00E2249B"/>
    <w:rsid w:val="00E22A0D"/>
    <w:rsid w:val="00E23005"/>
    <w:rsid w:val="00E23041"/>
    <w:rsid w:val="00E2336D"/>
    <w:rsid w:val="00E23C3A"/>
    <w:rsid w:val="00E24883"/>
    <w:rsid w:val="00E248E1"/>
    <w:rsid w:val="00E25B2A"/>
    <w:rsid w:val="00E25F9F"/>
    <w:rsid w:val="00E2771E"/>
    <w:rsid w:val="00E27A41"/>
    <w:rsid w:val="00E307CC"/>
    <w:rsid w:val="00E31527"/>
    <w:rsid w:val="00E31A21"/>
    <w:rsid w:val="00E31C19"/>
    <w:rsid w:val="00E3364B"/>
    <w:rsid w:val="00E33959"/>
    <w:rsid w:val="00E34335"/>
    <w:rsid w:val="00E34948"/>
    <w:rsid w:val="00E361CA"/>
    <w:rsid w:val="00E36DF0"/>
    <w:rsid w:val="00E371EC"/>
    <w:rsid w:val="00E37569"/>
    <w:rsid w:val="00E37612"/>
    <w:rsid w:val="00E40055"/>
    <w:rsid w:val="00E41362"/>
    <w:rsid w:val="00E4147D"/>
    <w:rsid w:val="00E41BC6"/>
    <w:rsid w:val="00E41E30"/>
    <w:rsid w:val="00E41EE8"/>
    <w:rsid w:val="00E4373E"/>
    <w:rsid w:val="00E43D70"/>
    <w:rsid w:val="00E44049"/>
    <w:rsid w:val="00E442C3"/>
    <w:rsid w:val="00E4444B"/>
    <w:rsid w:val="00E44C7D"/>
    <w:rsid w:val="00E45371"/>
    <w:rsid w:val="00E463B7"/>
    <w:rsid w:val="00E465C5"/>
    <w:rsid w:val="00E466F3"/>
    <w:rsid w:val="00E46E34"/>
    <w:rsid w:val="00E47172"/>
    <w:rsid w:val="00E477D4"/>
    <w:rsid w:val="00E47B2C"/>
    <w:rsid w:val="00E50732"/>
    <w:rsid w:val="00E50DCA"/>
    <w:rsid w:val="00E51560"/>
    <w:rsid w:val="00E52193"/>
    <w:rsid w:val="00E5240C"/>
    <w:rsid w:val="00E52515"/>
    <w:rsid w:val="00E52D51"/>
    <w:rsid w:val="00E52E3C"/>
    <w:rsid w:val="00E531DD"/>
    <w:rsid w:val="00E53991"/>
    <w:rsid w:val="00E54347"/>
    <w:rsid w:val="00E5456B"/>
    <w:rsid w:val="00E550D6"/>
    <w:rsid w:val="00E55424"/>
    <w:rsid w:val="00E55BB5"/>
    <w:rsid w:val="00E5620C"/>
    <w:rsid w:val="00E60022"/>
    <w:rsid w:val="00E609E2"/>
    <w:rsid w:val="00E60D0B"/>
    <w:rsid w:val="00E61E1F"/>
    <w:rsid w:val="00E620DA"/>
    <w:rsid w:val="00E628A1"/>
    <w:rsid w:val="00E62A8C"/>
    <w:rsid w:val="00E62B10"/>
    <w:rsid w:val="00E62DBD"/>
    <w:rsid w:val="00E631C8"/>
    <w:rsid w:val="00E635BB"/>
    <w:rsid w:val="00E64184"/>
    <w:rsid w:val="00E6506D"/>
    <w:rsid w:val="00E65555"/>
    <w:rsid w:val="00E6578E"/>
    <w:rsid w:val="00E65E79"/>
    <w:rsid w:val="00E661A9"/>
    <w:rsid w:val="00E662A5"/>
    <w:rsid w:val="00E66891"/>
    <w:rsid w:val="00E66A4B"/>
    <w:rsid w:val="00E66BA2"/>
    <w:rsid w:val="00E67416"/>
    <w:rsid w:val="00E6747B"/>
    <w:rsid w:val="00E700E7"/>
    <w:rsid w:val="00E70592"/>
    <w:rsid w:val="00E70F74"/>
    <w:rsid w:val="00E718B6"/>
    <w:rsid w:val="00E723BA"/>
    <w:rsid w:val="00E725A2"/>
    <w:rsid w:val="00E72D72"/>
    <w:rsid w:val="00E73581"/>
    <w:rsid w:val="00E74540"/>
    <w:rsid w:val="00E74621"/>
    <w:rsid w:val="00E75000"/>
    <w:rsid w:val="00E7511A"/>
    <w:rsid w:val="00E75440"/>
    <w:rsid w:val="00E7584B"/>
    <w:rsid w:val="00E774BF"/>
    <w:rsid w:val="00E77637"/>
    <w:rsid w:val="00E77EAE"/>
    <w:rsid w:val="00E80BA5"/>
    <w:rsid w:val="00E82BFF"/>
    <w:rsid w:val="00E833F7"/>
    <w:rsid w:val="00E838F4"/>
    <w:rsid w:val="00E83BDF"/>
    <w:rsid w:val="00E83C07"/>
    <w:rsid w:val="00E84C2B"/>
    <w:rsid w:val="00E859E7"/>
    <w:rsid w:val="00E86406"/>
    <w:rsid w:val="00E86486"/>
    <w:rsid w:val="00E87A1D"/>
    <w:rsid w:val="00E90499"/>
    <w:rsid w:val="00E91765"/>
    <w:rsid w:val="00E926A5"/>
    <w:rsid w:val="00E93121"/>
    <w:rsid w:val="00E934F9"/>
    <w:rsid w:val="00E94BDE"/>
    <w:rsid w:val="00E94F6D"/>
    <w:rsid w:val="00E97DE3"/>
    <w:rsid w:val="00E97F93"/>
    <w:rsid w:val="00EA0E01"/>
    <w:rsid w:val="00EA0F20"/>
    <w:rsid w:val="00EA17C3"/>
    <w:rsid w:val="00EA2CAA"/>
    <w:rsid w:val="00EA3864"/>
    <w:rsid w:val="00EA4529"/>
    <w:rsid w:val="00EA4A46"/>
    <w:rsid w:val="00EA57D6"/>
    <w:rsid w:val="00EA7069"/>
    <w:rsid w:val="00EA738B"/>
    <w:rsid w:val="00EA75D7"/>
    <w:rsid w:val="00EA7697"/>
    <w:rsid w:val="00EB15B6"/>
    <w:rsid w:val="00EB396C"/>
    <w:rsid w:val="00EB4253"/>
    <w:rsid w:val="00EB4916"/>
    <w:rsid w:val="00EB5C4F"/>
    <w:rsid w:val="00EB6B2E"/>
    <w:rsid w:val="00EB7B20"/>
    <w:rsid w:val="00EB7CD5"/>
    <w:rsid w:val="00EC00C9"/>
    <w:rsid w:val="00EC0130"/>
    <w:rsid w:val="00EC092B"/>
    <w:rsid w:val="00EC1CE2"/>
    <w:rsid w:val="00EC2649"/>
    <w:rsid w:val="00EC2E14"/>
    <w:rsid w:val="00EC4298"/>
    <w:rsid w:val="00EC42B3"/>
    <w:rsid w:val="00EC47BA"/>
    <w:rsid w:val="00EC4B3C"/>
    <w:rsid w:val="00EC4D83"/>
    <w:rsid w:val="00EC4EE4"/>
    <w:rsid w:val="00EC5673"/>
    <w:rsid w:val="00EC5A12"/>
    <w:rsid w:val="00EC5FA4"/>
    <w:rsid w:val="00EC74DF"/>
    <w:rsid w:val="00EC794F"/>
    <w:rsid w:val="00ED112A"/>
    <w:rsid w:val="00ED1EAA"/>
    <w:rsid w:val="00ED1FAD"/>
    <w:rsid w:val="00ED27AE"/>
    <w:rsid w:val="00ED2885"/>
    <w:rsid w:val="00ED2BE3"/>
    <w:rsid w:val="00ED2C46"/>
    <w:rsid w:val="00ED4B24"/>
    <w:rsid w:val="00ED4D8C"/>
    <w:rsid w:val="00ED52FB"/>
    <w:rsid w:val="00ED57EA"/>
    <w:rsid w:val="00ED633B"/>
    <w:rsid w:val="00ED7225"/>
    <w:rsid w:val="00ED77C4"/>
    <w:rsid w:val="00ED79B0"/>
    <w:rsid w:val="00EE014C"/>
    <w:rsid w:val="00EE07D3"/>
    <w:rsid w:val="00EE15A9"/>
    <w:rsid w:val="00EE19C2"/>
    <w:rsid w:val="00EE22AF"/>
    <w:rsid w:val="00EE2347"/>
    <w:rsid w:val="00EE31B6"/>
    <w:rsid w:val="00EE337A"/>
    <w:rsid w:val="00EE35D8"/>
    <w:rsid w:val="00EE3FAE"/>
    <w:rsid w:val="00EE5B8D"/>
    <w:rsid w:val="00EE5C92"/>
    <w:rsid w:val="00EE641C"/>
    <w:rsid w:val="00EE710F"/>
    <w:rsid w:val="00EE7BD9"/>
    <w:rsid w:val="00EF0171"/>
    <w:rsid w:val="00EF1861"/>
    <w:rsid w:val="00EF1B25"/>
    <w:rsid w:val="00EF27CD"/>
    <w:rsid w:val="00EF29C1"/>
    <w:rsid w:val="00EF33DF"/>
    <w:rsid w:val="00EF3F32"/>
    <w:rsid w:val="00EF447B"/>
    <w:rsid w:val="00EF44EA"/>
    <w:rsid w:val="00EF4747"/>
    <w:rsid w:val="00EF4BF8"/>
    <w:rsid w:val="00EF5842"/>
    <w:rsid w:val="00EF6920"/>
    <w:rsid w:val="00F00C9B"/>
    <w:rsid w:val="00F00CB7"/>
    <w:rsid w:val="00F00CF1"/>
    <w:rsid w:val="00F02253"/>
    <w:rsid w:val="00F02282"/>
    <w:rsid w:val="00F0271D"/>
    <w:rsid w:val="00F03548"/>
    <w:rsid w:val="00F03991"/>
    <w:rsid w:val="00F03C2E"/>
    <w:rsid w:val="00F03E0A"/>
    <w:rsid w:val="00F044F4"/>
    <w:rsid w:val="00F04A66"/>
    <w:rsid w:val="00F0516C"/>
    <w:rsid w:val="00F05873"/>
    <w:rsid w:val="00F05A80"/>
    <w:rsid w:val="00F067A2"/>
    <w:rsid w:val="00F06A2B"/>
    <w:rsid w:val="00F07122"/>
    <w:rsid w:val="00F078BC"/>
    <w:rsid w:val="00F07C5C"/>
    <w:rsid w:val="00F07DD3"/>
    <w:rsid w:val="00F10FC5"/>
    <w:rsid w:val="00F11809"/>
    <w:rsid w:val="00F11F42"/>
    <w:rsid w:val="00F12342"/>
    <w:rsid w:val="00F1263A"/>
    <w:rsid w:val="00F126F5"/>
    <w:rsid w:val="00F12725"/>
    <w:rsid w:val="00F127DF"/>
    <w:rsid w:val="00F12FF2"/>
    <w:rsid w:val="00F130AE"/>
    <w:rsid w:val="00F13C95"/>
    <w:rsid w:val="00F14A14"/>
    <w:rsid w:val="00F14AB9"/>
    <w:rsid w:val="00F150D7"/>
    <w:rsid w:val="00F1587F"/>
    <w:rsid w:val="00F17359"/>
    <w:rsid w:val="00F21070"/>
    <w:rsid w:val="00F21328"/>
    <w:rsid w:val="00F21C8A"/>
    <w:rsid w:val="00F226FC"/>
    <w:rsid w:val="00F22BA3"/>
    <w:rsid w:val="00F22F54"/>
    <w:rsid w:val="00F23DE7"/>
    <w:rsid w:val="00F243BD"/>
    <w:rsid w:val="00F24723"/>
    <w:rsid w:val="00F24837"/>
    <w:rsid w:val="00F24CC3"/>
    <w:rsid w:val="00F25191"/>
    <w:rsid w:val="00F2575F"/>
    <w:rsid w:val="00F26391"/>
    <w:rsid w:val="00F27061"/>
    <w:rsid w:val="00F272AD"/>
    <w:rsid w:val="00F274B7"/>
    <w:rsid w:val="00F27565"/>
    <w:rsid w:val="00F277CD"/>
    <w:rsid w:val="00F27D80"/>
    <w:rsid w:val="00F27DA3"/>
    <w:rsid w:val="00F30285"/>
    <w:rsid w:val="00F30492"/>
    <w:rsid w:val="00F310D4"/>
    <w:rsid w:val="00F31D1C"/>
    <w:rsid w:val="00F31D5A"/>
    <w:rsid w:val="00F325FC"/>
    <w:rsid w:val="00F32DAE"/>
    <w:rsid w:val="00F3353B"/>
    <w:rsid w:val="00F33DE9"/>
    <w:rsid w:val="00F343B3"/>
    <w:rsid w:val="00F34AFB"/>
    <w:rsid w:val="00F3551F"/>
    <w:rsid w:val="00F3619A"/>
    <w:rsid w:val="00F364B1"/>
    <w:rsid w:val="00F365A1"/>
    <w:rsid w:val="00F36940"/>
    <w:rsid w:val="00F36B31"/>
    <w:rsid w:val="00F36F27"/>
    <w:rsid w:val="00F37D59"/>
    <w:rsid w:val="00F40008"/>
    <w:rsid w:val="00F40AAA"/>
    <w:rsid w:val="00F40BA7"/>
    <w:rsid w:val="00F40F08"/>
    <w:rsid w:val="00F40F40"/>
    <w:rsid w:val="00F4103A"/>
    <w:rsid w:val="00F41F0B"/>
    <w:rsid w:val="00F4319C"/>
    <w:rsid w:val="00F43ECE"/>
    <w:rsid w:val="00F44752"/>
    <w:rsid w:val="00F45E11"/>
    <w:rsid w:val="00F468CD"/>
    <w:rsid w:val="00F4693E"/>
    <w:rsid w:val="00F46CB6"/>
    <w:rsid w:val="00F47DE8"/>
    <w:rsid w:val="00F50AA0"/>
    <w:rsid w:val="00F51403"/>
    <w:rsid w:val="00F51549"/>
    <w:rsid w:val="00F51C79"/>
    <w:rsid w:val="00F51CC2"/>
    <w:rsid w:val="00F52818"/>
    <w:rsid w:val="00F52AD2"/>
    <w:rsid w:val="00F542C1"/>
    <w:rsid w:val="00F549E2"/>
    <w:rsid w:val="00F55864"/>
    <w:rsid w:val="00F55E73"/>
    <w:rsid w:val="00F55EDA"/>
    <w:rsid w:val="00F55F6F"/>
    <w:rsid w:val="00F56A78"/>
    <w:rsid w:val="00F60092"/>
    <w:rsid w:val="00F60438"/>
    <w:rsid w:val="00F6070D"/>
    <w:rsid w:val="00F61AFF"/>
    <w:rsid w:val="00F62EE3"/>
    <w:rsid w:val="00F65F4B"/>
    <w:rsid w:val="00F666EC"/>
    <w:rsid w:val="00F671CE"/>
    <w:rsid w:val="00F67330"/>
    <w:rsid w:val="00F67F55"/>
    <w:rsid w:val="00F705AB"/>
    <w:rsid w:val="00F70C9D"/>
    <w:rsid w:val="00F7195A"/>
    <w:rsid w:val="00F71AF6"/>
    <w:rsid w:val="00F72720"/>
    <w:rsid w:val="00F72CBB"/>
    <w:rsid w:val="00F73007"/>
    <w:rsid w:val="00F739D9"/>
    <w:rsid w:val="00F74CD9"/>
    <w:rsid w:val="00F76E17"/>
    <w:rsid w:val="00F80218"/>
    <w:rsid w:val="00F80A7B"/>
    <w:rsid w:val="00F80E5D"/>
    <w:rsid w:val="00F8182D"/>
    <w:rsid w:val="00F830C1"/>
    <w:rsid w:val="00F831D2"/>
    <w:rsid w:val="00F84ED8"/>
    <w:rsid w:val="00F85188"/>
    <w:rsid w:val="00F851CE"/>
    <w:rsid w:val="00F85B57"/>
    <w:rsid w:val="00F861FA"/>
    <w:rsid w:val="00F86332"/>
    <w:rsid w:val="00F86496"/>
    <w:rsid w:val="00F86707"/>
    <w:rsid w:val="00F86B7B"/>
    <w:rsid w:val="00F8769D"/>
    <w:rsid w:val="00F87C80"/>
    <w:rsid w:val="00F90481"/>
    <w:rsid w:val="00F905B5"/>
    <w:rsid w:val="00F9098E"/>
    <w:rsid w:val="00F90EA1"/>
    <w:rsid w:val="00F91219"/>
    <w:rsid w:val="00F9155A"/>
    <w:rsid w:val="00F9261E"/>
    <w:rsid w:val="00F92F7D"/>
    <w:rsid w:val="00F93580"/>
    <w:rsid w:val="00F93735"/>
    <w:rsid w:val="00F940B1"/>
    <w:rsid w:val="00F94D6E"/>
    <w:rsid w:val="00F94FF1"/>
    <w:rsid w:val="00F960CE"/>
    <w:rsid w:val="00F96ABE"/>
    <w:rsid w:val="00F97A78"/>
    <w:rsid w:val="00F97F88"/>
    <w:rsid w:val="00FA0B20"/>
    <w:rsid w:val="00FA0EC0"/>
    <w:rsid w:val="00FA148B"/>
    <w:rsid w:val="00FA17C3"/>
    <w:rsid w:val="00FA180C"/>
    <w:rsid w:val="00FA2058"/>
    <w:rsid w:val="00FA24AF"/>
    <w:rsid w:val="00FA24E7"/>
    <w:rsid w:val="00FA2B85"/>
    <w:rsid w:val="00FA4B58"/>
    <w:rsid w:val="00FA616D"/>
    <w:rsid w:val="00FA6679"/>
    <w:rsid w:val="00FB0084"/>
    <w:rsid w:val="00FB0784"/>
    <w:rsid w:val="00FB0EA1"/>
    <w:rsid w:val="00FB1D28"/>
    <w:rsid w:val="00FB2415"/>
    <w:rsid w:val="00FB2808"/>
    <w:rsid w:val="00FB2FCB"/>
    <w:rsid w:val="00FB47D6"/>
    <w:rsid w:val="00FB4CB8"/>
    <w:rsid w:val="00FB52E2"/>
    <w:rsid w:val="00FB53C9"/>
    <w:rsid w:val="00FB5726"/>
    <w:rsid w:val="00FB5E27"/>
    <w:rsid w:val="00FB711D"/>
    <w:rsid w:val="00FB7DAC"/>
    <w:rsid w:val="00FC035D"/>
    <w:rsid w:val="00FC1074"/>
    <w:rsid w:val="00FC1884"/>
    <w:rsid w:val="00FC2B22"/>
    <w:rsid w:val="00FC371D"/>
    <w:rsid w:val="00FC48EF"/>
    <w:rsid w:val="00FC4E22"/>
    <w:rsid w:val="00FC4E61"/>
    <w:rsid w:val="00FC51AF"/>
    <w:rsid w:val="00FC5F0B"/>
    <w:rsid w:val="00FC62D9"/>
    <w:rsid w:val="00FC7367"/>
    <w:rsid w:val="00FD00EC"/>
    <w:rsid w:val="00FD0544"/>
    <w:rsid w:val="00FD1492"/>
    <w:rsid w:val="00FD2100"/>
    <w:rsid w:val="00FD2598"/>
    <w:rsid w:val="00FD27EC"/>
    <w:rsid w:val="00FD3755"/>
    <w:rsid w:val="00FD37E6"/>
    <w:rsid w:val="00FD436C"/>
    <w:rsid w:val="00FD4437"/>
    <w:rsid w:val="00FD446D"/>
    <w:rsid w:val="00FD480C"/>
    <w:rsid w:val="00FD54F2"/>
    <w:rsid w:val="00FD5B1E"/>
    <w:rsid w:val="00FD6394"/>
    <w:rsid w:val="00FD6A67"/>
    <w:rsid w:val="00FD6A68"/>
    <w:rsid w:val="00FD6D3D"/>
    <w:rsid w:val="00FD70A3"/>
    <w:rsid w:val="00FD7789"/>
    <w:rsid w:val="00FE0587"/>
    <w:rsid w:val="00FE06E3"/>
    <w:rsid w:val="00FE0E6C"/>
    <w:rsid w:val="00FE1541"/>
    <w:rsid w:val="00FE17EA"/>
    <w:rsid w:val="00FE1B17"/>
    <w:rsid w:val="00FE2115"/>
    <w:rsid w:val="00FE25EE"/>
    <w:rsid w:val="00FE3CFD"/>
    <w:rsid w:val="00FE5205"/>
    <w:rsid w:val="00FE52B7"/>
    <w:rsid w:val="00FE540C"/>
    <w:rsid w:val="00FE649A"/>
    <w:rsid w:val="00FE6D4A"/>
    <w:rsid w:val="00FE70C3"/>
    <w:rsid w:val="00FF0545"/>
    <w:rsid w:val="00FF0A19"/>
    <w:rsid w:val="00FF0E1A"/>
    <w:rsid w:val="00FF2CBC"/>
    <w:rsid w:val="00FF36E7"/>
    <w:rsid w:val="00FF3DCF"/>
    <w:rsid w:val="00FF46A6"/>
    <w:rsid w:val="00FF492C"/>
    <w:rsid w:val="00FF4A21"/>
    <w:rsid w:val="00FF4C36"/>
    <w:rsid w:val="00FF5AA3"/>
    <w:rsid w:val="00FF5AD8"/>
    <w:rsid w:val="00FF6855"/>
    <w:rsid w:val="00FF69FF"/>
    <w:rsid w:val="00FF7B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8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D5C66"/>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3E6ED7"/>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6ED7"/>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440004"/>
    <w:pPr>
      <w:spacing w:after="120"/>
      <w:contextualSpacing/>
    </w:pPr>
    <w:rPr>
      <w:rFonts w:ascii="Arial Narrow" w:hAnsi="Arial Narrow"/>
      <w:sz w:val="18"/>
    </w:rPr>
  </w:style>
  <w:style w:type="character" w:customStyle="1" w:styleId="TableFooterChar">
    <w:name w:val="Table Footer Char"/>
    <w:link w:val="TableFooter"/>
    <w:rsid w:val="00440004"/>
    <w:rPr>
      <w:rFonts w:ascii="Arial Narrow" w:hAnsi="Arial Narrow" w:cs="Arial"/>
      <w:snapToGrid w:val="0"/>
      <w:sz w:val="18"/>
      <w:szCs w:val="22"/>
      <w:lang w:eastAsia="en-US"/>
    </w:rPr>
  </w:style>
  <w:style w:type="paragraph" w:customStyle="1" w:styleId="TableHeader">
    <w:name w:val="Table Header"/>
    <w:basedOn w:val="Normal"/>
    <w:uiPriority w:val="3"/>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12,Bullet"/>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ind w:left="720"/>
    </w:pPr>
  </w:style>
  <w:style w:type="character" w:customStyle="1" w:styleId="ListParagraphChar">
    <w:name w:val="List Paragraph Char"/>
    <w:aliases w:val="Numbered para Char,BulletPoints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260799"/>
    <w:rPr>
      <w:rFonts w:ascii="Arial Narrow" w:hAnsi="Arial Narrow"/>
      <w:b/>
      <w:sz w:val="20"/>
      <w:szCs w:val="16"/>
    </w:rPr>
  </w:style>
  <w:style w:type="paragraph" w:customStyle="1" w:styleId="Tabletext">
    <w:name w:val="Table text"/>
    <w:basedOn w:val="Normal"/>
    <w:link w:val="TabletextChar"/>
    <w:uiPriority w:val="2"/>
    <w:qFormat/>
    <w:rsid w:val="005E3B0C"/>
    <w:pPr>
      <w:widowControl/>
      <w:spacing w:before="40" w:after="40"/>
      <w:jc w:val="left"/>
    </w:pPr>
    <w:rPr>
      <w:rFonts w:ascii="Arial Narrow" w:hAnsi="Arial Narrow" w:cs="Times New Roman"/>
      <w:snapToGrid/>
      <w:sz w:val="20"/>
    </w:rPr>
  </w:style>
  <w:style w:type="character" w:customStyle="1" w:styleId="TabletextChar">
    <w:name w:val="Table text Char"/>
    <w:link w:val="Tabletext"/>
    <w:uiPriority w:val="2"/>
    <w:rsid w:val="005E3B0C"/>
    <w:rPr>
      <w:rFonts w:ascii="Arial Narrow" w:hAnsi="Arial Narrow"/>
      <w:szCs w:val="22"/>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ind w:left="0"/>
    </w:pPr>
    <w:rPr>
      <w:szCs w:val="24"/>
    </w:rPr>
  </w:style>
  <w:style w:type="paragraph" w:customStyle="1" w:styleId="TableName">
    <w:name w:val="TableName"/>
    <w:basedOn w:val="Normal"/>
    <w:qFormat/>
    <w:rsid w:val="00CA7B09"/>
    <w:pPr>
      <w:keepNext/>
      <w:widowControl/>
      <w:spacing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E6ED7"/>
    <w:pPr>
      <w:numPr>
        <w:numId w:val="1"/>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367907"/>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367907"/>
    <w:rPr>
      <w:rFonts w:asciiTheme="minorHAnsi" w:eastAsiaTheme="minorHAnsi" w:hAnsiTheme="minorHAnsi" w:cstheme="minorBidi"/>
      <w:sz w:val="18"/>
      <w:lang w:eastAsia="en-US"/>
    </w:rPr>
  </w:style>
  <w:style w:type="paragraph" w:customStyle="1" w:styleId="V50Instructions">
    <w:name w:val="V5.0 Instructions"/>
    <w:basedOn w:val="Normal"/>
    <w:link w:val="V50InstructionsChar"/>
    <w:qFormat/>
    <w:rsid w:val="000A59BD"/>
    <w:pPr>
      <w:widowControl/>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A59BD"/>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303D4F"/>
    <w:pPr>
      <w:widowControl/>
      <w:spacing w:before="20" w:after="20" w:line="276" w:lineRule="auto"/>
      <w:jc w:val="left"/>
    </w:pPr>
    <w:rPr>
      <w:rFonts w:ascii="Arial Narrow" w:eastAsiaTheme="majorEastAsia" w:hAnsi="Arial Narrow"/>
      <w:snapToGrid/>
      <w:sz w:val="20"/>
      <w:szCs w:val="20"/>
      <w:lang w:bidi="en-US"/>
    </w:rPr>
  </w:style>
  <w:style w:type="character" w:styleId="FootnoteReference">
    <w:name w:val="footnote reference"/>
    <w:basedOn w:val="DefaultParagraphFont"/>
    <w:uiPriority w:val="99"/>
    <w:semiHidden/>
    <w:unhideWhenUsed/>
    <w:rsid w:val="00345FC4"/>
    <w:rPr>
      <w:vertAlign w:val="superscript"/>
    </w:rPr>
  </w:style>
  <w:style w:type="paragraph" w:customStyle="1" w:styleId="BodyText1">
    <w:name w:val="Body Text1"/>
    <w:basedOn w:val="Normal"/>
    <w:rsid w:val="00604E31"/>
    <w:pPr>
      <w:widowControl/>
      <w:spacing w:after="200" w:line="360" w:lineRule="auto"/>
      <w:ind w:left="1152"/>
      <w:jc w:val="left"/>
    </w:pPr>
    <w:rPr>
      <w:rFonts w:ascii="Arial" w:hAnsi="Arial"/>
      <w:snapToGrid/>
      <w:sz w:val="20"/>
      <w:szCs w:val="20"/>
      <w:lang w:eastAsia="en-AU"/>
    </w:rPr>
  </w:style>
  <w:style w:type="paragraph" w:customStyle="1" w:styleId="Default">
    <w:name w:val="Default"/>
    <w:rsid w:val="00506034"/>
    <w:pPr>
      <w:autoSpaceDE w:val="0"/>
      <w:autoSpaceDN w:val="0"/>
      <w:adjustRightInd w:val="0"/>
    </w:pPr>
    <w:rPr>
      <w:rFonts w:eastAsiaTheme="minorHAnsi"/>
      <w:color w:val="000000"/>
      <w:sz w:val="24"/>
      <w:szCs w:val="24"/>
      <w:lang w:eastAsia="en-US"/>
    </w:rPr>
  </w:style>
  <w:style w:type="character" w:customStyle="1" w:styleId="Heading5Char">
    <w:name w:val="Heading 5 Char"/>
    <w:basedOn w:val="DefaultParagraphFont"/>
    <w:link w:val="Heading5"/>
    <w:uiPriority w:val="9"/>
    <w:rsid w:val="00254A9D"/>
    <w:rPr>
      <w:rFonts w:ascii="Calibri" w:hAnsi="Calibri" w:cs="Arial"/>
      <w:b/>
      <w:bCs/>
      <w:iCs/>
      <w:snapToGrid w:val="0"/>
      <w:sz w:val="26"/>
      <w:szCs w:val="26"/>
      <w:lang w:eastAsia="en-US"/>
    </w:rPr>
  </w:style>
  <w:style w:type="table" w:customStyle="1" w:styleId="TableGrid1">
    <w:name w:val="Table Grid1"/>
    <w:basedOn w:val="TableNormal"/>
    <w:next w:val="TableGrid"/>
    <w:uiPriority w:val="39"/>
    <w:rsid w:val="00C949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5E58"/>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F3D9F"/>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5D5D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rsid w:val="00E24883"/>
    <w:rPr>
      <w:rFonts w:ascii="Arial" w:hAnsi="Arial"/>
      <w:b/>
      <w:iCs/>
      <w:color w:val="000000" w:themeColor="text1"/>
      <w:szCs w:val="18"/>
    </w:rPr>
  </w:style>
  <w:style w:type="character" w:customStyle="1" w:styleId="UnresolvedMention1">
    <w:name w:val="Unresolved Mention1"/>
    <w:basedOn w:val="DefaultParagraphFont"/>
    <w:uiPriority w:val="99"/>
    <w:semiHidden/>
    <w:unhideWhenUsed/>
    <w:rsid w:val="00671462"/>
    <w:rPr>
      <w:color w:val="808080"/>
      <w:shd w:val="clear" w:color="auto" w:fill="E6E6E6"/>
    </w:rPr>
  </w:style>
  <w:style w:type="table" w:customStyle="1" w:styleId="TableGrid4">
    <w:name w:val="Table Grid4"/>
    <w:basedOn w:val="TableNormal"/>
    <w:next w:val="TableGrid"/>
    <w:uiPriority w:val="39"/>
    <w:rsid w:val="00BD5EC0"/>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qFormat/>
    <w:rsid w:val="00DB028B"/>
    <w:pPr>
      <w:spacing w:after="60"/>
      <w:contextualSpacing/>
    </w:pPr>
    <w:rPr>
      <w:rFonts w:ascii="Arial Narrow" w:hAnsi="Arial Narrow"/>
      <w:sz w:val="18"/>
      <w:szCs w:val="20"/>
      <w:lang w:val="en-GB"/>
    </w:rPr>
  </w:style>
  <w:style w:type="character" w:customStyle="1" w:styleId="TableNotesChar">
    <w:name w:val="TableNotes Char"/>
    <w:basedOn w:val="DefaultParagraphFont"/>
    <w:link w:val="TableNotes"/>
    <w:rsid w:val="00DB028B"/>
    <w:rPr>
      <w:rFonts w:ascii="Arial Narrow" w:hAnsi="Arial Narrow" w:cs="Arial"/>
      <w:snapToGrid w:val="0"/>
      <w:sz w:val="18"/>
      <w:lang w:val="en-GB" w:eastAsia="en-US"/>
    </w:rPr>
  </w:style>
  <w:style w:type="paragraph" w:customStyle="1" w:styleId="TableHeading0">
    <w:name w:val="Table Heading"/>
    <w:basedOn w:val="Normal"/>
    <w:qFormat/>
    <w:rsid w:val="008119AC"/>
    <w:pPr>
      <w:keepNext/>
      <w:widowControl/>
      <w:spacing w:after="60"/>
      <w:jc w:val="left"/>
    </w:pPr>
    <w:rPr>
      <w:rFonts w:ascii="Arial Narrow" w:eastAsiaTheme="minorHAnsi" w:hAnsi="Arial Narrow" w:cstheme="minorBidi"/>
      <w:b/>
      <w:snapToGrid/>
      <w:sz w:val="20"/>
    </w:rPr>
  </w:style>
  <w:style w:type="numbering" w:customStyle="1" w:styleId="NoList1">
    <w:name w:val="No List1"/>
    <w:next w:val="NoList"/>
    <w:uiPriority w:val="99"/>
    <w:semiHidden/>
    <w:unhideWhenUsed/>
    <w:rsid w:val="008119AC"/>
  </w:style>
  <w:style w:type="table" w:customStyle="1" w:styleId="CMATableTemplate1">
    <w:name w:val="CMA Table Template1"/>
    <w:basedOn w:val="TableNormal"/>
    <w:next w:val="TableGrid"/>
    <w:uiPriority w:val="59"/>
    <w:rsid w:val="0081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BF5"/>
    <w:rPr>
      <w:i/>
      <w:iCs/>
    </w:rPr>
  </w:style>
  <w:style w:type="character" w:styleId="Strong">
    <w:name w:val="Strong"/>
    <w:basedOn w:val="DefaultParagraphFont"/>
    <w:uiPriority w:val="22"/>
    <w:qFormat/>
    <w:rsid w:val="005C6BF5"/>
    <w:rPr>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2845"/>
    <w:pPr>
      <w:widowControl/>
      <w:spacing w:after="160" w:line="240" w:lineRule="exact"/>
      <w:jc w:val="left"/>
    </w:pPr>
    <w:rPr>
      <w:rFonts w:ascii="Verdana" w:eastAsia="MS Mincho" w:hAnsi="Verdana" w:cs="Verdana"/>
      <w:snapToGrid/>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D5C66"/>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3E6ED7"/>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6ED7"/>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440004"/>
    <w:pPr>
      <w:spacing w:after="120"/>
      <w:contextualSpacing/>
    </w:pPr>
    <w:rPr>
      <w:rFonts w:ascii="Arial Narrow" w:hAnsi="Arial Narrow"/>
      <w:sz w:val="18"/>
    </w:rPr>
  </w:style>
  <w:style w:type="character" w:customStyle="1" w:styleId="TableFooterChar">
    <w:name w:val="Table Footer Char"/>
    <w:link w:val="TableFooter"/>
    <w:rsid w:val="00440004"/>
    <w:rPr>
      <w:rFonts w:ascii="Arial Narrow" w:hAnsi="Arial Narrow" w:cs="Arial"/>
      <w:snapToGrid w:val="0"/>
      <w:sz w:val="18"/>
      <w:szCs w:val="22"/>
      <w:lang w:eastAsia="en-US"/>
    </w:rPr>
  </w:style>
  <w:style w:type="paragraph" w:customStyle="1" w:styleId="TableHeader">
    <w:name w:val="Table Header"/>
    <w:basedOn w:val="Normal"/>
    <w:uiPriority w:val="3"/>
    <w:rsid w:val="000D1BFC"/>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12,Bullet"/>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ind w:left="720"/>
    </w:pPr>
  </w:style>
  <w:style w:type="character" w:customStyle="1" w:styleId="ListParagraphChar">
    <w:name w:val="List Paragraph Char"/>
    <w:aliases w:val="Numbered para Char,BulletPoints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260799"/>
    <w:rPr>
      <w:rFonts w:ascii="Arial Narrow" w:hAnsi="Arial Narrow"/>
      <w:b/>
      <w:sz w:val="20"/>
      <w:szCs w:val="16"/>
    </w:rPr>
  </w:style>
  <w:style w:type="paragraph" w:customStyle="1" w:styleId="Tabletext">
    <w:name w:val="Table text"/>
    <w:basedOn w:val="Normal"/>
    <w:link w:val="TabletextChar"/>
    <w:uiPriority w:val="2"/>
    <w:qFormat/>
    <w:rsid w:val="005E3B0C"/>
    <w:pPr>
      <w:widowControl/>
      <w:spacing w:before="40" w:after="40"/>
      <w:jc w:val="left"/>
    </w:pPr>
    <w:rPr>
      <w:rFonts w:ascii="Arial Narrow" w:hAnsi="Arial Narrow" w:cs="Times New Roman"/>
      <w:snapToGrid/>
      <w:sz w:val="20"/>
    </w:rPr>
  </w:style>
  <w:style w:type="character" w:customStyle="1" w:styleId="TabletextChar">
    <w:name w:val="Table text Char"/>
    <w:link w:val="Tabletext"/>
    <w:uiPriority w:val="2"/>
    <w:rsid w:val="005E3B0C"/>
    <w:rPr>
      <w:rFonts w:ascii="Arial Narrow" w:hAnsi="Arial Narrow"/>
      <w:szCs w:val="22"/>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ind w:left="0"/>
    </w:pPr>
    <w:rPr>
      <w:szCs w:val="24"/>
    </w:rPr>
  </w:style>
  <w:style w:type="paragraph" w:customStyle="1" w:styleId="TableName">
    <w:name w:val="TableName"/>
    <w:basedOn w:val="Normal"/>
    <w:qFormat/>
    <w:rsid w:val="00CA7B09"/>
    <w:pPr>
      <w:keepNext/>
      <w:widowControl/>
      <w:spacing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E6ED7"/>
    <w:pPr>
      <w:numPr>
        <w:numId w:val="1"/>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367907"/>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367907"/>
    <w:rPr>
      <w:rFonts w:asciiTheme="minorHAnsi" w:eastAsiaTheme="minorHAnsi" w:hAnsiTheme="minorHAnsi" w:cstheme="minorBidi"/>
      <w:sz w:val="18"/>
      <w:lang w:eastAsia="en-US"/>
    </w:rPr>
  </w:style>
  <w:style w:type="paragraph" w:customStyle="1" w:styleId="V50Instructions">
    <w:name w:val="V5.0 Instructions"/>
    <w:basedOn w:val="Normal"/>
    <w:link w:val="V50InstructionsChar"/>
    <w:qFormat/>
    <w:rsid w:val="000A59BD"/>
    <w:pPr>
      <w:widowControl/>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A59BD"/>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303D4F"/>
    <w:pPr>
      <w:widowControl/>
      <w:spacing w:before="20" w:after="20" w:line="276" w:lineRule="auto"/>
      <w:jc w:val="left"/>
    </w:pPr>
    <w:rPr>
      <w:rFonts w:ascii="Arial Narrow" w:eastAsiaTheme="majorEastAsia" w:hAnsi="Arial Narrow"/>
      <w:snapToGrid/>
      <w:sz w:val="20"/>
      <w:szCs w:val="20"/>
      <w:lang w:bidi="en-US"/>
    </w:rPr>
  </w:style>
  <w:style w:type="character" w:styleId="FootnoteReference">
    <w:name w:val="footnote reference"/>
    <w:basedOn w:val="DefaultParagraphFont"/>
    <w:uiPriority w:val="99"/>
    <w:semiHidden/>
    <w:unhideWhenUsed/>
    <w:rsid w:val="00345FC4"/>
    <w:rPr>
      <w:vertAlign w:val="superscript"/>
    </w:rPr>
  </w:style>
  <w:style w:type="paragraph" w:customStyle="1" w:styleId="BodyText1">
    <w:name w:val="Body Text1"/>
    <w:basedOn w:val="Normal"/>
    <w:rsid w:val="00604E31"/>
    <w:pPr>
      <w:widowControl/>
      <w:spacing w:after="200" w:line="360" w:lineRule="auto"/>
      <w:ind w:left="1152"/>
      <w:jc w:val="left"/>
    </w:pPr>
    <w:rPr>
      <w:rFonts w:ascii="Arial" w:hAnsi="Arial"/>
      <w:snapToGrid/>
      <w:sz w:val="20"/>
      <w:szCs w:val="20"/>
      <w:lang w:eastAsia="en-AU"/>
    </w:rPr>
  </w:style>
  <w:style w:type="paragraph" w:customStyle="1" w:styleId="Default">
    <w:name w:val="Default"/>
    <w:rsid w:val="00506034"/>
    <w:pPr>
      <w:autoSpaceDE w:val="0"/>
      <w:autoSpaceDN w:val="0"/>
      <w:adjustRightInd w:val="0"/>
    </w:pPr>
    <w:rPr>
      <w:rFonts w:eastAsiaTheme="minorHAnsi"/>
      <w:color w:val="000000"/>
      <w:sz w:val="24"/>
      <w:szCs w:val="24"/>
      <w:lang w:eastAsia="en-US"/>
    </w:rPr>
  </w:style>
  <w:style w:type="character" w:customStyle="1" w:styleId="Heading5Char">
    <w:name w:val="Heading 5 Char"/>
    <w:basedOn w:val="DefaultParagraphFont"/>
    <w:link w:val="Heading5"/>
    <w:uiPriority w:val="9"/>
    <w:rsid w:val="00254A9D"/>
    <w:rPr>
      <w:rFonts w:ascii="Calibri" w:hAnsi="Calibri" w:cs="Arial"/>
      <w:b/>
      <w:bCs/>
      <w:iCs/>
      <w:snapToGrid w:val="0"/>
      <w:sz w:val="26"/>
      <w:szCs w:val="26"/>
      <w:lang w:eastAsia="en-US"/>
    </w:rPr>
  </w:style>
  <w:style w:type="table" w:customStyle="1" w:styleId="TableGrid1">
    <w:name w:val="Table Grid1"/>
    <w:basedOn w:val="TableNormal"/>
    <w:next w:val="TableGrid"/>
    <w:uiPriority w:val="39"/>
    <w:rsid w:val="00C949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5E58"/>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F3D9F"/>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5D5D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rsid w:val="00E24883"/>
    <w:rPr>
      <w:rFonts w:ascii="Arial" w:hAnsi="Arial"/>
      <w:b/>
      <w:iCs/>
      <w:color w:val="000000" w:themeColor="text1"/>
      <w:szCs w:val="18"/>
    </w:rPr>
  </w:style>
  <w:style w:type="character" w:customStyle="1" w:styleId="UnresolvedMention1">
    <w:name w:val="Unresolved Mention1"/>
    <w:basedOn w:val="DefaultParagraphFont"/>
    <w:uiPriority w:val="99"/>
    <w:semiHidden/>
    <w:unhideWhenUsed/>
    <w:rsid w:val="00671462"/>
    <w:rPr>
      <w:color w:val="808080"/>
      <w:shd w:val="clear" w:color="auto" w:fill="E6E6E6"/>
    </w:rPr>
  </w:style>
  <w:style w:type="table" w:customStyle="1" w:styleId="TableGrid4">
    <w:name w:val="Table Grid4"/>
    <w:basedOn w:val="TableNormal"/>
    <w:next w:val="TableGrid"/>
    <w:uiPriority w:val="39"/>
    <w:rsid w:val="00BD5EC0"/>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qFormat/>
    <w:rsid w:val="00DB028B"/>
    <w:pPr>
      <w:spacing w:after="60"/>
      <w:contextualSpacing/>
    </w:pPr>
    <w:rPr>
      <w:rFonts w:ascii="Arial Narrow" w:hAnsi="Arial Narrow"/>
      <w:sz w:val="18"/>
      <w:szCs w:val="20"/>
      <w:lang w:val="en-GB"/>
    </w:rPr>
  </w:style>
  <w:style w:type="character" w:customStyle="1" w:styleId="TableNotesChar">
    <w:name w:val="TableNotes Char"/>
    <w:basedOn w:val="DefaultParagraphFont"/>
    <w:link w:val="TableNotes"/>
    <w:rsid w:val="00DB028B"/>
    <w:rPr>
      <w:rFonts w:ascii="Arial Narrow" w:hAnsi="Arial Narrow" w:cs="Arial"/>
      <w:snapToGrid w:val="0"/>
      <w:sz w:val="18"/>
      <w:lang w:val="en-GB" w:eastAsia="en-US"/>
    </w:rPr>
  </w:style>
  <w:style w:type="paragraph" w:customStyle="1" w:styleId="TableHeading0">
    <w:name w:val="Table Heading"/>
    <w:basedOn w:val="Normal"/>
    <w:qFormat/>
    <w:rsid w:val="008119AC"/>
    <w:pPr>
      <w:keepNext/>
      <w:widowControl/>
      <w:spacing w:after="60"/>
      <w:jc w:val="left"/>
    </w:pPr>
    <w:rPr>
      <w:rFonts w:ascii="Arial Narrow" w:eastAsiaTheme="minorHAnsi" w:hAnsi="Arial Narrow" w:cstheme="minorBidi"/>
      <w:b/>
      <w:snapToGrid/>
      <w:sz w:val="20"/>
    </w:rPr>
  </w:style>
  <w:style w:type="numbering" w:customStyle="1" w:styleId="NoList1">
    <w:name w:val="No List1"/>
    <w:next w:val="NoList"/>
    <w:uiPriority w:val="99"/>
    <w:semiHidden/>
    <w:unhideWhenUsed/>
    <w:rsid w:val="008119AC"/>
  </w:style>
  <w:style w:type="table" w:customStyle="1" w:styleId="CMATableTemplate1">
    <w:name w:val="CMA Table Template1"/>
    <w:basedOn w:val="TableNormal"/>
    <w:next w:val="TableGrid"/>
    <w:uiPriority w:val="59"/>
    <w:rsid w:val="0081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BF5"/>
    <w:rPr>
      <w:i/>
      <w:iCs/>
    </w:rPr>
  </w:style>
  <w:style w:type="character" w:styleId="Strong">
    <w:name w:val="Strong"/>
    <w:basedOn w:val="DefaultParagraphFont"/>
    <w:uiPriority w:val="22"/>
    <w:qFormat/>
    <w:rsid w:val="005C6BF5"/>
    <w:rPr>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2845"/>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234">
      <w:bodyDiv w:val="1"/>
      <w:marLeft w:val="0"/>
      <w:marRight w:val="0"/>
      <w:marTop w:val="0"/>
      <w:marBottom w:val="0"/>
      <w:divBdr>
        <w:top w:val="none" w:sz="0" w:space="0" w:color="auto"/>
        <w:left w:val="none" w:sz="0" w:space="0" w:color="auto"/>
        <w:bottom w:val="none" w:sz="0" w:space="0" w:color="auto"/>
        <w:right w:val="none" w:sz="0" w:space="0" w:color="auto"/>
      </w:divBdr>
    </w:div>
    <w:div w:id="181482980">
      <w:bodyDiv w:val="1"/>
      <w:marLeft w:val="0"/>
      <w:marRight w:val="0"/>
      <w:marTop w:val="0"/>
      <w:marBottom w:val="0"/>
      <w:divBdr>
        <w:top w:val="none" w:sz="0" w:space="0" w:color="auto"/>
        <w:left w:val="none" w:sz="0" w:space="0" w:color="auto"/>
        <w:bottom w:val="none" w:sz="0" w:space="0" w:color="auto"/>
        <w:right w:val="none" w:sz="0" w:space="0" w:color="auto"/>
      </w:divBdr>
    </w:div>
    <w:div w:id="377750366">
      <w:bodyDiv w:val="1"/>
      <w:marLeft w:val="0"/>
      <w:marRight w:val="0"/>
      <w:marTop w:val="0"/>
      <w:marBottom w:val="0"/>
      <w:divBdr>
        <w:top w:val="none" w:sz="0" w:space="0" w:color="auto"/>
        <w:left w:val="none" w:sz="0" w:space="0" w:color="auto"/>
        <w:bottom w:val="none" w:sz="0" w:space="0" w:color="auto"/>
        <w:right w:val="none" w:sz="0" w:space="0" w:color="auto"/>
      </w:divBdr>
    </w:div>
    <w:div w:id="450443559">
      <w:bodyDiv w:val="1"/>
      <w:marLeft w:val="0"/>
      <w:marRight w:val="0"/>
      <w:marTop w:val="0"/>
      <w:marBottom w:val="0"/>
      <w:divBdr>
        <w:top w:val="none" w:sz="0" w:space="0" w:color="auto"/>
        <w:left w:val="none" w:sz="0" w:space="0" w:color="auto"/>
        <w:bottom w:val="none" w:sz="0" w:space="0" w:color="auto"/>
        <w:right w:val="none" w:sz="0" w:space="0" w:color="auto"/>
      </w:divBdr>
    </w:div>
    <w:div w:id="532965807">
      <w:bodyDiv w:val="1"/>
      <w:marLeft w:val="0"/>
      <w:marRight w:val="0"/>
      <w:marTop w:val="0"/>
      <w:marBottom w:val="0"/>
      <w:divBdr>
        <w:top w:val="none" w:sz="0" w:space="0" w:color="auto"/>
        <w:left w:val="none" w:sz="0" w:space="0" w:color="auto"/>
        <w:bottom w:val="none" w:sz="0" w:space="0" w:color="auto"/>
        <w:right w:val="none" w:sz="0" w:space="0" w:color="auto"/>
      </w:divBdr>
    </w:div>
    <w:div w:id="575475272">
      <w:bodyDiv w:val="1"/>
      <w:marLeft w:val="0"/>
      <w:marRight w:val="0"/>
      <w:marTop w:val="0"/>
      <w:marBottom w:val="0"/>
      <w:divBdr>
        <w:top w:val="none" w:sz="0" w:space="0" w:color="auto"/>
        <w:left w:val="none" w:sz="0" w:space="0" w:color="auto"/>
        <w:bottom w:val="none" w:sz="0" w:space="0" w:color="auto"/>
        <w:right w:val="none" w:sz="0" w:space="0" w:color="auto"/>
      </w:divBdr>
    </w:div>
    <w:div w:id="596523807">
      <w:bodyDiv w:val="1"/>
      <w:marLeft w:val="0"/>
      <w:marRight w:val="0"/>
      <w:marTop w:val="0"/>
      <w:marBottom w:val="0"/>
      <w:divBdr>
        <w:top w:val="none" w:sz="0" w:space="0" w:color="auto"/>
        <w:left w:val="none" w:sz="0" w:space="0" w:color="auto"/>
        <w:bottom w:val="none" w:sz="0" w:space="0" w:color="auto"/>
        <w:right w:val="none" w:sz="0" w:space="0" w:color="auto"/>
      </w:divBdr>
    </w:div>
    <w:div w:id="599144891">
      <w:bodyDiv w:val="1"/>
      <w:marLeft w:val="0"/>
      <w:marRight w:val="0"/>
      <w:marTop w:val="0"/>
      <w:marBottom w:val="0"/>
      <w:divBdr>
        <w:top w:val="none" w:sz="0" w:space="0" w:color="auto"/>
        <w:left w:val="none" w:sz="0" w:space="0" w:color="auto"/>
        <w:bottom w:val="none" w:sz="0" w:space="0" w:color="auto"/>
        <w:right w:val="none" w:sz="0" w:space="0" w:color="auto"/>
      </w:divBdr>
    </w:div>
    <w:div w:id="636760692">
      <w:bodyDiv w:val="1"/>
      <w:marLeft w:val="0"/>
      <w:marRight w:val="0"/>
      <w:marTop w:val="0"/>
      <w:marBottom w:val="0"/>
      <w:divBdr>
        <w:top w:val="none" w:sz="0" w:space="0" w:color="auto"/>
        <w:left w:val="none" w:sz="0" w:space="0" w:color="auto"/>
        <w:bottom w:val="none" w:sz="0" w:space="0" w:color="auto"/>
        <w:right w:val="none" w:sz="0" w:space="0" w:color="auto"/>
      </w:divBdr>
    </w:div>
    <w:div w:id="796528139">
      <w:bodyDiv w:val="1"/>
      <w:marLeft w:val="0"/>
      <w:marRight w:val="0"/>
      <w:marTop w:val="0"/>
      <w:marBottom w:val="0"/>
      <w:divBdr>
        <w:top w:val="none" w:sz="0" w:space="0" w:color="auto"/>
        <w:left w:val="none" w:sz="0" w:space="0" w:color="auto"/>
        <w:bottom w:val="none" w:sz="0" w:space="0" w:color="auto"/>
        <w:right w:val="none" w:sz="0" w:space="0" w:color="auto"/>
      </w:divBdr>
      <w:divsChild>
        <w:div w:id="652443306">
          <w:marLeft w:val="547"/>
          <w:marRight w:val="0"/>
          <w:marTop w:val="0"/>
          <w:marBottom w:val="0"/>
          <w:divBdr>
            <w:top w:val="none" w:sz="0" w:space="0" w:color="auto"/>
            <w:left w:val="none" w:sz="0" w:space="0" w:color="auto"/>
            <w:bottom w:val="none" w:sz="0" w:space="0" w:color="auto"/>
            <w:right w:val="none" w:sz="0" w:space="0" w:color="auto"/>
          </w:divBdr>
        </w:div>
        <w:div w:id="1254240161">
          <w:marLeft w:val="547"/>
          <w:marRight w:val="0"/>
          <w:marTop w:val="0"/>
          <w:marBottom w:val="0"/>
          <w:divBdr>
            <w:top w:val="none" w:sz="0" w:space="0" w:color="auto"/>
            <w:left w:val="none" w:sz="0" w:space="0" w:color="auto"/>
            <w:bottom w:val="none" w:sz="0" w:space="0" w:color="auto"/>
            <w:right w:val="none" w:sz="0" w:space="0" w:color="auto"/>
          </w:divBdr>
        </w:div>
        <w:div w:id="1793789637">
          <w:marLeft w:val="547"/>
          <w:marRight w:val="0"/>
          <w:marTop w:val="0"/>
          <w:marBottom w:val="0"/>
          <w:divBdr>
            <w:top w:val="none" w:sz="0" w:space="0" w:color="auto"/>
            <w:left w:val="none" w:sz="0" w:space="0" w:color="auto"/>
            <w:bottom w:val="none" w:sz="0" w:space="0" w:color="auto"/>
            <w:right w:val="none" w:sz="0" w:space="0" w:color="auto"/>
          </w:divBdr>
        </w:div>
      </w:divsChild>
    </w:div>
    <w:div w:id="832257190">
      <w:bodyDiv w:val="1"/>
      <w:marLeft w:val="0"/>
      <w:marRight w:val="0"/>
      <w:marTop w:val="0"/>
      <w:marBottom w:val="0"/>
      <w:divBdr>
        <w:top w:val="none" w:sz="0" w:space="0" w:color="auto"/>
        <w:left w:val="none" w:sz="0" w:space="0" w:color="auto"/>
        <w:bottom w:val="none" w:sz="0" w:space="0" w:color="auto"/>
        <w:right w:val="none" w:sz="0" w:space="0" w:color="auto"/>
      </w:divBdr>
    </w:div>
    <w:div w:id="915094103">
      <w:bodyDiv w:val="1"/>
      <w:marLeft w:val="0"/>
      <w:marRight w:val="0"/>
      <w:marTop w:val="0"/>
      <w:marBottom w:val="0"/>
      <w:divBdr>
        <w:top w:val="none" w:sz="0" w:space="0" w:color="auto"/>
        <w:left w:val="none" w:sz="0" w:space="0" w:color="auto"/>
        <w:bottom w:val="none" w:sz="0" w:space="0" w:color="auto"/>
        <w:right w:val="none" w:sz="0" w:space="0" w:color="auto"/>
      </w:divBdr>
    </w:div>
    <w:div w:id="1175992794">
      <w:bodyDiv w:val="1"/>
      <w:marLeft w:val="0"/>
      <w:marRight w:val="0"/>
      <w:marTop w:val="0"/>
      <w:marBottom w:val="0"/>
      <w:divBdr>
        <w:top w:val="none" w:sz="0" w:space="0" w:color="auto"/>
        <w:left w:val="none" w:sz="0" w:space="0" w:color="auto"/>
        <w:bottom w:val="none" w:sz="0" w:space="0" w:color="auto"/>
        <w:right w:val="none" w:sz="0" w:space="0" w:color="auto"/>
      </w:divBdr>
    </w:div>
    <w:div w:id="1178732269">
      <w:bodyDiv w:val="1"/>
      <w:marLeft w:val="0"/>
      <w:marRight w:val="0"/>
      <w:marTop w:val="0"/>
      <w:marBottom w:val="0"/>
      <w:divBdr>
        <w:top w:val="none" w:sz="0" w:space="0" w:color="auto"/>
        <w:left w:val="none" w:sz="0" w:space="0" w:color="auto"/>
        <w:bottom w:val="none" w:sz="0" w:space="0" w:color="auto"/>
        <w:right w:val="none" w:sz="0" w:space="0" w:color="auto"/>
      </w:divBdr>
    </w:div>
    <w:div w:id="1190679847">
      <w:bodyDiv w:val="1"/>
      <w:marLeft w:val="0"/>
      <w:marRight w:val="0"/>
      <w:marTop w:val="0"/>
      <w:marBottom w:val="0"/>
      <w:divBdr>
        <w:top w:val="none" w:sz="0" w:space="0" w:color="auto"/>
        <w:left w:val="none" w:sz="0" w:space="0" w:color="auto"/>
        <w:bottom w:val="none" w:sz="0" w:space="0" w:color="auto"/>
        <w:right w:val="none" w:sz="0" w:space="0" w:color="auto"/>
      </w:divBdr>
    </w:div>
    <w:div w:id="1282227852">
      <w:bodyDiv w:val="1"/>
      <w:marLeft w:val="0"/>
      <w:marRight w:val="0"/>
      <w:marTop w:val="0"/>
      <w:marBottom w:val="0"/>
      <w:divBdr>
        <w:top w:val="none" w:sz="0" w:space="0" w:color="auto"/>
        <w:left w:val="none" w:sz="0" w:space="0" w:color="auto"/>
        <w:bottom w:val="none" w:sz="0" w:space="0" w:color="auto"/>
        <w:right w:val="none" w:sz="0" w:space="0" w:color="auto"/>
      </w:divBdr>
    </w:div>
    <w:div w:id="1361515107">
      <w:bodyDiv w:val="1"/>
      <w:marLeft w:val="0"/>
      <w:marRight w:val="0"/>
      <w:marTop w:val="0"/>
      <w:marBottom w:val="0"/>
      <w:divBdr>
        <w:top w:val="none" w:sz="0" w:space="0" w:color="auto"/>
        <w:left w:val="none" w:sz="0" w:space="0" w:color="auto"/>
        <w:bottom w:val="none" w:sz="0" w:space="0" w:color="auto"/>
        <w:right w:val="none" w:sz="0" w:space="0" w:color="auto"/>
      </w:divBdr>
    </w:div>
    <w:div w:id="1381906603">
      <w:bodyDiv w:val="1"/>
      <w:marLeft w:val="0"/>
      <w:marRight w:val="0"/>
      <w:marTop w:val="0"/>
      <w:marBottom w:val="0"/>
      <w:divBdr>
        <w:top w:val="none" w:sz="0" w:space="0" w:color="auto"/>
        <w:left w:val="none" w:sz="0" w:space="0" w:color="auto"/>
        <w:bottom w:val="none" w:sz="0" w:space="0" w:color="auto"/>
        <w:right w:val="none" w:sz="0" w:space="0" w:color="auto"/>
      </w:divBdr>
    </w:div>
    <w:div w:id="1391341791">
      <w:bodyDiv w:val="1"/>
      <w:marLeft w:val="0"/>
      <w:marRight w:val="0"/>
      <w:marTop w:val="0"/>
      <w:marBottom w:val="0"/>
      <w:divBdr>
        <w:top w:val="none" w:sz="0" w:space="0" w:color="auto"/>
        <w:left w:val="none" w:sz="0" w:space="0" w:color="auto"/>
        <w:bottom w:val="none" w:sz="0" w:space="0" w:color="auto"/>
        <w:right w:val="none" w:sz="0" w:space="0" w:color="auto"/>
      </w:divBdr>
    </w:div>
    <w:div w:id="1409305307">
      <w:bodyDiv w:val="1"/>
      <w:marLeft w:val="0"/>
      <w:marRight w:val="0"/>
      <w:marTop w:val="0"/>
      <w:marBottom w:val="0"/>
      <w:divBdr>
        <w:top w:val="none" w:sz="0" w:space="0" w:color="auto"/>
        <w:left w:val="none" w:sz="0" w:space="0" w:color="auto"/>
        <w:bottom w:val="none" w:sz="0" w:space="0" w:color="auto"/>
        <w:right w:val="none" w:sz="0" w:space="0" w:color="auto"/>
      </w:divBdr>
    </w:div>
    <w:div w:id="1447773700">
      <w:bodyDiv w:val="1"/>
      <w:marLeft w:val="0"/>
      <w:marRight w:val="0"/>
      <w:marTop w:val="0"/>
      <w:marBottom w:val="0"/>
      <w:divBdr>
        <w:top w:val="none" w:sz="0" w:space="0" w:color="auto"/>
        <w:left w:val="none" w:sz="0" w:space="0" w:color="auto"/>
        <w:bottom w:val="none" w:sz="0" w:space="0" w:color="auto"/>
        <w:right w:val="none" w:sz="0" w:space="0" w:color="auto"/>
      </w:divBdr>
    </w:div>
    <w:div w:id="1511943959">
      <w:bodyDiv w:val="1"/>
      <w:marLeft w:val="0"/>
      <w:marRight w:val="0"/>
      <w:marTop w:val="0"/>
      <w:marBottom w:val="0"/>
      <w:divBdr>
        <w:top w:val="none" w:sz="0" w:space="0" w:color="auto"/>
        <w:left w:val="none" w:sz="0" w:space="0" w:color="auto"/>
        <w:bottom w:val="none" w:sz="0" w:space="0" w:color="auto"/>
        <w:right w:val="none" w:sz="0" w:space="0" w:color="auto"/>
      </w:divBdr>
    </w:div>
    <w:div w:id="1595552996">
      <w:bodyDiv w:val="1"/>
      <w:marLeft w:val="0"/>
      <w:marRight w:val="0"/>
      <w:marTop w:val="0"/>
      <w:marBottom w:val="0"/>
      <w:divBdr>
        <w:top w:val="none" w:sz="0" w:space="0" w:color="auto"/>
        <w:left w:val="none" w:sz="0" w:space="0" w:color="auto"/>
        <w:bottom w:val="none" w:sz="0" w:space="0" w:color="auto"/>
        <w:right w:val="none" w:sz="0" w:space="0" w:color="auto"/>
      </w:divBdr>
    </w:div>
    <w:div w:id="1732772719">
      <w:bodyDiv w:val="1"/>
      <w:marLeft w:val="0"/>
      <w:marRight w:val="0"/>
      <w:marTop w:val="0"/>
      <w:marBottom w:val="0"/>
      <w:divBdr>
        <w:top w:val="none" w:sz="0" w:space="0" w:color="auto"/>
        <w:left w:val="none" w:sz="0" w:space="0" w:color="auto"/>
        <w:bottom w:val="none" w:sz="0" w:space="0" w:color="auto"/>
        <w:right w:val="none" w:sz="0" w:space="0" w:color="auto"/>
      </w:divBdr>
    </w:div>
    <w:div w:id="1749886167">
      <w:bodyDiv w:val="1"/>
      <w:marLeft w:val="0"/>
      <w:marRight w:val="0"/>
      <w:marTop w:val="0"/>
      <w:marBottom w:val="0"/>
      <w:divBdr>
        <w:top w:val="none" w:sz="0" w:space="0" w:color="auto"/>
        <w:left w:val="none" w:sz="0" w:space="0" w:color="auto"/>
        <w:bottom w:val="none" w:sz="0" w:space="0" w:color="auto"/>
        <w:right w:val="none" w:sz="0" w:space="0" w:color="auto"/>
      </w:divBdr>
    </w:div>
    <w:div w:id="1766338109">
      <w:bodyDiv w:val="1"/>
      <w:marLeft w:val="0"/>
      <w:marRight w:val="0"/>
      <w:marTop w:val="0"/>
      <w:marBottom w:val="0"/>
      <w:divBdr>
        <w:top w:val="none" w:sz="0" w:space="0" w:color="auto"/>
        <w:left w:val="none" w:sz="0" w:space="0" w:color="auto"/>
        <w:bottom w:val="none" w:sz="0" w:space="0" w:color="auto"/>
        <w:right w:val="none" w:sz="0" w:space="0" w:color="auto"/>
      </w:divBdr>
    </w:div>
    <w:div w:id="1816218187">
      <w:bodyDiv w:val="1"/>
      <w:marLeft w:val="0"/>
      <w:marRight w:val="0"/>
      <w:marTop w:val="0"/>
      <w:marBottom w:val="0"/>
      <w:divBdr>
        <w:top w:val="none" w:sz="0" w:space="0" w:color="auto"/>
        <w:left w:val="none" w:sz="0" w:space="0" w:color="auto"/>
        <w:bottom w:val="none" w:sz="0" w:space="0" w:color="auto"/>
        <w:right w:val="none" w:sz="0" w:space="0" w:color="auto"/>
      </w:divBdr>
    </w:div>
    <w:div w:id="1826511097">
      <w:bodyDiv w:val="1"/>
      <w:marLeft w:val="0"/>
      <w:marRight w:val="0"/>
      <w:marTop w:val="0"/>
      <w:marBottom w:val="0"/>
      <w:divBdr>
        <w:top w:val="none" w:sz="0" w:space="0" w:color="auto"/>
        <w:left w:val="none" w:sz="0" w:space="0" w:color="auto"/>
        <w:bottom w:val="none" w:sz="0" w:space="0" w:color="auto"/>
        <w:right w:val="none" w:sz="0" w:space="0" w:color="auto"/>
      </w:divBdr>
    </w:div>
    <w:div w:id="1933854532">
      <w:bodyDiv w:val="1"/>
      <w:marLeft w:val="0"/>
      <w:marRight w:val="0"/>
      <w:marTop w:val="0"/>
      <w:marBottom w:val="0"/>
      <w:divBdr>
        <w:top w:val="none" w:sz="0" w:space="0" w:color="auto"/>
        <w:left w:val="none" w:sz="0" w:space="0" w:color="auto"/>
        <w:bottom w:val="none" w:sz="0" w:space="0" w:color="auto"/>
        <w:right w:val="none" w:sz="0" w:space="0" w:color="auto"/>
      </w:divBdr>
    </w:div>
    <w:div w:id="20336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FDF7-621A-44AB-B637-CDBBBAE7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20978</Words>
  <Characters>119581</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2018-06-19T05:00:00Z</dcterms:created>
  <dcterms:modified xsi:type="dcterms:W3CDTF">2018-06-19T05:02:00Z</dcterms:modified>
</cp:coreProperties>
</file>