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3C4" w:rsidRPr="000622B1" w:rsidRDefault="00C4479F" w:rsidP="008A670B">
      <w:pPr>
        <w:widowControl/>
        <w:spacing w:line="276" w:lineRule="auto"/>
        <w:ind w:left="720" w:hanging="720"/>
        <w:jc w:val="left"/>
        <w:outlineLvl w:val="0"/>
        <w:rPr>
          <w:rFonts w:asciiTheme="minorHAnsi" w:hAnsiTheme="minorHAnsi" w:cs="Times New Roman"/>
          <w:b/>
          <w:snapToGrid/>
          <w:sz w:val="28"/>
          <w:szCs w:val="28"/>
          <w:lang w:eastAsia="en-AU"/>
        </w:rPr>
      </w:pPr>
      <w:bookmarkStart w:id="0" w:name="_Toc440980439"/>
      <w:bookmarkStart w:id="1" w:name="_GoBack"/>
      <w:bookmarkEnd w:id="1"/>
      <w:r w:rsidRPr="000622B1">
        <w:rPr>
          <w:rFonts w:asciiTheme="minorHAnsi" w:hAnsiTheme="minorHAnsi" w:cs="Times New Roman"/>
          <w:b/>
          <w:snapToGrid/>
          <w:sz w:val="28"/>
          <w:szCs w:val="28"/>
          <w:lang w:eastAsia="en-AU"/>
        </w:rPr>
        <w:t>11.04</w:t>
      </w:r>
      <w:r w:rsidR="0070025E" w:rsidRPr="000622B1">
        <w:rPr>
          <w:rFonts w:asciiTheme="minorHAnsi" w:hAnsiTheme="minorHAnsi" w:cs="Times New Roman"/>
          <w:b/>
          <w:snapToGrid/>
          <w:sz w:val="28"/>
          <w:szCs w:val="28"/>
          <w:lang w:eastAsia="en-AU"/>
        </w:rPr>
        <w:t xml:space="preserve"> </w:t>
      </w:r>
      <w:r w:rsidR="005C6F60" w:rsidRPr="000622B1">
        <w:rPr>
          <w:rFonts w:asciiTheme="minorHAnsi" w:hAnsiTheme="minorHAnsi" w:cs="Times New Roman"/>
          <w:b/>
          <w:snapToGrid/>
          <w:sz w:val="28"/>
          <w:szCs w:val="28"/>
          <w:lang w:eastAsia="en-AU"/>
        </w:rPr>
        <w:t xml:space="preserve">Considering </w:t>
      </w:r>
      <w:r w:rsidR="00FF0618" w:rsidRPr="000622B1">
        <w:rPr>
          <w:rFonts w:asciiTheme="minorHAnsi" w:hAnsiTheme="minorHAnsi" w:cs="Times New Roman"/>
          <w:b/>
          <w:snapToGrid/>
          <w:sz w:val="28"/>
          <w:szCs w:val="28"/>
          <w:lang w:eastAsia="en-AU"/>
        </w:rPr>
        <w:t>brand equivalence/substitution for</w:t>
      </w:r>
      <w:r w:rsidR="0070025E" w:rsidRPr="000622B1">
        <w:rPr>
          <w:rFonts w:asciiTheme="minorHAnsi" w:hAnsiTheme="minorHAnsi" w:cs="Times New Roman"/>
          <w:b/>
          <w:snapToGrid/>
          <w:sz w:val="28"/>
          <w:szCs w:val="28"/>
          <w:lang w:eastAsia="en-AU"/>
        </w:rPr>
        <w:t xml:space="preserve"> biosimilar </w:t>
      </w:r>
      <w:r w:rsidR="00FA2B2A" w:rsidRPr="000622B1">
        <w:rPr>
          <w:rFonts w:asciiTheme="minorHAnsi" w:hAnsiTheme="minorHAnsi" w:cs="Times New Roman"/>
          <w:b/>
          <w:snapToGrid/>
          <w:sz w:val="28"/>
          <w:szCs w:val="28"/>
          <w:lang w:eastAsia="en-AU"/>
        </w:rPr>
        <w:t>medicines</w:t>
      </w:r>
    </w:p>
    <w:p w:rsidR="00A013C4" w:rsidRPr="000622B1" w:rsidRDefault="00A013C4" w:rsidP="0070025E">
      <w:pPr>
        <w:widowControl/>
        <w:spacing w:line="276" w:lineRule="auto"/>
        <w:ind w:left="720" w:hanging="720"/>
        <w:jc w:val="left"/>
        <w:rPr>
          <w:rFonts w:asciiTheme="minorHAnsi" w:hAnsiTheme="minorHAnsi" w:cs="Times New Roman"/>
          <w:b/>
          <w:snapToGrid/>
          <w:sz w:val="28"/>
          <w:szCs w:val="28"/>
          <w:lang w:eastAsia="en-AU"/>
        </w:rPr>
      </w:pPr>
    </w:p>
    <w:p w:rsidR="00A013C4" w:rsidRPr="00BE7774" w:rsidRDefault="00A013C4" w:rsidP="00400CFC">
      <w:pPr>
        <w:pStyle w:val="PBACheading1"/>
        <w:rPr>
          <w:rFonts w:asciiTheme="minorHAnsi" w:hAnsiTheme="minorHAnsi"/>
          <w:sz w:val="24"/>
          <w:szCs w:val="24"/>
        </w:rPr>
      </w:pPr>
      <w:r w:rsidRPr="00BE7774">
        <w:rPr>
          <w:rFonts w:asciiTheme="minorHAnsi" w:hAnsiTheme="minorHAnsi"/>
          <w:sz w:val="24"/>
          <w:szCs w:val="24"/>
        </w:rPr>
        <w:t xml:space="preserve">Purpose of </w:t>
      </w:r>
      <w:bookmarkEnd w:id="0"/>
      <w:r w:rsidRPr="00BE7774">
        <w:rPr>
          <w:rFonts w:asciiTheme="minorHAnsi" w:hAnsiTheme="minorHAnsi"/>
          <w:sz w:val="24"/>
          <w:szCs w:val="24"/>
        </w:rPr>
        <w:t>Item</w:t>
      </w:r>
    </w:p>
    <w:p w:rsidR="00A013C4" w:rsidRPr="000622B1" w:rsidRDefault="00A013C4" w:rsidP="00400CFC">
      <w:pPr>
        <w:rPr>
          <w:rFonts w:asciiTheme="minorHAnsi" w:hAnsiTheme="minorHAnsi"/>
          <w:szCs w:val="22"/>
        </w:rPr>
      </w:pPr>
    </w:p>
    <w:p w:rsidR="00EF7961" w:rsidRPr="000622B1" w:rsidRDefault="00F835E6" w:rsidP="00AF507B">
      <w:pPr>
        <w:pStyle w:val="ListParagraph"/>
        <w:widowControl/>
        <w:numPr>
          <w:ilvl w:val="1"/>
          <w:numId w:val="20"/>
        </w:numPr>
        <w:spacing w:after="120"/>
        <w:contextualSpacing w:val="0"/>
        <w:rPr>
          <w:rFonts w:asciiTheme="minorHAnsi" w:eastAsiaTheme="minorHAnsi" w:hAnsiTheme="minorHAnsi" w:cstheme="minorBidi"/>
          <w:snapToGrid/>
          <w:sz w:val="24"/>
          <w:szCs w:val="22"/>
        </w:rPr>
      </w:pPr>
      <w:r w:rsidRPr="000622B1">
        <w:rPr>
          <w:rFonts w:asciiTheme="minorHAnsi" w:eastAsiaTheme="minorHAnsi" w:hAnsiTheme="minorHAnsi" w:cstheme="minorBidi"/>
          <w:snapToGrid/>
          <w:sz w:val="24"/>
          <w:szCs w:val="22"/>
        </w:rPr>
        <w:t xml:space="preserve">The PBAC </w:t>
      </w:r>
      <w:r w:rsidR="00D856BC" w:rsidRPr="000622B1">
        <w:rPr>
          <w:rFonts w:asciiTheme="minorHAnsi" w:eastAsiaTheme="minorHAnsi" w:hAnsiTheme="minorHAnsi" w:cstheme="minorBidi"/>
          <w:snapToGrid/>
          <w:sz w:val="24"/>
          <w:szCs w:val="22"/>
        </w:rPr>
        <w:t>was</w:t>
      </w:r>
      <w:r w:rsidRPr="000622B1">
        <w:rPr>
          <w:rFonts w:asciiTheme="minorHAnsi" w:eastAsiaTheme="minorHAnsi" w:hAnsiTheme="minorHAnsi" w:cstheme="minorBidi"/>
          <w:snapToGrid/>
          <w:sz w:val="24"/>
          <w:szCs w:val="22"/>
        </w:rPr>
        <w:t xml:space="preserve"> requested to consider</w:t>
      </w:r>
      <w:r w:rsidR="00EF7961" w:rsidRPr="000622B1">
        <w:rPr>
          <w:rFonts w:asciiTheme="minorHAnsi" w:eastAsiaTheme="minorHAnsi" w:hAnsiTheme="minorHAnsi" w:cstheme="minorBidi"/>
          <w:snapToGrid/>
          <w:sz w:val="24"/>
          <w:szCs w:val="22"/>
        </w:rPr>
        <w:t>;</w:t>
      </w:r>
    </w:p>
    <w:p w:rsidR="00E12436" w:rsidRPr="000622B1" w:rsidRDefault="00E12436" w:rsidP="00E12436">
      <w:pPr>
        <w:pStyle w:val="ListParagraph"/>
        <w:widowControl/>
        <w:numPr>
          <w:ilvl w:val="0"/>
          <w:numId w:val="43"/>
        </w:numPr>
        <w:spacing w:after="120"/>
        <w:contextualSpacing w:val="0"/>
        <w:rPr>
          <w:rFonts w:asciiTheme="minorHAnsi" w:eastAsiaTheme="minorHAnsi" w:hAnsiTheme="minorHAnsi" w:cstheme="minorBidi"/>
          <w:snapToGrid/>
          <w:sz w:val="24"/>
          <w:szCs w:val="22"/>
        </w:rPr>
      </w:pPr>
      <w:r w:rsidRPr="000622B1">
        <w:rPr>
          <w:rFonts w:asciiTheme="minorHAnsi" w:eastAsiaTheme="minorHAnsi" w:hAnsiTheme="minorHAnsi" w:cstheme="minorBidi"/>
          <w:snapToGrid/>
          <w:sz w:val="24"/>
          <w:szCs w:val="22"/>
        </w:rPr>
        <w:t>a revised approach to considering brand equivalence/substitution for biosimilar medicines; and</w:t>
      </w:r>
    </w:p>
    <w:p w:rsidR="00387E29" w:rsidRPr="000622B1" w:rsidRDefault="00387E29" w:rsidP="00AF507B">
      <w:pPr>
        <w:pStyle w:val="ListParagraph"/>
        <w:widowControl/>
        <w:numPr>
          <w:ilvl w:val="0"/>
          <w:numId w:val="43"/>
        </w:numPr>
        <w:spacing w:after="120"/>
        <w:contextualSpacing w:val="0"/>
        <w:rPr>
          <w:rFonts w:asciiTheme="minorHAnsi" w:eastAsiaTheme="minorHAnsi" w:hAnsiTheme="minorHAnsi" w:cstheme="minorBidi"/>
          <w:snapToGrid/>
          <w:sz w:val="24"/>
          <w:szCs w:val="22"/>
        </w:rPr>
      </w:pPr>
      <w:proofErr w:type="gramStart"/>
      <w:r w:rsidRPr="000622B1">
        <w:rPr>
          <w:rFonts w:asciiTheme="minorHAnsi" w:eastAsiaTheme="minorHAnsi" w:hAnsiTheme="minorHAnsi" w:cstheme="minorBidi"/>
          <w:snapToGrid/>
          <w:sz w:val="24"/>
          <w:szCs w:val="22"/>
        </w:rPr>
        <w:t>supporting</w:t>
      </w:r>
      <w:proofErr w:type="gramEnd"/>
      <w:r w:rsidRPr="000622B1">
        <w:rPr>
          <w:rFonts w:asciiTheme="minorHAnsi" w:eastAsiaTheme="minorHAnsi" w:hAnsiTheme="minorHAnsi" w:cstheme="minorBidi"/>
          <w:snapToGrid/>
          <w:sz w:val="24"/>
          <w:szCs w:val="22"/>
        </w:rPr>
        <w:t xml:space="preserve"> the Department to improve the efficient use of </w:t>
      </w:r>
      <w:r w:rsidR="00C97458" w:rsidRPr="000622B1">
        <w:rPr>
          <w:rFonts w:asciiTheme="minorHAnsi" w:eastAsiaTheme="minorHAnsi" w:hAnsiTheme="minorHAnsi" w:cstheme="minorBidi"/>
          <w:snapToGrid/>
          <w:sz w:val="24"/>
          <w:szCs w:val="22"/>
        </w:rPr>
        <w:t>health technology assessment (</w:t>
      </w:r>
      <w:r w:rsidRPr="000622B1">
        <w:rPr>
          <w:rFonts w:asciiTheme="minorHAnsi" w:eastAsiaTheme="minorHAnsi" w:hAnsiTheme="minorHAnsi" w:cstheme="minorBidi"/>
          <w:snapToGrid/>
          <w:sz w:val="24"/>
          <w:szCs w:val="22"/>
        </w:rPr>
        <w:t>HTA</w:t>
      </w:r>
      <w:r w:rsidR="00C97458" w:rsidRPr="000622B1">
        <w:rPr>
          <w:rFonts w:asciiTheme="minorHAnsi" w:eastAsiaTheme="minorHAnsi" w:hAnsiTheme="minorHAnsi" w:cstheme="minorBidi"/>
          <w:snapToGrid/>
          <w:sz w:val="24"/>
          <w:szCs w:val="22"/>
        </w:rPr>
        <w:t>)</w:t>
      </w:r>
      <w:r w:rsidRPr="000622B1">
        <w:rPr>
          <w:rFonts w:asciiTheme="minorHAnsi" w:eastAsiaTheme="minorHAnsi" w:hAnsiTheme="minorHAnsi" w:cstheme="minorBidi"/>
          <w:snapToGrid/>
          <w:sz w:val="24"/>
          <w:szCs w:val="22"/>
        </w:rPr>
        <w:t xml:space="preserve"> resources in deciding that biosimilar submissions not be lodged via the </w:t>
      </w:r>
      <w:r w:rsidR="00C97458" w:rsidRPr="000622B1">
        <w:rPr>
          <w:rFonts w:asciiTheme="minorHAnsi" w:hAnsiTheme="minorHAnsi"/>
          <w:szCs w:val="22"/>
        </w:rPr>
        <w:t>Therapeutic Goods Administration (</w:t>
      </w:r>
      <w:r w:rsidRPr="000622B1">
        <w:rPr>
          <w:rFonts w:asciiTheme="minorHAnsi" w:eastAsiaTheme="minorHAnsi" w:hAnsiTheme="minorHAnsi" w:cstheme="minorBidi"/>
          <w:snapToGrid/>
          <w:sz w:val="24"/>
          <w:szCs w:val="22"/>
        </w:rPr>
        <w:t>TGA</w:t>
      </w:r>
      <w:r w:rsidR="00C97458" w:rsidRPr="000622B1">
        <w:rPr>
          <w:rFonts w:asciiTheme="minorHAnsi" w:eastAsiaTheme="minorHAnsi" w:hAnsiTheme="minorHAnsi" w:cstheme="minorBidi"/>
          <w:snapToGrid/>
          <w:sz w:val="24"/>
          <w:szCs w:val="22"/>
        </w:rPr>
        <w:t>)</w:t>
      </w:r>
      <w:r w:rsidRPr="000622B1">
        <w:rPr>
          <w:rFonts w:asciiTheme="minorHAnsi" w:eastAsiaTheme="minorHAnsi" w:hAnsiTheme="minorHAnsi" w:cstheme="minorBidi"/>
          <w:snapToGrid/>
          <w:sz w:val="24"/>
          <w:szCs w:val="22"/>
        </w:rPr>
        <w:t>-PBAC parallel process</w:t>
      </w:r>
      <w:r w:rsidR="00E12436" w:rsidRPr="000622B1">
        <w:rPr>
          <w:rFonts w:asciiTheme="minorHAnsi" w:eastAsiaTheme="minorHAnsi" w:hAnsiTheme="minorHAnsi" w:cstheme="minorBidi"/>
          <w:snapToGrid/>
          <w:sz w:val="24"/>
          <w:szCs w:val="22"/>
        </w:rPr>
        <w:t>.</w:t>
      </w:r>
      <w:r w:rsidRPr="000622B1">
        <w:rPr>
          <w:rFonts w:asciiTheme="minorHAnsi" w:eastAsiaTheme="minorHAnsi" w:hAnsiTheme="minorHAnsi" w:cstheme="minorBidi"/>
          <w:snapToGrid/>
          <w:sz w:val="24"/>
          <w:szCs w:val="22"/>
        </w:rPr>
        <w:t xml:space="preserve"> </w:t>
      </w:r>
    </w:p>
    <w:p w:rsidR="00387E29" w:rsidRPr="000622B1" w:rsidRDefault="00AF507B" w:rsidP="00AF507B">
      <w:pPr>
        <w:pStyle w:val="NoSpacing"/>
        <w:spacing w:after="60"/>
        <w:rPr>
          <w:rFonts w:asciiTheme="minorHAnsi" w:hAnsiTheme="minorHAnsi"/>
          <w:b/>
          <w:sz w:val="20"/>
        </w:rPr>
      </w:pPr>
      <w:r w:rsidRPr="000622B1">
        <w:rPr>
          <w:rFonts w:asciiTheme="minorHAnsi" w:hAnsiTheme="minorHAnsi"/>
          <w:b/>
          <w:sz w:val="20"/>
        </w:rPr>
        <w:t xml:space="preserve">Table 1: Comparison of </w:t>
      </w:r>
      <w:r w:rsidR="005F7D85" w:rsidRPr="000622B1">
        <w:rPr>
          <w:rFonts w:asciiTheme="minorHAnsi" w:hAnsiTheme="minorHAnsi"/>
          <w:b/>
          <w:sz w:val="20"/>
        </w:rPr>
        <w:t xml:space="preserve">the </w:t>
      </w:r>
      <w:r w:rsidRPr="000622B1">
        <w:rPr>
          <w:rFonts w:asciiTheme="minorHAnsi" w:hAnsiTheme="minorHAnsi"/>
          <w:b/>
          <w:sz w:val="20"/>
        </w:rPr>
        <w:t>existing and proposed approach to considering brand equivalence</w:t>
      </w:r>
    </w:p>
    <w:tbl>
      <w:tblPr>
        <w:tblStyle w:val="TableGrid"/>
        <w:tblW w:w="5000" w:type="pct"/>
        <w:tblLook w:val="04A0" w:firstRow="1" w:lastRow="0" w:firstColumn="1" w:lastColumn="0" w:noHBand="0" w:noVBand="1"/>
      </w:tblPr>
      <w:tblGrid>
        <w:gridCol w:w="9242"/>
      </w:tblGrid>
      <w:tr w:rsidR="001522EC" w:rsidRPr="000622B1" w:rsidTr="001522EC">
        <w:tc>
          <w:tcPr>
            <w:tcW w:w="5000" w:type="pct"/>
          </w:tcPr>
          <w:p w:rsidR="001522EC" w:rsidRPr="000622B1" w:rsidRDefault="001522EC" w:rsidP="00AF507B">
            <w:pPr>
              <w:pStyle w:val="NoSpacing"/>
              <w:spacing w:before="40" w:after="40"/>
              <w:jc w:val="left"/>
              <w:rPr>
                <w:rFonts w:asciiTheme="minorHAnsi" w:hAnsiTheme="minorHAnsi"/>
                <w:b/>
              </w:rPr>
            </w:pPr>
            <w:r w:rsidRPr="000622B1">
              <w:rPr>
                <w:rFonts w:asciiTheme="minorHAnsi" w:hAnsiTheme="minorHAnsi"/>
                <w:b/>
              </w:rPr>
              <w:t>Existing</w:t>
            </w:r>
          </w:p>
        </w:tc>
      </w:tr>
      <w:tr w:rsidR="001522EC" w:rsidRPr="000622B1" w:rsidTr="001522EC">
        <w:trPr>
          <w:trHeight w:val="1576"/>
        </w:trPr>
        <w:tc>
          <w:tcPr>
            <w:tcW w:w="5000" w:type="pct"/>
          </w:tcPr>
          <w:p w:rsidR="001522EC" w:rsidRPr="000622B1" w:rsidRDefault="001522EC" w:rsidP="001522EC">
            <w:pPr>
              <w:pStyle w:val="ListParagraph"/>
              <w:keepNext/>
              <w:widowControl/>
              <w:numPr>
                <w:ilvl w:val="0"/>
                <w:numId w:val="45"/>
              </w:numPr>
              <w:jc w:val="left"/>
              <w:rPr>
                <w:rFonts w:asciiTheme="minorHAnsi" w:hAnsiTheme="minorHAnsi" w:cs="Times New Roman"/>
                <w:snapToGrid/>
                <w:szCs w:val="24"/>
              </w:rPr>
            </w:pPr>
            <w:r w:rsidRPr="000622B1">
              <w:rPr>
                <w:rFonts w:asciiTheme="minorHAnsi" w:hAnsiTheme="minorHAnsi" w:cs="Times New Roman"/>
                <w:snapToGrid/>
                <w:szCs w:val="24"/>
              </w:rPr>
              <w:t>Absence of data to suggest significant differences in clinical effectiveness or safety compared with the originator product</w:t>
            </w:r>
          </w:p>
          <w:p w:rsidR="001522EC" w:rsidRPr="000622B1" w:rsidRDefault="001522EC" w:rsidP="001522EC">
            <w:pPr>
              <w:pStyle w:val="ListParagraph"/>
              <w:keepNext/>
              <w:widowControl/>
              <w:numPr>
                <w:ilvl w:val="0"/>
                <w:numId w:val="45"/>
              </w:numPr>
              <w:jc w:val="left"/>
              <w:rPr>
                <w:rFonts w:asciiTheme="minorHAnsi" w:hAnsiTheme="minorHAnsi" w:cs="Times New Roman"/>
                <w:snapToGrid/>
                <w:szCs w:val="24"/>
              </w:rPr>
            </w:pPr>
            <w:r w:rsidRPr="000622B1">
              <w:rPr>
                <w:rFonts w:asciiTheme="minorHAnsi" w:hAnsiTheme="minorHAnsi" w:cs="Times New Roman"/>
                <w:snapToGrid/>
                <w:szCs w:val="24"/>
              </w:rPr>
              <w:t>Absence of identified populations where the risks of using the biosimilar product are disproportionately high</w:t>
            </w:r>
          </w:p>
          <w:p w:rsidR="001522EC" w:rsidRPr="000622B1" w:rsidRDefault="001522EC" w:rsidP="001522EC">
            <w:pPr>
              <w:pStyle w:val="ListParagraph"/>
              <w:keepNext/>
              <w:widowControl/>
              <w:numPr>
                <w:ilvl w:val="0"/>
                <w:numId w:val="45"/>
              </w:numPr>
              <w:jc w:val="left"/>
              <w:rPr>
                <w:rFonts w:asciiTheme="minorHAnsi" w:hAnsiTheme="minorHAnsi" w:cs="Times New Roman"/>
                <w:snapToGrid/>
                <w:szCs w:val="24"/>
              </w:rPr>
            </w:pPr>
            <w:r w:rsidRPr="000622B1">
              <w:rPr>
                <w:rFonts w:asciiTheme="minorHAnsi" w:hAnsiTheme="minorHAnsi" w:cs="Times New Roman"/>
                <w:snapToGrid/>
                <w:szCs w:val="24"/>
              </w:rPr>
              <w:t>Availability of data to support switching between the originator product and the biosimilar product</w:t>
            </w:r>
          </w:p>
          <w:p w:rsidR="001522EC" w:rsidRPr="000622B1" w:rsidRDefault="001522EC" w:rsidP="001522EC">
            <w:pPr>
              <w:pStyle w:val="ListParagraph"/>
              <w:keepNext/>
              <w:widowControl/>
              <w:numPr>
                <w:ilvl w:val="0"/>
                <w:numId w:val="45"/>
              </w:numPr>
              <w:jc w:val="left"/>
              <w:rPr>
                <w:rFonts w:asciiTheme="minorHAnsi" w:hAnsiTheme="minorHAnsi" w:cs="Times New Roman"/>
                <w:snapToGrid/>
                <w:szCs w:val="24"/>
              </w:rPr>
            </w:pPr>
            <w:r w:rsidRPr="000622B1">
              <w:rPr>
                <w:rFonts w:asciiTheme="minorHAnsi" w:hAnsiTheme="minorHAnsi" w:cs="Times New Roman"/>
                <w:snapToGrid/>
                <w:szCs w:val="24"/>
              </w:rPr>
              <w:t>Availability of data for treatment-naïve patients initiating on the biosimilar product</w:t>
            </w:r>
          </w:p>
          <w:p w:rsidR="001522EC" w:rsidRPr="000622B1" w:rsidRDefault="001522EC" w:rsidP="001522EC">
            <w:pPr>
              <w:pStyle w:val="ListParagraph"/>
              <w:keepNext/>
              <w:numPr>
                <w:ilvl w:val="0"/>
                <w:numId w:val="45"/>
              </w:numPr>
              <w:jc w:val="left"/>
              <w:rPr>
                <w:rFonts w:asciiTheme="minorHAnsi" w:hAnsiTheme="minorHAnsi" w:cs="Times New Roman"/>
                <w:snapToGrid/>
                <w:szCs w:val="24"/>
              </w:rPr>
            </w:pPr>
            <w:r w:rsidRPr="000622B1">
              <w:rPr>
                <w:rFonts w:asciiTheme="minorHAnsi" w:hAnsiTheme="minorHAnsi" w:cs="Times New Roman"/>
                <w:snapToGrid/>
                <w:szCs w:val="24"/>
              </w:rPr>
              <w:t>Whether the Therapeutic Goods Administration has deemed a product to be biosimilar with the originator product</w:t>
            </w:r>
          </w:p>
        </w:tc>
      </w:tr>
      <w:tr w:rsidR="001522EC" w:rsidRPr="000622B1" w:rsidTr="001522EC">
        <w:trPr>
          <w:trHeight w:val="381"/>
        </w:trPr>
        <w:tc>
          <w:tcPr>
            <w:tcW w:w="5000" w:type="pct"/>
          </w:tcPr>
          <w:p w:rsidR="001522EC" w:rsidRPr="000622B1" w:rsidRDefault="001522EC" w:rsidP="00704AC8">
            <w:pPr>
              <w:pStyle w:val="NoSpacing"/>
              <w:spacing w:before="40" w:after="40"/>
              <w:jc w:val="left"/>
              <w:rPr>
                <w:rFonts w:asciiTheme="minorHAnsi" w:hAnsiTheme="minorHAnsi"/>
                <w:b/>
              </w:rPr>
            </w:pPr>
            <w:r w:rsidRPr="000622B1">
              <w:rPr>
                <w:rFonts w:asciiTheme="minorHAnsi" w:hAnsiTheme="minorHAnsi"/>
                <w:b/>
              </w:rPr>
              <w:t>Proposed</w:t>
            </w:r>
          </w:p>
        </w:tc>
      </w:tr>
      <w:tr w:rsidR="001522EC" w:rsidRPr="000622B1" w:rsidTr="001522EC">
        <w:trPr>
          <w:trHeight w:val="1719"/>
        </w:trPr>
        <w:tc>
          <w:tcPr>
            <w:tcW w:w="5000" w:type="pct"/>
          </w:tcPr>
          <w:p w:rsidR="001522EC" w:rsidRPr="000622B1" w:rsidRDefault="001522EC" w:rsidP="001522EC">
            <w:pPr>
              <w:pStyle w:val="ListParagraph"/>
              <w:keepNext/>
              <w:widowControl/>
              <w:numPr>
                <w:ilvl w:val="0"/>
                <w:numId w:val="45"/>
              </w:numPr>
              <w:jc w:val="left"/>
              <w:rPr>
                <w:rFonts w:asciiTheme="minorHAnsi" w:hAnsiTheme="minorHAnsi" w:cs="Times New Roman"/>
                <w:snapToGrid/>
                <w:szCs w:val="24"/>
              </w:rPr>
            </w:pPr>
            <w:r w:rsidRPr="000622B1">
              <w:rPr>
                <w:rFonts w:asciiTheme="minorHAnsi" w:hAnsiTheme="minorHAnsi" w:cs="Times New Roman"/>
                <w:snapToGrid/>
                <w:szCs w:val="24"/>
              </w:rPr>
              <w:t>The Therapeutic Goods Administration has determined that the product is a biosimilar of the reference medicine as evidenced by ARTG registration documentation</w:t>
            </w:r>
          </w:p>
          <w:p w:rsidR="001522EC" w:rsidRPr="000622B1" w:rsidRDefault="001522EC" w:rsidP="001522EC">
            <w:pPr>
              <w:pStyle w:val="ListParagraph"/>
              <w:keepNext/>
              <w:widowControl/>
              <w:numPr>
                <w:ilvl w:val="0"/>
                <w:numId w:val="45"/>
              </w:numPr>
              <w:jc w:val="left"/>
              <w:rPr>
                <w:rFonts w:asciiTheme="minorHAnsi" w:hAnsiTheme="minorHAnsi" w:cs="Times New Roman"/>
                <w:snapToGrid/>
                <w:szCs w:val="24"/>
              </w:rPr>
            </w:pPr>
            <w:r w:rsidRPr="000622B1">
              <w:rPr>
                <w:rFonts w:asciiTheme="minorHAnsi" w:hAnsiTheme="minorHAnsi" w:cs="Times New Roman"/>
                <w:snapToGrid/>
                <w:szCs w:val="24"/>
              </w:rPr>
              <w:t>Availability of supportive data relating to the effects of switching between the reference product and the biosimilar product/s</w:t>
            </w:r>
          </w:p>
          <w:p w:rsidR="001522EC" w:rsidRPr="000622B1" w:rsidRDefault="001522EC" w:rsidP="001522EC">
            <w:pPr>
              <w:pStyle w:val="ListParagraph"/>
              <w:keepNext/>
              <w:widowControl/>
              <w:numPr>
                <w:ilvl w:val="0"/>
                <w:numId w:val="45"/>
              </w:numPr>
              <w:jc w:val="left"/>
              <w:rPr>
                <w:rFonts w:asciiTheme="minorHAnsi" w:hAnsiTheme="minorHAnsi" w:cs="Times New Roman"/>
                <w:snapToGrid/>
                <w:szCs w:val="24"/>
              </w:rPr>
            </w:pPr>
            <w:r w:rsidRPr="000622B1">
              <w:rPr>
                <w:rFonts w:asciiTheme="minorHAnsi" w:hAnsiTheme="minorHAnsi" w:cs="Times New Roman"/>
                <w:snapToGrid/>
                <w:szCs w:val="24"/>
              </w:rPr>
              <w:t>Practical considerations relating to substitution by the pharmacist at the point of dispensing. This includes strength of formulation, number of units per pack and maximum quantities between the brands, which may make substitution at the pharmacy level difficult from a practical perspective</w:t>
            </w:r>
          </w:p>
        </w:tc>
      </w:tr>
    </w:tbl>
    <w:p w:rsidR="00766A01" w:rsidRPr="000622B1" w:rsidRDefault="00766A01" w:rsidP="00387E29">
      <w:pPr>
        <w:rPr>
          <w:rFonts w:asciiTheme="minorHAnsi" w:hAnsiTheme="minorHAnsi"/>
        </w:rPr>
      </w:pPr>
    </w:p>
    <w:p w:rsidR="00A013C4" w:rsidRPr="00D00876" w:rsidRDefault="00A013C4" w:rsidP="00400CFC">
      <w:pPr>
        <w:pStyle w:val="PBACheading1"/>
        <w:rPr>
          <w:rFonts w:asciiTheme="minorHAnsi" w:hAnsiTheme="minorHAnsi"/>
          <w:sz w:val="24"/>
          <w:szCs w:val="24"/>
        </w:rPr>
      </w:pPr>
      <w:r w:rsidRPr="00D00876">
        <w:rPr>
          <w:rFonts w:asciiTheme="minorHAnsi" w:hAnsiTheme="minorHAnsi"/>
          <w:sz w:val="24"/>
          <w:szCs w:val="24"/>
        </w:rPr>
        <w:t>Background</w:t>
      </w:r>
      <w:r w:rsidR="001A163E" w:rsidRPr="00D00876">
        <w:rPr>
          <w:rFonts w:asciiTheme="minorHAnsi" w:hAnsiTheme="minorHAnsi"/>
          <w:sz w:val="24"/>
          <w:szCs w:val="24"/>
        </w:rPr>
        <w:t xml:space="preserve"> and Current Situation</w:t>
      </w:r>
    </w:p>
    <w:p w:rsidR="00FB0795" w:rsidRPr="000622B1" w:rsidRDefault="00FB0795" w:rsidP="007C0673">
      <w:pPr>
        <w:rPr>
          <w:rFonts w:asciiTheme="minorHAnsi" w:hAnsiTheme="minorHAnsi"/>
        </w:rPr>
      </w:pPr>
    </w:p>
    <w:p w:rsidR="00B4426E" w:rsidRPr="00492157" w:rsidRDefault="00B4426E" w:rsidP="00492157">
      <w:pPr>
        <w:pStyle w:val="ListParagraph"/>
        <w:widowControl/>
        <w:numPr>
          <w:ilvl w:val="1"/>
          <w:numId w:val="20"/>
        </w:numPr>
        <w:spacing w:after="120"/>
        <w:contextualSpacing w:val="0"/>
        <w:rPr>
          <w:rFonts w:asciiTheme="minorHAnsi" w:hAnsiTheme="minorHAnsi"/>
          <w:szCs w:val="22"/>
        </w:rPr>
      </w:pPr>
      <w:r w:rsidRPr="000622B1">
        <w:rPr>
          <w:rFonts w:asciiTheme="minorHAnsi" w:eastAsiaTheme="minorHAnsi" w:hAnsiTheme="minorHAnsi" w:cstheme="minorBidi"/>
          <w:snapToGrid/>
          <w:sz w:val="24"/>
          <w:szCs w:val="22"/>
        </w:rPr>
        <w:t>At the March 2015 meeting, the PBAC:</w:t>
      </w:r>
    </w:p>
    <w:p w:rsidR="00B4426E" w:rsidRPr="000622B1" w:rsidRDefault="00B4426E" w:rsidP="00400CFC">
      <w:pPr>
        <w:ind w:left="720"/>
        <w:rPr>
          <w:rFonts w:asciiTheme="minorHAnsi" w:hAnsiTheme="minorHAnsi"/>
          <w:sz w:val="24"/>
          <w:szCs w:val="24"/>
        </w:rPr>
      </w:pPr>
      <w:r w:rsidRPr="000622B1">
        <w:rPr>
          <w:rFonts w:asciiTheme="minorHAnsi" w:hAnsiTheme="minorHAnsi"/>
          <w:sz w:val="24"/>
          <w:szCs w:val="24"/>
        </w:rPr>
        <w:t>“indicated it would consider the marking of equivalent (i.e. ‘a’ flagging) in the Schedule of Pharmaceutical Benefits (the Schedule) of biosimilar medicines with their reference medicine on a case by case basis, taking into account the evidence presented in each submission to list a biosimilar medicine.”</w:t>
      </w:r>
      <w:r w:rsidRPr="000622B1" w:rsidDel="007C3DBE">
        <w:rPr>
          <w:rFonts w:asciiTheme="minorHAnsi" w:hAnsiTheme="minorHAnsi"/>
          <w:sz w:val="24"/>
          <w:szCs w:val="24"/>
        </w:rPr>
        <w:t xml:space="preserve"> </w:t>
      </w:r>
    </w:p>
    <w:p w:rsidR="00B4426E" w:rsidRPr="000622B1" w:rsidRDefault="00B4426E" w:rsidP="00400CFC">
      <w:pPr>
        <w:ind w:left="720"/>
        <w:rPr>
          <w:rFonts w:asciiTheme="minorHAnsi" w:hAnsiTheme="minorHAnsi"/>
          <w:szCs w:val="22"/>
        </w:rPr>
      </w:pPr>
    </w:p>
    <w:p w:rsidR="00B4426E" w:rsidRPr="000622B1" w:rsidRDefault="00B4426E" w:rsidP="00AF507B">
      <w:pPr>
        <w:pStyle w:val="ListParagraph"/>
        <w:widowControl/>
        <w:numPr>
          <w:ilvl w:val="1"/>
          <w:numId w:val="20"/>
        </w:numPr>
        <w:spacing w:after="120"/>
        <w:contextualSpacing w:val="0"/>
        <w:rPr>
          <w:rFonts w:asciiTheme="minorHAnsi" w:eastAsiaTheme="minorHAnsi" w:hAnsiTheme="minorHAnsi" w:cstheme="minorBidi"/>
          <w:snapToGrid/>
          <w:sz w:val="24"/>
          <w:szCs w:val="22"/>
        </w:rPr>
      </w:pPr>
      <w:r w:rsidRPr="000622B1">
        <w:rPr>
          <w:rFonts w:asciiTheme="minorHAnsi" w:eastAsiaTheme="minorHAnsi" w:hAnsiTheme="minorHAnsi" w:cstheme="minorBidi"/>
          <w:snapToGrid/>
          <w:sz w:val="24"/>
          <w:szCs w:val="22"/>
        </w:rPr>
        <w:t xml:space="preserve">When </w:t>
      </w:r>
      <w:r w:rsidR="0088364C" w:rsidRPr="000622B1">
        <w:rPr>
          <w:rFonts w:asciiTheme="minorHAnsi" w:eastAsiaTheme="minorHAnsi" w:hAnsiTheme="minorHAnsi" w:cstheme="minorBidi"/>
          <w:snapToGrid/>
          <w:sz w:val="24"/>
          <w:szCs w:val="22"/>
        </w:rPr>
        <w:t>brand equivalence of</w:t>
      </w:r>
      <w:r w:rsidRPr="000622B1">
        <w:rPr>
          <w:rFonts w:asciiTheme="minorHAnsi" w:eastAsiaTheme="minorHAnsi" w:hAnsiTheme="minorHAnsi" w:cstheme="minorBidi"/>
          <w:snapToGrid/>
          <w:sz w:val="24"/>
          <w:szCs w:val="22"/>
        </w:rPr>
        <w:t xml:space="preserve"> biosimilar brands and their reference brands was discussed by the PBAC at its special meeting on 17 April 2015, the PBAC advised that biosimilar products would be </w:t>
      </w:r>
      <w:r w:rsidR="00E12436" w:rsidRPr="000622B1">
        <w:rPr>
          <w:rFonts w:asciiTheme="minorHAnsi" w:eastAsiaTheme="minorHAnsi" w:hAnsiTheme="minorHAnsi" w:cstheme="minorBidi"/>
          <w:snapToGrid/>
          <w:sz w:val="24"/>
          <w:szCs w:val="22"/>
        </w:rPr>
        <w:t>considered</w:t>
      </w:r>
      <w:r w:rsidR="0088364C" w:rsidRPr="000622B1">
        <w:rPr>
          <w:rFonts w:asciiTheme="minorHAnsi" w:eastAsiaTheme="minorHAnsi" w:hAnsiTheme="minorHAnsi" w:cstheme="minorBidi"/>
          <w:snapToGrid/>
          <w:sz w:val="24"/>
          <w:szCs w:val="22"/>
        </w:rPr>
        <w:t xml:space="preserve"> to be brand equivalent</w:t>
      </w:r>
      <w:r w:rsidRPr="000622B1">
        <w:rPr>
          <w:rFonts w:asciiTheme="minorHAnsi" w:eastAsiaTheme="minorHAnsi" w:hAnsiTheme="minorHAnsi" w:cstheme="minorBidi"/>
          <w:snapToGrid/>
          <w:sz w:val="24"/>
          <w:szCs w:val="22"/>
        </w:rPr>
        <w:t>, “where the data are supportive of this conclusion.”</w:t>
      </w:r>
    </w:p>
    <w:p w:rsidR="00B4426E" w:rsidRPr="000622B1" w:rsidRDefault="00B4426E" w:rsidP="00400CFC">
      <w:pPr>
        <w:ind w:left="720"/>
        <w:rPr>
          <w:rFonts w:asciiTheme="minorHAnsi" w:hAnsiTheme="minorHAnsi"/>
          <w:szCs w:val="22"/>
        </w:rPr>
      </w:pPr>
    </w:p>
    <w:p w:rsidR="00B4426E" w:rsidRPr="000622B1" w:rsidRDefault="00177404" w:rsidP="00400CFC">
      <w:pPr>
        <w:ind w:left="720"/>
        <w:rPr>
          <w:rFonts w:asciiTheme="minorHAnsi" w:hAnsiTheme="minorHAnsi"/>
          <w:sz w:val="24"/>
          <w:szCs w:val="24"/>
        </w:rPr>
      </w:pPr>
      <w:r w:rsidRPr="000622B1">
        <w:rPr>
          <w:rFonts w:asciiTheme="minorHAnsi" w:hAnsiTheme="minorHAnsi"/>
          <w:sz w:val="24"/>
          <w:szCs w:val="24"/>
        </w:rPr>
        <w:t>“</w:t>
      </w:r>
      <w:r w:rsidR="00B4426E" w:rsidRPr="000622B1">
        <w:rPr>
          <w:rFonts w:asciiTheme="minorHAnsi" w:hAnsiTheme="minorHAnsi"/>
          <w:sz w:val="24"/>
          <w:szCs w:val="24"/>
        </w:rPr>
        <w:t xml:space="preserve">The PBAC advised that the following would be relevant considerations in </w:t>
      </w:r>
      <w:r w:rsidR="00B4426E" w:rsidRPr="000622B1">
        <w:rPr>
          <w:rFonts w:asciiTheme="minorHAnsi" w:hAnsiTheme="minorHAnsi"/>
          <w:sz w:val="24"/>
          <w:szCs w:val="24"/>
        </w:rPr>
        <w:lastRenderedPageBreak/>
        <w:t>establishing that a biosimilar product could be ‘a’ flagged with the originator product:</w:t>
      </w:r>
    </w:p>
    <w:p w:rsidR="00B4426E" w:rsidRPr="000622B1" w:rsidRDefault="00B4426E" w:rsidP="00400CFC">
      <w:pPr>
        <w:pStyle w:val="ListParagraph"/>
        <w:widowControl/>
        <w:numPr>
          <w:ilvl w:val="2"/>
          <w:numId w:val="6"/>
        </w:numPr>
        <w:ind w:left="1418"/>
        <w:rPr>
          <w:rFonts w:asciiTheme="minorHAnsi" w:hAnsiTheme="minorHAnsi"/>
          <w:sz w:val="24"/>
          <w:szCs w:val="24"/>
        </w:rPr>
      </w:pPr>
      <w:r w:rsidRPr="000622B1">
        <w:rPr>
          <w:rFonts w:asciiTheme="minorHAnsi" w:hAnsiTheme="minorHAnsi"/>
          <w:sz w:val="24"/>
          <w:szCs w:val="24"/>
        </w:rPr>
        <w:t>Absence of data to suggest significant differences in clinical effectiveness or safety compared with the originator product;</w:t>
      </w:r>
    </w:p>
    <w:p w:rsidR="00B4426E" w:rsidRPr="000622B1" w:rsidRDefault="00B4426E" w:rsidP="00400CFC">
      <w:pPr>
        <w:pStyle w:val="ListParagraph"/>
        <w:widowControl/>
        <w:numPr>
          <w:ilvl w:val="2"/>
          <w:numId w:val="6"/>
        </w:numPr>
        <w:ind w:left="1418"/>
        <w:rPr>
          <w:rFonts w:asciiTheme="minorHAnsi" w:hAnsiTheme="minorHAnsi"/>
          <w:sz w:val="24"/>
          <w:szCs w:val="24"/>
        </w:rPr>
      </w:pPr>
      <w:r w:rsidRPr="000622B1">
        <w:rPr>
          <w:rFonts w:asciiTheme="minorHAnsi" w:hAnsiTheme="minorHAnsi"/>
          <w:sz w:val="24"/>
          <w:szCs w:val="24"/>
        </w:rPr>
        <w:t>Absence of identified populations where the risks of using the biosimilar product are disproportionately high;</w:t>
      </w:r>
    </w:p>
    <w:p w:rsidR="00B4426E" w:rsidRPr="000622B1" w:rsidRDefault="00B4426E" w:rsidP="00400CFC">
      <w:pPr>
        <w:pStyle w:val="ListParagraph"/>
        <w:widowControl/>
        <w:numPr>
          <w:ilvl w:val="2"/>
          <w:numId w:val="6"/>
        </w:numPr>
        <w:ind w:left="1418"/>
        <w:rPr>
          <w:rFonts w:asciiTheme="minorHAnsi" w:hAnsiTheme="minorHAnsi"/>
          <w:sz w:val="24"/>
          <w:szCs w:val="24"/>
        </w:rPr>
      </w:pPr>
      <w:r w:rsidRPr="000622B1">
        <w:rPr>
          <w:rFonts w:asciiTheme="minorHAnsi" w:hAnsiTheme="minorHAnsi"/>
          <w:sz w:val="24"/>
          <w:szCs w:val="24"/>
        </w:rPr>
        <w:t>Availability of data to support switching between the originator product and the biosimilar product;</w:t>
      </w:r>
    </w:p>
    <w:p w:rsidR="00B4426E" w:rsidRPr="000622B1" w:rsidRDefault="00B4426E" w:rsidP="00400CFC">
      <w:pPr>
        <w:pStyle w:val="ListParagraph"/>
        <w:widowControl/>
        <w:numPr>
          <w:ilvl w:val="2"/>
          <w:numId w:val="6"/>
        </w:numPr>
        <w:ind w:left="1418"/>
        <w:rPr>
          <w:rFonts w:asciiTheme="minorHAnsi" w:hAnsiTheme="minorHAnsi"/>
          <w:sz w:val="24"/>
          <w:szCs w:val="24"/>
        </w:rPr>
      </w:pPr>
      <w:r w:rsidRPr="000622B1">
        <w:rPr>
          <w:rFonts w:asciiTheme="minorHAnsi" w:hAnsiTheme="minorHAnsi"/>
          <w:sz w:val="24"/>
          <w:szCs w:val="24"/>
        </w:rPr>
        <w:t>Availability of data for treatment-naïve patients initiating on the biosimilar product;</w:t>
      </w:r>
    </w:p>
    <w:p w:rsidR="00B4426E" w:rsidRPr="000622B1" w:rsidRDefault="00B4426E" w:rsidP="00400CFC">
      <w:pPr>
        <w:pStyle w:val="ListParagraph"/>
        <w:widowControl/>
        <w:numPr>
          <w:ilvl w:val="2"/>
          <w:numId w:val="6"/>
        </w:numPr>
        <w:ind w:left="1418"/>
        <w:rPr>
          <w:rFonts w:asciiTheme="minorHAnsi" w:hAnsiTheme="minorHAnsi"/>
          <w:sz w:val="24"/>
          <w:szCs w:val="24"/>
        </w:rPr>
      </w:pPr>
      <w:r w:rsidRPr="000622B1">
        <w:rPr>
          <w:rFonts w:asciiTheme="minorHAnsi" w:hAnsiTheme="minorHAnsi"/>
          <w:sz w:val="24"/>
          <w:szCs w:val="24"/>
        </w:rPr>
        <w:t>Whether the Therapeutic Goods Administration has deemed a product to be biosimilar with the originator product.</w:t>
      </w:r>
    </w:p>
    <w:p w:rsidR="00B4426E" w:rsidRPr="000622B1" w:rsidRDefault="00B4426E" w:rsidP="00400CFC">
      <w:pPr>
        <w:ind w:left="720"/>
        <w:rPr>
          <w:rFonts w:asciiTheme="minorHAnsi" w:hAnsiTheme="minorHAnsi"/>
          <w:sz w:val="24"/>
          <w:szCs w:val="24"/>
        </w:rPr>
      </w:pPr>
    </w:p>
    <w:p w:rsidR="00B4426E" w:rsidRPr="000622B1" w:rsidRDefault="00B4426E" w:rsidP="00400CFC">
      <w:pPr>
        <w:ind w:left="709"/>
        <w:rPr>
          <w:rFonts w:asciiTheme="minorHAnsi" w:hAnsiTheme="minorHAnsi"/>
          <w:sz w:val="24"/>
          <w:szCs w:val="24"/>
        </w:rPr>
      </w:pPr>
      <w:r w:rsidRPr="000622B1">
        <w:rPr>
          <w:rFonts w:asciiTheme="minorHAnsi" w:hAnsiTheme="minorHAnsi"/>
          <w:sz w:val="24"/>
          <w:szCs w:val="24"/>
        </w:rPr>
        <w:t>The PBAC considered that where a biosimilar product could not be ‘a’ flagged at the time of PBS listing, data should be collected to support ‘a’ flagging at a later point.</w:t>
      </w:r>
      <w:r w:rsidR="00177404" w:rsidRPr="000622B1">
        <w:rPr>
          <w:rFonts w:asciiTheme="minorHAnsi" w:hAnsiTheme="minorHAnsi"/>
          <w:sz w:val="24"/>
          <w:szCs w:val="24"/>
        </w:rPr>
        <w:t>”</w:t>
      </w:r>
    </w:p>
    <w:p w:rsidR="00400CFC" w:rsidRPr="000622B1" w:rsidRDefault="00400CFC" w:rsidP="00400CFC">
      <w:pPr>
        <w:ind w:left="709"/>
        <w:rPr>
          <w:rFonts w:asciiTheme="minorHAnsi" w:hAnsiTheme="minorHAnsi"/>
          <w:szCs w:val="22"/>
        </w:rPr>
      </w:pPr>
    </w:p>
    <w:p w:rsidR="008B7917" w:rsidRPr="000622B1" w:rsidRDefault="008B7917" w:rsidP="00AF507B">
      <w:pPr>
        <w:pStyle w:val="ListParagraph"/>
        <w:widowControl/>
        <w:numPr>
          <w:ilvl w:val="1"/>
          <w:numId w:val="20"/>
        </w:numPr>
        <w:spacing w:after="120"/>
        <w:contextualSpacing w:val="0"/>
        <w:rPr>
          <w:rFonts w:asciiTheme="minorHAnsi" w:eastAsiaTheme="minorHAnsi" w:hAnsiTheme="minorHAnsi" w:cstheme="minorBidi"/>
          <w:snapToGrid/>
          <w:sz w:val="24"/>
          <w:szCs w:val="22"/>
        </w:rPr>
      </w:pPr>
      <w:r w:rsidRPr="000622B1">
        <w:rPr>
          <w:rFonts w:asciiTheme="minorHAnsi" w:eastAsiaTheme="minorHAnsi" w:hAnsiTheme="minorHAnsi" w:cstheme="minorBidi"/>
          <w:snapToGrid/>
          <w:sz w:val="24"/>
          <w:szCs w:val="22"/>
        </w:rPr>
        <w:t xml:space="preserve">No new biosimilar brands were considered by the PBAC in 2017. From 2018 onwards, more </w:t>
      </w:r>
      <w:r w:rsidR="00724B45" w:rsidRPr="000622B1">
        <w:rPr>
          <w:rFonts w:asciiTheme="minorHAnsi" w:eastAsiaTheme="minorHAnsi" w:hAnsiTheme="minorHAnsi" w:cstheme="minorBidi"/>
          <w:snapToGrid/>
          <w:sz w:val="24"/>
          <w:szCs w:val="22"/>
        </w:rPr>
        <w:t>submissions for</w:t>
      </w:r>
      <w:r w:rsidRPr="000622B1">
        <w:rPr>
          <w:rFonts w:asciiTheme="minorHAnsi" w:eastAsiaTheme="minorHAnsi" w:hAnsiTheme="minorHAnsi" w:cstheme="minorBidi"/>
          <w:snapToGrid/>
          <w:sz w:val="24"/>
          <w:szCs w:val="22"/>
        </w:rPr>
        <w:t xml:space="preserve"> </w:t>
      </w:r>
      <w:r w:rsidR="00724B45" w:rsidRPr="000622B1">
        <w:rPr>
          <w:rFonts w:asciiTheme="minorHAnsi" w:eastAsiaTheme="minorHAnsi" w:hAnsiTheme="minorHAnsi" w:cstheme="minorBidi"/>
          <w:snapToGrid/>
          <w:sz w:val="24"/>
          <w:szCs w:val="22"/>
        </w:rPr>
        <w:t xml:space="preserve">biosimilars </w:t>
      </w:r>
      <w:r w:rsidRPr="000622B1">
        <w:rPr>
          <w:rFonts w:asciiTheme="minorHAnsi" w:eastAsiaTheme="minorHAnsi" w:hAnsiTheme="minorHAnsi" w:cstheme="minorBidi"/>
          <w:snapToGrid/>
          <w:sz w:val="24"/>
          <w:szCs w:val="22"/>
        </w:rPr>
        <w:t xml:space="preserve">are anticipated. </w:t>
      </w:r>
    </w:p>
    <w:p w:rsidR="00B96BB4" w:rsidRPr="000622B1" w:rsidRDefault="00B96BB4" w:rsidP="005F7D85">
      <w:pPr>
        <w:ind w:left="709"/>
        <w:rPr>
          <w:rFonts w:asciiTheme="minorHAnsi" w:hAnsiTheme="minorHAnsi"/>
          <w:szCs w:val="22"/>
        </w:rPr>
      </w:pPr>
    </w:p>
    <w:p w:rsidR="00FB0795" w:rsidRPr="000622B1" w:rsidRDefault="00E57B0C" w:rsidP="00AF507B">
      <w:pPr>
        <w:pStyle w:val="ListParagraph"/>
        <w:widowControl/>
        <w:numPr>
          <w:ilvl w:val="1"/>
          <w:numId w:val="20"/>
        </w:numPr>
        <w:spacing w:after="120"/>
        <w:contextualSpacing w:val="0"/>
        <w:rPr>
          <w:rFonts w:asciiTheme="minorHAnsi" w:eastAsiaTheme="minorHAnsi" w:hAnsiTheme="minorHAnsi" w:cstheme="minorBidi"/>
          <w:snapToGrid/>
          <w:sz w:val="24"/>
          <w:szCs w:val="22"/>
        </w:rPr>
      </w:pPr>
      <w:r w:rsidRPr="000622B1">
        <w:rPr>
          <w:rFonts w:asciiTheme="minorHAnsi" w:eastAsiaTheme="minorHAnsi" w:hAnsiTheme="minorHAnsi" w:cstheme="minorBidi"/>
          <w:snapToGrid/>
          <w:sz w:val="24"/>
          <w:szCs w:val="22"/>
        </w:rPr>
        <w:t>It has</w:t>
      </w:r>
      <w:r w:rsidR="008B7917" w:rsidRPr="000622B1">
        <w:rPr>
          <w:rFonts w:asciiTheme="minorHAnsi" w:eastAsiaTheme="minorHAnsi" w:hAnsiTheme="minorHAnsi" w:cstheme="minorBidi"/>
          <w:snapToGrid/>
          <w:sz w:val="24"/>
          <w:szCs w:val="22"/>
        </w:rPr>
        <w:t xml:space="preserve"> been</w:t>
      </w:r>
      <w:r w:rsidRPr="000622B1">
        <w:rPr>
          <w:rFonts w:asciiTheme="minorHAnsi" w:eastAsiaTheme="minorHAnsi" w:hAnsiTheme="minorHAnsi" w:cstheme="minorBidi"/>
          <w:snapToGrid/>
          <w:sz w:val="24"/>
          <w:szCs w:val="22"/>
        </w:rPr>
        <w:t xml:space="preserve"> </w:t>
      </w:r>
      <w:r w:rsidR="00B96BB4" w:rsidRPr="000622B1">
        <w:rPr>
          <w:rFonts w:asciiTheme="minorHAnsi" w:eastAsiaTheme="minorHAnsi" w:hAnsiTheme="minorHAnsi" w:cstheme="minorBidi"/>
          <w:snapToGrid/>
          <w:sz w:val="24"/>
          <w:szCs w:val="22"/>
        </w:rPr>
        <w:t>three</w:t>
      </w:r>
      <w:r w:rsidR="00A83126" w:rsidRPr="000622B1">
        <w:rPr>
          <w:rFonts w:asciiTheme="minorHAnsi" w:eastAsiaTheme="minorHAnsi" w:hAnsiTheme="minorHAnsi" w:cstheme="minorBidi"/>
          <w:snapToGrid/>
          <w:sz w:val="24"/>
          <w:szCs w:val="22"/>
        </w:rPr>
        <w:t xml:space="preserve"> years since </w:t>
      </w:r>
      <w:r w:rsidR="00B96BB4" w:rsidRPr="000622B1">
        <w:rPr>
          <w:rFonts w:asciiTheme="minorHAnsi" w:eastAsiaTheme="minorHAnsi" w:hAnsiTheme="minorHAnsi" w:cstheme="minorBidi"/>
          <w:snapToGrid/>
          <w:sz w:val="24"/>
          <w:szCs w:val="22"/>
        </w:rPr>
        <w:t xml:space="preserve">the </w:t>
      </w:r>
      <w:r w:rsidR="00477397">
        <w:rPr>
          <w:rFonts w:asciiTheme="minorHAnsi" w:eastAsiaTheme="minorHAnsi" w:hAnsiTheme="minorHAnsi" w:cstheme="minorBidi"/>
          <w:snapToGrid/>
          <w:sz w:val="24"/>
          <w:szCs w:val="22"/>
        </w:rPr>
        <w:t xml:space="preserve">PBAC </w:t>
      </w:r>
      <w:r w:rsidR="00B96BB4" w:rsidRPr="000622B1">
        <w:rPr>
          <w:rFonts w:asciiTheme="minorHAnsi" w:eastAsiaTheme="minorHAnsi" w:hAnsiTheme="minorHAnsi" w:cstheme="minorBidi"/>
          <w:snapToGrid/>
          <w:sz w:val="24"/>
          <w:szCs w:val="22"/>
        </w:rPr>
        <w:t>develop</w:t>
      </w:r>
      <w:r w:rsidR="00477397">
        <w:rPr>
          <w:rFonts w:asciiTheme="minorHAnsi" w:eastAsiaTheme="minorHAnsi" w:hAnsiTheme="minorHAnsi" w:cstheme="minorBidi"/>
          <w:snapToGrid/>
          <w:sz w:val="24"/>
          <w:szCs w:val="22"/>
        </w:rPr>
        <w:t>ed</w:t>
      </w:r>
      <w:r w:rsidR="00197486" w:rsidRPr="000622B1">
        <w:rPr>
          <w:rFonts w:asciiTheme="minorHAnsi" w:eastAsiaTheme="minorHAnsi" w:hAnsiTheme="minorHAnsi" w:cstheme="minorBidi"/>
          <w:snapToGrid/>
          <w:sz w:val="24"/>
          <w:szCs w:val="22"/>
        </w:rPr>
        <w:t xml:space="preserve"> the</w:t>
      </w:r>
      <w:r w:rsidR="00A83126" w:rsidRPr="000622B1">
        <w:rPr>
          <w:rFonts w:asciiTheme="minorHAnsi" w:eastAsiaTheme="minorHAnsi" w:hAnsiTheme="minorHAnsi" w:cstheme="minorBidi"/>
          <w:snapToGrid/>
          <w:sz w:val="24"/>
          <w:szCs w:val="22"/>
        </w:rPr>
        <w:t xml:space="preserve"> above</w:t>
      </w:r>
      <w:r w:rsidR="00BE119B" w:rsidRPr="000622B1">
        <w:rPr>
          <w:rFonts w:asciiTheme="minorHAnsi" w:eastAsiaTheme="minorHAnsi" w:hAnsiTheme="minorHAnsi" w:cstheme="minorBidi"/>
          <w:snapToGrid/>
          <w:sz w:val="24"/>
          <w:szCs w:val="22"/>
        </w:rPr>
        <w:t xml:space="preserve"> </w:t>
      </w:r>
      <w:r w:rsidR="00197486" w:rsidRPr="000622B1">
        <w:rPr>
          <w:rFonts w:asciiTheme="minorHAnsi" w:eastAsiaTheme="minorHAnsi" w:hAnsiTheme="minorHAnsi" w:cstheme="minorBidi"/>
          <w:snapToGrid/>
          <w:sz w:val="24"/>
          <w:szCs w:val="22"/>
        </w:rPr>
        <w:t>considerations</w:t>
      </w:r>
      <w:r w:rsidR="00477397">
        <w:rPr>
          <w:rFonts w:asciiTheme="minorHAnsi" w:eastAsiaTheme="minorHAnsi" w:hAnsiTheme="minorHAnsi" w:cstheme="minorBidi"/>
          <w:snapToGrid/>
          <w:sz w:val="24"/>
          <w:szCs w:val="22"/>
        </w:rPr>
        <w:t>,</w:t>
      </w:r>
      <w:r w:rsidR="00BE119B" w:rsidRPr="000622B1">
        <w:rPr>
          <w:rFonts w:asciiTheme="minorHAnsi" w:eastAsiaTheme="minorHAnsi" w:hAnsiTheme="minorHAnsi" w:cstheme="minorBidi"/>
          <w:snapToGrid/>
          <w:sz w:val="24"/>
          <w:szCs w:val="22"/>
        </w:rPr>
        <w:t xml:space="preserve"> thus</w:t>
      </w:r>
      <w:r w:rsidR="00A83126" w:rsidRPr="000622B1">
        <w:rPr>
          <w:rFonts w:asciiTheme="minorHAnsi" w:eastAsiaTheme="minorHAnsi" w:hAnsiTheme="minorHAnsi" w:cstheme="minorBidi"/>
          <w:snapToGrid/>
          <w:sz w:val="24"/>
          <w:szCs w:val="22"/>
        </w:rPr>
        <w:t xml:space="preserve"> it is timely </w:t>
      </w:r>
      <w:r w:rsidR="00177404" w:rsidRPr="000622B1">
        <w:rPr>
          <w:rFonts w:asciiTheme="minorHAnsi" w:eastAsiaTheme="minorHAnsi" w:hAnsiTheme="minorHAnsi" w:cstheme="minorBidi"/>
          <w:snapToGrid/>
          <w:sz w:val="24"/>
          <w:szCs w:val="22"/>
        </w:rPr>
        <w:t>that a</w:t>
      </w:r>
      <w:r w:rsidR="00A83126" w:rsidRPr="000622B1">
        <w:rPr>
          <w:rFonts w:asciiTheme="minorHAnsi" w:eastAsiaTheme="minorHAnsi" w:hAnsiTheme="minorHAnsi" w:cstheme="minorBidi"/>
          <w:snapToGrid/>
          <w:sz w:val="24"/>
          <w:szCs w:val="22"/>
        </w:rPr>
        <w:t xml:space="preserve"> review </w:t>
      </w:r>
      <w:r w:rsidR="00177404" w:rsidRPr="000622B1">
        <w:rPr>
          <w:rFonts w:asciiTheme="minorHAnsi" w:eastAsiaTheme="minorHAnsi" w:hAnsiTheme="minorHAnsi" w:cstheme="minorBidi"/>
          <w:snapToGrid/>
          <w:sz w:val="24"/>
          <w:szCs w:val="22"/>
        </w:rPr>
        <w:t xml:space="preserve">is conducted </w:t>
      </w:r>
      <w:r w:rsidR="00E56C55" w:rsidRPr="000622B1">
        <w:rPr>
          <w:rFonts w:asciiTheme="minorHAnsi" w:eastAsiaTheme="minorHAnsi" w:hAnsiTheme="minorHAnsi" w:cstheme="minorBidi"/>
          <w:snapToGrid/>
          <w:sz w:val="24"/>
          <w:szCs w:val="22"/>
        </w:rPr>
        <w:t>for</w:t>
      </w:r>
      <w:r w:rsidR="00A83126" w:rsidRPr="000622B1">
        <w:rPr>
          <w:rFonts w:asciiTheme="minorHAnsi" w:eastAsiaTheme="minorHAnsi" w:hAnsiTheme="minorHAnsi" w:cstheme="minorBidi"/>
          <w:snapToGrid/>
          <w:sz w:val="24"/>
          <w:szCs w:val="22"/>
        </w:rPr>
        <w:t xml:space="preserve"> the following reasons</w:t>
      </w:r>
      <w:r w:rsidR="00C97458" w:rsidRPr="000622B1">
        <w:rPr>
          <w:rFonts w:asciiTheme="minorHAnsi" w:eastAsiaTheme="minorHAnsi" w:hAnsiTheme="minorHAnsi" w:cstheme="minorBidi"/>
          <w:snapToGrid/>
          <w:sz w:val="24"/>
          <w:szCs w:val="22"/>
        </w:rPr>
        <w:t>:</w:t>
      </w:r>
    </w:p>
    <w:p w:rsidR="00050D89" w:rsidRPr="000622B1" w:rsidRDefault="00177404" w:rsidP="00AF507B">
      <w:pPr>
        <w:pStyle w:val="ListParagraph"/>
        <w:widowControl/>
        <w:numPr>
          <w:ilvl w:val="0"/>
          <w:numId w:val="43"/>
        </w:numPr>
        <w:spacing w:after="120"/>
        <w:contextualSpacing w:val="0"/>
        <w:rPr>
          <w:rFonts w:asciiTheme="minorHAnsi" w:eastAsiaTheme="minorHAnsi" w:hAnsiTheme="minorHAnsi" w:cstheme="minorBidi"/>
          <w:snapToGrid/>
          <w:sz w:val="24"/>
          <w:szCs w:val="22"/>
        </w:rPr>
      </w:pPr>
      <w:r w:rsidRPr="000622B1">
        <w:rPr>
          <w:rFonts w:asciiTheme="minorHAnsi" w:eastAsiaTheme="minorHAnsi" w:hAnsiTheme="minorHAnsi" w:cstheme="minorBidi"/>
          <w:snapToGrid/>
          <w:sz w:val="24"/>
          <w:szCs w:val="22"/>
        </w:rPr>
        <w:t xml:space="preserve">There is </w:t>
      </w:r>
      <w:r w:rsidR="00FB0795" w:rsidRPr="000622B1">
        <w:rPr>
          <w:rFonts w:asciiTheme="minorHAnsi" w:eastAsiaTheme="minorHAnsi" w:hAnsiTheme="minorHAnsi" w:cstheme="minorBidi"/>
          <w:snapToGrid/>
          <w:sz w:val="24"/>
          <w:szCs w:val="22"/>
        </w:rPr>
        <w:t>greater certainty and awareness of the regulatory pathway of biosimilars both nationally and internationally</w:t>
      </w:r>
      <w:r w:rsidRPr="000622B1">
        <w:rPr>
          <w:rFonts w:asciiTheme="minorHAnsi" w:eastAsiaTheme="minorHAnsi" w:hAnsiTheme="minorHAnsi" w:cstheme="minorBidi"/>
          <w:snapToGrid/>
          <w:sz w:val="24"/>
          <w:szCs w:val="22"/>
        </w:rPr>
        <w:t xml:space="preserve">. This is supported by </w:t>
      </w:r>
      <w:r w:rsidR="00200E60" w:rsidRPr="000622B1">
        <w:rPr>
          <w:rFonts w:asciiTheme="minorHAnsi" w:eastAsiaTheme="minorHAnsi" w:hAnsiTheme="minorHAnsi" w:cstheme="minorBidi"/>
          <w:snapToGrid/>
          <w:sz w:val="24"/>
          <w:szCs w:val="22"/>
        </w:rPr>
        <w:t xml:space="preserve">the materials produced via the Biosimilar Awareness Initiative and </w:t>
      </w:r>
      <w:r w:rsidR="00050D89" w:rsidRPr="000622B1">
        <w:rPr>
          <w:rFonts w:asciiTheme="minorHAnsi" w:eastAsiaTheme="minorHAnsi" w:hAnsiTheme="minorHAnsi" w:cstheme="minorBidi"/>
          <w:snapToGrid/>
          <w:sz w:val="24"/>
          <w:szCs w:val="22"/>
        </w:rPr>
        <w:t xml:space="preserve">publication of an information guide for healthcare professionals by the </w:t>
      </w:r>
      <w:r w:rsidR="00477397">
        <w:rPr>
          <w:rFonts w:asciiTheme="minorHAnsi" w:eastAsiaTheme="minorHAnsi" w:hAnsiTheme="minorHAnsi" w:cstheme="minorBidi"/>
          <w:snapToGrid/>
          <w:sz w:val="24"/>
          <w:szCs w:val="22"/>
        </w:rPr>
        <w:t>European Medicines Association (</w:t>
      </w:r>
      <w:r w:rsidR="00050D89" w:rsidRPr="000622B1">
        <w:rPr>
          <w:rFonts w:asciiTheme="minorHAnsi" w:eastAsiaTheme="minorHAnsi" w:hAnsiTheme="minorHAnsi" w:cstheme="minorBidi"/>
          <w:snapToGrid/>
          <w:sz w:val="24"/>
          <w:szCs w:val="22"/>
        </w:rPr>
        <w:t>EMA</w:t>
      </w:r>
      <w:proofErr w:type="gramStart"/>
      <w:r w:rsidR="00477397">
        <w:rPr>
          <w:rFonts w:asciiTheme="minorHAnsi" w:eastAsiaTheme="minorHAnsi" w:hAnsiTheme="minorHAnsi" w:cstheme="minorBidi"/>
          <w:snapToGrid/>
          <w:sz w:val="24"/>
          <w:szCs w:val="22"/>
        </w:rPr>
        <w:t>)</w:t>
      </w:r>
      <w:r w:rsidR="00364041" w:rsidRPr="000622B1">
        <w:rPr>
          <w:rFonts w:asciiTheme="minorHAnsi" w:eastAsiaTheme="minorHAnsi" w:hAnsiTheme="minorHAnsi" w:cstheme="minorBidi"/>
          <w:snapToGrid/>
          <w:sz w:val="24"/>
          <w:szCs w:val="22"/>
          <w:vertAlign w:val="superscript"/>
        </w:rPr>
        <w:t>2</w:t>
      </w:r>
      <w:proofErr w:type="gramEnd"/>
      <w:r w:rsidR="00050D89" w:rsidRPr="000622B1">
        <w:rPr>
          <w:rFonts w:asciiTheme="minorHAnsi" w:eastAsiaTheme="minorHAnsi" w:hAnsiTheme="minorHAnsi" w:cstheme="minorBidi"/>
          <w:snapToGrid/>
          <w:sz w:val="24"/>
          <w:szCs w:val="22"/>
        </w:rPr>
        <w:t>. Biosimilar education has been made available</w:t>
      </w:r>
      <w:r w:rsidR="00200E60" w:rsidRPr="000622B1">
        <w:rPr>
          <w:rFonts w:asciiTheme="minorHAnsi" w:eastAsiaTheme="minorHAnsi" w:hAnsiTheme="minorHAnsi" w:cstheme="minorBidi"/>
          <w:snapToGrid/>
          <w:sz w:val="24"/>
          <w:szCs w:val="22"/>
        </w:rPr>
        <w:t xml:space="preserve"> through various providers</w:t>
      </w:r>
      <w:r w:rsidR="00477397">
        <w:rPr>
          <w:rFonts w:asciiTheme="minorHAnsi" w:eastAsiaTheme="minorHAnsi" w:hAnsiTheme="minorHAnsi" w:cstheme="minorBidi"/>
          <w:snapToGrid/>
          <w:sz w:val="24"/>
          <w:szCs w:val="22"/>
        </w:rPr>
        <w:t>,</w:t>
      </w:r>
      <w:r w:rsidR="00200E60" w:rsidRPr="000622B1">
        <w:rPr>
          <w:rFonts w:asciiTheme="minorHAnsi" w:eastAsiaTheme="minorHAnsi" w:hAnsiTheme="minorHAnsi" w:cstheme="minorBidi"/>
          <w:snapToGrid/>
          <w:sz w:val="24"/>
          <w:szCs w:val="22"/>
        </w:rPr>
        <w:t xml:space="preserve"> including the Pharmaceutical Society of Australia (PSA). </w:t>
      </w:r>
    </w:p>
    <w:p w:rsidR="00200E60" w:rsidRPr="000622B1" w:rsidRDefault="000B2B5C" w:rsidP="00AF507B">
      <w:pPr>
        <w:pStyle w:val="ListParagraph"/>
        <w:widowControl/>
        <w:numPr>
          <w:ilvl w:val="0"/>
          <w:numId w:val="43"/>
        </w:numPr>
        <w:spacing w:after="120"/>
        <w:contextualSpacing w:val="0"/>
        <w:rPr>
          <w:rFonts w:asciiTheme="minorHAnsi" w:eastAsiaTheme="minorHAnsi" w:hAnsiTheme="minorHAnsi" w:cstheme="minorBidi"/>
          <w:snapToGrid/>
          <w:sz w:val="24"/>
          <w:szCs w:val="22"/>
        </w:rPr>
      </w:pPr>
      <w:r w:rsidRPr="000622B1">
        <w:rPr>
          <w:rFonts w:asciiTheme="minorHAnsi" w:eastAsiaTheme="minorHAnsi" w:hAnsiTheme="minorHAnsi" w:cstheme="minorBidi"/>
          <w:snapToGrid/>
          <w:sz w:val="24"/>
          <w:szCs w:val="22"/>
        </w:rPr>
        <w:t>G</w:t>
      </w:r>
      <w:r w:rsidR="00200E60" w:rsidRPr="000622B1">
        <w:rPr>
          <w:rFonts w:asciiTheme="minorHAnsi" w:eastAsiaTheme="minorHAnsi" w:hAnsiTheme="minorHAnsi" w:cstheme="minorBidi"/>
          <w:snapToGrid/>
          <w:sz w:val="24"/>
          <w:szCs w:val="22"/>
        </w:rPr>
        <w:t xml:space="preserve">reater awareness of the need to consider the totality of the evidence supporting biosimilarity </w:t>
      </w:r>
      <w:r w:rsidRPr="000622B1">
        <w:rPr>
          <w:rFonts w:asciiTheme="minorHAnsi" w:eastAsiaTheme="minorHAnsi" w:hAnsiTheme="minorHAnsi" w:cstheme="minorBidi"/>
          <w:snapToGrid/>
          <w:sz w:val="24"/>
          <w:szCs w:val="22"/>
        </w:rPr>
        <w:t>without an exclusive focus on</w:t>
      </w:r>
      <w:r w:rsidR="00C072C5" w:rsidRPr="000622B1">
        <w:rPr>
          <w:rFonts w:asciiTheme="minorHAnsi" w:eastAsiaTheme="minorHAnsi" w:hAnsiTheme="minorHAnsi" w:cstheme="minorBidi"/>
          <w:snapToGrid/>
          <w:sz w:val="24"/>
          <w:szCs w:val="22"/>
        </w:rPr>
        <w:t xml:space="preserve"> phase 3 clinical trials. It has been proposed that with advancing technology</w:t>
      </w:r>
      <w:r w:rsidR="00477397">
        <w:rPr>
          <w:rFonts w:asciiTheme="minorHAnsi" w:eastAsiaTheme="minorHAnsi" w:hAnsiTheme="minorHAnsi" w:cstheme="minorBidi"/>
          <w:snapToGrid/>
          <w:sz w:val="24"/>
          <w:szCs w:val="22"/>
        </w:rPr>
        <w:t>,</w:t>
      </w:r>
      <w:r w:rsidR="00C072C5" w:rsidRPr="000622B1">
        <w:rPr>
          <w:rFonts w:asciiTheme="minorHAnsi" w:eastAsiaTheme="minorHAnsi" w:hAnsiTheme="minorHAnsi" w:cstheme="minorBidi"/>
          <w:snapToGrid/>
          <w:sz w:val="24"/>
          <w:szCs w:val="22"/>
        </w:rPr>
        <w:t xml:space="preserve"> the development of biosimilar medicines may not require phase III clinical trials if analytical, pharmacokinetic and pharmacodynamic comparisons allow conclusion of </w:t>
      </w:r>
      <w:proofErr w:type="gramStart"/>
      <w:r w:rsidR="00C072C5" w:rsidRPr="000622B1">
        <w:rPr>
          <w:rFonts w:asciiTheme="minorHAnsi" w:eastAsiaTheme="minorHAnsi" w:hAnsiTheme="minorHAnsi" w:cstheme="minorBidi"/>
          <w:snapToGrid/>
          <w:sz w:val="24"/>
          <w:szCs w:val="22"/>
        </w:rPr>
        <w:t>similar</w:t>
      </w:r>
      <w:proofErr w:type="gramEnd"/>
      <w:r w:rsidR="00C072C5" w:rsidRPr="000622B1">
        <w:rPr>
          <w:rFonts w:asciiTheme="minorHAnsi" w:eastAsiaTheme="minorHAnsi" w:hAnsiTheme="minorHAnsi" w:cstheme="minorBidi"/>
          <w:snapToGrid/>
          <w:sz w:val="24"/>
          <w:szCs w:val="22"/>
        </w:rPr>
        <w:t xml:space="preserve"> efficacy and safety</w:t>
      </w:r>
      <w:r w:rsidR="00364041" w:rsidRPr="000622B1">
        <w:rPr>
          <w:rFonts w:asciiTheme="minorHAnsi" w:eastAsiaTheme="minorHAnsi" w:hAnsiTheme="minorHAnsi" w:cstheme="minorBidi"/>
          <w:snapToGrid/>
          <w:sz w:val="24"/>
          <w:szCs w:val="22"/>
          <w:vertAlign w:val="superscript"/>
        </w:rPr>
        <w:t>3</w:t>
      </w:r>
      <w:r w:rsidR="00C072C5" w:rsidRPr="000622B1">
        <w:rPr>
          <w:rFonts w:asciiTheme="minorHAnsi" w:eastAsiaTheme="minorHAnsi" w:hAnsiTheme="minorHAnsi" w:cstheme="minorBidi"/>
          <w:snapToGrid/>
          <w:sz w:val="24"/>
          <w:szCs w:val="22"/>
        </w:rPr>
        <w:t>.</w:t>
      </w:r>
    </w:p>
    <w:p w:rsidR="00C072C5" w:rsidRPr="000622B1" w:rsidRDefault="00B611E9" w:rsidP="00AF507B">
      <w:pPr>
        <w:pStyle w:val="ListParagraph"/>
        <w:widowControl/>
        <w:numPr>
          <w:ilvl w:val="0"/>
          <w:numId w:val="43"/>
        </w:numPr>
        <w:spacing w:after="120"/>
        <w:contextualSpacing w:val="0"/>
        <w:rPr>
          <w:rFonts w:asciiTheme="minorHAnsi" w:eastAsiaTheme="minorHAnsi" w:hAnsiTheme="minorHAnsi" w:cstheme="minorBidi"/>
          <w:snapToGrid/>
          <w:sz w:val="24"/>
          <w:szCs w:val="22"/>
        </w:rPr>
      </w:pPr>
      <w:r w:rsidRPr="000622B1">
        <w:rPr>
          <w:rFonts w:asciiTheme="minorHAnsi" w:eastAsiaTheme="minorHAnsi" w:hAnsiTheme="minorHAnsi" w:cstheme="minorBidi"/>
          <w:snapToGrid/>
          <w:sz w:val="24"/>
          <w:szCs w:val="22"/>
        </w:rPr>
        <w:t xml:space="preserve">There is </w:t>
      </w:r>
      <w:r w:rsidR="00477397">
        <w:rPr>
          <w:rFonts w:asciiTheme="minorHAnsi" w:eastAsiaTheme="minorHAnsi" w:hAnsiTheme="minorHAnsi" w:cstheme="minorBidi"/>
          <w:snapToGrid/>
          <w:sz w:val="24"/>
          <w:szCs w:val="22"/>
        </w:rPr>
        <w:t xml:space="preserve">now </w:t>
      </w:r>
      <w:r w:rsidRPr="000622B1">
        <w:rPr>
          <w:rFonts w:asciiTheme="minorHAnsi" w:eastAsiaTheme="minorHAnsi" w:hAnsiTheme="minorHAnsi" w:cstheme="minorBidi"/>
          <w:snapToGrid/>
          <w:sz w:val="24"/>
          <w:szCs w:val="22"/>
        </w:rPr>
        <w:t>greater certainty around the naming of biological medicines</w:t>
      </w:r>
      <w:r w:rsidR="00C97458" w:rsidRPr="000622B1">
        <w:rPr>
          <w:rFonts w:asciiTheme="minorHAnsi" w:eastAsiaTheme="minorHAnsi" w:hAnsiTheme="minorHAnsi" w:cstheme="minorBidi"/>
          <w:snapToGrid/>
          <w:sz w:val="24"/>
          <w:szCs w:val="22"/>
        </w:rPr>
        <w:t>. The</w:t>
      </w:r>
      <w:r w:rsidRPr="000622B1">
        <w:rPr>
          <w:rFonts w:asciiTheme="minorHAnsi" w:eastAsiaTheme="minorHAnsi" w:hAnsiTheme="minorHAnsi" w:cstheme="minorBidi"/>
          <w:snapToGrid/>
          <w:sz w:val="24"/>
          <w:szCs w:val="22"/>
        </w:rPr>
        <w:t xml:space="preserve"> TGA decid</w:t>
      </w:r>
      <w:r w:rsidR="00C97458" w:rsidRPr="000622B1">
        <w:rPr>
          <w:rFonts w:asciiTheme="minorHAnsi" w:eastAsiaTheme="minorHAnsi" w:hAnsiTheme="minorHAnsi" w:cstheme="minorBidi"/>
          <w:snapToGrid/>
          <w:sz w:val="24"/>
          <w:szCs w:val="22"/>
        </w:rPr>
        <w:t>ed</w:t>
      </w:r>
      <w:r w:rsidRPr="000622B1">
        <w:rPr>
          <w:rFonts w:asciiTheme="minorHAnsi" w:eastAsiaTheme="minorHAnsi" w:hAnsiTheme="minorHAnsi" w:cstheme="minorBidi"/>
          <w:snapToGrid/>
          <w:sz w:val="24"/>
          <w:szCs w:val="22"/>
        </w:rPr>
        <w:t xml:space="preserve"> to maintain the existing naming convention for biological and biosimilar medicines, that is continue using the Australian biological name (without a specific identifier suffix) and strengthen adverse event reporting. In 2015, there was a proposal by the WHO INN expert group to implement an international biological qualifier</w:t>
      </w:r>
      <w:r w:rsidR="00C072C5" w:rsidRPr="000622B1">
        <w:rPr>
          <w:rFonts w:asciiTheme="minorHAnsi" w:eastAsiaTheme="minorHAnsi" w:hAnsiTheme="minorHAnsi" w:cstheme="minorBidi"/>
          <w:snapToGrid/>
          <w:sz w:val="24"/>
          <w:szCs w:val="22"/>
        </w:rPr>
        <w:t xml:space="preserve"> (BQ)</w:t>
      </w:r>
      <w:r w:rsidRPr="000622B1">
        <w:rPr>
          <w:rFonts w:asciiTheme="minorHAnsi" w:eastAsiaTheme="minorHAnsi" w:hAnsiTheme="minorHAnsi" w:cstheme="minorBidi"/>
          <w:snapToGrid/>
          <w:sz w:val="24"/>
          <w:szCs w:val="22"/>
        </w:rPr>
        <w:t xml:space="preserve"> to all biological medicines including biosimilars. In mid-2017, the WHO decide</w:t>
      </w:r>
      <w:r w:rsidR="004845A1" w:rsidRPr="000622B1">
        <w:rPr>
          <w:rFonts w:asciiTheme="minorHAnsi" w:eastAsiaTheme="minorHAnsi" w:hAnsiTheme="minorHAnsi" w:cstheme="minorBidi"/>
          <w:snapToGrid/>
          <w:sz w:val="24"/>
          <w:szCs w:val="22"/>
        </w:rPr>
        <w:t xml:space="preserve">d </w:t>
      </w:r>
      <w:r w:rsidR="00CD5B69" w:rsidRPr="000622B1">
        <w:rPr>
          <w:rFonts w:asciiTheme="minorHAnsi" w:eastAsiaTheme="minorHAnsi" w:hAnsiTheme="minorHAnsi" w:cstheme="minorBidi"/>
          <w:snapToGrid/>
          <w:sz w:val="24"/>
          <w:szCs w:val="22"/>
        </w:rPr>
        <w:t>not to proceed with a BQ</w:t>
      </w:r>
      <w:r w:rsidR="004845A1" w:rsidRPr="000622B1">
        <w:rPr>
          <w:rFonts w:asciiTheme="minorHAnsi" w:eastAsiaTheme="minorHAnsi" w:hAnsiTheme="minorHAnsi" w:cstheme="minorBidi"/>
          <w:snapToGrid/>
          <w:sz w:val="24"/>
          <w:szCs w:val="22"/>
        </w:rPr>
        <w:t xml:space="preserve"> and has</w:t>
      </w:r>
      <w:r w:rsidRPr="000622B1">
        <w:rPr>
          <w:rFonts w:asciiTheme="minorHAnsi" w:eastAsiaTheme="minorHAnsi" w:hAnsiTheme="minorHAnsi" w:cstheme="minorBidi"/>
          <w:snapToGrid/>
          <w:sz w:val="24"/>
          <w:szCs w:val="22"/>
        </w:rPr>
        <w:t xml:space="preserve"> recommended </w:t>
      </w:r>
      <w:r w:rsidR="00C072C5" w:rsidRPr="000622B1">
        <w:rPr>
          <w:rFonts w:asciiTheme="minorHAnsi" w:eastAsiaTheme="minorHAnsi" w:hAnsiTheme="minorHAnsi" w:cstheme="minorBidi"/>
          <w:snapToGrid/>
          <w:sz w:val="24"/>
          <w:szCs w:val="22"/>
        </w:rPr>
        <w:t>an opt</w:t>
      </w:r>
      <w:r w:rsidR="00477397">
        <w:rPr>
          <w:rFonts w:asciiTheme="minorHAnsi" w:eastAsiaTheme="minorHAnsi" w:hAnsiTheme="minorHAnsi" w:cstheme="minorBidi"/>
          <w:snapToGrid/>
          <w:sz w:val="24"/>
          <w:szCs w:val="22"/>
        </w:rPr>
        <w:t>-</w:t>
      </w:r>
      <w:r w:rsidR="00C072C5" w:rsidRPr="000622B1">
        <w:rPr>
          <w:rFonts w:asciiTheme="minorHAnsi" w:eastAsiaTheme="minorHAnsi" w:hAnsiTheme="minorHAnsi" w:cstheme="minorBidi"/>
          <w:snapToGrid/>
          <w:sz w:val="24"/>
          <w:szCs w:val="22"/>
        </w:rPr>
        <w:t>in process whereby</w:t>
      </w:r>
      <w:r w:rsidR="00503DA2" w:rsidRPr="000622B1">
        <w:rPr>
          <w:rFonts w:asciiTheme="minorHAnsi" w:eastAsiaTheme="minorHAnsi" w:hAnsiTheme="minorHAnsi" w:cstheme="minorBidi"/>
          <w:snapToGrid/>
          <w:sz w:val="24"/>
          <w:szCs w:val="22"/>
        </w:rPr>
        <w:t xml:space="preserve"> </w:t>
      </w:r>
      <w:r w:rsidRPr="000622B1">
        <w:rPr>
          <w:rFonts w:asciiTheme="minorHAnsi" w:eastAsiaTheme="minorHAnsi" w:hAnsiTheme="minorHAnsi" w:cstheme="minorBidi"/>
          <w:snapToGrid/>
          <w:sz w:val="24"/>
          <w:szCs w:val="22"/>
        </w:rPr>
        <w:t xml:space="preserve">a BQ is </w:t>
      </w:r>
      <w:r w:rsidR="00477397">
        <w:rPr>
          <w:rFonts w:asciiTheme="minorHAnsi" w:eastAsiaTheme="minorHAnsi" w:hAnsiTheme="minorHAnsi" w:cstheme="minorBidi"/>
          <w:snapToGrid/>
          <w:sz w:val="24"/>
          <w:szCs w:val="22"/>
        </w:rPr>
        <w:t xml:space="preserve">only used if </w:t>
      </w:r>
      <w:r w:rsidRPr="000622B1">
        <w:rPr>
          <w:rFonts w:asciiTheme="minorHAnsi" w:eastAsiaTheme="minorHAnsi" w:hAnsiTheme="minorHAnsi" w:cstheme="minorBidi"/>
          <w:snapToGrid/>
          <w:sz w:val="24"/>
          <w:szCs w:val="22"/>
        </w:rPr>
        <w:t>considered b</w:t>
      </w:r>
      <w:r w:rsidR="00503DA2" w:rsidRPr="000622B1">
        <w:rPr>
          <w:rFonts w:asciiTheme="minorHAnsi" w:eastAsiaTheme="minorHAnsi" w:hAnsiTheme="minorHAnsi" w:cstheme="minorBidi"/>
          <w:snapToGrid/>
          <w:sz w:val="24"/>
          <w:szCs w:val="22"/>
        </w:rPr>
        <w:t>y an authority to be desirable. A</w:t>
      </w:r>
      <w:r w:rsidRPr="000622B1">
        <w:rPr>
          <w:rFonts w:asciiTheme="minorHAnsi" w:eastAsiaTheme="minorHAnsi" w:hAnsiTheme="minorHAnsi" w:cstheme="minorBidi"/>
          <w:snapToGrid/>
          <w:sz w:val="24"/>
          <w:szCs w:val="22"/>
        </w:rPr>
        <w:t xml:space="preserve">vailability of a single global </w:t>
      </w:r>
      <w:r w:rsidRPr="000622B1">
        <w:rPr>
          <w:rFonts w:asciiTheme="minorHAnsi" w:eastAsiaTheme="minorHAnsi" w:hAnsiTheme="minorHAnsi" w:cstheme="minorBidi"/>
          <w:snapToGrid/>
          <w:sz w:val="24"/>
          <w:szCs w:val="22"/>
        </w:rPr>
        <w:lastRenderedPageBreak/>
        <w:t xml:space="preserve">scheme will avoid proliferation of separate and distinct national qualifier systems. </w:t>
      </w:r>
    </w:p>
    <w:p w:rsidR="00C072C5" w:rsidRPr="000622B1" w:rsidRDefault="00C97458" w:rsidP="00AF507B">
      <w:pPr>
        <w:pStyle w:val="ListParagraph"/>
        <w:widowControl/>
        <w:numPr>
          <w:ilvl w:val="0"/>
          <w:numId w:val="43"/>
        </w:numPr>
        <w:spacing w:after="120"/>
        <w:contextualSpacing w:val="0"/>
        <w:rPr>
          <w:rFonts w:asciiTheme="minorHAnsi" w:eastAsiaTheme="minorHAnsi" w:hAnsiTheme="minorHAnsi" w:cstheme="minorBidi"/>
          <w:snapToGrid/>
          <w:sz w:val="24"/>
          <w:szCs w:val="22"/>
        </w:rPr>
      </w:pPr>
      <w:r w:rsidRPr="000622B1">
        <w:rPr>
          <w:rFonts w:asciiTheme="minorHAnsi" w:eastAsiaTheme="minorHAnsi" w:hAnsiTheme="minorHAnsi" w:cstheme="minorBidi"/>
          <w:snapToGrid/>
          <w:sz w:val="24"/>
          <w:szCs w:val="22"/>
        </w:rPr>
        <w:t>There is w</w:t>
      </w:r>
      <w:r w:rsidR="00A30231" w:rsidRPr="000622B1">
        <w:rPr>
          <w:rFonts w:asciiTheme="minorHAnsi" w:eastAsiaTheme="minorHAnsi" w:hAnsiTheme="minorHAnsi" w:cstheme="minorBidi"/>
          <w:snapToGrid/>
          <w:sz w:val="24"/>
          <w:szCs w:val="22"/>
        </w:rPr>
        <w:t>idespread</w:t>
      </w:r>
      <w:r w:rsidR="00C072C5" w:rsidRPr="000622B1">
        <w:rPr>
          <w:rFonts w:asciiTheme="minorHAnsi" w:eastAsiaTheme="minorHAnsi" w:hAnsiTheme="minorHAnsi" w:cstheme="minorBidi"/>
          <w:snapToGrid/>
          <w:sz w:val="24"/>
          <w:szCs w:val="22"/>
        </w:rPr>
        <w:t xml:space="preserve"> agreement from Australian specialty groups that biosimilar use for treatment naïve patients is appropriate</w:t>
      </w:r>
      <w:r w:rsidR="00477397">
        <w:rPr>
          <w:rFonts w:asciiTheme="minorHAnsi" w:eastAsiaTheme="minorHAnsi" w:hAnsiTheme="minorHAnsi" w:cstheme="minorBidi"/>
          <w:snapToGrid/>
          <w:sz w:val="24"/>
          <w:szCs w:val="22"/>
        </w:rPr>
        <w:t>,</w:t>
      </w:r>
      <w:r w:rsidR="00C072C5" w:rsidRPr="000622B1">
        <w:rPr>
          <w:rFonts w:asciiTheme="minorHAnsi" w:eastAsiaTheme="minorHAnsi" w:hAnsiTheme="minorHAnsi" w:cstheme="minorBidi"/>
          <w:snapToGrid/>
          <w:sz w:val="24"/>
          <w:szCs w:val="22"/>
        </w:rPr>
        <w:t xml:space="preserve"> as demonstrated by the responses to consultation of the biosimilar uptake drivers. </w:t>
      </w:r>
    </w:p>
    <w:p w:rsidR="00C072C5" w:rsidRPr="000622B1" w:rsidRDefault="00C072C5" w:rsidP="00AF507B">
      <w:pPr>
        <w:pStyle w:val="ListParagraph"/>
        <w:widowControl/>
        <w:numPr>
          <w:ilvl w:val="0"/>
          <w:numId w:val="43"/>
        </w:numPr>
        <w:spacing w:after="120"/>
        <w:contextualSpacing w:val="0"/>
        <w:rPr>
          <w:rFonts w:asciiTheme="minorHAnsi" w:eastAsiaTheme="minorHAnsi" w:hAnsiTheme="minorHAnsi" w:cstheme="minorBidi"/>
          <w:snapToGrid/>
          <w:sz w:val="24"/>
          <w:szCs w:val="22"/>
        </w:rPr>
      </w:pPr>
      <w:r w:rsidRPr="000622B1">
        <w:rPr>
          <w:rFonts w:asciiTheme="minorHAnsi" w:eastAsiaTheme="minorHAnsi" w:hAnsiTheme="minorHAnsi" w:cstheme="minorBidi"/>
          <w:snapToGrid/>
          <w:sz w:val="24"/>
          <w:szCs w:val="22"/>
        </w:rPr>
        <w:t>Greater international acceptance of pharmacy level substitution of biosimilars</w:t>
      </w:r>
      <w:r w:rsidR="00C97458" w:rsidRPr="000622B1">
        <w:rPr>
          <w:rFonts w:asciiTheme="minorHAnsi" w:eastAsiaTheme="minorHAnsi" w:hAnsiTheme="minorHAnsi" w:cstheme="minorBidi"/>
          <w:snapToGrid/>
          <w:sz w:val="24"/>
          <w:szCs w:val="22"/>
        </w:rPr>
        <w:t>.</w:t>
      </w:r>
      <w:r w:rsidRPr="000622B1">
        <w:rPr>
          <w:rFonts w:asciiTheme="minorHAnsi" w:eastAsiaTheme="minorHAnsi" w:hAnsiTheme="minorHAnsi" w:cstheme="minorBidi"/>
          <w:snapToGrid/>
          <w:sz w:val="24"/>
          <w:szCs w:val="22"/>
        </w:rPr>
        <w:t xml:space="preserve"> </w:t>
      </w:r>
      <w:r w:rsidR="00C97458" w:rsidRPr="000622B1">
        <w:rPr>
          <w:rFonts w:asciiTheme="minorHAnsi" w:eastAsiaTheme="minorHAnsi" w:hAnsiTheme="minorHAnsi" w:cstheme="minorBidi"/>
          <w:snapToGrid/>
          <w:sz w:val="24"/>
          <w:szCs w:val="22"/>
        </w:rPr>
        <w:t>I</w:t>
      </w:r>
      <w:r w:rsidRPr="000622B1">
        <w:rPr>
          <w:rFonts w:asciiTheme="minorHAnsi" w:eastAsiaTheme="minorHAnsi" w:hAnsiTheme="minorHAnsi" w:cstheme="minorBidi"/>
          <w:snapToGrid/>
          <w:sz w:val="24"/>
          <w:szCs w:val="22"/>
        </w:rPr>
        <w:t>n the US, language around substitution previously required that the prescriber "must be notified" of any allowable substitution made at a pharmacy. Since 2015, the language has been adjusted to say "communicate with"</w:t>
      </w:r>
      <w:r w:rsidR="00477397">
        <w:rPr>
          <w:rFonts w:asciiTheme="minorHAnsi" w:eastAsiaTheme="minorHAnsi" w:hAnsiTheme="minorHAnsi" w:cstheme="minorBidi"/>
          <w:snapToGrid/>
          <w:sz w:val="24"/>
          <w:szCs w:val="22"/>
        </w:rPr>
        <w:t>,</w:t>
      </w:r>
      <w:r w:rsidRPr="000622B1">
        <w:rPr>
          <w:rFonts w:asciiTheme="minorHAnsi" w:eastAsiaTheme="minorHAnsi" w:hAnsiTheme="minorHAnsi" w:cstheme="minorBidi"/>
          <w:snapToGrid/>
          <w:sz w:val="24"/>
          <w:szCs w:val="22"/>
        </w:rPr>
        <w:t xml:space="preserve"> which allows for a notation in an electronic medical record, or "pharmacy record that can be electronically accessible by the prescriber”.</w:t>
      </w:r>
    </w:p>
    <w:p w:rsidR="00FB0795" w:rsidRPr="000622B1" w:rsidRDefault="00B00D96" w:rsidP="00AF507B">
      <w:pPr>
        <w:pStyle w:val="ListParagraph"/>
        <w:widowControl/>
        <w:numPr>
          <w:ilvl w:val="0"/>
          <w:numId w:val="43"/>
        </w:numPr>
        <w:spacing w:after="120"/>
        <w:contextualSpacing w:val="0"/>
        <w:rPr>
          <w:rFonts w:asciiTheme="minorHAnsi" w:eastAsiaTheme="minorHAnsi" w:hAnsiTheme="minorHAnsi" w:cstheme="minorBidi"/>
          <w:snapToGrid/>
          <w:sz w:val="24"/>
          <w:szCs w:val="22"/>
        </w:rPr>
      </w:pPr>
      <w:r w:rsidRPr="000622B1">
        <w:rPr>
          <w:rFonts w:asciiTheme="minorHAnsi" w:eastAsiaTheme="minorHAnsi" w:hAnsiTheme="minorHAnsi" w:cstheme="minorBidi"/>
          <w:snapToGrid/>
          <w:sz w:val="24"/>
          <w:szCs w:val="22"/>
        </w:rPr>
        <w:t>There ha</w:t>
      </w:r>
      <w:r w:rsidR="00D00876">
        <w:rPr>
          <w:rFonts w:asciiTheme="minorHAnsi" w:eastAsiaTheme="minorHAnsi" w:hAnsiTheme="minorHAnsi" w:cstheme="minorBidi"/>
          <w:snapToGrid/>
          <w:sz w:val="24"/>
          <w:szCs w:val="22"/>
        </w:rPr>
        <w:t>s</w:t>
      </w:r>
      <w:r w:rsidRPr="000622B1">
        <w:rPr>
          <w:rFonts w:asciiTheme="minorHAnsi" w:eastAsiaTheme="minorHAnsi" w:hAnsiTheme="minorHAnsi" w:cstheme="minorBidi"/>
          <w:snapToGrid/>
          <w:sz w:val="24"/>
          <w:szCs w:val="22"/>
        </w:rPr>
        <w:t xml:space="preserve"> been no safety signals recorded in the EU since the registration of the first biosimilar in 2006 via the EMA biosimilar pathway</w:t>
      </w:r>
      <w:r w:rsidR="00997AF4" w:rsidRPr="000622B1">
        <w:rPr>
          <w:rFonts w:asciiTheme="minorHAnsi" w:eastAsiaTheme="minorHAnsi" w:hAnsiTheme="minorHAnsi" w:cstheme="minorBidi"/>
          <w:snapToGrid/>
          <w:sz w:val="24"/>
          <w:szCs w:val="22"/>
          <w:vertAlign w:val="superscript"/>
        </w:rPr>
        <w:t>4</w:t>
      </w:r>
      <w:r w:rsidRPr="000622B1">
        <w:rPr>
          <w:rFonts w:asciiTheme="minorHAnsi" w:eastAsiaTheme="minorHAnsi" w:hAnsiTheme="minorHAnsi" w:cstheme="minorBidi"/>
          <w:snapToGrid/>
          <w:sz w:val="24"/>
          <w:szCs w:val="22"/>
        </w:rPr>
        <w:t xml:space="preserve">. </w:t>
      </w:r>
      <w:r w:rsidR="00841606" w:rsidRPr="000622B1">
        <w:rPr>
          <w:rFonts w:asciiTheme="minorHAnsi" w:eastAsiaTheme="minorHAnsi" w:hAnsiTheme="minorHAnsi" w:cstheme="minorBidi"/>
          <w:snapToGrid/>
          <w:sz w:val="24"/>
          <w:szCs w:val="22"/>
        </w:rPr>
        <w:t xml:space="preserve">Published international </w:t>
      </w:r>
      <w:r w:rsidR="004E183F" w:rsidRPr="000622B1">
        <w:rPr>
          <w:rFonts w:asciiTheme="minorHAnsi" w:eastAsiaTheme="minorHAnsi" w:hAnsiTheme="minorHAnsi" w:cstheme="minorBidi"/>
          <w:snapToGrid/>
          <w:sz w:val="24"/>
          <w:szCs w:val="22"/>
        </w:rPr>
        <w:t>post</w:t>
      </w:r>
      <w:r w:rsidR="00477397">
        <w:rPr>
          <w:rFonts w:asciiTheme="minorHAnsi" w:eastAsiaTheme="minorHAnsi" w:hAnsiTheme="minorHAnsi" w:cstheme="minorBidi"/>
          <w:snapToGrid/>
          <w:sz w:val="24"/>
          <w:szCs w:val="22"/>
        </w:rPr>
        <w:t>-</w:t>
      </w:r>
      <w:r w:rsidR="004E183F" w:rsidRPr="000622B1">
        <w:rPr>
          <w:rFonts w:asciiTheme="minorHAnsi" w:eastAsiaTheme="minorHAnsi" w:hAnsiTheme="minorHAnsi" w:cstheme="minorBidi"/>
          <w:snapToGrid/>
          <w:sz w:val="24"/>
          <w:szCs w:val="22"/>
        </w:rPr>
        <w:t>market</w:t>
      </w:r>
      <w:r w:rsidR="00841606" w:rsidRPr="000622B1">
        <w:rPr>
          <w:rFonts w:asciiTheme="minorHAnsi" w:eastAsiaTheme="minorHAnsi" w:hAnsiTheme="minorHAnsi" w:cstheme="minorBidi"/>
          <w:snapToGrid/>
          <w:sz w:val="24"/>
          <w:szCs w:val="22"/>
        </w:rPr>
        <w:t xml:space="preserve"> experience of biosimilar medicines has demonstrated no difference in the safety or health outcomes of patients who have switched from the reference to the biosimilar agent, compared with remaining on the reference biological medicine.</w:t>
      </w:r>
      <w:r w:rsidR="00177404" w:rsidRPr="000622B1">
        <w:rPr>
          <w:rFonts w:asciiTheme="minorHAnsi" w:eastAsiaTheme="minorHAnsi" w:hAnsiTheme="minorHAnsi" w:cstheme="minorBidi"/>
          <w:snapToGrid/>
          <w:sz w:val="24"/>
          <w:szCs w:val="22"/>
        </w:rPr>
        <w:t xml:space="preserve"> </w:t>
      </w:r>
      <w:r w:rsidR="00344728" w:rsidRPr="000622B1">
        <w:rPr>
          <w:rFonts w:asciiTheme="minorHAnsi" w:eastAsiaTheme="minorHAnsi" w:hAnsiTheme="minorHAnsi" w:cstheme="minorBidi"/>
          <w:snapToGrid/>
          <w:sz w:val="24"/>
          <w:szCs w:val="22"/>
        </w:rPr>
        <w:t>The</w:t>
      </w:r>
      <w:r w:rsidR="004E183F" w:rsidRPr="000622B1">
        <w:rPr>
          <w:rFonts w:asciiTheme="minorHAnsi" w:eastAsiaTheme="minorHAnsi" w:hAnsiTheme="minorHAnsi" w:cstheme="minorBidi"/>
          <w:snapToGrid/>
          <w:sz w:val="24"/>
          <w:szCs w:val="22"/>
        </w:rPr>
        <w:t>re</w:t>
      </w:r>
      <w:r w:rsidR="00344728" w:rsidRPr="000622B1">
        <w:rPr>
          <w:rFonts w:asciiTheme="minorHAnsi" w:eastAsiaTheme="minorHAnsi" w:hAnsiTheme="minorHAnsi" w:cstheme="minorBidi"/>
          <w:snapToGrid/>
          <w:sz w:val="24"/>
          <w:szCs w:val="22"/>
        </w:rPr>
        <w:t xml:space="preserve"> </w:t>
      </w:r>
      <w:r w:rsidR="00F749AE" w:rsidRPr="000622B1">
        <w:rPr>
          <w:rFonts w:asciiTheme="minorHAnsi" w:eastAsiaTheme="minorHAnsi" w:hAnsiTheme="minorHAnsi" w:cstheme="minorBidi"/>
          <w:snapToGrid/>
          <w:sz w:val="24"/>
          <w:szCs w:val="22"/>
        </w:rPr>
        <w:t>are</w:t>
      </w:r>
      <w:r w:rsidR="00C97458" w:rsidRPr="000622B1">
        <w:rPr>
          <w:rFonts w:asciiTheme="minorHAnsi" w:eastAsiaTheme="minorHAnsi" w:hAnsiTheme="minorHAnsi" w:cstheme="minorBidi"/>
          <w:snapToGrid/>
          <w:sz w:val="24"/>
          <w:szCs w:val="22"/>
        </w:rPr>
        <w:t xml:space="preserve"> publication</w:t>
      </w:r>
      <w:r w:rsidR="00F749AE" w:rsidRPr="000622B1">
        <w:rPr>
          <w:rFonts w:asciiTheme="minorHAnsi" w:eastAsiaTheme="minorHAnsi" w:hAnsiTheme="minorHAnsi" w:cstheme="minorBidi"/>
          <w:snapToGrid/>
          <w:sz w:val="24"/>
          <w:szCs w:val="22"/>
        </w:rPr>
        <w:t>s</w:t>
      </w:r>
      <w:r w:rsidR="00C97458" w:rsidRPr="000622B1">
        <w:rPr>
          <w:rFonts w:asciiTheme="minorHAnsi" w:eastAsiaTheme="minorHAnsi" w:hAnsiTheme="minorHAnsi" w:cstheme="minorBidi"/>
          <w:snapToGrid/>
          <w:sz w:val="24"/>
          <w:szCs w:val="22"/>
        </w:rPr>
        <w:t xml:space="preserve"> </w:t>
      </w:r>
      <w:r w:rsidR="00B47B8A" w:rsidRPr="000622B1">
        <w:rPr>
          <w:rFonts w:asciiTheme="minorHAnsi" w:eastAsiaTheme="minorHAnsi" w:hAnsiTheme="minorHAnsi" w:cstheme="minorBidi"/>
          <w:snapToGrid/>
          <w:sz w:val="24"/>
          <w:szCs w:val="22"/>
        </w:rPr>
        <w:t>of studies investigating multiple switching between biosimilars and the reference brand w</w:t>
      </w:r>
      <w:r w:rsidR="00F749AE" w:rsidRPr="000622B1">
        <w:rPr>
          <w:rFonts w:asciiTheme="minorHAnsi" w:eastAsiaTheme="minorHAnsi" w:hAnsiTheme="minorHAnsi" w:cstheme="minorBidi"/>
          <w:snapToGrid/>
          <w:sz w:val="24"/>
          <w:szCs w:val="22"/>
        </w:rPr>
        <w:t>hich show</w:t>
      </w:r>
      <w:r w:rsidR="00B47B8A" w:rsidRPr="000622B1">
        <w:rPr>
          <w:rFonts w:asciiTheme="minorHAnsi" w:eastAsiaTheme="minorHAnsi" w:hAnsiTheme="minorHAnsi" w:cstheme="minorBidi"/>
          <w:snapToGrid/>
          <w:sz w:val="24"/>
          <w:szCs w:val="22"/>
        </w:rPr>
        <w:t xml:space="preserve"> no loss of efficacy or increase in safety issues</w:t>
      </w:r>
      <w:r w:rsidR="004E183F" w:rsidRPr="000622B1">
        <w:rPr>
          <w:rFonts w:asciiTheme="minorHAnsi" w:eastAsiaTheme="minorHAnsi" w:hAnsiTheme="minorHAnsi" w:cstheme="minorBidi"/>
          <w:snapToGrid/>
          <w:sz w:val="24"/>
          <w:szCs w:val="22"/>
        </w:rPr>
        <w:t xml:space="preserve">. </w:t>
      </w:r>
    </w:p>
    <w:p w:rsidR="00A013C4" w:rsidRPr="000622B1" w:rsidRDefault="00A013C4" w:rsidP="004E183F">
      <w:pPr>
        <w:rPr>
          <w:rFonts w:asciiTheme="minorHAnsi" w:hAnsiTheme="minorHAnsi"/>
        </w:rPr>
      </w:pPr>
    </w:p>
    <w:p w:rsidR="00310A8D" w:rsidRPr="000622B1" w:rsidRDefault="00310A8D" w:rsidP="00E12436">
      <w:pPr>
        <w:pStyle w:val="PBACheading1"/>
        <w:rPr>
          <w:rFonts w:asciiTheme="minorHAnsi" w:hAnsiTheme="minorHAnsi"/>
          <w:sz w:val="24"/>
          <w:szCs w:val="24"/>
        </w:rPr>
      </w:pPr>
      <w:r w:rsidRPr="000622B1">
        <w:rPr>
          <w:rFonts w:asciiTheme="minorHAnsi" w:hAnsiTheme="minorHAnsi"/>
          <w:sz w:val="24"/>
          <w:szCs w:val="24"/>
        </w:rPr>
        <w:t>P</w:t>
      </w:r>
      <w:r w:rsidR="00F835E6" w:rsidRPr="000622B1">
        <w:rPr>
          <w:rFonts w:asciiTheme="minorHAnsi" w:hAnsiTheme="minorHAnsi"/>
          <w:sz w:val="24"/>
          <w:szCs w:val="24"/>
        </w:rPr>
        <w:t>BAC Outcome</w:t>
      </w:r>
    </w:p>
    <w:p w:rsidR="00400CFC" w:rsidRPr="000622B1" w:rsidRDefault="00400CFC" w:rsidP="00400CFC">
      <w:pPr>
        <w:pStyle w:val="ListParagraph"/>
        <w:ind w:left="720"/>
        <w:rPr>
          <w:rFonts w:asciiTheme="minorHAnsi" w:hAnsiTheme="minorHAnsi"/>
        </w:rPr>
      </w:pPr>
    </w:p>
    <w:p w:rsidR="00FA2051" w:rsidRDefault="00FA2051" w:rsidP="00FA2051">
      <w:pPr>
        <w:pStyle w:val="ListParagraph"/>
        <w:widowControl/>
        <w:numPr>
          <w:ilvl w:val="1"/>
          <w:numId w:val="20"/>
        </w:numPr>
        <w:spacing w:after="120"/>
        <w:contextualSpacing w:val="0"/>
        <w:rPr>
          <w:rFonts w:asciiTheme="minorHAnsi" w:eastAsiaTheme="minorHAnsi" w:hAnsiTheme="minorHAnsi" w:cstheme="minorBidi"/>
          <w:snapToGrid/>
          <w:sz w:val="24"/>
          <w:szCs w:val="22"/>
        </w:rPr>
      </w:pPr>
      <w:r w:rsidRPr="00FA2051">
        <w:rPr>
          <w:rFonts w:asciiTheme="minorHAnsi" w:eastAsiaTheme="minorHAnsi" w:hAnsiTheme="minorHAnsi" w:cstheme="minorBidi"/>
          <w:snapToGrid/>
          <w:sz w:val="24"/>
          <w:szCs w:val="22"/>
        </w:rPr>
        <w:t xml:space="preserve">The PBAC advised that the following revised considerations will be used to </w:t>
      </w:r>
      <w:r w:rsidR="003E6889">
        <w:rPr>
          <w:rFonts w:asciiTheme="minorHAnsi" w:eastAsiaTheme="minorHAnsi" w:hAnsiTheme="minorHAnsi" w:cstheme="minorBidi"/>
          <w:snapToGrid/>
          <w:sz w:val="24"/>
          <w:szCs w:val="22"/>
        </w:rPr>
        <w:t>inform</w:t>
      </w:r>
      <w:r w:rsidR="003E6889" w:rsidRPr="00BE7774">
        <w:rPr>
          <w:rFonts w:asciiTheme="minorHAnsi" w:eastAsiaTheme="minorHAnsi" w:hAnsiTheme="minorHAnsi" w:cstheme="minorBidi"/>
          <w:snapToGrid/>
          <w:sz w:val="24"/>
          <w:szCs w:val="22"/>
        </w:rPr>
        <w:t xml:space="preserve"> </w:t>
      </w:r>
      <w:r w:rsidR="003E6889">
        <w:rPr>
          <w:rFonts w:asciiTheme="minorHAnsi" w:eastAsiaTheme="minorHAnsi" w:hAnsiTheme="minorHAnsi" w:cstheme="minorBidi"/>
          <w:snapToGrid/>
          <w:sz w:val="24"/>
          <w:szCs w:val="22"/>
        </w:rPr>
        <w:t>the formation of advice</w:t>
      </w:r>
      <w:r w:rsidRPr="00BE7774">
        <w:rPr>
          <w:rFonts w:asciiTheme="minorHAnsi" w:eastAsiaTheme="minorHAnsi" w:hAnsiTheme="minorHAnsi" w:cstheme="minorBidi"/>
          <w:snapToGrid/>
          <w:sz w:val="24"/>
          <w:szCs w:val="22"/>
        </w:rPr>
        <w:t xml:space="preserve"> on brand equivalence</w:t>
      </w:r>
      <w:r>
        <w:rPr>
          <w:rFonts w:asciiTheme="minorHAnsi" w:eastAsiaTheme="minorHAnsi" w:hAnsiTheme="minorHAnsi" w:cstheme="minorBidi"/>
          <w:snapToGrid/>
          <w:sz w:val="24"/>
          <w:szCs w:val="22"/>
        </w:rPr>
        <w:t xml:space="preserve"> (‘a’ flagged) of biosimilars with the reference brand;</w:t>
      </w:r>
    </w:p>
    <w:p w:rsidR="00FA2051" w:rsidRPr="00FA2051" w:rsidRDefault="00FA2051" w:rsidP="008A670B">
      <w:pPr>
        <w:pStyle w:val="PBACheading1"/>
        <w:numPr>
          <w:ilvl w:val="0"/>
          <w:numId w:val="49"/>
        </w:numPr>
        <w:ind w:left="1434" w:hanging="357"/>
        <w:outlineLvl w:val="9"/>
        <w:rPr>
          <w:rFonts w:asciiTheme="minorHAnsi" w:eastAsiaTheme="minorHAnsi" w:hAnsiTheme="minorHAnsi"/>
          <w:b w:val="0"/>
          <w:snapToGrid/>
          <w:sz w:val="24"/>
          <w:szCs w:val="24"/>
        </w:rPr>
      </w:pPr>
      <w:r w:rsidRPr="00FA2051">
        <w:rPr>
          <w:rFonts w:asciiTheme="minorHAnsi" w:eastAsiaTheme="minorHAnsi" w:hAnsiTheme="minorHAnsi"/>
          <w:b w:val="0"/>
          <w:snapToGrid/>
          <w:sz w:val="24"/>
          <w:szCs w:val="24"/>
        </w:rPr>
        <w:t xml:space="preserve">The Therapeutic Goods Administration </w:t>
      </w:r>
      <w:r w:rsidR="00A866F7">
        <w:rPr>
          <w:rFonts w:asciiTheme="minorHAnsi" w:eastAsiaTheme="minorHAnsi" w:hAnsiTheme="minorHAnsi"/>
          <w:b w:val="0"/>
          <w:snapToGrid/>
          <w:sz w:val="24"/>
          <w:szCs w:val="24"/>
        </w:rPr>
        <w:t xml:space="preserve">(TGA) </w:t>
      </w:r>
      <w:r w:rsidRPr="00FA2051">
        <w:rPr>
          <w:rFonts w:asciiTheme="minorHAnsi" w:eastAsiaTheme="minorHAnsi" w:hAnsiTheme="minorHAnsi"/>
          <w:b w:val="0"/>
          <w:snapToGrid/>
          <w:sz w:val="24"/>
          <w:szCs w:val="24"/>
        </w:rPr>
        <w:t>has determined that the product is a biosimilar of the reference medicine as evidenced by ARTG registration documentation;</w:t>
      </w:r>
    </w:p>
    <w:p w:rsidR="00FA2051" w:rsidRPr="00FA2051" w:rsidRDefault="00FA2051" w:rsidP="008A670B">
      <w:pPr>
        <w:pStyle w:val="PBACheading1"/>
        <w:numPr>
          <w:ilvl w:val="0"/>
          <w:numId w:val="49"/>
        </w:numPr>
        <w:ind w:left="1434" w:hanging="357"/>
        <w:outlineLvl w:val="9"/>
        <w:rPr>
          <w:rFonts w:asciiTheme="minorHAnsi" w:eastAsiaTheme="minorHAnsi" w:hAnsiTheme="minorHAnsi"/>
          <w:b w:val="0"/>
          <w:snapToGrid/>
          <w:sz w:val="24"/>
          <w:szCs w:val="24"/>
        </w:rPr>
      </w:pPr>
      <w:r w:rsidRPr="00FA2051">
        <w:rPr>
          <w:rFonts w:asciiTheme="minorHAnsi" w:eastAsiaTheme="minorHAnsi" w:hAnsiTheme="minorHAnsi"/>
          <w:b w:val="0"/>
          <w:snapToGrid/>
          <w:sz w:val="24"/>
          <w:szCs w:val="24"/>
        </w:rPr>
        <w:t>Availability of supportive data relating to the effects of switching between the reference product and the biosimilar product/s; and</w:t>
      </w:r>
    </w:p>
    <w:p w:rsidR="00477397" w:rsidRPr="008A670B" w:rsidRDefault="00FA2051" w:rsidP="008A670B">
      <w:pPr>
        <w:pStyle w:val="PBACheading1"/>
        <w:numPr>
          <w:ilvl w:val="0"/>
          <w:numId w:val="49"/>
        </w:numPr>
        <w:ind w:left="1434" w:hanging="357"/>
        <w:outlineLvl w:val="9"/>
        <w:rPr>
          <w:rFonts w:asciiTheme="minorHAnsi" w:eastAsiaTheme="minorHAnsi" w:hAnsiTheme="minorHAnsi"/>
          <w:b w:val="0"/>
          <w:snapToGrid/>
          <w:sz w:val="24"/>
          <w:szCs w:val="24"/>
        </w:rPr>
      </w:pPr>
      <w:r w:rsidRPr="00FA2051">
        <w:rPr>
          <w:rFonts w:asciiTheme="minorHAnsi" w:eastAsiaTheme="minorHAnsi" w:hAnsiTheme="minorHAnsi"/>
          <w:b w:val="0"/>
          <w:snapToGrid/>
          <w:sz w:val="24"/>
          <w:szCs w:val="24"/>
        </w:rPr>
        <w:t>Practical considerations relating to substitution by the pharmacist at the point of dispensing. This includes strength of formulation, number of units per pack and maximum quantities between the brands, which may make substitution at the pharmacy level difficult from a practical perspective.</w:t>
      </w:r>
    </w:p>
    <w:p w:rsidR="008A670B" w:rsidRPr="008A670B" w:rsidRDefault="008A670B" w:rsidP="008A670B">
      <w:pPr>
        <w:widowControl/>
        <w:spacing w:after="120"/>
        <w:rPr>
          <w:rFonts w:asciiTheme="minorHAnsi" w:hAnsiTheme="minorHAnsi"/>
        </w:rPr>
      </w:pPr>
    </w:p>
    <w:p w:rsidR="000622B1" w:rsidRPr="000622B1" w:rsidRDefault="004606B1" w:rsidP="0080111E">
      <w:pPr>
        <w:pStyle w:val="ListParagraph"/>
        <w:widowControl/>
        <w:numPr>
          <w:ilvl w:val="1"/>
          <w:numId w:val="20"/>
        </w:numPr>
        <w:spacing w:after="120"/>
        <w:contextualSpacing w:val="0"/>
        <w:rPr>
          <w:rFonts w:asciiTheme="minorHAnsi" w:hAnsiTheme="minorHAnsi"/>
          <w:i/>
        </w:rPr>
      </w:pPr>
      <w:r w:rsidRPr="000622B1">
        <w:rPr>
          <w:rFonts w:asciiTheme="minorHAnsi" w:eastAsiaTheme="minorHAnsi" w:hAnsiTheme="minorHAnsi" w:cstheme="minorBidi"/>
          <w:snapToGrid/>
          <w:sz w:val="24"/>
          <w:szCs w:val="22"/>
        </w:rPr>
        <w:t xml:space="preserve">The PBAC considered that </w:t>
      </w:r>
      <w:r w:rsidR="00D17764" w:rsidRPr="000622B1">
        <w:rPr>
          <w:rFonts w:asciiTheme="minorHAnsi" w:eastAsiaTheme="minorHAnsi" w:hAnsiTheme="minorHAnsi" w:cstheme="minorBidi"/>
          <w:snapToGrid/>
          <w:sz w:val="24"/>
          <w:szCs w:val="22"/>
        </w:rPr>
        <w:t xml:space="preserve">the </w:t>
      </w:r>
      <w:r w:rsidR="00C95534" w:rsidRPr="000622B1">
        <w:rPr>
          <w:rFonts w:asciiTheme="minorHAnsi" w:eastAsiaTheme="minorHAnsi" w:hAnsiTheme="minorHAnsi" w:cstheme="minorBidi"/>
          <w:snapToGrid/>
          <w:sz w:val="24"/>
          <w:szCs w:val="22"/>
        </w:rPr>
        <w:t>information</w:t>
      </w:r>
      <w:r w:rsidR="00D17764" w:rsidRPr="000622B1">
        <w:rPr>
          <w:rFonts w:asciiTheme="minorHAnsi" w:eastAsiaTheme="minorHAnsi" w:hAnsiTheme="minorHAnsi" w:cstheme="minorBidi"/>
          <w:snapToGrid/>
          <w:sz w:val="24"/>
          <w:szCs w:val="22"/>
        </w:rPr>
        <w:t xml:space="preserve"> </w:t>
      </w:r>
      <w:r w:rsidR="00A866F7">
        <w:rPr>
          <w:rFonts w:asciiTheme="minorHAnsi" w:eastAsiaTheme="minorHAnsi" w:hAnsiTheme="minorHAnsi" w:cstheme="minorBidi"/>
          <w:snapToGrid/>
          <w:sz w:val="24"/>
          <w:szCs w:val="22"/>
        </w:rPr>
        <w:t>regarding</w:t>
      </w:r>
      <w:r w:rsidR="00D17764" w:rsidRPr="000622B1">
        <w:rPr>
          <w:rFonts w:asciiTheme="minorHAnsi" w:eastAsiaTheme="minorHAnsi" w:hAnsiTheme="minorHAnsi" w:cstheme="minorBidi"/>
          <w:snapToGrid/>
          <w:sz w:val="24"/>
          <w:szCs w:val="22"/>
        </w:rPr>
        <w:t xml:space="preserve"> biosimilar</w:t>
      </w:r>
      <w:r w:rsidR="00A866F7">
        <w:rPr>
          <w:rFonts w:asciiTheme="minorHAnsi" w:eastAsiaTheme="minorHAnsi" w:hAnsiTheme="minorHAnsi" w:cstheme="minorBidi"/>
          <w:snapToGrid/>
          <w:sz w:val="24"/>
          <w:szCs w:val="22"/>
        </w:rPr>
        <w:t>s</w:t>
      </w:r>
      <w:r w:rsidR="00D17764" w:rsidRPr="000622B1">
        <w:rPr>
          <w:rFonts w:asciiTheme="minorHAnsi" w:eastAsiaTheme="minorHAnsi" w:hAnsiTheme="minorHAnsi" w:cstheme="minorBidi"/>
          <w:snapToGrid/>
          <w:sz w:val="24"/>
          <w:szCs w:val="22"/>
        </w:rPr>
        <w:t xml:space="preserve"> has evolved significantly over the last 3 years.</w:t>
      </w:r>
      <w:r w:rsidR="000622B1">
        <w:rPr>
          <w:rFonts w:asciiTheme="minorHAnsi" w:eastAsiaTheme="minorHAnsi" w:hAnsiTheme="minorHAnsi" w:cstheme="minorBidi"/>
          <w:snapToGrid/>
          <w:sz w:val="24"/>
          <w:szCs w:val="22"/>
        </w:rPr>
        <w:t xml:space="preserve"> </w:t>
      </w:r>
      <w:r w:rsidR="00BB5F77" w:rsidRPr="000622B1">
        <w:rPr>
          <w:rFonts w:asciiTheme="minorHAnsi" w:eastAsiaTheme="minorHAnsi" w:hAnsiTheme="minorHAnsi" w:cstheme="minorBidi"/>
          <w:snapToGrid/>
          <w:sz w:val="24"/>
          <w:szCs w:val="22"/>
        </w:rPr>
        <w:t xml:space="preserve">The PBAC </w:t>
      </w:r>
      <w:r w:rsidR="00BE7774">
        <w:rPr>
          <w:rFonts w:asciiTheme="minorHAnsi" w:eastAsiaTheme="minorHAnsi" w:hAnsiTheme="minorHAnsi" w:cstheme="minorBidi"/>
          <w:snapToGrid/>
          <w:sz w:val="24"/>
          <w:szCs w:val="22"/>
        </w:rPr>
        <w:t>acknowledged</w:t>
      </w:r>
      <w:r w:rsidR="0080111E" w:rsidRPr="000622B1">
        <w:rPr>
          <w:rFonts w:asciiTheme="minorHAnsi" w:eastAsiaTheme="minorHAnsi" w:hAnsiTheme="minorHAnsi" w:cstheme="minorBidi"/>
          <w:snapToGrid/>
          <w:sz w:val="24"/>
          <w:szCs w:val="22"/>
        </w:rPr>
        <w:t xml:space="preserve"> that according to the biosimilar regulatory pathway guidelines, TGA cannot make a determination of biosimilarity if concerning evidence </w:t>
      </w:r>
      <w:r w:rsidR="00A866F7" w:rsidRPr="000622B1">
        <w:rPr>
          <w:rFonts w:asciiTheme="minorHAnsi" w:eastAsiaTheme="minorHAnsi" w:hAnsiTheme="minorHAnsi" w:cstheme="minorBidi"/>
          <w:snapToGrid/>
          <w:sz w:val="24"/>
          <w:szCs w:val="22"/>
        </w:rPr>
        <w:t>exist</w:t>
      </w:r>
      <w:r w:rsidR="00A866F7">
        <w:rPr>
          <w:rFonts w:asciiTheme="minorHAnsi" w:eastAsiaTheme="minorHAnsi" w:hAnsiTheme="minorHAnsi" w:cstheme="minorBidi"/>
          <w:snapToGrid/>
          <w:sz w:val="24"/>
          <w:szCs w:val="22"/>
        </w:rPr>
        <w:t>s</w:t>
      </w:r>
      <w:r w:rsidR="00A866F7" w:rsidRPr="000622B1">
        <w:rPr>
          <w:rFonts w:asciiTheme="minorHAnsi" w:eastAsiaTheme="minorHAnsi" w:hAnsiTheme="minorHAnsi" w:cstheme="minorBidi"/>
          <w:snapToGrid/>
          <w:sz w:val="24"/>
          <w:szCs w:val="22"/>
        </w:rPr>
        <w:t xml:space="preserve"> </w:t>
      </w:r>
      <w:r w:rsidR="0080111E" w:rsidRPr="000622B1">
        <w:rPr>
          <w:rFonts w:asciiTheme="minorHAnsi" w:eastAsiaTheme="minorHAnsi" w:hAnsiTheme="minorHAnsi" w:cstheme="minorBidi"/>
          <w:snapToGrid/>
          <w:sz w:val="24"/>
          <w:szCs w:val="22"/>
        </w:rPr>
        <w:t xml:space="preserve">relating to differences in efficacy or safety between the biosimilar and the reference medicines. </w:t>
      </w:r>
    </w:p>
    <w:p w:rsidR="00D91E5C" w:rsidRPr="00D91E5C" w:rsidRDefault="000622B1" w:rsidP="0080111E">
      <w:pPr>
        <w:pStyle w:val="ListParagraph"/>
        <w:widowControl/>
        <w:numPr>
          <w:ilvl w:val="1"/>
          <w:numId w:val="20"/>
        </w:numPr>
        <w:spacing w:after="120"/>
        <w:contextualSpacing w:val="0"/>
        <w:rPr>
          <w:rFonts w:asciiTheme="minorHAnsi" w:hAnsiTheme="minorHAnsi"/>
          <w:i/>
          <w:sz w:val="24"/>
          <w:szCs w:val="24"/>
        </w:rPr>
      </w:pPr>
      <w:r w:rsidRPr="000622B1">
        <w:rPr>
          <w:rFonts w:asciiTheme="minorHAnsi" w:eastAsiaTheme="minorHAnsi" w:hAnsiTheme="minorHAnsi" w:cstheme="minorBidi"/>
          <w:snapToGrid/>
          <w:sz w:val="24"/>
          <w:szCs w:val="24"/>
        </w:rPr>
        <w:lastRenderedPageBreak/>
        <w:t xml:space="preserve">The </w:t>
      </w:r>
      <w:r w:rsidR="0080111E" w:rsidRPr="000622B1">
        <w:rPr>
          <w:rFonts w:asciiTheme="minorHAnsi" w:eastAsiaTheme="minorHAnsi" w:hAnsiTheme="minorHAnsi" w:cstheme="minorBidi"/>
          <w:snapToGrid/>
          <w:sz w:val="24"/>
          <w:szCs w:val="24"/>
        </w:rPr>
        <w:t>PBAC agreed</w:t>
      </w:r>
      <w:r w:rsidR="00BB5F77" w:rsidRPr="000622B1">
        <w:rPr>
          <w:rFonts w:asciiTheme="minorHAnsi" w:eastAsiaTheme="minorHAnsi" w:hAnsiTheme="minorHAnsi" w:cstheme="minorBidi"/>
          <w:snapToGrid/>
          <w:sz w:val="24"/>
          <w:szCs w:val="24"/>
        </w:rPr>
        <w:t xml:space="preserve"> to</w:t>
      </w:r>
      <w:r w:rsidR="002C7938" w:rsidRPr="000622B1">
        <w:rPr>
          <w:rFonts w:asciiTheme="minorHAnsi" w:eastAsiaTheme="minorHAnsi" w:hAnsiTheme="minorHAnsi" w:cstheme="minorBidi"/>
          <w:snapToGrid/>
          <w:sz w:val="24"/>
          <w:szCs w:val="24"/>
        </w:rPr>
        <w:t xml:space="preserve"> </w:t>
      </w:r>
      <w:r w:rsidR="0080111E" w:rsidRPr="000622B1">
        <w:rPr>
          <w:rFonts w:asciiTheme="minorHAnsi" w:eastAsiaTheme="minorHAnsi" w:hAnsiTheme="minorHAnsi" w:cstheme="minorBidi"/>
          <w:snapToGrid/>
          <w:sz w:val="24"/>
          <w:szCs w:val="24"/>
        </w:rPr>
        <w:t xml:space="preserve">remove </w:t>
      </w:r>
      <w:r w:rsidR="00D91E5C">
        <w:rPr>
          <w:rFonts w:asciiTheme="minorHAnsi" w:eastAsiaTheme="minorHAnsi" w:hAnsiTheme="minorHAnsi" w:cstheme="minorBidi"/>
          <w:snapToGrid/>
          <w:sz w:val="24"/>
          <w:szCs w:val="24"/>
        </w:rPr>
        <w:t xml:space="preserve">from the original </w:t>
      </w:r>
      <w:r w:rsidR="00D91E5C" w:rsidRPr="000622B1">
        <w:rPr>
          <w:rFonts w:asciiTheme="minorHAnsi" w:hAnsiTheme="minorHAnsi"/>
          <w:sz w:val="24"/>
          <w:szCs w:val="24"/>
        </w:rPr>
        <w:t xml:space="preserve">considerations </w:t>
      </w:r>
      <w:r w:rsidR="00D91E5C">
        <w:rPr>
          <w:rFonts w:asciiTheme="minorHAnsi" w:hAnsiTheme="minorHAnsi"/>
          <w:sz w:val="24"/>
          <w:szCs w:val="24"/>
        </w:rPr>
        <w:t xml:space="preserve">(see paragraph 2.2) </w:t>
      </w:r>
      <w:r w:rsidR="00EB66F6" w:rsidRPr="000622B1">
        <w:rPr>
          <w:rFonts w:asciiTheme="minorHAnsi" w:eastAsiaTheme="minorHAnsi" w:hAnsiTheme="minorHAnsi" w:cstheme="minorBidi"/>
          <w:snapToGrid/>
          <w:sz w:val="24"/>
          <w:szCs w:val="24"/>
        </w:rPr>
        <w:t xml:space="preserve">the first, second and fourth </w:t>
      </w:r>
      <w:r w:rsidR="00D91E5C">
        <w:rPr>
          <w:rFonts w:asciiTheme="minorHAnsi" w:eastAsiaTheme="minorHAnsi" w:hAnsiTheme="minorHAnsi" w:cstheme="minorBidi"/>
          <w:snapToGrid/>
          <w:sz w:val="24"/>
          <w:szCs w:val="24"/>
        </w:rPr>
        <w:t xml:space="preserve">dot point </w:t>
      </w:r>
      <w:r w:rsidR="00A866F7">
        <w:rPr>
          <w:rFonts w:asciiTheme="minorHAnsi" w:hAnsiTheme="minorHAnsi"/>
          <w:sz w:val="24"/>
          <w:szCs w:val="24"/>
        </w:rPr>
        <w:t>for</w:t>
      </w:r>
      <w:r w:rsidR="00A866F7" w:rsidRPr="000622B1">
        <w:rPr>
          <w:rFonts w:asciiTheme="minorHAnsi" w:hAnsiTheme="minorHAnsi"/>
          <w:sz w:val="24"/>
          <w:szCs w:val="24"/>
        </w:rPr>
        <w:t xml:space="preserve"> </w:t>
      </w:r>
      <w:r w:rsidR="00D91E5C">
        <w:rPr>
          <w:rFonts w:asciiTheme="minorHAnsi" w:hAnsiTheme="minorHAnsi"/>
          <w:sz w:val="24"/>
          <w:szCs w:val="24"/>
        </w:rPr>
        <w:t>advising on</w:t>
      </w:r>
      <w:r w:rsidR="00D91E5C" w:rsidRPr="000622B1">
        <w:rPr>
          <w:rFonts w:asciiTheme="minorHAnsi" w:hAnsiTheme="minorHAnsi"/>
          <w:sz w:val="24"/>
          <w:szCs w:val="24"/>
        </w:rPr>
        <w:t xml:space="preserve"> </w:t>
      </w:r>
      <w:r w:rsidR="00976386" w:rsidRPr="000622B1">
        <w:rPr>
          <w:rFonts w:asciiTheme="minorHAnsi" w:hAnsiTheme="minorHAnsi"/>
          <w:sz w:val="24"/>
          <w:szCs w:val="24"/>
        </w:rPr>
        <w:t>brand equivalence between the biosimilar and reference brand</w:t>
      </w:r>
      <w:r w:rsidR="00D00876">
        <w:rPr>
          <w:rFonts w:asciiTheme="minorHAnsi" w:hAnsiTheme="minorHAnsi"/>
          <w:sz w:val="24"/>
          <w:szCs w:val="24"/>
        </w:rPr>
        <w:t>s</w:t>
      </w:r>
      <w:r w:rsidR="00976386" w:rsidRPr="000622B1">
        <w:rPr>
          <w:rFonts w:asciiTheme="minorHAnsi" w:hAnsiTheme="minorHAnsi"/>
          <w:sz w:val="24"/>
          <w:szCs w:val="24"/>
        </w:rPr>
        <w:t>,</w:t>
      </w:r>
      <w:r w:rsidR="00976386" w:rsidRPr="000622B1" w:rsidDel="00976386">
        <w:rPr>
          <w:rFonts w:asciiTheme="minorHAnsi" w:eastAsiaTheme="minorHAnsi" w:hAnsiTheme="minorHAnsi" w:cstheme="minorBidi"/>
          <w:snapToGrid/>
          <w:sz w:val="24"/>
          <w:szCs w:val="24"/>
        </w:rPr>
        <w:t xml:space="preserve"> </w:t>
      </w:r>
      <w:r w:rsidR="00EB66F6" w:rsidRPr="000622B1">
        <w:rPr>
          <w:rFonts w:asciiTheme="minorHAnsi" w:eastAsiaTheme="minorHAnsi" w:hAnsiTheme="minorHAnsi" w:cstheme="minorBidi"/>
          <w:snapToGrid/>
          <w:sz w:val="24"/>
          <w:szCs w:val="24"/>
        </w:rPr>
        <w:t xml:space="preserve">as these </w:t>
      </w:r>
      <w:r w:rsidR="00A866F7">
        <w:rPr>
          <w:rFonts w:asciiTheme="minorHAnsi" w:eastAsiaTheme="minorHAnsi" w:hAnsiTheme="minorHAnsi" w:cstheme="minorBidi"/>
          <w:snapToGrid/>
          <w:sz w:val="24"/>
          <w:szCs w:val="24"/>
        </w:rPr>
        <w:t xml:space="preserve">considerations </w:t>
      </w:r>
      <w:r w:rsidR="00EB66F6" w:rsidRPr="000622B1">
        <w:rPr>
          <w:rFonts w:asciiTheme="minorHAnsi" w:eastAsiaTheme="minorHAnsi" w:hAnsiTheme="minorHAnsi" w:cstheme="minorBidi"/>
          <w:snapToGrid/>
          <w:sz w:val="24"/>
          <w:szCs w:val="24"/>
        </w:rPr>
        <w:t xml:space="preserve">are </w:t>
      </w:r>
      <w:r w:rsidR="00A866F7">
        <w:rPr>
          <w:rFonts w:asciiTheme="minorHAnsi" w:eastAsiaTheme="minorHAnsi" w:hAnsiTheme="minorHAnsi" w:cstheme="minorBidi"/>
          <w:snapToGrid/>
          <w:sz w:val="24"/>
          <w:szCs w:val="24"/>
        </w:rPr>
        <w:t>addressed</w:t>
      </w:r>
      <w:r w:rsidR="00A866F7" w:rsidRPr="000622B1">
        <w:rPr>
          <w:rFonts w:asciiTheme="minorHAnsi" w:eastAsiaTheme="minorHAnsi" w:hAnsiTheme="minorHAnsi" w:cstheme="minorBidi"/>
          <w:snapToGrid/>
          <w:sz w:val="24"/>
          <w:szCs w:val="24"/>
        </w:rPr>
        <w:t xml:space="preserve"> </w:t>
      </w:r>
      <w:r w:rsidR="00EB66F6" w:rsidRPr="000622B1">
        <w:rPr>
          <w:rFonts w:asciiTheme="minorHAnsi" w:eastAsiaTheme="minorHAnsi" w:hAnsiTheme="minorHAnsi" w:cstheme="minorBidi"/>
          <w:snapToGrid/>
          <w:sz w:val="24"/>
          <w:szCs w:val="24"/>
        </w:rPr>
        <w:t>by the</w:t>
      </w:r>
      <w:r w:rsidR="002C7938" w:rsidRPr="000622B1">
        <w:rPr>
          <w:rFonts w:asciiTheme="minorHAnsi" w:eastAsiaTheme="minorHAnsi" w:hAnsiTheme="minorHAnsi" w:cstheme="minorBidi"/>
          <w:snapToGrid/>
          <w:sz w:val="24"/>
          <w:szCs w:val="24"/>
        </w:rPr>
        <w:t xml:space="preserve"> evaluation conducted by the</w:t>
      </w:r>
      <w:r w:rsidR="00EB66F6" w:rsidRPr="000622B1">
        <w:rPr>
          <w:rFonts w:asciiTheme="minorHAnsi" w:eastAsiaTheme="minorHAnsi" w:hAnsiTheme="minorHAnsi" w:cstheme="minorBidi"/>
          <w:snapToGrid/>
          <w:sz w:val="24"/>
          <w:szCs w:val="24"/>
        </w:rPr>
        <w:t xml:space="preserve"> TGA. </w:t>
      </w:r>
    </w:p>
    <w:p w:rsidR="00BB5F77" w:rsidRPr="000622B1" w:rsidRDefault="00A866F7" w:rsidP="0080111E">
      <w:pPr>
        <w:pStyle w:val="ListParagraph"/>
        <w:widowControl/>
        <w:numPr>
          <w:ilvl w:val="1"/>
          <w:numId w:val="20"/>
        </w:numPr>
        <w:spacing w:after="120"/>
        <w:contextualSpacing w:val="0"/>
        <w:rPr>
          <w:rFonts w:asciiTheme="minorHAnsi" w:hAnsiTheme="minorHAnsi"/>
          <w:i/>
          <w:sz w:val="24"/>
          <w:szCs w:val="24"/>
        </w:rPr>
      </w:pPr>
      <w:r>
        <w:rPr>
          <w:rFonts w:asciiTheme="minorHAnsi" w:eastAsiaTheme="minorHAnsi" w:hAnsiTheme="minorHAnsi" w:cstheme="minorBidi"/>
          <w:snapToGrid/>
          <w:sz w:val="24"/>
          <w:szCs w:val="24"/>
        </w:rPr>
        <w:t xml:space="preserve">The PBAC </w:t>
      </w:r>
      <w:r w:rsidR="003E6889">
        <w:rPr>
          <w:rFonts w:asciiTheme="minorHAnsi" w:eastAsiaTheme="minorHAnsi" w:hAnsiTheme="minorHAnsi" w:cstheme="minorBidi"/>
          <w:snapToGrid/>
          <w:sz w:val="24"/>
          <w:szCs w:val="24"/>
        </w:rPr>
        <w:t xml:space="preserve">reflected </w:t>
      </w:r>
      <w:r w:rsidR="00935FFE">
        <w:rPr>
          <w:rFonts w:asciiTheme="minorHAnsi" w:eastAsiaTheme="minorHAnsi" w:hAnsiTheme="minorHAnsi" w:cstheme="minorBidi"/>
          <w:snapToGrid/>
          <w:sz w:val="24"/>
          <w:szCs w:val="24"/>
        </w:rPr>
        <w:t>on</w:t>
      </w:r>
      <w:r w:rsidR="003E6889">
        <w:rPr>
          <w:rFonts w:asciiTheme="minorHAnsi" w:eastAsiaTheme="minorHAnsi" w:hAnsiTheme="minorHAnsi" w:cstheme="minorBidi"/>
          <w:snapToGrid/>
          <w:sz w:val="24"/>
          <w:szCs w:val="24"/>
        </w:rPr>
        <w:t xml:space="preserve"> </w:t>
      </w:r>
      <w:r w:rsidR="00935FFE">
        <w:rPr>
          <w:rFonts w:asciiTheme="minorHAnsi" w:eastAsiaTheme="minorHAnsi" w:hAnsiTheme="minorHAnsi" w:cstheme="minorBidi"/>
          <w:snapToGrid/>
          <w:sz w:val="24"/>
          <w:szCs w:val="22"/>
        </w:rPr>
        <w:t>t</w:t>
      </w:r>
      <w:r w:rsidR="00935FFE" w:rsidRPr="000622B1">
        <w:rPr>
          <w:rFonts w:asciiTheme="minorHAnsi" w:eastAsiaTheme="minorHAnsi" w:hAnsiTheme="minorHAnsi" w:cstheme="minorBidi"/>
          <w:snapToGrid/>
          <w:sz w:val="24"/>
          <w:szCs w:val="22"/>
        </w:rPr>
        <w:t xml:space="preserve">he uniqueness of biosimilars </w:t>
      </w:r>
      <w:r w:rsidR="00935FFE">
        <w:rPr>
          <w:rFonts w:asciiTheme="minorHAnsi" w:eastAsiaTheme="minorHAnsi" w:hAnsiTheme="minorHAnsi" w:cstheme="minorBidi"/>
          <w:snapToGrid/>
          <w:sz w:val="24"/>
          <w:szCs w:val="22"/>
        </w:rPr>
        <w:t>in</w:t>
      </w:r>
      <w:r w:rsidR="00935FFE" w:rsidRPr="000622B1">
        <w:rPr>
          <w:rFonts w:asciiTheme="minorHAnsi" w:eastAsiaTheme="minorHAnsi" w:hAnsiTheme="minorHAnsi" w:cstheme="minorBidi"/>
          <w:snapToGrid/>
          <w:sz w:val="24"/>
          <w:szCs w:val="22"/>
        </w:rPr>
        <w:t xml:space="preserve"> that both TGA and PBAC are focussed on the same comparative dataset. </w:t>
      </w:r>
      <w:r w:rsidR="003E6889" w:rsidRPr="000622B1">
        <w:rPr>
          <w:rFonts w:asciiTheme="minorHAnsi" w:eastAsiaTheme="minorHAnsi" w:hAnsiTheme="minorHAnsi" w:cstheme="minorBidi"/>
          <w:snapToGrid/>
          <w:sz w:val="24"/>
          <w:szCs w:val="22"/>
        </w:rPr>
        <w:t>The PBAC noted that the TGA determination of biosimilarity relies on the totality of the evidence supporting the biosimilar</w:t>
      </w:r>
      <w:r w:rsidR="00935FFE">
        <w:rPr>
          <w:rFonts w:asciiTheme="minorHAnsi" w:eastAsiaTheme="minorHAnsi" w:hAnsiTheme="minorHAnsi" w:cstheme="minorBidi"/>
          <w:snapToGrid/>
          <w:sz w:val="24"/>
          <w:szCs w:val="22"/>
        </w:rPr>
        <w:t xml:space="preserve"> which includes </w:t>
      </w:r>
      <w:r w:rsidR="00315560">
        <w:rPr>
          <w:rFonts w:asciiTheme="minorHAnsi" w:eastAsiaTheme="minorHAnsi" w:hAnsiTheme="minorHAnsi" w:cstheme="minorBidi"/>
          <w:snapToGrid/>
          <w:sz w:val="24"/>
          <w:szCs w:val="22"/>
        </w:rPr>
        <w:t>comprehensive comparability</w:t>
      </w:r>
      <w:r w:rsidR="00F00F87">
        <w:rPr>
          <w:rFonts w:asciiTheme="minorHAnsi" w:eastAsiaTheme="minorHAnsi" w:hAnsiTheme="minorHAnsi" w:cstheme="minorBidi"/>
          <w:snapToGrid/>
          <w:sz w:val="24"/>
          <w:szCs w:val="22"/>
        </w:rPr>
        <w:t xml:space="preserve"> studies</w:t>
      </w:r>
      <w:r w:rsidR="00315560" w:rsidRPr="00315560">
        <w:rPr>
          <w:rFonts w:asciiTheme="minorHAnsi" w:eastAsiaTheme="minorHAnsi" w:hAnsiTheme="minorHAnsi" w:cstheme="minorBidi"/>
          <w:snapToGrid/>
          <w:sz w:val="24"/>
          <w:szCs w:val="22"/>
        </w:rPr>
        <w:t xml:space="preserve"> </w:t>
      </w:r>
      <w:r w:rsidR="00315560">
        <w:rPr>
          <w:rFonts w:asciiTheme="minorHAnsi" w:eastAsiaTheme="minorHAnsi" w:hAnsiTheme="minorHAnsi" w:cstheme="minorBidi"/>
          <w:snapToGrid/>
          <w:sz w:val="24"/>
          <w:szCs w:val="22"/>
        </w:rPr>
        <w:t>during the preclinical assessment phase of biosimilar development.</w:t>
      </w:r>
      <w:r w:rsidR="00F00F87">
        <w:rPr>
          <w:rFonts w:asciiTheme="minorHAnsi" w:eastAsiaTheme="minorHAnsi" w:hAnsiTheme="minorHAnsi" w:cstheme="minorBidi"/>
          <w:snapToGrid/>
          <w:sz w:val="24"/>
          <w:szCs w:val="22"/>
        </w:rPr>
        <w:t xml:space="preserve"> </w:t>
      </w:r>
      <w:r w:rsidR="003E6889">
        <w:rPr>
          <w:rFonts w:asciiTheme="minorHAnsi" w:eastAsiaTheme="minorHAnsi" w:hAnsiTheme="minorHAnsi" w:cstheme="minorBidi"/>
          <w:snapToGrid/>
          <w:sz w:val="24"/>
          <w:szCs w:val="24"/>
        </w:rPr>
        <w:t>The PBAC therefore concluded that the outcome of the TGA Delegate’s consideration were essential to the consideration of any biosimilar submission from the time of making the application.</w:t>
      </w:r>
    </w:p>
    <w:p w:rsidR="007F3DBA" w:rsidRPr="000622B1" w:rsidRDefault="00FA2051" w:rsidP="006F649C">
      <w:pPr>
        <w:pStyle w:val="ListParagraph"/>
        <w:widowControl/>
        <w:numPr>
          <w:ilvl w:val="1"/>
          <w:numId w:val="20"/>
        </w:numPr>
        <w:spacing w:after="120"/>
        <w:contextualSpacing w:val="0"/>
        <w:rPr>
          <w:rFonts w:asciiTheme="minorHAnsi" w:eastAsiaTheme="minorHAnsi" w:hAnsiTheme="minorHAnsi" w:cstheme="minorBidi"/>
          <w:snapToGrid/>
          <w:sz w:val="24"/>
          <w:szCs w:val="22"/>
        </w:rPr>
      </w:pPr>
      <w:r w:rsidRPr="00FA2051">
        <w:rPr>
          <w:rFonts w:asciiTheme="minorHAnsi" w:eastAsiaTheme="minorHAnsi" w:hAnsiTheme="minorHAnsi" w:cstheme="minorBidi"/>
          <w:snapToGrid/>
          <w:sz w:val="24"/>
          <w:szCs w:val="22"/>
        </w:rPr>
        <w:t xml:space="preserve">The PBAC </w:t>
      </w:r>
      <w:r w:rsidR="003E6889">
        <w:rPr>
          <w:rFonts w:asciiTheme="minorHAnsi" w:eastAsiaTheme="minorHAnsi" w:hAnsiTheme="minorHAnsi" w:cstheme="minorBidi"/>
          <w:snapToGrid/>
          <w:sz w:val="24"/>
          <w:szCs w:val="22"/>
        </w:rPr>
        <w:t xml:space="preserve">was of the view </w:t>
      </w:r>
      <w:r>
        <w:rPr>
          <w:rFonts w:asciiTheme="minorHAnsi" w:eastAsiaTheme="minorHAnsi" w:hAnsiTheme="minorHAnsi" w:cstheme="minorBidi"/>
          <w:snapToGrid/>
          <w:sz w:val="24"/>
          <w:szCs w:val="22"/>
        </w:rPr>
        <w:t>that based on the revised considerations,</w:t>
      </w:r>
      <w:r w:rsidRPr="00FA2051">
        <w:rPr>
          <w:rFonts w:asciiTheme="minorHAnsi" w:eastAsiaTheme="minorHAnsi" w:hAnsiTheme="minorHAnsi" w:cstheme="minorBidi"/>
          <w:snapToGrid/>
          <w:sz w:val="24"/>
          <w:szCs w:val="22"/>
        </w:rPr>
        <w:t xml:space="preserve"> </w:t>
      </w:r>
      <w:r w:rsidR="00BB5F77" w:rsidRPr="000622B1">
        <w:rPr>
          <w:rFonts w:asciiTheme="minorHAnsi" w:eastAsiaTheme="minorHAnsi" w:hAnsiTheme="minorHAnsi" w:cstheme="minorBidi"/>
          <w:snapToGrid/>
          <w:sz w:val="24"/>
          <w:szCs w:val="22"/>
        </w:rPr>
        <w:t>TGA-PBAC parallel processing should not be made available for proposed biosimilar medicines</w:t>
      </w:r>
      <w:r w:rsidR="00D91E5C">
        <w:rPr>
          <w:rFonts w:asciiTheme="minorHAnsi" w:eastAsiaTheme="minorHAnsi" w:hAnsiTheme="minorHAnsi" w:cstheme="minorBidi"/>
          <w:snapToGrid/>
          <w:sz w:val="24"/>
          <w:szCs w:val="22"/>
        </w:rPr>
        <w:t xml:space="preserve"> </w:t>
      </w:r>
      <w:r w:rsidR="00D91E5C" w:rsidRPr="000622B1">
        <w:rPr>
          <w:rFonts w:asciiTheme="minorHAnsi" w:eastAsiaTheme="minorHAnsi" w:hAnsiTheme="minorHAnsi" w:cstheme="minorBidi"/>
          <w:snapToGrid/>
          <w:sz w:val="24"/>
          <w:szCs w:val="22"/>
        </w:rPr>
        <w:t>(i.e. yet to be determined</w:t>
      </w:r>
      <w:r w:rsidR="00D91E5C">
        <w:rPr>
          <w:rFonts w:asciiTheme="minorHAnsi" w:eastAsiaTheme="minorHAnsi" w:hAnsiTheme="minorHAnsi" w:cstheme="minorBidi"/>
          <w:snapToGrid/>
          <w:sz w:val="24"/>
          <w:szCs w:val="22"/>
        </w:rPr>
        <w:t xml:space="preserve"> by the TGA</w:t>
      </w:r>
      <w:r w:rsidR="00D91E5C" w:rsidRPr="000622B1">
        <w:rPr>
          <w:rFonts w:asciiTheme="minorHAnsi" w:eastAsiaTheme="minorHAnsi" w:hAnsiTheme="minorHAnsi" w:cstheme="minorBidi"/>
          <w:snapToGrid/>
          <w:sz w:val="24"/>
          <w:szCs w:val="22"/>
        </w:rPr>
        <w:t>)</w:t>
      </w:r>
      <w:r w:rsidR="00B503F3" w:rsidRPr="000622B1">
        <w:rPr>
          <w:rFonts w:asciiTheme="minorHAnsi" w:eastAsiaTheme="minorHAnsi" w:hAnsiTheme="minorHAnsi" w:cstheme="minorBidi"/>
          <w:snapToGrid/>
          <w:sz w:val="24"/>
          <w:szCs w:val="22"/>
        </w:rPr>
        <w:t xml:space="preserve">. </w:t>
      </w:r>
    </w:p>
    <w:p w:rsidR="007F3DBA" w:rsidRPr="000622B1" w:rsidRDefault="001630F0" w:rsidP="00925329">
      <w:pPr>
        <w:pStyle w:val="ListParagraph"/>
        <w:widowControl/>
        <w:numPr>
          <w:ilvl w:val="1"/>
          <w:numId w:val="20"/>
        </w:numPr>
        <w:spacing w:after="120"/>
        <w:contextualSpacing w:val="0"/>
        <w:rPr>
          <w:rFonts w:asciiTheme="minorHAnsi" w:eastAsiaTheme="minorHAnsi" w:hAnsiTheme="minorHAnsi" w:cstheme="minorBidi"/>
          <w:snapToGrid/>
          <w:sz w:val="24"/>
          <w:szCs w:val="22"/>
        </w:rPr>
      </w:pPr>
      <w:r w:rsidRPr="000622B1">
        <w:rPr>
          <w:rFonts w:asciiTheme="minorHAnsi" w:eastAsiaTheme="minorHAnsi" w:hAnsiTheme="minorHAnsi" w:cstheme="minorBidi"/>
          <w:snapToGrid/>
          <w:sz w:val="24"/>
          <w:szCs w:val="22"/>
        </w:rPr>
        <w:t xml:space="preserve">The </w:t>
      </w:r>
      <w:r w:rsidR="00BB5F77" w:rsidRPr="000622B1">
        <w:rPr>
          <w:rFonts w:asciiTheme="minorHAnsi" w:eastAsiaTheme="minorHAnsi" w:hAnsiTheme="minorHAnsi" w:cstheme="minorBidi"/>
          <w:snapToGrid/>
          <w:sz w:val="24"/>
          <w:szCs w:val="22"/>
        </w:rPr>
        <w:t xml:space="preserve">PBAC noted that the </w:t>
      </w:r>
      <w:r w:rsidR="007F3DBA" w:rsidRPr="000622B1">
        <w:rPr>
          <w:rFonts w:asciiTheme="minorHAnsi" w:eastAsiaTheme="minorHAnsi" w:hAnsiTheme="minorHAnsi" w:cstheme="minorBidi"/>
          <w:snapToGrid/>
          <w:sz w:val="24"/>
          <w:szCs w:val="22"/>
        </w:rPr>
        <w:t>parallel process arrangem</w:t>
      </w:r>
      <w:r w:rsidR="0080111E" w:rsidRPr="000622B1">
        <w:rPr>
          <w:rFonts w:asciiTheme="minorHAnsi" w:eastAsiaTheme="minorHAnsi" w:hAnsiTheme="minorHAnsi" w:cstheme="minorBidi"/>
          <w:snapToGrid/>
          <w:sz w:val="24"/>
          <w:szCs w:val="22"/>
        </w:rPr>
        <w:t>ent was originally established within</w:t>
      </w:r>
      <w:r w:rsidR="007F3DBA" w:rsidRPr="000622B1">
        <w:rPr>
          <w:rFonts w:asciiTheme="minorHAnsi" w:eastAsiaTheme="minorHAnsi" w:hAnsiTheme="minorHAnsi" w:cstheme="minorBidi"/>
          <w:snapToGrid/>
          <w:sz w:val="24"/>
          <w:szCs w:val="22"/>
        </w:rPr>
        <w:t xml:space="preserve"> an agreement with Medicines Australia, so </w:t>
      </w:r>
      <w:r w:rsidR="00BB5F77" w:rsidRPr="000622B1">
        <w:rPr>
          <w:rFonts w:asciiTheme="minorHAnsi" w:eastAsiaTheme="minorHAnsi" w:hAnsiTheme="minorHAnsi" w:cstheme="minorBidi"/>
          <w:snapToGrid/>
          <w:sz w:val="24"/>
          <w:szCs w:val="22"/>
        </w:rPr>
        <w:t>this change</w:t>
      </w:r>
      <w:r w:rsidR="007F3DBA" w:rsidRPr="000622B1">
        <w:rPr>
          <w:rFonts w:asciiTheme="minorHAnsi" w:eastAsiaTheme="minorHAnsi" w:hAnsiTheme="minorHAnsi" w:cstheme="minorBidi"/>
          <w:snapToGrid/>
          <w:sz w:val="24"/>
          <w:szCs w:val="22"/>
        </w:rPr>
        <w:t xml:space="preserve"> to the process will require consultation. </w:t>
      </w:r>
    </w:p>
    <w:p w:rsidR="00BD5666" w:rsidRPr="000622B1" w:rsidRDefault="00BD5666" w:rsidP="007C0673">
      <w:pPr>
        <w:rPr>
          <w:rFonts w:asciiTheme="minorHAnsi" w:hAnsiTheme="minorHAnsi"/>
        </w:rPr>
      </w:pPr>
    </w:p>
    <w:p w:rsidR="00364041" w:rsidRPr="000622B1" w:rsidRDefault="00364041" w:rsidP="00364041">
      <w:pPr>
        <w:pStyle w:val="PBACheading1"/>
        <w:numPr>
          <w:ilvl w:val="0"/>
          <w:numId w:val="0"/>
        </w:numPr>
        <w:rPr>
          <w:rFonts w:asciiTheme="minorHAnsi" w:hAnsiTheme="minorHAnsi"/>
        </w:rPr>
      </w:pPr>
      <w:r w:rsidRPr="000622B1">
        <w:rPr>
          <w:rFonts w:asciiTheme="minorHAnsi" w:hAnsiTheme="minorHAnsi"/>
        </w:rPr>
        <w:t>References:</w:t>
      </w:r>
    </w:p>
    <w:p w:rsidR="00364041" w:rsidRPr="000622B1" w:rsidRDefault="00364041" w:rsidP="00364041">
      <w:pPr>
        <w:pStyle w:val="PBACheading1"/>
        <w:numPr>
          <w:ilvl w:val="0"/>
          <w:numId w:val="37"/>
        </w:numPr>
        <w:ind w:left="714" w:hanging="357"/>
        <w:outlineLvl w:val="9"/>
        <w:rPr>
          <w:rFonts w:asciiTheme="minorHAnsi" w:hAnsiTheme="minorHAnsi"/>
          <w:b w:val="0"/>
        </w:rPr>
      </w:pPr>
      <w:r w:rsidRPr="000622B1">
        <w:rPr>
          <w:rFonts w:asciiTheme="minorHAnsi" w:hAnsiTheme="minorHAnsi"/>
          <w:b w:val="0"/>
        </w:rPr>
        <w:t>Regulation of biosimilar medicines. Version 2.0 December 2015 Therapeutic Goods Administration</w:t>
      </w:r>
    </w:p>
    <w:p w:rsidR="00364041" w:rsidRPr="000622B1" w:rsidRDefault="00364041" w:rsidP="00364041">
      <w:pPr>
        <w:pStyle w:val="PBACheading1"/>
        <w:numPr>
          <w:ilvl w:val="0"/>
          <w:numId w:val="37"/>
        </w:numPr>
        <w:ind w:left="714" w:hanging="357"/>
        <w:outlineLvl w:val="9"/>
        <w:rPr>
          <w:rStyle w:val="Hyperlink"/>
          <w:rFonts w:asciiTheme="minorHAnsi" w:hAnsiTheme="minorHAnsi"/>
          <w:b w:val="0"/>
          <w:color w:val="auto"/>
          <w:u w:val="none"/>
        </w:rPr>
      </w:pPr>
      <w:r w:rsidRPr="00D0247F">
        <w:rPr>
          <w:rFonts w:asciiTheme="minorHAnsi" w:hAnsiTheme="minorHAnsi"/>
          <w:b w:val="0"/>
        </w:rPr>
        <w:t>Biosimilars in the EU: Information guide for healthcare professionals 2017. Prepared jointly by the European Medicines Agency and the European Commission http://www.medicinesforeurope.com/wp-content/uploads/2017/05/HCP-guide-on-Biosimilars.pdf</w:t>
      </w:r>
    </w:p>
    <w:p w:rsidR="00364041" w:rsidRPr="000622B1" w:rsidRDefault="00364041" w:rsidP="00364041">
      <w:pPr>
        <w:pStyle w:val="PBACheading1"/>
        <w:numPr>
          <w:ilvl w:val="0"/>
          <w:numId w:val="37"/>
        </w:numPr>
        <w:ind w:left="714" w:hanging="357"/>
        <w:outlineLvl w:val="9"/>
        <w:rPr>
          <w:rFonts w:asciiTheme="minorHAnsi" w:hAnsiTheme="minorHAnsi"/>
          <w:b w:val="0"/>
        </w:rPr>
      </w:pPr>
      <w:r w:rsidRPr="000622B1">
        <w:rPr>
          <w:rFonts w:asciiTheme="minorHAnsi" w:hAnsiTheme="minorHAnsi"/>
          <w:b w:val="0"/>
        </w:rPr>
        <w:t xml:space="preserve">Weise M. Evolving landscape on data requirements to demonstrate biosimilarity – the EU perspective. 14th Annual Biosimilar Medicines Group Conference. 28–29 April 2016; London, UK </w:t>
      </w:r>
    </w:p>
    <w:p w:rsidR="00364041" w:rsidRPr="000622B1" w:rsidRDefault="00364041" w:rsidP="00364041">
      <w:pPr>
        <w:pStyle w:val="PBACheading1"/>
        <w:numPr>
          <w:ilvl w:val="0"/>
          <w:numId w:val="37"/>
        </w:numPr>
        <w:ind w:left="714" w:hanging="357"/>
        <w:outlineLvl w:val="9"/>
        <w:rPr>
          <w:rStyle w:val="Hyperlink"/>
          <w:rFonts w:asciiTheme="minorHAnsi" w:hAnsiTheme="minorHAnsi"/>
          <w:b w:val="0"/>
          <w:color w:val="auto"/>
          <w:u w:val="none"/>
        </w:rPr>
      </w:pPr>
      <w:r w:rsidRPr="000622B1">
        <w:rPr>
          <w:rFonts w:asciiTheme="minorHAnsi" w:hAnsiTheme="minorHAnsi"/>
          <w:b w:val="0"/>
        </w:rPr>
        <w:t>Pasina L, et al (2016) Biological agents and biosimilars: Essential information for the internist. </w:t>
      </w:r>
      <w:r w:rsidRPr="000622B1">
        <w:rPr>
          <w:rFonts w:asciiTheme="minorHAnsi" w:hAnsiTheme="minorHAnsi"/>
          <w:b w:val="0"/>
          <w:i/>
          <w:iCs/>
        </w:rPr>
        <w:t>European Journal of Internal Medicine</w:t>
      </w:r>
      <w:r w:rsidRPr="000622B1">
        <w:rPr>
          <w:rFonts w:asciiTheme="minorHAnsi" w:hAnsiTheme="minorHAnsi"/>
          <w:b w:val="0"/>
        </w:rPr>
        <w:t xml:space="preserve"> 33:28-35 </w:t>
      </w:r>
    </w:p>
    <w:p w:rsidR="00177404" w:rsidRPr="00FA2051" w:rsidRDefault="00FA2051" w:rsidP="00FA2051">
      <w:pPr>
        <w:widowControl/>
        <w:spacing w:after="120"/>
        <w:rPr>
          <w:rFonts w:asciiTheme="minorHAnsi" w:eastAsiaTheme="minorHAnsi" w:hAnsiTheme="minorHAnsi" w:cstheme="minorBidi"/>
          <w:snapToGrid/>
          <w:sz w:val="24"/>
          <w:szCs w:val="22"/>
        </w:rPr>
      </w:pPr>
      <w:r w:rsidRPr="00FA2051">
        <w:rPr>
          <w:rFonts w:asciiTheme="minorHAnsi" w:eastAsiaTheme="minorHAnsi" w:hAnsiTheme="minorHAnsi" w:cstheme="minorBidi"/>
          <w:snapToGrid/>
          <w:sz w:val="24"/>
          <w:szCs w:val="22"/>
        </w:rPr>
        <w:t xml:space="preserve"> </w:t>
      </w:r>
    </w:p>
    <w:sectPr w:rsidR="00177404" w:rsidRPr="00FA2051" w:rsidSect="009F330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47F" w:rsidRDefault="00D0247F" w:rsidP="00A013C4">
      <w:r>
        <w:separator/>
      </w:r>
    </w:p>
  </w:endnote>
  <w:endnote w:type="continuationSeparator" w:id="0">
    <w:p w:rsidR="00D0247F" w:rsidRDefault="00D0247F" w:rsidP="00A0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7F" w:rsidRDefault="00D024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rPr>
      <w:id w:val="968634919"/>
      <w:docPartObj>
        <w:docPartGallery w:val="Page Numbers (Bottom of Page)"/>
        <w:docPartUnique/>
      </w:docPartObj>
    </w:sdtPr>
    <w:sdtEndPr>
      <w:rPr>
        <w:noProof/>
      </w:rPr>
    </w:sdtEndPr>
    <w:sdtContent>
      <w:p w:rsidR="00F835E6" w:rsidRPr="00C31C03" w:rsidRDefault="00F835E6" w:rsidP="00F835E6">
        <w:pPr>
          <w:pStyle w:val="Footer"/>
          <w:jc w:val="center"/>
          <w:rPr>
            <w:rFonts w:asciiTheme="minorHAnsi" w:hAnsiTheme="minorHAnsi"/>
          </w:rPr>
        </w:pPr>
      </w:p>
      <w:p w:rsidR="00A013C4" w:rsidRPr="00F835E6" w:rsidRDefault="00F835E6" w:rsidP="00F835E6">
        <w:pPr>
          <w:pStyle w:val="Footer"/>
          <w:jc w:val="center"/>
          <w:rPr>
            <w:rFonts w:asciiTheme="minorHAnsi" w:hAnsiTheme="minorHAnsi"/>
          </w:rPr>
        </w:pPr>
        <w:r w:rsidRPr="00C31C03">
          <w:rPr>
            <w:rFonts w:asciiTheme="minorHAnsi" w:hAnsiTheme="minorHAnsi"/>
          </w:rPr>
          <w:fldChar w:fldCharType="begin"/>
        </w:r>
        <w:r w:rsidRPr="00C31C03">
          <w:rPr>
            <w:rFonts w:asciiTheme="minorHAnsi" w:hAnsiTheme="minorHAnsi"/>
          </w:rPr>
          <w:instrText xml:space="preserve"> PAGE   \* MERGEFORMAT </w:instrText>
        </w:r>
        <w:r w:rsidRPr="00C31C03">
          <w:rPr>
            <w:rFonts w:asciiTheme="minorHAnsi" w:hAnsiTheme="minorHAnsi"/>
          </w:rPr>
          <w:fldChar w:fldCharType="separate"/>
        </w:r>
        <w:r w:rsidR="00826725">
          <w:rPr>
            <w:rFonts w:asciiTheme="minorHAnsi" w:hAnsiTheme="minorHAnsi"/>
            <w:noProof/>
          </w:rPr>
          <w:t>4</w:t>
        </w:r>
        <w:r w:rsidRPr="00C31C03">
          <w:rPr>
            <w:rFonts w:asciiTheme="minorHAnsi" w:hAnsiTheme="minorHAnsi"/>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7F" w:rsidRDefault="00D024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47F" w:rsidRDefault="00D0247F" w:rsidP="00A013C4">
      <w:r>
        <w:separator/>
      </w:r>
    </w:p>
  </w:footnote>
  <w:footnote w:type="continuationSeparator" w:id="0">
    <w:p w:rsidR="00D0247F" w:rsidRDefault="00D0247F" w:rsidP="00A01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7F" w:rsidRDefault="00D024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E6" w:rsidRPr="006667EA" w:rsidRDefault="00030798" w:rsidP="00F835E6">
    <w:pPr>
      <w:pStyle w:val="Header"/>
      <w:ind w:left="360"/>
      <w:jc w:val="center"/>
      <w:rPr>
        <w:rFonts w:asciiTheme="minorHAnsi" w:hAnsiTheme="minorHAnsi"/>
        <w:i/>
        <w:color w:val="808080"/>
      </w:rPr>
    </w:pPr>
    <w:r>
      <w:rPr>
        <w:rFonts w:asciiTheme="minorHAnsi" w:hAnsiTheme="minorHAnsi"/>
        <w:i/>
        <w:color w:val="808080"/>
      </w:rPr>
      <w:t>Public Summary Document</w:t>
    </w:r>
    <w:r w:rsidR="00F835E6" w:rsidRPr="006667EA">
      <w:rPr>
        <w:rFonts w:asciiTheme="minorHAnsi" w:hAnsiTheme="minorHAnsi"/>
        <w:i/>
        <w:color w:val="808080"/>
      </w:rPr>
      <w:t xml:space="preserve"> – </w:t>
    </w:r>
    <w:r w:rsidR="00F835E6">
      <w:rPr>
        <w:rFonts w:asciiTheme="minorHAnsi" w:hAnsiTheme="minorHAnsi"/>
        <w:i/>
        <w:color w:val="808080"/>
      </w:rPr>
      <w:t>March</w:t>
    </w:r>
    <w:r w:rsidR="00F835E6" w:rsidRPr="006667EA">
      <w:rPr>
        <w:rFonts w:asciiTheme="minorHAnsi" w:hAnsiTheme="minorHAnsi"/>
        <w:i/>
        <w:color w:val="808080"/>
      </w:rPr>
      <w:t xml:space="preserve"> 201</w:t>
    </w:r>
    <w:r w:rsidR="00F835E6">
      <w:rPr>
        <w:rFonts w:asciiTheme="minorHAnsi" w:hAnsiTheme="minorHAnsi"/>
        <w:i/>
        <w:color w:val="808080"/>
      </w:rPr>
      <w:t>8</w:t>
    </w:r>
    <w:r w:rsidR="00F835E6" w:rsidRPr="006667EA">
      <w:rPr>
        <w:rFonts w:asciiTheme="minorHAnsi" w:hAnsiTheme="minorHAnsi"/>
        <w:i/>
        <w:color w:val="808080"/>
      </w:rPr>
      <w:t xml:space="preserve"> PBAC Meeting</w:t>
    </w:r>
  </w:p>
  <w:p w:rsidR="00A013C4" w:rsidRDefault="00A013C4" w:rsidP="00A013C4">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7F" w:rsidRDefault="00D024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305"/>
    <w:multiLevelType w:val="hybridMultilevel"/>
    <w:tmpl w:val="01240ED6"/>
    <w:lvl w:ilvl="0" w:tplc="66FE8F7E">
      <w:start w:val="1"/>
      <w:numFmt w:val="upp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A264FA"/>
    <w:multiLevelType w:val="hybridMultilevel"/>
    <w:tmpl w:val="C20E09C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E2039D"/>
    <w:multiLevelType w:val="hybridMultilevel"/>
    <w:tmpl w:val="AA46DF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F5D22B6"/>
    <w:multiLevelType w:val="multilevel"/>
    <w:tmpl w:val="9D18489A"/>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i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0971D07"/>
    <w:multiLevelType w:val="multilevel"/>
    <w:tmpl w:val="A34C132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Arial" w:hint="default"/>
        <w:b w:val="0"/>
        <w:i w:val="0"/>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24346EB"/>
    <w:multiLevelType w:val="hybridMultilevel"/>
    <w:tmpl w:val="CF2EB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2D40ED8"/>
    <w:multiLevelType w:val="hybridMultilevel"/>
    <w:tmpl w:val="CC10217A"/>
    <w:lvl w:ilvl="0" w:tplc="AF00200E">
      <w:start w:val="1"/>
      <w:numFmt w:val="bullet"/>
      <w:lvlText w:val=""/>
      <w:lvlJc w:val="left"/>
      <w:pPr>
        <w:ind w:left="720" w:hanging="360"/>
      </w:pPr>
      <w:rPr>
        <w:rFonts w:ascii="Symbol" w:hAnsi="Symbol" w:hint="default"/>
      </w:rPr>
    </w:lvl>
    <w:lvl w:ilvl="1" w:tplc="068EE5EE">
      <w:start w:val="1"/>
      <w:numFmt w:val="bullet"/>
      <w:lvlText w:val="o"/>
      <w:lvlJc w:val="left"/>
      <w:pPr>
        <w:ind w:left="1440" w:hanging="360"/>
      </w:pPr>
      <w:rPr>
        <w:rFonts w:ascii="Courier New" w:hAnsi="Courier New" w:cs="Courier New" w:hint="default"/>
      </w:rPr>
    </w:lvl>
    <w:lvl w:ilvl="2" w:tplc="82C4F748" w:tentative="1">
      <w:start w:val="1"/>
      <w:numFmt w:val="bullet"/>
      <w:lvlText w:val=""/>
      <w:lvlJc w:val="left"/>
      <w:pPr>
        <w:ind w:left="2160" w:hanging="360"/>
      </w:pPr>
      <w:rPr>
        <w:rFonts w:ascii="Wingdings" w:hAnsi="Wingdings" w:hint="default"/>
      </w:rPr>
    </w:lvl>
    <w:lvl w:ilvl="3" w:tplc="2ECA4C04" w:tentative="1">
      <w:start w:val="1"/>
      <w:numFmt w:val="bullet"/>
      <w:lvlText w:val=""/>
      <w:lvlJc w:val="left"/>
      <w:pPr>
        <w:ind w:left="2880" w:hanging="360"/>
      </w:pPr>
      <w:rPr>
        <w:rFonts w:ascii="Symbol" w:hAnsi="Symbol" w:hint="default"/>
      </w:rPr>
    </w:lvl>
    <w:lvl w:ilvl="4" w:tplc="AE7697D4" w:tentative="1">
      <w:start w:val="1"/>
      <w:numFmt w:val="bullet"/>
      <w:lvlText w:val="o"/>
      <w:lvlJc w:val="left"/>
      <w:pPr>
        <w:ind w:left="3600" w:hanging="360"/>
      </w:pPr>
      <w:rPr>
        <w:rFonts w:ascii="Courier New" w:hAnsi="Courier New" w:cs="Courier New" w:hint="default"/>
      </w:rPr>
    </w:lvl>
    <w:lvl w:ilvl="5" w:tplc="233AD952" w:tentative="1">
      <w:start w:val="1"/>
      <w:numFmt w:val="bullet"/>
      <w:lvlText w:val=""/>
      <w:lvlJc w:val="left"/>
      <w:pPr>
        <w:ind w:left="4320" w:hanging="360"/>
      </w:pPr>
      <w:rPr>
        <w:rFonts w:ascii="Wingdings" w:hAnsi="Wingdings" w:hint="default"/>
      </w:rPr>
    </w:lvl>
    <w:lvl w:ilvl="6" w:tplc="A802C304" w:tentative="1">
      <w:start w:val="1"/>
      <w:numFmt w:val="bullet"/>
      <w:lvlText w:val=""/>
      <w:lvlJc w:val="left"/>
      <w:pPr>
        <w:ind w:left="5040" w:hanging="360"/>
      </w:pPr>
      <w:rPr>
        <w:rFonts w:ascii="Symbol" w:hAnsi="Symbol" w:hint="default"/>
      </w:rPr>
    </w:lvl>
    <w:lvl w:ilvl="7" w:tplc="220A477A" w:tentative="1">
      <w:start w:val="1"/>
      <w:numFmt w:val="bullet"/>
      <w:lvlText w:val="o"/>
      <w:lvlJc w:val="left"/>
      <w:pPr>
        <w:ind w:left="5760" w:hanging="360"/>
      </w:pPr>
      <w:rPr>
        <w:rFonts w:ascii="Courier New" w:hAnsi="Courier New" w:cs="Courier New" w:hint="default"/>
      </w:rPr>
    </w:lvl>
    <w:lvl w:ilvl="8" w:tplc="A1CA2A3A" w:tentative="1">
      <w:start w:val="1"/>
      <w:numFmt w:val="bullet"/>
      <w:lvlText w:val=""/>
      <w:lvlJc w:val="left"/>
      <w:pPr>
        <w:ind w:left="6480" w:hanging="360"/>
      </w:pPr>
      <w:rPr>
        <w:rFonts w:ascii="Wingdings" w:hAnsi="Wingdings" w:hint="default"/>
      </w:rPr>
    </w:lvl>
  </w:abstractNum>
  <w:abstractNum w:abstractNumId="7">
    <w:nsid w:val="1B4C70ED"/>
    <w:multiLevelType w:val="hybridMultilevel"/>
    <w:tmpl w:val="6636C4FE"/>
    <w:lvl w:ilvl="0" w:tplc="6262D1CE">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1F413157"/>
    <w:multiLevelType w:val="hybridMultilevel"/>
    <w:tmpl w:val="0DFCD7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40453A7"/>
    <w:multiLevelType w:val="hybridMultilevel"/>
    <w:tmpl w:val="0568CDD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8DF2AA4"/>
    <w:multiLevelType w:val="hybridMultilevel"/>
    <w:tmpl w:val="008C62F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93A5126"/>
    <w:multiLevelType w:val="multilevel"/>
    <w:tmpl w:val="BE101EEE"/>
    <w:lvl w:ilvl="0">
      <w:start w:val="1"/>
      <w:numFmt w:val="bullet"/>
      <w:lvlText w:val="o"/>
      <w:lvlJc w:val="left"/>
      <w:pPr>
        <w:ind w:left="720" w:hanging="720"/>
      </w:pPr>
      <w:rPr>
        <w:rFonts w:ascii="Courier New" w:hAnsi="Courier New" w:cs="Courier New" w:hint="default"/>
        <w:b/>
      </w:rPr>
    </w:lvl>
    <w:lvl w:ilvl="1">
      <w:start w:val="1"/>
      <w:numFmt w:val="decimal"/>
      <w:lvlText w:val="%1.%2"/>
      <w:lvlJc w:val="left"/>
      <w:pPr>
        <w:ind w:left="720" w:hanging="720"/>
      </w:pPr>
      <w:rPr>
        <w:rFonts w:ascii="Arial" w:hAnsi="Arial" w:cs="Arial" w:hint="default"/>
        <w:b w:val="0"/>
        <w:i w:val="0"/>
        <w:sz w:val="22"/>
        <w:szCs w:val="22"/>
      </w:rPr>
    </w:lvl>
    <w:lvl w:ilvl="2">
      <w:start w:val="1"/>
      <w:numFmt w:val="bullet"/>
      <w:lvlText w:val="o"/>
      <w:lvlJc w:val="left"/>
      <w:pPr>
        <w:ind w:left="720" w:hanging="720"/>
      </w:pPr>
      <w:rPr>
        <w:rFonts w:ascii="Courier New" w:hAnsi="Courier New" w:cs="Courier New"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3A90EAD"/>
    <w:multiLevelType w:val="hybridMultilevel"/>
    <w:tmpl w:val="844E1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660314C"/>
    <w:multiLevelType w:val="hybridMultilevel"/>
    <w:tmpl w:val="C73241A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2E2165F"/>
    <w:multiLevelType w:val="hybridMultilevel"/>
    <w:tmpl w:val="E2940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3957815"/>
    <w:multiLevelType w:val="hybridMultilevel"/>
    <w:tmpl w:val="DED65E58"/>
    <w:lvl w:ilvl="0" w:tplc="3D042618">
      <w:start w:val="1"/>
      <w:numFmt w:val="bullet"/>
      <w:lvlText w:val="-"/>
      <w:lvlJc w:val="left"/>
      <w:pPr>
        <w:ind w:left="720" w:hanging="360"/>
      </w:pPr>
      <w:rPr>
        <w:rFonts w:ascii="Arial Narrow" w:eastAsia="Times New Roman" w:hAnsi="Arial Narrow" w:cs="Times New Roman" w:hint="default"/>
      </w:rPr>
    </w:lvl>
    <w:lvl w:ilvl="1" w:tplc="5D4EED54">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686583B"/>
    <w:multiLevelType w:val="hybridMultilevel"/>
    <w:tmpl w:val="8FB6E49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48732097"/>
    <w:multiLevelType w:val="multilevel"/>
    <w:tmpl w:val="0EB8F60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szCs w:val="22"/>
      </w:rPr>
    </w:lvl>
    <w:lvl w:ilvl="2">
      <w:start w:val="1"/>
      <w:numFmt w:val="bullet"/>
      <w:lvlText w:val="o"/>
      <w:lvlJc w:val="left"/>
      <w:pPr>
        <w:ind w:left="720" w:hanging="720"/>
      </w:pPr>
      <w:rPr>
        <w:rFonts w:ascii="Courier New" w:hAnsi="Courier New" w:cs="Courier New"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9700475"/>
    <w:multiLevelType w:val="multilevel"/>
    <w:tmpl w:val="4B427AF8"/>
    <w:lvl w:ilvl="0">
      <w:start w:val="1"/>
      <w:numFmt w:val="bullet"/>
      <w:lvlText w:val=""/>
      <w:lvlJc w:val="left"/>
      <w:pPr>
        <w:ind w:left="720" w:hanging="720"/>
      </w:pPr>
      <w:rPr>
        <w:rFonts w:ascii="Symbol" w:hAnsi="Symbol" w:hint="default"/>
        <w:b/>
      </w:rPr>
    </w:lvl>
    <w:lvl w:ilvl="1">
      <w:start w:val="1"/>
      <w:numFmt w:val="decimal"/>
      <w:lvlText w:val="%1.%2"/>
      <w:lvlJc w:val="left"/>
      <w:pPr>
        <w:ind w:left="720" w:hanging="720"/>
      </w:pPr>
      <w:rPr>
        <w:rFonts w:ascii="Arial" w:hAnsi="Arial" w:cs="Arial" w:hint="default"/>
        <w:b w:val="0"/>
        <w:i w:val="0"/>
        <w:sz w:val="22"/>
        <w:szCs w:val="22"/>
      </w:rPr>
    </w:lvl>
    <w:lvl w:ilvl="2">
      <w:start w:val="1"/>
      <w:numFmt w:val="bullet"/>
      <w:lvlText w:val="o"/>
      <w:lvlJc w:val="left"/>
      <w:pPr>
        <w:ind w:left="720" w:hanging="720"/>
      </w:pPr>
      <w:rPr>
        <w:rFonts w:ascii="Courier New" w:hAnsi="Courier New" w:cs="Courier New"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7482126"/>
    <w:multiLevelType w:val="hybridMultilevel"/>
    <w:tmpl w:val="F19CB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9BC5196"/>
    <w:multiLevelType w:val="multilevel"/>
    <w:tmpl w:val="5484A226"/>
    <w:lvl w:ilvl="0">
      <w:start w:val="6"/>
      <w:numFmt w:val="decimal"/>
      <w:lvlText w:val="%1"/>
      <w:lvlJc w:val="left"/>
      <w:pPr>
        <w:ind w:left="1069" w:hanging="360"/>
      </w:pPr>
      <w:rPr>
        <w:rFonts w:hint="default"/>
        <w:i w:val="0"/>
      </w:rPr>
    </w:lvl>
    <w:lvl w:ilvl="1">
      <w:start w:val="1"/>
      <w:numFmt w:val="decimal"/>
      <w:lvlText w:val="%1.%2"/>
      <w:lvlJc w:val="left"/>
      <w:pPr>
        <w:ind w:left="1779" w:hanging="360"/>
      </w:pPr>
      <w:rPr>
        <w:rFonts w:ascii="Arial" w:hAnsi="Arial" w:cs="Arial" w:hint="default"/>
        <w:b w:val="0"/>
        <w:i w:val="0"/>
        <w:color w:val="auto"/>
        <w:sz w:val="22"/>
        <w:szCs w:val="22"/>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509" w:hanging="1800"/>
      </w:pPr>
      <w:rPr>
        <w:rFonts w:hint="default"/>
      </w:rPr>
    </w:lvl>
  </w:abstractNum>
  <w:abstractNum w:abstractNumId="21">
    <w:nsid w:val="5D641FFA"/>
    <w:multiLevelType w:val="hybridMultilevel"/>
    <w:tmpl w:val="FA2E695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D794643"/>
    <w:multiLevelType w:val="multilevel"/>
    <w:tmpl w:val="4B427AF8"/>
    <w:lvl w:ilvl="0">
      <w:start w:val="1"/>
      <w:numFmt w:val="bullet"/>
      <w:lvlText w:val=""/>
      <w:lvlJc w:val="left"/>
      <w:pPr>
        <w:ind w:left="720" w:hanging="720"/>
      </w:pPr>
      <w:rPr>
        <w:rFonts w:ascii="Symbol" w:hAnsi="Symbol" w:hint="default"/>
        <w:b/>
      </w:rPr>
    </w:lvl>
    <w:lvl w:ilvl="1">
      <w:start w:val="1"/>
      <w:numFmt w:val="decimal"/>
      <w:lvlText w:val="%1.%2"/>
      <w:lvlJc w:val="left"/>
      <w:pPr>
        <w:ind w:left="720" w:hanging="720"/>
      </w:pPr>
      <w:rPr>
        <w:rFonts w:ascii="Arial" w:hAnsi="Arial" w:cs="Arial" w:hint="default"/>
        <w:b w:val="0"/>
        <w:i w:val="0"/>
        <w:sz w:val="22"/>
        <w:szCs w:val="22"/>
      </w:rPr>
    </w:lvl>
    <w:lvl w:ilvl="2">
      <w:start w:val="1"/>
      <w:numFmt w:val="bullet"/>
      <w:lvlText w:val="o"/>
      <w:lvlJc w:val="left"/>
      <w:pPr>
        <w:ind w:left="720" w:hanging="720"/>
      </w:pPr>
      <w:rPr>
        <w:rFonts w:ascii="Courier New" w:hAnsi="Courier New" w:cs="Courier New"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DBA7989"/>
    <w:multiLevelType w:val="hybridMultilevel"/>
    <w:tmpl w:val="8F4AAB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E8279D4"/>
    <w:multiLevelType w:val="hybridMultilevel"/>
    <w:tmpl w:val="F90497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F9227D2"/>
    <w:multiLevelType w:val="multilevel"/>
    <w:tmpl w:val="CEF2D13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6">
    <w:nsid w:val="66BD2F53"/>
    <w:multiLevelType w:val="hybridMultilevel"/>
    <w:tmpl w:val="A550867A"/>
    <w:lvl w:ilvl="0" w:tplc="44BC55D8">
      <w:start w:val="1"/>
      <w:numFmt w:val="bullet"/>
      <w:lvlText w:val=""/>
      <w:lvlJc w:val="left"/>
      <w:pPr>
        <w:tabs>
          <w:tab w:val="num" w:pos="720"/>
        </w:tabs>
        <w:ind w:left="720" w:hanging="360"/>
      </w:pPr>
      <w:rPr>
        <w:rFonts w:ascii="Symbol" w:hAnsi="Symbol" w:hint="default"/>
      </w:rPr>
    </w:lvl>
    <w:lvl w:ilvl="1" w:tplc="C498801E">
      <w:start w:val="1"/>
      <w:numFmt w:val="bullet"/>
      <w:lvlText w:val="o"/>
      <w:lvlJc w:val="left"/>
      <w:pPr>
        <w:tabs>
          <w:tab w:val="num" w:pos="1440"/>
        </w:tabs>
        <w:ind w:left="1440" w:hanging="360"/>
      </w:pPr>
      <w:rPr>
        <w:rFonts w:ascii="Courier New" w:hAnsi="Courier New" w:cs="Courier New" w:hint="default"/>
      </w:rPr>
    </w:lvl>
    <w:lvl w:ilvl="2" w:tplc="83723F4A" w:tentative="1">
      <w:start w:val="1"/>
      <w:numFmt w:val="bullet"/>
      <w:lvlText w:val=""/>
      <w:lvlJc w:val="left"/>
      <w:pPr>
        <w:tabs>
          <w:tab w:val="num" w:pos="2160"/>
        </w:tabs>
        <w:ind w:left="2160" w:hanging="360"/>
      </w:pPr>
      <w:rPr>
        <w:rFonts w:ascii="Wingdings" w:hAnsi="Wingdings" w:hint="default"/>
      </w:rPr>
    </w:lvl>
    <w:lvl w:ilvl="3" w:tplc="8AA67BD4" w:tentative="1">
      <w:start w:val="1"/>
      <w:numFmt w:val="bullet"/>
      <w:lvlText w:val=""/>
      <w:lvlJc w:val="left"/>
      <w:pPr>
        <w:tabs>
          <w:tab w:val="num" w:pos="2880"/>
        </w:tabs>
        <w:ind w:left="2880" w:hanging="360"/>
      </w:pPr>
      <w:rPr>
        <w:rFonts w:ascii="Symbol" w:hAnsi="Symbol" w:hint="default"/>
      </w:rPr>
    </w:lvl>
    <w:lvl w:ilvl="4" w:tplc="FA50890C" w:tentative="1">
      <w:start w:val="1"/>
      <w:numFmt w:val="bullet"/>
      <w:lvlText w:val="o"/>
      <w:lvlJc w:val="left"/>
      <w:pPr>
        <w:tabs>
          <w:tab w:val="num" w:pos="3600"/>
        </w:tabs>
        <w:ind w:left="3600" w:hanging="360"/>
      </w:pPr>
      <w:rPr>
        <w:rFonts w:ascii="Courier New" w:hAnsi="Courier New" w:cs="Courier New" w:hint="default"/>
      </w:rPr>
    </w:lvl>
    <w:lvl w:ilvl="5" w:tplc="21EA94C4" w:tentative="1">
      <w:start w:val="1"/>
      <w:numFmt w:val="bullet"/>
      <w:lvlText w:val=""/>
      <w:lvlJc w:val="left"/>
      <w:pPr>
        <w:tabs>
          <w:tab w:val="num" w:pos="4320"/>
        </w:tabs>
        <w:ind w:left="4320" w:hanging="360"/>
      </w:pPr>
      <w:rPr>
        <w:rFonts w:ascii="Wingdings" w:hAnsi="Wingdings" w:hint="default"/>
      </w:rPr>
    </w:lvl>
    <w:lvl w:ilvl="6" w:tplc="90E41590" w:tentative="1">
      <w:start w:val="1"/>
      <w:numFmt w:val="bullet"/>
      <w:lvlText w:val=""/>
      <w:lvlJc w:val="left"/>
      <w:pPr>
        <w:tabs>
          <w:tab w:val="num" w:pos="5040"/>
        </w:tabs>
        <w:ind w:left="5040" w:hanging="360"/>
      </w:pPr>
      <w:rPr>
        <w:rFonts w:ascii="Symbol" w:hAnsi="Symbol" w:hint="default"/>
      </w:rPr>
    </w:lvl>
    <w:lvl w:ilvl="7" w:tplc="76562CC6" w:tentative="1">
      <w:start w:val="1"/>
      <w:numFmt w:val="bullet"/>
      <w:lvlText w:val="o"/>
      <w:lvlJc w:val="left"/>
      <w:pPr>
        <w:tabs>
          <w:tab w:val="num" w:pos="5760"/>
        </w:tabs>
        <w:ind w:left="5760" w:hanging="360"/>
      </w:pPr>
      <w:rPr>
        <w:rFonts w:ascii="Courier New" w:hAnsi="Courier New" w:cs="Courier New" w:hint="default"/>
      </w:rPr>
    </w:lvl>
    <w:lvl w:ilvl="8" w:tplc="020CD6FA" w:tentative="1">
      <w:start w:val="1"/>
      <w:numFmt w:val="bullet"/>
      <w:lvlText w:val=""/>
      <w:lvlJc w:val="left"/>
      <w:pPr>
        <w:tabs>
          <w:tab w:val="num" w:pos="6480"/>
        </w:tabs>
        <w:ind w:left="6480" w:hanging="360"/>
      </w:pPr>
      <w:rPr>
        <w:rFonts w:ascii="Wingdings" w:hAnsi="Wingdings" w:hint="default"/>
      </w:rPr>
    </w:lvl>
  </w:abstractNum>
  <w:abstractNum w:abstractNumId="27">
    <w:nsid w:val="6A3962F0"/>
    <w:multiLevelType w:val="hybridMultilevel"/>
    <w:tmpl w:val="C14E67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nsid w:val="784D033C"/>
    <w:multiLevelType w:val="multilevel"/>
    <w:tmpl w:val="0EB8F60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szCs w:val="22"/>
      </w:rPr>
    </w:lvl>
    <w:lvl w:ilvl="2">
      <w:start w:val="1"/>
      <w:numFmt w:val="bullet"/>
      <w:lvlText w:val="o"/>
      <w:lvlJc w:val="left"/>
      <w:pPr>
        <w:ind w:left="720" w:hanging="720"/>
      </w:pPr>
      <w:rPr>
        <w:rFonts w:ascii="Courier New" w:hAnsi="Courier New" w:cs="Courier New"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9DB079A"/>
    <w:multiLevelType w:val="hybridMultilevel"/>
    <w:tmpl w:val="C0109EC2"/>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8"/>
  </w:num>
  <w:num w:numId="2">
    <w:abstractNumId w:val="26"/>
  </w:num>
  <w:num w:numId="3">
    <w:abstractNumId w:val="7"/>
  </w:num>
  <w:num w:numId="4">
    <w:abstractNumId w:val="1"/>
  </w:num>
  <w:num w:numId="5">
    <w:abstractNumId w:val="6"/>
  </w:num>
  <w:num w:numId="6">
    <w:abstractNumId w:val="3"/>
  </w:num>
  <w:num w:numId="7">
    <w:abstractNumId w:val="16"/>
  </w:num>
  <w:num w:numId="8">
    <w:abstractNumId w:val="14"/>
  </w:num>
  <w:num w:numId="9">
    <w:abstractNumId w:val="28"/>
  </w:num>
  <w:num w:numId="10">
    <w:abstractNumId w:val="20"/>
  </w:num>
  <w:num w:numId="11">
    <w:abstractNumId w:val="15"/>
  </w:num>
  <w:num w:numId="12">
    <w:abstractNumId w:val="28"/>
  </w:num>
  <w:num w:numId="13">
    <w:abstractNumId w:val="28"/>
  </w:num>
  <w:num w:numId="14">
    <w:abstractNumId w:val="29"/>
  </w:num>
  <w:num w:numId="15">
    <w:abstractNumId w:val="0"/>
  </w:num>
  <w:num w:numId="16">
    <w:abstractNumId w:val="28"/>
  </w:num>
  <w:num w:numId="17">
    <w:abstractNumId w:val="9"/>
  </w:num>
  <w:num w:numId="18">
    <w:abstractNumId w:val="13"/>
  </w:num>
  <w:num w:numId="19">
    <w:abstractNumId w:val="28"/>
  </w:num>
  <w:num w:numId="20">
    <w:abstractNumId w:val="4"/>
  </w:num>
  <w:num w:numId="21">
    <w:abstractNumId w:val="17"/>
  </w:num>
  <w:num w:numId="22">
    <w:abstractNumId w:val="11"/>
  </w:num>
  <w:num w:numId="23">
    <w:abstractNumId w:val="18"/>
  </w:num>
  <w:num w:numId="24">
    <w:abstractNumId w:val="4"/>
  </w:num>
  <w:num w:numId="25">
    <w:abstractNumId w:val="4"/>
  </w:num>
  <w:num w:numId="26">
    <w:abstractNumId w:val="4"/>
  </w:num>
  <w:num w:numId="27">
    <w:abstractNumId w:val="22"/>
  </w:num>
  <w:num w:numId="28">
    <w:abstractNumId w:val="4"/>
  </w:num>
  <w:num w:numId="29">
    <w:abstractNumId w:val="4"/>
  </w:num>
  <w:num w:numId="30">
    <w:abstractNumId w:val="4"/>
  </w:num>
  <w:num w:numId="31">
    <w:abstractNumId w:val="4"/>
  </w:num>
  <w:num w:numId="32">
    <w:abstractNumId w:val="19"/>
  </w:num>
  <w:num w:numId="33">
    <w:abstractNumId w:val="4"/>
  </w:num>
  <w:num w:numId="34">
    <w:abstractNumId w:val="4"/>
  </w:num>
  <w:num w:numId="35">
    <w:abstractNumId w:val="25"/>
  </w:num>
  <w:num w:numId="36">
    <w:abstractNumId w:val="4"/>
  </w:num>
  <w:num w:numId="37">
    <w:abstractNumId w:val="8"/>
  </w:num>
  <w:num w:numId="38">
    <w:abstractNumId w:val="23"/>
  </w:num>
  <w:num w:numId="39">
    <w:abstractNumId w:val="21"/>
  </w:num>
  <w:num w:numId="40">
    <w:abstractNumId w:val="4"/>
  </w:num>
  <w:num w:numId="41">
    <w:abstractNumId w:val="4"/>
  </w:num>
  <w:num w:numId="42">
    <w:abstractNumId w:val="10"/>
  </w:num>
  <w:num w:numId="43">
    <w:abstractNumId w:val="2"/>
  </w:num>
  <w:num w:numId="44">
    <w:abstractNumId w:val="4"/>
  </w:num>
  <w:num w:numId="45">
    <w:abstractNumId w:val="24"/>
  </w:num>
  <w:num w:numId="46">
    <w:abstractNumId w:val="5"/>
  </w:num>
  <w:num w:numId="47">
    <w:abstractNumId w:val="4"/>
  </w:num>
  <w:num w:numId="48">
    <w:abstractNumId w:val="12"/>
  </w:num>
  <w:num w:numId="49">
    <w:abstractNumId w:val="27"/>
  </w:num>
  <w:num w:numId="5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Newby">
    <w15:presenceInfo w15:providerId="Windows Live" w15:userId="00995dce-632a-4d22-9282-3e0d02d8b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C4"/>
    <w:rsid w:val="00007626"/>
    <w:rsid w:val="00021236"/>
    <w:rsid w:val="000213B4"/>
    <w:rsid w:val="000248FC"/>
    <w:rsid w:val="00030798"/>
    <w:rsid w:val="00041D56"/>
    <w:rsid w:val="00050D89"/>
    <w:rsid w:val="00055306"/>
    <w:rsid w:val="00055AA6"/>
    <w:rsid w:val="000622B1"/>
    <w:rsid w:val="000670FD"/>
    <w:rsid w:val="000726CA"/>
    <w:rsid w:val="00080C6C"/>
    <w:rsid w:val="00081DF1"/>
    <w:rsid w:val="000B2B5C"/>
    <w:rsid w:val="000E1F20"/>
    <w:rsid w:val="000E39F3"/>
    <w:rsid w:val="000E6D64"/>
    <w:rsid w:val="000F30DE"/>
    <w:rsid w:val="001522EC"/>
    <w:rsid w:val="001630F0"/>
    <w:rsid w:val="0017124D"/>
    <w:rsid w:val="00177404"/>
    <w:rsid w:val="00185327"/>
    <w:rsid w:val="00197486"/>
    <w:rsid w:val="001A163E"/>
    <w:rsid w:val="001E5EE3"/>
    <w:rsid w:val="00200E60"/>
    <w:rsid w:val="002055B4"/>
    <w:rsid w:val="00217FD9"/>
    <w:rsid w:val="002369CA"/>
    <w:rsid w:val="00240CAD"/>
    <w:rsid w:val="0026198C"/>
    <w:rsid w:val="00261AE8"/>
    <w:rsid w:val="002648F4"/>
    <w:rsid w:val="002C38DE"/>
    <w:rsid w:val="002C7938"/>
    <w:rsid w:val="002D2B30"/>
    <w:rsid w:val="002E7F7A"/>
    <w:rsid w:val="00301B8C"/>
    <w:rsid w:val="00310A8D"/>
    <w:rsid w:val="00315560"/>
    <w:rsid w:val="00344728"/>
    <w:rsid w:val="00355FA3"/>
    <w:rsid w:val="00363975"/>
    <w:rsid w:val="00364041"/>
    <w:rsid w:val="0037626B"/>
    <w:rsid w:val="00387E29"/>
    <w:rsid w:val="003951D7"/>
    <w:rsid w:val="003B4422"/>
    <w:rsid w:val="003C595A"/>
    <w:rsid w:val="003D562D"/>
    <w:rsid w:val="003E465F"/>
    <w:rsid w:val="003E6889"/>
    <w:rsid w:val="00400CFC"/>
    <w:rsid w:val="0043394C"/>
    <w:rsid w:val="004532C0"/>
    <w:rsid w:val="004606B1"/>
    <w:rsid w:val="00461413"/>
    <w:rsid w:val="00476D06"/>
    <w:rsid w:val="00477397"/>
    <w:rsid w:val="004845A1"/>
    <w:rsid w:val="00485323"/>
    <w:rsid w:val="00492157"/>
    <w:rsid w:val="004C4E0C"/>
    <w:rsid w:val="004C52B3"/>
    <w:rsid w:val="004E183F"/>
    <w:rsid w:val="004E60CF"/>
    <w:rsid w:val="0050323D"/>
    <w:rsid w:val="00503DA2"/>
    <w:rsid w:val="00504816"/>
    <w:rsid w:val="005256B8"/>
    <w:rsid w:val="005445A5"/>
    <w:rsid w:val="00551328"/>
    <w:rsid w:val="00596657"/>
    <w:rsid w:val="0059778D"/>
    <w:rsid w:val="005C6F60"/>
    <w:rsid w:val="005E24BD"/>
    <w:rsid w:val="005E65FF"/>
    <w:rsid w:val="005F7D85"/>
    <w:rsid w:val="00601487"/>
    <w:rsid w:val="0063637E"/>
    <w:rsid w:val="006403E8"/>
    <w:rsid w:val="006B5555"/>
    <w:rsid w:val="006F649C"/>
    <w:rsid w:val="0070025E"/>
    <w:rsid w:val="00721B48"/>
    <w:rsid w:val="00724B45"/>
    <w:rsid w:val="00731DA3"/>
    <w:rsid w:val="00752515"/>
    <w:rsid w:val="00766A01"/>
    <w:rsid w:val="00796B52"/>
    <w:rsid w:val="007C0673"/>
    <w:rsid w:val="007C72CB"/>
    <w:rsid w:val="007F3DBA"/>
    <w:rsid w:val="0080111E"/>
    <w:rsid w:val="00826725"/>
    <w:rsid w:val="00841606"/>
    <w:rsid w:val="00842D52"/>
    <w:rsid w:val="00864C4F"/>
    <w:rsid w:val="0088364C"/>
    <w:rsid w:val="00883EE1"/>
    <w:rsid w:val="00897BDE"/>
    <w:rsid w:val="008A2553"/>
    <w:rsid w:val="008A670B"/>
    <w:rsid w:val="008B5077"/>
    <w:rsid w:val="008B7917"/>
    <w:rsid w:val="00925329"/>
    <w:rsid w:val="00933999"/>
    <w:rsid w:val="00935FFE"/>
    <w:rsid w:val="00975E6A"/>
    <w:rsid w:val="00976386"/>
    <w:rsid w:val="00997AF4"/>
    <w:rsid w:val="009F1DDA"/>
    <w:rsid w:val="009F3308"/>
    <w:rsid w:val="009F77A6"/>
    <w:rsid w:val="00A013C4"/>
    <w:rsid w:val="00A11462"/>
    <w:rsid w:val="00A30231"/>
    <w:rsid w:val="00A36EAA"/>
    <w:rsid w:val="00A44123"/>
    <w:rsid w:val="00A45088"/>
    <w:rsid w:val="00A52045"/>
    <w:rsid w:val="00A53234"/>
    <w:rsid w:val="00A63E4F"/>
    <w:rsid w:val="00A80992"/>
    <w:rsid w:val="00A83126"/>
    <w:rsid w:val="00A866F7"/>
    <w:rsid w:val="00AB0737"/>
    <w:rsid w:val="00AD58D1"/>
    <w:rsid w:val="00AF507B"/>
    <w:rsid w:val="00B00D96"/>
    <w:rsid w:val="00B03230"/>
    <w:rsid w:val="00B252C2"/>
    <w:rsid w:val="00B4426E"/>
    <w:rsid w:val="00B47B8A"/>
    <w:rsid w:val="00B503F3"/>
    <w:rsid w:val="00B55755"/>
    <w:rsid w:val="00B611E9"/>
    <w:rsid w:val="00B62EAD"/>
    <w:rsid w:val="00B916D0"/>
    <w:rsid w:val="00B96BB4"/>
    <w:rsid w:val="00BB0920"/>
    <w:rsid w:val="00BB5F77"/>
    <w:rsid w:val="00BD5666"/>
    <w:rsid w:val="00BE119B"/>
    <w:rsid w:val="00BE7774"/>
    <w:rsid w:val="00C00A66"/>
    <w:rsid w:val="00C072C5"/>
    <w:rsid w:val="00C10EEB"/>
    <w:rsid w:val="00C136FA"/>
    <w:rsid w:val="00C17664"/>
    <w:rsid w:val="00C2479C"/>
    <w:rsid w:val="00C306A2"/>
    <w:rsid w:val="00C419B4"/>
    <w:rsid w:val="00C4479F"/>
    <w:rsid w:val="00C61D00"/>
    <w:rsid w:val="00C95534"/>
    <w:rsid w:val="00C95954"/>
    <w:rsid w:val="00C97458"/>
    <w:rsid w:val="00CA6E56"/>
    <w:rsid w:val="00CD202F"/>
    <w:rsid w:val="00CD5B69"/>
    <w:rsid w:val="00CF0B4A"/>
    <w:rsid w:val="00D00876"/>
    <w:rsid w:val="00D0247F"/>
    <w:rsid w:val="00D17764"/>
    <w:rsid w:val="00D41817"/>
    <w:rsid w:val="00D51816"/>
    <w:rsid w:val="00D7356C"/>
    <w:rsid w:val="00D76648"/>
    <w:rsid w:val="00D856BC"/>
    <w:rsid w:val="00D91E5C"/>
    <w:rsid w:val="00DA093D"/>
    <w:rsid w:val="00DB4EBE"/>
    <w:rsid w:val="00DB6CCD"/>
    <w:rsid w:val="00DC5D47"/>
    <w:rsid w:val="00E12436"/>
    <w:rsid w:val="00E13F8C"/>
    <w:rsid w:val="00E202F9"/>
    <w:rsid w:val="00E421D6"/>
    <w:rsid w:val="00E56C55"/>
    <w:rsid w:val="00E57B0C"/>
    <w:rsid w:val="00E6739E"/>
    <w:rsid w:val="00EA0EF0"/>
    <w:rsid w:val="00EB66F6"/>
    <w:rsid w:val="00EF7961"/>
    <w:rsid w:val="00F00F87"/>
    <w:rsid w:val="00F0450E"/>
    <w:rsid w:val="00F126D5"/>
    <w:rsid w:val="00F6329D"/>
    <w:rsid w:val="00F749AE"/>
    <w:rsid w:val="00F835E6"/>
    <w:rsid w:val="00FA1442"/>
    <w:rsid w:val="00FA2051"/>
    <w:rsid w:val="00FA2B2A"/>
    <w:rsid w:val="00FB0795"/>
    <w:rsid w:val="00FB484A"/>
    <w:rsid w:val="00FD5765"/>
    <w:rsid w:val="00FF0618"/>
    <w:rsid w:val="00FF0E4A"/>
    <w:rsid w:val="00FF7F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3C4"/>
    <w:pPr>
      <w:widowControl w:val="0"/>
      <w:spacing w:after="0" w:line="240" w:lineRule="auto"/>
      <w:jc w:val="both"/>
    </w:pPr>
    <w:rPr>
      <w:rFonts w:ascii="Arial" w:eastAsia="Times New Roman" w:hAnsi="Arial" w:cs="Arial"/>
      <w:snapToGrid w:val="0"/>
      <w:szCs w:val="20"/>
    </w:rPr>
  </w:style>
  <w:style w:type="paragraph" w:styleId="Heading1">
    <w:name w:val="heading 1"/>
    <w:basedOn w:val="ListParagraph"/>
    <w:next w:val="Normal"/>
    <w:link w:val="Heading1Char"/>
    <w:qFormat/>
    <w:rsid w:val="0037626B"/>
    <w:pPr>
      <w:widowControl/>
      <w:ind w:left="720" w:hanging="720"/>
      <w:outlineLvl w:val="0"/>
    </w:pPr>
    <w:rPr>
      <w:rFonts w:cs="Times New Roman"/>
      <w:b/>
      <w:snapToGrid/>
      <w:szCs w:val="22"/>
      <w:lang w:eastAsia="en-AU"/>
    </w:rPr>
  </w:style>
  <w:style w:type="paragraph" w:styleId="Heading2">
    <w:name w:val="heading 2"/>
    <w:basedOn w:val="Normal"/>
    <w:next w:val="Normal"/>
    <w:link w:val="Heading2Char"/>
    <w:uiPriority w:val="9"/>
    <w:semiHidden/>
    <w:unhideWhenUsed/>
    <w:qFormat/>
    <w:rsid w:val="00F835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Bullet point,List Paragraph1,List Paragraph11,Recommendation,L,Bullet Point,Bulletr List Paragraph,Content descriptions,FooterText,List Bullet 1,List Paragraph2,List Paragraph21,Listeafsnit1,NFP GP Bulleted List,リスト段落"/>
    <w:basedOn w:val="Normal"/>
    <w:link w:val="ListParagraphChar"/>
    <w:uiPriority w:val="34"/>
    <w:qFormat/>
    <w:rsid w:val="00A013C4"/>
    <w:pPr>
      <w:contextualSpacing/>
    </w:pPr>
  </w:style>
  <w:style w:type="character" w:customStyle="1" w:styleId="ListParagraphChar">
    <w:name w:val="List Paragraph Char"/>
    <w:aliases w:val="BulletPoints Char,Bullet point Char,List Paragraph1 Char,List Paragraph11 Char,Recommendation Char,L Char,Bullet Point Char,Bulletr List Paragraph Char,Content descriptions Char,FooterText Char,List Bullet 1 Char,List Paragraph2 Char"/>
    <w:basedOn w:val="DefaultParagraphFont"/>
    <w:link w:val="ListParagraph"/>
    <w:uiPriority w:val="34"/>
    <w:locked/>
    <w:rsid w:val="00A013C4"/>
    <w:rPr>
      <w:rFonts w:ascii="Arial" w:eastAsia="Times New Roman" w:hAnsi="Arial" w:cs="Arial"/>
      <w:snapToGrid w:val="0"/>
      <w:szCs w:val="20"/>
    </w:rPr>
  </w:style>
  <w:style w:type="character" w:styleId="CommentReference">
    <w:name w:val="annotation reference"/>
    <w:aliases w:val="Table Title"/>
    <w:qFormat/>
    <w:rsid w:val="00A013C4"/>
    <w:rPr>
      <w:rFonts w:ascii="Arial Narrow" w:hAnsi="Arial Narrow"/>
      <w:b/>
      <w:sz w:val="20"/>
      <w:szCs w:val="16"/>
    </w:rPr>
  </w:style>
  <w:style w:type="paragraph" w:styleId="CommentText">
    <w:name w:val="annotation text"/>
    <w:basedOn w:val="Normal"/>
    <w:link w:val="CommentTextChar"/>
    <w:uiPriority w:val="99"/>
    <w:rsid w:val="00A013C4"/>
    <w:rPr>
      <w:rFonts w:ascii="Times New Roman" w:hAnsi="Times New Roman" w:cs="Times New Roman"/>
      <w:sz w:val="20"/>
    </w:rPr>
  </w:style>
  <w:style w:type="character" w:customStyle="1" w:styleId="CommentTextChar">
    <w:name w:val="Comment Text Char"/>
    <w:basedOn w:val="DefaultParagraphFont"/>
    <w:link w:val="CommentText"/>
    <w:uiPriority w:val="99"/>
    <w:rsid w:val="00A013C4"/>
    <w:rPr>
      <w:rFonts w:ascii="Times New Roman" w:eastAsia="Times New Roman" w:hAnsi="Times New Roman" w:cs="Times New Roman"/>
      <w:snapToGrid w:val="0"/>
      <w:sz w:val="20"/>
      <w:szCs w:val="20"/>
    </w:rPr>
  </w:style>
  <w:style w:type="paragraph" w:customStyle="1" w:styleId="PBACheading1">
    <w:name w:val="PBAC heading 1"/>
    <w:qFormat/>
    <w:rsid w:val="00A013C4"/>
    <w:pPr>
      <w:numPr>
        <w:numId w:val="20"/>
      </w:numPr>
      <w:spacing w:after="0" w:line="240" w:lineRule="auto"/>
      <w:outlineLvl w:val="0"/>
    </w:pPr>
    <w:rPr>
      <w:rFonts w:ascii="Arial" w:eastAsia="Times New Roman" w:hAnsi="Arial" w:cs="Arial"/>
      <w:b/>
      <w:snapToGrid w:val="0"/>
    </w:rPr>
  </w:style>
  <w:style w:type="paragraph" w:styleId="BalloonText">
    <w:name w:val="Balloon Text"/>
    <w:basedOn w:val="Normal"/>
    <w:link w:val="BalloonTextChar"/>
    <w:uiPriority w:val="99"/>
    <w:semiHidden/>
    <w:unhideWhenUsed/>
    <w:rsid w:val="00A013C4"/>
    <w:rPr>
      <w:rFonts w:ascii="Tahoma" w:hAnsi="Tahoma" w:cs="Tahoma"/>
      <w:sz w:val="16"/>
      <w:szCs w:val="16"/>
    </w:rPr>
  </w:style>
  <w:style w:type="character" w:customStyle="1" w:styleId="BalloonTextChar">
    <w:name w:val="Balloon Text Char"/>
    <w:basedOn w:val="DefaultParagraphFont"/>
    <w:link w:val="BalloonText"/>
    <w:uiPriority w:val="99"/>
    <w:semiHidden/>
    <w:rsid w:val="00A013C4"/>
    <w:rPr>
      <w:rFonts w:ascii="Tahoma" w:eastAsia="Times New Roman" w:hAnsi="Tahoma" w:cs="Tahoma"/>
      <w:snapToGrid w:val="0"/>
      <w:sz w:val="16"/>
      <w:szCs w:val="16"/>
    </w:rPr>
  </w:style>
  <w:style w:type="paragraph" w:styleId="Title">
    <w:name w:val="Title"/>
    <w:basedOn w:val="Normal"/>
    <w:next w:val="Normal"/>
    <w:link w:val="TitleChar"/>
    <w:qFormat/>
    <w:rsid w:val="00A013C4"/>
    <w:pPr>
      <w:widowControl/>
      <w:ind w:left="720" w:hanging="720"/>
      <w:jc w:val="left"/>
    </w:pPr>
    <w:rPr>
      <w:rFonts w:cs="Times New Roman"/>
      <w:b/>
      <w:snapToGrid/>
      <w:sz w:val="28"/>
      <w:szCs w:val="28"/>
      <w:lang w:eastAsia="en-AU"/>
    </w:rPr>
  </w:style>
  <w:style w:type="character" w:customStyle="1" w:styleId="TitleChar">
    <w:name w:val="Title Char"/>
    <w:basedOn w:val="DefaultParagraphFont"/>
    <w:link w:val="Title"/>
    <w:rsid w:val="00A013C4"/>
    <w:rPr>
      <w:rFonts w:ascii="Arial" w:eastAsia="Times New Roman" w:hAnsi="Arial" w:cs="Times New Roman"/>
      <w:b/>
      <w:sz w:val="28"/>
      <w:szCs w:val="28"/>
      <w:lang w:eastAsia="en-AU"/>
    </w:rPr>
  </w:style>
  <w:style w:type="paragraph" w:styleId="Header">
    <w:name w:val="header"/>
    <w:aliases w:val="Page Header,Header title,he=header,cntr/bld"/>
    <w:basedOn w:val="Normal"/>
    <w:link w:val="HeaderChar"/>
    <w:uiPriority w:val="99"/>
    <w:unhideWhenUsed/>
    <w:rsid w:val="00A013C4"/>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A013C4"/>
    <w:rPr>
      <w:rFonts w:ascii="Arial" w:eastAsia="Times New Roman" w:hAnsi="Arial" w:cs="Arial"/>
      <w:snapToGrid w:val="0"/>
      <w:szCs w:val="20"/>
    </w:rPr>
  </w:style>
  <w:style w:type="paragraph" w:styleId="Footer">
    <w:name w:val="footer"/>
    <w:basedOn w:val="Normal"/>
    <w:link w:val="FooterChar"/>
    <w:uiPriority w:val="99"/>
    <w:unhideWhenUsed/>
    <w:rsid w:val="00A013C4"/>
    <w:pPr>
      <w:tabs>
        <w:tab w:val="center" w:pos="4513"/>
        <w:tab w:val="right" w:pos="9026"/>
      </w:tabs>
    </w:pPr>
  </w:style>
  <w:style w:type="character" w:customStyle="1" w:styleId="FooterChar">
    <w:name w:val="Footer Char"/>
    <w:basedOn w:val="DefaultParagraphFont"/>
    <w:link w:val="Footer"/>
    <w:uiPriority w:val="99"/>
    <w:rsid w:val="00A013C4"/>
    <w:rPr>
      <w:rFonts w:ascii="Arial" w:eastAsia="Times New Roman" w:hAnsi="Arial" w:cs="Arial"/>
      <w:snapToGrid w:val="0"/>
      <w:szCs w:val="20"/>
    </w:rPr>
  </w:style>
  <w:style w:type="character" w:styleId="Strong">
    <w:name w:val="Strong"/>
    <w:basedOn w:val="DefaultParagraphFont"/>
    <w:uiPriority w:val="22"/>
    <w:qFormat/>
    <w:rsid w:val="00310A8D"/>
    <w:rPr>
      <w:b/>
      <w:bCs/>
    </w:rPr>
  </w:style>
  <w:style w:type="paragraph" w:styleId="NormalWeb">
    <w:name w:val="Normal (Web)"/>
    <w:basedOn w:val="Normal"/>
    <w:uiPriority w:val="99"/>
    <w:unhideWhenUsed/>
    <w:rsid w:val="00310A8D"/>
    <w:pPr>
      <w:widowControl/>
      <w:spacing w:before="100" w:beforeAutospacing="1" w:after="100" w:afterAutospacing="1"/>
      <w:jc w:val="left"/>
    </w:pPr>
    <w:rPr>
      <w:rFonts w:ascii="Times New Roman" w:hAnsi="Times New Roman" w:cs="Times New Roman"/>
      <w:snapToGrid/>
      <w:sz w:val="24"/>
      <w:szCs w:val="24"/>
      <w:lang w:eastAsia="en-AU"/>
    </w:rPr>
  </w:style>
  <w:style w:type="table" w:styleId="TableGrid">
    <w:name w:val="Table Grid"/>
    <w:basedOn w:val="TableNormal"/>
    <w:rsid w:val="00310A8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63975"/>
    <w:rPr>
      <w:color w:val="0000FF" w:themeColor="hyperlink"/>
      <w:u w:val="single"/>
    </w:rPr>
  </w:style>
  <w:style w:type="paragraph" w:styleId="FootnoteText">
    <w:name w:val="footnote text"/>
    <w:basedOn w:val="Normal"/>
    <w:link w:val="FootnoteTextChar"/>
    <w:rsid w:val="005445A5"/>
    <w:pPr>
      <w:widowControl/>
      <w:jc w:val="left"/>
    </w:pPr>
    <w:rPr>
      <w:rFonts w:ascii="Times New Roman" w:hAnsi="Times New Roman" w:cs="Times New Roman"/>
      <w:snapToGrid/>
      <w:sz w:val="20"/>
    </w:rPr>
  </w:style>
  <w:style w:type="character" w:customStyle="1" w:styleId="FootnoteTextChar">
    <w:name w:val="Footnote Text Char"/>
    <w:basedOn w:val="DefaultParagraphFont"/>
    <w:link w:val="FootnoteText"/>
    <w:rsid w:val="005445A5"/>
    <w:rPr>
      <w:rFonts w:ascii="Times New Roman" w:eastAsia="Times New Roman" w:hAnsi="Times New Roman" w:cs="Times New Roman"/>
      <w:sz w:val="20"/>
      <w:szCs w:val="20"/>
    </w:rPr>
  </w:style>
  <w:style w:type="character" w:styleId="FootnoteReference">
    <w:name w:val="footnote reference"/>
    <w:basedOn w:val="DefaultParagraphFont"/>
    <w:rsid w:val="005445A5"/>
    <w:rPr>
      <w:vertAlign w:val="superscript"/>
    </w:rPr>
  </w:style>
  <w:style w:type="paragraph" w:customStyle="1" w:styleId="PBACHeading10">
    <w:name w:val="PBAC Heading 1"/>
    <w:qFormat/>
    <w:rsid w:val="00C17664"/>
    <w:pPr>
      <w:spacing w:after="0" w:line="240" w:lineRule="auto"/>
      <w:ind w:left="720" w:hanging="720"/>
    </w:pPr>
    <w:rPr>
      <w:rFonts w:ascii="Arial" w:eastAsia="Times New Roman" w:hAnsi="Arial" w:cs="Arial"/>
      <w:b/>
      <w:snapToGrid w:val="0"/>
    </w:rPr>
  </w:style>
  <w:style w:type="paragraph" w:styleId="EndnoteText">
    <w:name w:val="endnote text"/>
    <w:basedOn w:val="Normal"/>
    <w:link w:val="EndnoteTextChar"/>
    <w:rsid w:val="00476D06"/>
    <w:pPr>
      <w:widowControl/>
      <w:jc w:val="left"/>
    </w:pPr>
    <w:rPr>
      <w:rFonts w:ascii="Times New Roman" w:hAnsi="Times New Roman" w:cs="Times New Roman"/>
      <w:snapToGrid/>
      <w:sz w:val="20"/>
    </w:rPr>
  </w:style>
  <w:style w:type="character" w:customStyle="1" w:styleId="EndnoteTextChar">
    <w:name w:val="Endnote Text Char"/>
    <w:basedOn w:val="DefaultParagraphFont"/>
    <w:link w:val="EndnoteText"/>
    <w:rsid w:val="00476D06"/>
    <w:rPr>
      <w:rFonts w:ascii="Times New Roman" w:eastAsia="Times New Roman" w:hAnsi="Times New Roman" w:cs="Times New Roman"/>
      <w:sz w:val="20"/>
      <w:szCs w:val="20"/>
    </w:rPr>
  </w:style>
  <w:style w:type="character" w:styleId="EndnoteReference">
    <w:name w:val="endnote reference"/>
    <w:basedOn w:val="DefaultParagraphFont"/>
    <w:rsid w:val="00476D06"/>
    <w:rPr>
      <w:vertAlign w:val="superscript"/>
    </w:rPr>
  </w:style>
  <w:style w:type="character" w:customStyle="1" w:styleId="Heading1Char">
    <w:name w:val="Heading 1 Char"/>
    <w:basedOn w:val="DefaultParagraphFont"/>
    <w:link w:val="Heading1"/>
    <w:rsid w:val="0037626B"/>
    <w:rPr>
      <w:rFonts w:ascii="Arial" w:eastAsia="Times New Roman" w:hAnsi="Arial" w:cs="Times New Roman"/>
      <w:b/>
      <w:lang w:eastAsia="en-AU"/>
    </w:rPr>
  </w:style>
  <w:style w:type="character" w:styleId="FollowedHyperlink">
    <w:name w:val="FollowedHyperlink"/>
    <w:basedOn w:val="DefaultParagraphFont"/>
    <w:uiPriority w:val="99"/>
    <w:semiHidden/>
    <w:unhideWhenUsed/>
    <w:rsid w:val="0050323D"/>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200E60"/>
    <w:rPr>
      <w:rFonts w:ascii="Arial" w:hAnsi="Arial" w:cs="Arial"/>
      <w:b/>
      <w:bCs/>
    </w:rPr>
  </w:style>
  <w:style w:type="character" w:customStyle="1" w:styleId="CommentSubjectChar">
    <w:name w:val="Comment Subject Char"/>
    <w:basedOn w:val="CommentTextChar"/>
    <w:link w:val="CommentSubject"/>
    <w:uiPriority w:val="99"/>
    <w:semiHidden/>
    <w:rsid w:val="00200E60"/>
    <w:rPr>
      <w:rFonts w:ascii="Arial" w:eastAsia="Times New Roman" w:hAnsi="Arial" w:cs="Arial"/>
      <w:b/>
      <w:bCs/>
      <w:snapToGrid w:val="0"/>
      <w:sz w:val="20"/>
      <w:szCs w:val="20"/>
    </w:rPr>
  </w:style>
  <w:style w:type="character" w:styleId="Emphasis">
    <w:name w:val="Emphasis"/>
    <w:basedOn w:val="DefaultParagraphFont"/>
    <w:uiPriority w:val="20"/>
    <w:qFormat/>
    <w:rsid w:val="00B00D96"/>
    <w:rPr>
      <w:i/>
      <w:iCs/>
    </w:rPr>
  </w:style>
  <w:style w:type="paragraph" w:styleId="NoSpacing">
    <w:name w:val="No Spacing"/>
    <w:basedOn w:val="Normal"/>
    <w:uiPriority w:val="99"/>
    <w:qFormat/>
    <w:rsid w:val="00AF507B"/>
    <w:pPr>
      <w:widowControl/>
    </w:pPr>
    <w:rPr>
      <w:rFonts w:cs="Times New Roman"/>
      <w:snapToGrid/>
      <w:szCs w:val="22"/>
      <w:lang w:eastAsia="en-AU"/>
    </w:rPr>
  </w:style>
  <w:style w:type="character" w:customStyle="1" w:styleId="Heading2Char">
    <w:name w:val="Heading 2 Char"/>
    <w:basedOn w:val="DefaultParagraphFont"/>
    <w:link w:val="Heading2"/>
    <w:uiPriority w:val="9"/>
    <w:semiHidden/>
    <w:rsid w:val="00F835E6"/>
    <w:rPr>
      <w:rFonts w:asciiTheme="majorHAnsi" w:eastAsiaTheme="majorEastAsia" w:hAnsiTheme="majorHAnsi" w:cstheme="majorBidi"/>
      <w:b/>
      <w:bCs/>
      <w:snapToGrid w:val="0"/>
      <w:color w:val="4F81BD" w:themeColor="accent1"/>
      <w:sz w:val="26"/>
      <w:szCs w:val="26"/>
    </w:rPr>
  </w:style>
  <w:style w:type="paragraph" w:styleId="Revision">
    <w:name w:val="Revision"/>
    <w:hidden/>
    <w:uiPriority w:val="99"/>
    <w:semiHidden/>
    <w:rsid w:val="00477397"/>
    <w:pPr>
      <w:spacing w:after="0" w:line="240" w:lineRule="auto"/>
    </w:pPr>
    <w:rPr>
      <w:rFonts w:ascii="Arial" w:eastAsia="Times New Roman" w:hAnsi="Arial" w:cs="Arial"/>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3C4"/>
    <w:pPr>
      <w:widowControl w:val="0"/>
      <w:spacing w:after="0" w:line="240" w:lineRule="auto"/>
      <w:jc w:val="both"/>
    </w:pPr>
    <w:rPr>
      <w:rFonts w:ascii="Arial" w:eastAsia="Times New Roman" w:hAnsi="Arial" w:cs="Arial"/>
      <w:snapToGrid w:val="0"/>
      <w:szCs w:val="20"/>
    </w:rPr>
  </w:style>
  <w:style w:type="paragraph" w:styleId="Heading1">
    <w:name w:val="heading 1"/>
    <w:basedOn w:val="ListParagraph"/>
    <w:next w:val="Normal"/>
    <w:link w:val="Heading1Char"/>
    <w:qFormat/>
    <w:rsid w:val="0037626B"/>
    <w:pPr>
      <w:widowControl/>
      <w:ind w:left="720" w:hanging="720"/>
      <w:outlineLvl w:val="0"/>
    </w:pPr>
    <w:rPr>
      <w:rFonts w:cs="Times New Roman"/>
      <w:b/>
      <w:snapToGrid/>
      <w:szCs w:val="22"/>
      <w:lang w:eastAsia="en-AU"/>
    </w:rPr>
  </w:style>
  <w:style w:type="paragraph" w:styleId="Heading2">
    <w:name w:val="heading 2"/>
    <w:basedOn w:val="Normal"/>
    <w:next w:val="Normal"/>
    <w:link w:val="Heading2Char"/>
    <w:uiPriority w:val="9"/>
    <w:semiHidden/>
    <w:unhideWhenUsed/>
    <w:qFormat/>
    <w:rsid w:val="00F835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Bullet point,List Paragraph1,List Paragraph11,Recommendation,L,Bullet Point,Bulletr List Paragraph,Content descriptions,FooterText,List Bullet 1,List Paragraph2,List Paragraph21,Listeafsnit1,NFP GP Bulleted List,リスト段落"/>
    <w:basedOn w:val="Normal"/>
    <w:link w:val="ListParagraphChar"/>
    <w:uiPriority w:val="34"/>
    <w:qFormat/>
    <w:rsid w:val="00A013C4"/>
    <w:pPr>
      <w:contextualSpacing/>
    </w:pPr>
  </w:style>
  <w:style w:type="character" w:customStyle="1" w:styleId="ListParagraphChar">
    <w:name w:val="List Paragraph Char"/>
    <w:aliases w:val="BulletPoints Char,Bullet point Char,List Paragraph1 Char,List Paragraph11 Char,Recommendation Char,L Char,Bullet Point Char,Bulletr List Paragraph Char,Content descriptions Char,FooterText Char,List Bullet 1 Char,List Paragraph2 Char"/>
    <w:basedOn w:val="DefaultParagraphFont"/>
    <w:link w:val="ListParagraph"/>
    <w:uiPriority w:val="34"/>
    <w:locked/>
    <w:rsid w:val="00A013C4"/>
    <w:rPr>
      <w:rFonts w:ascii="Arial" w:eastAsia="Times New Roman" w:hAnsi="Arial" w:cs="Arial"/>
      <w:snapToGrid w:val="0"/>
      <w:szCs w:val="20"/>
    </w:rPr>
  </w:style>
  <w:style w:type="character" w:styleId="CommentReference">
    <w:name w:val="annotation reference"/>
    <w:aliases w:val="Table Title"/>
    <w:qFormat/>
    <w:rsid w:val="00A013C4"/>
    <w:rPr>
      <w:rFonts w:ascii="Arial Narrow" w:hAnsi="Arial Narrow"/>
      <w:b/>
      <w:sz w:val="20"/>
      <w:szCs w:val="16"/>
    </w:rPr>
  </w:style>
  <w:style w:type="paragraph" w:styleId="CommentText">
    <w:name w:val="annotation text"/>
    <w:basedOn w:val="Normal"/>
    <w:link w:val="CommentTextChar"/>
    <w:uiPriority w:val="99"/>
    <w:rsid w:val="00A013C4"/>
    <w:rPr>
      <w:rFonts w:ascii="Times New Roman" w:hAnsi="Times New Roman" w:cs="Times New Roman"/>
      <w:sz w:val="20"/>
    </w:rPr>
  </w:style>
  <w:style w:type="character" w:customStyle="1" w:styleId="CommentTextChar">
    <w:name w:val="Comment Text Char"/>
    <w:basedOn w:val="DefaultParagraphFont"/>
    <w:link w:val="CommentText"/>
    <w:uiPriority w:val="99"/>
    <w:rsid w:val="00A013C4"/>
    <w:rPr>
      <w:rFonts w:ascii="Times New Roman" w:eastAsia="Times New Roman" w:hAnsi="Times New Roman" w:cs="Times New Roman"/>
      <w:snapToGrid w:val="0"/>
      <w:sz w:val="20"/>
      <w:szCs w:val="20"/>
    </w:rPr>
  </w:style>
  <w:style w:type="paragraph" w:customStyle="1" w:styleId="PBACheading1">
    <w:name w:val="PBAC heading 1"/>
    <w:qFormat/>
    <w:rsid w:val="00A013C4"/>
    <w:pPr>
      <w:numPr>
        <w:numId w:val="20"/>
      </w:numPr>
      <w:spacing w:after="0" w:line="240" w:lineRule="auto"/>
      <w:outlineLvl w:val="0"/>
    </w:pPr>
    <w:rPr>
      <w:rFonts w:ascii="Arial" w:eastAsia="Times New Roman" w:hAnsi="Arial" w:cs="Arial"/>
      <w:b/>
      <w:snapToGrid w:val="0"/>
    </w:rPr>
  </w:style>
  <w:style w:type="paragraph" w:styleId="BalloonText">
    <w:name w:val="Balloon Text"/>
    <w:basedOn w:val="Normal"/>
    <w:link w:val="BalloonTextChar"/>
    <w:uiPriority w:val="99"/>
    <w:semiHidden/>
    <w:unhideWhenUsed/>
    <w:rsid w:val="00A013C4"/>
    <w:rPr>
      <w:rFonts w:ascii="Tahoma" w:hAnsi="Tahoma" w:cs="Tahoma"/>
      <w:sz w:val="16"/>
      <w:szCs w:val="16"/>
    </w:rPr>
  </w:style>
  <w:style w:type="character" w:customStyle="1" w:styleId="BalloonTextChar">
    <w:name w:val="Balloon Text Char"/>
    <w:basedOn w:val="DefaultParagraphFont"/>
    <w:link w:val="BalloonText"/>
    <w:uiPriority w:val="99"/>
    <w:semiHidden/>
    <w:rsid w:val="00A013C4"/>
    <w:rPr>
      <w:rFonts w:ascii="Tahoma" w:eastAsia="Times New Roman" w:hAnsi="Tahoma" w:cs="Tahoma"/>
      <w:snapToGrid w:val="0"/>
      <w:sz w:val="16"/>
      <w:szCs w:val="16"/>
    </w:rPr>
  </w:style>
  <w:style w:type="paragraph" w:styleId="Title">
    <w:name w:val="Title"/>
    <w:basedOn w:val="Normal"/>
    <w:next w:val="Normal"/>
    <w:link w:val="TitleChar"/>
    <w:qFormat/>
    <w:rsid w:val="00A013C4"/>
    <w:pPr>
      <w:widowControl/>
      <w:ind w:left="720" w:hanging="720"/>
      <w:jc w:val="left"/>
    </w:pPr>
    <w:rPr>
      <w:rFonts w:cs="Times New Roman"/>
      <w:b/>
      <w:snapToGrid/>
      <w:sz w:val="28"/>
      <w:szCs w:val="28"/>
      <w:lang w:eastAsia="en-AU"/>
    </w:rPr>
  </w:style>
  <w:style w:type="character" w:customStyle="1" w:styleId="TitleChar">
    <w:name w:val="Title Char"/>
    <w:basedOn w:val="DefaultParagraphFont"/>
    <w:link w:val="Title"/>
    <w:rsid w:val="00A013C4"/>
    <w:rPr>
      <w:rFonts w:ascii="Arial" w:eastAsia="Times New Roman" w:hAnsi="Arial" w:cs="Times New Roman"/>
      <w:b/>
      <w:sz w:val="28"/>
      <w:szCs w:val="28"/>
      <w:lang w:eastAsia="en-AU"/>
    </w:rPr>
  </w:style>
  <w:style w:type="paragraph" w:styleId="Header">
    <w:name w:val="header"/>
    <w:aliases w:val="Page Header,Header title,he=header,cntr/bld"/>
    <w:basedOn w:val="Normal"/>
    <w:link w:val="HeaderChar"/>
    <w:uiPriority w:val="99"/>
    <w:unhideWhenUsed/>
    <w:rsid w:val="00A013C4"/>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A013C4"/>
    <w:rPr>
      <w:rFonts w:ascii="Arial" w:eastAsia="Times New Roman" w:hAnsi="Arial" w:cs="Arial"/>
      <w:snapToGrid w:val="0"/>
      <w:szCs w:val="20"/>
    </w:rPr>
  </w:style>
  <w:style w:type="paragraph" w:styleId="Footer">
    <w:name w:val="footer"/>
    <w:basedOn w:val="Normal"/>
    <w:link w:val="FooterChar"/>
    <w:uiPriority w:val="99"/>
    <w:unhideWhenUsed/>
    <w:rsid w:val="00A013C4"/>
    <w:pPr>
      <w:tabs>
        <w:tab w:val="center" w:pos="4513"/>
        <w:tab w:val="right" w:pos="9026"/>
      </w:tabs>
    </w:pPr>
  </w:style>
  <w:style w:type="character" w:customStyle="1" w:styleId="FooterChar">
    <w:name w:val="Footer Char"/>
    <w:basedOn w:val="DefaultParagraphFont"/>
    <w:link w:val="Footer"/>
    <w:uiPriority w:val="99"/>
    <w:rsid w:val="00A013C4"/>
    <w:rPr>
      <w:rFonts w:ascii="Arial" w:eastAsia="Times New Roman" w:hAnsi="Arial" w:cs="Arial"/>
      <w:snapToGrid w:val="0"/>
      <w:szCs w:val="20"/>
    </w:rPr>
  </w:style>
  <w:style w:type="character" w:styleId="Strong">
    <w:name w:val="Strong"/>
    <w:basedOn w:val="DefaultParagraphFont"/>
    <w:uiPriority w:val="22"/>
    <w:qFormat/>
    <w:rsid w:val="00310A8D"/>
    <w:rPr>
      <w:b/>
      <w:bCs/>
    </w:rPr>
  </w:style>
  <w:style w:type="paragraph" w:styleId="NormalWeb">
    <w:name w:val="Normal (Web)"/>
    <w:basedOn w:val="Normal"/>
    <w:uiPriority w:val="99"/>
    <w:unhideWhenUsed/>
    <w:rsid w:val="00310A8D"/>
    <w:pPr>
      <w:widowControl/>
      <w:spacing w:before="100" w:beforeAutospacing="1" w:after="100" w:afterAutospacing="1"/>
      <w:jc w:val="left"/>
    </w:pPr>
    <w:rPr>
      <w:rFonts w:ascii="Times New Roman" w:hAnsi="Times New Roman" w:cs="Times New Roman"/>
      <w:snapToGrid/>
      <w:sz w:val="24"/>
      <w:szCs w:val="24"/>
      <w:lang w:eastAsia="en-AU"/>
    </w:rPr>
  </w:style>
  <w:style w:type="table" w:styleId="TableGrid">
    <w:name w:val="Table Grid"/>
    <w:basedOn w:val="TableNormal"/>
    <w:rsid w:val="00310A8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63975"/>
    <w:rPr>
      <w:color w:val="0000FF" w:themeColor="hyperlink"/>
      <w:u w:val="single"/>
    </w:rPr>
  </w:style>
  <w:style w:type="paragraph" w:styleId="FootnoteText">
    <w:name w:val="footnote text"/>
    <w:basedOn w:val="Normal"/>
    <w:link w:val="FootnoteTextChar"/>
    <w:rsid w:val="005445A5"/>
    <w:pPr>
      <w:widowControl/>
      <w:jc w:val="left"/>
    </w:pPr>
    <w:rPr>
      <w:rFonts w:ascii="Times New Roman" w:hAnsi="Times New Roman" w:cs="Times New Roman"/>
      <w:snapToGrid/>
      <w:sz w:val="20"/>
    </w:rPr>
  </w:style>
  <w:style w:type="character" w:customStyle="1" w:styleId="FootnoteTextChar">
    <w:name w:val="Footnote Text Char"/>
    <w:basedOn w:val="DefaultParagraphFont"/>
    <w:link w:val="FootnoteText"/>
    <w:rsid w:val="005445A5"/>
    <w:rPr>
      <w:rFonts w:ascii="Times New Roman" w:eastAsia="Times New Roman" w:hAnsi="Times New Roman" w:cs="Times New Roman"/>
      <w:sz w:val="20"/>
      <w:szCs w:val="20"/>
    </w:rPr>
  </w:style>
  <w:style w:type="character" w:styleId="FootnoteReference">
    <w:name w:val="footnote reference"/>
    <w:basedOn w:val="DefaultParagraphFont"/>
    <w:rsid w:val="005445A5"/>
    <w:rPr>
      <w:vertAlign w:val="superscript"/>
    </w:rPr>
  </w:style>
  <w:style w:type="paragraph" w:customStyle="1" w:styleId="PBACHeading10">
    <w:name w:val="PBAC Heading 1"/>
    <w:qFormat/>
    <w:rsid w:val="00C17664"/>
    <w:pPr>
      <w:spacing w:after="0" w:line="240" w:lineRule="auto"/>
      <w:ind w:left="720" w:hanging="720"/>
    </w:pPr>
    <w:rPr>
      <w:rFonts w:ascii="Arial" w:eastAsia="Times New Roman" w:hAnsi="Arial" w:cs="Arial"/>
      <w:b/>
      <w:snapToGrid w:val="0"/>
    </w:rPr>
  </w:style>
  <w:style w:type="paragraph" w:styleId="EndnoteText">
    <w:name w:val="endnote text"/>
    <w:basedOn w:val="Normal"/>
    <w:link w:val="EndnoteTextChar"/>
    <w:rsid w:val="00476D06"/>
    <w:pPr>
      <w:widowControl/>
      <w:jc w:val="left"/>
    </w:pPr>
    <w:rPr>
      <w:rFonts w:ascii="Times New Roman" w:hAnsi="Times New Roman" w:cs="Times New Roman"/>
      <w:snapToGrid/>
      <w:sz w:val="20"/>
    </w:rPr>
  </w:style>
  <w:style w:type="character" w:customStyle="1" w:styleId="EndnoteTextChar">
    <w:name w:val="Endnote Text Char"/>
    <w:basedOn w:val="DefaultParagraphFont"/>
    <w:link w:val="EndnoteText"/>
    <w:rsid w:val="00476D06"/>
    <w:rPr>
      <w:rFonts w:ascii="Times New Roman" w:eastAsia="Times New Roman" w:hAnsi="Times New Roman" w:cs="Times New Roman"/>
      <w:sz w:val="20"/>
      <w:szCs w:val="20"/>
    </w:rPr>
  </w:style>
  <w:style w:type="character" w:styleId="EndnoteReference">
    <w:name w:val="endnote reference"/>
    <w:basedOn w:val="DefaultParagraphFont"/>
    <w:rsid w:val="00476D06"/>
    <w:rPr>
      <w:vertAlign w:val="superscript"/>
    </w:rPr>
  </w:style>
  <w:style w:type="character" w:customStyle="1" w:styleId="Heading1Char">
    <w:name w:val="Heading 1 Char"/>
    <w:basedOn w:val="DefaultParagraphFont"/>
    <w:link w:val="Heading1"/>
    <w:rsid w:val="0037626B"/>
    <w:rPr>
      <w:rFonts w:ascii="Arial" w:eastAsia="Times New Roman" w:hAnsi="Arial" w:cs="Times New Roman"/>
      <w:b/>
      <w:lang w:eastAsia="en-AU"/>
    </w:rPr>
  </w:style>
  <w:style w:type="character" w:styleId="FollowedHyperlink">
    <w:name w:val="FollowedHyperlink"/>
    <w:basedOn w:val="DefaultParagraphFont"/>
    <w:uiPriority w:val="99"/>
    <w:semiHidden/>
    <w:unhideWhenUsed/>
    <w:rsid w:val="0050323D"/>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200E60"/>
    <w:rPr>
      <w:rFonts w:ascii="Arial" w:hAnsi="Arial" w:cs="Arial"/>
      <w:b/>
      <w:bCs/>
    </w:rPr>
  </w:style>
  <w:style w:type="character" w:customStyle="1" w:styleId="CommentSubjectChar">
    <w:name w:val="Comment Subject Char"/>
    <w:basedOn w:val="CommentTextChar"/>
    <w:link w:val="CommentSubject"/>
    <w:uiPriority w:val="99"/>
    <w:semiHidden/>
    <w:rsid w:val="00200E60"/>
    <w:rPr>
      <w:rFonts w:ascii="Arial" w:eastAsia="Times New Roman" w:hAnsi="Arial" w:cs="Arial"/>
      <w:b/>
      <w:bCs/>
      <w:snapToGrid w:val="0"/>
      <w:sz w:val="20"/>
      <w:szCs w:val="20"/>
    </w:rPr>
  </w:style>
  <w:style w:type="character" w:styleId="Emphasis">
    <w:name w:val="Emphasis"/>
    <w:basedOn w:val="DefaultParagraphFont"/>
    <w:uiPriority w:val="20"/>
    <w:qFormat/>
    <w:rsid w:val="00B00D96"/>
    <w:rPr>
      <w:i/>
      <w:iCs/>
    </w:rPr>
  </w:style>
  <w:style w:type="paragraph" w:styleId="NoSpacing">
    <w:name w:val="No Spacing"/>
    <w:basedOn w:val="Normal"/>
    <w:uiPriority w:val="99"/>
    <w:qFormat/>
    <w:rsid w:val="00AF507B"/>
    <w:pPr>
      <w:widowControl/>
    </w:pPr>
    <w:rPr>
      <w:rFonts w:cs="Times New Roman"/>
      <w:snapToGrid/>
      <w:szCs w:val="22"/>
      <w:lang w:eastAsia="en-AU"/>
    </w:rPr>
  </w:style>
  <w:style w:type="character" w:customStyle="1" w:styleId="Heading2Char">
    <w:name w:val="Heading 2 Char"/>
    <w:basedOn w:val="DefaultParagraphFont"/>
    <w:link w:val="Heading2"/>
    <w:uiPriority w:val="9"/>
    <w:semiHidden/>
    <w:rsid w:val="00F835E6"/>
    <w:rPr>
      <w:rFonts w:asciiTheme="majorHAnsi" w:eastAsiaTheme="majorEastAsia" w:hAnsiTheme="majorHAnsi" w:cstheme="majorBidi"/>
      <w:b/>
      <w:bCs/>
      <w:snapToGrid w:val="0"/>
      <w:color w:val="4F81BD" w:themeColor="accent1"/>
      <w:sz w:val="26"/>
      <w:szCs w:val="26"/>
    </w:rPr>
  </w:style>
  <w:style w:type="paragraph" w:styleId="Revision">
    <w:name w:val="Revision"/>
    <w:hidden/>
    <w:uiPriority w:val="99"/>
    <w:semiHidden/>
    <w:rsid w:val="00477397"/>
    <w:pPr>
      <w:spacing w:after="0" w:line="240" w:lineRule="auto"/>
    </w:pPr>
    <w:rPr>
      <w:rFonts w:ascii="Arial" w:eastAsia="Times New Roman" w:hAnsi="Arial" w:cs="Arial"/>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03">
      <w:bodyDiv w:val="1"/>
      <w:marLeft w:val="0"/>
      <w:marRight w:val="0"/>
      <w:marTop w:val="0"/>
      <w:marBottom w:val="0"/>
      <w:divBdr>
        <w:top w:val="none" w:sz="0" w:space="0" w:color="auto"/>
        <w:left w:val="none" w:sz="0" w:space="0" w:color="auto"/>
        <w:bottom w:val="none" w:sz="0" w:space="0" w:color="auto"/>
        <w:right w:val="none" w:sz="0" w:space="0" w:color="auto"/>
      </w:divBdr>
    </w:div>
    <w:div w:id="477068380">
      <w:bodyDiv w:val="1"/>
      <w:marLeft w:val="0"/>
      <w:marRight w:val="0"/>
      <w:marTop w:val="0"/>
      <w:marBottom w:val="0"/>
      <w:divBdr>
        <w:top w:val="none" w:sz="0" w:space="0" w:color="auto"/>
        <w:left w:val="none" w:sz="0" w:space="0" w:color="auto"/>
        <w:bottom w:val="none" w:sz="0" w:space="0" w:color="auto"/>
        <w:right w:val="none" w:sz="0" w:space="0" w:color="auto"/>
      </w:divBdr>
    </w:div>
    <w:div w:id="1121194734">
      <w:bodyDiv w:val="1"/>
      <w:marLeft w:val="0"/>
      <w:marRight w:val="0"/>
      <w:marTop w:val="0"/>
      <w:marBottom w:val="0"/>
      <w:divBdr>
        <w:top w:val="none" w:sz="0" w:space="0" w:color="auto"/>
        <w:left w:val="none" w:sz="0" w:space="0" w:color="auto"/>
        <w:bottom w:val="none" w:sz="0" w:space="0" w:color="auto"/>
        <w:right w:val="none" w:sz="0" w:space="0" w:color="auto"/>
      </w:divBdr>
    </w:div>
    <w:div w:id="1233856527">
      <w:bodyDiv w:val="1"/>
      <w:marLeft w:val="0"/>
      <w:marRight w:val="0"/>
      <w:marTop w:val="0"/>
      <w:marBottom w:val="0"/>
      <w:divBdr>
        <w:top w:val="none" w:sz="0" w:space="0" w:color="auto"/>
        <w:left w:val="none" w:sz="0" w:space="0" w:color="auto"/>
        <w:bottom w:val="none" w:sz="0" w:space="0" w:color="auto"/>
        <w:right w:val="none" w:sz="0" w:space="0" w:color="auto"/>
      </w:divBdr>
    </w:div>
    <w:div w:id="196287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55D11-090E-4008-8D95-D1E3153C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1411</Words>
  <Characters>7973</Characters>
  <Application>Microsoft Office Word</Application>
  <DocSecurity>0</DocSecurity>
  <Lines>284</Lines>
  <Paragraphs>218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2018-06-20T05:20:00Z</dcterms:created>
  <dcterms:modified xsi:type="dcterms:W3CDTF">2018-06-21T04:34:00Z</dcterms:modified>
</cp:coreProperties>
</file>