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93" w:rsidRPr="00577C4D" w:rsidRDefault="00761BAF" w:rsidP="006D6493">
      <w:pPr>
        <w:pStyle w:val="Title"/>
        <w:spacing w:before="120" w:after="160"/>
        <w:ind w:left="720" w:hanging="720"/>
        <w:rPr>
          <w:rFonts w:asciiTheme="minorHAnsi" w:hAnsiTheme="minorHAnsi"/>
          <w:sz w:val="36"/>
          <w:szCs w:val="36"/>
        </w:rPr>
      </w:pPr>
      <w:r>
        <w:rPr>
          <w:rFonts w:asciiTheme="minorHAnsi" w:hAnsiTheme="minorHAnsi"/>
          <w:sz w:val="36"/>
          <w:szCs w:val="36"/>
        </w:rPr>
        <w:t>5.22</w:t>
      </w:r>
      <w:r w:rsidR="006D6493" w:rsidRPr="002B5596">
        <w:rPr>
          <w:rFonts w:asciiTheme="minorHAnsi" w:hAnsiTheme="minorHAnsi"/>
          <w:sz w:val="36"/>
          <w:szCs w:val="36"/>
        </w:rPr>
        <w:tab/>
      </w:r>
      <w:r>
        <w:rPr>
          <w:rFonts w:asciiTheme="minorHAnsi" w:hAnsiTheme="minorHAnsi"/>
          <w:sz w:val="36"/>
          <w:szCs w:val="36"/>
        </w:rPr>
        <w:t>CARFILZOMIB</w:t>
      </w:r>
      <w:r w:rsidR="006D6493" w:rsidRPr="002B5596">
        <w:rPr>
          <w:rFonts w:asciiTheme="minorHAnsi" w:hAnsiTheme="minorHAnsi"/>
          <w:sz w:val="36"/>
          <w:szCs w:val="36"/>
        </w:rPr>
        <w:t xml:space="preserve"> </w:t>
      </w:r>
      <w:r w:rsidR="006D6493" w:rsidRPr="002B5596">
        <w:rPr>
          <w:rFonts w:asciiTheme="minorHAnsi" w:hAnsiTheme="minorHAnsi"/>
          <w:sz w:val="36"/>
          <w:szCs w:val="36"/>
        </w:rPr>
        <w:br/>
      </w:r>
      <w:r w:rsidRPr="00761BAF">
        <w:rPr>
          <w:rFonts w:asciiTheme="minorHAnsi" w:hAnsiTheme="minorHAnsi"/>
          <w:sz w:val="36"/>
          <w:szCs w:val="36"/>
        </w:rPr>
        <w:t>Powder for I.V. infusion 10 mg</w:t>
      </w:r>
      <w:r w:rsidR="006D6493" w:rsidRPr="002B5596">
        <w:rPr>
          <w:rFonts w:asciiTheme="minorHAnsi" w:hAnsiTheme="minorHAnsi"/>
          <w:sz w:val="36"/>
          <w:szCs w:val="36"/>
        </w:rPr>
        <w:t xml:space="preserve">, </w:t>
      </w:r>
      <w:r w:rsidR="006D6493" w:rsidRPr="002B5596">
        <w:rPr>
          <w:rFonts w:asciiTheme="minorHAnsi" w:hAnsiTheme="minorHAnsi"/>
          <w:sz w:val="36"/>
          <w:szCs w:val="36"/>
        </w:rPr>
        <w:br/>
      </w:r>
      <w:proofErr w:type="spellStart"/>
      <w:r w:rsidRPr="00761BAF">
        <w:rPr>
          <w:rFonts w:asciiTheme="minorHAnsi" w:hAnsiTheme="minorHAnsi"/>
          <w:sz w:val="36"/>
          <w:szCs w:val="36"/>
        </w:rPr>
        <w:t>Kyprolis</w:t>
      </w:r>
      <w:proofErr w:type="spellEnd"/>
      <w:r w:rsidRPr="00761BAF">
        <w:rPr>
          <w:rFonts w:asciiTheme="minorHAnsi" w:hAnsiTheme="minorHAnsi"/>
          <w:sz w:val="36"/>
          <w:szCs w:val="36"/>
        </w:rPr>
        <w:t>®</w:t>
      </w:r>
      <w:r w:rsidR="006D6493" w:rsidRPr="002B5596">
        <w:rPr>
          <w:rFonts w:asciiTheme="minorHAnsi" w:hAnsiTheme="minorHAnsi"/>
          <w:sz w:val="36"/>
          <w:szCs w:val="36"/>
        </w:rPr>
        <w:t xml:space="preserve">, </w:t>
      </w:r>
      <w:r w:rsidRPr="00761BAF">
        <w:rPr>
          <w:rFonts w:asciiTheme="minorHAnsi" w:hAnsiTheme="minorHAnsi"/>
          <w:sz w:val="36"/>
          <w:szCs w:val="36"/>
        </w:rPr>
        <w:t>Amgen Australia Pty Ltd</w:t>
      </w:r>
    </w:p>
    <w:p w:rsidR="008A50F1" w:rsidRPr="00D4572C" w:rsidRDefault="00CE10C4" w:rsidP="00EB0B63">
      <w:pPr>
        <w:pStyle w:val="PBACHeading1"/>
        <w:spacing w:before="240" w:after="120"/>
        <w:ind w:left="709" w:hanging="709"/>
        <w:rPr>
          <w:rFonts w:asciiTheme="minorHAnsi" w:hAnsiTheme="minorHAnsi"/>
          <w:sz w:val="32"/>
          <w:szCs w:val="32"/>
        </w:rPr>
      </w:pPr>
      <w:bookmarkStart w:id="0" w:name="_GoBack"/>
      <w:bookmarkEnd w:id="0"/>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6A12A5" w:rsidRPr="001B2BBC"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nor submission sought</w:t>
      </w:r>
      <w:r w:rsidR="00761BAF" w:rsidRPr="001B2BBC">
        <w:rPr>
          <w:rFonts w:asciiTheme="minorHAnsi" w:eastAsiaTheme="minorHAnsi" w:hAnsiTheme="minorHAnsi" w:cstheme="minorBidi"/>
          <w:snapToGrid/>
          <w:sz w:val="24"/>
          <w:szCs w:val="22"/>
        </w:rPr>
        <w:t xml:space="preserve"> listing</w:t>
      </w:r>
      <w:r w:rsidR="00761BAF">
        <w:rPr>
          <w:rFonts w:asciiTheme="minorHAnsi" w:eastAsiaTheme="minorHAnsi" w:hAnsiTheme="minorHAnsi" w:cstheme="minorBidi"/>
          <w:snapToGrid/>
          <w:sz w:val="24"/>
          <w:szCs w:val="22"/>
        </w:rPr>
        <w:t xml:space="preserve"> of a new strength of the currently</w:t>
      </w:r>
      <w:r w:rsidR="003D58E7">
        <w:rPr>
          <w:rFonts w:asciiTheme="minorHAnsi" w:eastAsiaTheme="minorHAnsi" w:hAnsiTheme="minorHAnsi" w:cstheme="minorBidi"/>
          <w:snapToGrid/>
          <w:sz w:val="24"/>
          <w:szCs w:val="22"/>
        </w:rPr>
        <w:t xml:space="preserve"> listed</w:t>
      </w:r>
      <w:r w:rsidR="00761BAF">
        <w:rPr>
          <w:rFonts w:asciiTheme="minorHAnsi" w:eastAsiaTheme="minorHAnsi" w:hAnsiTheme="minorHAnsi" w:cstheme="minorBidi"/>
          <w:snapToGrid/>
          <w:sz w:val="24"/>
          <w:szCs w:val="22"/>
        </w:rPr>
        <w:t xml:space="preserve"> drug carfilzomib.</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826F6D" w:rsidRDefault="00EF44A0" w:rsidP="00761BA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the </w:t>
      </w:r>
      <w:r w:rsidR="00761BAF">
        <w:rPr>
          <w:rFonts w:asciiTheme="minorHAnsi" w:eastAsiaTheme="minorHAnsi" w:hAnsiTheme="minorHAnsi" w:cstheme="minorBidi"/>
          <w:snapToGrid/>
          <w:sz w:val="24"/>
          <w:szCs w:val="22"/>
        </w:rPr>
        <w:t>same Section 100 Efficient Funding of Chemotherapy (EFC) listing as the 30 and 60 mg strengths of carfilzomib for the treatment of m</w:t>
      </w:r>
      <w:r w:rsidR="00761BAF" w:rsidRPr="00761BAF">
        <w:rPr>
          <w:rFonts w:asciiTheme="minorHAnsi" w:eastAsiaTheme="minorHAnsi" w:hAnsiTheme="minorHAnsi" w:cstheme="minorBidi"/>
          <w:snapToGrid/>
          <w:sz w:val="24"/>
          <w:szCs w:val="22"/>
        </w:rPr>
        <w:t>ultiple myeloma</w:t>
      </w:r>
      <w:r w:rsidR="00761BAF">
        <w:rPr>
          <w:rFonts w:asciiTheme="minorHAnsi" w:eastAsiaTheme="minorHAnsi" w:hAnsiTheme="minorHAnsi" w:cstheme="minorBidi"/>
          <w:snapToGrid/>
          <w:sz w:val="24"/>
          <w:szCs w:val="22"/>
        </w:rPr>
        <w:t>.</w:t>
      </w:r>
    </w:p>
    <w:p w:rsidR="0067747D" w:rsidRDefault="00814BC6" w:rsidP="0067747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C741D5">
        <w:rPr>
          <w:rFonts w:asciiTheme="minorHAnsi" w:eastAsiaTheme="minorHAnsi" w:hAnsiTheme="minorHAnsi" w:cstheme="minorBidi"/>
          <w:snapToGrid/>
          <w:sz w:val="24"/>
          <w:szCs w:val="22"/>
        </w:rPr>
        <w:t>T</w:t>
      </w:r>
      <w:r w:rsidR="0067747D" w:rsidRPr="00C741D5">
        <w:rPr>
          <w:rFonts w:asciiTheme="minorHAnsi" w:eastAsiaTheme="minorHAnsi" w:hAnsiTheme="minorHAnsi" w:cstheme="minorBidi"/>
          <w:snapToGrid/>
          <w:sz w:val="24"/>
          <w:szCs w:val="22"/>
        </w:rPr>
        <w:t>he Secretariat</w:t>
      </w:r>
      <w:r w:rsidRPr="00C741D5">
        <w:rPr>
          <w:rFonts w:asciiTheme="minorHAnsi" w:eastAsiaTheme="minorHAnsi" w:hAnsiTheme="minorHAnsi" w:cstheme="minorBidi"/>
          <w:snapToGrid/>
          <w:sz w:val="24"/>
          <w:szCs w:val="22"/>
        </w:rPr>
        <w:t xml:space="preserve"> had no suggested changes</w:t>
      </w:r>
      <w:r w:rsidR="0067747D" w:rsidRPr="00C741D5">
        <w:rPr>
          <w:rFonts w:asciiTheme="minorHAnsi" w:eastAsiaTheme="minorHAnsi" w:hAnsiTheme="minorHAnsi" w:cstheme="minorBidi"/>
          <w:snapToGrid/>
          <w:sz w:val="24"/>
          <w:szCs w:val="22"/>
        </w:rPr>
        <w:t xml:space="preserve"> to the requested listing.</w:t>
      </w:r>
    </w:p>
    <w:tbl>
      <w:tblPr>
        <w:tblW w:w="5000" w:type="pct"/>
        <w:tblLook w:val="0000" w:firstRow="0" w:lastRow="0" w:firstColumn="0" w:lastColumn="0" w:noHBand="0" w:noVBand="0"/>
      </w:tblPr>
      <w:tblGrid>
        <w:gridCol w:w="2930"/>
        <w:gridCol w:w="839"/>
        <w:gridCol w:w="839"/>
        <w:gridCol w:w="2163"/>
        <w:gridCol w:w="2471"/>
      </w:tblGrid>
      <w:tr w:rsidR="006814B3" w:rsidRPr="0039782C" w:rsidTr="000B3876">
        <w:trPr>
          <w:cantSplit/>
          <w:trHeight w:val="465"/>
        </w:trPr>
        <w:tc>
          <w:tcPr>
            <w:tcW w:w="1585" w:type="pct"/>
            <w:tcBorders>
              <w:bottom w:val="single" w:sz="4" w:space="0" w:color="auto"/>
            </w:tcBorders>
          </w:tcPr>
          <w:p w:rsidR="00826F6D" w:rsidRPr="0039782C" w:rsidRDefault="00826F6D" w:rsidP="006814B3">
            <w:pPr>
              <w:spacing w:before="40" w:after="40"/>
              <w:jc w:val="both"/>
              <w:rPr>
                <w:rFonts w:ascii="Arial Narrow" w:hAnsi="Arial Narrow" w:cs="Arial"/>
                <w:b/>
                <w:sz w:val="20"/>
                <w:szCs w:val="20"/>
              </w:rPr>
            </w:pPr>
            <w:r w:rsidRPr="0039782C">
              <w:rPr>
                <w:rFonts w:ascii="Arial Narrow" w:hAnsi="Arial Narrow" w:cs="Arial"/>
                <w:b/>
                <w:sz w:val="20"/>
                <w:szCs w:val="20"/>
              </w:rPr>
              <w:t xml:space="preserve">Name, </w:t>
            </w:r>
            <w:r w:rsidR="006B1BFA">
              <w:rPr>
                <w:rFonts w:ascii="Arial Narrow" w:hAnsi="Arial Narrow" w:cs="Arial"/>
                <w:b/>
                <w:sz w:val="20"/>
                <w:szCs w:val="20"/>
              </w:rPr>
              <w:t>r</w:t>
            </w:r>
            <w:r w:rsidRPr="0039782C">
              <w:rPr>
                <w:rFonts w:ascii="Arial Narrow" w:hAnsi="Arial Narrow" w:cs="Arial"/>
                <w:b/>
                <w:sz w:val="20"/>
                <w:szCs w:val="20"/>
              </w:rPr>
              <w:t>estriction,</w:t>
            </w:r>
          </w:p>
          <w:p w:rsidR="00826F6D" w:rsidRPr="0039782C" w:rsidRDefault="006B1BFA" w:rsidP="006814B3">
            <w:pPr>
              <w:spacing w:before="40" w:after="40"/>
              <w:jc w:val="both"/>
              <w:rPr>
                <w:rFonts w:ascii="Arial Narrow" w:hAnsi="Arial Narrow" w:cs="Arial"/>
                <w:b/>
                <w:sz w:val="20"/>
                <w:szCs w:val="20"/>
              </w:rPr>
            </w:pPr>
            <w:r>
              <w:rPr>
                <w:rFonts w:ascii="Arial Narrow" w:hAnsi="Arial Narrow" w:cs="Arial"/>
                <w:b/>
                <w:sz w:val="20"/>
                <w:szCs w:val="20"/>
              </w:rPr>
              <w:t>m</w:t>
            </w:r>
            <w:r w:rsidR="00826F6D" w:rsidRPr="0039782C">
              <w:rPr>
                <w:rFonts w:ascii="Arial Narrow" w:hAnsi="Arial Narrow" w:cs="Arial"/>
                <w:b/>
                <w:sz w:val="20"/>
                <w:szCs w:val="20"/>
              </w:rPr>
              <w:t>anner of administration</w:t>
            </w:r>
            <w:r>
              <w:rPr>
                <w:rFonts w:ascii="Arial Narrow" w:hAnsi="Arial Narrow" w:cs="Arial"/>
                <w:b/>
                <w:sz w:val="20"/>
                <w:szCs w:val="20"/>
              </w:rPr>
              <w:t>,</w:t>
            </w:r>
            <w:r w:rsidR="00826F6D" w:rsidRPr="0039782C">
              <w:rPr>
                <w:rFonts w:ascii="Arial Narrow" w:hAnsi="Arial Narrow" w:cs="Arial"/>
                <w:b/>
                <w:sz w:val="20"/>
                <w:szCs w:val="20"/>
              </w:rPr>
              <w:t xml:space="preserve"> form</w:t>
            </w:r>
          </w:p>
        </w:tc>
        <w:tc>
          <w:tcPr>
            <w:tcW w:w="454" w:type="pct"/>
            <w:tcBorders>
              <w:bottom w:val="single" w:sz="4" w:space="0" w:color="auto"/>
            </w:tcBorders>
          </w:tcPr>
          <w:p w:rsidR="00826F6D" w:rsidRPr="0039782C" w:rsidRDefault="00826F6D" w:rsidP="006814B3">
            <w:pPr>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14BC6" w:rsidP="006814B3">
            <w:pPr>
              <w:spacing w:before="40" w:after="40"/>
              <w:jc w:val="both"/>
              <w:rPr>
                <w:rFonts w:ascii="Arial Narrow" w:hAnsi="Arial Narrow" w:cs="Arial"/>
                <w:b/>
                <w:sz w:val="20"/>
                <w:szCs w:val="20"/>
              </w:rPr>
            </w:pPr>
            <w:proofErr w:type="spellStart"/>
            <w:r>
              <w:rPr>
                <w:rFonts w:ascii="Arial Narrow" w:hAnsi="Arial Narrow" w:cs="Arial"/>
                <w:b/>
                <w:sz w:val="20"/>
                <w:szCs w:val="20"/>
              </w:rPr>
              <w:t>Amt</w:t>
            </w:r>
            <w:proofErr w:type="spellEnd"/>
          </w:p>
        </w:tc>
        <w:tc>
          <w:tcPr>
            <w:tcW w:w="454" w:type="pct"/>
            <w:tcBorders>
              <w:bottom w:val="single" w:sz="4" w:space="0" w:color="auto"/>
            </w:tcBorders>
          </w:tcPr>
          <w:p w:rsidR="00826F6D" w:rsidRPr="0039782C" w:rsidRDefault="00826F6D" w:rsidP="006814B3">
            <w:pPr>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6814B3">
            <w:pPr>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170" w:type="pct"/>
            <w:tcBorders>
              <w:bottom w:val="single" w:sz="4" w:space="0" w:color="auto"/>
            </w:tcBorders>
          </w:tcPr>
          <w:p w:rsidR="006814B3" w:rsidRDefault="00826F6D" w:rsidP="006814B3">
            <w:pPr>
              <w:spacing w:before="40" w:after="40"/>
              <w:rPr>
                <w:rFonts w:ascii="Arial Narrow" w:hAnsi="Arial Narrow" w:cs="Arial"/>
                <w:b/>
                <w:sz w:val="20"/>
                <w:szCs w:val="20"/>
              </w:rPr>
            </w:pPr>
            <w:r w:rsidRPr="0039782C">
              <w:rPr>
                <w:rFonts w:ascii="Arial Narrow" w:hAnsi="Arial Narrow" w:cs="Arial"/>
                <w:b/>
                <w:sz w:val="20"/>
                <w:szCs w:val="20"/>
              </w:rPr>
              <w:t xml:space="preserve">Dispensed Price </w:t>
            </w:r>
          </w:p>
          <w:p w:rsidR="00826F6D" w:rsidRPr="0039782C" w:rsidRDefault="00826F6D" w:rsidP="006814B3">
            <w:pPr>
              <w:spacing w:before="40" w:after="40"/>
              <w:rPr>
                <w:rFonts w:ascii="Arial Narrow" w:hAnsi="Arial Narrow" w:cs="Arial"/>
                <w:b/>
                <w:sz w:val="20"/>
                <w:szCs w:val="20"/>
              </w:rPr>
            </w:pPr>
            <w:proofErr w:type="gramStart"/>
            <w:r w:rsidRPr="0039782C">
              <w:rPr>
                <w:rFonts w:ascii="Arial Narrow" w:hAnsi="Arial Narrow" w:cs="Arial"/>
                <w:b/>
                <w:sz w:val="20"/>
                <w:szCs w:val="20"/>
              </w:rPr>
              <w:t>for</w:t>
            </w:r>
            <w:proofErr w:type="gramEnd"/>
            <w:r w:rsidRPr="0039782C">
              <w:rPr>
                <w:rFonts w:ascii="Arial Narrow" w:hAnsi="Arial Narrow" w:cs="Arial"/>
                <w:b/>
                <w:sz w:val="20"/>
                <w:szCs w:val="20"/>
              </w:rPr>
              <w:t xml:space="preserve"> Max. </w:t>
            </w:r>
            <w:proofErr w:type="spellStart"/>
            <w:r w:rsidR="00814BC6">
              <w:rPr>
                <w:rFonts w:ascii="Arial Narrow" w:hAnsi="Arial Narrow" w:cs="Arial"/>
                <w:b/>
                <w:sz w:val="20"/>
                <w:szCs w:val="20"/>
              </w:rPr>
              <w:t>Amt</w:t>
            </w:r>
            <w:proofErr w:type="spellEnd"/>
          </w:p>
        </w:tc>
        <w:tc>
          <w:tcPr>
            <w:tcW w:w="1337" w:type="pct"/>
            <w:tcBorders>
              <w:bottom w:val="single" w:sz="4" w:space="0" w:color="auto"/>
            </w:tcBorders>
          </w:tcPr>
          <w:p w:rsidR="00826F6D" w:rsidRPr="0039782C" w:rsidRDefault="00826F6D" w:rsidP="006814B3">
            <w:pPr>
              <w:spacing w:before="40" w:after="40"/>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6814B3" w:rsidRPr="00260CE3" w:rsidTr="000B3876">
        <w:trPr>
          <w:cantSplit/>
          <w:trHeight w:val="567"/>
        </w:trPr>
        <w:tc>
          <w:tcPr>
            <w:tcW w:w="1585" w:type="pct"/>
            <w:tcBorders>
              <w:top w:val="single" w:sz="4" w:space="0" w:color="auto"/>
              <w:bottom w:val="single" w:sz="4" w:space="0" w:color="auto"/>
            </w:tcBorders>
          </w:tcPr>
          <w:p w:rsidR="006814B3" w:rsidRPr="00260CE3" w:rsidRDefault="006814B3" w:rsidP="006814B3">
            <w:pPr>
              <w:spacing w:before="40" w:after="40"/>
              <w:jc w:val="both"/>
              <w:rPr>
                <w:rFonts w:ascii="Arial Narrow" w:hAnsi="Arial Narrow" w:cs="Arial"/>
                <w:sz w:val="20"/>
                <w:szCs w:val="20"/>
              </w:rPr>
            </w:pPr>
            <w:r>
              <w:rPr>
                <w:rFonts w:ascii="Arial Narrow" w:hAnsi="Arial Narrow" w:cs="Arial"/>
                <w:smallCaps/>
                <w:sz w:val="20"/>
                <w:szCs w:val="20"/>
              </w:rPr>
              <w:t>CARFILZOMIB</w:t>
            </w:r>
          </w:p>
          <w:p w:rsidR="006814B3" w:rsidRPr="00260CE3" w:rsidRDefault="006814B3" w:rsidP="006814B3">
            <w:pPr>
              <w:spacing w:before="40" w:after="40"/>
              <w:jc w:val="both"/>
              <w:rPr>
                <w:rFonts w:ascii="Arial Narrow" w:hAnsi="Arial Narrow" w:cs="Arial"/>
                <w:sz w:val="20"/>
                <w:szCs w:val="20"/>
              </w:rPr>
            </w:pPr>
            <w:r w:rsidRPr="00814BC6">
              <w:rPr>
                <w:rFonts w:ascii="Arial Narrow" w:hAnsi="Arial Narrow" w:cs="Arial"/>
                <w:sz w:val="20"/>
                <w:szCs w:val="20"/>
              </w:rPr>
              <w:t xml:space="preserve">Powder for </w:t>
            </w:r>
            <w:r>
              <w:rPr>
                <w:rFonts w:ascii="Arial Narrow" w:hAnsi="Arial Narrow" w:cs="Arial"/>
                <w:sz w:val="20"/>
                <w:szCs w:val="20"/>
              </w:rPr>
              <w:t>injection,</w:t>
            </w:r>
            <w:r w:rsidRPr="00814BC6">
              <w:rPr>
                <w:rFonts w:ascii="Arial Narrow" w:hAnsi="Arial Narrow" w:cs="Arial"/>
                <w:sz w:val="20"/>
                <w:szCs w:val="20"/>
              </w:rPr>
              <w:t xml:space="preserve"> 10 mg</w:t>
            </w:r>
          </w:p>
        </w:tc>
        <w:tc>
          <w:tcPr>
            <w:tcW w:w="454" w:type="pct"/>
            <w:tcBorders>
              <w:top w:val="single" w:sz="4" w:space="0" w:color="auto"/>
              <w:bottom w:val="single" w:sz="4" w:space="0" w:color="auto"/>
            </w:tcBorders>
          </w:tcPr>
          <w:p w:rsidR="006814B3" w:rsidRPr="00260CE3" w:rsidRDefault="006814B3" w:rsidP="006814B3">
            <w:pPr>
              <w:spacing w:before="40" w:after="40"/>
              <w:jc w:val="both"/>
              <w:rPr>
                <w:rFonts w:ascii="Arial Narrow" w:hAnsi="Arial Narrow" w:cs="Arial"/>
                <w:sz w:val="20"/>
                <w:szCs w:val="20"/>
              </w:rPr>
            </w:pPr>
          </w:p>
          <w:p w:rsidR="006814B3" w:rsidRPr="00260CE3" w:rsidRDefault="006814B3" w:rsidP="006814B3">
            <w:pPr>
              <w:spacing w:before="40" w:after="40"/>
              <w:jc w:val="both"/>
              <w:rPr>
                <w:rFonts w:ascii="Arial Narrow" w:hAnsi="Arial Narrow" w:cs="Arial"/>
                <w:sz w:val="20"/>
                <w:szCs w:val="20"/>
              </w:rPr>
            </w:pPr>
            <w:r>
              <w:rPr>
                <w:rFonts w:ascii="Arial Narrow" w:hAnsi="Arial Narrow" w:cs="Arial"/>
                <w:sz w:val="20"/>
                <w:szCs w:val="20"/>
              </w:rPr>
              <w:t>120</w:t>
            </w:r>
          </w:p>
        </w:tc>
        <w:tc>
          <w:tcPr>
            <w:tcW w:w="454" w:type="pct"/>
            <w:tcBorders>
              <w:top w:val="single" w:sz="4" w:space="0" w:color="auto"/>
              <w:bottom w:val="single" w:sz="4" w:space="0" w:color="auto"/>
            </w:tcBorders>
          </w:tcPr>
          <w:p w:rsidR="006814B3" w:rsidRPr="00260CE3" w:rsidRDefault="006814B3" w:rsidP="006814B3">
            <w:pPr>
              <w:spacing w:before="40" w:after="40"/>
              <w:jc w:val="both"/>
              <w:rPr>
                <w:rFonts w:ascii="Arial Narrow" w:hAnsi="Arial Narrow" w:cs="Arial"/>
                <w:sz w:val="20"/>
                <w:szCs w:val="20"/>
              </w:rPr>
            </w:pPr>
          </w:p>
          <w:p w:rsidR="006814B3" w:rsidRPr="00260CE3" w:rsidRDefault="006814B3" w:rsidP="006814B3">
            <w:pPr>
              <w:spacing w:before="40" w:after="40"/>
              <w:jc w:val="both"/>
              <w:rPr>
                <w:rFonts w:ascii="Arial Narrow" w:hAnsi="Arial Narrow" w:cs="Arial"/>
                <w:sz w:val="20"/>
                <w:szCs w:val="20"/>
              </w:rPr>
            </w:pPr>
            <w:r>
              <w:rPr>
                <w:rFonts w:ascii="Arial Narrow" w:hAnsi="Arial Narrow" w:cs="Arial"/>
                <w:sz w:val="20"/>
                <w:szCs w:val="20"/>
              </w:rPr>
              <w:t>17</w:t>
            </w:r>
          </w:p>
        </w:tc>
        <w:tc>
          <w:tcPr>
            <w:tcW w:w="1170" w:type="pct"/>
            <w:tcBorders>
              <w:top w:val="single" w:sz="4" w:space="0" w:color="auto"/>
              <w:bottom w:val="single" w:sz="4" w:space="0" w:color="auto"/>
            </w:tcBorders>
          </w:tcPr>
          <w:p w:rsidR="006814B3" w:rsidRPr="00260CE3" w:rsidRDefault="006814B3" w:rsidP="006814B3">
            <w:pPr>
              <w:spacing w:before="40" w:after="40"/>
              <w:jc w:val="both"/>
              <w:rPr>
                <w:rFonts w:ascii="Arial Narrow" w:hAnsi="Arial Narrow" w:cs="Arial"/>
                <w:sz w:val="20"/>
                <w:szCs w:val="20"/>
              </w:rPr>
            </w:pPr>
          </w:p>
          <w:p w:rsidR="006814B3" w:rsidRPr="00814BC6" w:rsidRDefault="006814B3" w:rsidP="006814B3">
            <w:pPr>
              <w:spacing w:before="40" w:after="40"/>
              <w:jc w:val="both"/>
              <w:rPr>
                <w:rFonts w:ascii="Arial Narrow" w:hAnsi="Arial Narrow" w:cs="Arial"/>
                <w:sz w:val="20"/>
                <w:szCs w:val="20"/>
              </w:rPr>
            </w:pPr>
            <w:r w:rsidRPr="00814BC6">
              <w:rPr>
                <w:rFonts w:ascii="Arial Narrow" w:hAnsi="Arial Narrow" w:cs="Arial"/>
                <w:sz w:val="20"/>
                <w:szCs w:val="20"/>
              </w:rPr>
              <w:t>Published</w:t>
            </w:r>
          </w:p>
          <w:p w:rsidR="006814B3" w:rsidRPr="00814BC6" w:rsidRDefault="006814B3" w:rsidP="006814B3">
            <w:pPr>
              <w:spacing w:before="40" w:after="40"/>
              <w:jc w:val="both"/>
              <w:rPr>
                <w:rFonts w:ascii="Arial Narrow" w:hAnsi="Arial Narrow" w:cs="Arial"/>
                <w:sz w:val="20"/>
                <w:szCs w:val="20"/>
              </w:rPr>
            </w:pPr>
            <w:r w:rsidRPr="00814BC6">
              <w:rPr>
                <w:rFonts w:ascii="Arial Narrow" w:hAnsi="Arial Narrow" w:cs="Arial"/>
                <w:sz w:val="20"/>
                <w:szCs w:val="20"/>
              </w:rPr>
              <w:t>Public: $2,621.14</w:t>
            </w:r>
          </w:p>
          <w:p w:rsidR="006814B3" w:rsidRPr="00814BC6" w:rsidRDefault="006814B3" w:rsidP="006814B3">
            <w:pPr>
              <w:spacing w:before="40" w:after="40"/>
              <w:jc w:val="both"/>
              <w:rPr>
                <w:rFonts w:ascii="Arial Narrow" w:hAnsi="Arial Narrow" w:cs="Arial"/>
                <w:sz w:val="20"/>
                <w:szCs w:val="20"/>
              </w:rPr>
            </w:pPr>
            <w:r w:rsidRPr="00814BC6">
              <w:rPr>
                <w:rFonts w:ascii="Arial Narrow" w:hAnsi="Arial Narrow" w:cs="Arial"/>
                <w:sz w:val="20"/>
                <w:szCs w:val="20"/>
              </w:rPr>
              <w:t>Private: $2,694.75</w:t>
            </w:r>
          </w:p>
          <w:p w:rsidR="006814B3" w:rsidRPr="00814BC6" w:rsidRDefault="006814B3" w:rsidP="006814B3">
            <w:pPr>
              <w:spacing w:before="40" w:after="40"/>
              <w:jc w:val="both"/>
              <w:rPr>
                <w:rFonts w:ascii="Arial Narrow" w:hAnsi="Arial Narrow" w:cs="Arial"/>
                <w:sz w:val="20"/>
                <w:szCs w:val="20"/>
              </w:rPr>
            </w:pPr>
            <w:r w:rsidRPr="00814BC6">
              <w:rPr>
                <w:rFonts w:ascii="Arial Narrow" w:hAnsi="Arial Narrow" w:cs="Arial"/>
                <w:sz w:val="20"/>
                <w:szCs w:val="20"/>
              </w:rPr>
              <w:t>Effective</w:t>
            </w:r>
          </w:p>
          <w:p w:rsidR="006814B3" w:rsidRPr="00814BC6" w:rsidRDefault="006814B3" w:rsidP="006814B3">
            <w:pPr>
              <w:spacing w:before="40" w:after="40"/>
              <w:jc w:val="both"/>
              <w:rPr>
                <w:rFonts w:ascii="Arial Narrow" w:hAnsi="Arial Narrow" w:cs="Arial"/>
                <w:sz w:val="20"/>
                <w:szCs w:val="20"/>
              </w:rPr>
            </w:pPr>
            <w:r w:rsidRPr="00814BC6">
              <w:rPr>
                <w:rFonts w:ascii="Arial Narrow" w:hAnsi="Arial Narrow" w:cs="Arial"/>
                <w:sz w:val="20"/>
                <w:szCs w:val="20"/>
              </w:rPr>
              <w:t>Public: $</w:t>
            </w:r>
            <w:r w:rsidR="00221B0F">
              <w:rPr>
                <w:rFonts w:ascii="Arial Narrow" w:hAnsi="Arial Narrow" w:cs="Arial"/>
                <w:noProof/>
                <w:color w:val="000000"/>
                <w:sz w:val="20"/>
                <w:szCs w:val="20"/>
                <w:highlight w:val="black"/>
              </w:rPr>
              <w:t>''''''''''''''''''''</w:t>
            </w:r>
          </w:p>
          <w:p w:rsidR="006814B3" w:rsidRPr="00260CE3" w:rsidRDefault="006814B3" w:rsidP="006814B3">
            <w:pPr>
              <w:spacing w:before="40" w:after="40"/>
              <w:jc w:val="both"/>
              <w:rPr>
                <w:rFonts w:ascii="Arial Narrow" w:hAnsi="Arial Narrow" w:cs="Arial"/>
                <w:sz w:val="20"/>
                <w:szCs w:val="20"/>
              </w:rPr>
            </w:pPr>
            <w:r w:rsidRPr="00814BC6">
              <w:rPr>
                <w:rFonts w:ascii="Arial Narrow" w:hAnsi="Arial Narrow" w:cs="Arial"/>
                <w:sz w:val="20"/>
                <w:szCs w:val="20"/>
              </w:rPr>
              <w:t>Private: $</w:t>
            </w:r>
            <w:r w:rsidR="00221B0F">
              <w:rPr>
                <w:rFonts w:ascii="Arial Narrow" w:hAnsi="Arial Narrow" w:cs="Arial"/>
                <w:noProof/>
                <w:color w:val="000000"/>
                <w:sz w:val="20"/>
                <w:szCs w:val="20"/>
                <w:highlight w:val="black"/>
              </w:rPr>
              <w:t>'''''''''''''''''</w:t>
            </w:r>
          </w:p>
        </w:tc>
        <w:tc>
          <w:tcPr>
            <w:tcW w:w="1337" w:type="pct"/>
            <w:tcBorders>
              <w:top w:val="single" w:sz="4" w:space="0" w:color="auto"/>
              <w:bottom w:val="single" w:sz="4" w:space="0" w:color="auto"/>
            </w:tcBorders>
          </w:tcPr>
          <w:p w:rsidR="006814B3" w:rsidRDefault="006814B3" w:rsidP="006814B3">
            <w:pPr>
              <w:spacing w:before="40" w:after="40"/>
              <w:rPr>
                <w:rFonts w:ascii="Arial Narrow" w:hAnsi="Arial Narrow" w:cs="Arial"/>
                <w:sz w:val="20"/>
                <w:szCs w:val="20"/>
              </w:rPr>
            </w:pPr>
          </w:p>
          <w:p w:rsidR="006814B3" w:rsidRDefault="006814B3" w:rsidP="006814B3">
            <w:pPr>
              <w:spacing w:before="40" w:after="40"/>
              <w:rPr>
                <w:rFonts w:ascii="Arial Narrow" w:hAnsi="Arial Narrow" w:cs="Arial"/>
                <w:sz w:val="20"/>
                <w:szCs w:val="20"/>
              </w:rPr>
            </w:pPr>
            <w:r>
              <w:rPr>
                <w:rFonts w:ascii="Arial Narrow" w:hAnsi="Arial Narrow" w:cs="Arial"/>
                <w:sz w:val="20"/>
                <w:szCs w:val="20"/>
              </w:rPr>
              <w:t>KYPROLIS</w:t>
            </w:r>
            <w:r w:rsidR="00DE1287" w:rsidRPr="00DE1287">
              <w:rPr>
                <w:rFonts w:ascii="Arial Narrow" w:hAnsi="Arial Narrow"/>
                <w:sz w:val="20"/>
                <w:szCs w:val="20"/>
                <w:vertAlign w:val="superscript"/>
              </w:rPr>
              <w:t>®</w:t>
            </w:r>
          </w:p>
          <w:p w:rsidR="006814B3" w:rsidRPr="00260CE3" w:rsidRDefault="006814B3" w:rsidP="006814B3">
            <w:pPr>
              <w:spacing w:before="40" w:after="40"/>
              <w:rPr>
                <w:rFonts w:ascii="Arial Narrow" w:hAnsi="Arial Narrow" w:cs="Arial"/>
                <w:sz w:val="20"/>
                <w:szCs w:val="20"/>
              </w:rPr>
            </w:pPr>
            <w:r w:rsidRPr="00814BC6">
              <w:rPr>
                <w:rFonts w:ascii="Arial Narrow" w:hAnsi="Arial Narrow" w:cs="Arial"/>
                <w:sz w:val="20"/>
                <w:szCs w:val="20"/>
              </w:rPr>
              <w:t>Amgen Australia Pty Ltd</w:t>
            </w:r>
          </w:p>
        </w:tc>
      </w:tr>
      <w:tr w:rsidR="00826F6D" w:rsidRPr="00260CE3" w:rsidTr="006814B3">
        <w:trPr>
          <w:cantSplit/>
          <w:trHeight w:val="360"/>
        </w:trPr>
        <w:tc>
          <w:tcPr>
            <w:tcW w:w="1585" w:type="pct"/>
            <w:tcBorders>
              <w:top w:val="single" w:sz="4" w:space="0" w:color="auto"/>
              <w:left w:val="single" w:sz="4" w:space="0" w:color="auto"/>
              <w:bottom w:val="single" w:sz="4" w:space="0" w:color="auto"/>
              <w:right w:val="single" w:sz="4" w:space="0" w:color="auto"/>
            </w:tcBorders>
          </w:tcPr>
          <w:p w:rsidR="00826F6D" w:rsidRPr="00260CE3" w:rsidRDefault="00826F6D" w:rsidP="004E1E5F">
            <w:pPr>
              <w:keepNext/>
              <w:spacing w:before="40" w:after="40"/>
              <w:jc w:val="both"/>
              <w:rPr>
                <w:rFonts w:ascii="Arial Narrow" w:hAnsi="Arial Narrow" w:cs="Arial"/>
                <w:b/>
                <w:sz w:val="20"/>
                <w:szCs w:val="20"/>
              </w:rPr>
            </w:pPr>
            <w:r w:rsidRPr="00CC5E84">
              <w:rPr>
                <w:rFonts w:ascii="Arial Narrow" w:hAnsi="Arial Narrow" w:cs="Arial"/>
                <w:b/>
                <w:sz w:val="20"/>
                <w:szCs w:val="20"/>
              </w:rPr>
              <w:t>Category / Program</w:t>
            </w:r>
          </w:p>
        </w:tc>
        <w:tc>
          <w:tcPr>
            <w:tcW w:w="3415" w:type="pct"/>
            <w:gridSpan w:val="4"/>
            <w:tcBorders>
              <w:top w:val="single" w:sz="4" w:space="0" w:color="auto"/>
              <w:left w:val="single" w:sz="4" w:space="0" w:color="auto"/>
              <w:bottom w:val="single" w:sz="4" w:space="0" w:color="auto"/>
              <w:right w:val="single" w:sz="4" w:space="0" w:color="auto"/>
            </w:tcBorders>
          </w:tcPr>
          <w:p w:rsidR="00826F6D" w:rsidRPr="00260CE3" w:rsidRDefault="00826F6D" w:rsidP="004E1E5F">
            <w:pPr>
              <w:keepNext/>
              <w:spacing w:before="40" w:after="40"/>
              <w:rPr>
                <w:rFonts w:ascii="Arial Narrow" w:hAnsi="Arial Narrow" w:cs="Arial"/>
                <w:sz w:val="20"/>
                <w:szCs w:val="20"/>
              </w:rPr>
            </w:pPr>
            <w:r w:rsidRPr="00260CE3">
              <w:rPr>
                <w:rFonts w:ascii="Arial Narrow" w:hAnsi="Arial Narrow" w:cs="Arial"/>
                <w:sz w:val="20"/>
                <w:szCs w:val="20"/>
              </w:rPr>
              <w:t xml:space="preserve">Section 100 – </w:t>
            </w:r>
            <w:r w:rsidR="00814BC6">
              <w:rPr>
                <w:rFonts w:ascii="Arial Narrow" w:hAnsi="Arial Narrow" w:cs="Arial"/>
                <w:sz w:val="20"/>
                <w:szCs w:val="20"/>
              </w:rPr>
              <w:t xml:space="preserve">Efficient Funding of </w:t>
            </w:r>
            <w:r w:rsidRPr="00260CE3">
              <w:rPr>
                <w:rFonts w:ascii="Arial Narrow" w:hAnsi="Arial Narrow" w:cs="Arial"/>
                <w:sz w:val="20"/>
                <w:szCs w:val="20"/>
              </w:rPr>
              <w:t>Chemotherapy</w:t>
            </w:r>
          </w:p>
        </w:tc>
      </w:tr>
      <w:tr w:rsidR="00826F6D" w:rsidRPr="00260CE3" w:rsidTr="006814B3">
        <w:trPr>
          <w:cantSplit/>
          <w:trHeight w:val="360"/>
        </w:trPr>
        <w:tc>
          <w:tcPr>
            <w:tcW w:w="1585" w:type="pct"/>
            <w:tcBorders>
              <w:top w:val="single" w:sz="4" w:space="0" w:color="auto"/>
              <w:left w:val="single" w:sz="4" w:space="0" w:color="auto"/>
              <w:bottom w:val="single" w:sz="4" w:space="0" w:color="auto"/>
              <w:right w:val="single" w:sz="4" w:space="0" w:color="auto"/>
            </w:tcBorders>
          </w:tcPr>
          <w:p w:rsidR="00826F6D" w:rsidRPr="00260CE3" w:rsidRDefault="00826F6D" w:rsidP="004E1E5F">
            <w:pPr>
              <w:keepNext/>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415" w:type="pct"/>
            <w:gridSpan w:val="4"/>
            <w:tcBorders>
              <w:top w:val="single" w:sz="4" w:space="0" w:color="auto"/>
              <w:left w:val="single" w:sz="4" w:space="0" w:color="auto"/>
              <w:bottom w:val="single" w:sz="4" w:space="0" w:color="auto"/>
              <w:right w:val="single" w:sz="4" w:space="0" w:color="auto"/>
            </w:tcBorders>
          </w:tcPr>
          <w:p w:rsidR="00826F6D" w:rsidRPr="00260CE3" w:rsidRDefault="00826F6D" w:rsidP="004E1E5F">
            <w:pPr>
              <w:keepNext/>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814BC6">
              <w:rPr>
                <w:rFonts w:ascii="Arial Narrow" w:hAnsi="Arial Narrow" w:cs="Arial"/>
                <w:sz w:val="20"/>
                <w:szCs w:val="20"/>
              </w:rPr>
              <w:fldChar w:fldCharType="begin">
                <w:ffData>
                  <w:name w:val=""/>
                  <w:enabled/>
                  <w:calcOnExit w:val="0"/>
                  <w:checkBox>
                    <w:sizeAuto/>
                    <w:default w:val="1"/>
                  </w:checkBox>
                </w:ffData>
              </w:fldChar>
            </w:r>
            <w:r w:rsidR="00814BC6">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00814BC6">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4E1E5F">
            <w:pPr>
              <w:keepNext/>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6814B3">
        <w:trPr>
          <w:cantSplit/>
          <w:trHeight w:val="360"/>
        </w:trPr>
        <w:tc>
          <w:tcPr>
            <w:tcW w:w="1585" w:type="pct"/>
            <w:tcBorders>
              <w:top w:val="single" w:sz="4" w:space="0" w:color="auto"/>
              <w:left w:val="single" w:sz="4" w:space="0" w:color="auto"/>
              <w:bottom w:val="single" w:sz="4" w:space="0" w:color="auto"/>
              <w:right w:val="single" w:sz="4" w:space="0" w:color="auto"/>
            </w:tcBorders>
          </w:tcPr>
          <w:p w:rsidR="00826F6D" w:rsidRPr="00260CE3" w:rsidRDefault="00826F6D" w:rsidP="004E1E5F">
            <w:pPr>
              <w:keepNext/>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415" w:type="pct"/>
            <w:gridSpan w:val="4"/>
            <w:tcBorders>
              <w:top w:val="single" w:sz="4" w:space="0" w:color="auto"/>
              <w:left w:val="single" w:sz="4" w:space="0" w:color="auto"/>
              <w:bottom w:val="single" w:sz="4" w:space="0" w:color="auto"/>
              <w:right w:val="single" w:sz="4" w:space="0" w:color="auto"/>
            </w:tcBorders>
          </w:tcPr>
          <w:p w:rsidR="00826F6D" w:rsidRPr="00260CE3" w:rsidRDefault="00814BC6" w:rsidP="004E1E5F">
            <w:pPr>
              <w:keepNext/>
              <w:spacing w:before="40" w:after="40"/>
              <w:rPr>
                <w:rFonts w:ascii="Arial Narrow" w:hAnsi="Arial Narrow" w:cs="Arial"/>
                <w:sz w:val="20"/>
                <w:szCs w:val="20"/>
              </w:rPr>
            </w:pPr>
            <w:r w:rsidRPr="00814BC6">
              <w:rPr>
                <w:rFonts w:ascii="Arial Narrow" w:hAnsi="Arial Narrow" w:cs="Arial"/>
                <w:sz w:val="20"/>
                <w:szCs w:val="20"/>
              </w:rPr>
              <w:t>Multiple myeloma</w:t>
            </w:r>
          </w:p>
        </w:tc>
      </w:tr>
      <w:tr w:rsidR="00826F6D" w:rsidRPr="00260CE3" w:rsidTr="006814B3">
        <w:trPr>
          <w:cantSplit/>
          <w:trHeight w:val="360"/>
        </w:trPr>
        <w:tc>
          <w:tcPr>
            <w:tcW w:w="1585" w:type="pct"/>
            <w:tcBorders>
              <w:top w:val="single" w:sz="4" w:space="0" w:color="auto"/>
              <w:left w:val="single" w:sz="4" w:space="0" w:color="auto"/>
              <w:bottom w:val="single" w:sz="4" w:space="0" w:color="auto"/>
              <w:right w:val="single" w:sz="4" w:space="0" w:color="auto"/>
            </w:tcBorders>
          </w:tcPr>
          <w:p w:rsidR="00826F6D" w:rsidRPr="00260CE3" w:rsidRDefault="00826F6D" w:rsidP="004E1E5F">
            <w:pPr>
              <w:keepNext/>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415" w:type="pct"/>
            <w:gridSpan w:val="4"/>
            <w:tcBorders>
              <w:top w:val="single" w:sz="4" w:space="0" w:color="auto"/>
              <w:left w:val="single" w:sz="4" w:space="0" w:color="auto"/>
              <w:bottom w:val="single" w:sz="4" w:space="0" w:color="auto"/>
              <w:right w:val="single" w:sz="4" w:space="0" w:color="auto"/>
            </w:tcBorders>
          </w:tcPr>
          <w:p w:rsidR="00826F6D" w:rsidRPr="00260CE3" w:rsidRDefault="00814BC6" w:rsidP="004E1E5F">
            <w:pPr>
              <w:keepNext/>
              <w:spacing w:before="40" w:after="40"/>
              <w:rPr>
                <w:rFonts w:ascii="Arial Narrow" w:hAnsi="Arial Narrow" w:cs="Arial"/>
                <w:sz w:val="20"/>
                <w:szCs w:val="20"/>
              </w:rPr>
            </w:pPr>
            <w:r w:rsidRPr="00814BC6">
              <w:rPr>
                <w:rFonts w:ascii="Arial Narrow" w:hAnsi="Arial Narrow" w:cs="Arial"/>
                <w:sz w:val="20"/>
                <w:szCs w:val="20"/>
              </w:rPr>
              <w:t>Multiple myeloma</w:t>
            </w:r>
          </w:p>
        </w:tc>
      </w:tr>
    </w:tbl>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6B0D94" w:rsidRPr="00307AB1" w:rsidRDefault="00EF4DC8" w:rsidP="00307AB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307AB1">
        <w:rPr>
          <w:rFonts w:asciiTheme="minorHAnsi" w:eastAsiaTheme="minorHAnsi" w:hAnsiTheme="minorHAnsi" w:cstheme="minorBidi"/>
          <w:snapToGrid/>
          <w:sz w:val="24"/>
          <w:szCs w:val="22"/>
        </w:rPr>
        <w:t>Carfilzomib</w:t>
      </w:r>
      <w:r w:rsidR="00476245" w:rsidRPr="00307AB1">
        <w:rPr>
          <w:rFonts w:asciiTheme="minorHAnsi" w:eastAsiaTheme="minorHAnsi" w:hAnsiTheme="minorHAnsi" w:cstheme="minorBidi"/>
          <w:snapToGrid/>
          <w:sz w:val="24"/>
          <w:szCs w:val="22"/>
        </w:rPr>
        <w:t xml:space="preserve"> </w:t>
      </w:r>
      <w:r w:rsidRPr="00307AB1">
        <w:rPr>
          <w:rFonts w:asciiTheme="minorHAnsi" w:eastAsiaTheme="minorHAnsi" w:hAnsiTheme="minorHAnsi" w:cstheme="minorBidi"/>
          <w:snapToGrid/>
          <w:sz w:val="24"/>
          <w:szCs w:val="22"/>
        </w:rPr>
        <w:t>30 mg and 60 mg</w:t>
      </w:r>
      <w:r w:rsidR="00476245" w:rsidRPr="00307AB1">
        <w:rPr>
          <w:rFonts w:asciiTheme="minorHAnsi" w:eastAsiaTheme="minorHAnsi" w:hAnsiTheme="minorHAnsi" w:cstheme="minorBidi"/>
          <w:snapToGrid/>
          <w:sz w:val="24"/>
          <w:szCs w:val="22"/>
        </w:rPr>
        <w:t xml:space="preserve"> </w:t>
      </w:r>
      <w:r w:rsidR="00307AB1">
        <w:rPr>
          <w:rFonts w:asciiTheme="minorHAnsi" w:eastAsiaTheme="minorHAnsi" w:hAnsiTheme="minorHAnsi" w:cstheme="minorBidi"/>
          <w:snapToGrid/>
          <w:sz w:val="24"/>
          <w:szCs w:val="22"/>
        </w:rPr>
        <w:t xml:space="preserve">are </w:t>
      </w:r>
      <w:r w:rsidR="00476245" w:rsidRPr="00307AB1">
        <w:rPr>
          <w:rFonts w:asciiTheme="minorHAnsi" w:eastAsiaTheme="minorHAnsi" w:hAnsiTheme="minorHAnsi" w:cstheme="minorBidi"/>
          <w:snapToGrid/>
          <w:sz w:val="24"/>
          <w:szCs w:val="22"/>
        </w:rPr>
        <w:t xml:space="preserve">TGA registered </w:t>
      </w:r>
      <w:r w:rsidR="00307AB1" w:rsidRPr="00307AB1">
        <w:rPr>
          <w:rFonts w:asciiTheme="minorHAnsi" w:eastAsiaTheme="minorHAnsi" w:hAnsiTheme="minorHAnsi" w:cstheme="minorBidi"/>
          <w:snapToGrid/>
          <w:sz w:val="24"/>
          <w:szCs w:val="22"/>
        </w:rPr>
        <w:t xml:space="preserve">as part of combination therapy with dexamethasone or </w:t>
      </w:r>
      <w:proofErr w:type="spellStart"/>
      <w:r w:rsidR="00307AB1" w:rsidRPr="00307AB1">
        <w:rPr>
          <w:rFonts w:asciiTheme="minorHAnsi" w:eastAsiaTheme="minorHAnsi" w:hAnsiTheme="minorHAnsi" w:cstheme="minorBidi"/>
          <w:snapToGrid/>
          <w:sz w:val="24"/>
          <w:szCs w:val="22"/>
        </w:rPr>
        <w:t>lenalidomide</w:t>
      </w:r>
      <w:proofErr w:type="spellEnd"/>
      <w:r w:rsidR="00307AB1" w:rsidRPr="00307AB1">
        <w:rPr>
          <w:rFonts w:asciiTheme="minorHAnsi" w:eastAsiaTheme="minorHAnsi" w:hAnsiTheme="minorHAnsi" w:cstheme="minorBidi"/>
          <w:snapToGrid/>
          <w:sz w:val="24"/>
          <w:szCs w:val="22"/>
        </w:rPr>
        <w:t xml:space="preserve"> and dexamethasone, for the treatment of patients with relapsed or refractory</w:t>
      </w:r>
      <w:r w:rsidR="00307AB1">
        <w:rPr>
          <w:rFonts w:asciiTheme="minorHAnsi" w:eastAsiaTheme="minorHAnsi" w:hAnsiTheme="minorHAnsi" w:cstheme="minorBidi"/>
          <w:snapToGrid/>
          <w:sz w:val="24"/>
          <w:szCs w:val="22"/>
        </w:rPr>
        <w:t xml:space="preserve"> </w:t>
      </w:r>
      <w:r w:rsidR="00307AB1" w:rsidRPr="00307AB1">
        <w:rPr>
          <w:rFonts w:asciiTheme="minorHAnsi" w:eastAsiaTheme="minorHAnsi" w:hAnsiTheme="minorHAnsi" w:cstheme="minorBidi"/>
          <w:snapToGrid/>
          <w:sz w:val="24"/>
          <w:szCs w:val="22"/>
        </w:rPr>
        <w:t xml:space="preserve">multiple </w:t>
      </w:r>
      <w:proofErr w:type="gramStart"/>
      <w:r w:rsidR="00307AB1" w:rsidRPr="00307AB1">
        <w:rPr>
          <w:rFonts w:asciiTheme="minorHAnsi" w:eastAsiaTheme="minorHAnsi" w:hAnsiTheme="minorHAnsi" w:cstheme="minorBidi"/>
          <w:snapToGrid/>
          <w:sz w:val="24"/>
          <w:szCs w:val="22"/>
        </w:rPr>
        <w:t>myeloma who have</w:t>
      </w:r>
      <w:proofErr w:type="gramEnd"/>
      <w:r w:rsidR="00307AB1" w:rsidRPr="00307AB1">
        <w:rPr>
          <w:rFonts w:asciiTheme="minorHAnsi" w:eastAsiaTheme="minorHAnsi" w:hAnsiTheme="minorHAnsi" w:cstheme="minorBidi"/>
          <w:snapToGrid/>
          <w:sz w:val="24"/>
          <w:szCs w:val="22"/>
        </w:rPr>
        <w:t xml:space="preserve"> received at least one prior therapy</w:t>
      </w:r>
      <w:r w:rsidR="00FB0F02">
        <w:rPr>
          <w:rFonts w:asciiTheme="minorHAnsi" w:eastAsiaTheme="minorHAnsi" w:hAnsiTheme="minorHAnsi" w:cstheme="minorBidi"/>
          <w:snapToGrid/>
          <w:sz w:val="24"/>
          <w:szCs w:val="22"/>
        </w:rPr>
        <w:t>.</w:t>
      </w:r>
      <w:r w:rsidR="00307AB1">
        <w:rPr>
          <w:rFonts w:asciiTheme="minorHAnsi" w:eastAsiaTheme="minorHAnsi" w:hAnsiTheme="minorHAnsi" w:cstheme="minorBidi"/>
          <w:snapToGrid/>
          <w:sz w:val="24"/>
          <w:szCs w:val="22"/>
        </w:rPr>
        <w:t xml:space="preserve"> The 10 mg form </w:t>
      </w:r>
      <w:r w:rsidR="003D58E7">
        <w:rPr>
          <w:rFonts w:asciiTheme="minorHAnsi" w:eastAsiaTheme="minorHAnsi" w:hAnsiTheme="minorHAnsi" w:cstheme="minorBidi"/>
          <w:snapToGrid/>
          <w:sz w:val="24"/>
          <w:szCs w:val="22"/>
        </w:rPr>
        <w:t>was</w:t>
      </w:r>
      <w:r w:rsidR="00307AB1">
        <w:rPr>
          <w:rFonts w:asciiTheme="minorHAnsi" w:eastAsiaTheme="minorHAnsi" w:hAnsiTheme="minorHAnsi" w:cstheme="minorBidi"/>
          <w:snapToGrid/>
          <w:sz w:val="24"/>
          <w:szCs w:val="22"/>
        </w:rPr>
        <w:t xml:space="preserve"> TGA </w:t>
      </w:r>
      <w:r w:rsidR="003D58E7">
        <w:rPr>
          <w:rFonts w:asciiTheme="minorHAnsi" w:eastAsiaTheme="minorHAnsi" w:hAnsiTheme="minorHAnsi" w:cstheme="minorBidi"/>
          <w:snapToGrid/>
          <w:sz w:val="24"/>
          <w:szCs w:val="22"/>
        </w:rPr>
        <w:t>regis</w:t>
      </w:r>
      <w:r w:rsidR="00E47A2C">
        <w:rPr>
          <w:rFonts w:asciiTheme="minorHAnsi" w:eastAsiaTheme="minorHAnsi" w:hAnsiTheme="minorHAnsi" w:cstheme="minorBidi"/>
          <w:snapToGrid/>
          <w:sz w:val="24"/>
          <w:szCs w:val="22"/>
        </w:rPr>
        <w:t>tered for the same indication in February 2018</w:t>
      </w:r>
      <w:r w:rsidR="00307AB1">
        <w:rPr>
          <w:rFonts w:asciiTheme="minorHAnsi" w:eastAsiaTheme="minorHAnsi" w:hAnsiTheme="minorHAnsi" w:cstheme="minorBidi"/>
          <w:snapToGrid/>
          <w:sz w:val="24"/>
          <w:szCs w:val="22"/>
        </w:rPr>
        <w:t>.</w:t>
      </w:r>
    </w:p>
    <w:p w:rsidR="008A1956" w:rsidRDefault="00C4441C" w:rsidP="00C4441C">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rejected a Major submission of carfilzomib at the November 2016 meeting based on an unclear clinical place </w:t>
      </w:r>
      <w:r w:rsidR="00FB0F02">
        <w:rPr>
          <w:rFonts w:asciiTheme="minorHAnsi" w:eastAsiaTheme="minorHAnsi" w:hAnsiTheme="minorHAnsi" w:cstheme="minorBidi"/>
          <w:snapToGrid/>
          <w:sz w:val="24"/>
          <w:szCs w:val="22"/>
        </w:rPr>
        <w:t>in</w:t>
      </w:r>
      <w:r>
        <w:rPr>
          <w:rFonts w:asciiTheme="minorHAnsi" w:eastAsiaTheme="minorHAnsi" w:hAnsiTheme="minorHAnsi" w:cstheme="minorBidi"/>
          <w:snapToGrid/>
          <w:sz w:val="24"/>
          <w:szCs w:val="22"/>
        </w:rPr>
        <w:t xml:space="preserve"> therapy, uncertain</w:t>
      </w:r>
      <w:r w:rsidRPr="00C4441C">
        <w:rPr>
          <w:rFonts w:asciiTheme="minorHAnsi" w:eastAsiaTheme="minorHAnsi" w:hAnsiTheme="minorHAnsi" w:cstheme="minorBidi"/>
          <w:snapToGrid/>
          <w:sz w:val="24"/>
          <w:szCs w:val="22"/>
        </w:rPr>
        <w:t xml:space="preserve"> modelled overall survival gains with carfilzomib </w:t>
      </w:r>
      <w:r>
        <w:rPr>
          <w:rFonts w:asciiTheme="minorHAnsi" w:eastAsiaTheme="minorHAnsi" w:hAnsiTheme="minorHAnsi" w:cstheme="minorBidi"/>
          <w:snapToGrid/>
          <w:sz w:val="24"/>
          <w:szCs w:val="22"/>
        </w:rPr>
        <w:t>and a</w:t>
      </w:r>
      <w:r w:rsidRPr="00C4441C">
        <w:rPr>
          <w:rFonts w:asciiTheme="minorHAnsi" w:eastAsiaTheme="minorHAnsi" w:hAnsiTheme="minorHAnsi" w:cstheme="minorBidi"/>
          <w:snapToGrid/>
          <w:sz w:val="24"/>
          <w:szCs w:val="22"/>
        </w:rPr>
        <w:t xml:space="preserve"> number of assumptions in the economic model which </w:t>
      </w:r>
      <w:r w:rsidRPr="00C4441C">
        <w:rPr>
          <w:rFonts w:asciiTheme="minorHAnsi" w:eastAsiaTheme="minorHAnsi" w:hAnsiTheme="minorHAnsi" w:cstheme="minorBidi"/>
          <w:snapToGrid/>
          <w:sz w:val="24"/>
          <w:szCs w:val="22"/>
        </w:rPr>
        <w:lastRenderedPageBreak/>
        <w:t>favoured carfilzomib and hence considered that the base case ICERs were likely to be substantially underestimated</w:t>
      </w:r>
      <w:r>
        <w:rPr>
          <w:rFonts w:asciiTheme="minorHAnsi" w:eastAsiaTheme="minorHAnsi" w:hAnsiTheme="minorHAnsi" w:cstheme="minorBidi"/>
          <w:snapToGrid/>
          <w:sz w:val="24"/>
          <w:szCs w:val="22"/>
        </w:rPr>
        <w:t>.</w:t>
      </w:r>
    </w:p>
    <w:p w:rsidR="00C4441C" w:rsidRDefault="00C4441C" w:rsidP="003D168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recommended </w:t>
      </w:r>
      <w:r w:rsidR="00EC7D87">
        <w:rPr>
          <w:rFonts w:asciiTheme="minorHAnsi" w:eastAsiaTheme="minorHAnsi" w:hAnsiTheme="minorHAnsi" w:cstheme="minorBidi"/>
          <w:snapToGrid/>
          <w:sz w:val="24"/>
          <w:szCs w:val="22"/>
        </w:rPr>
        <w:t xml:space="preserve">at its July 2017 meeting </w:t>
      </w:r>
      <w:r>
        <w:rPr>
          <w:rFonts w:asciiTheme="minorHAnsi" w:eastAsiaTheme="minorHAnsi" w:hAnsiTheme="minorHAnsi" w:cstheme="minorBidi"/>
          <w:snapToGrid/>
          <w:sz w:val="24"/>
          <w:szCs w:val="22"/>
        </w:rPr>
        <w:t xml:space="preserve">the listing of carfilzomib </w:t>
      </w:r>
      <w:r w:rsidR="00EC7D87" w:rsidRPr="00EC7D87">
        <w:rPr>
          <w:rFonts w:asciiTheme="minorHAnsi" w:eastAsiaTheme="minorHAnsi" w:hAnsiTheme="minorHAnsi" w:cstheme="minorBidi"/>
          <w:snapToGrid/>
          <w:sz w:val="24"/>
          <w:szCs w:val="22"/>
        </w:rPr>
        <w:t xml:space="preserve">for use in combination with dexamethasone (Cd) in patients with relapsed or refractory multiple myeloma (RRMM), on the basis that the claim of superior comparative effectiveness of Cd over </w:t>
      </w:r>
      <w:proofErr w:type="spellStart"/>
      <w:r w:rsidR="003D1688" w:rsidRPr="003D1688">
        <w:rPr>
          <w:rFonts w:asciiTheme="minorHAnsi" w:eastAsiaTheme="minorHAnsi" w:hAnsiTheme="minorHAnsi" w:cstheme="minorBidi"/>
          <w:snapToGrid/>
          <w:sz w:val="24"/>
          <w:szCs w:val="22"/>
        </w:rPr>
        <w:t>bortezomib</w:t>
      </w:r>
      <w:proofErr w:type="spellEnd"/>
      <w:r w:rsidR="003D1688" w:rsidRPr="003D1688">
        <w:rPr>
          <w:rFonts w:asciiTheme="minorHAnsi" w:eastAsiaTheme="minorHAnsi" w:hAnsiTheme="minorHAnsi" w:cstheme="minorBidi"/>
          <w:snapToGrid/>
          <w:sz w:val="24"/>
          <w:szCs w:val="22"/>
        </w:rPr>
        <w:t xml:space="preserve"> </w:t>
      </w:r>
      <w:r w:rsidR="003D1688">
        <w:rPr>
          <w:rFonts w:asciiTheme="minorHAnsi" w:eastAsiaTheme="minorHAnsi" w:hAnsiTheme="minorHAnsi" w:cstheme="minorBidi"/>
          <w:snapToGrid/>
          <w:sz w:val="24"/>
          <w:szCs w:val="22"/>
        </w:rPr>
        <w:t>with</w:t>
      </w:r>
      <w:r w:rsidR="003D1688" w:rsidRPr="003D1688">
        <w:rPr>
          <w:rFonts w:asciiTheme="minorHAnsi" w:eastAsiaTheme="minorHAnsi" w:hAnsiTheme="minorHAnsi" w:cstheme="minorBidi"/>
          <w:snapToGrid/>
          <w:sz w:val="24"/>
          <w:szCs w:val="22"/>
        </w:rPr>
        <w:t xml:space="preserve"> dexamethasone </w:t>
      </w:r>
      <w:r w:rsidR="00EC7D87" w:rsidRPr="00EC7D87">
        <w:rPr>
          <w:rFonts w:asciiTheme="minorHAnsi" w:eastAsiaTheme="minorHAnsi" w:hAnsiTheme="minorHAnsi" w:cstheme="minorBidi"/>
          <w:snapToGrid/>
          <w:sz w:val="24"/>
          <w:szCs w:val="22"/>
        </w:rPr>
        <w:t>was supported by updated clinical trial data, with a clinically meaningful overall survival advantage, and many of the economic concerns from the previous submission were addressed</w:t>
      </w:r>
      <w:r w:rsidR="00FB0F02">
        <w:rPr>
          <w:rFonts w:asciiTheme="minorHAnsi" w:eastAsiaTheme="minorHAnsi" w:hAnsiTheme="minorHAnsi" w:cstheme="minorBidi"/>
          <w:snapToGrid/>
          <w:sz w:val="24"/>
          <w:szCs w:val="22"/>
        </w:rPr>
        <w:t>.</w:t>
      </w:r>
      <w:r w:rsidR="00EC7D87">
        <w:rPr>
          <w:rFonts w:asciiTheme="minorHAnsi" w:eastAsiaTheme="minorHAnsi" w:hAnsiTheme="minorHAnsi" w:cstheme="minorBidi"/>
          <w:snapToGrid/>
          <w:sz w:val="24"/>
          <w:szCs w:val="22"/>
        </w:rPr>
        <w:t xml:space="preserve"> The </w:t>
      </w:r>
      <w:r w:rsidR="00A4357C">
        <w:rPr>
          <w:rFonts w:asciiTheme="minorHAnsi" w:eastAsiaTheme="minorHAnsi" w:hAnsiTheme="minorHAnsi" w:cstheme="minorBidi"/>
          <w:snapToGrid/>
          <w:sz w:val="24"/>
          <w:szCs w:val="22"/>
        </w:rPr>
        <w:t xml:space="preserve">July 2017 </w:t>
      </w:r>
      <w:r w:rsidR="00EC7D87">
        <w:rPr>
          <w:rFonts w:asciiTheme="minorHAnsi" w:eastAsiaTheme="minorHAnsi" w:hAnsiTheme="minorHAnsi" w:cstheme="minorBidi"/>
          <w:snapToGrid/>
          <w:sz w:val="24"/>
          <w:szCs w:val="22"/>
        </w:rPr>
        <w:t>economic model include</w:t>
      </w:r>
      <w:r w:rsidR="00FB0F02">
        <w:rPr>
          <w:rFonts w:asciiTheme="minorHAnsi" w:eastAsiaTheme="minorHAnsi" w:hAnsiTheme="minorHAnsi" w:cstheme="minorBidi"/>
          <w:snapToGrid/>
          <w:sz w:val="24"/>
          <w:szCs w:val="22"/>
        </w:rPr>
        <w:t>d</w:t>
      </w:r>
      <w:r w:rsidR="00EC7D87">
        <w:rPr>
          <w:rFonts w:asciiTheme="minorHAnsi" w:eastAsiaTheme="minorHAnsi" w:hAnsiTheme="minorHAnsi" w:cstheme="minorBidi"/>
          <w:snapToGrid/>
          <w:sz w:val="24"/>
          <w:szCs w:val="22"/>
        </w:rPr>
        <w:t xml:space="preserve"> </w:t>
      </w:r>
      <w:r w:rsidR="00FB0F02">
        <w:rPr>
          <w:rFonts w:asciiTheme="minorHAnsi" w:eastAsiaTheme="minorHAnsi" w:hAnsiTheme="minorHAnsi" w:cstheme="minorBidi"/>
          <w:snapToGrid/>
          <w:sz w:val="24"/>
          <w:szCs w:val="22"/>
        </w:rPr>
        <w:t>the</w:t>
      </w:r>
      <w:r w:rsidR="00EC7D87">
        <w:rPr>
          <w:rFonts w:asciiTheme="minorHAnsi" w:eastAsiaTheme="minorHAnsi" w:hAnsiTheme="minorHAnsi" w:cstheme="minorBidi"/>
          <w:snapToGrid/>
          <w:sz w:val="24"/>
          <w:szCs w:val="22"/>
        </w:rPr>
        <w:t xml:space="preserve"> 10 mg form of the drug, however </w:t>
      </w:r>
      <w:r w:rsidR="00FB0F02">
        <w:rPr>
          <w:rFonts w:asciiTheme="minorHAnsi" w:eastAsiaTheme="minorHAnsi" w:hAnsiTheme="minorHAnsi" w:cstheme="minorBidi"/>
          <w:snapToGrid/>
          <w:sz w:val="24"/>
          <w:szCs w:val="22"/>
        </w:rPr>
        <w:t>the PBAC was only able to consider the</w:t>
      </w:r>
      <w:r w:rsidR="00EC7D87">
        <w:rPr>
          <w:rFonts w:asciiTheme="minorHAnsi" w:eastAsiaTheme="minorHAnsi" w:hAnsiTheme="minorHAnsi" w:cstheme="minorBidi"/>
          <w:snapToGrid/>
          <w:sz w:val="24"/>
          <w:szCs w:val="22"/>
        </w:rPr>
        <w:t xml:space="preserve"> 30 and 60 mg forms, as no submission for registration of the 10 mg form had been submitted to the TGA at the time of consideration by the PBAC.</w:t>
      </w:r>
    </w:p>
    <w:p w:rsidR="00307AB1" w:rsidRPr="00F43AF2" w:rsidRDefault="00307AB1" w:rsidP="003D1688">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w:t>
      </w:r>
      <w:r w:rsidR="008449EA">
        <w:rPr>
          <w:rFonts w:asciiTheme="minorHAnsi" w:eastAsiaTheme="minorHAnsi" w:hAnsiTheme="minorHAnsi" w:cstheme="minorBidi"/>
          <w:snapToGrid/>
          <w:sz w:val="24"/>
          <w:szCs w:val="22"/>
        </w:rPr>
        <w:t>was</w:t>
      </w:r>
      <w:r>
        <w:rPr>
          <w:rFonts w:asciiTheme="minorHAnsi" w:eastAsiaTheme="minorHAnsi" w:hAnsiTheme="minorHAnsi" w:cstheme="minorBidi"/>
          <w:snapToGrid/>
          <w:sz w:val="24"/>
          <w:szCs w:val="22"/>
        </w:rPr>
        <w:t xml:space="preserve"> requested to consider the listing of the 10 mg form based on the data submitted in the July 2017 submission.</w:t>
      </w:r>
    </w:p>
    <w:p w:rsidR="000B558D" w:rsidRPr="000B3876" w:rsidRDefault="008D7A41" w:rsidP="000B3876">
      <w:pPr>
        <w:pStyle w:val="Heading1"/>
      </w:pPr>
      <w:r w:rsidRPr="000B3876">
        <w:t>C</w:t>
      </w:r>
      <w:r w:rsidR="00D84934" w:rsidRPr="000B3876">
        <w:t>onsideration of the evidence</w:t>
      </w:r>
    </w:p>
    <w:p w:rsidR="008449EA" w:rsidRPr="008449EA" w:rsidRDefault="008449EA" w:rsidP="000B3876">
      <w:pPr>
        <w:pStyle w:val="Heading2"/>
        <w:rPr>
          <w:snapToGrid w:val="0"/>
        </w:rPr>
      </w:pPr>
      <w:r w:rsidRPr="008449EA">
        <w:rPr>
          <w:snapToGrid w:val="0"/>
        </w:rPr>
        <w:t>Sponsor hearing</w:t>
      </w:r>
    </w:p>
    <w:p w:rsidR="008449EA" w:rsidRPr="008449EA" w:rsidRDefault="008449EA" w:rsidP="008449EA">
      <w:pPr>
        <w:widowControl w:val="0"/>
        <w:numPr>
          <w:ilvl w:val="1"/>
          <w:numId w:val="5"/>
        </w:numPr>
        <w:spacing w:after="120"/>
        <w:jc w:val="both"/>
        <w:rPr>
          <w:rFonts w:asciiTheme="minorHAnsi" w:hAnsiTheme="minorHAnsi" w:cs="Arial"/>
          <w:bCs/>
          <w:snapToGrid w:val="0"/>
        </w:rPr>
      </w:pPr>
      <w:r w:rsidRPr="008449EA">
        <w:rPr>
          <w:rFonts w:asciiTheme="minorHAnsi" w:hAnsiTheme="minorHAnsi" w:cs="Arial"/>
          <w:bCs/>
          <w:snapToGrid w:val="0"/>
        </w:rPr>
        <w:t>There was no hearing for this item as it was a minor submission.</w:t>
      </w:r>
    </w:p>
    <w:p w:rsidR="008449EA" w:rsidRPr="008449EA" w:rsidRDefault="008449EA" w:rsidP="000B3876">
      <w:pPr>
        <w:pStyle w:val="Heading2"/>
        <w:rPr>
          <w:snapToGrid w:val="0"/>
        </w:rPr>
      </w:pPr>
      <w:r w:rsidRPr="008449EA">
        <w:rPr>
          <w:snapToGrid w:val="0"/>
        </w:rPr>
        <w:t>Consumer comments</w:t>
      </w:r>
    </w:p>
    <w:p w:rsidR="008449EA" w:rsidRPr="008449EA" w:rsidRDefault="008449EA" w:rsidP="008449EA">
      <w:pPr>
        <w:widowControl w:val="0"/>
        <w:numPr>
          <w:ilvl w:val="1"/>
          <w:numId w:val="5"/>
        </w:numPr>
        <w:spacing w:after="120"/>
        <w:jc w:val="both"/>
        <w:rPr>
          <w:rFonts w:asciiTheme="minorHAnsi" w:hAnsiTheme="minorHAnsi" w:cs="Arial"/>
          <w:bCs/>
          <w:snapToGrid w:val="0"/>
        </w:rPr>
      </w:pPr>
      <w:r w:rsidRPr="008449EA">
        <w:rPr>
          <w:rFonts w:asciiTheme="minorHAnsi" w:hAnsiTheme="minorHAnsi" w:cs="Arial"/>
          <w:bCs/>
          <w:snapToGrid w:val="0"/>
        </w:rPr>
        <w:t>The PBAC noted that no consumer comments were received for this item.</w:t>
      </w:r>
    </w:p>
    <w:p w:rsidR="00D84934" w:rsidRPr="000B3876" w:rsidRDefault="00D84934" w:rsidP="000B3876">
      <w:pPr>
        <w:pStyle w:val="Heading2"/>
      </w:pPr>
      <w:r w:rsidRPr="000B3876">
        <w:t>Clinical trials</w:t>
      </w:r>
    </w:p>
    <w:p w:rsidR="0076420C" w:rsidRDefault="0076420C"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As a minor submission, no clinical trials </w:t>
      </w:r>
      <w:r w:rsidR="00FF2801" w:rsidRPr="001B2BBC">
        <w:rPr>
          <w:rFonts w:asciiTheme="minorHAnsi" w:eastAsiaTheme="minorHAnsi" w:hAnsiTheme="minorHAnsi" w:cstheme="minorBidi"/>
          <w:snapToGrid/>
          <w:sz w:val="24"/>
          <w:szCs w:val="22"/>
        </w:rPr>
        <w:t>were</w:t>
      </w:r>
      <w:r w:rsidRPr="001B2BBC">
        <w:rPr>
          <w:rFonts w:asciiTheme="minorHAnsi" w:eastAsiaTheme="minorHAnsi" w:hAnsiTheme="minorHAnsi" w:cstheme="minorBidi"/>
          <w:snapToGrid/>
          <w:sz w:val="24"/>
          <w:szCs w:val="22"/>
        </w:rPr>
        <w:t xml:space="preserve"> presented in the submission.</w:t>
      </w:r>
    </w:p>
    <w:p w:rsidR="001B2BBC" w:rsidRPr="001B2BBC" w:rsidRDefault="00CC5E84" w:rsidP="00D31150">
      <w:pPr>
        <w:pStyle w:val="ListParagraph"/>
        <w:widowControl/>
        <w:numPr>
          <w:ilvl w:val="1"/>
          <w:numId w:val="14"/>
        </w:numPr>
        <w:spacing w:after="12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noted that the TGA had approved registration </w:t>
      </w:r>
      <w:r w:rsidR="00BE4362">
        <w:rPr>
          <w:rFonts w:asciiTheme="minorHAnsi" w:eastAsiaTheme="minorHAnsi" w:hAnsiTheme="minorHAnsi" w:cstheme="minorBidi"/>
          <w:snapToGrid/>
          <w:sz w:val="24"/>
          <w:szCs w:val="22"/>
        </w:rPr>
        <w:t xml:space="preserve">of the 10 mg form for the same indications as the currently listed 30 and 60 mg forms </w:t>
      </w:r>
      <w:r>
        <w:rPr>
          <w:rFonts w:asciiTheme="minorHAnsi" w:eastAsiaTheme="minorHAnsi" w:hAnsiTheme="minorHAnsi" w:cstheme="minorBidi"/>
          <w:snapToGrid/>
          <w:sz w:val="24"/>
          <w:szCs w:val="22"/>
        </w:rPr>
        <w:t>at the time of consideration.</w:t>
      </w:r>
      <w:r w:rsidR="00BE4362">
        <w:rPr>
          <w:rFonts w:asciiTheme="minorHAnsi" w:eastAsiaTheme="minorHAnsi" w:hAnsiTheme="minorHAnsi" w:cstheme="minorBidi"/>
          <w:snapToGrid/>
          <w:sz w:val="24"/>
          <w:szCs w:val="22"/>
        </w:rPr>
        <w:t xml:space="preserve"> The PBAC also recalled that they previously accepted that the 10 mg form, once listed</w:t>
      </w:r>
      <w:r w:rsidR="007546F7">
        <w:rPr>
          <w:rFonts w:asciiTheme="minorHAnsi" w:eastAsiaTheme="minorHAnsi" w:hAnsiTheme="minorHAnsi" w:cstheme="minorBidi"/>
          <w:snapToGrid/>
          <w:sz w:val="24"/>
          <w:szCs w:val="22"/>
        </w:rPr>
        <w:t>,</w:t>
      </w:r>
      <w:r w:rsidR="00BE4362">
        <w:rPr>
          <w:rFonts w:asciiTheme="minorHAnsi" w:eastAsiaTheme="minorHAnsi" w:hAnsiTheme="minorHAnsi" w:cstheme="minorBidi"/>
          <w:snapToGrid/>
          <w:sz w:val="24"/>
          <w:szCs w:val="22"/>
        </w:rPr>
        <w:t xml:space="preserve"> would reduce wastage.</w:t>
      </w:r>
    </w:p>
    <w:p w:rsidR="005A3173" w:rsidRPr="008306F3" w:rsidRDefault="005A3173" w:rsidP="000B3876">
      <w:pPr>
        <w:pStyle w:val="Heading2"/>
      </w:pPr>
      <w:r w:rsidRPr="003C2FB5">
        <w:t>Estimated PBS usage &amp; financial implications</w:t>
      </w:r>
    </w:p>
    <w:p w:rsidR="00011E65" w:rsidRDefault="00FF2801" w:rsidP="00011E6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11E65">
        <w:rPr>
          <w:rFonts w:asciiTheme="minorHAnsi" w:eastAsiaTheme="minorHAnsi" w:hAnsiTheme="minorHAnsi" w:cstheme="minorBidi"/>
          <w:snapToGrid/>
          <w:sz w:val="24"/>
          <w:szCs w:val="22"/>
        </w:rPr>
        <w:t xml:space="preserve">The </w:t>
      </w:r>
      <w:r w:rsidR="00011E65" w:rsidRPr="00011E65">
        <w:rPr>
          <w:rFonts w:asciiTheme="minorHAnsi" w:eastAsiaTheme="minorHAnsi" w:hAnsiTheme="minorHAnsi" w:cstheme="minorBidi"/>
          <w:snapToGrid/>
          <w:sz w:val="24"/>
          <w:szCs w:val="22"/>
        </w:rPr>
        <w:t>financial implications of listing the 10 mg form of carfilzomib were considered in the July 2017 consideration of the 30 and 60 mg forms.  No further information was provided</w:t>
      </w:r>
      <w:r w:rsidR="003B101B">
        <w:rPr>
          <w:rFonts w:asciiTheme="minorHAnsi" w:eastAsiaTheme="minorHAnsi" w:hAnsiTheme="minorHAnsi" w:cstheme="minorBidi"/>
          <w:snapToGrid/>
          <w:sz w:val="24"/>
          <w:szCs w:val="22"/>
        </w:rPr>
        <w:t xml:space="preserve"> for consideration</w:t>
      </w:r>
      <w:r w:rsidR="00011E65" w:rsidRPr="00011E65">
        <w:rPr>
          <w:rFonts w:asciiTheme="minorHAnsi" w:eastAsiaTheme="minorHAnsi" w:hAnsiTheme="minorHAnsi" w:cstheme="minorBidi"/>
          <w:snapToGrid/>
          <w:sz w:val="24"/>
          <w:szCs w:val="22"/>
        </w:rPr>
        <w:t>.</w:t>
      </w:r>
    </w:p>
    <w:p w:rsidR="00307AB1" w:rsidRDefault="00307AB1" w:rsidP="00011E6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449EA">
        <w:rPr>
          <w:rFonts w:asciiTheme="minorHAnsi" w:eastAsiaTheme="minorHAnsi" w:hAnsiTheme="minorHAnsi" w:cstheme="minorBidi"/>
          <w:snapToGrid/>
          <w:sz w:val="24"/>
          <w:szCs w:val="22"/>
        </w:rPr>
        <w:t xml:space="preserve">While not a matter for the PBAC to consider, </w:t>
      </w:r>
      <w:r w:rsidR="008449EA">
        <w:rPr>
          <w:rFonts w:asciiTheme="minorHAnsi" w:eastAsiaTheme="minorHAnsi" w:hAnsiTheme="minorHAnsi" w:cstheme="minorBidi"/>
          <w:snapToGrid/>
          <w:sz w:val="24"/>
          <w:szCs w:val="22"/>
        </w:rPr>
        <w:t>it</w:t>
      </w:r>
      <w:r w:rsidRPr="008449EA">
        <w:rPr>
          <w:rFonts w:asciiTheme="minorHAnsi" w:eastAsiaTheme="minorHAnsi" w:hAnsiTheme="minorHAnsi" w:cstheme="minorBidi"/>
          <w:snapToGrid/>
          <w:sz w:val="24"/>
          <w:szCs w:val="22"/>
        </w:rPr>
        <w:t xml:space="preserve"> note</w:t>
      </w:r>
      <w:r w:rsidR="008449EA">
        <w:rPr>
          <w:rFonts w:asciiTheme="minorHAnsi" w:eastAsiaTheme="minorHAnsi" w:hAnsiTheme="minorHAnsi" w:cstheme="minorBidi"/>
          <w:snapToGrid/>
          <w:sz w:val="24"/>
          <w:szCs w:val="22"/>
        </w:rPr>
        <w:t>d</w:t>
      </w:r>
      <w:r w:rsidRPr="008449EA">
        <w:rPr>
          <w:rFonts w:asciiTheme="minorHAnsi" w:eastAsiaTheme="minorHAnsi" w:hAnsiTheme="minorHAnsi" w:cstheme="minorBidi"/>
          <w:snapToGrid/>
          <w:sz w:val="24"/>
          <w:szCs w:val="22"/>
        </w:rPr>
        <w:t xml:space="preserve"> that the listing of the lower strength vial of carfilzomib would require a revision of the current Deed of </w:t>
      </w:r>
      <w:r w:rsidR="00BE4362">
        <w:rPr>
          <w:rFonts w:asciiTheme="minorHAnsi" w:eastAsiaTheme="minorHAnsi" w:hAnsiTheme="minorHAnsi" w:cstheme="minorBidi"/>
          <w:snapToGrid/>
          <w:sz w:val="24"/>
          <w:szCs w:val="22"/>
        </w:rPr>
        <w:t>Agreement</w:t>
      </w:r>
      <w:r w:rsidRPr="008449EA">
        <w:rPr>
          <w:rFonts w:asciiTheme="minorHAnsi" w:eastAsiaTheme="minorHAnsi" w:hAnsiTheme="minorHAnsi" w:cstheme="minorBidi"/>
          <w:snapToGrid/>
          <w:sz w:val="24"/>
          <w:szCs w:val="22"/>
        </w:rPr>
        <w:t>.</w:t>
      </w:r>
    </w:p>
    <w:p w:rsidR="004C400D" w:rsidRPr="00DE1287" w:rsidRDefault="004C400D" w:rsidP="000B3876">
      <w:pPr>
        <w:pStyle w:val="Heading1"/>
      </w:pPr>
      <w:r w:rsidRPr="00DE1287">
        <w:t>PBAC Outcome</w:t>
      </w:r>
    </w:p>
    <w:p w:rsidR="004C400D" w:rsidRPr="00CC5E84" w:rsidRDefault="00CC5E84" w:rsidP="00CC5E84">
      <w:pPr>
        <w:widowControl w:val="0"/>
        <w:numPr>
          <w:ilvl w:val="1"/>
          <w:numId w:val="5"/>
        </w:numPr>
        <w:spacing w:after="120"/>
        <w:jc w:val="both"/>
        <w:rPr>
          <w:rFonts w:asciiTheme="minorHAnsi" w:hAnsiTheme="minorHAnsi" w:cs="Arial"/>
          <w:bCs/>
          <w:snapToGrid w:val="0"/>
          <w:lang w:val="en-GB"/>
        </w:rPr>
      </w:pPr>
      <w:r w:rsidRPr="00CC5E84">
        <w:rPr>
          <w:rFonts w:asciiTheme="minorHAnsi" w:hAnsiTheme="minorHAnsi" w:cs="Arial"/>
          <w:bCs/>
          <w:snapToGrid w:val="0"/>
          <w:lang w:val="en-GB"/>
        </w:rPr>
        <w:t xml:space="preserve">The PBAC recommended the listing of a 10 mg form of carfilzomib as a Section 100 – Efficient Funding of Chemotherapy benefit on the basis of the same cost per mg </w:t>
      </w:r>
      <w:r w:rsidR="00664815">
        <w:rPr>
          <w:rFonts w:asciiTheme="minorHAnsi" w:hAnsiTheme="minorHAnsi" w:cs="Arial"/>
          <w:bCs/>
          <w:snapToGrid w:val="0"/>
          <w:lang w:val="en-GB"/>
        </w:rPr>
        <w:t xml:space="preserve">and </w:t>
      </w:r>
      <w:r w:rsidR="00664815">
        <w:rPr>
          <w:rFonts w:asciiTheme="minorHAnsi" w:hAnsiTheme="minorHAnsi" w:cs="Arial"/>
          <w:bCs/>
          <w:snapToGrid w:val="0"/>
          <w:lang w:val="en-GB"/>
        </w:rPr>
        <w:lastRenderedPageBreak/>
        <w:t xml:space="preserve">restriction conditions </w:t>
      </w:r>
      <w:r w:rsidRPr="00CC5E84">
        <w:rPr>
          <w:rFonts w:asciiTheme="minorHAnsi" w:hAnsiTheme="minorHAnsi" w:cs="Arial"/>
          <w:bCs/>
          <w:snapToGrid w:val="0"/>
          <w:lang w:val="en-GB"/>
        </w:rPr>
        <w:t>as the curr</w:t>
      </w:r>
      <w:r w:rsidR="004A4A8F">
        <w:rPr>
          <w:rFonts w:asciiTheme="minorHAnsi" w:hAnsiTheme="minorHAnsi" w:cs="Arial"/>
          <w:bCs/>
          <w:snapToGrid w:val="0"/>
          <w:lang w:val="en-GB"/>
        </w:rPr>
        <w:t xml:space="preserve">ently listed 30 and 60 mg forms </w:t>
      </w:r>
      <w:r w:rsidR="00BE4362">
        <w:rPr>
          <w:rFonts w:asciiTheme="minorHAnsi" w:hAnsiTheme="minorHAnsi" w:cs="Arial"/>
          <w:bCs/>
          <w:snapToGrid w:val="0"/>
          <w:lang w:val="en-GB"/>
        </w:rPr>
        <w:t xml:space="preserve">of carfilzomib </w:t>
      </w:r>
      <w:r w:rsidRPr="00CC5E84">
        <w:rPr>
          <w:rFonts w:asciiTheme="minorHAnsi" w:hAnsiTheme="minorHAnsi" w:cs="Arial"/>
          <w:bCs/>
          <w:snapToGrid w:val="0"/>
          <w:lang w:val="en-GB"/>
        </w:rPr>
        <w:t>for the treatment of multiple myeloma.</w:t>
      </w:r>
    </w:p>
    <w:p w:rsidR="00664815" w:rsidRPr="00664815" w:rsidRDefault="00664815" w:rsidP="00664815">
      <w:pPr>
        <w:widowControl w:val="0"/>
        <w:numPr>
          <w:ilvl w:val="1"/>
          <w:numId w:val="5"/>
        </w:numPr>
        <w:spacing w:after="120"/>
        <w:jc w:val="both"/>
        <w:rPr>
          <w:rFonts w:asciiTheme="minorHAnsi" w:hAnsiTheme="minorHAnsi" w:cs="Arial"/>
          <w:bCs/>
          <w:snapToGrid w:val="0"/>
          <w:lang w:val="en-GB"/>
        </w:rPr>
      </w:pPr>
      <w:r w:rsidRPr="00664815">
        <w:rPr>
          <w:rFonts w:asciiTheme="minorHAnsi" w:hAnsiTheme="minorHAnsi" w:cs="Arial"/>
          <w:bCs/>
          <w:snapToGrid w:val="0"/>
          <w:lang w:val="en-GB"/>
        </w:rPr>
        <w:t xml:space="preserve">The PBAC considered that the </w:t>
      </w:r>
      <w:r w:rsidR="00A4357C">
        <w:rPr>
          <w:rFonts w:asciiTheme="minorHAnsi" w:hAnsiTheme="minorHAnsi" w:cs="Arial"/>
          <w:bCs/>
          <w:snapToGrid w:val="0"/>
          <w:lang w:val="en-GB"/>
        </w:rPr>
        <w:t>10 mg</w:t>
      </w:r>
      <w:r w:rsidRPr="00664815">
        <w:rPr>
          <w:rFonts w:asciiTheme="minorHAnsi" w:hAnsiTheme="minorHAnsi" w:cs="Arial"/>
          <w:bCs/>
          <w:snapToGrid w:val="0"/>
          <w:lang w:val="en-GB"/>
        </w:rPr>
        <w:t xml:space="preserve"> </w:t>
      </w:r>
      <w:r w:rsidR="00A4357C">
        <w:rPr>
          <w:rFonts w:asciiTheme="minorHAnsi" w:hAnsiTheme="minorHAnsi" w:cs="Arial"/>
          <w:bCs/>
          <w:snapToGrid w:val="0"/>
          <w:lang w:val="en-GB"/>
        </w:rPr>
        <w:t>vial</w:t>
      </w:r>
      <w:r w:rsidRPr="00664815">
        <w:rPr>
          <w:rFonts w:asciiTheme="minorHAnsi" w:hAnsiTheme="minorHAnsi" w:cs="Arial"/>
          <w:bCs/>
          <w:snapToGrid w:val="0"/>
          <w:lang w:val="en-GB"/>
        </w:rPr>
        <w:t xml:space="preserve"> form of carfilzomib should be listed for use in combination with dexamethasone for the treatment of patients with multiple myeloma who have failed at least one prior line of treatment.</w:t>
      </w:r>
    </w:p>
    <w:p w:rsidR="004C400D" w:rsidRPr="00C741D5" w:rsidRDefault="00664815" w:rsidP="00664815">
      <w:pPr>
        <w:widowControl w:val="0"/>
        <w:numPr>
          <w:ilvl w:val="1"/>
          <w:numId w:val="5"/>
        </w:numPr>
        <w:spacing w:after="120"/>
        <w:jc w:val="both"/>
        <w:rPr>
          <w:rFonts w:asciiTheme="minorHAnsi" w:hAnsiTheme="minorHAnsi" w:cs="Arial"/>
          <w:bCs/>
          <w:snapToGrid w:val="0"/>
          <w:lang w:val="en-GB"/>
        </w:rPr>
      </w:pPr>
      <w:r w:rsidRPr="00664815">
        <w:rPr>
          <w:rFonts w:asciiTheme="minorHAnsi" w:hAnsiTheme="minorHAnsi" w:cs="Arial"/>
          <w:bCs/>
          <w:snapToGrid w:val="0"/>
          <w:lang w:val="en-GB"/>
        </w:rPr>
        <w:t xml:space="preserve">The PBAC noted that the financial considerations for this listing had been considered in the July 2017 recommendation for the 30 and 60 mg vial listing and remained </w:t>
      </w:r>
      <w:r w:rsidRPr="00C741D5">
        <w:rPr>
          <w:rFonts w:asciiTheme="minorHAnsi" w:hAnsiTheme="minorHAnsi" w:cs="Arial"/>
          <w:bCs/>
          <w:snapToGrid w:val="0"/>
          <w:lang w:val="en-GB"/>
        </w:rPr>
        <w:t>unchanged in the minor submission</w:t>
      </w:r>
      <w:r w:rsidR="004C400D" w:rsidRPr="00C741D5">
        <w:rPr>
          <w:rFonts w:asciiTheme="minorHAnsi" w:hAnsiTheme="minorHAnsi" w:cs="Arial"/>
          <w:bCs/>
          <w:snapToGrid w:val="0"/>
          <w:lang w:val="en-GB"/>
        </w:rPr>
        <w:t>.</w:t>
      </w:r>
    </w:p>
    <w:p w:rsidR="004C400D" w:rsidRPr="00C741D5" w:rsidRDefault="004C400D" w:rsidP="004C400D">
      <w:pPr>
        <w:widowControl w:val="0"/>
        <w:numPr>
          <w:ilvl w:val="1"/>
          <w:numId w:val="5"/>
        </w:numPr>
        <w:spacing w:after="120"/>
        <w:jc w:val="both"/>
        <w:rPr>
          <w:rFonts w:asciiTheme="minorHAnsi" w:hAnsiTheme="minorHAnsi" w:cs="Arial"/>
          <w:bCs/>
          <w:snapToGrid w:val="0"/>
          <w:lang w:val="en-GB"/>
        </w:rPr>
      </w:pPr>
      <w:r w:rsidRPr="00C741D5">
        <w:rPr>
          <w:rFonts w:asciiTheme="minorHAnsi" w:hAnsiTheme="minorHAnsi" w:cs="Arial"/>
          <w:bCs/>
          <w:snapToGrid w:val="0"/>
          <w:lang w:val="en-GB"/>
        </w:rPr>
        <w:t xml:space="preserve">The PBAC recommended that the </w:t>
      </w:r>
      <w:r w:rsidR="00C741D5">
        <w:rPr>
          <w:rFonts w:asciiTheme="minorHAnsi" w:hAnsiTheme="minorHAnsi" w:cs="Arial"/>
          <w:bCs/>
          <w:snapToGrid w:val="0"/>
          <w:lang w:val="en-GB"/>
        </w:rPr>
        <w:t>same conditions as currently apply to the 30 and 60 mg vial presentations should</w:t>
      </w:r>
      <w:r w:rsidRPr="00C741D5">
        <w:rPr>
          <w:rFonts w:asciiTheme="minorHAnsi" w:hAnsiTheme="minorHAnsi" w:cs="Arial"/>
          <w:bCs/>
          <w:snapToGrid w:val="0"/>
          <w:lang w:val="en-GB"/>
        </w:rPr>
        <w:t xml:space="preserve"> apply</w:t>
      </w:r>
      <w:r w:rsidR="00C741D5">
        <w:rPr>
          <w:rFonts w:asciiTheme="minorHAnsi" w:hAnsiTheme="minorHAnsi" w:cs="Arial"/>
          <w:bCs/>
          <w:snapToGrid w:val="0"/>
          <w:lang w:val="en-GB"/>
        </w:rPr>
        <w:t xml:space="preserve"> to the 10 mg vial presentation</w:t>
      </w:r>
      <w:r w:rsidRPr="00C741D5">
        <w:rPr>
          <w:rFonts w:asciiTheme="minorHAnsi" w:hAnsiTheme="minorHAnsi" w:cs="Arial"/>
          <w:bCs/>
          <w:snapToGrid w:val="0"/>
          <w:lang w:val="en-GB"/>
        </w:rPr>
        <w:t xml:space="preserve">. </w:t>
      </w:r>
    </w:p>
    <w:p w:rsidR="004C400D" w:rsidRPr="00C741D5" w:rsidRDefault="004C400D" w:rsidP="004C400D">
      <w:pPr>
        <w:widowControl w:val="0"/>
        <w:numPr>
          <w:ilvl w:val="1"/>
          <w:numId w:val="5"/>
        </w:numPr>
        <w:spacing w:after="120"/>
        <w:jc w:val="both"/>
        <w:rPr>
          <w:rFonts w:asciiTheme="minorHAnsi" w:hAnsiTheme="minorHAnsi" w:cs="Arial"/>
          <w:bCs/>
          <w:i/>
          <w:snapToGrid w:val="0"/>
          <w:lang w:val="en-GB"/>
        </w:rPr>
      </w:pPr>
      <w:r w:rsidRPr="00C741D5">
        <w:rPr>
          <w:rFonts w:asciiTheme="minorHAnsi" w:hAnsiTheme="minorHAnsi" w:cs="Arial"/>
          <w:bCs/>
          <w:snapToGrid w:val="0"/>
          <w:lang w:val="en-GB"/>
        </w:rPr>
        <w:t>The PBAC noted that this submission is not eligible for an Independent Review</w:t>
      </w:r>
      <w:r w:rsidR="00C741D5" w:rsidRPr="00C741D5">
        <w:rPr>
          <w:rFonts w:asciiTheme="minorHAnsi" w:hAnsiTheme="minorHAnsi" w:cs="Arial"/>
          <w:bCs/>
          <w:snapToGrid w:val="0"/>
          <w:lang w:val="en-GB"/>
        </w:rPr>
        <w:t xml:space="preserve"> as it received a positive recommendation</w:t>
      </w:r>
      <w:r w:rsidRPr="00C741D5">
        <w:rPr>
          <w:rFonts w:asciiTheme="minorHAnsi" w:hAnsiTheme="minorHAnsi" w:cs="Arial"/>
          <w:bCs/>
          <w:snapToGrid w:val="0"/>
          <w:lang w:val="en-GB"/>
        </w:rPr>
        <w:t>.</w:t>
      </w:r>
    </w:p>
    <w:p w:rsidR="004C400D" w:rsidRPr="00C741D5" w:rsidRDefault="004C400D" w:rsidP="004C400D">
      <w:pPr>
        <w:spacing w:before="240"/>
        <w:jc w:val="both"/>
        <w:rPr>
          <w:rFonts w:asciiTheme="minorHAnsi" w:hAnsiTheme="minorHAnsi" w:cs="Arial"/>
          <w:b/>
          <w:bCs/>
          <w:snapToGrid w:val="0"/>
          <w:lang w:val="en-GB"/>
        </w:rPr>
      </w:pPr>
      <w:r w:rsidRPr="00C741D5">
        <w:rPr>
          <w:rFonts w:asciiTheme="minorHAnsi" w:hAnsiTheme="minorHAnsi" w:cs="Arial"/>
          <w:b/>
          <w:bCs/>
          <w:snapToGrid w:val="0"/>
          <w:lang w:val="en-GB"/>
        </w:rPr>
        <w:t>Outcome:</w:t>
      </w:r>
    </w:p>
    <w:p w:rsidR="004C400D" w:rsidRPr="00C741D5" w:rsidRDefault="004C400D" w:rsidP="004C400D">
      <w:pPr>
        <w:jc w:val="both"/>
        <w:rPr>
          <w:rFonts w:asciiTheme="minorHAnsi" w:hAnsiTheme="minorHAnsi" w:cs="Arial"/>
          <w:bCs/>
          <w:snapToGrid w:val="0"/>
          <w:lang w:val="en-GB"/>
        </w:rPr>
      </w:pPr>
      <w:r w:rsidRPr="00C741D5">
        <w:rPr>
          <w:rFonts w:asciiTheme="minorHAnsi" w:hAnsiTheme="minorHAnsi" w:cs="Arial"/>
          <w:bCs/>
          <w:snapToGrid w:val="0"/>
          <w:lang w:val="en-GB"/>
        </w:rPr>
        <w:t>Recommended</w:t>
      </w:r>
    </w:p>
    <w:p w:rsidR="004C400D" w:rsidRPr="00DE1287" w:rsidRDefault="004C400D" w:rsidP="000B3876">
      <w:pPr>
        <w:pStyle w:val="Heading1"/>
        <w:rPr>
          <w:lang w:val="en-GB"/>
        </w:rPr>
      </w:pPr>
      <w:r w:rsidRPr="00DE1287">
        <w:rPr>
          <w:lang w:val="en-GB"/>
        </w:rPr>
        <w:t>Recommended listing</w:t>
      </w:r>
    </w:p>
    <w:p w:rsidR="004C400D" w:rsidRPr="004A4A8F" w:rsidRDefault="004C400D" w:rsidP="004A4A8F">
      <w:pPr>
        <w:widowControl w:val="0"/>
        <w:numPr>
          <w:ilvl w:val="1"/>
          <w:numId w:val="5"/>
        </w:numPr>
        <w:spacing w:after="120"/>
        <w:jc w:val="both"/>
        <w:rPr>
          <w:rFonts w:asciiTheme="minorHAnsi" w:hAnsiTheme="minorHAnsi" w:cs="Arial"/>
          <w:b/>
          <w:bCs/>
          <w:snapToGrid w:val="0"/>
        </w:rPr>
      </w:pPr>
      <w:r w:rsidRPr="004A4A8F">
        <w:rPr>
          <w:rFonts w:asciiTheme="minorHAnsi" w:hAnsiTheme="minorHAnsi" w:cs="Arial"/>
          <w:bCs/>
          <w:snapToGrid w:val="0"/>
        </w:rPr>
        <w:t>Add new item</w:t>
      </w:r>
      <w:r w:rsidR="004A4A8F" w:rsidRPr="004A4A8F">
        <w:rPr>
          <w:rFonts w:asciiTheme="minorHAnsi" w:hAnsiTheme="minorHAnsi" w:cs="Arial"/>
          <w:bCs/>
          <w:snapToGrid w:val="0"/>
        </w:rPr>
        <w:t>s</w:t>
      </w:r>
      <w:r w:rsidRPr="004A4A8F">
        <w:rPr>
          <w:rFonts w:asciiTheme="minorHAnsi" w:hAnsiTheme="minorHAnsi" w:cs="Arial"/>
          <w:bCs/>
          <w:snapToGrid w:val="0"/>
        </w:rPr>
        <w:t>:</w:t>
      </w:r>
    </w:p>
    <w:p w:rsidR="00CC5E84" w:rsidRPr="009A2C3C" w:rsidRDefault="00CC5E84" w:rsidP="000B3876">
      <w:pPr>
        <w:spacing w:after="120"/>
        <w:jc w:val="both"/>
        <w:rPr>
          <w:rFonts w:ascii="Arial" w:hAnsi="Arial" w:cs="Arial"/>
          <w:b/>
          <w:sz w:val="22"/>
        </w:rPr>
      </w:pPr>
      <w:r w:rsidRPr="009A2C3C">
        <w:rPr>
          <w:rFonts w:ascii="Arial" w:hAnsi="Arial" w:cs="Arial"/>
          <w:b/>
          <w:sz w:val="22"/>
        </w:rPr>
        <w:t xml:space="preserve">Initial treatment: </w:t>
      </w:r>
    </w:p>
    <w:tbl>
      <w:tblPr>
        <w:tblW w:w="5000" w:type="pct"/>
        <w:tblLook w:val="0000" w:firstRow="0" w:lastRow="0" w:firstColumn="0" w:lastColumn="0" w:noHBand="0" w:noVBand="0"/>
      </w:tblPr>
      <w:tblGrid>
        <w:gridCol w:w="2842"/>
        <w:gridCol w:w="429"/>
        <w:gridCol w:w="710"/>
        <w:gridCol w:w="712"/>
        <w:gridCol w:w="1564"/>
        <w:gridCol w:w="2985"/>
      </w:tblGrid>
      <w:tr w:rsidR="00CC5E84" w:rsidRPr="00BC16CA" w:rsidTr="00DE1287">
        <w:trPr>
          <w:trHeight w:val="471"/>
        </w:trPr>
        <w:tc>
          <w:tcPr>
            <w:tcW w:w="1770" w:type="pct"/>
            <w:gridSpan w:val="2"/>
            <w:tcBorders>
              <w:bottom w:val="single" w:sz="4" w:space="0" w:color="auto"/>
            </w:tcBorders>
          </w:tcPr>
          <w:p w:rsidR="00CC5E84" w:rsidRPr="005D105D" w:rsidRDefault="00CC5E84" w:rsidP="00CC5E84">
            <w:pPr>
              <w:keepNext/>
              <w:spacing w:line="276" w:lineRule="auto"/>
              <w:ind w:left="-108"/>
              <w:jc w:val="both"/>
              <w:rPr>
                <w:rFonts w:ascii="Arial Narrow" w:hAnsi="Arial Narrow" w:cs="Arial"/>
                <w:sz w:val="20"/>
                <w:szCs w:val="20"/>
              </w:rPr>
            </w:pPr>
            <w:r w:rsidRPr="005D105D">
              <w:rPr>
                <w:rFonts w:ascii="Arial Narrow" w:hAnsi="Arial Narrow" w:cs="Arial"/>
                <w:sz w:val="20"/>
                <w:szCs w:val="20"/>
              </w:rPr>
              <w:t>Name, Restriction,</w:t>
            </w:r>
          </w:p>
          <w:p w:rsidR="00CC5E84" w:rsidRPr="005D105D" w:rsidRDefault="00CC5E84" w:rsidP="00CC5E84">
            <w:pPr>
              <w:keepNext/>
              <w:spacing w:line="276" w:lineRule="auto"/>
              <w:ind w:left="-108"/>
              <w:jc w:val="both"/>
              <w:rPr>
                <w:rFonts w:ascii="Arial Narrow" w:hAnsi="Arial Narrow" w:cs="Arial"/>
                <w:sz w:val="20"/>
                <w:szCs w:val="20"/>
              </w:rPr>
            </w:pPr>
            <w:r w:rsidRPr="005D105D">
              <w:rPr>
                <w:rFonts w:ascii="Arial Narrow" w:hAnsi="Arial Narrow" w:cs="Arial"/>
                <w:sz w:val="20"/>
                <w:szCs w:val="20"/>
              </w:rPr>
              <w:t>Manner of administration and form</w:t>
            </w:r>
          </w:p>
        </w:tc>
        <w:tc>
          <w:tcPr>
            <w:tcW w:w="384" w:type="pct"/>
            <w:tcBorders>
              <w:bottom w:val="single" w:sz="4" w:space="0" w:color="auto"/>
            </w:tcBorders>
          </w:tcPr>
          <w:p w:rsidR="00CC5E84" w:rsidRPr="005D105D" w:rsidRDefault="00CC5E84" w:rsidP="00CC5E84">
            <w:pPr>
              <w:keepNext/>
              <w:spacing w:line="276" w:lineRule="auto"/>
              <w:ind w:left="-108"/>
              <w:jc w:val="both"/>
              <w:rPr>
                <w:rFonts w:ascii="Arial Narrow" w:hAnsi="Arial Narrow" w:cs="Arial"/>
                <w:sz w:val="20"/>
                <w:szCs w:val="20"/>
              </w:rPr>
            </w:pPr>
            <w:r w:rsidRPr="005D105D">
              <w:rPr>
                <w:rFonts w:ascii="Arial Narrow" w:hAnsi="Arial Narrow" w:cs="Arial"/>
                <w:sz w:val="20"/>
                <w:szCs w:val="20"/>
              </w:rPr>
              <w:t>Max.</w:t>
            </w:r>
          </w:p>
          <w:p w:rsidR="00CC5E84" w:rsidRPr="005D105D" w:rsidRDefault="00CC5E84" w:rsidP="00CC5E84">
            <w:pPr>
              <w:keepNext/>
              <w:spacing w:line="276" w:lineRule="auto"/>
              <w:ind w:left="-108"/>
              <w:jc w:val="both"/>
              <w:rPr>
                <w:rFonts w:ascii="Arial Narrow" w:hAnsi="Arial Narrow" w:cs="Arial"/>
                <w:sz w:val="20"/>
                <w:szCs w:val="20"/>
              </w:rPr>
            </w:pPr>
            <w:proofErr w:type="spellStart"/>
            <w:r w:rsidRPr="005D105D">
              <w:rPr>
                <w:rFonts w:ascii="Arial Narrow" w:hAnsi="Arial Narrow" w:cs="Arial"/>
                <w:sz w:val="20"/>
                <w:szCs w:val="20"/>
              </w:rPr>
              <w:t>Amt</w:t>
            </w:r>
            <w:proofErr w:type="spellEnd"/>
          </w:p>
        </w:tc>
        <w:tc>
          <w:tcPr>
            <w:tcW w:w="385" w:type="pct"/>
            <w:tcBorders>
              <w:bottom w:val="single" w:sz="4" w:space="0" w:color="auto"/>
            </w:tcBorders>
          </w:tcPr>
          <w:p w:rsidR="00CC5E84" w:rsidRPr="005D105D" w:rsidRDefault="00CC5E84" w:rsidP="00CC5E84">
            <w:pPr>
              <w:keepNext/>
              <w:spacing w:line="276" w:lineRule="auto"/>
              <w:ind w:left="-108"/>
              <w:jc w:val="both"/>
              <w:rPr>
                <w:rFonts w:ascii="Arial Narrow" w:hAnsi="Arial Narrow" w:cs="Arial"/>
                <w:sz w:val="20"/>
                <w:szCs w:val="20"/>
              </w:rPr>
            </w:pPr>
            <w:r w:rsidRPr="005D105D">
              <w:rPr>
                <w:rFonts w:ascii="Arial Narrow" w:hAnsi="Arial Narrow" w:cs="Arial"/>
                <w:sz w:val="20"/>
                <w:szCs w:val="20"/>
              </w:rPr>
              <w:t>№.of</w:t>
            </w:r>
          </w:p>
          <w:p w:rsidR="00CC5E84" w:rsidRPr="005D105D" w:rsidRDefault="00CC5E84" w:rsidP="00CC5E84">
            <w:pPr>
              <w:keepNext/>
              <w:spacing w:line="276" w:lineRule="auto"/>
              <w:ind w:left="-108"/>
              <w:jc w:val="both"/>
              <w:rPr>
                <w:rFonts w:ascii="Arial Narrow" w:hAnsi="Arial Narrow" w:cs="Arial"/>
                <w:sz w:val="20"/>
                <w:szCs w:val="20"/>
              </w:rPr>
            </w:pPr>
            <w:proofErr w:type="spellStart"/>
            <w:r w:rsidRPr="005D105D">
              <w:rPr>
                <w:rFonts w:ascii="Arial Narrow" w:hAnsi="Arial Narrow" w:cs="Arial"/>
                <w:sz w:val="20"/>
                <w:szCs w:val="20"/>
              </w:rPr>
              <w:t>Rpts</w:t>
            </w:r>
            <w:proofErr w:type="spellEnd"/>
          </w:p>
        </w:tc>
        <w:tc>
          <w:tcPr>
            <w:tcW w:w="2461" w:type="pct"/>
            <w:gridSpan w:val="2"/>
            <w:tcBorders>
              <w:bottom w:val="single" w:sz="4" w:space="0" w:color="auto"/>
            </w:tcBorders>
          </w:tcPr>
          <w:p w:rsidR="00CC5E84" w:rsidRPr="005D105D" w:rsidRDefault="00CC5E84" w:rsidP="00CC5E84">
            <w:pPr>
              <w:keepNext/>
              <w:spacing w:line="276" w:lineRule="auto"/>
              <w:jc w:val="both"/>
              <w:rPr>
                <w:rFonts w:ascii="Arial Narrow" w:hAnsi="Arial Narrow" w:cs="Arial"/>
                <w:sz w:val="20"/>
                <w:szCs w:val="20"/>
              </w:rPr>
            </w:pPr>
            <w:r w:rsidRPr="005D105D">
              <w:rPr>
                <w:rFonts w:ascii="Arial Narrow" w:hAnsi="Arial Narrow" w:cs="Arial"/>
                <w:sz w:val="20"/>
                <w:szCs w:val="20"/>
              </w:rPr>
              <w:t>Proprietary Name and Manufacturer</w:t>
            </w:r>
          </w:p>
        </w:tc>
      </w:tr>
      <w:tr w:rsidR="00CC5E84" w:rsidRPr="00BC16CA" w:rsidTr="00DE1287">
        <w:trPr>
          <w:trHeight w:val="577"/>
        </w:trPr>
        <w:tc>
          <w:tcPr>
            <w:tcW w:w="1770" w:type="pct"/>
            <w:gridSpan w:val="2"/>
          </w:tcPr>
          <w:p w:rsidR="00CC5E84" w:rsidRPr="005D105D" w:rsidRDefault="00CC5E84" w:rsidP="00CC5E84">
            <w:pPr>
              <w:keepNext/>
              <w:spacing w:line="276" w:lineRule="auto"/>
              <w:ind w:left="-108"/>
              <w:jc w:val="both"/>
              <w:rPr>
                <w:rFonts w:ascii="Arial Narrow" w:hAnsi="Arial Narrow" w:cs="Arial"/>
                <w:sz w:val="20"/>
                <w:szCs w:val="20"/>
              </w:rPr>
            </w:pPr>
            <w:r w:rsidRPr="005D105D">
              <w:rPr>
                <w:rFonts w:ascii="Arial Narrow" w:hAnsi="Arial Narrow" w:cs="Arial"/>
                <w:smallCaps/>
                <w:sz w:val="20"/>
                <w:szCs w:val="20"/>
              </w:rPr>
              <w:t>CARFILZOMIB</w:t>
            </w:r>
          </w:p>
          <w:p w:rsidR="00CC5E84" w:rsidRPr="005D105D" w:rsidRDefault="00CC5E84" w:rsidP="00CC5E84">
            <w:pPr>
              <w:keepNext/>
              <w:spacing w:line="276" w:lineRule="auto"/>
              <w:ind w:left="-108"/>
              <w:jc w:val="both"/>
              <w:rPr>
                <w:rFonts w:ascii="Arial Narrow" w:hAnsi="Arial Narrow" w:cs="Arial"/>
                <w:sz w:val="20"/>
                <w:szCs w:val="20"/>
              </w:rPr>
            </w:pPr>
            <w:r>
              <w:rPr>
                <w:rFonts w:ascii="Arial Narrow" w:hAnsi="Arial Narrow" w:cs="Arial"/>
                <w:sz w:val="20"/>
                <w:szCs w:val="20"/>
              </w:rPr>
              <w:t>Powder for injection, 1</w:t>
            </w:r>
            <w:r w:rsidRPr="005D105D">
              <w:rPr>
                <w:rFonts w:ascii="Arial Narrow" w:hAnsi="Arial Narrow" w:cs="Arial"/>
                <w:sz w:val="20"/>
                <w:szCs w:val="20"/>
              </w:rPr>
              <w:t>0 mg</w:t>
            </w:r>
          </w:p>
        </w:tc>
        <w:tc>
          <w:tcPr>
            <w:tcW w:w="384" w:type="pct"/>
          </w:tcPr>
          <w:p w:rsidR="00CC5E84" w:rsidRPr="005D105D" w:rsidRDefault="00CC5E84" w:rsidP="00CC5E84">
            <w:pPr>
              <w:keepNext/>
              <w:spacing w:line="276" w:lineRule="auto"/>
              <w:ind w:left="-108"/>
              <w:jc w:val="both"/>
              <w:rPr>
                <w:rFonts w:ascii="Arial Narrow" w:hAnsi="Arial Narrow" w:cs="Arial"/>
                <w:sz w:val="20"/>
                <w:szCs w:val="20"/>
              </w:rPr>
            </w:pPr>
          </w:p>
          <w:p w:rsidR="00CC5E84" w:rsidRPr="005D105D" w:rsidRDefault="00CC5E84" w:rsidP="00CC5E84">
            <w:pPr>
              <w:keepNext/>
              <w:spacing w:line="276" w:lineRule="auto"/>
              <w:ind w:left="-108"/>
              <w:jc w:val="both"/>
              <w:rPr>
                <w:rFonts w:ascii="Arial Narrow" w:hAnsi="Arial Narrow" w:cs="Arial"/>
                <w:sz w:val="20"/>
                <w:szCs w:val="20"/>
              </w:rPr>
            </w:pPr>
            <w:r w:rsidRPr="005D105D">
              <w:rPr>
                <w:rFonts w:ascii="Arial Narrow" w:hAnsi="Arial Narrow" w:cs="Arial"/>
                <w:sz w:val="20"/>
                <w:szCs w:val="20"/>
              </w:rPr>
              <w:t>120 mg</w:t>
            </w:r>
          </w:p>
        </w:tc>
        <w:tc>
          <w:tcPr>
            <w:tcW w:w="385" w:type="pct"/>
          </w:tcPr>
          <w:p w:rsidR="00CC5E84" w:rsidRPr="005D105D" w:rsidRDefault="00CC5E84" w:rsidP="00CC5E84">
            <w:pPr>
              <w:keepNext/>
              <w:spacing w:line="276" w:lineRule="auto"/>
              <w:ind w:left="-108"/>
              <w:jc w:val="both"/>
              <w:rPr>
                <w:rFonts w:ascii="Arial Narrow" w:hAnsi="Arial Narrow" w:cs="Arial"/>
                <w:sz w:val="20"/>
                <w:szCs w:val="20"/>
              </w:rPr>
            </w:pPr>
          </w:p>
          <w:p w:rsidR="00CC5E84" w:rsidRPr="005D105D" w:rsidRDefault="00CC5E84" w:rsidP="00CC5E84">
            <w:pPr>
              <w:keepNext/>
              <w:spacing w:line="276" w:lineRule="auto"/>
              <w:ind w:left="-108"/>
              <w:jc w:val="both"/>
              <w:rPr>
                <w:rFonts w:ascii="Arial Narrow" w:hAnsi="Arial Narrow" w:cs="Arial"/>
                <w:sz w:val="20"/>
                <w:szCs w:val="20"/>
              </w:rPr>
            </w:pPr>
            <w:r w:rsidRPr="005D105D">
              <w:rPr>
                <w:rFonts w:ascii="Arial Narrow" w:hAnsi="Arial Narrow" w:cs="Arial"/>
                <w:sz w:val="20"/>
                <w:szCs w:val="20"/>
              </w:rPr>
              <w:t>17</w:t>
            </w:r>
          </w:p>
        </w:tc>
        <w:tc>
          <w:tcPr>
            <w:tcW w:w="846" w:type="pct"/>
          </w:tcPr>
          <w:p w:rsidR="00DE1287" w:rsidRDefault="00DE1287" w:rsidP="00CC5E84">
            <w:pPr>
              <w:keepNext/>
              <w:spacing w:line="276" w:lineRule="auto"/>
              <w:jc w:val="both"/>
              <w:rPr>
                <w:rFonts w:ascii="Arial Narrow" w:hAnsi="Arial Narrow" w:cs="Arial"/>
                <w:sz w:val="20"/>
                <w:szCs w:val="20"/>
              </w:rPr>
            </w:pPr>
          </w:p>
          <w:p w:rsidR="00CC5E84" w:rsidRPr="005D105D" w:rsidRDefault="00CC5E84" w:rsidP="00CC5E84">
            <w:pPr>
              <w:keepNext/>
              <w:spacing w:line="276" w:lineRule="auto"/>
              <w:jc w:val="both"/>
              <w:rPr>
                <w:rFonts w:ascii="Arial Narrow" w:hAnsi="Arial Narrow" w:cs="Arial"/>
                <w:sz w:val="20"/>
                <w:szCs w:val="20"/>
              </w:rPr>
            </w:pPr>
            <w:proofErr w:type="spellStart"/>
            <w:r w:rsidRPr="005D105D">
              <w:rPr>
                <w:rFonts w:ascii="Arial Narrow" w:hAnsi="Arial Narrow" w:cs="Arial"/>
                <w:sz w:val="20"/>
                <w:szCs w:val="20"/>
              </w:rPr>
              <w:t>Kyprolis</w:t>
            </w:r>
            <w:proofErr w:type="spellEnd"/>
            <w:r w:rsidR="00DE1287" w:rsidRPr="00DE1287">
              <w:rPr>
                <w:rFonts w:ascii="Arial Narrow" w:hAnsi="Arial Narrow"/>
                <w:sz w:val="20"/>
                <w:szCs w:val="20"/>
                <w:vertAlign w:val="superscript"/>
              </w:rPr>
              <w:t>®</w:t>
            </w:r>
          </w:p>
        </w:tc>
        <w:tc>
          <w:tcPr>
            <w:tcW w:w="1615" w:type="pct"/>
          </w:tcPr>
          <w:p w:rsidR="00DE1287" w:rsidRDefault="00DE1287" w:rsidP="00CC5E84">
            <w:pPr>
              <w:keepNext/>
              <w:spacing w:line="276" w:lineRule="auto"/>
              <w:jc w:val="both"/>
              <w:rPr>
                <w:rFonts w:ascii="Arial Narrow" w:hAnsi="Arial Narrow" w:cs="Arial"/>
                <w:sz w:val="20"/>
                <w:szCs w:val="20"/>
              </w:rPr>
            </w:pPr>
          </w:p>
          <w:p w:rsidR="00CC5E84" w:rsidRPr="005D105D" w:rsidRDefault="00A4357C" w:rsidP="00CC5E84">
            <w:pPr>
              <w:keepNext/>
              <w:spacing w:line="276" w:lineRule="auto"/>
              <w:jc w:val="both"/>
              <w:rPr>
                <w:rFonts w:ascii="Arial Narrow" w:hAnsi="Arial Narrow" w:cs="Arial"/>
                <w:sz w:val="20"/>
                <w:szCs w:val="20"/>
              </w:rPr>
            </w:pPr>
            <w:r w:rsidRPr="00814BC6">
              <w:rPr>
                <w:rFonts w:ascii="Arial Narrow" w:hAnsi="Arial Narrow" w:cs="Arial"/>
                <w:sz w:val="20"/>
                <w:szCs w:val="20"/>
              </w:rPr>
              <w:t>Amgen Australia Pty Ltd</w:t>
            </w:r>
          </w:p>
        </w:tc>
      </w:tr>
      <w:tr w:rsidR="00CC5E84" w:rsidRPr="00BC16CA" w:rsidTr="00DE1287">
        <w:trPr>
          <w:trHeight w:val="360"/>
        </w:trPr>
        <w:tc>
          <w:tcPr>
            <w:tcW w:w="5000" w:type="pct"/>
            <w:gridSpan w:val="6"/>
            <w:tcBorders>
              <w:bottom w:val="single" w:sz="4" w:space="0" w:color="auto"/>
            </w:tcBorders>
          </w:tcPr>
          <w:p w:rsidR="00CC5E84" w:rsidRPr="005D105D" w:rsidRDefault="00CC5E84" w:rsidP="00CC5E84">
            <w:pPr>
              <w:spacing w:line="276" w:lineRule="auto"/>
              <w:jc w:val="both"/>
              <w:rPr>
                <w:rFonts w:ascii="Arial Narrow" w:hAnsi="Arial Narrow" w:cs="Arial"/>
                <w:sz w:val="20"/>
                <w:szCs w:val="20"/>
              </w:rPr>
            </w:pPr>
          </w:p>
        </w:tc>
      </w:tr>
      <w:tr w:rsidR="00CC5E84" w:rsidRPr="00BC16CA" w:rsidTr="00DE1287">
        <w:trPr>
          <w:trHeight w:val="360"/>
        </w:trPr>
        <w:tc>
          <w:tcPr>
            <w:tcW w:w="1538" w:type="pct"/>
            <w:tcBorders>
              <w:top w:val="single" w:sz="4" w:space="0" w:color="auto"/>
              <w:left w:val="single" w:sz="4" w:space="0" w:color="auto"/>
              <w:bottom w:val="single" w:sz="4" w:space="0" w:color="auto"/>
              <w:right w:val="single" w:sz="4" w:space="0" w:color="auto"/>
            </w:tcBorders>
          </w:tcPr>
          <w:p w:rsidR="00CC5E84" w:rsidRPr="005D105D" w:rsidRDefault="00CC5E84" w:rsidP="00CC5E84">
            <w:pPr>
              <w:spacing w:line="276" w:lineRule="auto"/>
              <w:jc w:val="both"/>
              <w:rPr>
                <w:rFonts w:ascii="Arial Narrow" w:hAnsi="Arial Narrow" w:cs="Arial"/>
                <w:b/>
                <w:sz w:val="20"/>
                <w:szCs w:val="20"/>
              </w:rPr>
            </w:pPr>
            <w:r w:rsidRPr="005D105D">
              <w:rPr>
                <w:rFonts w:ascii="Arial Narrow" w:hAnsi="Arial Narrow" w:cs="Arial"/>
                <w:b/>
                <w:sz w:val="20"/>
                <w:szCs w:val="20"/>
              </w:rPr>
              <w:t xml:space="preserve">Category / </w:t>
            </w:r>
          </w:p>
          <w:p w:rsidR="00CC5E84" w:rsidRPr="005D105D" w:rsidRDefault="00CC5E84" w:rsidP="00CC5E84">
            <w:pPr>
              <w:spacing w:line="276" w:lineRule="auto"/>
              <w:jc w:val="both"/>
              <w:rPr>
                <w:rFonts w:ascii="Arial Narrow" w:hAnsi="Arial Narrow" w:cs="Arial"/>
                <w:b/>
                <w:sz w:val="20"/>
                <w:szCs w:val="20"/>
              </w:rPr>
            </w:pPr>
            <w:r w:rsidRPr="005D105D">
              <w:rPr>
                <w:rFonts w:ascii="Arial Narrow" w:hAnsi="Arial Narrow" w:cs="Arial"/>
                <w:b/>
                <w:sz w:val="20"/>
                <w:szCs w:val="20"/>
              </w:rPr>
              <w:t>Program</w:t>
            </w:r>
          </w:p>
        </w:tc>
        <w:tc>
          <w:tcPr>
            <w:tcW w:w="3462" w:type="pct"/>
            <w:gridSpan w:val="5"/>
            <w:tcBorders>
              <w:top w:val="single" w:sz="4" w:space="0" w:color="auto"/>
              <w:left w:val="single" w:sz="4" w:space="0" w:color="auto"/>
              <w:bottom w:val="single" w:sz="4" w:space="0" w:color="auto"/>
              <w:right w:val="single" w:sz="4" w:space="0" w:color="auto"/>
            </w:tcBorders>
          </w:tcPr>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Section 100 – Efficient funding of Chemotherapy</w:t>
            </w:r>
          </w:p>
        </w:tc>
      </w:tr>
      <w:tr w:rsidR="00CC5E84" w:rsidRPr="00BC16CA" w:rsidTr="00DE1287">
        <w:trPr>
          <w:trHeight w:val="360"/>
        </w:trPr>
        <w:tc>
          <w:tcPr>
            <w:tcW w:w="1538" w:type="pct"/>
            <w:tcBorders>
              <w:top w:val="single" w:sz="4" w:space="0" w:color="auto"/>
              <w:left w:val="single" w:sz="4" w:space="0" w:color="auto"/>
              <w:bottom w:val="single" w:sz="4" w:space="0" w:color="auto"/>
              <w:right w:val="single" w:sz="4" w:space="0" w:color="auto"/>
            </w:tcBorders>
          </w:tcPr>
          <w:p w:rsidR="00CC5E84" w:rsidRPr="005D105D" w:rsidRDefault="00CC5E84" w:rsidP="00CC5E84">
            <w:pPr>
              <w:spacing w:line="276" w:lineRule="auto"/>
              <w:jc w:val="both"/>
              <w:rPr>
                <w:rFonts w:ascii="Arial Narrow" w:hAnsi="Arial Narrow" w:cs="Arial"/>
                <w:b/>
                <w:sz w:val="20"/>
                <w:szCs w:val="20"/>
              </w:rPr>
            </w:pPr>
            <w:r w:rsidRPr="005D105D">
              <w:rPr>
                <w:rFonts w:ascii="Arial Narrow" w:hAnsi="Arial Narrow" w:cs="Arial"/>
                <w:b/>
                <w:sz w:val="20"/>
                <w:szCs w:val="20"/>
              </w:rPr>
              <w:t>Prescriber type:</w:t>
            </w:r>
          </w:p>
          <w:p w:rsidR="00CC5E84" w:rsidRPr="005D105D" w:rsidRDefault="00CC5E84" w:rsidP="00CC5E84">
            <w:pPr>
              <w:spacing w:line="276" w:lineRule="auto"/>
              <w:jc w:val="both"/>
              <w:rPr>
                <w:rFonts w:ascii="Arial Narrow" w:hAnsi="Arial Narrow" w:cs="Arial"/>
                <w:b/>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fldChar w:fldCharType="begin">
                <w:ffData>
                  <w:name w:val="Check1"/>
                  <w:enabled/>
                  <w:calcOnExit w:val="0"/>
                  <w:checkBox>
                    <w:sizeAuto/>
                    <w:default w:val="0"/>
                  </w:checkBox>
                </w:ffData>
              </w:fldChar>
            </w:r>
            <w:r w:rsidRPr="005D105D">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5D105D">
              <w:rPr>
                <w:rFonts w:ascii="Arial Narrow" w:hAnsi="Arial Narrow" w:cs="Arial"/>
                <w:sz w:val="20"/>
                <w:szCs w:val="20"/>
              </w:rPr>
              <w:fldChar w:fldCharType="end"/>
            </w:r>
            <w:r w:rsidRPr="005D105D">
              <w:rPr>
                <w:rFonts w:ascii="Arial Narrow" w:hAnsi="Arial Narrow" w:cs="Arial"/>
                <w:sz w:val="20"/>
                <w:szCs w:val="20"/>
              </w:rPr>
              <w:t xml:space="preserve">Dental  </w:t>
            </w:r>
            <w:r w:rsidRPr="005D105D">
              <w:rPr>
                <w:rFonts w:ascii="Arial Narrow" w:hAnsi="Arial Narrow" w:cs="Arial"/>
                <w:sz w:val="20"/>
                <w:szCs w:val="20"/>
              </w:rPr>
              <w:fldChar w:fldCharType="begin">
                <w:ffData>
                  <w:name w:val=""/>
                  <w:enabled/>
                  <w:calcOnExit w:val="0"/>
                  <w:checkBox>
                    <w:sizeAuto/>
                    <w:default w:val="1"/>
                  </w:checkBox>
                </w:ffData>
              </w:fldChar>
            </w:r>
            <w:r w:rsidRPr="005D105D">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5D105D">
              <w:rPr>
                <w:rFonts w:ascii="Arial Narrow" w:hAnsi="Arial Narrow" w:cs="Arial"/>
                <w:sz w:val="20"/>
                <w:szCs w:val="20"/>
              </w:rPr>
              <w:fldChar w:fldCharType="end"/>
            </w:r>
            <w:r w:rsidRPr="005D105D">
              <w:rPr>
                <w:rFonts w:ascii="Arial Narrow" w:hAnsi="Arial Narrow" w:cs="Arial"/>
                <w:sz w:val="20"/>
                <w:szCs w:val="20"/>
              </w:rPr>
              <w:t xml:space="preserve">Medical Practitioners  </w:t>
            </w:r>
            <w:r w:rsidRPr="005D105D">
              <w:rPr>
                <w:rFonts w:ascii="Arial Narrow" w:hAnsi="Arial Narrow" w:cs="Arial"/>
                <w:sz w:val="20"/>
                <w:szCs w:val="20"/>
              </w:rPr>
              <w:fldChar w:fldCharType="begin">
                <w:ffData>
                  <w:name w:val="Check3"/>
                  <w:enabled/>
                  <w:calcOnExit w:val="0"/>
                  <w:checkBox>
                    <w:sizeAuto/>
                    <w:default w:val="0"/>
                  </w:checkBox>
                </w:ffData>
              </w:fldChar>
            </w:r>
            <w:r w:rsidRPr="005D105D">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5D105D">
              <w:rPr>
                <w:rFonts w:ascii="Arial Narrow" w:hAnsi="Arial Narrow" w:cs="Arial"/>
                <w:sz w:val="20"/>
                <w:szCs w:val="20"/>
              </w:rPr>
              <w:fldChar w:fldCharType="end"/>
            </w:r>
            <w:r w:rsidRPr="005D105D">
              <w:rPr>
                <w:rFonts w:ascii="Arial Narrow" w:hAnsi="Arial Narrow" w:cs="Arial"/>
                <w:sz w:val="20"/>
                <w:szCs w:val="20"/>
              </w:rPr>
              <w:t xml:space="preserve">Nurse practitioners  </w:t>
            </w:r>
            <w:r w:rsidRPr="005D105D">
              <w:rPr>
                <w:rFonts w:ascii="Arial Narrow" w:hAnsi="Arial Narrow" w:cs="Arial"/>
                <w:sz w:val="20"/>
                <w:szCs w:val="20"/>
              </w:rPr>
              <w:fldChar w:fldCharType="begin">
                <w:ffData>
                  <w:name w:val=""/>
                  <w:enabled/>
                  <w:calcOnExit w:val="0"/>
                  <w:checkBox>
                    <w:sizeAuto/>
                    <w:default w:val="0"/>
                  </w:checkBox>
                </w:ffData>
              </w:fldChar>
            </w:r>
            <w:r w:rsidRPr="005D105D">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5D105D">
              <w:rPr>
                <w:rFonts w:ascii="Arial Narrow" w:hAnsi="Arial Narrow" w:cs="Arial"/>
                <w:sz w:val="20"/>
                <w:szCs w:val="20"/>
              </w:rPr>
              <w:fldChar w:fldCharType="end"/>
            </w:r>
            <w:r w:rsidRPr="005D105D">
              <w:rPr>
                <w:rFonts w:ascii="Arial Narrow" w:hAnsi="Arial Narrow" w:cs="Arial"/>
                <w:sz w:val="20"/>
                <w:szCs w:val="20"/>
              </w:rPr>
              <w:t>Optometrists</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fldChar w:fldCharType="begin">
                <w:ffData>
                  <w:name w:val="Check5"/>
                  <w:enabled/>
                  <w:calcOnExit w:val="0"/>
                  <w:checkBox>
                    <w:sizeAuto/>
                    <w:default w:val="0"/>
                  </w:checkBox>
                </w:ffData>
              </w:fldChar>
            </w:r>
            <w:r w:rsidRPr="005D105D">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5D105D">
              <w:rPr>
                <w:rFonts w:ascii="Arial Narrow" w:hAnsi="Arial Narrow" w:cs="Arial"/>
                <w:sz w:val="20"/>
                <w:szCs w:val="20"/>
              </w:rPr>
              <w:fldChar w:fldCharType="end"/>
            </w:r>
            <w:r w:rsidRPr="005D105D">
              <w:rPr>
                <w:rFonts w:ascii="Arial Narrow" w:hAnsi="Arial Narrow" w:cs="Arial"/>
                <w:sz w:val="20"/>
                <w:szCs w:val="20"/>
              </w:rPr>
              <w:t>Midwives</w:t>
            </w:r>
          </w:p>
        </w:tc>
      </w:tr>
      <w:tr w:rsidR="00CC5E84" w:rsidRPr="00BC16CA" w:rsidTr="00DE1287">
        <w:trPr>
          <w:trHeight w:val="360"/>
        </w:trPr>
        <w:tc>
          <w:tcPr>
            <w:tcW w:w="1538" w:type="pct"/>
            <w:tcBorders>
              <w:top w:val="single" w:sz="4" w:space="0" w:color="auto"/>
              <w:left w:val="single" w:sz="4" w:space="0" w:color="auto"/>
              <w:bottom w:val="single" w:sz="4" w:space="0" w:color="auto"/>
              <w:right w:val="single" w:sz="4" w:space="0" w:color="auto"/>
            </w:tcBorders>
          </w:tcPr>
          <w:p w:rsidR="00CC5E84" w:rsidRPr="005D105D" w:rsidRDefault="00CC5E84" w:rsidP="00CC5E84">
            <w:pPr>
              <w:spacing w:line="276" w:lineRule="auto"/>
              <w:jc w:val="both"/>
              <w:rPr>
                <w:rFonts w:ascii="Arial Narrow" w:hAnsi="Arial Narrow" w:cs="Arial"/>
                <w:b/>
                <w:sz w:val="20"/>
                <w:szCs w:val="20"/>
              </w:rPr>
            </w:pPr>
            <w:r w:rsidRPr="005D105D">
              <w:rPr>
                <w:rFonts w:ascii="Arial Narrow" w:hAnsi="Arial Narrow" w:cs="Arial"/>
                <w:b/>
                <w:sz w:val="20"/>
                <w:szCs w:val="20"/>
              </w:rPr>
              <w:t>Condition:</w:t>
            </w:r>
          </w:p>
        </w:tc>
        <w:tc>
          <w:tcPr>
            <w:tcW w:w="3462" w:type="pct"/>
            <w:gridSpan w:val="5"/>
            <w:tcBorders>
              <w:top w:val="single" w:sz="4" w:space="0" w:color="auto"/>
              <w:left w:val="single" w:sz="4" w:space="0" w:color="auto"/>
              <w:bottom w:val="single" w:sz="4" w:space="0" w:color="auto"/>
              <w:right w:val="single" w:sz="4" w:space="0" w:color="auto"/>
            </w:tcBorders>
          </w:tcPr>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Multiple myeloma</w:t>
            </w:r>
          </w:p>
        </w:tc>
      </w:tr>
      <w:tr w:rsidR="00CC5E84" w:rsidRPr="00BC16CA" w:rsidTr="00DE1287">
        <w:trPr>
          <w:trHeight w:val="360"/>
        </w:trPr>
        <w:tc>
          <w:tcPr>
            <w:tcW w:w="1538" w:type="pct"/>
            <w:tcBorders>
              <w:top w:val="single" w:sz="4" w:space="0" w:color="auto"/>
              <w:left w:val="single" w:sz="4" w:space="0" w:color="auto"/>
              <w:bottom w:val="single" w:sz="4" w:space="0" w:color="auto"/>
              <w:right w:val="single" w:sz="4" w:space="0" w:color="auto"/>
            </w:tcBorders>
          </w:tcPr>
          <w:p w:rsidR="00CC5E84" w:rsidRPr="005D105D" w:rsidRDefault="00CC5E84" w:rsidP="00CC5E84">
            <w:pPr>
              <w:spacing w:line="276" w:lineRule="auto"/>
              <w:jc w:val="both"/>
              <w:rPr>
                <w:rFonts w:ascii="Arial Narrow" w:hAnsi="Arial Narrow" w:cs="Arial"/>
                <w:b/>
                <w:sz w:val="20"/>
                <w:szCs w:val="20"/>
              </w:rPr>
            </w:pPr>
            <w:r w:rsidRPr="005D105D">
              <w:rPr>
                <w:rFonts w:ascii="Arial Narrow" w:hAnsi="Arial Narrow" w:cs="Arial"/>
                <w:b/>
                <w:sz w:val="20"/>
                <w:szCs w:val="20"/>
              </w:rPr>
              <w:t>PBS Indication:</w:t>
            </w:r>
          </w:p>
        </w:tc>
        <w:tc>
          <w:tcPr>
            <w:tcW w:w="3462" w:type="pct"/>
            <w:gridSpan w:val="5"/>
            <w:tcBorders>
              <w:top w:val="single" w:sz="4" w:space="0" w:color="auto"/>
              <w:left w:val="single" w:sz="4" w:space="0" w:color="auto"/>
              <w:bottom w:val="single" w:sz="4" w:space="0" w:color="auto"/>
              <w:right w:val="single" w:sz="4" w:space="0" w:color="auto"/>
            </w:tcBorders>
          </w:tcPr>
          <w:p w:rsidR="00CC5E84" w:rsidRPr="005D105D" w:rsidRDefault="00CC5E84" w:rsidP="00CC5E84">
            <w:pPr>
              <w:spacing w:line="276" w:lineRule="auto"/>
              <w:rPr>
                <w:rFonts w:ascii="Arial Narrow" w:hAnsi="Arial Narrow" w:cs="Arial"/>
                <w:sz w:val="20"/>
                <w:szCs w:val="20"/>
              </w:rPr>
            </w:pPr>
            <w:r>
              <w:rPr>
                <w:rFonts w:ascii="Arial Narrow" w:hAnsi="Arial Narrow" w:cs="Arial"/>
                <w:sz w:val="20"/>
                <w:szCs w:val="20"/>
              </w:rPr>
              <w:t>M</w:t>
            </w:r>
            <w:r w:rsidRPr="005D105D">
              <w:rPr>
                <w:rFonts w:ascii="Arial Narrow" w:hAnsi="Arial Narrow" w:cs="Arial"/>
                <w:sz w:val="20"/>
                <w:szCs w:val="20"/>
              </w:rPr>
              <w:t>ultiple myeloma</w:t>
            </w:r>
          </w:p>
        </w:tc>
      </w:tr>
      <w:tr w:rsidR="00CC5E84" w:rsidRPr="00BC16CA" w:rsidTr="00DE1287">
        <w:trPr>
          <w:trHeight w:val="360"/>
        </w:trPr>
        <w:tc>
          <w:tcPr>
            <w:tcW w:w="1538" w:type="pct"/>
            <w:tcBorders>
              <w:top w:val="single" w:sz="4" w:space="0" w:color="auto"/>
              <w:left w:val="single" w:sz="4" w:space="0" w:color="auto"/>
              <w:bottom w:val="single" w:sz="4" w:space="0" w:color="auto"/>
              <w:right w:val="single" w:sz="4" w:space="0" w:color="auto"/>
            </w:tcBorders>
          </w:tcPr>
          <w:p w:rsidR="00CC5E84" w:rsidRPr="005D105D" w:rsidRDefault="00CC5E84" w:rsidP="00CC5E84">
            <w:pPr>
              <w:spacing w:line="276" w:lineRule="auto"/>
              <w:jc w:val="both"/>
              <w:rPr>
                <w:rFonts w:ascii="Arial Narrow" w:hAnsi="Arial Narrow" w:cs="Arial"/>
                <w:b/>
                <w:sz w:val="20"/>
                <w:szCs w:val="20"/>
              </w:rPr>
            </w:pPr>
            <w:r w:rsidRPr="005D105D">
              <w:rPr>
                <w:rFonts w:ascii="Arial Narrow" w:hAnsi="Arial Narrow" w:cs="Arial"/>
                <w:b/>
                <w:sz w:val="20"/>
                <w:szCs w:val="20"/>
              </w:rPr>
              <w:t>Treatment phase:</w:t>
            </w:r>
          </w:p>
        </w:tc>
        <w:tc>
          <w:tcPr>
            <w:tcW w:w="3462" w:type="pct"/>
            <w:gridSpan w:val="5"/>
            <w:tcBorders>
              <w:top w:val="single" w:sz="4" w:space="0" w:color="auto"/>
              <w:left w:val="single" w:sz="4" w:space="0" w:color="auto"/>
              <w:bottom w:val="single" w:sz="4" w:space="0" w:color="auto"/>
              <w:right w:val="single" w:sz="4" w:space="0" w:color="auto"/>
            </w:tcBorders>
          </w:tcPr>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Initial treatment</w:t>
            </w:r>
          </w:p>
        </w:tc>
      </w:tr>
      <w:tr w:rsidR="00CC5E84" w:rsidRPr="00BC16CA" w:rsidTr="00DE1287">
        <w:trPr>
          <w:trHeight w:val="360"/>
        </w:trPr>
        <w:tc>
          <w:tcPr>
            <w:tcW w:w="1538" w:type="pct"/>
            <w:tcBorders>
              <w:top w:val="single" w:sz="4" w:space="0" w:color="auto"/>
              <w:left w:val="single" w:sz="4" w:space="0" w:color="auto"/>
              <w:bottom w:val="single" w:sz="4" w:space="0" w:color="auto"/>
              <w:right w:val="single" w:sz="4" w:space="0" w:color="auto"/>
            </w:tcBorders>
          </w:tcPr>
          <w:p w:rsidR="00CC5E84" w:rsidRPr="005D105D" w:rsidRDefault="00CC5E84" w:rsidP="00CC5E84">
            <w:pPr>
              <w:spacing w:line="276" w:lineRule="auto"/>
              <w:jc w:val="both"/>
              <w:rPr>
                <w:rFonts w:ascii="Arial Narrow" w:hAnsi="Arial Narrow" w:cs="Arial"/>
                <w:b/>
                <w:sz w:val="20"/>
                <w:szCs w:val="20"/>
              </w:rPr>
            </w:pPr>
            <w:r w:rsidRPr="005D105D">
              <w:rPr>
                <w:rFonts w:ascii="Arial Narrow" w:hAnsi="Arial Narrow" w:cs="Arial"/>
                <w:b/>
                <w:sz w:val="20"/>
                <w:szCs w:val="20"/>
              </w:rPr>
              <w:t>Restriction Level / Method:</w:t>
            </w:r>
          </w:p>
          <w:p w:rsidR="00CC5E84" w:rsidRPr="005D105D" w:rsidRDefault="00CC5E84" w:rsidP="00CC5E84">
            <w:pPr>
              <w:spacing w:line="276" w:lineRule="auto"/>
              <w:rPr>
                <w:rFonts w:ascii="Arial Narrow" w:hAnsi="Arial Narrow" w:cs="Arial"/>
                <w:sz w:val="20"/>
                <w:szCs w:val="20"/>
              </w:rPr>
            </w:pPr>
          </w:p>
          <w:p w:rsidR="00CC5E84" w:rsidRPr="005D105D" w:rsidRDefault="00CC5E84" w:rsidP="00CC5E84">
            <w:pPr>
              <w:spacing w:line="276" w:lineRule="auto"/>
              <w:rPr>
                <w:rFonts w:ascii="Arial Narrow" w:hAnsi="Arial Narrow" w:cs="Arial"/>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fldChar w:fldCharType="begin">
                <w:ffData>
                  <w:name w:val="Check1"/>
                  <w:enabled/>
                  <w:calcOnExit w:val="0"/>
                  <w:checkBox>
                    <w:sizeAuto/>
                    <w:default w:val="0"/>
                  </w:checkBox>
                </w:ffData>
              </w:fldChar>
            </w:r>
            <w:r w:rsidRPr="005D105D">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5D105D">
              <w:rPr>
                <w:rFonts w:ascii="Arial Narrow" w:hAnsi="Arial Narrow" w:cs="Arial"/>
                <w:sz w:val="20"/>
                <w:szCs w:val="20"/>
              </w:rPr>
              <w:fldChar w:fldCharType="end"/>
            </w:r>
            <w:r w:rsidRPr="005D105D">
              <w:rPr>
                <w:rFonts w:ascii="Arial Narrow" w:hAnsi="Arial Narrow" w:cs="Arial"/>
                <w:sz w:val="20"/>
                <w:szCs w:val="20"/>
              </w:rPr>
              <w:t>Restricted benefit</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fldChar w:fldCharType="begin">
                <w:ffData>
                  <w:name w:val=""/>
                  <w:enabled/>
                  <w:calcOnExit w:val="0"/>
                  <w:checkBox>
                    <w:sizeAuto/>
                    <w:default w:val="0"/>
                  </w:checkBox>
                </w:ffData>
              </w:fldChar>
            </w:r>
            <w:r w:rsidRPr="005D105D">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5D105D">
              <w:rPr>
                <w:rFonts w:ascii="Arial Narrow" w:hAnsi="Arial Narrow" w:cs="Arial"/>
                <w:sz w:val="20"/>
                <w:szCs w:val="20"/>
              </w:rPr>
              <w:fldChar w:fldCharType="end"/>
            </w:r>
            <w:r w:rsidRPr="005D105D">
              <w:rPr>
                <w:rFonts w:ascii="Arial Narrow" w:hAnsi="Arial Narrow" w:cs="Arial"/>
                <w:sz w:val="20"/>
                <w:szCs w:val="20"/>
              </w:rPr>
              <w:t>Authority Required - In Writing</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fldChar w:fldCharType="begin">
                <w:ffData>
                  <w:name w:val=""/>
                  <w:enabled/>
                  <w:calcOnExit w:val="0"/>
                  <w:checkBox>
                    <w:sizeAuto/>
                    <w:default w:val="1"/>
                  </w:checkBox>
                </w:ffData>
              </w:fldChar>
            </w:r>
            <w:r w:rsidRPr="005D105D">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5D105D">
              <w:rPr>
                <w:rFonts w:ascii="Arial Narrow" w:hAnsi="Arial Narrow" w:cs="Arial"/>
                <w:sz w:val="20"/>
                <w:szCs w:val="20"/>
              </w:rPr>
              <w:fldChar w:fldCharType="end"/>
            </w:r>
            <w:r w:rsidRPr="005D105D">
              <w:rPr>
                <w:rFonts w:ascii="Arial Narrow" w:hAnsi="Arial Narrow" w:cs="Arial"/>
                <w:sz w:val="20"/>
                <w:szCs w:val="20"/>
              </w:rPr>
              <w:t>Authority Required - Telephone</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fldChar w:fldCharType="begin">
                <w:ffData>
                  <w:name w:val=""/>
                  <w:enabled/>
                  <w:calcOnExit w:val="0"/>
                  <w:checkBox>
                    <w:sizeAuto/>
                    <w:default w:val="1"/>
                  </w:checkBox>
                </w:ffData>
              </w:fldChar>
            </w:r>
            <w:r w:rsidRPr="005D105D">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5D105D">
              <w:rPr>
                <w:rFonts w:ascii="Arial Narrow" w:hAnsi="Arial Narrow" w:cs="Arial"/>
                <w:sz w:val="20"/>
                <w:szCs w:val="20"/>
              </w:rPr>
              <w:fldChar w:fldCharType="end"/>
            </w:r>
            <w:r w:rsidRPr="005D105D">
              <w:rPr>
                <w:rFonts w:ascii="Arial Narrow" w:hAnsi="Arial Narrow" w:cs="Arial"/>
                <w:sz w:val="20"/>
                <w:szCs w:val="20"/>
              </w:rPr>
              <w:t>Authority Required - Emergency</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fldChar w:fldCharType="begin">
                <w:ffData>
                  <w:name w:val=""/>
                  <w:enabled/>
                  <w:calcOnExit w:val="0"/>
                  <w:checkBox>
                    <w:sizeAuto/>
                    <w:default w:val="1"/>
                  </w:checkBox>
                </w:ffData>
              </w:fldChar>
            </w:r>
            <w:r w:rsidRPr="005D105D">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5D105D">
              <w:rPr>
                <w:rFonts w:ascii="Arial Narrow" w:hAnsi="Arial Narrow" w:cs="Arial"/>
                <w:sz w:val="20"/>
                <w:szCs w:val="20"/>
              </w:rPr>
              <w:fldChar w:fldCharType="end"/>
            </w:r>
            <w:r w:rsidRPr="005D105D">
              <w:rPr>
                <w:rFonts w:ascii="Arial Narrow" w:hAnsi="Arial Narrow" w:cs="Arial"/>
                <w:sz w:val="20"/>
                <w:szCs w:val="20"/>
              </w:rPr>
              <w:t>Authority Required - Electronic</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fldChar w:fldCharType="begin">
                <w:ffData>
                  <w:name w:val="Check5"/>
                  <w:enabled/>
                  <w:calcOnExit w:val="0"/>
                  <w:checkBox>
                    <w:sizeAuto/>
                    <w:default w:val="0"/>
                  </w:checkBox>
                </w:ffData>
              </w:fldChar>
            </w:r>
            <w:r w:rsidRPr="005D105D">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5D105D">
              <w:rPr>
                <w:rFonts w:ascii="Arial Narrow" w:hAnsi="Arial Narrow" w:cs="Arial"/>
                <w:sz w:val="20"/>
                <w:szCs w:val="20"/>
              </w:rPr>
              <w:fldChar w:fldCharType="end"/>
            </w:r>
            <w:r w:rsidRPr="005D105D">
              <w:rPr>
                <w:rFonts w:ascii="Arial Narrow" w:hAnsi="Arial Narrow" w:cs="Arial"/>
                <w:sz w:val="20"/>
                <w:szCs w:val="20"/>
              </w:rPr>
              <w:t>Streamlined</w:t>
            </w:r>
          </w:p>
        </w:tc>
      </w:tr>
      <w:tr w:rsidR="00CC5E84" w:rsidRPr="00BC16CA" w:rsidTr="00DE1287">
        <w:trPr>
          <w:trHeight w:val="360"/>
        </w:trPr>
        <w:tc>
          <w:tcPr>
            <w:tcW w:w="1538" w:type="pct"/>
            <w:tcBorders>
              <w:top w:val="single" w:sz="4" w:space="0" w:color="auto"/>
              <w:left w:val="single" w:sz="4" w:space="0" w:color="auto"/>
              <w:bottom w:val="single" w:sz="4" w:space="0" w:color="auto"/>
              <w:right w:val="single" w:sz="4" w:space="0" w:color="auto"/>
            </w:tcBorders>
          </w:tcPr>
          <w:p w:rsidR="00CC5E84" w:rsidRPr="005D105D" w:rsidRDefault="00CC5E84" w:rsidP="00CC5E84">
            <w:pPr>
              <w:spacing w:line="276" w:lineRule="auto"/>
              <w:jc w:val="both"/>
              <w:rPr>
                <w:rFonts w:ascii="Arial Narrow" w:hAnsi="Arial Narrow" w:cs="Arial"/>
                <w:b/>
                <w:sz w:val="20"/>
                <w:szCs w:val="20"/>
              </w:rPr>
            </w:pPr>
            <w:r w:rsidRPr="005D105D">
              <w:rPr>
                <w:rFonts w:ascii="Arial Narrow" w:hAnsi="Arial Narrow" w:cs="Arial"/>
                <w:b/>
                <w:sz w:val="20"/>
                <w:szCs w:val="20"/>
              </w:rPr>
              <w:t>Clinical criteria:</w:t>
            </w:r>
          </w:p>
        </w:tc>
        <w:tc>
          <w:tcPr>
            <w:tcW w:w="3462" w:type="pct"/>
            <w:gridSpan w:val="5"/>
            <w:tcBorders>
              <w:top w:val="single" w:sz="4" w:space="0" w:color="auto"/>
              <w:left w:val="single" w:sz="4" w:space="0" w:color="auto"/>
              <w:bottom w:val="single" w:sz="4" w:space="0" w:color="auto"/>
              <w:right w:val="single" w:sz="4" w:space="0" w:color="auto"/>
            </w:tcBorders>
          </w:tcPr>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The condition must be confirmed by a histological diagnosis,</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AND</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The treatment must be in combination with dexamethasone,</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AND</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lastRenderedPageBreak/>
              <w:t>Patient must have progressive disease after at least one prior therapy,</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AND</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Patient must have undergone or be ineligible for a stem cell transplant,</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AND</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 xml:space="preserve">Patient must not be receiving concomitant PBS-subsidised thalidomide, </w:t>
            </w:r>
            <w:proofErr w:type="spellStart"/>
            <w:r w:rsidRPr="005D105D">
              <w:rPr>
                <w:rFonts w:ascii="Arial Narrow" w:hAnsi="Arial Narrow" w:cs="Arial"/>
                <w:sz w:val="20"/>
                <w:szCs w:val="20"/>
              </w:rPr>
              <w:t>lenalidomide</w:t>
            </w:r>
            <w:proofErr w:type="spellEnd"/>
            <w:r w:rsidRPr="005D105D">
              <w:rPr>
                <w:rFonts w:ascii="Arial Narrow" w:hAnsi="Arial Narrow" w:cs="Arial"/>
                <w:sz w:val="20"/>
                <w:szCs w:val="20"/>
              </w:rPr>
              <w:t xml:space="preserve">, </w:t>
            </w:r>
            <w:proofErr w:type="spellStart"/>
            <w:r w:rsidRPr="005D105D">
              <w:rPr>
                <w:rFonts w:ascii="Arial Narrow" w:hAnsi="Arial Narrow" w:cs="Arial"/>
                <w:sz w:val="20"/>
                <w:szCs w:val="20"/>
              </w:rPr>
              <w:t>bortezomib</w:t>
            </w:r>
            <w:proofErr w:type="spellEnd"/>
            <w:r w:rsidRPr="005D105D">
              <w:rPr>
                <w:rFonts w:ascii="Arial Narrow" w:hAnsi="Arial Narrow" w:cs="Arial"/>
                <w:sz w:val="20"/>
                <w:szCs w:val="20"/>
              </w:rPr>
              <w:t xml:space="preserve">, or </w:t>
            </w:r>
            <w:proofErr w:type="spellStart"/>
            <w:r w:rsidRPr="005D105D">
              <w:rPr>
                <w:rFonts w:ascii="Arial Narrow" w:hAnsi="Arial Narrow" w:cs="Arial"/>
                <w:sz w:val="20"/>
                <w:szCs w:val="20"/>
              </w:rPr>
              <w:t>pomalidomide</w:t>
            </w:r>
            <w:proofErr w:type="spellEnd"/>
            <w:r w:rsidRPr="005D105D">
              <w:rPr>
                <w:rFonts w:ascii="Arial Narrow" w:hAnsi="Arial Narrow" w:cs="Arial"/>
                <w:sz w:val="20"/>
                <w:szCs w:val="20"/>
              </w:rPr>
              <w:t xml:space="preserve"> </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AND</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Patient must not receive more than three cycles of treatment under this restriction</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AND</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Patient must not have previously received this drug for this condition</w:t>
            </w:r>
          </w:p>
        </w:tc>
      </w:tr>
      <w:tr w:rsidR="00CC5E84" w:rsidRPr="00BC16CA" w:rsidTr="00DE1287">
        <w:trPr>
          <w:trHeight w:val="360"/>
        </w:trPr>
        <w:tc>
          <w:tcPr>
            <w:tcW w:w="1538" w:type="pct"/>
            <w:tcBorders>
              <w:top w:val="single" w:sz="4" w:space="0" w:color="auto"/>
              <w:left w:val="single" w:sz="4" w:space="0" w:color="auto"/>
              <w:bottom w:val="single" w:sz="4" w:space="0" w:color="auto"/>
              <w:right w:val="single" w:sz="4" w:space="0" w:color="auto"/>
            </w:tcBorders>
          </w:tcPr>
          <w:p w:rsidR="00CC5E84" w:rsidRPr="005D105D" w:rsidRDefault="00CC5E84" w:rsidP="00CC5E84">
            <w:pPr>
              <w:spacing w:line="276" w:lineRule="auto"/>
              <w:jc w:val="both"/>
              <w:rPr>
                <w:rFonts w:ascii="Arial Narrow" w:hAnsi="Arial Narrow" w:cs="Arial"/>
                <w:b/>
                <w:sz w:val="20"/>
                <w:szCs w:val="20"/>
              </w:rPr>
            </w:pPr>
            <w:r w:rsidRPr="005D105D">
              <w:rPr>
                <w:rFonts w:ascii="Arial Narrow" w:hAnsi="Arial Narrow" w:cs="Arial"/>
                <w:b/>
                <w:sz w:val="20"/>
                <w:szCs w:val="20"/>
              </w:rPr>
              <w:lastRenderedPageBreak/>
              <w:t>Prescriber Instructions</w:t>
            </w:r>
          </w:p>
          <w:p w:rsidR="00CC5E84" w:rsidRPr="005D105D" w:rsidRDefault="00CC5E84" w:rsidP="00CC5E84">
            <w:pPr>
              <w:spacing w:line="276" w:lineRule="auto"/>
              <w:jc w:val="both"/>
              <w:rPr>
                <w:rFonts w:ascii="Arial Narrow" w:hAnsi="Arial Narrow" w:cs="Arial"/>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Progressive disease is defined as at least 1 of the following:</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(a) at least a 25% increase and an absolute increase of at least 5 g per L in serum M protein (monoclonal protein); or</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(b) at least a 25% increase in 24-hour urinary light chain M protein excretion, and an absolute increase of at least 200 mg per 24 hours; or</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(c) in oligo-secretory and non-secretory myeloma patients only, at least a 50% increase of the difference between involved free light chain and uninvolved free light chain; or</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(d) at least a 25% relative increase and at least a 10% absolute increase in plasma cells in a bone marrow aspirate or on biopsy; or</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(e) an increase in the size or number of lytic bone lesions (not including compression fractures); or</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 xml:space="preserve">(f) at least a 25% increase in the size of an existing or the development of a new soft tissue </w:t>
            </w:r>
            <w:proofErr w:type="spellStart"/>
            <w:r w:rsidRPr="005D105D">
              <w:rPr>
                <w:rFonts w:ascii="Arial Narrow" w:hAnsi="Arial Narrow" w:cs="Arial"/>
                <w:sz w:val="20"/>
                <w:szCs w:val="20"/>
              </w:rPr>
              <w:t>plasmacytoma</w:t>
            </w:r>
            <w:proofErr w:type="spellEnd"/>
            <w:r w:rsidRPr="005D105D">
              <w:rPr>
                <w:rFonts w:ascii="Arial Narrow" w:hAnsi="Arial Narrow" w:cs="Arial"/>
                <w:sz w:val="20"/>
                <w:szCs w:val="20"/>
              </w:rPr>
              <w:t xml:space="preserve"> (determined by clinical examination or diagnostic imaging); or</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 xml:space="preserve">(g) </w:t>
            </w:r>
            <w:proofErr w:type="gramStart"/>
            <w:r w:rsidRPr="005D105D">
              <w:rPr>
                <w:rFonts w:ascii="Arial Narrow" w:hAnsi="Arial Narrow" w:cs="Arial"/>
                <w:sz w:val="20"/>
                <w:szCs w:val="20"/>
              </w:rPr>
              <w:t>development</w:t>
            </w:r>
            <w:proofErr w:type="gramEnd"/>
            <w:r w:rsidRPr="005D105D">
              <w:rPr>
                <w:rFonts w:ascii="Arial Narrow" w:hAnsi="Arial Narrow" w:cs="Arial"/>
                <w:sz w:val="20"/>
                <w:szCs w:val="20"/>
              </w:rPr>
              <w:t xml:space="preserve"> of hypercalcaemia (corrected serum calcium greater than 2.65 </w:t>
            </w:r>
            <w:proofErr w:type="spellStart"/>
            <w:r w:rsidRPr="005D105D">
              <w:rPr>
                <w:rFonts w:ascii="Arial Narrow" w:hAnsi="Arial Narrow" w:cs="Arial"/>
                <w:sz w:val="20"/>
                <w:szCs w:val="20"/>
              </w:rPr>
              <w:t>mmol</w:t>
            </w:r>
            <w:proofErr w:type="spellEnd"/>
            <w:r w:rsidRPr="005D105D">
              <w:rPr>
                <w:rFonts w:ascii="Arial Narrow" w:hAnsi="Arial Narrow" w:cs="Arial"/>
                <w:sz w:val="20"/>
                <w:szCs w:val="20"/>
              </w:rPr>
              <w:t xml:space="preserve"> per L not attributable to any other cause).</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Oligo-secretory and non-secretory patients are defined as having active disease with less than 10 g per L serum M protein.</w:t>
            </w:r>
          </w:p>
        </w:tc>
      </w:tr>
      <w:tr w:rsidR="00CC5E84" w:rsidRPr="00BC16CA" w:rsidTr="00DE1287">
        <w:trPr>
          <w:trHeight w:val="360"/>
        </w:trPr>
        <w:tc>
          <w:tcPr>
            <w:tcW w:w="1538" w:type="pct"/>
            <w:tcBorders>
              <w:top w:val="single" w:sz="4" w:space="0" w:color="auto"/>
              <w:left w:val="single" w:sz="4" w:space="0" w:color="auto"/>
              <w:bottom w:val="single" w:sz="4" w:space="0" w:color="auto"/>
              <w:right w:val="single" w:sz="4" w:space="0" w:color="auto"/>
            </w:tcBorders>
          </w:tcPr>
          <w:p w:rsidR="00CC5E84" w:rsidRPr="005D105D" w:rsidRDefault="00CC5E84" w:rsidP="00CC5E84">
            <w:pPr>
              <w:spacing w:line="276" w:lineRule="auto"/>
              <w:jc w:val="both"/>
              <w:rPr>
                <w:rFonts w:ascii="Arial Narrow" w:hAnsi="Arial Narrow" w:cs="Arial"/>
                <w:b/>
                <w:sz w:val="20"/>
                <w:szCs w:val="20"/>
              </w:rPr>
            </w:pPr>
            <w:r w:rsidRPr="005D105D">
              <w:rPr>
                <w:rFonts w:ascii="Arial Narrow" w:hAnsi="Arial Narrow" w:cs="Arial"/>
                <w:b/>
                <w:sz w:val="20"/>
                <w:szCs w:val="20"/>
              </w:rPr>
              <w:t>Administrative Advice</w:t>
            </w:r>
          </w:p>
          <w:p w:rsidR="00CC5E84" w:rsidRPr="005D105D" w:rsidRDefault="00CC5E84" w:rsidP="00CC5E84">
            <w:pPr>
              <w:spacing w:line="276" w:lineRule="auto"/>
              <w:jc w:val="both"/>
              <w:rPr>
                <w:rFonts w:ascii="Arial Narrow" w:hAnsi="Arial Narrow" w:cs="Arial"/>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No increase in the maximum number of repeats may be authorised.</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No increase in the maximum amount or number of units may be authorised.</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Special Pricing Arrangements apply.</w:t>
            </w:r>
          </w:p>
        </w:tc>
      </w:tr>
    </w:tbl>
    <w:p w:rsidR="00CC5E84" w:rsidRPr="009A2C3C" w:rsidRDefault="00CC5E84" w:rsidP="000B3876">
      <w:pPr>
        <w:spacing w:before="160" w:after="120"/>
        <w:jc w:val="both"/>
        <w:rPr>
          <w:rFonts w:ascii="Arial" w:hAnsi="Arial" w:cs="Arial"/>
          <w:b/>
          <w:sz w:val="22"/>
        </w:rPr>
      </w:pPr>
      <w:r w:rsidRPr="009A2C3C">
        <w:rPr>
          <w:rFonts w:ascii="Arial" w:hAnsi="Arial" w:cs="Arial"/>
          <w:b/>
          <w:sz w:val="22"/>
        </w:rPr>
        <w:t>Continuing treatment:</w:t>
      </w:r>
    </w:p>
    <w:tbl>
      <w:tblPr>
        <w:tblW w:w="5000" w:type="pct"/>
        <w:tblLook w:val="0000" w:firstRow="0" w:lastRow="0" w:firstColumn="0" w:lastColumn="0" w:noHBand="0" w:noVBand="0"/>
      </w:tblPr>
      <w:tblGrid>
        <w:gridCol w:w="2842"/>
        <w:gridCol w:w="429"/>
        <w:gridCol w:w="710"/>
        <w:gridCol w:w="712"/>
        <w:gridCol w:w="1564"/>
        <w:gridCol w:w="2985"/>
      </w:tblGrid>
      <w:tr w:rsidR="00CC5E84" w:rsidRPr="00BC16CA" w:rsidTr="00DE1287">
        <w:trPr>
          <w:cantSplit/>
          <w:trHeight w:val="471"/>
        </w:trPr>
        <w:tc>
          <w:tcPr>
            <w:tcW w:w="1770" w:type="pct"/>
            <w:gridSpan w:val="2"/>
            <w:tcBorders>
              <w:bottom w:val="single" w:sz="4" w:space="0" w:color="auto"/>
            </w:tcBorders>
          </w:tcPr>
          <w:p w:rsidR="00CC5E84" w:rsidRPr="00AC3E47" w:rsidRDefault="00CC5E84" w:rsidP="00CC5E84">
            <w:pPr>
              <w:keepNext/>
              <w:ind w:left="-108"/>
              <w:jc w:val="both"/>
              <w:rPr>
                <w:rFonts w:ascii="Arial Narrow" w:hAnsi="Arial Narrow" w:cs="Arial"/>
                <w:sz w:val="20"/>
                <w:szCs w:val="20"/>
              </w:rPr>
            </w:pPr>
            <w:r w:rsidRPr="00AC3E47">
              <w:rPr>
                <w:rFonts w:ascii="Arial Narrow" w:hAnsi="Arial Narrow" w:cs="Arial"/>
                <w:sz w:val="20"/>
                <w:szCs w:val="20"/>
              </w:rPr>
              <w:t>Name, Restriction,</w:t>
            </w:r>
          </w:p>
          <w:p w:rsidR="00CC5E84" w:rsidRPr="00AC3E47" w:rsidRDefault="00CC5E84" w:rsidP="00CC5E84">
            <w:pPr>
              <w:keepNext/>
              <w:ind w:left="-108"/>
              <w:jc w:val="both"/>
              <w:rPr>
                <w:rFonts w:ascii="Arial Narrow" w:hAnsi="Arial Narrow" w:cs="Arial"/>
                <w:sz w:val="20"/>
                <w:szCs w:val="20"/>
              </w:rPr>
            </w:pPr>
            <w:r w:rsidRPr="00AC3E47">
              <w:rPr>
                <w:rFonts w:ascii="Arial Narrow" w:hAnsi="Arial Narrow" w:cs="Arial"/>
                <w:sz w:val="20"/>
                <w:szCs w:val="20"/>
              </w:rPr>
              <w:t>Manner of administration and form</w:t>
            </w:r>
          </w:p>
        </w:tc>
        <w:tc>
          <w:tcPr>
            <w:tcW w:w="384" w:type="pct"/>
            <w:tcBorders>
              <w:bottom w:val="single" w:sz="4" w:space="0" w:color="auto"/>
            </w:tcBorders>
          </w:tcPr>
          <w:p w:rsidR="00CC5E84" w:rsidRPr="00AC3E47" w:rsidRDefault="00CC5E84" w:rsidP="00CC5E84">
            <w:pPr>
              <w:keepNext/>
              <w:ind w:left="-108"/>
              <w:jc w:val="both"/>
              <w:rPr>
                <w:rFonts w:ascii="Arial Narrow" w:hAnsi="Arial Narrow" w:cs="Arial"/>
                <w:sz w:val="20"/>
                <w:szCs w:val="20"/>
              </w:rPr>
            </w:pPr>
            <w:r w:rsidRPr="00AC3E47">
              <w:rPr>
                <w:rFonts w:ascii="Arial Narrow" w:hAnsi="Arial Narrow" w:cs="Arial"/>
                <w:sz w:val="20"/>
                <w:szCs w:val="20"/>
              </w:rPr>
              <w:t>Max.</w:t>
            </w:r>
          </w:p>
          <w:p w:rsidR="00CC5E84" w:rsidRPr="00AC3E47" w:rsidRDefault="00CC5E84" w:rsidP="00CC5E84">
            <w:pPr>
              <w:keepNext/>
              <w:ind w:left="-108"/>
              <w:jc w:val="both"/>
              <w:rPr>
                <w:rFonts w:ascii="Arial Narrow" w:hAnsi="Arial Narrow" w:cs="Arial"/>
                <w:sz w:val="20"/>
                <w:szCs w:val="20"/>
              </w:rPr>
            </w:pPr>
            <w:proofErr w:type="spellStart"/>
            <w:r w:rsidRPr="00AC3E47">
              <w:rPr>
                <w:rFonts w:ascii="Arial Narrow" w:hAnsi="Arial Narrow" w:cs="Arial"/>
                <w:sz w:val="20"/>
                <w:szCs w:val="20"/>
              </w:rPr>
              <w:t>Amt</w:t>
            </w:r>
            <w:proofErr w:type="spellEnd"/>
          </w:p>
        </w:tc>
        <w:tc>
          <w:tcPr>
            <w:tcW w:w="385" w:type="pct"/>
            <w:tcBorders>
              <w:bottom w:val="single" w:sz="4" w:space="0" w:color="auto"/>
            </w:tcBorders>
          </w:tcPr>
          <w:p w:rsidR="00CC5E84" w:rsidRPr="00AC3E47" w:rsidRDefault="00CC5E84" w:rsidP="00CC5E84">
            <w:pPr>
              <w:keepNext/>
              <w:ind w:left="-108"/>
              <w:jc w:val="both"/>
              <w:rPr>
                <w:rFonts w:ascii="Arial Narrow" w:hAnsi="Arial Narrow" w:cs="Arial"/>
                <w:sz w:val="20"/>
                <w:szCs w:val="20"/>
              </w:rPr>
            </w:pPr>
            <w:r w:rsidRPr="00AC3E47">
              <w:rPr>
                <w:rFonts w:ascii="Arial Narrow" w:hAnsi="Arial Narrow" w:cs="Arial"/>
                <w:sz w:val="20"/>
                <w:szCs w:val="20"/>
              </w:rPr>
              <w:t>№.of</w:t>
            </w:r>
          </w:p>
          <w:p w:rsidR="00CC5E84" w:rsidRPr="00AC3E47" w:rsidRDefault="00CC5E84" w:rsidP="00CC5E84">
            <w:pPr>
              <w:keepNext/>
              <w:ind w:left="-108"/>
              <w:jc w:val="both"/>
              <w:rPr>
                <w:rFonts w:ascii="Arial Narrow" w:hAnsi="Arial Narrow" w:cs="Arial"/>
                <w:sz w:val="20"/>
                <w:szCs w:val="20"/>
              </w:rPr>
            </w:pPr>
            <w:proofErr w:type="spellStart"/>
            <w:r w:rsidRPr="00AC3E47">
              <w:rPr>
                <w:rFonts w:ascii="Arial Narrow" w:hAnsi="Arial Narrow" w:cs="Arial"/>
                <w:sz w:val="20"/>
                <w:szCs w:val="20"/>
              </w:rPr>
              <w:t>Rpts</w:t>
            </w:r>
            <w:proofErr w:type="spellEnd"/>
          </w:p>
        </w:tc>
        <w:tc>
          <w:tcPr>
            <w:tcW w:w="2461" w:type="pct"/>
            <w:gridSpan w:val="2"/>
            <w:tcBorders>
              <w:bottom w:val="single" w:sz="4" w:space="0" w:color="auto"/>
            </w:tcBorders>
          </w:tcPr>
          <w:p w:rsidR="00CC5E84" w:rsidRPr="00AC3E47" w:rsidRDefault="00CC5E84" w:rsidP="00CC5E84">
            <w:pPr>
              <w:keepNext/>
              <w:jc w:val="both"/>
              <w:rPr>
                <w:rFonts w:ascii="Arial Narrow" w:hAnsi="Arial Narrow" w:cs="Arial"/>
                <w:sz w:val="20"/>
                <w:szCs w:val="20"/>
              </w:rPr>
            </w:pPr>
            <w:r w:rsidRPr="00AC3E47">
              <w:rPr>
                <w:rFonts w:ascii="Arial Narrow" w:hAnsi="Arial Narrow" w:cs="Arial"/>
                <w:sz w:val="20"/>
                <w:szCs w:val="20"/>
              </w:rPr>
              <w:t>Proprietary Name and Manufacturer</w:t>
            </w:r>
          </w:p>
        </w:tc>
      </w:tr>
      <w:tr w:rsidR="00CC5E84" w:rsidRPr="00BC16CA" w:rsidTr="00DE1287">
        <w:trPr>
          <w:cantSplit/>
          <w:trHeight w:val="577"/>
        </w:trPr>
        <w:tc>
          <w:tcPr>
            <w:tcW w:w="1770" w:type="pct"/>
            <w:gridSpan w:val="2"/>
          </w:tcPr>
          <w:p w:rsidR="00CC5E84" w:rsidRPr="00AC3E47" w:rsidRDefault="00CC5E84" w:rsidP="00CC5E84">
            <w:pPr>
              <w:keepNext/>
              <w:ind w:left="-108"/>
              <w:jc w:val="both"/>
              <w:rPr>
                <w:rFonts w:ascii="Arial Narrow" w:hAnsi="Arial Narrow" w:cs="Arial"/>
                <w:sz w:val="20"/>
                <w:szCs w:val="20"/>
              </w:rPr>
            </w:pPr>
            <w:r w:rsidRPr="00AC3E47">
              <w:rPr>
                <w:rFonts w:ascii="Arial Narrow" w:hAnsi="Arial Narrow" w:cs="Arial"/>
                <w:smallCaps/>
                <w:sz w:val="20"/>
                <w:szCs w:val="20"/>
              </w:rPr>
              <w:t>CARFILZOMIB</w:t>
            </w:r>
          </w:p>
          <w:p w:rsidR="00CC5E84" w:rsidRPr="00AC3E47" w:rsidRDefault="00CC5E84" w:rsidP="00CC5E84">
            <w:pPr>
              <w:keepNext/>
              <w:ind w:left="-108"/>
              <w:jc w:val="both"/>
              <w:rPr>
                <w:rFonts w:ascii="Arial Narrow" w:hAnsi="Arial Narrow" w:cs="Arial"/>
                <w:sz w:val="20"/>
                <w:szCs w:val="20"/>
              </w:rPr>
            </w:pPr>
            <w:r>
              <w:rPr>
                <w:rFonts w:ascii="Arial Narrow" w:hAnsi="Arial Narrow" w:cs="Arial"/>
                <w:sz w:val="20"/>
                <w:szCs w:val="20"/>
              </w:rPr>
              <w:t>Powder for injection, 1</w:t>
            </w:r>
            <w:r w:rsidRPr="00AC3E47">
              <w:rPr>
                <w:rFonts w:ascii="Arial Narrow" w:hAnsi="Arial Narrow" w:cs="Arial"/>
                <w:sz w:val="20"/>
                <w:szCs w:val="20"/>
              </w:rPr>
              <w:t>0 mg</w:t>
            </w:r>
          </w:p>
        </w:tc>
        <w:tc>
          <w:tcPr>
            <w:tcW w:w="384" w:type="pct"/>
          </w:tcPr>
          <w:p w:rsidR="00CC5E84" w:rsidRPr="00AC3E47" w:rsidRDefault="00CC5E84" w:rsidP="00CC5E84">
            <w:pPr>
              <w:keepNext/>
              <w:ind w:left="-108"/>
              <w:jc w:val="both"/>
              <w:rPr>
                <w:rFonts w:ascii="Arial Narrow" w:hAnsi="Arial Narrow" w:cs="Arial"/>
                <w:sz w:val="20"/>
                <w:szCs w:val="20"/>
              </w:rPr>
            </w:pPr>
          </w:p>
          <w:p w:rsidR="00CC5E84" w:rsidRPr="00AC3E47" w:rsidRDefault="00CC5E84" w:rsidP="00CC5E84">
            <w:pPr>
              <w:keepNext/>
              <w:ind w:left="-108"/>
              <w:jc w:val="both"/>
              <w:rPr>
                <w:rFonts w:ascii="Arial Narrow" w:hAnsi="Arial Narrow" w:cs="Arial"/>
                <w:sz w:val="20"/>
                <w:szCs w:val="20"/>
              </w:rPr>
            </w:pPr>
            <w:r w:rsidRPr="00AC3E47">
              <w:rPr>
                <w:rFonts w:ascii="Arial Narrow" w:hAnsi="Arial Narrow" w:cs="Arial"/>
                <w:sz w:val="20"/>
                <w:szCs w:val="20"/>
              </w:rPr>
              <w:t>120 mg</w:t>
            </w:r>
          </w:p>
        </w:tc>
        <w:tc>
          <w:tcPr>
            <w:tcW w:w="385" w:type="pct"/>
          </w:tcPr>
          <w:p w:rsidR="00CC5E84" w:rsidRPr="00AC3E47" w:rsidRDefault="00CC5E84" w:rsidP="00CC5E84">
            <w:pPr>
              <w:keepNext/>
              <w:ind w:left="-108"/>
              <w:jc w:val="both"/>
              <w:rPr>
                <w:rFonts w:ascii="Arial Narrow" w:hAnsi="Arial Narrow" w:cs="Arial"/>
                <w:sz w:val="20"/>
                <w:szCs w:val="20"/>
              </w:rPr>
            </w:pPr>
          </w:p>
          <w:p w:rsidR="00CC5E84" w:rsidRPr="00AC3E47" w:rsidRDefault="00CC5E84" w:rsidP="00CC5E84">
            <w:pPr>
              <w:keepNext/>
              <w:ind w:left="-108"/>
              <w:jc w:val="both"/>
              <w:rPr>
                <w:rFonts w:ascii="Arial Narrow" w:hAnsi="Arial Narrow" w:cs="Arial"/>
                <w:sz w:val="20"/>
                <w:szCs w:val="20"/>
              </w:rPr>
            </w:pPr>
            <w:r w:rsidRPr="00AC3E47">
              <w:rPr>
                <w:rFonts w:ascii="Arial Narrow" w:hAnsi="Arial Narrow" w:cs="Arial"/>
                <w:sz w:val="20"/>
                <w:szCs w:val="20"/>
              </w:rPr>
              <w:t>17</w:t>
            </w:r>
          </w:p>
        </w:tc>
        <w:tc>
          <w:tcPr>
            <w:tcW w:w="846" w:type="pct"/>
          </w:tcPr>
          <w:p w:rsidR="00DE1287" w:rsidRDefault="00DE1287" w:rsidP="00CC5E84">
            <w:pPr>
              <w:keepNext/>
              <w:jc w:val="both"/>
              <w:rPr>
                <w:rFonts w:ascii="Arial Narrow" w:hAnsi="Arial Narrow" w:cs="Arial"/>
                <w:sz w:val="20"/>
                <w:szCs w:val="20"/>
              </w:rPr>
            </w:pPr>
          </w:p>
          <w:p w:rsidR="00CC5E84" w:rsidRPr="00AC3E47" w:rsidRDefault="00CC5E84" w:rsidP="00CC5E84">
            <w:pPr>
              <w:keepNext/>
              <w:jc w:val="both"/>
              <w:rPr>
                <w:rFonts w:ascii="Arial Narrow" w:hAnsi="Arial Narrow" w:cs="Arial"/>
                <w:sz w:val="20"/>
                <w:szCs w:val="20"/>
              </w:rPr>
            </w:pPr>
            <w:proofErr w:type="spellStart"/>
            <w:r w:rsidRPr="00AC3E47">
              <w:rPr>
                <w:rFonts w:ascii="Arial Narrow" w:hAnsi="Arial Narrow" w:cs="Arial"/>
                <w:sz w:val="20"/>
                <w:szCs w:val="20"/>
              </w:rPr>
              <w:t>Kyprolis</w:t>
            </w:r>
            <w:proofErr w:type="spellEnd"/>
            <w:r w:rsidR="00DE1287" w:rsidRPr="00DE1287">
              <w:rPr>
                <w:rFonts w:ascii="Arial Narrow" w:hAnsi="Arial Narrow"/>
                <w:sz w:val="20"/>
                <w:szCs w:val="20"/>
                <w:vertAlign w:val="superscript"/>
              </w:rPr>
              <w:t>®</w:t>
            </w:r>
          </w:p>
        </w:tc>
        <w:tc>
          <w:tcPr>
            <w:tcW w:w="1615" w:type="pct"/>
          </w:tcPr>
          <w:p w:rsidR="00DE1287" w:rsidRDefault="00DE1287" w:rsidP="00CC5E84">
            <w:pPr>
              <w:keepNext/>
              <w:jc w:val="both"/>
              <w:rPr>
                <w:rFonts w:ascii="Arial Narrow" w:hAnsi="Arial Narrow" w:cs="Arial"/>
                <w:sz w:val="20"/>
                <w:szCs w:val="20"/>
              </w:rPr>
            </w:pPr>
          </w:p>
          <w:p w:rsidR="00CC5E84" w:rsidRPr="00AC3E47" w:rsidRDefault="00A4357C" w:rsidP="00CC5E84">
            <w:pPr>
              <w:keepNext/>
              <w:jc w:val="both"/>
              <w:rPr>
                <w:rFonts w:ascii="Arial Narrow" w:hAnsi="Arial Narrow" w:cs="Arial"/>
                <w:sz w:val="20"/>
                <w:szCs w:val="20"/>
              </w:rPr>
            </w:pPr>
            <w:r w:rsidRPr="00814BC6">
              <w:rPr>
                <w:rFonts w:ascii="Arial Narrow" w:hAnsi="Arial Narrow" w:cs="Arial"/>
                <w:sz w:val="20"/>
                <w:szCs w:val="20"/>
              </w:rPr>
              <w:t>Amgen Australia Pty Ltd</w:t>
            </w:r>
          </w:p>
        </w:tc>
      </w:tr>
      <w:tr w:rsidR="00CC5E84" w:rsidRPr="00BC16CA" w:rsidTr="00DE1287">
        <w:trPr>
          <w:cantSplit/>
          <w:trHeight w:val="360"/>
        </w:trPr>
        <w:tc>
          <w:tcPr>
            <w:tcW w:w="5000" w:type="pct"/>
            <w:gridSpan w:val="6"/>
            <w:tcBorders>
              <w:bottom w:val="single" w:sz="4" w:space="0" w:color="auto"/>
            </w:tcBorders>
          </w:tcPr>
          <w:p w:rsidR="00CC5E84" w:rsidRPr="00AC3E47" w:rsidRDefault="00CC5E84" w:rsidP="00CC5E84">
            <w:pPr>
              <w:jc w:val="both"/>
              <w:rPr>
                <w:rFonts w:ascii="Arial Narrow" w:hAnsi="Arial Narrow" w:cs="Arial"/>
                <w:sz w:val="20"/>
                <w:szCs w:val="20"/>
              </w:rPr>
            </w:pPr>
          </w:p>
        </w:tc>
      </w:tr>
      <w:tr w:rsidR="00CC5E84" w:rsidRPr="00BC16CA" w:rsidTr="00DE1287">
        <w:trPr>
          <w:cantSplit/>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t xml:space="preserve">Category / </w:t>
            </w:r>
          </w:p>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t>Program</w:t>
            </w:r>
          </w:p>
        </w:tc>
        <w:tc>
          <w:tcPr>
            <w:tcW w:w="3462" w:type="pct"/>
            <w:gridSpan w:val="5"/>
            <w:tcBorders>
              <w:top w:val="single" w:sz="4" w:space="0" w:color="auto"/>
              <w:left w:val="single" w:sz="4" w:space="0" w:color="auto"/>
              <w:bottom w:val="single" w:sz="4" w:space="0" w:color="auto"/>
              <w:right w:val="single" w:sz="4" w:space="0" w:color="auto"/>
            </w:tcBorders>
          </w:tcPr>
          <w:p w:rsidR="00CC5E84" w:rsidRPr="00AC3E47" w:rsidRDefault="00CC5E84" w:rsidP="00CC5E84">
            <w:pPr>
              <w:rPr>
                <w:rFonts w:ascii="Arial Narrow" w:hAnsi="Arial Narrow" w:cs="Arial"/>
                <w:sz w:val="20"/>
                <w:szCs w:val="20"/>
              </w:rPr>
            </w:pPr>
            <w:r w:rsidRPr="00AC3E47">
              <w:rPr>
                <w:rFonts w:ascii="Arial Narrow" w:hAnsi="Arial Narrow" w:cs="Arial"/>
                <w:sz w:val="20"/>
                <w:szCs w:val="20"/>
              </w:rPr>
              <w:t>Section 100 – Efficient funding of Chemotherapy</w:t>
            </w:r>
          </w:p>
        </w:tc>
      </w:tr>
      <w:tr w:rsidR="00CC5E84" w:rsidRPr="00BC16CA" w:rsidTr="00DE1287">
        <w:trPr>
          <w:cantSplit/>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t>Prescriber type:</w:t>
            </w:r>
          </w:p>
          <w:p w:rsidR="00CC5E84" w:rsidRPr="00AC3E47" w:rsidRDefault="00CC5E84" w:rsidP="00CC5E84">
            <w:pPr>
              <w:jc w:val="both"/>
              <w:rPr>
                <w:rFonts w:ascii="Arial Narrow" w:hAnsi="Arial Narrow" w:cs="Arial"/>
                <w:b/>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rsidR="00CC5E84" w:rsidRPr="00AC3E47" w:rsidRDefault="00CC5E84" w:rsidP="00CC5E84">
            <w:pPr>
              <w:rPr>
                <w:rFonts w:ascii="Arial Narrow" w:hAnsi="Arial Narrow" w:cs="Arial"/>
                <w:sz w:val="20"/>
                <w:szCs w:val="20"/>
              </w:rPr>
            </w:pPr>
            <w:r w:rsidRPr="00AC3E47">
              <w:rPr>
                <w:rFonts w:ascii="Arial Narrow" w:hAnsi="Arial Narrow" w:cs="Arial"/>
                <w:sz w:val="20"/>
                <w:szCs w:val="20"/>
              </w:rPr>
              <w:fldChar w:fldCharType="begin">
                <w:ffData>
                  <w:name w:val="Check1"/>
                  <w:enabled/>
                  <w:calcOnExit w:val="0"/>
                  <w:checkBox>
                    <w:sizeAuto/>
                    <w:default w:val="0"/>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 xml:space="preserve">Dental  </w:t>
            </w:r>
            <w:r w:rsidRPr="00AC3E47">
              <w:rPr>
                <w:rFonts w:ascii="Arial Narrow" w:hAnsi="Arial Narrow" w:cs="Arial"/>
                <w:sz w:val="20"/>
                <w:szCs w:val="20"/>
              </w:rPr>
              <w:fldChar w:fldCharType="begin">
                <w:ffData>
                  <w:name w:val=""/>
                  <w:enabled/>
                  <w:calcOnExit w:val="0"/>
                  <w:checkBox>
                    <w:sizeAuto/>
                    <w:default w:val="1"/>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 xml:space="preserve">Medical Practitioners  </w:t>
            </w:r>
            <w:r w:rsidRPr="00AC3E47">
              <w:rPr>
                <w:rFonts w:ascii="Arial Narrow" w:hAnsi="Arial Narrow" w:cs="Arial"/>
                <w:sz w:val="20"/>
                <w:szCs w:val="20"/>
              </w:rPr>
              <w:fldChar w:fldCharType="begin">
                <w:ffData>
                  <w:name w:val="Check3"/>
                  <w:enabled/>
                  <w:calcOnExit w:val="0"/>
                  <w:checkBox>
                    <w:sizeAuto/>
                    <w:default w:val="0"/>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 xml:space="preserve">Nurse practitioners  </w:t>
            </w:r>
            <w:r w:rsidRPr="00AC3E47">
              <w:rPr>
                <w:rFonts w:ascii="Arial Narrow" w:hAnsi="Arial Narrow" w:cs="Arial"/>
                <w:sz w:val="20"/>
                <w:szCs w:val="20"/>
              </w:rPr>
              <w:fldChar w:fldCharType="begin">
                <w:ffData>
                  <w:name w:val=""/>
                  <w:enabled/>
                  <w:calcOnExit w:val="0"/>
                  <w:checkBox>
                    <w:sizeAuto/>
                    <w:default w:val="0"/>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Optometrists</w:t>
            </w:r>
          </w:p>
          <w:p w:rsidR="00CC5E84" w:rsidRPr="00AC3E47" w:rsidRDefault="00CC5E84" w:rsidP="00CC5E84">
            <w:pPr>
              <w:rPr>
                <w:rFonts w:ascii="Arial Narrow" w:hAnsi="Arial Narrow" w:cs="Arial"/>
                <w:sz w:val="20"/>
                <w:szCs w:val="20"/>
              </w:rPr>
            </w:pPr>
            <w:r w:rsidRPr="00AC3E47">
              <w:rPr>
                <w:rFonts w:ascii="Arial Narrow" w:hAnsi="Arial Narrow" w:cs="Arial"/>
                <w:sz w:val="20"/>
                <w:szCs w:val="20"/>
              </w:rPr>
              <w:fldChar w:fldCharType="begin">
                <w:ffData>
                  <w:name w:val="Check5"/>
                  <w:enabled/>
                  <w:calcOnExit w:val="0"/>
                  <w:checkBox>
                    <w:sizeAuto/>
                    <w:default w:val="0"/>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Midwives</w:t>
            </w:r>
          </w:p>
        </w:tc>
      </w:tr>
      <w:tr w:rsidR="00CC5E84" w:rsidRPr="00BC16CA" w:rsidTr="00DE1287">
        <w:trPr>
          <w:cantSplit/>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t>Severity:</w:t>
            </w:r>
          </w:p>
        </w:tc>
        <w:tc>
          <w:tcPr>
            <w:tcW w:w="3462" w:type="pct"/>
            <w:gridSpan w:val="5"/>
            <w:tcBorders>
              <w:top w:val="single" w:sz="4" w:space="0" w:color="auto"/>
              <w:left w:val="single" w:sz="4" w:space="0" w:color="auto"/>
              <w:bottom w:val="single" w:sz="4" w:space="0" w:color="auto"/>
              <w:right w:val="single" w:sz="4" w:space="0" w:color="auto"/>
            </w:tcBorders>
          </w:tcPr>
          <w:p w:rsidR="00CC5E84" w:rsidRPr="00AC3E47" w:rsidRDefault="00CC5E84" w:rsidP="00CC5E84">
            <w:pPr>
              <w:rPr>
                <w:rFonts w:ascii="Arial Narrow" w:hAnsi="Arial Narrow" w:cs="Arial"/>
                <w:sz w:val="20"/>
                <w:szCs w:val="20"/>
              </w:rPr>
            </w:pPr>
            <w:r w:rsidRPr="00AC3E47">
              <w:rPr>
                <w:rFonts w:ascii="Arial Narrow" w:hAnsi="Arial Narrow" w:cs="Arial"/>
                <w:sz w:val="20"/>
                <w:szCs w:val="20"/>
              </w:rPr>
              <w:t>Progressive</w:t>
            </w:r>
          </w:p>
        </w:tc>
      </w:tr>
      <w:tr w:rsidR="00CC5E84" w:rsidRPr="00BC16CA" w:rsidTr="00DE1287">
        <w:trPr>
          <w:cantSplit/>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t>Condition:</w:t>
            </w:r>
          </w:p>
        </w:tc>
        <w:tc>
          <w:tcPr>
            <w:tcW w:w="3462" w:type="pct"/>
            <w:gridSpan w:val="5"/>
            <w:tcBorders>
              <w:top w:val="single" w:sz="4" w:space="0" w:color="auto"/>
              <w:left w:val="single" w:sz="4" w:space="0" w:color="auto"/>
              <w:bottom w:val="single" w:sz="4" w:space="0" w:color="auto"/>
              <w:right w:val="single" w:sz="4" w:space="0" w:color="auto"/>
            </w:tcBorders>
          </w:tcPr>
          <w:p w:rsidR="00CC5E84" w:rsidRPr="00AC3E47" w:rsidRDefault="00CC5E84" w:rsidP="00CC5E84">
            <w:pPr>
              <w:rPr>
                <w:rFonts w:ascii="Arial Narrow" w:hAnsi="Arial Narrow" w:cs="Arial"/>
                <w:sz w:val="20"/>
                <w:szCs w:val="20"/>
              </w:rPr>
            </w:pPr>
            <w:r w:rsidRPr="00AC3E47">
              <w:rPr>
                <w:rFonts w:ascii="Arial Narrow" w:hAnsi="Arial Narrow" w:cs="Arial"/>
                <w:sz w:val="20"/>
                <w:szCs w:val="20"/>
              </w:rPr>
              <w:t>Multiple myeloma</w:t>
            </w:r>
          </w:p>
        </w:tc>
      </w:tr>
      <w:tr w:rsidR="00CC5E84" w:rsidRPr="00BC16CA" w:rsidTr="00DE1287">
        <w:trPr>
          <w:cantSplit/>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i/>
                <w:sz w:val="20"/>
                <w:szCs w:val="20"/>
              </w:rPr>
            </w:pPr>
            <w:r w:rsidRPr="00AC3E47">
              <w:rPr>
                <w:rFonts w:ascii="Arial Narrow" w:hAnsi="Arial Narrow" w:cs="Arial"/>
                <w:b/>
                <w:sz w:val="20"/>
                <w:szCs w:val="20"/>
              </w:rPr>
              <w:t>PBS Indication:</w:t>
            </w:r>
          </w:p>
          <w:p w:rsidR="00CC5E84" w:rsidRPr="00AC3E47" w:rsidRDefault="00CC5E84" w:rsidP="00CC5E84">
            <w:pPr>
              <w:jc w:val="both"/>
              <w:rPr>
                <w:rFonts w:ascii="Arial Narrow" w:hAnsi="Arial Narrow" w:cs="Arial"/>
                <w:i/>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rsidR="00CC5E84" w:rsidRPr="00AC3E47" w:rsidRDefault="00CC5E84" w:rsidP="00CC5E84">
            <w:pPr>
              <w:rPr>
                <w:rFonts w:ascii="Arial Narrow" w:hAnsi="Arial Narrow" w:cs="Arial"/>
                <w:sz w:val="20"/>
                <w:szCs w:val="20"/>
              </w:rPr>
            </w:pPr>
            <w:r>
              <w:rPr>
                <w:rFonts w:ascii="Arial Narrow" w:hAnsi="Arial Narrow" w:cs="Arial"/>
                <w:sz w:val="20"/>
                <w:szCs w:val="20"/>
              </w:rPr>
              <w:t>M</w:t>
            </w:r>
            <w:r w:rsidRPr="00AC3E47">
              <w:rPr>
                <w:rFonts w:ascii="Arial Narrow" w:hAnsi="Arial Narrow" w:cs="Arial"/>
                <w:sz w:val="20"/>
                <w:szCs w:val="20"/>
              </w:rPr>
              <w:t>ultiple myeloma</w:t>
            </w:r>
          </w:p>
        </w:tc>
      </w:tr>
      <w:tr w:rsidR="00CC5E84" w:rsidRPr="00BC16CA" w:rsidTr="00DE1287">
        <w:trPr>
          <w:cantSplit/>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t>Treatment phase:</w:t>
            </w:r>
          </w:p>
          <w:p w:rsidR="00CC5E84" w:rsidRPr="00AC3E47" w:rsidRDefault="00CC5E84" w:rsidP="00CC5E84">
            <w:pPr>
              <w:jc w:val="both"/>
              <w:rPr>
                <w:rFonts w:ascii="Arial Narrow" w:hAnsi="Arial Narrow" w:cs="Arial"/>
                <w:i/>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rsidR="00CC5E84" w:rsidRPr="00AC3E47" w:rsidRDefault="00CC5E84" w:rsidP="00CC5E84">
            <w:pPr>
              <w:rPr>
                <w:rFonts w:ascii="Arial Narrow" w:hAnsi="Arial Narrow" w:cs="Arial"/>
                <w:sz w:val="20"/>
                <w:szCs w:val="20"/>
              </w:rPr>
            </w:pPr>
            <w:r w:rsidRPr="00AC3E47">
              <w:rPr>
                <w:rFonts w:ascii="Arial Narrow" w:hAnsi="Arial Narrow" w:cs="Arial"/>
                <w:sz w:val="20"/>
                <w:szCs w:val="20"/>
              </w:rPr>
              <w:t xml:space="preserve">Continuing </w:t>
            </w:r>
            <w:r w:rsidRPr="00AC3E47">
              <w:rPr>
                <w:rFonts w:cs="Arial"/>
                <w:color w:val="000000"/>
                <w:sz w:val="20"/>
                <w:szCs w:val="20"/>
              </w:rPr>
              <w:t xml:space="preserve"> </w:t>
            </w:r>
            <w:r w:rsidRPr="00AC3E47">
              <w:rPr>
                <w:rFonts w:ascii="Arial Narrow" w:hAnsi="Arial Narrow" w:cs="Arial"/>
                <w:sz w:val="20"/>
                <w:szCs w:val="20"/>
              </w:rPr>
              <w:t>treatment</w:t>
            </w:r>
          </w:p>
        </w:tc>
      </w:tr>
      <w:tr w:rsidR="00CC5E84" w:rsidRPr="00BC16CA" w:rsidTr="00DE1287">
        <w:trPr>
          <w:cantSplit/>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lastRenderedPageBreak/>
              <w:t>Restriction Level / Method:</w:t>
            </w:r>
          </w:p>
          <w:p w:rsidR="00CC5E84" w:rsidRPr="00AC3E47" w:rsidRDefault="00CC5E84" w:rsidP="00CC5E84">
            <w:pPr>
              <w:rPr>
                <w:rFonts w:ascii="Arial Narrow" w:hAnsi="Arial Narrow" w:cs="Arial"/>
                <w:i/>
                <w:sz w:val="20"/>
                <w:szCs w:val="20"/>
              </w:rPr>
            </w:pPr>
          </w:p>
          <w:p w:rsidR="00CC5E84" w:rsidRPr="00AC3E47" w:rsidRDefault="00CC5E84" w:rsidP="00CC5E84">
            <w:pPr>
              <w:rPr>
                <w:rFonts w:ascii="Arial Narrow" w:hAnsi="Arial Narrow" w:cs="Arial"/>
                <w:i/>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fldChar w:fldCharType="begin">
                <w:ffData>
                  <w:name w:val="Check1"/>
                  <w:enabled/>
                  <w:calcOnExit w:val="0"/>
                  <w:checkBox>
                    <w:sizeAuto/>
                    <w:default w:val="0"/>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Restricted benefit</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fldChar w:fldCharType="begin">
                <w:ffData>
                  <w:name w:val=""/>
                  <w:enabled/>
                  <w:calcOnExit w:val="0"/>
                  <w:checkBox>
                    <w:sizeAuto/>
                    <w:default w:val="0"/>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Authority Required - In Writing</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fldChar w:fldCharType="begin">
                <w:ffData>
                  <w:name w:val=""/>
                  <w:enabled/>
                  <w:calcOnExit w:val="0"/>
                  <w:checkBox>
                    <w:sizeAuto/>
                    <w:default w:val="1"/>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Authority Required - Telephone</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fldChar w:fldCharType="begin">
                <w:ffData>
                  <w:name w:val=""/>
                  <w:enabled/>
                  <w:calcOnExit w:val="0"/>
                  <w:checkBox>
                    <w:sizeAuto/>
                    <w:default w:val="1"/>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Authority Required - Emergency</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fldChar w:fldCharType="begin">
                <w:ffData>
                  <w:name w:val=""/>
                  <w:enabled/>
                  <w:calcOnExit w:val="0"/>
                  <w:checkBox>
                    <w:sizeAuto/>
                    <w:default w:val="1"/>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Authority Required - Electronic</w:t>
            </w:r>
          </w:p>
          <w:p w:rsidR="00CC5E84" w:rsidRPr="00AC3E47" w:rsidRDefault="00CC5E84" w:rsidP="00CC5E84">
            <w:pPr>
              <w:rPr>
                <w:rFonts w:ascii="Arial Narrow" w:hAnsi="Arial Narrow" w:cs="Arial"/>
                <w:sz w:val="20"/>
                <w:szCs w:val="20"/>
              </w:rPr>
            </w:pPr>
            <w:r w:rsidRPr="00AC3E47">
              <w:rPr>
                <w:rFonts w:ascii="Arial Narrow" w:hAnsi="Arial Narrow" w:cs="Arial"/>
                <w:sz w:val="20"/>
                <w:szCs w:val="20"/>
              </w:rPr>
              <w:fldChar w:fldCharType="begin">
                <w:ffData>
                  <w:name w:val="Check5"/>
                  <w:enabled/>
                  <w:calcOnExit w:val="0"/>
                  <w:checkBox>
                    <w:sizeAuto/>
                    <w:default w:val="0"/>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Streamlined</w:t>
            </w:r>
          </w:p>
        </w:tc>
      </w:tr>
      <w:tr w:rsidR="00CC5E84" w:rsidRPr="00BC16CA" w:rsidTr="00DE1287">
        <w:trPr>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t>Clinical criteria:</w:t>
            </w:r>
          </w:p>
        </w:tc>
        <w:tc>
          <w:tcPr>
            <w:tcW w:w="3462" w:type="pct"/>
            <w:gridSpan w:val="5"/>
            <w:tcBorders>
              <w:top w:val="single" w:sz="4" w:space="0" w:color="auto"/>
              <w:left w:val="single" w:sz="4" w:space="0" w:color="auto"/>
              <w:bottom w:val="single" w:sz="4" w:space="0" w:color="auto"/>
              <w:right w:val="single" w:sz="4" w:space="0" w:color="auto"/>
            </w:tcBorders>
          </w:tcPr>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 xml:space="preserve">Patient must have previously received </w:t>
            </w:r>
            <w:r>
              <w:rPr>
                <w:rFonts w:ascii="Arial Narrow" w:hAnsi="Arial Narrow" w:cs="Arial"/>
                <w:sz w:val="20"/>
                <w:szCs w:val="20"/>
              </w:rPr>
              <w:t xml:space="preserve">PBS-subsidised treatment </w:t>
            </w:r>
            <w:r w:rsidRPr="00AC3E47">
              <w:rPr>
                <w:rFonts w:ascii="Arial Narrow" w:hAnsi="Arial Narrow" w:cs="Arial"/>
                <w:sz w:val="20"/>
                <w:szCs w:val="20"/>
              </w:rPr>
              <w:t xml:space="preserve">with this drug </w:t>
            </w:r>
            <w:r>
              <w:rPr>
                <w:rFonts w:ascii="Arial Narrow" w:hAnsi="Arial Narrow" w:cs="Arial"/>
                <w:sz w:val="20"/>
                <w:szCs w:val="20"/>
              </w:rPr>
              <w:t>for this condition</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AND</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The treatment must be in combination with dexamethasone,</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 xml:space="preserve">AND </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 xml:space="preserve">Patient must not </w:t>
            </w:r>
            <w:r>
              <w:rPr>
                <w:rFonts w:ascii="Arial Narrow" w:hAnsi="Arial Narrow" w:cs="Arial"/>
                <w:sz w:val="20"/>
                <w:szCs w:val="20"/>
              </w:rPr>
              <w:t xml:space="preserve">develop </w:t>
            </w:r>
            <w:r w:rsidRPr="00AC3E47">
              <w:rPr>
                <w:rFonts w:ascii="Arial Narrow" w:hAnsi="Arial Narrow" w:cs="Arial"/>
                <w:sz w:val="20"/>
                <w:szCs w:val="20"/>
              </w:rPr>
              <w:t xml:space="preserve">disease </w:t>
            </w:r>
            <w:r>
              <w:rPr>
                <w:rFonts w:ascii="Arial Narrow" w:hAnsi="Arial Narrow" w:cs="Arial"/>
                <w:sz w:val="20"/>
                <w:szCs w:val="20"/>
              </w:rPr>
              <w:t xml:space="preserve">progression </w:t>
            </w:r>
            <w:r w:rsidRPr="00AC3E47">
              <w:rPr>
                <w:rFonts w:ascii="Arial Narrow" w:hAnsi="Arial Narrow" w:cs="Arial"/>
                <w:sz w:val="20"/>
                <w:szCs w:val="20"/>
              </w:rPr>
              <w:t>while receiving treatment with this drug</w:t>
            </w:r>
            <w:r>
              <w:rPr>
                <w:rFonts w:ascii="Arial Narrow" w:hAnsi="Arial Narrow" w:cs="Arial"/>
                <w:sz w:val="20"/>
                <w:szCs w:val="20"/>
              </w:rPr>
              <w:t xml:space="preserve"> for this condition</w:t>
            </w:r>
          </w:p>
          <w:p w:rsidR="00CC5E84"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AND</w:t>
            </w:r>
          </w:p>
          <w:p w:rsidR="00CC5E84" w:rsidRPr="005D105D" w:rsidRDefault="00CC5E84" w:rsidP="00CC5E84">
            <w:pPr>
              <w:spacing w:line="276" w:lineRule="auto"/>
              <w:rPr>
                <w:rFonts w:ascii="Arial Narrow" w:hAnsi="Arial Narrow" w:cs="Arial"/>
                <w:sz w:val="20"/>
                <w:szCs w:val="20"/>
              </w:rPr>
            </w:pPr>
            <w:r w:rsidRPr="005D105D">
              <w:rPr>
                <w:rFonts w:ascii="Arial Narrow" w:hAnsi="Arial Narrow" w:cs="Arial"/>
                <w:sz w:val="20"/>
                <w:szCs w:val="20"/>
              </w:rPr>
              <w:t xml:space="preserve">Patient must not be receiving concomitant PBS-subsidised thalidomide, </w:t>
            </w:r>
            <w:proofErr w:type="spellStart"/>
            <w:r w:rsidRPr="005D105D">
              <w:rPr>
                <w:rFonts w:ascii="Arial Narrow" w:hAnsi="Arial Narrow" w:cs="Arial"/>
                <w:sz w:val="20"/>
                <w:szCs w:val="20"/>
              </w:rPr>
              <w:t>lenalidomide</w:t>
            </w:r>
            <w:proofErr w:type="spellEnd"/>
            <w:r w:rsidRPr="005D105D">
              <w:rPr>
                <w:rFonts w:ascii="Arial Narrow" w:hAnsi="Arial Narrow" w:cs="Arial"/>
                <w:sz w:val="20"/>
                <w:szCs w:val="20"/>
              </w:rPr>
              <w:t xml:space="preserve">, </w:t>
            </w:r>
            <w:proofErr w:type="spellStart"/>
            <w:r w:rsidRPr="005D105D">
              <w:rPr>
                <w:rFonts w:ascii="Arial Narrow" w:hAnsi="Arial Narrow" w:cs="Arial"/>
                <w:sz w:val="20"/>
                <w:szCs w:val="20"/>
              </w:rPr>
              <w:t>bortezomib</w:t>
            </w:r>
            <w:proofErr w:type="spellEnd"/>
            <w:r w:rsidRPr="005D105D">
              <w:rPr>
                <w:rFonts w:ascii="Arial Narrow" w:hAnsi="Arial Narrow" w:cs="Arial"/>
                <w:sz w:val="20"/>
                <w:szCs w:val="20"/>
              </w:rPr>
              <w:t xml:space="preserve">, or </w:t>
            </w:r>
            <w:proofErr w:type="spellStart"/>
            <w:r w:rsidRPr="005D105D">
              <w:rPr>
                <w:rFonts w:ascii="Arial Narrow" w:hAnsi="Arial Narrow" w:cs="Arial"/>
                <w:sz w:val="20"/>
                <w:szCs w:val="20"/>
              </w:rPr>
              <w:t>pomalidomide</w:t>
            </w:r>
            <w:proofErr w:type="spellEnd"/>
            <w:r w:rsidRPr="005D105D">
              <w:rPr>
                <w:rFonts w:ascii="Arial Narrow" w:hAnsi="Arial Narrow" w:cs="Arial"/>
                <w:sz w:val="20"/>
                <w:szCs w:val="20"/>
              </w:rPr>
              <w:t xml:space="preserve"> </w:t>
            </w:r>
          </w:p>
          <w:p w:rsidR="00CC5E84" w:rsidRPr="00AC3E47" w:rsidRDefault="00CC5E84" w:rsidP="00CC5E84">
            <w:pPr>
              <w:spacing w:line="276" w:lineRule="auto"/>
              <w:rPr>
                <w:rFonts w:ascii="Arial Narrow" w:hAnsi="Arial Narrow" w:cs="Arial"/>
                <w:sz w:val="20"/>
                <w:szCs w:val="20"/>
              </w:rPr>
            </w:pPr>
            <w:r>
              <w:rPr>
                <w:rFonts w:ascii="Arial Narrow" w:hAnsi="Arial Narrow" w:cs="Arial"/>
                <w:sz w:val="20"/>
                <w:szCs w:val="20"/>
              </w:rPr>
              <w:t>AND</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Patient must not receive more than 3 cycles of treatment per continuing treatment course authorised under this restriction.</w:t>
            </w:r>
          </w:p>
        </w:tc>
      </w:tr>
      <w:tr w:rsidR="00CC5E84" w:rsidRPr="00BC16CA" w:rsidTr="00DE1287">
        <w:trPr>
          <w:cantSplit/>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t>Prescriber Instructions</w:t>
            </w:r>
          </w:p>
          <w:p w:rsidR="00CC5E84" w:rsidRPr="00AC3E47" w:rsidRDefault="00CC5E84" w:rsidP="00CC5E84">
            <w:pPr>
              <w:jc w:val="both"/>
              <w:rPr>
                <w:rFonts w:ascii="Arial Narrow" w:hAnsi="Arial Narrow" w:cs="Arial"/>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rsidR="003A4B78" w:rsidRPr="005D105D" w:rsidRDefault="003A4B78" w:rsidP="003A4B78">
            <w:pPr>
              <w:spacing w:line="276" w:lineRule="auto"/>
              <w:rPr>
                <w:rFonts w:ascii="Arial Narrow" w:hAnsi="Arial Narrow" w:cs="Arial"/>
                <w:sz w:val="20"/>
                <w:szCs w:val="20"/>
              </w:rPr>
            </w:pPr>
            <w:r w:rsidRPr="005D105D">
              <w:rPr>
                <w:rFonts w:ascii="Arial Narrow" w:hAnsi="Arial Narrow" w:cs="Arial"/>
                <w:sz w:val="20"/>
                <w:szCs w:val="20"/>
              </w:rPr>
              <w:t>Progressive disease is defined as at least 1 of the following:</w:t>
            </w:r>
          </w:p>
          <w:p w:rsidR="003A4B78" w:rsidRPr="005D105D" w:rsidRDefault="003A4B78" w:rsidP="003A4B78">
            <w:pPr>
              <w:spacing w:line="276" w:lineRule="auto"/>
              <w:rPr>
                <w:rFonts w:ascii="Arial Narrow" w:hAnsi="Arial Narrow" w:cs="Arial"/>
                <w:sz w:val="20"/>
                <w:szCs w:val="20"/>
              </w:rPr>
            </w:pPr>
            <w:r w:rsidRPr="005D105D">
              <w:rPr>
                <w:rFonts w:ascii="Arial Narrow" w:hAnsi="Arial Narrow" w:cs="Arial"/>
                <w:sz w:val="20"/>
                <w:szCs w:val="20"/>
              </w:rPr>
              <w:t>(a) at least a 25% increase and an absolute increase of at least 5 g per L in serum M protein (monoclonal protein); or</w:t>
            </w:r>
          </w:p>
          <w:p w:rsidR="003A4B78" w:rsidRPr="005D105D" w:rsidRDefault="003A4B78" w:rsidP="003A4B78">
            <w:pPr>
              <w:spacing w:line="276" w:lineRule="auto"/>
              <w:rPr>
                <w:rFonts w:ascii="Arial Narrow" w:hAnsi="Arial Narrow" w:cs="Arial"/>
                <w:sz w:val="20"/>
                <w:szCs w:val="20"/>
              </w:rPr>
            </w:pPr>
            <w:r w:rsidRPr="005D105D">
              <w:rPr>
                <w:rFonts w:ascii="Arial Narrow" w:hAnsi="Arial Narrow" w:cs="Arial"/>
                <w:sz w:val="20"/>
                <w:szCs w:val="20"/>
              </w:rPr>
              <w:t>(b) at least a 25% increase in 24-hour urinary light chain M protein excretion, and an absolute increase of at least 200 mg per 24 hours; or</w:t>
            </w:r>
          </w:p>
          <w:p w:rsidR="003A4B78" w:rsidRPr="005D105D" w:rsidRDefault="003A4B78" w:rsidP="003A4B78">
            <w:pPr>
              <w:spacing w:line="276" w:lineRule="auto"/>
              <w:rPr>
                <w:rFonts w:ascii="Arial Narrow" w:hAnsi="Arial Narrow" w:cs="Arial"/>
                <w:sz w:val="20"/>
                <w:szCs w:val="20"/>
              </w:rPr>
            </w:pPr>
            <w:r w:rsidRPr="005D105D">
              <w:rPr>
                <w:rFonts w:ascii="Arial Narrow" w:hAnsi="Arial Narrow" w:cs="Arial"/>
                <w:sz w:val="20"/>
                <w:szCs w:val="20"/>
              </w:rPr>
              <w:t>(c) in oligo-secretory and non-secretory myeloma patients only, at least a 50% increase of the difference between involved free light chain and uninvolved free light chain; or</w:t>
            </w:r>
          </w:p>
          <w:p w:rsidR="003A4B78" w:rsidRPr="005D105D" w:rsidRDefault="003A4B78" w:rsidP="003A4B78">
            <w:pPr>
              <w:spacing w:line="276" w:lineRule="auto"/>
              <w:rPr>
                <w:rFonts w:ascii="Arial Narrow" w:hAnsi="Arial Narrow" w:cs="Arial"/>
                <w:sz w:val="20"/>
                <w:szCs w:val="20"/>
              </w:rPr>
            </w:pPr>
            <w:r w:rsidRPr="005D105D">
              <w:rPr>
                <w:rFonts w:ascii="Arial Narrow" w:hAnsi="Arial Narrow" w:cs="Arial"/>
                <w:sz w:val="20"/>
                <w:szCs w:val="20"/>
              </w:rPr>
              <w:t>(d) at least a 25% relative increase and at least a 10% absolute increase in plasma cells in a bone marrow aspirate or on biopsy; or</w:t>
            </w:r>
          </w:p>
          <w:p w:rsidR="003A4B78" w:rsidRPr="005D105D" w:rsidRDefault="003A4B78" w:rsidP="003A4B78">
            <w:pPr>
              <w:spacing w:line="276" w:lineRule="auto"/>
              <w:rPr>
                <w:rFonts w:ascii="Arial Narrow" w:hAnsi="Arial Narrow" w:cs="Arial"/>
                <w:sz w:val="20"/>
                <w:szCs w:val="20"/>
              </w:rPr>
            </w:pPr>
            <w:r w:rsidRPr="005D105D">
              <w:rPr>
                <w:rFonts w:ascii="Arial Narrow" w:hAnsi="Arial Narrow" w:cs="Arial"/>
                <w:sz w:val="20"/>
                <w:szCs w:val="20"/>
              </w:rPr>
              <w:t>(e) an increase in the size or number of lytic bone lesions (not including compression fractures); or</w:t>
            </w:r>
          </w:p>
          <w:p w:rsidR="003A4B78" w:rsidRPr="005D105D" w:rsidRDefault="003A4B78" w:rsidP="003A4B78">
            <w:pPr>
              <w:spacing w:line="276" w:lineRule="auto"/>
              <w:rPr>
                <w:rFonts w:ascii="Arial Narrow" w:hAnsi="Arial Narrow" w:cs="Arial"/>
                <w:sz w:val="20"/>
                <w:szCs w:val="20"/>
              </w:rPr>
            </w:pPr>
            <w:r w:rsidRPr="005D105D">
              <w:rPr>
                <w:rFonts w:ascii="Arial Narrow" w:hAnsi="Arial Narrow" w:cs="Arial"/>
                <w:sz w:val="20"/>
                <w:szCs w:val="20"/>
              </w:rPr>
              <w:t xml:space="preserve">(f) at least a 25% increase in the size of an existing or the development of a new soft tissue </w:t>
            </w:r>
            <w:proofErr w:type="spellStart"/>
            <w:r w:rsidRPr="005D105D">
              <w:rPr>
                <w:rFonts w:ascii="Arial Narrow" w:hAnsi="Arial Narrow" w:cs="Arial"/>
                <w:sz w:val="20"/>
                <w:szCs w:val="20"/>
              </w:rPr>
              <w:t>plasmacytoma</w:t>
            </w:r>
            <w:proofErr w:type="spellEnd"/>
            <w:r w:rsidRPr="005D105D">
              <w:rPr>
                <w:rFonts w:ascii="Arial Narrow" w:hAnsi="Arial Narrow" w:cs="Arial"/>
                <w:sz w:val="20"/>
                <w:szCs w:val="20"/>
              </w:rPr>
              <w:t xml:space="preserve"> (determined by clinical examination or diagnostic imaging); or</w:t>
            </w:r>
          </w:p>
          <w:p w:rsidR="003A4B78" w:rsidRPr="005D105D" w:rsidRDefault="003A4B78" w:rsidP="003A4B78">
            <w:pPr>
              <w:spacing w:line="276" w:lineRule="auto"/>
              <w:rPr>
                <w:rFonts w:ascii="Arial Narrow" w:hAnsi="Arial Narrow" w:cs="Arial"/>
                <w:sz w:val="20"/>
                <w:szCs w:val="20"/>
              </w:rPr>
            </w:pPr>
            <w:r w:rsidRPr="005D105D">
              <w:rPr>
                <w:rFonts w:ascii="Arial Narrow" w:hAnsi="Arial Narrow" w:cs="Arial"/>
                <w:sz w:val="20"/>
                <w:szCs w:val="20"/>
              </w:rPr>
              <w:t xml:space="preserve">(g) </w:t>
            </w:r>
            <w:proofErr w:type="gramStart"/>
            <w:r w:rsidRPr="005D105D">
              <w:rPr>
                <w:rFonts w:ascii="Arial Narrow" w:hAnsi="Arial Narrow" w:cs="Arial"/>
                <w:sz w:val="20"/>
                <w:szCs w:val="20"/>
              </w:rPr>
              <w:t>development</w:t>
            </w:r>
            <w:proofErr w:type="gramEnd"/>
            <w:r w:rsidRPr="005D105D">
              <w:rPr>
                <w:rFonts w:ascii="Arial Narrow" w:hAnsi="Arial Narrow" w:cs="Arial"/>
                <w:sz w:val="20"/>
                <w:szCs w:val="20"/>
              </w:rPr>
              <w:t xml:space="preserve"> of hypercalcaemia (corrected serum calcium greater than 2.65 </w:t>
            </w:r>
            <w:proofErr w:type="spellStart"/>
            <w:r w:rsidRPr="005D105D">
              <w:rPr>
                <w:rFonts w:ascii="Arial Narrow" w:hAnsi="Arial Narrow" w:cs="Arial"/>
                <w:sz w:val="20"/>
                <w:szCs w:val="20"/>
              </w:rPr>
              <w:t>mmol</w:t>
            </w:r>
            <w:proofErr w:type="spellEnd"/>
            <w:r w:rsidRPr="005D105D">
              <w:rPr>
                <w:rFonts w:ascii="Arial Narrow" w:hAnsi="Arial Narrow" w:cs="Arial"/>
                <w:sz w:val="20"/>
                <w:szCs w:val="20"/>
              </w:rPr>
              <w:t xml:space="preserve"> per L not attributable to any other cause).</w:t>
            </w:r>
          </w:p>
          <w:p w:rsidR="00CC5E84" w:rsidRPr="00606DF4" w:rsidRDefault="003A4B78" w:rsidP="003A4B78">
            <w:pPr>
              <w:spacing w:line="276" w:lineRule="auto"/>
              <w:rPr>
                <w:rFonts w:ascii="Arial Narrow" w:hAnsi="Arial Narrow" w:cs="Arial"/>
                <w:sz w:val="20"/>
                <w:szCs w:val="20"/>
              </w:rPr>
            </w:pPr>
            <w:r w:rsidRPr="005D105D">
              <w:rPr>
                <w:rFonts w:ascii="Arial Narrow" w:hAnsi="Arial Narrow" w:cs="Arial"/>
                <w:sz w:val="20"/>
                <w:szCs w:val="20"/>
              </w:rPr>
              <w:t>Oligo-secretory and non-secretory patients are defined as having active disease with less than 10 g per L serum M protein.</w:t>
            </w:r>
          </w:p>
        </w:tc>
      </w:tr>
      <w:tr w:rsidR="00CC5E84" w:rsidRPr="00BC16CA" w:rsidTr="00DE1287">
        <w:trPr>
          <w:cantSplit/>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t>Administrative Advice</w:t>
            </w:r>
          </w:p>
          <w:p w:rsidR="00CC5E84" w:rsidRPr="00AC3E47" w:rsidRDefault="00CC5E84" w:rsidP="00CC5E84">
            <w:pPr>
              <w:jc w:val="both"/>
              <w:rPr>
                <w:rFonts w:ascii="Arial Narrow" w:hAnsi="Arial Narrow" w:cs="Arial"/>
                <w:i/>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rsidR="00CC5E84" w:rsidRPr="00AC3E47" w:rsidRDefault="00CC5E84" w:rsidP="00CC5E84">
            <w:pPr>
              <w:rPr>
                <w:rFonts w:ascii="Arial Narrow" w:hAnsi="Arial Narrow" w:cs="Arial"/>
                <w:sz w:val="20"/>
                <w:szCs w:val="20"/>
              </w:rPr>
            </w:pPr>
            <w:r w:rsidRPr="00AC3E47">
              <w:rPr>
                <w:rFonts w:ascii="Arial Narrow" w:hAnsi="Arial Narrow" w:cs="Arial"/>
                <w:sz w:val="20"/>
                <w:szCs w:val="20"/>
              </w:rPr>
              <w:t>No increase in the maximum number of repeats may be authorised.</w:t>
            </w:r>
          </w:p>
          <w:p w:rsidR="00CC5E84" w:rsidRPr="00AC3E47" w:rsidRDefault="00CC5E84" w:rsidP="00CC5E84">
            <w:pPr>
              <w:rPr>
                <w:rFonts w:ascii="Arial Narrow" w:hAnsi="Arial Narrow" w:cs="Arial"/>
                <w:sz w:val="20"/>
                <w:szCs w:val="20"/>
              </w:rPr>
            </w:pPr>
            <w:r w:rsidRPr="00AC3E47">
              <w:rPr>
                <w:rFonts w:ascii="Arial Narrow" w:hAnsi="Arial Narrow" w:cs="Arial"/>
                <w:sz w:val="20"/>
                <w:szCs w:val="20"/>
              </w:rPr>
              <w:t>No increase in the maximum amount or number of units may be authorised.</w:t>
            </w:r>
          </w:p>
          <w:p w:rsidR="00CC5E84" w:rsidRPr="00AC3E47" w:rsidRDefault="00CC5E84" w:rsidP="00CC5E84">
            <w:pPr>
              <w:rPr>
                <w:rFonts w:ascii="Arial Narrow" w:hAnsi="Arial Narrow" w:cs="Arial"/>
                <w:i/>
                <w:strike/>
                <w:sz w:val="20"/>
                <w:szCs w:val="20"/>
              </w:rPr>
            </w:pPr>
            <w:r w:rsidRPr="00AC3E47">
              <w:rPr>
                <w:rFonts w:ascii="Arial Narrow" w:hAnsi="Arial Narrow" w:cs="Arial"/>
                <w:sz w:val="20"/>
                <w:szCs w:val="20"/>
              </w:rPr>
              <w:t>Special Pricing Arrangements apply</w:t>
            </w:r>
          </w:p>
        </w:tc>
      </w:tr>
    </w:tbl>
    <w:p w:rsidR="00D30212" w:rsidRDefault="00D30212" w:rsidP="000B3876">
      <w:pPr>
        <w:spacing w:before="160" w:after="120"/>
        <w:jc w:val="both"/>
        <w:rPr>
          <w:rFonts w:ascii="Arial" w:hAnsi="Arial" w:cs="Arial"/>
          <w:b/>
          <w:sz w:val="22"/>
        </w:rPr>
      </w:pPr>
    </w:p>
    <w:p w:rsidR="00D30212" w:rsidRDefault="00D30212" w:rsidP="00D30212">
      <w:r>
        <w:br w:type="page"/>
      </w:r>
    </w:p>
    <w:p w:rsidR="00CC5E84" w:rsidRPr="009A2C3C" w:rsidRDefault="00CC5E84" w:rsidP="000B3876">
      <w:pPr>
        <w:spacing w:before="160" w:after="120"/>
        <w:jc w:val="both"/>
        <w:rPr>
          <w:rFonts w:ascii="Arial" w:hAnsi="Arial" w:cs="Arial"/>
          <w:b/>
          <w:sz w:val="22"/>
        </w:rPr>
      </w:pPr>
      <w:r w:rsidRPr="009A2C3C">
        <w:rPr>
          <w:rFonts w:ascii="Arial" w:hAnsi="Arial" w:cs="Arial"/>
          <w:b/>
          <w:sz w:val="22"/>
        </w:rPr>
        <w:t xml:space="preserve">Grandfather treatment: </w:t>
      </w:r>
    </w:p>
    <w:tbl>
      <w:tblPr>
        <w:tblW w:w="5000" w:type="pct"/>
        <w:tblLook w:val="0000" w:firstRow="0" w:lastRow="0" w:firstColumn="0" w:lastColumn="0" w:noHBand="0" w:noVBand="0"/>
      </w:tblPr>
      <w:tblGrid>
        <w:gridCol w:w="2842"/>
        <w:gridCol w:w="429"/>
        <w:gridCol w:w="710"/>
        <w:gridCol w:w="712"/>
        <w:gridCol w:w="1564"/>
        <w:gridCol w:w="2985"/>
      </w:tblGrid>
      <w:tr w:rsidR="00CC5E84" w:rsidRPr="00BC16CA" w:rsidTr="00DE1287">
        <w:trPr>
          <w:cantSplit/>
          <w:trHeight w:val="471"/>
        </w:trPr>
        <w:tc>
          <w:tcPr>
            <w:tcW w:w="1770" w:type="pct"/>
            <w:gridSpan w:val="2"/>
            <w:tcBorders>
              <w:bottom w:val="single" w:sz="4" w:space="0" w:color="auto"/>
            </w:tcBorders>
          </w:tcPr>
          <w:p w:rsidR="00CC5E84" w:rsidRPr="00AC3E47" w:rsidRDefault="00CC5E84" w:rsidP="00CC5E84">
            <w:pPr>
              <w:keepNext/>
              <w:ind w:left="-108"/>
              <w:jc w:val="both"/>
              <w:rPr>
                <w:rFonts w:ascii="Arial Narrow" w:hAnsi="Arial Narrow" w:cs="Arial"/>
                <w:sz w:val="20"/>
                <w:szCs w:val="20"/>
              </w:rPr>
            </w:pPr>
            <w:r w:rsidRPr="00AC3E47">
              <w:rPr>
                <w:rFonts w:ascii="Arial Narrow" w:hAnsi="Arial Narrow" w:cs="Arial"/>
                <w:sz w:val="20"/>
                <w:szCs w:val="20"/>
              </w:rPr>
              <w:t>Name, Restriction,</w:t>
            </w:r>
          </w:p>
          <w:p w:rsidR="00CC5E84" w:rsidRPr="00AC3E47" w:rsidRDefault="00CC5E84" w:rsidP="00CC5E84">
            <w:pPr>
              <w:keepNext/>
              <w:ind w:left="-108"/>
              <w:jc w:val="both"/>
              <w:rPr>
                <w:rFonts w:ascii="Arial Narrow" w:hAnsi="Arial Narrow" w:cs="Arial"/>
                <w:sz w:val="20"/>
                <w:szCs w:val="20"/>
              </w:rPr>
            </w:pPr>
            <w:r w:rsidRPr="00AC3E47">
              <w:rPr>
                <w:rFonts w:ascii="Arial Narrow" w:hAnsi="Arial Narrow" w:cs="Arial"/>
                <w:sz w:val="20"/>
                <w:szCs w:val="20"/>
              </w:rPr>
              <w:t>Manner of administration and form</w:t>
            </w:r>
          </w:p>
        </w:tc>
        <w:tc>
          <w:tcPr>
            <w:tcW w:w="384" w:type="pct"/>
            <w:tcBorders>
              <w:bottom w:val="single" w:sz="4" w:space="0" w:color="auto"/>
            </w:tcBorders>
          </w:tcPr>
          <w:p w:rsidR="00CC5E84" w:rsidRPr="00AC3E47" w:rsidRDefault="00CC5E84" w:rsidP="00CC5E84">
            <w:pPr>
              <w:keepNext/>
              <w:ind w:left="-108"/>
              <w:jc w:val="both"/>
              <w:rPr>
                <w:rFonts w:ascii="Arial Narrow" w:hAnsi="Arial Narrow" w:cs="Arial"/>
                <w:sz w:val="20"/>
                <w:szCs w:val="20"/>
              </w:rPr>
            </w:pPr>
            <w:r w:rsidRPr="00AC3E47">
              <w:rPr>
                <w:rFonts w:ascii="Arial Narrow" w:hAnsi="Arial Narrow" w:cs="Arial"/>
                <w:sz w:val="20"/>
                <w:szCs w:val="20"/>
              </w:rPr>
              <w:t>Max.</w:t>
            </w:r>
          </w:p>
          <w:p w:rsidR="00CC5E84" w:rsidRPr="00AC3E47" w:rsidRDefault="00CC5E84" w:rsidP="00CC5E84">
            <w:pPr>
              <w:keepNext/>
              <w:ind w:left="-108"/>
              <w:jc w:val="both"/>
              <w:rPr>
                <w:rFonts w:ascii="Arial Narrow" w:hAnsi="Arial Narrow" w:cs="Arial"/>
                <w:sz w:val="20"/>
                <w:szCs w:val="20"/>
              </w:rPr>
            </w:pPr>
            <w:proofErr w:type="spellStart"/>
            <w:r w:rsidRPr="00AC3E47">
              <w:rPr>
                <w:rFonts w:ascii="Arial Narrow" w:hAnsi="Arial Narrow" w:cs="Arial"/>
                <w:sz w:val="20"/>
                <w:szCs w:val="20"/>
              </w:rPr>
              <w:t>Amt</w:t>
            </w:r>
            <w:proofErr w:type="spellEnd"/>
          </w:p>
        </w:tc>
        <w:tc>
          <w:tcPr>
            <w:tcW w:w="385" w:type="pct"/>
            <w:tcBorders>
              <w:bottom w:val="single" w:sz="4" w:space="0" w:color="auto"/>
            </w:tcBorders>
          </w:tcPr>
          <w:p w:rsidR="00CC5E84" w:rsidRPr="00AC3E47" w:rsidRDefault="00CC5E84" w:rsidP="00CC5E84">
            <w:pPr>
              <w:keepNext/>
              <w:ind w:left="-108"/>
              <w:jc w:val="both"/>
              <w:rPr>
                <w:rFonts w:ascii="Arial Narrow" w:hAnsi="Arial Narrow" w:cs="Arial"/>
                <w:sz w:val="20"/>
                <w:szCs w:val="20"/>
              </w:rPr>
            </w:pPr>
            <w:r w:rsidRPr="00AC3E47">
              <w:rPr>
                <w:rFonts w:ascii="Arial Narrow" w:hAnsi="Arial Narrow" w:cs="Arial"/>
                <w:sz w:val="20"/>
                <w:szCs w:val="20"/>
              </w:rPr>
              <w:t>№.of</w:t>
            </w:r>
          </w:p>
          <w:p w:rsidR="00CC5E84" w:rsidRPr="00AC3E47" w:rsidRDefault="00CC5E84" w:rsidP="00CC5E84">
            <w:pPr>
              <w:keepNext/>
              <w:ind w:left="-108"/>
              <w:jc w:val="both"/>
              <w:rPr>
                <w:rFonts w:ascii="Arial Narrow" w:hAnsi="Arial Narrow" w:cs="Arial"/>
                <w:sz w:val="20"/>
                <w:szCs w:val="20"/>
              </w:rPr>
            </w:pPr>
            <w:proofErr w:type="spellStart"/>
            <w:r w:rsidRPr="00AC3E47">
              <w:rPr>
                <w:rFonts w:ascii="Arial Narrow" w:hAnsi="Arial Narrow" w:cs="Arial"/>
                <w:sz w:val="20"/>
                <w:szCs w:val="20"/>
              </w:rPr>
              <w:t>Rpts</w:t>
            </w:r>
            <w:proofErr w:type="spellEnd"/>
          </w:p>
        </w:tc>
        <w:tc>
          <w:tcPr>
            <w:tcW w:w="2461" w:type="pct"/>
            <w:gridSpan w:val="2"/>
            <w:tcBorders>
              <w:bottom w:val="single" w:sz="4" w:space="0" w:color="auto"/>
            </w:tcBorders>
          </w:tcPr>
          <w:p w:rsidR="00CC5E84" w:rsidRPr="00AC3E47" w:rsidRDefault="00CC5E84" w:rsidP="00CC5E84">
            <w:pPr>
              <w:keepNext/>
              <w:jc w:val="both"/>
              <w:rPr>
                <w:rFonts w:ascii="Arial Narrow" w:hAnsi="Arial Narrow" w:cs="Arial"/>
                <w:sz w:val="20"/>
                <w:szCs w:val="20"/>
              </w:rPr>
            </w:pPr>
            <w:r w:rsidRPr="00AC3E47">
              <w:rPr>
                <w:rFonts w:ascii="Arial Narrow" w:hAnsi="Arial Narrow" w:cs="Arial"/>
                <w:sz w:val="20"/>
                <w:szCs w:val="20"/>
              </w:rPr>
              <w:t>Proprietary Name and Manufacturer</w:t>
            </w:r>
          </w:p>
        </w:tc>
      </w:tr>
      <w:tr w:rsidR="00CC5E84" w:rsidRPr="00BC16CA" w:rsidTr="00DE1287">
        <w:trPr>
          <w:cantSplit/>
          <w:trHeight w:val="577"/>
        </w:trPr>
        <w:tc>
          <w:tcPr>
            <w:tcW w:w="1770" w:type="pct"/>
            <w:gridSpan w:val="2"/>
          </w:tcPr>
          <w:p w:rsidR="00CC5E84" w:rsidRPr="00AC3E47" w:rsidRDefault="00CC5E84" w:rsidP="00CC5E84">
            <w:pPr>
              <w:keepNext/>
              <w:ind w:left="-108"/>
              <w:jc w:val="both"/>
              <w:rPr>
                <w:rFonts w:ascii="Arial Narrow" w:hAnsi="Arial Narrow" w:cs="Arial"/>
                <w:sz w:val="20"/>
                <w:szCs w:val="20"/>
              </w:rPr>
            </w:pPr>
            <w:r w:rsidRPr="00AC3E47">
              <w:rPr>
                <w:rFonts w:ascii="Arial Narrow" w:hAnsi="Arial Narrow" w:cs="Arial"/>
                <w:smallCaps/>
                <w:sz w:val="20"/>
                <w:szCs w:val="20"/>
              </w:rPr>
              <w:t>CARFILZOMIB</w:t>
            </w:r>
          </w:p>
          <w:p w:rsidR="00CC5E84" w:rsidRPr="00AC3E47" w:rsidRDefault="00CC5E84" w:rsidP="00CC5E84">
            <w:pPr>
              <w:keepNext/>
              <w:ind w:left="-108"/>
              <w:jc w:val="both"/>
              <w:rPr>
                <w:rFonts w:ascii="Arial Narrow" w:hAnsi="Arial Narrow" w:cs="Arial"/>
                <w:sz w:val="20"/>
                <w:szCs w:val="20"/>
              </w:rPr>
            </w:pPr>
            <w:r>
              <w:rPr>
                <w:rFonts w:ascii="Arial Narrow" w:hAnsi="Arial Narrow" w:cs="Arial"/>
                <w:sz w:val="20"/>
                <w:szCs w:val="20"/>
              </w:rPr>
              <w:t>Powder for injection, 1</w:t>
            </w:r>
            <w:r w:rsidRPr="00AC3E47">
              <w:rPr>
                <w:rFonts w:ascii="Arial Narrow" w:hAnsi="Arial Narrow" w:cs="Arial"/>
                <w:sz w:val="20"/>
                <w:szCs w:val="20"/>
              </w:rPr>
              <w:t>0 mg</w:t>
            </w:r>
          </w:p>
        </w:tc>
        <w:tc>
          <w:tcPr>
            <w:tcW w:w="384" w:type="pct"/>
          </w:tcPr>
          <w:p w:rsidR="00CC5E84" w:rsidRPr="00AC3E47" w:rsidRDefault="00CC5E84" w:rsidP="00CC5E84">
            <w:pPr>
              <w:keepNext/>
              <w:ind w:left="-108"/>
              <w:jc w:val="both"/>
              <w:rPr>
                <w:rFonts w:ascii="Arial Narrow" w:hAnsi="Arial Narrow" w:cs="Arial"/>
                <w:sz w:val="20"/>
                <w:szCs w:val="20"/>
              </w:rPr>
            </w:pPr>
          </w:p>
          <w:p w:rsidR="00CC5E84" w:rsidRPr="00AC3E47" w:rsidRDefault="00CC5E84" w:rsidP="00CC5E84">
            <w:pPr>
              <w:keepNext/>
              <w:ind w:left="-108"/>
              <w:jc w:val="both"/>
              <w:rPr>
                <w:rFonts w:ascii="Arial Narrow" w:hAnsi="Arial Narrow" w:cs="Arial"/>
                <w:sz w:val="20"/>
                <w:szCs w:val="20"/>
              </w:rPr>
            </w:pPr>
            <w:r w:rsidRPr="00AC3E47">
              <w:rPr>
                <w:rFonts w:ascii="Arial Narrow" w:hAnsi="Arial Narrow" w:cs="Arial"/>
                <w:sz w:val="20"/>
                <w:szCs w:val="20"/>
              </w:rPr>
              <w:t>120 mg</w:t>
            </w:r>
          </w:p>
        </w:tc>
        <w:tc>
          <w:tcPr>
            <w:tcW w:w="385" w:type="pct"/>
          </w:tcPr>
          <w:p w:rsidR="00CC5E84" w:rsidRPr="00AC3E47" w:rsidRDefault="00CC5E84" w:rsidP="00CC5E84">
            <w:pPr>
              <w:keepNext/>
              <w:ind w:left="-108"/>
              <w:jc w:val="both"/>
              <w:rPr>
                <w:rFonts w:ascii="Arial Narrow" w:hAnsi="Arial Narrow" w:cs="Arial"/>
                <w:sz w:val="20"/>
                <w:szCs w:val="20"/>
              </w:rPr>
            </w:pPr>
          </w:p>
          <w:p w:rsidR="00CC5E84" w:rsidRPr="00AC3E47" w:rsidRDefault="00CC5E84" w:rsidP="00CC5E84">
            <w:pPr>
              <w:keepNext/>
              <w:ind w:left="-108"/>
              <w:jc w:val="both"/>
              <w:rPr>
                <w:rFonts w:ascii="Arial Narrow" w:hAnsi="Arial Narrow" w:cs="Arial"/>
                <w:sz w:val="20"/>
                <w:szCs w:val="20"/>
              </w:rPr>
            </w:pPr>
            <w:r w:rsidRPr="00AC3E47">
              <w:rPr>
                <w:rFonts w:ascii="Arial Narrow" w:hAnsi="Arial Narrow" w:cs="Arial"/>
                <w:sz w:val="20"/>
                <w:szCs w:val="20"/>
              </w:rPr>
              <w:t>17</w:t>
            </w:r>
          </w:p>
        </w:tc>
        <w:tc>
          <w:tcPr>
            <w:tcW w:w="846" w:type="pct"/>
          </w:tcPr>
          <w:p w:rsidR="00DE1287" w:rsidRDefault="00DE1287" w:rsidP="00CC5E84">
            <w:pPr>
              <w:keepNext/>
              <w:jc w:val="both"/>
              <w:rPr>
                <w:rFonts w:ascii="Arial Narrow" w:hAnsi="Arial Narrow" w:cs="Arial"/>
                <w:sz w:val="20"/>
                <w:szCs w:val="20"/>
              </w:rPr>
            </w:pPr>
          </w:p>
          <w:p w:rsidR="00CC5E84" w:rsidRPr="00AC3E47" w:rsidRDefault="00CC5E84" w:rsidP="00CC5E84">
            <w:pPr>
              <w:keepNext/>
              <w:jc w:val="both"/>
              <w:rPr>
                <w:rFonts w:ascii="Arial Narrow" w:hAnsi="Arial Narrow" w:cs="Arial"/>
                <w:sz w:val="20"/>
                <w:szCs w:val="20"/>
              </w:rPr>
            </w:pPr>
            <w:proofErr w:type="spellStart"/>
            <w:r w:rsidRPr="00AC3E47">
              <w:rPr>
                <w:rFonts w:ascii="Arial Narrow" w:hAnsi="Arial Narrow" w:cs="Arial"/>
                <w:sz w:val="20"/>
                <w:szCs w:val="20"/>
              </w:rPr>
              <w:t>Kyprolis</w:t>
            </w:r>
            <w:proofErr w:type="spellEnd"/>
            <w:r w:rsidR="00DE1287" w:rsidRPr="00DE1287">
              <w:rPr>
                <w:rFonts w:ascii="Arial Narrow" w:hAnsi="Arial Narrow"/>
                <w:sz w:val="20"/>
                <w:szCs w:val="20"/>
                <w:vertAlign w:val="superscript"/>
              </w:rPr>
              <w:t>®</w:t>
            </w:r>
          </w:p>
        </w:tc>
        <w:tc>
          <w:tcPr>
            <w:tcW w:w="1615" w:type="pct"/>
          </w:tcPr>
          <w:p w:rsidR="00DE1287" w:rsidRDefault="00DE1287" w:rsidP="00CC5E84">
            <w:pPr>
              <w:keepNext/>
              <w:jc w:val="both"/>
              <w:rPr>
                <w:rFonts w:ascii="Arial Narrow" w:hAnsi="Arial Narrow" w:cs="Arial"/>
                <w:sz w:val="20"/>
                <w:szCs w:val="20"/>
              </w:rPr>
            </w:pPr>
          </w:p>
          <w:p w:rsidR="00CC5E84" w:rsidRPr="00AC3E47" w:rsidRDefault="00A4357C" w:rsidP="00CC5E84">
            <w:pPr>
              <w:keepNext/>
              <w:jc w:val="both"/>
              <w:rPr>
                <w:rFonts w:ascii="Arial Narrow" w:hAnsi="Arial Narrow" w:cs="Arial"/>
                <w:sz w:val="20"/>
                <w:szCs w:val="20"/>
              </w:rPr>
            </w:pPr>
            <w:r w:rsidRPr="00814BC6">
              <w:rPr>
                <w:rFonts w:ascii="Arial Narrow" w:hAnsi="Arial Narrow" w:cs="Arial"/>
                <w:sz w:val="20"/>
                <w:szCs w:val="20"/>
              </w:rPr>
              <w:t>Amgen Australia Pty Ltd</w:t>
            </w:r>
          </w:p>
        </w:tc>
      </w:tr>
      <w:tr w:rsidR="00CC5E84" w:rsidRPr="00BC16CA" w:rsidTr="00DE1287">
        <w:trPr>
          <w:cantSplit/>
          <w:trHeight w:val="360"/>
        </w:trPr>
        <w:tc>
          <w:tcPr>
            <w:tcW w:w="5000" w:type="pct"/>
            <w:gridSpan w:val="6"/>
            <w:tcBorders>
              <w:bottom w:val="single" w:sz="4" w:space="0" w:color="auto"/>
            </w:tcBorders>
          </w:tcPr>
          <w:p w:rsidR="00CC5E84" w:rsidRPr="00AC3E47" w:rsidRDefault="00CC5E84" w:rsidP="00CC5E84">
            <w:pPr>
              <w:jc w:val="both"/>
              <w:rPr>
                <w:rFonts w:ascii="Arial Narrow" w:hAnsi="Arial Narrow" w:cs="Arial"/>
                <w:sz w:val="20"/>
                <w:szCs w:val="20"/>
              </w:rPr>
            </w:pPr>
          </w:p>
        </w:tc>
      </w:tr>
      <w:tr w:rsidR="00CC5E84" w:rsidRPr="00BC16CA" w:rsidTr="00DE1287">
        <w:trPr>
          <w:cantSplit/>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t xml:space="preserve">Category / </w:t>
            </w:r>
          </w:p>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t>Program</w:t>
            </w:r>
          </w:p>
        </w:tc>
        <w:tc>
          <w:tcPr>
            <w:tcW w:w="3462" w:type="pct"/>
            <w:gridSpan w:val="5"/>
            <w:tcBorders>
              <w:top w:val="single" w:sz="4" w:space="0" w:color="auto"/>
              <w:left w:val="single" w:sz="4" w:space="0" w:color="auto"/>
              <w:bottom w:val="single" w:sz="4" w:space="0" w:color="auto"/>
              <w:right w:val="single" w:sz="4" w:space="0" w:color="auto"/>
            </w:tcBorders>
          </w:tcPr>
          <w:p w:rsidR="00CC5E84" w:rsidRPr="00AC3E47" w:rsidRDefault="00CC5E84" w:rsidP="00CC5E84">
            <w:pPr>
              <w:rPr>
                <w:rFonts w:ascii="Arial Narrow" w:hAnsi="Arial Narrow" w:cs="Arial"/>
                <w:sz w:val="20"/>
                <w:szCs w:val="20"/>
              </w:rPr>
            </w:pPr>
            <w:r w:rsidRPr="00AC3E47">
              <w:rPr>
                <w:rFonts w:ascii="Arial Narrow" w:hAnsi="Arial Narrow" w:cs="Arial"/>
                <w:sz w:val="20"/>
                <w:szCs w:val="20"/>
              </w:rPr>
              <w:t>Section 100 – Efficient funding of Chemotherapy</w:t>
            </w:r>
          </w:p>
        </w:tc>
      </w:tr>
      <w:tr w:rsidR="00CC5E84" w:rsidRPr="00BC16CA" w:rsidTr="00DE1287">
        <w:trPr>
          <w:cantSplit/>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lastRenderedPageBreak/>
              <w:t>Prescriber type:</w:t>
            </w:r>
          </w:p>
          <w:p w:rsidR="00CC5E84" w:rsidRPr="00AC3E47" w:rsidRDefault="00CC5E84" w:rsidP="00CC5E84">
            <w:pPr>
              <w:jc w:val="both"/>
              <w:rPr>
                <w:rFonts w:ascii="Arial Narrow" w:hAnsi="Arial Narrow" w:cs="Arial"/>
                <w:b/>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rsidR="00CC5E84" w:rsidRPr="00AC3E47" w:rsidRDefault="00CC5E84" w:rsidP="00CC5E84">
            <w:pPr>
              <w:rPr>
                <w:rFonts w:ascii="Arial Narrow" w:hAnsi="Arial Narrow" w:cs="Arial"/>
                <w:sz w:val="20"/>
                <w:szCs w:val="20"/>
              </w:rPr>
            </w:pPr>
            <w:r w:rsidRPr="00AC3E47">
              <w:rPr>
                <w:rFonts w:ascii="Arial Narrow" w:hAnsi="Arial Narrow" w:cs="Arial"/>
                <w:sz w:val="20"/>
                <w:szCs w:val="20"/>
              </w:rPr>
              <w:fldChar w:fldCharType="begin">
                <w:ffData>
                  <w:name w:val="Check1"/>
                  <w:enabled/>
                  <w:calcOnExit w:val="0"/>
                  <w:checkBox>
                    <w:sizeAuto/>
                    <w:default w:val="0"/>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 xml:space="preserve">Dental  </w:t>
            </w:r>
            <w:r w:rsidRPr="00AC3E47">
              <w:rPr>
                <w:rFonts w:ascii="Arial Narrow" w:hAnsi="Arial Narrow" w:cs="Arial"/>
                <w:sz w:val="20"/>
                <w:szCs w:val="20"/>
              </w:rPr>
              <w:fldChar w:fldCharType="begin">
                <w:ffData>
                  <w:name w:val=""/>
                  <w:enabled/>
                  <w:calcOnExit w:val="0"/>
                  <w:checkBox>
                    <w:sizeAuto/>
                    <w:default w:val="1"/>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 xml:space="preserve">Medical Practitioners  </w:t>
            </w:r>
            <w:r w:rsidRPr="00AC3E47">
              <w:rPr>
                <w:rFonts w:ascii="Arial Narrow" w:hAnsi="Arial Narrow" w:cs="Arial"/>
                <w:sz w:val="20"/>
                <w:szCs w:val="20"/>
              </w:rPr>
              <w:fldChar w:fldCharType="begin">
                <w:ffData>
                  <w:name w:val="Check3"/>
                  <w:enabled/>
                  <w:calcOnExit w:val="0"/>
                  <w:checkBox>
                    <w:sizeAuto/>
                    <w:default w:val="0"/>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 xml:space="preserve">Nurse practitioners  </w:t>
            </w:r>
            <w:r w:rsidRPr="00AC3E47">
              <w:rPr>
                <w:rFonts w:ascii="Arial Narrow" w:hAnsi="Arial Narrow" w:cs="Arial"/>
                <w:sz w:val="20"/>
                <w:szCs w:val="20"/>
              </w:rPr>
              <w:fldChar w:fldCharType="begin">
                <w:ffData>
                  <w:name w:val=""/>
                  <w:enabled/>
                  <w:calcOnExit w:val="0"/>
                  <w:checkBox>
                    <w:sizeAuto/>
                    <w:default w:val="0"/>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Optometrists</w:t>
            </w:r>
          </w:p>
          <w:p w:rsidR="00CC5E84" w:rsidRPr="00AC3E47" w:rsidRDefault="00CC5E84" w:rsidP="00CC5E84">
            <w:pPr>
              <w:rPr>
                <w:rFonts w:ascii="Arial Narrow" w:hAnsi="Arial Narrow" w:cs="Arial"/>
                <w:sz w:val="20"/>
                <w:szCs w:val="20"/>
              </w:rPr>
            </w:pPr>
            <w:r w:rsidRPr="00AC3E47">
              <w:rPr>
                <w:rFonts w:ascii="Arial Narrow" w:hAnsi="Arial Narrow" w:cs="Arial"/>
                <w:sz w:val="20"/>
                <w:szCs w:val="20"/>
              </w:rPr>
              <w:fldChar w:fldCharType="begin">
                <w:ffData>
                  <w:name w:val="Check5"/>
                  <w:enabled/>
                  <w:calcOnExit w:val="0"/>
                  <w:checkBox>
                    <w:sizeAuto/>
                    <w:default w:val="0"/>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Midwives</w:t>
            </w:r>
          </w:p>
        </w:tc>
      </w:tr>
      <w:tr w:rsidR="00CC5E84" w:rsidRPr="00BC16CA" w:rsidTr="00DE1287">
        <w:trPr>
          <w:cantSplit/>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t>Condition:</w:t>
            </w:r>
          </w:p>
        </w:tc>
        <w:tc>
          <w:tcPr>
            <w:tcW w:w="3462" w:type="pct"/>
            <w:gridSpan w:val="5"/>
            <w:tcBorders>
              <w:top w:val="single" w:sz="4" w:space="0" w:color="auto"/>
              <w:left w:val="single" w:sz="4" w:space="0" w:color="auto"/>
              <w:bottom w:val="single" w:sz="4" w:space="0" w:color="auto"/>
              <w:right w:val="single" w:sz="4" w:space="0" w:color="auto"/>
            </w:tcBorders>
          </w:tcPr>
          <w:p w:rsidR="00CC5E84" w:rsidRPr="00AC3E47" w:rsidRDefault="00CC5E84" w:rsidP="00CC5E84">
            <w:pPr>
              <w:rPr>
                <w:rFonts w:ascii="Arial Narrow" w:hAnsi="Arial Narrow" w:cs="Arial"/>
                <w:sz w:val="20"/>
                <w:szCs w:val="20"/>
              </w:rPr>
            </w:pPr>
            <w:r w:rsidRPr="00AC3E47">
              <w:rPr>
                <w:rFonts w:ascii="Arial Narrow" w:hAnsi="Arial Narrow" w:cs="Arial"/>
                <w:sz w:val="20"/>
                <w:szCs w:val="20"/>
              </w:rPr>
              <w:t>Multiple myeloma</w:t>
            </w:r>
          </w:p>
        </w:tc>
      </w:tr>
      <w:tr w:rsidR="00CC5E84" w:rsidRPr="00BC16CA" w:rsidTr="00DE1287">
        <w:trPr>
          <w:cantSplit/>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t>PBS Indication:</w:t>
            </w:r>
          </w:p>
        </w:tc>
        <w:tc>
          <w:tcPr>
            <w:tcW w:w="3462" w:type="pct"/>
            <w:gridSpan w:val="5"/>
            <w:tcBorders>
              <w:top w:val="single" w:sz="4" w:space="0" w:color="auto"/>
              <w:left w:val="single" w:sz="4" w:space="0" w:color="auto"/>
              <w:bottom w:val="single" w:sz="4" w:space="0" w:color="auto"/>
              <w:right w:val="single" w:sz="4" w:space="0" w:color="auto"/>
            </w:tcBorders>
          </w:tcPr>
          <w:p w:rsidR="00CC5E84" w:rsidRPr="00AC3E47" w:rsidRDefault="00CC5E84" w:rsidP="00CC5E84">
            <w:pPr>
              <w:rPr>
                <w:rFonts w:ascii="Arial Narrow" w:hAnsi="Arial Narrow" w:cs="Arial"/>
                <w:sz w:val="20"/>
                <w:szCs w:val="20"/>
              </w:rPr>
            </w:pPr>
            <w:r>
              <w:rPr>
                <w:rFonts w:ascii="Arial Narrow" w:hAnsi="Arial Narrow" w:cs="Arial"/>
                <w:sz w:val="20"/>
                <w:szCs w:val="20"/>
              </w:rPr>
              <w:t>M</w:t>
            </w:r>
            <w:r w:rsidRPr="00AC3E47">
              <w:rPr>
                <w:rFonts w:ascii="Arial Narrow" w:hAnsi="Arial Narrow" w:cs="Arial"/>
                <w:sz w:val="20"/>
                <w:szCs w:val="20"/>
              </w:rPr>
              <w:t>ultiple myeloma</w:t>
            </w:r>
          </w:p>
        </w:tc>
      </w:tr>
      <w:tr w:rsidR="00CC5E84" w:rsidRPr="00BC16CA" w:rsidTr="00DE1287">
        <w:trPr>
          <w:cantSplit/>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t>Treatment phase:</w:t>
            </w:r>
          </w:p>
        </w:tc>
        <w:tc>
          <w:tcPr>
            <w:tcW w:w="3462" w:type="pct"/>
            <w:gridSpan w:val="5"/>
            <w:tcBorders>
              <w:top w:val="single" w:sz="4" w:space="0" w:color="auto"/>
              <w:left w:val="single" w:sz="4" w:space="0" w:color="auto"/>
              <w:bottom w:val="single" w:sz="4" w:space="0" w:color="auto"/>
              <w:right w:val="single" w:sz="4" w:space="0" w:color="auto"/>
            </w:tcBorders>
          </w:tcPr>
          <w:p w:rsidR="00CC5E84" w:rsidRPr="00AC3E47" w:rsidRDefault="00CC5E84" w:rsidP="00CC5E84">
            <w:pPr>
              <w:rPr>
                <w:rFonts w:ascii="Arial Narrow" w:hAnsi="Arial Narrow" w:cs="Arial"/>
                <w:sz w:val="20"/>
                <w:szCs w:val="20"/>
              </w:rPr>
            </w:pPr>
            <w:r w:rsidRPr="00AC3E47">
              <w:rPr>
                <w:rFonts w:ascii="Arial Narrow" w:hAnsi="Arial Narrow" w:cs="Arial"/>
                <w:sz w:val="20"/>
                <w:szCs w:val="20"/>
              </w:rPr>
              <w:t>Grandfathering</w:t>
            </w:r>
          </w:p>
        </w:tc>
      </w:tr>
      <w:tr w:rsidR="00CC5E84" w:rsidRPr="00BC16CA" w:rsidTr="00DE1287">
        <w:trPr>
          <w:cantSplit/>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t>Restriction Level / Method:</w:t>
            </w:r>
          </w:p>
          <w:p w:rsidR="00CC5E84" w:rsidRPr="00AC3E47" w:rsidRDefault="00CC5E84" w:rsidP="00CC5E84">
            <w:pPr>
              <w:rPr>
                <w:rFonts w:ascii="Arial Narrow" w:hAnsi="Arial Narrow" w:cs="Arial"/>
                <w:i/>
                <w:sz w:val="20"/>
                <w:szCs w:val="20"/>
              </w:rPr>
            </w:pPr>
          </w:p>
          <w:p w:rsidR="00CC5E84" w:rsidRPr="00AC3E47" w:rsidRDefault="00CC5E84" w:rsidP="00CC5E84">
            <w:pPr>
              <w:rPr>
                <w:rFonts w:ascii="Arial Narrow" w:hAnsi="Arial Narrow" w:cs="Arial"/>
                <w:i/>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fldChar w:fldCharType="begin">
                <w:ffData>
                  <w:name w:val="Check1"/>
                  <w:enabled/>
                  <w:calcOnExit w:val="0"/>
                  <w:checkBox>
                    <w:sizeAuto/>
                    <w:default w:val="0"/>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Restricted benefit</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fldChar w:fldCharType="begin">
                <w:ffData>
                  <w:name w:val=""/>
                  <w:enabled/>
                  <w:calcOnExit w:val="0"/>
                  <w:checkBox>
                    <w:sizeAuto/>
                    <w:default w:val="0"/>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Authority Required - In Writing</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fldChar w:fldCharType="begin">
                <w:ffData>
                  <w:name w:val=""/>
                  <w:enabled/>
                  <w:calcOnExit w:val="0"/>
                  <w:checkBox>
                    <w:sizeAuto/>
                    <w:default w:val="1"/>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Authority Required - Telephone</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fldChar w:fldCharType="begin">
                <w:ffData>
                  <w:name w:val=""/>
                  <w:enabled/>
                  <w:calcOnExit w:val="0"/>
                  <w:checkBox>
                    <w:sizeAuto/>
                    <w:default w:val="1"/>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Authority Required - Emergency</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fldChar w:fldCharType="begin">
                <w:ffData>
                  <w:name w:val=""/>
                  <w:enabled/>
                  <w:calcOnExit w:val="0"/>
                  <w:checkBox>
                    <w:sizeAuto/>
                    <w:default w:val="1"/>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Authority Required - Electronic</w:t>
            </w:r>
          </w:p>
          <w:p w:rsidR="00CC5E84" w:rsidRPr="00AC3E47" w:rsidRDefault="00CC5E84" w:rsidP="00CC5E84">
            <w:pPr>
              <w:rPr>
                <w:rFonts w:ascii="Arial Narrow" w:hAnsi="Arial Narrow" w:cs="Arial"/>
                <w:i/>
                <w:sz w:val="20"/>
                <w:szCs w:val="20"/>
              </w:rPr>
            </w:pPr>
            <w:r w:rsidRPr="00AC3E47">
              <w:rPr>
                <w:rFonts w:ascii="Arial Narrow" w:hAnsi="Arial Narrow" w:cs="Arial"/>
                <w:sz w:val="20"/>
                <w:szCs w:val="20"/>
              </w:rPr>
              <w:fldChar w:fldCharType="begin">
                <w:ffData>
                  <w:name w:val="Check5"/>
                  <w:enabled/>
                  <w:calcOnExit w:val="0"/>
                  <w:checkBox>
                    <w:sizeAuto/>
                    <w:default w:val="0"/>
                  </w:checkBox>
                </w:ffData>
              </w:fldChar>
            </w:r>
            <w:r w:rsidRPr="00AC3E47">
              <w:rPr>
                <w:rFonts w:ascii="Arial Narrow" w:hAnsi="Arial Narrow" w:cs="Arial"/>
                <w:sz w:val="20"/>
                <w:szCs w:val="20"/>
              </w:rPr>
              <w:instrText xml:space="preserve"> FORMCHECKBOX </w:instrText>
            </w:r>
            <w:r w:rsidR="00D30212">
              <w:rPr>
                <w:rFonts w:ascii="Arial Narrow" w:hAnsi="Arial Narrow" w:cs="Arial"/>
                <w:sz w:val="20"/>
                <w:szCs w:val="20"/>
              </w:rPr>
            </w:r>
            <w:r w:rsidR="00D30212">
              <w:rPr>
                <w:rFonts w:ascii="Arial Narrow" w:hAnsi="Arial Narrow" w:cs="Arial"/>
                <w:sz w:val="20"/>
                <w:szCs w:val="20"/>
              </w:rPr>
              <w:fldChar w:fldCharType="separate"/>
            </w:r>
            <w:r w:rsidRPr="00AC3E47">
              <w:rPr>
                <w:rFonts w:ascii="Arial Narrow" w:hAnsi="Arial Narrow" w:cs="Arial"/>
                <w:sz w:val="20"/>
                <w:szCs w:val="20"/>
              </w:rPr>
              <w:fldChar w:fldCharType="end"/>
            </w:r>
            <w:r w:rsidRPr="00AC3E47">
              <w:rPr>
                <w:rFonts w:ascii="Arial Narrow" w:hAnsi="Arial Narrow" w:cs="Arial"/>
                <w:sz w:val="20"/>
                <w:szCs w:val="20"/>
              </w:rPr>
              <w:t>Streamlined</w:t>
            </w:r>
          </w:p>
        </w:tc>
      </w:tr>
      <w:tr w:rsidR="00CC5E84" w:rsidRPr="00BC16CA" w:rsidTr="00DE1287">
        <w:trPr>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t>Clinical criteria:</w:t>
            </w:r>
          </w:p>
        </w:tc>
        <w:tc>
          <w:tcPr>
            <w:tcW w:w="3462" w:type="pct"/>
            <w:gridSpan w:val="5"/>
            <w:tcBorders>
              <w:top w:val="single" w:sz="4" w:space="0" w:color="auto"/>
              <w:left w:val="single" w:sz="4" w:space="0" w:color="auto"/>
              <w:bottom w:val="single" w:sz="4" w:space="0" w:color="auto"/>
              <w:right w:val="single" w:sz="4" w:space="0" w:color="auto"/>
            </w:tcBorders>
          </w:tcPr>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 xml:space="preserve">Patient must have received treatment with </w:t>
            </w:r>
            <w:r>
              <w:rPr>
                <w:rFonts w:ascii="Arial Narrow" w:hAnsi="Arial Narrow" w:cs="Arial"/>
                <w:sz w:val="20"/>
                <w:szCs w:val="20"/>
              </w:rPr>
              <w:t xml:space="preserve">this drug </w:t>
            </w:r>
            <w:r w:rsidRPr="00AC3E47">
              <w:rPr>
                <w:rFonts w:ascii="Arial Narrow" w:hAnsi="Arial Narrow" w:cs="Arial"/>
                <w:sz w:val="20"/>
                <w:szCs w:val="20"/>
              </w:rPr>
              <w:t xml:space="preserve">for this condition prior to </w:t>
            </w:r>
            <w:r w:rsidR="003A4B78">
              <w:rPr>
                <w:rFonts w:ascii="Arial Narrow" w:hAnsi="Arial Narrow" w:cs="Arial"/>
                <w:sz w:val="20"/>
                <w:szCs w:val="20"/>
              </w:rPr>
              <w:t>1 January 2018,</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AND</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Patient must have a documented  histological diagnosis,</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AND</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The treatment must be in combination with dexamethasone,</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AND</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 xml:space="preserve">Patient must have had documented progressive disease after at least one prior therapy prior to commencing non-PBS subsidised treatment with </w:t>
            </w:r>
            <w:r>
              <w:rPr>
                <w:rFonts w:ascii="Arial Narrow" w:hAnsi="Arial Narrow" w:cs="Arial"/>
                <w:sz w:val="20"/>
                <w:szCs w:val="20"/>
              </w:rPr>
              <w:t xml:space="preserve">this drug </w:t>
            </w:r>
            <w:r w:rsidRPr="00AC3E47">
              <w:rPr>
                <w:rFonts w:ascii="Arial Narrow" w:hAnsi="Arial Narrow" w:cs="Arial"/>
                <w:sz w:val="20"/>
                <w:szCs w:val="20"/>
              </w:rPr>
              <w:t>for this condition,</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 xml:space="preserve">AND </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 xml:space="preserve">Patient must not have </w:t>
            </w:r>
            <w:r>
              <w:rPr>
                <w:rFonts w:ascii="Arial Narrow" w:hAnsi="Arial Narrow" w:cs="Arial"/>
                <w:sz w:val="20"/>
                <w:szCs w:val="20"/>
              </w:rPr>
              <w:t xml:space="preserve">developed </w:t>
            </w:r>
            <w:r w:rsidRPr="00AC3E47">
              <w:rPr>
                <w:rFonts w:ascii="Arial Narrow" w:hAnsi="Arial Narrow" w:cs="Arial"/>
                <w:sz w:val="20"/>
                <w:szCs w:val="20"/>
              </w:rPr>
              <w:t xml:space="preserve">disease </w:t>
            </w:r>
            <w:r>
              <w:rPr>
                <w:rFonts w:ascii="Arial Narrow" w:hAnsi="Arial Narrow" w:cs="Arial"/>
                <w:sz w:val="20"/>
                <w:szCs w:val="20"/>
              </w:rPr>
              <w:t xml:space="preserve">progression </w:t>
            </w:r>
            <w:r w:rsidRPr="00AC3E47">
              <w:rPr>
                <w:rFonts w:ascii="Arial Narrow" w:hAnsi="Arial Narrow" w:cs="Arial"/>
                <w:sz w:val="20"/>
                <w:szCs w:val="20"/>
              </w:rPr>
              <w:t>while receiving treatment with this drug</w:t>
            </w:r>
            <w:r>
              <w:rPr>
                <w:rFonts w:ascii="Arial Narrow" w:hAnsi="Arial Narrow" w:cs="Arial"/>
                <w:sz w:val="20"/>
                <w:szCs w:val="20"/>
              </w:rPr>
              <w:t xml:space="preserve"> for this condition</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AND</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Patient must have undergone or be ineligible for a stem cell transplant,</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AND</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 xml:space="preserve">Patient must not be receiving concomitant PBS-subsidised thalidomide, </w:t>
            </w:r>
            <w:proofErr w:type="spellStart"/>
            <w:r w:rsidRPr="00AC3E47">
              <w:rPr>
                <w:rFonts w:ascii="Arial Narrow" w:hAnsi="Arial Narrow" w:cs="Arial"/>
                <w:sz w:val="20"/>
                <w:szCs w:val="20"/>
              </w:rPr>
              <w:t>lenalidomide</w:t>
            </w:r>
            <w:proofErr w:type="spellEnd"/>
            <w:r w:rsidRPr="00AC3E47">
              <w:rPr>
                <w:rFonts w:ascii="Arial Narrow" w:hAnsi="Arial Narrow" w:cs="Arial"/>
                <w:sz w:val="20"/>
                <w:szCs w:val="20"/>
              </w:rPr>
              <w:t xml:space="preserve">, </w:t>
            </w:r>
            <w:proofErr w:type="spellStart"/>
            <w:r w:rsidRPr="00AC3E47">
              <w:rPr>
                <w:rFonts w:ascii="Arial Narrow" w:hAnsi="Arial Narrow" w:cs="Arial"/>
                <w:sz w:val="20"/>
                <w:szCs w:val="20"/>
              </w:rPr>
              <w:t>bortezomib</w:t>
            </w:r>
            <w:proofErr w:type="spellEnd"/>
            <w:r w:rsidRPr="00AC3E47">
              <w:rPr>
                <w:rFonts w:ascii="Arial Narrow" w:hAnsi="Arial Narrow" w:cs="Arial"/>
                <w:sz w:val="20"/>
                <w:szCs w:val="20"/>
              </w:rPr>
              <w:t xml:space="preserve">, or </w:t>
            </w:r>
            <w:proofErr w:type="spellStart"/>
            <w:r w:rsidRPr="00AC3E47">
              <w:rPr>
                <w:rFonts w:ascii="Arial Narrow" w:hAnsi="Arial Narrow" w:cs="Arial"/>
                <w:sz w:val="20"/>
                <w:szCs w:val="20"/>
              </w:rPr>
              <w:t>pomalidomide</w:t>
            </w:r>
            <w:proofErr w:type="spellEnd"/>
            <w:r w:rsidRPr="00AC3E47">
              <w:rPr>
                <w:rFonts w:ascii="Arial Narrow" w:hAnsi="Arial Narrow" w:cs="Arial"/>
                <w:sz w:val="20"/>
                <w:szCs w:val="20"/>
              </w:rPr>
              <w:t xml:space="preserve"> </w:t>
            </w:r>
          </w:p>
          <w:p w:rsidR="00CC5E84" w:rsidRPr="00AC3E47" w:rsidRDefault="00CC5E84" w:rsidP="00CC5E84">
            <w:pPr>
              <w:spacing w:line="276" w:lineRule="auto"/>
              <w:rPr>
                <w:rFonts w:ascii="Arial Narrow" w:hAnsi="Arial Narrow" w:cs="Arial"/>
                <w:sz w:val="20"/>
                <w:szCs w:val="20"/>
              </w:rPr>
            </w:pPr>
            <w:r w:rsidRPr="00AC3E47">
              <w:rPr>
                <w:rFonts w:ascii="Arial Narrow" w:hAnsi="Arial Narrow" w:cs="Arial"/>
                <w:sz w:val="20"/>
                <w:szCs w:val="20"/>
              </w:rPr>
              <w:t>AND</w:t>
            </w:r>
          </w:p>
          <w:p w:rsidR="00CC5E84" w:rsidRPr="00AC3E47" w:rsidRDefault="00CC5E84" w:rsidP="00CC5E84">
            <w:pPr>
              <w:spacing w:line="276" w:lineRule="auto"/>
              <w:rPr>
                <w:rFonts w:ascii="Arial Narrow" w:hAnsi="Arial Narrow" w:cs="Arial"/>
                <w:i/>
                <w:sz w:val="20"/>
                <w:szCs w:val="20"/>
              </w:rPr>
            </w:pPr>
            <w:r w:rsidRPr="00AC3E47">
              <w:rPr>
                <w:rFonts w:ascii="Arial Narrow" w:hAnsi="Arial Narrow" w:cs="Arial"/>
                <w:sz w:val="20"/>
                <w:szCs w:val="20"/>
              </w:rPr>
              <w:t>Patient must not receive more than three cycles of treatment under this restriction.</w:t>
            </w:r>
          </w:p>
        </w:tc>
      </w:tr>
      <w:tr w:rsidR="00CC5E84" w:rsidRPr="00BC16CA" w:rsidTr="00DE1287">
        <w:trPr>
          <w:cantSplit/>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lastRenderedPageBreak/>
              <w:t>Prescriber Instructions</w:t>
            </w:r>
          </w:p>
          <w:p w:rsidR="00CC5E84" w:rsidRPr="00AC3E47" w:rsidRDefault="00CC5E84" w:rsidP="00CC5E84">
            <w:pPr>
              <w:jc w:val="both"/>
              <w:rPr>
                <w:rFonts w:ascii="Arial Narrow" w:hAnsi="Arial Narrow" w:cs="Arial"/>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rsidR="003A4B78" w:rsidRPr="005D105D" w:rsidRDefault="003A4B78" w:rsidP="003A4B78">
            <w:pPr>
              <w:spacing w:line="276" w:lineRule="auto"/>
              <w:rPr>
                <w:rFonts w:ascii="Arial Narrow" w:hAnsi="Arial Narrow" w:cs="Arial"/>
                <w:sz w:val="20"/>
                <w:szCs w:val="20"/>
              </w:rPr>
            </w:pPr>
            <w:r w:rsidRPr="005D105D">
              <w:rPr>
                <w:rFonts w:ascii="Arial Narrow" w:hAnsi="Arial Narrow" w:cs="Arial"/>
                <w:sz w:val="20"/>
                <w:szCs w:val="20"/>
              </w:rPr>
              <w:t>Progressive disease is defined as at least 1 of the following:</w:t>
            </w:r>
          </w:p>
          <w:p w:rsidR="003A4B78" w:rsidRPr="005D105D" w:rsidRDefault="003A4B78" w:rsidP="003A4B78">
            <w:pPr>
              <w:spacing w:line="276" w:lineRule="auto"/>
              <w:rPr>
                <w:rFonts w:ascii="Arial Narrow" w:hAnsi="Arial Narrow" w:cs="Arial"/>
                <w:sz w:val="20"/>
                <w:szCs w:val="20"/>
              </w:rPr>
            </w:pPr>
            <w:r w:rsidRPr="005D105D">
              <w:rPr>
                <w:rFonts w:ascii="Arial Narrow" w:hAnsi="Arial Narrow" w:cs="Arial"/>
                <w:sz w:val="20"/>
                <w:szCs w:val="20"/>
              </w:rPr>
              <w:t>(a) at least a 25% increase and an absolute increase of at least 5 g per L in serum M protein (monoclonal protein); or</w:t>
            </w:r>
          </w:p>
          <w:p w:rsidR="003A4B78" w:rsidRPr="005D105D" w:rsidRDefault="003A4B78" w:rsidP="003A4B78">
            <w:pPr>
              <w:spacing w:line="276" w:lineRule="auto"/>
              <w:rPr>
                <w:rFonts w:ascii="Arial Narrow" w:hAnsi="Arial Narrow" w:cs="Arial"/>
                <w:sz w:val="20"/>
                <w:szCs w:val="20"/>
              </w:rPr>
            </w:pPr>
            <w:r w:rsidRPr="005D105D">
              <w:rPr>
                <w:rFonts w:ascii="Arial Narrow" w:hAnsi="Arial Narrow" w:cs="Arial"/>
                <w:sz w:val="20"/>
                <w:szCs w:val="20"/>
              </w:rPr>
              <w:t>(b) at least a 25% increase in 24-hour urinary light chain M protein excretion, and an absolute increase of at least 200 mg per 24 hours; or</w:t>
            </w:r>
          </w:p>
          <w:p w:rsidR="003A4B78" w:rsidRPr="005D105D" w:rsidRDefault="003A4B78" w:rsidP="003A4B78">
            <w:pPr>
              <w:spacing w:line="276" w:lineRule="auto"/>
              <w:rPr>
                <w:rFonts w:ascii="Arial Narrow" w:hAnsi="Arial Narrow" w:cs="Arial"/>
                <w:sz w:val="20"/>
                <w:szCs w:val="20"/>
              </w:rPr>
            </w:pPr>
            <w:r w:rsidRPr="005D105D">
              <w:rPr>
                <w:rFonts w:ascii="Arial Narrow" w:hAnsi="Arial Narrow" w:cs="Arial"/>
                <w:sz w:val="20"/>
                <w:szCs w:val="20"/>
              </w:rPr>
              <w:t>(c) in oligo-secretory and non-secretory myeloma patients only, at least a 50% increase of the difference between involved free light chain and uninvolved free light chain; or</w:t>
            </w:r>
          </w:p>
          <w:p w:rsidR="003A4B78" w:rsidRPr="005D105D" w:rsidRDefault="003A4B78" w:rsidP="003A4B78">
            <w:pPr>
              <w:spacing w:line="276" w:lineRule="auto"/>
              <w:rPr>
                <w:rFonts w:ascii="Arial Narrow" w:hAnsi="Arial Narrow" w:cs="Arial"/>
                <w:sz w:val="20"/>
                <w:szCs w:val="20"/>
              </w:rPr>
            </w:pPr>
            <w:r w:rsidRPr="005D105D">
              <w:rPr>
                <w:rFonts w:ascii="Arial Narrow" w:hAnsi="Arial Narrow" w:cs="Arial"/>
                <w:sz w:val="20"/>
                <w:szCs w:val="20"/>
              </w:rPr>
              <w:t>(d) at least a 25% relative increase and at least a 10% absolute increase in plasma cells in a bone marrow aspirate or on biopsy; or</w:t>
            </w:r>
          </w:p>
          <w:p w:rsidR="003A4B78" w:rsidRPr="005D105D" w:rsidRDefault="003A4B78" w:rsidP="003A4B78">
            <w:pPr>
              <w:spacing w:line="276" w:lineRule="auto"/>
              <w:rPr>
                <w:rFonts w:ascii="Arial Narrow" w:hAnsi="Arial Narrow" w:cs="Arial"/>
                <w:sz w:val="20"/>
                <w:szCs w:val="20"/>
              </w:rPr>
            </w:pPr>
            <w:r w:rsidRPr="005D105D">
              <w:rPr>
                <w:rFonts w:ascii="Arial Narrow" w:hAnsi="Arial Narrow" w:cs="Arial"/>
                <w:sz w:val="20"/>
                <w:szCs w:val="20"/>
              </w:rPr>
              <w:t>(e) an increase in the size or number of lytic bone lesions (not including compression fractures); or</w:t>
            </w:r>
          </w:p>
          <w:p w:rsidR="003A4B78" w:rsidRPr="005D105D" w:rsidRDefault="003A4B78" w:rsidP="003A4B78">
            <w:pPr>
              <w:spacing w:line="276" w:lineRule="auto"/>
              <w:rPr>
                <w:rFonts w:ascii="Arial Narrow" w:hAnsi="Arial Narrow" w:cs="Arial"/>
                <w:sz w:val="20"/>
                <w:szCs w:val="20"/>
              </w:rPr>
            </w:pPr>
            <w:r w:rsidRPr="005D105D">
              <w:rPr>
                <w:rFonts w:ascii="Arial Narrow" w:hAnsi="Arial Narrow" w:cs="Arial"/>
                <w:sz w:val="20"/>
                <w:szCs w:val="20"/>
              </w:rPr>
              <w:t xml:space="preserve">(f) at least a 25% increase in the size of an existing or the development of a new soft tissue </w:t>
            </w:r>
            <w:proofErr w:type="spellStart"/>
            <w:r w:rsidRPr="005D105D">
              <w:rPr>
                <w:rFonts w:ascii="Arial Narrow" w:hAnsi="Arial Narrow" w:cs="Arial"/>
                <w:sz w:val="20"/>
                <w:szCs w:val="20"/>
              </w:rPr>
              <w:t>plasmacytoma</w:t>
            </w:r>
            <w:proofErr w:type="spellEnd"/>
            <w:r w:rsidRPr="005D105D">
              <w:rPr>
                <w:rFonts w:ascii="Arial Narrow" w:hAnsi="Arial Narrow" w:cs="Arial"/>
                <w:sz w:val="20"/>
                <w:szCs w:val="20"/>
              </w:rPr>
              <w:t xml:space="preserve"> (determined by clinical examination or diagnostic imaging); or</w:t>
            </w:r>
          </w:p>
          <w:p w:rsidR="003A4B78" w:rsidRPr="005D105D" w:rsidRDefault="003A4B78" w:rsidP="003A4B78">
            <w:pPr>
              <w:spacing w:line="276" w:lineRule="auto"/>
              <w:rPr>
                <w:rFonts w:ascii="Arial Narrow" w:hAnsi="Arial Narrow" w:cs="Arial"/>
                <w:sz w:val="20"/>
                <w:szCs w:val="20"/>
              </w:rPr>
            </w:pPr>
            <w:r w:rsidRPr="005D105D">
              <w:rPr>
                <w:rFonts w:ascii="Arial Narrow" w:hAnsi="Arial Narrow" w:cs="Arial"/>
                <w:sz w:val="20"/>
                <w:szCs w:val="20"/>
              </w:rPr>
              <w:t xml:space="preserve">(g) </w:t>
            </w:r>
            <w:proofErr w:type="gramStart"/>
            <w:r w:rsidRPr="005D105D">
              <w:rPr>
                <w:rFonts w:ascii="Arial Narrow" w:hAnsi="Arial Narrow" w:cs="Arial"/>
                <w:sz w:val="20"/>
                <w:szCs w:val="20"/>
              </w:rPr>
              <w:t>development</w:t>
            </w:r>
            <w:proofErr w:type="gramEnd"/>
            <w:r w:rsidRPr="005D105D">
              <w:rPr>
                <w:rFonts w:ascii="Arial Narrow" w:hAnsi="Arial Narrow" w:cs="Arial"/>
                <w:sz w:val="20"/>
                <w:szCs w:val="20"/>
              </w:rPr>
              <w:t xml:space="preserve"> of hypercalcaemia (corrected serum calcium greater than 2.65 </w:t>
            </w:r>
            <w:proofErr w:type="spellStart"/>
            <w:r w:rsidRPr="005D105D">
              <w:rPr>
                <w:rFonts w:ascii="Arial Narrow" w:hAnsi="Arial Narrow" w:cs="Arial"/>
                <w:sz w:val="20"/>
                <w:szCs w:val="20"/>
              </w:rPr>
              <w:t>mmol</w:t>
            </w:r>
            <w:proofErr w:type="spellEnd"/>
            <w:r w:rsidRPr="005D105D">
              <w:rPr>
                <w:rFonts w:ascii="Arial Narrow" w:hAnsi="Arial Narrow" w:cs="Arial"/>
                <w:sz w:val="20"/>
                <w:szCs w:val="20"/>
              </w:rPr>
              <w:t xml:space="preserve"> per L not attributable to any other cause).</w:t>
            </w:r>
          </w:p>
          <w:p w:rsidR="003A4B78" w:rsidRDefault="003A4B78" w:rsidP="003A4B78">
            <w:pPr>
              <w:spacing w:line="276" w:lineRule="auto"/>
              <w:rPr>
                <w:rFonts w:ascii="Arial Narrow" w:hAnsi="Arial Narrow" w:cs="Arial"/>
                <w:sz w:val="20"/>
                <w:szCs w:val="20"/>
              </w:rPr>
            </w:pPr>
            <w:r w:rsidRPr="005D105D">
              <w:rPr>
                <w:rFonts w:ascii="Arial Narrow" w:hAnsi="Arial Narrow" w:cs="Arial"/>
                <w:sz w:val="20"/>
                <w:szCs w:val="20"/>
              </w:rPr>
              <w:t>Oligo-secretory and non-secretory patients are defined as having active disease with less than 10 g per L serum M protein.</w:t>
            </w:r>
          </w:p>
          <w:p w:rsidR="003A4B78" w:rsidRDefault="003A4B78" w:rsidP="003A4B78">
            <w:pPr>
              <w:spacing w:line="276" w:lineRule="auto"/>
              <w:rPr>
                <w:rFonts w:ascii="Arial Narrow" w:hAnsi="Arial Narrow" w:cs="Arial"/>
                <w:sz w:val="20"/>
                <w:szCs w:val="20"/>
              </w:rPr>
            </w:pPr>
          </w:p>
          <w:p w:rsidR="00CC5E84" w:rsidRPr="00606DF4" w:rsidRDefault="00CC5E84" w:rsidP="003A4B78">
            <w:pPr>
              <w:spacing w:line="276" w:lineRule="auto"/>
              <w:rPr>
                <w:rFonts w:ascii="Arial Narrow" w:hAnsi="Arial Narrow" w:cs="Arial"/>
                <w:sz w:val="20"/>
                <w:szCs w:val="20"/>
              </w:rPr>
            </w:pPr>
            <w:r w:rsidRPr="00AC3E47">
              <w:rPr>
                <w:rFonts w:ascii="Arial Narrow" w:hAnsi="Arial Narrow" w:cs="Arial"/>
                <w:sz w:val="20"/>
                <w:szCs w:val="20"/>
              </w:rPr>
              <w:t>Patient may qualify for PBS-subsidised treatment under this restriction once only. For continuing PBS-subsidised treatment, a Grandfathered patient must qualify under the Continuing treatment criteria.</w:t>
            </w:r>
          </w:p>
        </w:tc>
      </w:tr>
      <w:tr w:rsidR="00CC5E84" w:rsidRPr="00BC16CA" w:rsidTr="00DE1287">
        <w:trPr>
          <w:cantSplit/>
          <w:trHeight w:val="360"/>
        </w:trPr>
        <w:tc>
          <w:tcPr>
            <w:tcW w:w="1538" w:type="pct"/>
            <w:tcBorders>
              <w:top w:val="single" w:sz="4" w:space="0" w:color="auto"/>
              <w:left w:val="single" w:sz="4" w:space="0" w:color="auto"/>
              <w:bottom w:val="single" w:sz="4" w:space="0" w:color="auto"/>
              <w:right w:val="single" w:sz="4" w:space="0" w:color="auto"/>
            </w:tcBorders>
          </w:tcPr>
          <w:p w:rsidR="00CC5E84" w:rsidRPr="00AC3E47" w:rsidRDefault="00CC5E84" w:rsidP="00CC5E84">
            <w:pPr>
              <w:jc w:val="both"/>
              <w:rPr>
                <w:rFonts w:ascii="Arial Narrow" w:hAnsi="Arial Narrow" w:cs="Arial"/>
                <w:b/>
                <w:sz w:val="20"/>
                <w:szCs w:val="20"/>
              </w:rPr>
            </w:pPr>
            <w:r w:rsidRPr="00AC3E47">
              <w:rPr>
                <w:rFonts w:ascii="Arial Narrow" w:hAnsi="Arial Narrow" w:cs="Arial"/>
                <w:b/>
                <w:sz w:val="20"/>
                <w:szCs w:val="20"/>
              </w:rPr>
              <w:t>Administrative Advice</w:t>
            </w:r>
          </w:p>
          <w:p w:rsidR="00CC5E84" w:rsidRPr="00AC3E47" w:rsidRDefault="00CC5E84" w:rsidP="00CC5E84">
            <w:pPr>
              <w:jc w:val="both"/>
              <w:rPr>
                <w:rFonts w:ascii="Arial Narrow" w:hAnsi="Arial Narrow" w:cs="Arial"/>
                <w:i/>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rsidR="00CC5E84" w:rsidRPr="00AC3E47" w:rsidRDefault="00CC5E84" w:rsidP="00CC5E84">
            <w:pPr>
              <w:rPr>
                <w:rFonts w:ascii="Arial Narrow" w:hAnsi="Arial Narrow" w:cs="Arial"/>
                <w:sz w:val="20"/>
                <w:szCs w:val="20"/>
              </w:rPr>
            </w:pPr>
            <w:r w:rsidRPr="00AC3E47">
              <w:rPr>
                <w:rFonts w:ascii="Arial Narrow" w:hAnsi="Arial Narrow" w:cs="Arial"/>
                <w:sz w:val="20"/>
                <w:szCs w:val="20"/>
              </w:rPr>
              <w:t>No increase in the maximum number of repeats may be authorised.</w:t>
            </w:r>
          </w:p>
          <w:p w:rsidR="00CC5E84" w:rsidRPr="00AC3E47" w:rsidRDefault="00CC5E84" w:rsidP="00CC5E84">
            <w:pPr>
              <w:rPr>
                <w:rFonts w:ascii="Arial Narrow" w:hAnsi="Arial Narrow" w:cs="Arial"/>
                <w:sz w:val="20"/>
                <w:szCs w:val="20"/>
              </w:rPr>
            </w:pPr>
            <w:r w:rsidRPr="00AC3E47">
              <w:rPr>
                <w:rFonts w:ascii="Arial Narrow" w:hAnsi="Arial Narrow" w:cs="Arial"/>
                <w:sz w:val="20"/>
                <w:szCs w:val="20"/>
              </w:rPr>
              <w:t>No increase in the maximum amount or number of units may be authorised.</w:t>
            </w:r>
          </w:p>
          <w:p w:rsidR="00CC5E84" w:rsidRPr="00AC3E47" w:rsidRDefault="00CC5E84" w:rsidP="00CC5E84">
            <w:pPr>
              <w:rPr>
                <w:rFonts w:ascii="Arial Narrow" w:hAnsi="Arial Narrow" w:cs="Arial"/>
                <w:i/>
                <w:sz w:val="20"/>
                <w:szCs w:val="20"/>
              </w:rPr>
            </w:pPr>
            <w:r w:rsidRPr="00AC3E47">
              <w:rPr>
                <w:rFonts w:ascii="Arial Narrow" w:hAnsi="Arial Narrow" w:cs="Arial"/>
                <w:sz w:val="20"/>
                <w:szCs w:val="20"/>
              </w:rPr>
              <w:t>Special Pricing Arrangements apply.</w:t>
            </w:r>
          </w:p>
        </w:tc>
      </w:tr>
    </w:tbl>
    <w:p w:rsidR="00CE7FD2" w:rsidRPr="00CE7FD2" w:rsidRDefault="00CE7FD2" w:rsidP="000B3876">
      <w:pPr>
        <w:pStyle w:val="Heading1"/>
        <w:rPr>
          <w:rFonts w:eastAsiaTheme="minorHAnsi"/>
        </w:rPr>
      </w:pPr>
      <w:r w:rsidRPr="00CE7FD2">
        <w:t>Context</w:t>
      </w:r>
      <w:r w:rsidRPr="00CE7FD2">
        <w:rPr>
          <w:rFonts w:eastAsiaTheme="minorHAnsi"/>
        </w:rPr>
        <w:t xml:space="preserve"> for Decision</w:t>
      </w:r>
    </w:p>
    <w:p w:rsidR="00CE7FD2" w:rsidRPr="00631B05" w:rsidRDefault="00CE7FD2" w:rsidP="000B3876">
      <w:pPr>
        <w:rPr>
          <w:rFonts w:asciiTheme="minorHAnsi" w:eastAsiaTheme="minorHAnsi" w:hAnsiTheme="minorHAnsi"/>
        </w:rPr>
      </w:pPr>
      <w:r w:rsidRPr="00631B05">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E7FD2" w:rsidRPr="00CE7FD2" w:rsidRDefault="00CE7FD2" w:rsidP="000B3876">
      <w:pPr>
        <w:pStyle w:val="Heading1"/>
        <w:rPr>
          <w:rFonts w:eastAsiaTheme="minorHAnsi"/>
          <w:snapToGrid/>
        </w:rPr>
      </w:pPr>
      <w:r w:rsidRPr="00CE7FD2">
        <w:rPr>
          <w:rFonts w:eastAsiaTheme="minorHAnsi"/>
          <w:snapToGrid/>
        </w:rPr>
        <w:t>Sponsor’s Comment</w:t>
      </w:r>
    </w:p>
    <w:p w:rsidR="00CE7FD2" w:rsidRPr="000B3876" w:rsidRDefault="00CE7FD2" w:rsidP="000B3876">
      <w:pPr>
        <w:spacing w:after="120"/>
        <w:rPr>
          <w:rFonts w:asciiTheme="minorHAnsi" w:eastAsiaTheme="minorHAnsi" w:hAnsiTheme="minorHAnsi"/>
          <w:bCs/>
        </w:rPr>
      </w:pPr>
      <w:r w:rsidRPr="00631B05">
        <w:rPr>
          <w:rFonts w:asciiTheme="minorHAnsi" w:eastAsiaTheme="minorHAnsi" w:hAnsiTheme="minorHAnsi"/>
          <w:bCs/>
        </w:rPr>
        <w:t>The sponsor had no comment.</w:t>
      </w:r>
    </w:p>
    <w:sectPr w:rsidR="00CE7FD2" w:rsidRPr="000B3876"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B0F" w:rsidRDefault="00221B0F">
      <w:r>
        <w:separator/>
      </w:r>
    </w:p>
    <w:p w:rsidR="00221B0F" w:rsidRDefault="00221B0F"/>
  </w:endnote>
  <w:endnote w:type="continuationSeparator" w:id="0">
    <w:p w:rsidR="00221B0F" w:rsidRDefault="00221B0F">
      <w:r>
        <w:continuationSeparator/>
      </w:r>
    </w:p>
    <w:p w:rsidR="00221B0F" w:rsidRDefault="0022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C5E84" w:rsidTr="005A3173">
      <w:trPr>
        <w:trHeight w:val="151"/>
      </w:trPr>
      <w:tc>
        <w:tcPr>
          <w:tcW w:w="2250" w:type="pct"/>
          <w:tcBorders>
            <w:top w:val="nil"/>
            <w:left w:val="nil"/>
            <w:bottom w:val="single" w:sz="4" w:space="0" w:color="4F81BD"/>
            <w:right w:val="nil"/>
          </w:tcBorders>
        </w:tcPr>
        <w:p w:rsidR="00CC5E84" w:rsidRPr="005A3173" w:rsidRDefault="00CC5E8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C5E84" w:rsidRPr="005A3173" w:rsidRDefault="00CC5E8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C5E84" w:rsidRPr="005A3173" w:rsidRDefault="00CC5E84" w:rsidP="005A3173">
          <w:pPr>
            <w:pStyle w:val="Header"/>
            <w:spacing w:line="276" w:lineRule="auto"/>
            <w:rPr>
              <w:rFonts w:ascii="Calibri" w:eastAsia="MS Gothic" w:hAnsi="Calibri"/>
              <w:b/>
              <w:bCs/>
              <w:color w:val="4F81BD"/>
            </w:rPr>
          </w:pPr>
        </w:p>
      </w:tc>
    </w:tr>
    <w:tr w:rsidR="00CC5E84" w:rsidTr="005A3173">
      <w:trPr>
        <w:trHeight w:val="150"/>
      </w:trPr>
      <w:tc>
        <w:tcPr>
          <w:tcW w:w="2250" w:type="pct"/>
          <w:tcBorders>
            <w:top w:val="single" w:sz="4" w:space="0" w:color="4F81BD"/>
            <w:left w:val="nil"/>
            <w:bottom w:val="nil"/>
            <w:right w:val="nil"/>
          </w:tcBorders>
        </w:tcPr>
        <w:p w:rsidR="00CC5E84" w:rsidRPr="005A3173" w:rsidRDefault="00CC5E84" w:rsidP="005A3173">
          <w:pPr>
            <w:pStyle w:val="Header"/>
            <w:spacing w:line="276" w:lineRule="auto"/>
            <w:rPr>
              <w:rFonts w:ascii="Calibri" w:eastAsia="MS Gothic" w:hAnsi="Calibri"/>
              <w:b/>
              <w:bCs/>
              <w:color w:val="4F81BD"/>
            </w:rPr>
          </w:pPr>
        </w:p>
      </w:tc>
      <w:tc>
        <w:tcPr>
          <w:tcW w:w="0" w:type="auto"/>
          <w:vMerge/>
          <w:vAlign w:val="center"/>
          <w:hideMark/>
        </w:tcPr>
        <w:p w:rsidR="00CC5E84" w:rsidRPr="005A3173" w:rsidRDefault="00CC5E84" w:rsidP="005A3173">
          <w:pPr>
            <w:rPr>
              <w:rFonts w:ascii="Calibri" w:hAnsi="Calibri"/>
              <w:color w:val="365F91"/>
              <w:sz w:val="22"/>
              <w:szCs w:val="22"/>
            </w:rPr>
          </w:pPr>
        </w:p>
      </w:tc>
      <w:tc>
        <w:tcPr>
          <w:tcW w:w="2250" w:type="pct"/>
          <w:tcBorders>
            <w:top w:val="single" w:sz="4" w:space="0" w:color="4F81BD"/>
            <w:left w:val="nil"/>
            <w:bottom w:val="nil"/>
            <w:right w:val="nil"/>
          </w:tcBorders>
        </w:tcPr>
        <w:p w:rsidR="00CC5E84" w:rsidRPr="005A3173" w:rsidRDefault="00CC5E84" w:rsidP="005A3173">
          <w:pPr>
            <w:pStyle w:val="Header"/>
            <w:spacing w:line="276" w:lineRule="auto"/>
            <w:rPr>
              <w:rFonts w:ascii="Calibri" w:eastAsia="MS Gothic" w:hAnsi="Calibri"/>
              <w:b/>
              <w:bCs/>
              <w:color w:val="4F81BD"/>
            </w:rPr>
          </w:pPr>
        </w:p>
      </w:tc>
    </w:tr>
  </w:tbl>
  <w:p w:rsidR="00CC5E84" w:rsidRDefault="00CC5E8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5E84" w:rsidRDefault="00CC5E84">
    <w:pPr>
      <w:pStyle w:val="Footer"/>
    </w:pPr>
  </w:p>
  <w:p w:rsidR="00CC5E84" w:rsidRDefault="00CC5E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382089"/>
      <w:docPartObj>
        <w:docPartGallery w:val="Page Numbers (Bottom of Page)"/>
        <w:docPartUnique/>
      </w:docPartObj>
    </w:sdtPr>
    <w:sdtEndPr>
      <w:rPr>
        <w:noProof/>
      </w:rPr>
    </w:sdtEndPr>
    <w:sdtContent>
      <w:p w:rsidR="00CC5E84" w:rsidRDefault="00CC5E84">
        <w:pPr>
          <w:pStyle w:val="Footer"/>
          <w:jc w:val="center"/>
        </w:pPr>
        <w:r>
          <w:fldChar w:fldCharType="begin"/>
        </w:r>
        <w:r>
          <w:instrText xml:space="preserve"> PAGE   \* MERGEFORMAT </w:instrText>
        </w:r>
        <w:r>
          <w:fldChar w:fldCharType="separate"/>
        </w:r>
        <w:r w:rsidR="00D30212">
          <w:rPr>
            <w:noProof/>
          </w:rPr>
          <w:t>1</w:t>
        </w:r>
        <w:r>
          <w:rPr>
            <w:noProof/>
          </w:rPr>
          <w:fldChar w:fldCharType="end"/>
        </w:r>
      </w:p>
    </w:sdtContent>
  </w:sdt>
  <w:p w:rsidR="00CC5E84" w:rsidRDefault="00CC5E84"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C5E84" w:rsidTr="005A3173">
      <w:trPr>
        <w:trHeight w:val="151"/>
      </w:trPr>
      <w:tc>
        <w:tcPr>
          <w:tcW w:w="2250" w:type="pct"/>
          <w:tcBorders>
            <w:top w:val="nil"/>
            <w:left w:val="nil"/>
            <w:bottom w:val="single" w:sz="4" w:space="0" w:color="4F81BD"/>
            <w:right w:val="nil"/>
          </w:tcBorders>
        </w:tcPr>
        <w:p w:rsidR="00CC5E84" w:rsidRPr="005A3173" w:rsidRDefault="00CC5E8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C5E84" w:rsidRPr="005A3173" w:rsidRDefault="00CC5E8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C5E84" w:rsidRPr="005A3173" w:rsidRDefault="00CC5E84" w:rsidP="005A3173">
          <w:pPr>
            <w:pStyle w:val="Header"/>
            <w:spacing w:line="276" w:lineRule="auto"/>
            <w:rPr>
              <w:rFonts w:ascii="Calibri" w:eastAsia="MS Gothic" w:hAnsi="Calibri"/>
              <w:b/>
              <w:bCs/>
              <w:color w:val="4F81BD"/>
            </w:rPr>
          </w:pPr>
        </w:p>
      </w:tc>
    </w:tr>
    <w:tr w:rsidR="00CC5E84" w:rsidTr="005A3173">
      <w:trPr>
        <w:trHeight w:val="150"/>
      </w:trPr>
      <w:tc>
        <w:tcPr>
          <w:tcW w:w="2250" w:type="pct"/>
          <w:tcBorders>
            <w:top w:val="single" w:sz="4" w:space="0" w:color="4F81BD"/>
            <w:left w:val="nil"/>
            <w:bottom w:val="nil"/>
            <w:right w:val="nil"/>
          </w:tcBorders>
        </w:tcPr>
        <w:p w:rsidR="00CC5E84" w:rsidRPr="005A3173" w:rsidRDefault="00CC5E84" w:rsidP="005A3173">
          <w:pPr>
            <w:pStyle w:val="Header"/>
            <w:spacing w:line="276" w:lineRule="auto"/>
            <w:rPr>
              <w:rFonts w:ascii="Calibri" w:eastAsia="MS Gothic" w:hAnsi="Calibri"/>
              <w:b/>
              <w:bCs/>
              <w:color w:val="4F81BD"/>
            </w:rPr>
          </w:pPr>
        </w:p>
      </w:tc>
      <w:tc>
        <w:tcPr>
          <w:tcW w:w="0" w:type="auto"/>
          <w:vMerge/>
          <w:vAlign w:val="center"/>
          <w:hideMark/>
        </w:tcPr>
        <w:p w:rsidR="00CC5E84" w:rsidRPr="005A3173" w:rsidRDefault="00CC5E84" w:rsidP="005A3173">
          <w:pPr>
            <w:rPr>
              <w:rFonts w:ascii="Calibri" w:hAnsi="Calibri"/>
              <w:color w:val="365F91"/>
              <w:sz w:val="22"/>
              <w:szCs w:val="22"/>
            </w:rPr>
          </w:pPr>
        </w:p>
      </w:tc>
      <w:tc>
        <w:tcPr>
          <w:tcW w:w="2250" w:type="pct"/>
          <w:tcBorders>
            <w:top w:val="single" w:sz="4" w:space="0" w:color="4F81BD"/>
            <w:left w:val="nil"/>
            <w:bottom w:val="nil"/>
            <w:right w:val="nil"/>
          </w:tcBorders>
        </w:tcPr>
        <w:p w:rsidR="00CC5E84" w:rsidRPr="005A3173" w:rsidRDefault="00CC5E84"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C5E84" w:rsidTr="005A3173">
      <w:trPr>
        <w:trHeight w:val="151"/>
      </w:trPr>
      <w:tc>
        <w:tcPr>
          <w:tcW w:w="2250" w:type="pct"/>
          <w:tcBorders>
            <w:top w:val="nil"/>
            <w:left w:val="nil"/>
            <w:bottom w:val="single" w:sz="4" w:space="0" w:color="4F81BD"/>
            <w:right w:val="nil"/>
          </w:tcBorders>
        </w:tcPr>
        <w:p w:rsidR="00CC5E84" w:rsidRPr="005A3173" w:rsidRDefault="00CC5E8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C5E84" w:rsidRPr="005A3173" w:rsidRDefault="00CC5E8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C5E84" w:rsidRPr="005A3173" w:rsidRDefault="00CC5E84" w:rsidP="005A3173">
          <w:pPr>
            <w:pStyle w:val="Header"/>
            <w:spacing w:line="276" w:lineRule="auto"/>
            <w:rPr>
              <w:rFonts w:ascii="Calibri" w:eastAsia="MS Gothic" w:hAnsi="Calibri"/>
              <w:b/>
              <w:bCs/>
              <w:color w:val="4F81BD"/>
            </w:rPr>
          </w:pPr>
        </w:p>
      </w:tc>
    </w:tr>
    <w:tr w:rsidR="00CC5E84" w:rsidTr="005A3173">
      <w:trPr>
        <w:trHeight w:val="150"/>
      </w:trPr>
      <w:tc>
        <w:tcPr>
          <w:tcW w:w="2250" w:type="pct"/>
          <w:tcBorders>
            <w:top w:val="single" w:sz="4" w:space="0" w:color="4F81BD"/>
            <w:left w:val="nil"/>
            <w:bottom w:val="nil"/>
            <w:right w:val="nil"/>
          </w:tcBorders>
        </w:tcPr>
        <w:p w:rsidR="00CC5E84" w:rsidRPr="005A3173" w:rsidRDefault="00CC5E84" w:rsidP="005A3173">
          <w:pPr>
            <w:pStyle w:val="Header"/>
            <w:spacing w:line="276" w:lineRule="auto"/>
            <w:rPr>
              <w:rFonts w:ascii="Calibri" w:eastAsia="MS Gothic" w:hAnsi="Calibri"/>
              <w:b/>
              <w:bCs/>
              <w:color w:val="4F81BD"/>
            </w:rPr>
          </w:pPr>
        </w:p>
      </w:tc>
      <w:tc>
        <w:tcPr>
          <w:tcW w:w="0" w:type="auto"/>
          <w:vMerge/>
          <w:vAlign w:val="center"/>
          <w:hideMark/>
        </w:tcPr>
        <w:p w:rsidR="00CC5E84" w:rsidRPr="005A3173" w:rsidRDefault="00CC5E84" w:rsidP="005A3173">
          <w:pPr>
            <w:rPr>
              <w:rFonts w:ascii="Calibri" w:hAnsi="Calibri"/>
              <w:color w:val="365F91"/>
              <w:sz w:val="22"/>
              <w:szCs w:val="22"/>
            </w:rPr>
          </w:pPr>
        </w:p>
      </w:tc>
      <w:tc>
        <w:tcPr>
          <w:tcW w:w="2250" w:type="pct"/>
          <w:tcBorders>
            <w:top w:val="single" w:sz="4" w:space="0" w:color="4F81BD"/>
            <w:left w:val="nil"/>
            <w:bottom w:val="nil"/>
            <w:right w:val="nil"/>
          </w:tcBorders>
        </w:tcPr>
        <w:p w:rsidR="00CC5E84" w:rsidRPr="005A3173" w:rsidRDefault="00CC5E84" w:rsidP="005A3173">
          <w:pPr>
            <w:pStyle w:val="Header"/>
            <w:spacing w:line="276" w:lineRule="auto"/>
            <w:rPr>
              <w:rFonts w:ascii="Calibri" w:eastAsia="MS Gothic" w:hAnsi="Calibri"/>
              <w:b/>
              <w:bCs/>
              <w:color w:val="4F81BD"/>
            </w:rPr>
          </w:pPr>
        </w:p>
      </w:tc>
    </w:tr>
  </w:tbl>
  <w:p w:rsidR="00CC5E84" w:rsidRPr="007C0F57" w:rsidRDefault="00CC5E8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C5E84" w:rsidRPr="007C0F57" w:rsidRDefault="00CC5E84" w:rsidP="007C0F57">
    <w:pPr>
      <w:pStyle w:val="Footer"/>
      <w:jc w:val="center"/>
      <w:rPr>
        <w:b/>
        <w:i/>
        <w:sz w:val="20"/>
        <w:szCs w:val="20"/>
      </w:rPr>
    </w:pPr>
    <w:r w:rsidRPr="007C0F57">
      <w:rPr>
        <w:b/>
        <w:i/>
        <w:sz w:val="20"/>
        <w:szCs w:val="20"/>
      </w:rPr>
      <w:t>Commercial-in-Confidence</w:t>
    </w:r>
  </w:p>
  <w:p w:rsidR="00CC5E84" w:rsidRDefault="00CC5E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B0F" w:rsidRDefault="00221B0F">
      <w:r>
        <w:separator/>
      </w:r>
    </w:p>
    <w:p w:rsidR="00221B0F" w:rsidRDefault="00221B0F"/>
  </w:footnote>
  <w:footnote w:type="continuationSeparator" w:id="0">
    <w:p w:rsidR="00221B0F" w:rsidRDefault="00221B0F">
      <w:r>
        <w:continuationSeparator/>
      </w:r>
    </w:p>
    <w:p w:rsidR="00221B0F" w:rsidRDefault="00221B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C5E84" w:rsidRPr="008E0D90" w:rsidTr="00A06225">
      <w:trPr>
        <w:trHeight w:val="151"/>
      </w:trPr>
      <w:tc>
        <w:tcPr>
          <w:tcW w:w="2389" w:type="pct"/>
          <w:tcBorders>
            <w:top w:val="nil"/>
            <w:left w:val="nil"/>
            <w:bottom w:val="single" w:sz="4" w:space="0" w:color="4F81BD"/>
            <w:right w:val="nil"/>
          </w:tcBorders>
        </w:tcPr>
        <w:p w:rsidR="00CC5E84" w:rsidRPr="00A06225" w:rsidRDefault="00CC5E84">
          <w:pPr>
            <w:pStyle w:val="Header"/>
            <w:spacing w:line="276" w:lineRule="auto"/>
            <w:rPr>
              <w:rFonts w:ascii="Cambria" w:eastAsia="MS Gothic" w:hAnsi="Cambria"/>
              <w:b/>
              <w:bCs/>
              <w:color w:val="4F81BD"/>
            </w:rPr>
          </w:pPr>
        </w:p>
      </w:tc>
      <w:tc>
        <w:tcPr>
          <w:tcW w:w="333" w:type="pct"/>
          <w:vMerge w:val="restart"/>
          <w:noWrap/>
          <w:vAlign w:val="center"/>
          <w:hideMark/>
        </w:tcPr>
        <w:p w:rsidR="00CC5E84" w:rsidRPr="00A06225" w:rsidRDefault="00CC5E8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C5E84" w:rsidRPr="00A06225" w:rsidRDefault="00CC5E84">
          <w:pPr>
            <w:pStyle w:val="Header"/>
            <w:spacing w:line="276" w:lineRule="auto"/>
            <w:rPr>
              <w:rFonts w:ascii="Cambria" w:eastAsia="MS Gothic" w:hAnsi="Cambria"/>
              <w:b/>
              <w:bCs/>
              <w:color w:val="4F81BD"/>
            </w:rPr>
          </w:pPr>
        </w:p>
      </w:tc>
    </w:tr>
    <w:tr w:rsidR="00CC5E84" w:rsidRPr="008E0D90" w:rsidTr="00A06225">
      <w:trPr>
        <w:trHeight w:val="150"/>
      </w:trPr>
      <w:tc>
        <w:tcPr>
          <w:tcW w:w="2389" w:type="pct"/>
          <w:tcBorders>
            <w:top w:val="single" w:sz="4" w:space="0" w:color="4F81BD"/>
            <w:left w:val="nil"/>
            <w:bottom w:val="nil"/>
            <w:right w:val="nil"/>
          </w:tcBorders>
        </w:tcPr>
        <w:p w:rsidR="00CC5E84" w:rsidRPr="00A06225" w:rsidRDefault="00CC5E84">
          <w:pPr>
            <w:pStyle w:val="Header"/>
            <w:spacing w:line="276" w:lineRule="auto"/>
            <w:rPr>
              <w:rFonts w:ascii="Cambria" w:eastAsia="MS Gothic" w:hAnsi="Cambria"/>
              <w:b/>
              <w:bCs/>
              <w:color w:val="4F81BD"/>
            </w:rPr>
          </w:pPr>
        </w:p>
      </w:tc>
      <w:tc>
        <w:tcPr>
          <w:tcW w:w="0" w:type="auto"/>
          <w:vMerge/>
          <w:vAlign w:val="center"/>
          <w:hideMark/>
        </w:tcPr>
        <w:p w:rsidR="00CC5E84" w:rsidRPr="00A06225" w:rsidRDefault="00CC5E84">
          <w:pPr>
            <w:rPr>
              <w:rFonts w:ascii="Cambria" w:hAnsi="Cambria"/>
              <w:color w:val="4F81BD"/>
              <w:sz w:val="22"/>
              <w:szCs w:val="22"/>
            </w:rPr>
          </w:pPr>
        </w:p>
      </w:tc>
      <w:tc>
        <w:tcPr>
          <w:tcW w:w="2278" w:type="pct"/>
          <w:tcBorders>
            <w:top w:val="single" w:sz="4" w:space="0" w:color="4F81BD"/>
            <w:left w:val="nil"/>
            <w:bottom w:val="nil"/>
            <w:right w:val="nil"/>
          </w:tcBorders>
        </w:tcPr>
        <w:p w:rsidR="00CC5E84" w:rsidRPr="00A06225" w:rsidRDefault="00CC5E84">
          <w:pPr>
            <w:pStyle w:val="Header"/>
            <w:spacing w:line="276" w:lineRule="auto"/>
            <w:rPr>
              <w:rFonts w:ascii="Cambria" w:eastAsia="MS Gothic" w:hAnsi="Cambria"/>
              <w:b/>
              <w:bCs/>
              <w:color w:val="4F81BD"/>
            </w:rPr>
          </w:pPr>
        </w:p>
      </w:tc>
    </w:tr>
  </w:tbl>
  <w:p w:rsidR="00CC5E84" w:rsidRDefault="00CC5E84">
    <w:pPr>
      <w:pStyle w:val="Header"/>
    </w:pPr>
  </w:p>
  <w:p w:rsidR="00CC5E84" w:rsidRDefault="00CC5E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E84" w:rsidRPr="00F90A91" w:rsidRDefault="00CE7FD2" w:rsidP="003D58E7">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00CC5E84" w:rsidRPr="00F90A91">
      <w:rPr>
        <w:rFonts w:asciiTheme="minorHAnsi" w:hAnsiTheme="minorHAnsi" w:cs="Arial"/>
        <w:i/>
        <w:color w:val="808080"/>
        <w:sz w:val="22"/>
      </w:rPr>
      <w:t xml:space="preserve"> </w:t>
    </w:r>
    <w:r w:rsidR="00CC5E84">
      <w:rPr>
        <w:rFonts w:asciiTheme="minorHAnsi" w:hAnsiTheme="minorHAnsi" w:cs="Arial"/>
        <w:i/>
        <w:color w:val="808080"/>
        <w:sz w:val="22"/>
      </w:rPr>
      <w:t>– March 2018</w:t>
    </w:r>
    <w:r w:rsidR="00CC5E84" w:rsidRPr="00F90A91">
      <w:rPr>
        <w:rFonts w:asciiTheme="minorHAnsi" w:hAnsiTheme="minorHAnsi" w:cs="Arial"/>
        <w:i/>
        <w:color w:val="808080"/>
        <w:sz w:val="22"/>
      </w:rPr>
      <w:t xml:space="preserve"> PBAC Meeting</w:t>
    </w:r>
  </w:p>
  <w:p w:rsidR="00CC5E84" w:rsidRDefault="00CC5E84"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D2" w:rsidRDefault="00CE7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4D033C"/>
    <w:multiLevelType w:val="multilevel"/>
    <w:tmpl w:val="BFC8CF46"/>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4"/>
  </w:num>
  <w:num w:numId="5">
    <w:abstractNumId w:val="17"/>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7"/>
  </w:num>
  <w:num w:numId="15">
    <w:abstractNumId w:val="15"/>
  </w:num>
  <w:num w:numId="16">
    <w:abstractNumId w:val="16"/>
  </w:num>
  <w:num w:numId="17">
    <w:abstractNumId w:val="5"/>
  </w:num>
  <w:num w:numId="18">
    <w:abstractNumId w:val="2"/>
  </w:num>
  <w:num w:numId="1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11E65"/>
    <w:rsid w:val="0002464A"/>
    <w:rsid w:val="0003106B"/>
    <w:rsid w:val="000421A1"/>
    <w:rsid w:val="0004240E"/>
    <w:rsid w:val="00045E26"/>
    <w:rsid w:val="000514B5"/>
    <w:rsid w:val="00051C12"/>
    <w:rsid w:val="00060E64"/>
    <w:rsid w:val="00066755"/>
    <w:rsid w:val="00077143"/>
    <w:rsid w:val="00082169"/>
    <w:rsid w:val="000969AD"/>
    <w:rsid w:val="000B3876"/>
    <w:rsid w:val="000B558D"/>
    <w:rsid w:val="000C6996"/>
    <w:rsid w:val="000D23BA"/>
    <w:rsid w:val="000E681E"/>
    <w:rsid w:val="000F0003"/>
    <w:rsid w:val="000F4E6A"/>
    <w:rsid w:val="00104227"/>
    <w:rsid w:val="001107BF"/>
    <w:rsid w:val="0012417C"/>
    <w:rsid w:val="00137676"/>
    <w:rsid w:val="00142395"/>
    <w:rsid w:val="00142714"/>
    <w:rsid w:val="001452ED"/>
    <w:rsid w:val="001530C7"/>
    <w:rsid w:val="00163329"/>
    <w:rsid w:val="00164623"/>
    <w:rsid w:val="00165B64"/>
    <w:rsid w:val="001830CE"/>
    <w:rsid w:val="0018643B"/>
    <w:rsid w:val="00196307"/>
    <w:rsid w:val="001976BF"/>
    <w:rsid w:val="001A33EA"/>
    <w:rsid w:val="001B017F"/>
    <w:rsid w:val="001B2BBC"/>
    <w:rsid w:val="001B5129"/>
    <w:rsid w:val="001C1195"/>
    <w:rsid w:val="001D735C"/>
    <w:rsid w:val="001F1850"/>
    <w:rsid w:val="00203FAC"/>
    <w:rsid w:val="00213CFB"/>
    <w:rsid w:val="00217BE1"/>
    <w:rsid w:val="00221B0F"/>
    <w:rsid w:val="00271BA1"/>
    <w:rsid w:val="002762FA"/>
    <w:rsid w:val="00277505"/>
    <w:rsid w:val="0029458F"/>
    <w:rsid w:val="002A104C"/>
    <w:rsid w:val="002A4960"/>
    <w:rsid w:val="002B1AE6"/>
    <w:rsid w:val="002B2DE8"/>
    <w:rsid w:val="002B30F8"/>
    <w:rsid w:val="002B5596"/>
    <w:rsid w:val="002C212F"/>
    <w:rsid w:val="002D4543"/>
    <w:rsid w:val="002D7741"/>
    <w:rsid w:val="002E3153"/>
    <w:rsid w:val="002E72CA"/>
    <w:rsid w:val="00300AD6"/>
    <w:rsid w:val="00307AB1"/>
    <w:rsid w:val="00311158"/>
    <w:rsid w:val="00317C6C"/>
    <w:rsid w:val="00326E79"/>
    <w:rsid w:val="0033518A"/>
    <w:rsid w:val="003367EF"/>
    <w:rsid w:val="00341AE4"/>
    <w:rsid w:val="0038335B"/>
    <w:rsid w:val="003872CF"/>
    <w:rsid w:val="0039782C"/>
    <w:rsid w:val="003A4B78"/>
    <w:rsid w:val="003A5B4A"/>
    <w:rsid w:val="003B101B"/>
    <w:rsid w:val="003B23C5"/>
    <w:rsid w:val="003B2A75"/>
    <w:rsid w:val="003B6124"/>
    <w:rsid w:val="003C2FB5"/>
    <w:rsid w:val="003D1688"/>
    <w:rsid w:val="003D4AC4"/>
    <w:rsid w:val="003D58E7"/>
    <w:rsid w:val="003D63B7"/>
    <w:rsid w:val="003E468B"/>
    <w:rsid w:val="003F07BF"/>
    <w:rsid w:val="003F3228"/>
    <w:rsid w:val="003F5C8C"/>
    <w:rsid w:val="004252EC"/>
    <w:rsid w:val="004465BD"/>
    <w:rsid w:val="00466ADA"/>
    <w:rsid w:val="00476245"/>
    <w:rsid w:val="00483035"/>
    <w:rsid w:val="00485940"/>
    <w:rsid w:val="004A2484"/>
    <w:rsid w:val="004A4A8F"/>
    <w:rsid w:val="004A5A85"/>
    <w:rsid w:val="004A71D1"/>
    <w:rsid w:val="004B05CF"/>
    <w:rsid w:val="004B5640"/>
    <w:rsid w:val="004C1BD7"/>
    <w:rsid w:val="004C31FE"/>
    <w:rsid w:val="004C400D"/>
    <w:rsid w:val="004C691D"/>
    <w:rsid w:val="004C6C07"/>
    <w:rsid w:val="004E1E5F"/>
    <w:rsid w:val="004E692D"/>
    <w:rsid w:val="004F5745"/>
    <w:rsid w:val="00501554"/>
    <w:rsid w:val="00514CD7"/>
    <w:rsid w:val="005319B2"/>
    <w:rsid w:val="00532402"/>
    <w:rsid w:val="00532C74"/>
    <w:rsid w:val="00534E2E"/>
    <w:rsid w:val="00544552"/>
    <w:rsid w:val="00577C4D"/>
    <w:rsid w:val="00581932"/>
    <w:rsid w:val="005963BB"/>
    <w:rsid w:val="005A3173"/>
    <w:rsid w:val="005A3223"/>
    <w:rsid w:val="005A3DA3"/>
    <w:rsid w:val="005A52C4"/>
    <w:rsid w:val="005D03AB"/>
    <w:rsid w:val="005D5017"/>
    <w:rsid w:val="005E1333"/>
    <w:rsid w:val="00601A91"/>
    <w:rsid w:val="00602BA3"/>
    <w:rsid w:val="00612E34"/>
    <w:rsid w:val="00614159"/>
    <w:rsid w:val="00617C00"/>
    <w:rsid w:val="006263BF"/>
    <w:rsid w:val="0062748A"/>
    <w:rsid w:val="00630A2C"/>
    <w:rsid w:val="0063682E"/>
    <w:rsid w:val="006436CD"/>
    <w:rsid w:val="00651169"/>
    <w:rsid w:val="00653D69"/>
    <w:rsid w:val="00664815"/>
    <w:rsid w:val="006670BE"/>
    <w:rsid w:val="00670A76"/>
    <w:rsid w:val="006711AA"/>
    <w:rsid w:val="00672B57"/>
    <w:rsid w:val="00675622"/>
    <w:rsid w:val="0067747D"/>
    <w:rsid w:val="006814B3"/>
    <w:rsid w:val="006906DB"/>
    <w:rsid w:val="00691E6C"/>
    <w:rsid w:val="006951A3"/>
    <w:rsid w:val="00696129"/>
    <w:rsid w:val="00697CF2"/>
    <w:rsid w:val="006A12A5"/>
    <w:rsid w:val="006B0D94"/>
    <w:rsid w:val="006B1BFA"/>
    <w:rsid w:val="006B485D"/>
    <w:rsid w:val="006C708E"/>
    <w:rsid w:val="006D6493"/>
    <w:rsid w:val="006D6EC7"/>
    <w:rsid w:val="006F5125"/>
    <w:rsid w:val="00702B6F"/>
    <w:rsid w:val="0071340B"/>
    <w:rsid w:val="007174BB"/>
    <w:rsid w:val="0072025D"/>
    <w:rsid w:val="007353D3"/>
    <w:rsid w:val="007546F7"/>
    <w:rsid w:val="00761BAF"/>
    <w:rsid w:val="0076420C"/>
    <w:rsid w:val="007753C2"/>
    <w:rsid w:val="007838B8"/>
    <w:rsid w:val="007C0F57"/>
    <w:rsid w:val="007C40B6"/>
    <w:rsid w:val="007C729F"/>
    <w:rsid w:val="007E1D28"/>
    <w:rsid w:val="007F2641"/>
    <w:rsid w:val="007F7C36"/>
    <w:rsid w:val="00806796"/>
    <w:rsid w:val="00814BC6"/>
    <w:rsid w:val="008151D6"/>
    <w:rsid w:val="00826F6D"/>
    <w:rsid w:val="008306F3"/>
    <w:rsid w:val="008449EA"/>
    <w:rsid w:val="00856DDD"/>
    <w:rsid w:val="00863E68"/>
    <w:rsid w:val="00882085"/>
    <w:rsid w:val="00883188"/>
    <w:rsid w:val="00897D58"/>
    <w:rsid w:val="00897F22"/>
    <w:rsid w:val="008A1956"/>
    <w:rsid w:val="008A26B5"/>
    <w:rsid w:val="008A4937"/>
    <w:rsid w:val="008A50F1"/>
    <w:rsid w:val="008D1B5C"/>
    <w:rsid w:val="008D3C82"/>
    <w:rsid w:val="008D447E"/>
    <w:rsid w:val="008D7A41"/>
    <w:rsid w:val="008E3680"/>
    <w:rsid w:val="008E5870"/>
    <w:rsid w:val="008F1434"/>
    <w:rsid w:val="008F7355"/>
    <w:rsid w:val="009067B7"/>
    <w:rsid w:val="00930937"/>
    <w:rsid w:val="00933E6C"/>
    <w:rsid w:val="00937958"/>
    <w:rsid w:val="00942160"/>
    <w:rsid w:val="0095146F"/>
    <w:rsid w:val="009602C5"/>
    <w:rsid w:val="00962223"/>
    <w:rsid w:val="00966D0D"/>
    <w:rsid w:val="00974C21"/>
    <w:rsid w:val="009B0F67"/>
    <w:rsid w:val="009C703C"/>
    <w:rsid w:val="009D3CAA"/>
    <w:rsid w:val="009F4E46"/>
    <w:rsid w:val="009F5B65"/>
    <w:rsid w:val="009F5F2E"/>
    <w:rsid w:val="00A06225"/>
    <w:rsid w:val="00A128E6"/>
    <w:rsid w:val="00A34E6C"/>
    <w:rsid w:val="00A37C8D"/>
    <w:rsid w:val="00A432EF"/>
    <w:rsid w:val="00A4357C"/>
    <w:rsid w:val="00A5273B"/>
    <w:rsid w:val="00A52BBD"/>
    <w:rsid w:val="00A53A9D"/>
    <w:rsid w:val="00A55FEE"/>
    <w:rsid w:val="00A62C1A"/>
    <w:rsid w:val="00A6426D"/>
    <w:rsid w:val="00A665C1"/>
    <w:rsid w:val="00A70622"/>
    <w:rsid w:val="00A70977"/>
    <w:rsid w:val="00A77613"/>
    <w:rsid w:val="00A8390C"/>
    <w:rsid w:val="00A928BD"/>
    <w:rsid w:val="00AA4D1C"/>
    <w:rsid w:val="00AC193C"/>
    <w:rsid w:val="00AC5206"/>
    <w:rsid w:val="00AE11A5"/>
    <w:rsid w:val="00AE13E2"/>
    <w:rsid w:val="00AE22D3"/>
    <w:rsid w:val="00AF62DF"/>
    <w:rsid w:val="00AF68CC"/>
    <w:rsid w:val="00B1059E"/>
    <w:rsid w:val="00B176C8"/>
    <w:rsid w:val="00B205AA"/>
    <w:rsid w:val="00B22E84"/>
    <w:rsid w:val="00B25F75"/>
    <w:rsid w:val="00B26B3F"/>
    <w:rsid w:val="00B43E90"/>
    <w:rsid w:val="00B467DC"/>
    <w:rsid w:val="00B56118"/>
    <w:rsid w:val="00B6773F"/>
    <w:rsid w:val="00B801BA"/>
    <w:rsid w:val="00B81124"/>
    <w:rsid w:val="00B84D5C"/>
    <w:rsid w:val="00BB69F5"/>
    <w:rsid w:val="00BB7EC3"/>
    <w:rsid w:val="00BC4B9A"/>
    <w:rsid w:val="00BD784C"/>
    <w:rsid w:val="00BE4362"/>
    <w:rsid w:val="00BF4CB6"/>
    <w:rsid w:val="00C00DA7"/>
    <w:rsid w:val="00C12768"/>
    <w:rsid w:val="00C27B58"/>
    <w:rsid w:val="00C35996"/>
    <w:rsid w:val="00C4441C"/>
    <w:rsid w:val="00C4747E"/>
    <w:rsid w:val="00C5342C"/>
    <w:rsid w:val="00C603D4"/>
    <w:rsid w:val="00C6256A"/>
    <w:rsid w:val="00C741D5"/>
    <w:rsid w:val="00C77891"/>
    <w:rsid w:val="00C91449"/>
    <w:rsid w:val="00C92D10"/>
    <w:rsid w:val="00CC5E84"/>
    <w:rsid w:val="00CE10C4"/>
    <w:rsid w:val="00CE27B5"/>
    <w:rsid w:val="00CE7FD2"/>
    <w:rsid w:val="00D0321E"/>
    <w:rsid w:val="00D1455A"/>
    <w:rsid w:val="00D30212"/>
    <w:rsid w:val="00D31150"/>
    <w:rsid w:val="00D3138B"/>
    <w:rsid w:val="00D3280C"/>
    <w:rsid w:val="00D3406A"/>
    <w:rsid w:val="00D4572C"/>
    <w:rsid w:val="00D469B2"/>
    <w:rsid w:val="00D741EB"/>
    <w:rsid w:val="00D83605"/>
    <w:rsid w:val="00D84934"/>
    <w:rsid w:val="00D91271"/>
    <w:rsid w:val="00DA2CB5"/>
    <w:rsid w:val="00DA4BAC"/>
    <w:rsid w:val="00DE1287"/>
    <w:rsid w:val="00DE6D27"/>
    <w:rsid w:val="00DF217D"/>
    <w:rsid w:val="00DF26A7"/>
    <w:rsid w:val="00E13D2C"/>
    <w:rsid w:val="00E15627"/>
    <w:rsid w:val="00E164B3"/>
    <w:rsid w:val="00E16910"/>
    <w:rsid w:val="00E42BDB"/>
    <w:rsid w:val="00E47A2C"/>
    <w:rsid w:val="00E57EEB"/>
    <w:rsid w:val="00E62D94"/>
    <w:rsid w:val="00E65E54"/>
    <w:rsid w:val="00E80155"/>
    <w:rsid w:val="00E81F28"/>
    <w:rsid w:val="00E848C0"/>
    <w:rsid w:val="00E91B96"/>
    <w:rsid w:val="00E941A1"/>
    <w:rsid w:val="00E95CE3"/>
    <w:rsid w:val="00EA2825"/>
    <w:rsid w:val="00EB0B63"/>
    <w:rsid w:val="00EB1936"/>
    <w:rsid w:val="00EB5088"/>
    <w:rsid w:val="00EC7D87"/>
    <w:rsid w:val="00ED1644"/>
    <w:rsid w:val="00ED2593"/>
    <w:rsid w:val="00ED4FDB"/>
    <w:rsid w:val="00ED7D9C"/>
    <w:rsid w:val="00EF44A0"/>
    <w:rsid w:val="00EF4DC8"/>
    <w:rsid w:val="00EF4FED"/>
    <w:rsid w:val="00F050BD"/>
    <w:rsid w:val="00F05657"/>
    <w:rsid w:val="00F25578"/>
    <w:rsid w:val="00F257EB"/>
    <w:rsid w:val="00F258E5"/>
    <w:rsid w:val="00F300BC"/>
    <w:rsid w:val="00F3334E"/>
    <w:rsid w:val="00F36CCB"/>
    <w:rsid w:val="00F374E5"/>
    <w:rsid w:val="00F43AF2"/>
    <w:rsid w:val="00F50EC4"/>
    <w:rsid w:val="00F550CF"/>
    <w:rsid w:val="00F57A6D"/>
    <w:rsid w:val="00F638CC"/>
    <w:rsid w:val="00F64CC1"/>
    <w:rsid w:val="00F72317"/>
    <w:rsid w:val="00F80475"/>
    <w:rsid w:val="00F8247A"/>
    <w:rsid w:val="00F9629A"/>
    <w:rsid w:val="00F97EFC"/>
    <w:rsid w:val="00FA5883"/>
    <w:rsid w:val="00FA6055"/>
    <w:rsid w:val="00FB0F02"/>
    <w:rsid w:val="00FB322F"/>
    <w:rsid w:val="00FB442F"/>
    <w:rsid w:val="00FC1929"/>
    <w:rsid w:val="00FC5B46"/>
    <w:rsid w:val="00FD6D8E"/>
    <w:rsid w:val="00FE0E94"/>
    <w:rsid w:val="00FE49BC"/>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0B3876"/>
    <w:pPr>
      <w:keepNext/>
      <w:keepLines/>
      <w:widowControl/>
      <w:numPr>
        <w:numId w:val="14"/>
      </w:numPr>
      <w:spacing w:before="240" w:after="120"/>
      <w:ind w:left="709" w:hanging="709"/>
      <w:contextualSpacing w:val="0"/>
      <w:jc w:val="left"/>
      <w:outlineLvl w:val="0"/>
    </w:pPr>
    <w:rPr>
      <w:rFonts w:asciiTheme="minorHAnsi" w:hAnsiTheme="minorHAnsi"/>
      <w:b/>
      <w:sz w:val="32"/>
      <w:szCs w:val="32"/>
    </w:rPr>
  </w:style>
  <w:style w:type="paragraph" w:styleId="Heading2">
    <w:name w:val="heading 2"/>
    <w:basedOn w:val="Normal"/>
    <w:next w:val="Normal"/>
    <w:link w:val="Heading2Char"/>
    <w:uiPriority w:val="1"/>
    <w:qFormat/>
    <w:rsid w:val="000B3876"/>
    <w:pPr>
      <w:keepNext/>
      <w:keepLines/>
      <w:spacing w:before="12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0B3876"/>
    <w:rPr>
      <w:rFonts w:asciiTheme="minorHAnsi" w:hAnsiTheme="minorHAnsi" w:cs="Arial"/>
      <w:b/>
      <w:snapToGrid w:val="0"/>
      <w:sz w:val="32"/>
      <w:szCs w:val="32"/>
      <w:lang w:eastAsia="en-US"/>
    </w:rPr>
  </w:style>
  <w:style w:type="character" w:customStyle="1" w:styleId="Heading2Char">
    <w:name w:val="Heading 2 Char"/>
    <w:basedOn w:val="DefaultParagraphFont"/>
    <w:link w:val="Heading2"/>
    <w:uiPriority w:val="1"/>
    <w:rsid w:val="000B3876"/>
    <w:rPr>
      <w:rFonts w:asciiTheme="minorHAnsi" w:eastAsiaTheme="majorEastAsia" w:hAnsiTheme="minorHAnsi" w:cstheme="majorBidi"/>
      <w:b/>
      <w: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0B3876"/>
    <w:pPr>
      <w:keepNext/>
      <w:keepLines/>
      <w:widowControl/>
      <w:numPr>
        <w:numId w:val="14"/>
      </w:numPr>
      <w:spacing w:before="240" w:after="120"/>
      <w:ind w:left="709" w:hanging="709"/>
      <w:contextualSpacing w:val="0"/>
      <w:jc w:val="left"/>
      <w:outlineLvl w:val="0"/>
    </w:pPr>
    <w:rPr>
      <w:rFonts w:asciiTheme="minorHAnsi" w:hAnsiTheme="minorHAnsi"/>
      <w:b/>
      <w:sz w:val="32"/>
      <w:szCs w:val="32"/>
    </w:rPr>
  </w:style>
  <w:style w:type="paragraph" w:styleId="Heading2">
    <w:name w:val="heading 2"/>
    <w:basedOn w:val="Normal"/>
    <w:next w:val="Normal"/>
    <w:link w:val="Heading2Char"/>
    <w:uiPriority w:val="1"/>
    <w:qFormat/>
    <w:rsid w:val="000B3876"/>
    <w:pPr>
      <w:keepNext/>
      <w:keepLines/>
      <w:spacing w:before="12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0B3876"/>
    <w:rPr>
      <w:rFonts w:asciiTheme="minorHAnsi" w:hAnsiTheme="minorHAnsi" w:cs="Arial"/>
      <w:b/>
      <w:snapToGrid w:val="0"/>
      <w:sz w:val="32"/>
      <w:szCs w:val="32"/>
      <w:lang w:eastAsia="en-US"/>
    </w:rPr>
  </w:style>
  <w:style w:type="character" w:customStyle="1" w:styleId="Heading2Char">
    <w:name w:val="Heading 2 Char"/>
    <w:basedOn w:val="DefaultParagraphFont"/>
    <w:link w:val="Heading2"/>
    <w:uiPriority w:val="1"/>
    <w:rsid w:val="000B3876"/>
    <w:rPr>
      <w:rFonts w:asciiTheme="minorHAnsi" w:eastAsiaTheme="majorEastAsia" w:hAnsiTheme="minorHAnsi" w:cstheme="majorBidi"/>
      <w:b/>
      <w: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BCA0D-F16D-495D-90B5-7ED72A75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2076</Words>
  <Characters>11940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2018-06-19T06:14:00Z</dcterms:created>
  <dcterms:modified xsi:type="dcterms:W3CDTF">2018-06-22T00:12:00Z</dcterms:modified>
</cp:coreProperties>
</file>