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B802B6" w:rsidP="00577C4D">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7.08</w:t>
      </w:r>
      <w:r w:rsidR="007C0F57" w:rsidRPr="002B5596">
        <w:rPr>
          <w:rFonts w:asciiTheme="minorHAnsi" w:hAnsiTheme="minorHAnsi"/>
          <w:sz w:val="36"/>
          <w:szCs w:val="36"/>
        </w:rPr>
        <w:tab/>
      </w:r>
      <w:r>
        <w:rPr>
          <w:rFonts w:asciiTheme="minorHAnsi" w:hAnsiTheme="minorHAnsi"/>
          <w:sz w:val="36"/>
          <w:szCs w:val="36"/>
        </w:rPr>
        <w:t>CLADRIBINE</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Pr>
          <w:rFonts w:asciiTheme="minorHAnsi" w:hAnsiTheme="minorHAnsi"/>
          <w:sz w:val="36"/>
          <w:szCs w:val="36"/>
        </w:rPr>
        <w:t>Tablet, 10 mg</w:t>
      </w:r>
      <w:r w:rsidR="0004240E" w:rsidRPr="002B5596">
        <w:rPr>
          <w:rFonts w:asciiTheme="minorHAnsi" w:hAnsiTheme="minorHAnsi"/>
          <w:sz w:val="36"/>
          <w:szCs w:val="36"/>
        </w:rPr>
        <w: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Pr>
          <w:rFonts w:asciiTheme="minorHAnsi" w:hAnsiTheme="minorHAnsi"/>
          <w:sz w:val="36"/>
          <w:szCs w:val="36"/>
        </w:rPr>
        <w:t>Mavenclad</w:t>
      </w:r>
      <w:r w:rsidR="0004240E" w:rsidRPr="002B5596">
        <w:rPr>
          <w:rFonts w:asciiTheme="minorHAnsi" w:hAnsiTheme="minorHAnsi"/>
          <w:sz w:val="36"/>
          <w:szCs w:val="36"/>
          <w:vertAlign w:val="superscript"/>
        </w:rPr>
        <w:t>®</w:t>
      </w:r>
      <w:r>
        <w:rPr>
          <w:rFonts w:asciiTheme="minorHAnsi" w:hAnsiTheme="minorHAnsi"/>
          <w:sz w:val="36"/>
          <w:szCs w:val="36"/>
        </w:rPr>
        <w:t>, Merck</w:t>
      </w:r>
      <w:r w:rsidR="002F0F60">
        <w:rPr>
          <w:rFonts w:asciiTheme="minorHAnsi" w:hAnsiTheme="minorHAnsi"/>
          <w:sz w:val="36"/>
          <w:szCs w:val="36"/>
        </w:rPr>
        <w:t xml:space="preserve"> </w:t>
      </w:r>
      <w:r w:rsidR="002F0F60" w:rsidRPr="002F0F60">
        <w:rPr>
          <w:rFonts w:asciiTheme="minorHAnsi" w:hAnsiTheme="minorHAnsi"/>
          <w:sz w:val="36"/>
          <w:szCs w:val="36"/>
        </w:rPr>
        <w:t>Serono Australia Pty Ltd</w:t>
      </w:r>
    </w:p>
    <w:p w:rsidR="008A50F1" w:rsidRPr="00D4572C" w:rsidRDefault="00CE10C4" w:rsidP="00053440">
      <w:pPr>
        <w:pStyle w:val="PBACHeading1"/>
      </w:pPr>
      <w:r w:rsidRPr="002B5596">
        <w:t xml:space="preserve">Purpose of </w:t>
      </w:r>
      <w:r w:rsidR="0004240E" w:rsidRPr="002B5596">
        <w:t>Application</w:t>
      </w:r>
    </w:p>
    <w:p w:rsidR="006A12A5" w:rsidRPr="001B2BB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w:t>
      </w:r>
      <w:r w:rsidR="00394955">
        <w:rPr>
          <w:rFonts w:asciiTheme="minorHAnsi" w:eastAsiaTheme="minorHAnsi" w:hAnsiTheme="minorHAnsi" w:cstheme="minorBidi"/>
          <w:snapToGrid/>
          <w:sz w:val="24"/>
          <w:szCs w:val="22"/>
        </w:rPr>
        <w:t>re</w:t>
      </w:r>
      <w:r w:rsidR="00130BA3">
        <w:rPr>
          <w:rFonts w:asciiTheme="minorHAnsi" w:eastAsiaTheme="minorHAnsi" w:hAnsiTheme="minorHAnsi" w:cstheme="minorBidi"/>
          <w:snapToGrid/>
          <w:sz w:val="24"/>
          <w:szCs w:val="22"/>
        </w:rPr>
        <w:t xml:space="preserve">submission </w:t>
      </w:r>
      <w:r w:rsidR="00FF2801" w:rsidRPr="001B2BBC">
        <w:rPr>
          <w:rFonts w:asciiTheme="minorHAnsi" w:eastAsiaTheme="minorHAnsi" w:hAnsiTheme="minorHAnsi" w:cstheme="minorBidi"/>
          <w:snapToGrid/>
          <w:sz w:val="24"/>
          <w:szCs w:val="22"/>
        </w:rPr>
        <w:t>requested</w:t>
      </w:r>
      <w:r w:rsidR="004D0AF9">
        <w:rPr>
          <w:rFonts w:asciiTheme="minorHAnsi" w:eastAsiaTheme="minorHAnsi" w:hAnsiTheme="minorHAnsi" w:cstheme="minorBidi"/>
          <w:snapToGrid/>
          <w:sz w:val="24"/>
          <w:szCs w:val="22"/>
        </w:rPr>
        <w:t xml:space="preserve"> </w:t>
      </w:r>
      <w:r w:rsidR="00C60A17">
        <w:rPr>
          <w:rFonts w:asciiTheme="minorHAnsi" w:eastAsiaTheme="minorHAnsi" w:hAnsiTheme="minorHAnsi" w:cstheme="minorBidi"/>
          <w:snapToGrid/>
          <w:sz w:val="24"/>
          <w:szCs w:val="22"/>
        </w:rPr>
        <w:t xml:space="preserve">a </w:t>
      </w:r>
      <w:r w:rsidR="004D0AF9">
        <w:rPr>
          <w:rFonts w:asciiTheme="minorHAnsi" w:eastAsiaTheme="minorHAnsi" w:hAnsiTheme="minorHAnsi" w:cstheme="minorBidi"/>
          <w:snapToGrid/>
          <w:sz w:val="24"/>
          <w:szCs w:val="22"/>
        </w:rPr>
        <w:t>general schedule</w:t>
      </w:r>
      <w:r w:rsidR="00130BA3">
        <w:rPr>
          <w:rFonts w:asciiTheme="minorHAnsi" w:eastAsiaTheme="minorHAnsi" w:hAnsiTheme="minorHAnsi" w:cstheme="minorBidi"/>
          <w:snapToGrid/>
          <w:sz w:val="24"/>
          <w:szCs w:val="22"/>
        </w:rPr>
        <w:t xml:space="preserve"> listing </w:t>
      </w:r>
      <w:r w:rsidR="004D0AF9">
        <w:rPr>
          <w:rFonts w:asciiTheme="minorHAnsi" w:eastAsiaTheme="minorHAnsi" w:hAnsiTheme="minorHAnsi" w:cstheme="minorBidi"/>
          <w:snapToGrid/>
          <w:sz w:val="24"/>
          <w:szCs w:val="22"/>
        </w:rPr>
        <w:t>for cladribine tablets for the treatment of patients with relapsing remitting multiple sclerosis</w:t>
      </w:r>
      <w:r w:rsidR="00130BA3">
        <w:rPr>
          <w:rFonts w:asciiTheme="minorHAnsi" w:eastAsiaTheme="minorHAnsi" w:hAnsiTheme="minorHAnsi" w:cstheme="minorBidi"/>
          <w:snapToGrid/>
          <w:sz w:val="24"/>
          <w:szCs w:val="22"/>
        </w:rPr>
        <w:t xml:space="preserve"> </w:t>
      </w:r>
      <w:r w:rsidR="004D0AF9">
        <w:rPr>
          <w:rFonts w:asciiTheme="minorHAnsi" w:eastAsiaTheme="minorHAnsi" w:hAnsiTheme="minorHAnsi" w:cstheme="minorBidi"/>
          <w:snapToGrid/>
          <w:sz w:val="24"/>
          <w:szCs w:val="22"/>
        </w:rPr>
        <w:t xml:space="preserve">(RRMS). </w:t>
      </w:r>
    </w:p>
    <w:p w:rsidR="006A12A5" w:rsidRPr="00577C4D" w:rsidRDefault="006A12A5" w:rsidP="00053440">
      <w:pPr>
        <w:pStyle w:val="PBACHeading1"/>
      </w:pPr>
      <w:r w:rsidRPr="002B5596">
        <w:t>Requested listing</w:t>
      </w:r>
    </w:p>
    <w:p w:rsidR="00A95ABB" w:rsidRPr="00A95ABB" w:rsidRDefault="00D42F8F" w:rsidP="00A95ABB">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30112F">
        <w:rPr>
          <w:rFonts w:asciiTheme="minorHAnsi" w:eastAsiaTheme="minorHAnsi" w:hAnsiTheme="minorHAnsi" w:cstheme="minorBidi"/>
          <w:snapToGrid/>
          <w:sz w:val="24"/>
          <w:szCs w:val="22"/>
        </w:rPr>
        <w:t>The minor resubmission requested the following new listing. Suggestions and additions proposed by the Secretariat to the requested listing are added in italics and suggested deletions are crossed out with strikethrough.</w:t>
      </w:r>
    </w:p>
    <w:tbl>
      <w:tblPr>
        <w:tblW w:w="5000" w:type="pct"/>
        <w:tblLook w:val="0000" w:firstRow="0" w:lastRow="0" w:firstColumn="0" w:lastColumn="0" w:noHBand="0" w:noVBand="0"/>
      </w:tblPr>
      <w:tblGrid>
        <w:gridCol w:w="1811"/>
        <w:gridCol w:w="1140"/>
        <w:gridCol w:w="581"/>
        <w:gridCol w:w="601"/>
        <w:gridCol w:w="2329"/>
        <w:gridCol w:w="1420"/>
        <w:gridCol w:w="1360"/>
      </w:tblGrid>
      <w:tr w:rsidR="00163329" w:rsidRPr="0039782C" w:rsidTr="00053440">
        <w:trPr>
          <w:cantSplit/>
          <w:trHeight w:val="465"/>
        </w:trPr>
        <w:tc>
          <w:tcPr>
            <w:tcW w:w="1597"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14"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325"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1260" w:type="pct"/>
            <w:tcBorders>
              <w:bottom w:val="single" w:sz="4" w:space="0" w:color="auto"/>
            </w:tcBorders>
          </w:tcPr>
          <w:p w:rsidR="00D921A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for Max. Qty</w:t>
            </w:r>
          </w:p>
        </w:tc>
        <w:tc>
          <w:tcPr>
            <w:tcW w:w="1504"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E01D55" w:rsidRPr="00260CE3" w:rsidTr="00053440">
        <w:trPr>
          <w:cantSplit/>
          <w:trHeight w:val="567"/>
        </w:trPr>
        <w:tc>
          <w:tcPr>
            <w:tcW w:w="1597" w:type="pct"/>
            <w:gridSpan w:val="2"/>
          </w:tcPr>
          <w:p w:rsidR="00826F6D" w:rsidRPr="00260CE3" w:rsidRDefault="00763DB2" w:rsidP="00EB0B63">
            <w:pPr>
              <w:keepNext/>
              <w:spacing w:before="40" w:after="40"/>
              <w:jc w:val="both"/>
              <w:rPr>
                <w:rFonts w:ascii="Arial Narrow" w:hAnsi="Arial Narrow" w:cs="Arial"/>
                <w:sz w:val="20"/>
                <w:szCs w:val="20"/>
              </w:rPr>
            </w:pPr>
            <w:r>
              <w:rPr>
                <w:rFonts w:ascii="Arial Narrow" w:hAnsi="Arial Narrow" w:cs="Arial"/>
                <w:smallCaps/>
                <w:sz w:val="20"/>
                <w:szCs w:val="20"/>
              </w:rPr>
              <w:t>CLADRIBINE</w:t>
            </w:r>
          </w:p>
          <w:p w:rsidR="00826F6D" w:rsidRPr="00D42F8F" w:rsidRDefault="00763DB2" w:rsidP="00EB0B63">
            <w:pPr>
              <w:keepNext/>
              <w:spacing w:before="40" w:after="40"/>
              <w:jc w:val="both"/>
              <w:rPr>
                <w:rFonts w:ascii="Arial Narrow" w:hAnsi="Arial Narrow" w:cs="Arial"/>
                <w:i/>
                <w:sz w:val="20"/>
                <w:szCs w:val="20"/>
              </w:rPr>
            </w:pPr>
            <w:r w:rsidRPr="00D42F8F">
              <w:rPr>
                <w:rFonts w:ascii="Arial Narrow" w:hAnsi="Arial Narrow" w:cs="Arial"/>
                <w:i/>
                <w:sz w:val="20"/>
                <w:szCs w:val="20"/>
              </w:rPr>
              <w:t>Tablet 10 mg,1</w:t>
            </w:r>
          </w:p>
          <w:p w:rsidR="00763DB2" w:rsidRPr="00D42F8F" w:rsidRDefault="00763DB2" w:rsidP="00EB0B63">
            <w:pPr>
              <w:keepNext/>
              <w:spacing w:before="40" w:after="40"/>
              <w:jc w:val="both"/>
              <w:rPr>
                <w:rFonts w:ascii="Arial Narrow" w:hAnsi="Arial Narrow" w:cs="Arial"/>
                <w:i/>
                <w:sz w:val="20"/>
                <w:szCs w:val="20"/>
              </w:rPr>
            </w:pPr>
            <w:r w:rsidRPr="00D42F8F">
              <w:rPr>
                <w:rFonts w:ascii="Arial Narrow" w:hAnsi="Arial Narrow" w:cs="Arial"/>
                <w:i/>
                <w:sz w:val="20"/>
                <w:szCs w:val="20"/>
              </w:rPr>
              <w:t>Tablet 10 mg, 4</w:t>
            </w:r>
          </w:p>
          <w:p w:rsidR="00763DB2" w:rsidRPr="00260CE3" w:rsidRDefault="00763DB2" w:rsidP="00EB0B63">
            <w:pPr>
              <w:keepNext/>
              <w:spacing w:before="40" w:after="40"/>
              <w:jc w:val="both"/>
              <w:rPr>
                <w:rFonts w:ascii="Arial Narrow" w:hAnsi="Arial Narrow" w:cs="Arial"/>
                <w:sz w:val="20"/>
                <w:szCs w:val="20"/>
              </w:rPr>
            </w:pPr>
            <w:r w:rsidRPr="00D42F8F">
              <w:rPr>
                <w:rFonts w:ascii="Arial Narrow" w:hAnsi="Arial Narrow" w:cs="Arial"/>
                <w:i/>
                <w:sz w:val="20"/>
                <w:szCs w:val="20"/>
              </w:rPr>
              <w:t>Tablet 10 mg, 6</w:t>
            </w:r>
          </w:p>
        </w:tc>
        <w:tc>
          <w:tcPr>
            <w:tcW w:w="314" w:type="pct"/>
          </w:tcPr>
          <w:p w:rsidR="00826F6D" w:rsidRPr="00D42F8F" w:rsidRDefault="00826F6D" w:rsidP="006D7CB1">
            <w:pPr>
              <w:keepNext/>
              <w:spacing w:before="40" w:after="40"/>
              <w:jc w:val="center"/>
              <w:rPr>
                <w:rFonts w:ascii="Arial Narrow" w:hAnsi="Arial Narrow" w:cs="Arial"/>
                <w:i/>
                <w:sz w:val="20"/>
                <w:szCs w:val="20"/>
              </w:rPr>
            </w:pPr>
          </w:p>
          <w:p w:rsidR="00826F6D" w:rsidRPr="00D42F8F" w:rsidRDefault="00763DB2" w:rsidP="006D7CB1">
            <w:pPr>
              <w:keepNext/>
              <w:spacing w:before="40" w:after="40"/>
              <w:jc w:val="center"/>
              <w:rPr>
                <w:rFonts w:ascii="Arial Narrow" w:hAnsi="Arial Narrow" w:cs="Arial"/>
                <w:i/>
                <w:sz w:val="20"/>
                <w:szCs w:val="20"/>
              </w:rPr>
            </w:pPr>
            <w:r w:rsidRPr="00D42F8F">
              <w:rPr>
                <w:rFonts w:ascii="Arial Narrow" w:hAnsi="Arial Narrow" w:cs="Arial"/>
                <w:i/>
                <w:sz w:val="20"/>
                <w:szCs w:val="20"/>
              </w:rPr>
              <w:t>1</w:t>
            </w:r>
          </w:p>
          <w:p w:rsidR="00763DB2" w:rsidRPr="00D42F8F" w:rsidRDefault="00763DB2" w:rsidP="006D7CB1">
            <w:pPr>
              <w:keepNext/>
              <w:spacing w:before="40" w:after="40"/>
              <w:jc w:val="center"/>
              <w:rPr>
                <w:rFonts w:ascii="Arial Narrow" w:hAnsi="Arial Narrow" w:cs="Arial"/>
                <w:i/>
                <w:sz w:val="20"/>
                <w:szCs w:val="20"/>
              </w:rPr>
            </w:pPr>
            <w:r w:rsidRPr="00D42F8F">
              <w:rPr>
                <w:rFonts w:ascii="Arial Narrow" w:hAnsi="Arial Narrow" w:cs="Arial"/>
                <w:i/>
                <w:sz w:val="20"/>
                <w:szCs w:val="20"/>
              </w:rPr>
              <w:t>2</w:t>
            </w:r>
          </w:p>
          <w:p w:rsidR="00763DB2" w:rsidRPr="00D42F8F" w:rsidRDefault="00763DB2" w:rsidP="006D7CB1">
            <w:pPr>
              <w:keepNext/>
              <w:spacing w:before="40" w:after="40"/>
              <w:jc w:val="center"/>
              <w:rPr>
                <w:rFonts w:ascii="Arial Narrow" w:hAnsi="Arial Narrow" w:cs="Arial"/>
                <w:i/>
                <w:sz w:val="20"/>
                <w:szCs w:val="20"/>
              </w:rPr>
            </w:pPr>
            <w:r w:rsidRPr="00D42F8F">
              <w:rPr>
                <w:rFonts w:ascii="Arial Narrow" w:hAnsi="Arial Narrow" w:cs="Arial"/>
                <w:i/>
                <w:sz w:val="20"/>
                <w:szCs w:val="20"/>
              </w:rPr>
              <w:t>1</w:t>
            </w:r>
          </w:p>
        </w:tc>
        <w:tc>
          <w:tcPr>
            <w:tcW w:w="325" w:type="pct"/>
          </w:tcPr>
          <w:p w:rsidR="00826F6D" w:rsidRPr="00D42F8F" w:rsidRDefault="00826F6D" w:rsidP="006D7CB1">
            <w:pPr>
              <w:keepNext/>
              <w:spacing w:before="40" w:after="40"/>
              <w:jc w:val="center"/>
              <w:rPr>
                <w:rFonts w:ascii="Arial Narrow" w:hAnsi="Arial Narrow" w:cs="Arial"/>
                <w:i/>
                <w:sz w:val="20"/>
                <w:szCs w:val="20"/>
              </w:rPr>
            </w:pPr>
          </w:p>
          <w:p w:rsidR="00826F6D" w:rsidRPr="00D42F8F" w:rsidRDefault="00763DB2" w:rsidP="006D7CB1">
            <w:pPr>
              <w:keepNext/>
              <w:spacing w:before="40" w:after="40"/>
              <w:jc w:val="center"/>
              <w:rPr>
                <w:rFonts w:ascii="Arial Narrow" w:hAnsi="Arial Narrow" w:cs="Arial"/>
                <w:i/>
                <w:sz w:val="20"/>
                <w:szCs w:val="20"/>
              </w:rPr>
            </w:pPr>
            <w:r w:rsidRPr="00D42F8F">
              <w:rPr>
                <w:rFonts w:ascii="Arial Narrow" w:hAnsi="Arial Narrow" w:cs="Arial"/>
                <w:i/>
                <w:sz w:val="20"/>
                <w:szCs w:val="20"/>
              </w:rPr>
              <w:t>1</w:t>
            </w:r>
          </w:p>
          <w:p w:rsidR="00763DB2" w:rsidRPr="00D42F8F" w:rsidRDefault="00763DB2" w:rsidP="006D7CB1">
            <w:pPr>
              <w:keepNext/>
              <w:spacing w:before="40" w:after="40"/>
              <w:jc w:val="center"/>
              <w:rPr>
                <w:rFonts w:ascii="Arial Narrow" w:hAnsi="Arial Narrow" w:cs="Arial"/>
                <w:i/>
                <w:sz w:val="20"/>
                <w:szCs w:val="20"/>
              </w:rPr>
            </w:pPr>
            <w:r w:rsidRPr="00D42F8F">
              <w:rPr>
                <w:rFonts w:ascii="Arial Narrow" w:hAnsi="Arial Narrow" w:cs="Arial"/>
                <w:i/>
                <w:sz w:val="20"/>
                <w:szCs w:val="20"/>
              </w:rPr>
              <w:t>1</w:t>
            </w:r>
          </w:p>
          <w:p w:rsidR="00763DB2" w:rsidRPr="00D42F8F" w:rsidRDefault="00763DB2" w:rsidP="006D7CB1">
            <w:pPr>
              <w:keepNext/>
              <w:spacing w:before="40" w:after="40"/>
              <w:jc w:val="center"/>
              <w:rPr>
                <w:rFonts w:ascii="Arial Narrow" w:hAnsi="Arial Narrow" w:cs="Arial"/>
                <w:i/>
                <w:sz w:val="20"/>
                <w:szCs w:val="20"/>
              </w:rPr>
            </w:pPr>
            <w:r w:rsidRPr="00D42F8F">
              <w:rPr>
                <w:rFonts w:ascii="Arial Narrow" w:hAnsi="Arial Narrow" w:cs="Arial"/>
                <w:i/>
                <w:sz w:val="20"/>
                <w:szCs w:val="20"/>
              </w:rPr>
              <w:t>1</w:t>
            </w:r>
          </w:p>
        </w:tc>
        <w:tc>
          <w:tcPr>
            <w:tcW w:w="1260" w:type="pct"/>
            <w:vAlign w:val="center"/>
          </w:tcPr>
          <w:p w:rsidR="00826F6D" w:rsidRPr="00E01D55" w:rsidRDefault="00826F6D" w:rsidP="00E01D55">
            <w:pPr>
              <w:keepNext/>
              <w:spacing w:before="40" w:after="40"/>
              <w:jc w:val="center"/>
              <w:rPr>
                <w:rFonts w:ascii="Arial Narrow" w:hAnsi="Arial Narrow" w:cs="Arial"/>
                <w:sz w:val="20"/>
                <w:szCs w:val="20"/>
              </w:rPr>
            </w:pPr>
            <w:r w:rsidRPr="00E01D55">
              <w:rPr>
                <w:rFonts w:ascii="Arial Narrow" w:hAnsi="Arial Narrow" w:cs="Arial"/>
                <w:sz w:val="20"/>
                <w:szCs w:val="20"/>
              </w:rPr>
              <w:t>$</w:t>
            </w:r>
            <w:r w:rsidR="00AA2608">
              <w:rPr>
                <w:rFonts w:ascii="Arial Narrow" w:hAnsi="Arial Narrow" w:cs="Arial"/>
                <w:noProof/>
                <w:color w:val="000000"/>
                <w:sz w:val="20"/>
                <w:szCs w:val="20"/>
                <w:highlight w:val="black"/>
              </w:rPr>
              <w:t>''''''''''''''''''''''</w:t>
            </w:r>
            <w:r w:rsidR="00E01D55">
              <w:rPr>
                <w:rFonts w:ascii="Arial Narrow" w:hAnsi="Arial Narrow" w:cs="Arial"/>
                <w:sz w:val="20"/>
                <w:szCs w:val="20"/>
              </w:rPr>
              <w:t xml:space="preserve"> (for 7 tablets)</w:t>
            </w:r>
          </w:p>
          <w:p w:rsidR="00D42F8F" w:rsidRPr="00D42F8F" w:rsidRDefault="00E01D55" w:rsidP="00E01D55">
            <w:pPr>
              <w:keepNext/>
              <w:spacing w:before="40" w:after="40"/>
              <w:jc w:val="center"/>
              <w:rPr>
                <w:rFonts w:ascii="Arial Narrow" w:hAnsi="Arial Narrow" w:cs="Arial"/>
                <w:i/>
                <w:sz w:val="20"/>
                <w:szCs w:val="20"/>
              </w:rPr>
            </w:pPr>
            <w:r>
              <w:rPr>
                <w:rFonts w:ascii="Arial Narrow" w:hAnsi="Arial Narrow" w:cs="Arial"/>
                <w:i/>
                <w:sz w:val="20"/>
                <w:szCs w:val="20"/>
              </w:rPr>
              <w:t>DPMQ for different pack sizes are to be determined</w:t>
            </w:r>
          </w:p>
        </w:tc>
        <w:tc>
          <w:tcPr>
            <w:tcW w:w="768" w:type="pct"/>
          </w:tcPr>
          <w:p w:rsidR="00C27B58" w:rsidRDefault="00C27B58" w:rsidP="006D7CB1">
            <w:pPr>
              <w:keepNext/>
              <w:spacing w:before="40" w:after="40"/>
              <w:jc w:val="center"/>
              <w:rPr>
                <w:rFonts w:ascii="Arial Narrow" w:hAnsi="Arial Narrow" w:cs="Arial"/>
                <w:sz w:val="20"/>
                <w:szCs w:val="20"/>
              </w:rPr>
            </w:pPr>
          </w:p>
          <w:p w:rsidR="00826F6D" w:rsidRPr="00260CE3" w:rsidRDefault="008E0AA5" w:rsidP="006D7CB1">
            <w:pPr>
              <w:keepNext/>
              <w:spacing w:before="40" w:after="40"/>
              <w:jc w:val="center"/>
              <w:rPr>
                <w:rFonts w:ascii="Arial Narrow" w:hAnsi="Arial Narrow" w:cs="Arial"/>
                <w:sz w:val="20"/>
                <w:szCs w:val="20"/>
              </w:rPr>
            </w:pPr>
            <w:r>
              <w:rPr>
                <w:rFonts w:ascii="Arial Narrow" w:hAnsi="Arial Narrow" w:cs="Arial"/>
                <w:sz w:val="20"/>
                <w:szCs w:val="20"/>
              </w:rPr>
              <w:t>MAVENCLAD</w:t>
            </w:r>
            <w:r w:rsidRPr="00EA448D">
              <w:rPr>
                <w:szCs w:val="20"/>
              </w:rPr>
              <w:t>®</w:t>
            </w:r>
          </w:p>
        </w:tc>
        <w:tc>
          <w:tcPr>
            <w:tcW w:w="736" w:type="pct"/>
          </w:tcPr>
          <w:p w:rsidR="00C27B58" w:rsidRDefault="00C27B58" w:rsidP="006D7CB1">
            <w:pPr>
              <w:keepNext/>
              <w:spacing w:before="40" w:after="40"/>
              <w:jc w:val="center"/>
              <w:rPr>
                <w:rFonts w:ascii="Arial Narrow" w:hAnsi="Arial Narrow" w:cs="Arial"/>
                <w:sz w:val="20"/>
                <w:szCs w:val="20"/>
              </w:rPr>
            </w:pPr>
          </w:p>
          <w:p w:rsidR="00826F6D" w:rsidRPr="00260CE3" w:rsidRDefault="008E0AA5" w:rsidP="006D7CB1">
            <w:pPr>
              <w:keepNext/>
              <w:spacing w:before="40" w:after="40"/>
              <w:jc w:val="center"/>
              <w:rPr>
                <w:rFonts w:ascii="Arial Narrow" w:hAnsi="Arial Narrow" w:cs="Arial"/>
                <w:sz w:val="20"/>
                <w:szCs w:val="20"/>
              </w:rPr>
            </w:pPr>
            <w:r>
              <w:rPr>
                <w:rFonts w:ascii="Arial Narrow" w:hAnsi="Arial Narrow" w:cs="Arial"/>
                <w:sz w:val="20"/>
                <w:szCs w:val="20"/>
              </w:rPr>
              <w:t>Merck</w:t>
            </w:r>
          </w:p>
        </w:tc>
      </w:tr>
      <w:tr w:rsidR="00826F6D" w:rsidRPr="00260CE3"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26F6D" w:rsidRPr="00260CE3" w:rsidRDefault="00826F6D" w:rsidP="006D7CB1">
            <w:pPr>
              <w:spacing w:before="40" w:after="40"/>
              <w:jc w:val="both"/>
              <w:rPr>
                <w:rFonts w:ascii="Arial Narrow" w:hAnsi="Arial Narrow" w:cs="Arial"/>
                <w:b/>
                <w:sz w:val="20"/>
                <w:szCs w:val="20"/>
              </w:rPr>
            </w:pPr>
            <w:r w:rsidRPr="006D7CB1">
              <w:rPr>
                <w:rFonts w:ascii="Arial Narrow" w:hAnsi="Arial Narrow" w:cs="Arial"/>
                <w:b/>
                <w:sz w:val="20"/>
                <w:szCs w:val="20"/>
              </w:rPr>
              <w:t>Category / Program</w:t>
            </w:r>
          </w:p>
        </w:tc>
        <w:tc>
          <w:tcPr>
            <w:tcW w:w="4020"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6D7CB1">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20"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6D7CB1">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7E7728">
              <w:rPr>
                <w:rFonts w:ascii="Arial Narrow" w:hAnsi="Arial Narrow" w:cs="Arial"/>
                <w:sz w:val="20"/>
                <w:szCs w:val="20"/>
              </w:rPr>
              <w:fldChar w:fldCharType="begin">
                <w:ffData>
                  <w:name w:val=""/>
                  <w:enabled/>
                  <w:calcOnExit w:val="0"/>
                  <w:checkBox>
                    <w:sizeAuto/>
                    <w:default w:val="1"/>
                  </w:checkBox>
                </w:ffData>
              </w:fldChar>
            </w:r>
            <w:r w:rsidR="007E7728">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007E7728">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6D7CB1">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20" w:type="pct"/>
            <w:gridSpan w:val="6"/>
            <w:tcBorders>
              <w:top w:val="single" w:sz="4" w:space="0" w:color="auto"/>
              <w:left w:val="single" w:sz="4" w:space="0" w:color="auto"/>
              <w:bottom w:val="single" w:sz="4" w:space="0" w:color="auto"/>
              <w:right w:val="single" w:sz="4" w:space="0" w:color="auto"/>
            </w:tcBorders>
          </w:tcPr>
          <w:p w:rsidR="00826F6D" w:rsidRPr="00260CE3" w:rsidRDefault="007E7728" w:rsidP="00EB0B63">
            <w:pPr>
              <w:spacing w:before="40" w:after="40"/>
              <w:rPr>
                <w:rFonts w:ascii="Arial Narrow" w:hAnsi="Arial Narrow" w:cs="Arial"/>
                <w:sz w:val="20"/>
                <w:szCs w:val="20"/>
              </w:rPr>
            </w:pPr>
            <w:r w:rsidRPr="007E7728">
              <w:rPr>
                <w:rFonts w:ascii="Arial Narrow" w:hAnsi="Arial Narrow" w:cs="Arial"/>
                <w:sz w:val="20"/>
                <w:szCs w:val="20"/>
              </w:rPr>
              <w:t>Relapsing remitting multiple sclerosis</w:t>
            </w:r>
          </w:p>
        </w:tc>
      </w:tr>
      <w:tr w:rsidR="00826F6D" w:rsidRPr="00260CE3"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20" w:type="pct"/>
            <w:gridSpan w:val="6"/>
            <w:tcBorders>
              <w:top w:val="single" w:sz="4" w:space="0" w:color="auto"/>
              <w:left w:val="single" w:sz="4" w:space="0" w:color="auto"/>
              <w:bottom w:val="single" w:sz="4" w:space="0" w:color="auto"/>
              <w:right w:val="single" w:sz="4" w:space="0" w:color="auto"/>
            </w:tcBorders>
          </w:tcPr>
          <w:p w:rsidR="00826F6D" w:rsidRPr="00260CE3" w:rsidRDefault="007E7728" w:rsidP="00EB0B63">
            <w:pPr>
              <w:spacing w:before="40" w:after="40"/>
              <w:rPr>
                <w:rFonts w:ascii="Arial Narrow" w:hAnsi="Arial Narrow" w:cs="Arial"/>
                <w:sz w:val="20"/>
                <w:szCs w:val="20"/>
              </w:rPr>
            </w:pPr>
            <w:r w:rsidRPr="006D7CB1">
              <w:rPr>
                <w:rFonts w:ascii="Arial Narrow" w:hAnsi="Arial Narrow" w:cs="Arial"/>
                <w:i/>
                <w:sz w:val="20"/>
                <w:szCs w:val="20"/>
              </w:rPr>
              <w:t>Relapsing remitting</w:t>
            </w:r>
            <w:r w:rsidRPr="007E7728">
              <w:rPr>
                <w:rFonts w:ascii="Arial Narrow" w:hAnsi="Arial Narrow" w:cs="Arial"/>
                <w:sz w:val="20"/>
                <w:szCs w:val="20"/>
              </w:rPr>
              <w:t xml:space="preserve"> multiple sclerosis</w:t>
            </w:r>
          </w:p>
        </w:tc>
      </w:tr>
      <w:tr w:rsidR="00826F6D" w:rsidRPr="00260CE3"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26F6D" w:rsidRPr="00260CE3" w:rsidRDefault="00826F6D" w:rsidP="006D7CB1">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20" w:type="pct"/>
            <w:gridSpan w:val="6"/>
            <w:tcBorders>
              <w:top w:val="single" w:sz="4" w:space="0" w:color="auto"/>
              <w:left w:val="single" w:sz="4" w:space="0" w:color="auto"/>
              <w:bottom w:val="single" w:sz="4" w:space="0" w:color="auto"/>
              <w:right w:val="single" w:sz="4" w:space="0" w:color="auto"/>
            </w:tcBorders>
          </w:tcPr>
          <w:p w:rsidR="00826F6D" w:rsidRPr="00260CE3" w:rsidRDefault="007E7728" w:rsidP="00EB0B63">
            <w:pPr>
              <w:spacing w:before="40" w:after="40"/>
              <w:rPr>
                <w:rFonts w:ascii="Arial Narrow" w:hAnsi="Arial Narrow" w:cs="Arial"/>
                <w:sz w:val="20"/>
                <w:szCs w:val="20"/>
              </w:rPr>
            </w:pPr>
            <w:r w:rsidRPr="007E7728">
              <w:rPr>
                <w:rFonts w:ascii="Arial Narrow" w:hAnsi="Arial Narrow" w:cs="Arial"/>
                <w:sz w:val="20"/>
                <w:szCs w:val="20"/>
              </w:rPr>
              <w:t>Initial</w:t>
            </w:r>
            <w:r>
              <w:rPr>
                <w:rFonts w:ascii="Arial Narrow" w:hAnsi="Arial Narrow" w:cs="Arial"/>
                <w:sz w:val="20"/>
                <w:szCs w:val="20"/>
              </w:rPr>
              <w:t xml:space="preserve"> </w:t>
            </w:r>
            <w:r w:rsidRPr="006D7CB1">
              <w:rPr>
                <w:rFonts w:ascii="Arial Narrow" w:hAnsi="Arial Narrow" w:cs="Arial"/>
                <w:i/>
                <w:sz w:val="20"/>
                <w:szCs w:val="20"/>
              </w:rPr>
              <w:t>treatment</w:t>
            </w:r>
          </w:p>
        </w:tc>
      </w:tr>
      <w:tr w:rsidR="00826F6D" w:rsidRPr="00260CE3"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EB0B63">
            <w:pPr>
              <w:spacing w:before="40" w:after="40"/>
              <w:rPr>
                <w:rFonts w:ascii="Arial Narrow" w:hAnsi="Arial Narrow" w:cs="Arial"/>
                <w:sz w:val="20"/>
                <w:szCs w:val="20"/>
              </w:rPr>
            </w:pPr>
          </w:p>
        </w:tc>
        <w:tc>
          <w:tcPr>
            <w:tcW w:w="4020" w:type="pct"/>
            <w:gridSpan w:val="6"/>
            <w:tcBorders>
              <w:top w:val="single" w:sz="4" w:space="0" w:color="auto"/>
              <w:left w:val="single" w:sz="4" w:space="0" w:color="auto"/>
              <w:bottom w:val="single" w:sz="4" w:space="0" w:color="auto"/>
              <w:right w:val="single" w:sz="4" w:space="0" w:color="auto"/>
            </w:tcBorders>
          </w:tcPr>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Default="007E7728"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 xml:space="preserve">Authority Required </w:t>
            </w:r>
            <w:r w:rsidR="006D7CB1">
              <w:rPr>
                <w:rFonts w:ascii="Arial Narrow" w:hAnsi="Arial Narrow" w:cs="Arial"/>
                <w:sz w:val="20"/>
                <w:szCs w:val="20"/>
              </w:rPr>
              <w:t>–</w:t>
            </w:r>
            <w:r w:rsidR="00826F6D" w:rsidRPr="00106BCF">
              <w:rPr>
                <w:rFonts w:ascii="Arial Narrow" w:hAnsi="Arial Narrow" w:cs="Arial"/>
                <w:sz w:val="20"/>
                <w:szCs w:val="20"/>
              </w:rPr>
              <w:t xml:space="preserve"> Telephone</w:t>
            </w:r>
          </w:p>
          <w:p w:rsidR="006D7CB1" w:rsidRPr="00106BCF" w:rsidRDefault="006D7CB1" w:rsidP="006D7CB1">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6D7CB1" w:rsidRPr="00106BCF" w:rsidRDefault="006D7CB1"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Authority Required - Electronic</w:t>
            </w:r>
          </w:p>
          <w:p w:rsidR="00826F6D" w:rsidRPr="00260CE3"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26F6D" w:rsidRPr="007E7728" w:rsidRDefault="00826F6D" w:rsidP="007E7728">
            <w:pPr>
              <w:spacing w:before="40" w:after="40"/>
              <w:rPr>
                <w:rFonts w:ascii="Arial Narrow" w:hAnsi="Arial Narrow" w:cs="Arial"/>
                <w:b/>
                <w:sz w:val="20"/>
                <w:szCs w:val="20"/>
              </w:rPr>
            </w:pPr>
            <w:r w:rsidRPr="00260CE3">
              <w:rPr>
                <w:rFonts w:ascii="Arial Narrow" w:hAnsi="Arial Narrow" w:cs="Arial"/>
                <w:b/>
                <w:sz w:val="20"/>
                <w:szCs w:val="20"/>
              </w:rPr>
              <w:t>Treatment criteria:</w:t>
            </w:r>
          </w:p>
        </w:tc>
        <w:tc>
          <w:tcPr>
            <w:tcW w:w="4020" w:type="pct"/>
            <w:gridSpan w:val="6"/>
            <w:tcBorders>
              <w:top w:val="single" w:sz="4" w:space="0" w:color="auto"/>
              <w:left w:val="single" w:sz="4" w:space="0" w:color="auto"/>
              <w:bottom w:val="single" w:sz="4" w:space="0" w:color="auto"/>
              <w:right w:val="single" w:sz="4" w:space="0" w:color="auto"/>
            </w:tcBorders>
          </w:tcPr>
          <w:p w:rsidR="00826F6D" w:rsidRPr="00260CE3" w:rsidRDefault="00621341" w:rsidP="006D7CB1">
            <w:pPr>
              <w:spacing w:before="40" w:after="40"/>
              <w:rPr>
                <w:rFonts w:ascii="Arial Narrow" w:hAnsi="Arial Narrow" w:cs="Arial"/>
                <w:sz w:val="20"/>
                <w:szCs w:val="20"/>
              </w:rPr>
            </w:pPr>
            <w:r w:rsidRPr="003C5B15">
              <w:rPr>
                <w:rFonts w:ascii="Arial Narrow" w:hAnsi="Arial Narrow" w:cs="Arial"/>
                <w:sz w:val="20"/>
                <w:szCs w:val="20"/>
              </w:rPr>
              <w:t xml:space="preserve">Must be initiated </w:t>
            </w:r>
            <w:r w:rsidRPr="003C5B15">
              <w:rPr>
                <w:rFonts w:ascii="Arial Narrow" w:hAnsi="Arial Narrow" w:cs="Arial"/>
                <w:strike/>
                <w:sz w:val="20"/>
                <w:szCs w:val="20"/>
              </w:rPr>
              <w:t>and supervised</w:t>
            </w:r>
            <w:r w:rsidRPr="003C5B15">
              <w:rPr>
                <w:rFonts w:ascii="Arial Narrow" w:hAnsi="Arial Narrow" w:cs="Arial"/>
                <w:sz w:val="20"/>
                <w:szCs w:val="20"/>
              </w:rPr>
              <w:t xml:space="preserve"> by </w:t>
            </w:r>
            <w:r w:rsidRPr="003C5B15">
              <w:rPr>
                <w:rFonts w:ascii="Arial Narrow" w:hAnsi="Arial Narrow" w:cs="Arial"/>
                <w:i/>
                <w:sz w:val="20"/>
                <w:szCs w:val="20"/>
              </w:rPr>
              <w:t>a</w:t>
            </w:r>
            <w:r w:rsidRPr="003C5B15">
              <w:rPr>
                <w:rFonts w:ascii="Arial Narrow" w:hAnsi="Arial Narrow" w:cs="Arial"/>
                <w:sz w:val="20"/>
                <w:szCs w:val="20"/>
              </w:rPr>
              <w:t xml:space="preserve"> neurologist</w:t>
            </w:r>
            <w:r w:rsidRPr="003C5B15">
              <w:rPr>
                <w:rFonts w:ascii="Arial Narrow" w:hAnsi="Arial Narrow" w:cs="Arial"/>
                <w:strike/>
                <w:sz w:val="20"/>
                <w:szCs w:val="20"/>
              </w:rPr>
              <w:t>s.</w:t>
            </w:r>
          </w:p>
        </w:tc>
      </w:tr>
      <w:tr w:rsidR="00826F6D" w:rsidRPr="00260CE3"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826F6D" w:rsidRPr="00260CE3" w:rsidRDefault="00826F6D" w:rsidP="00EB0B63">
            <w:pPr>
              <w:spacing w:before="40" w:after="40"/>
              <w:jc w:val="both"/>
              <w:rPr>
                <w:rFonts w:ascii="Arial Narrow" w:hAnsi="Arial Narrow" w:cs="Arial"/>
                <w:i/>
                <w:sz w:val="20"/>
                <w:szCs w:val="20"/>
              </w:rPr>
            </w:pPr>
          </w:p>
          <w:p w:rsidR="00826F6D" w:rsidRPr="00260CE3" w:rsidRDefault="00826F6D" w:rsidP="007E7728">
            <w:pPr>
              <w:spacing w:before="40" w:after="40"/>
              <w:jc w:val="both"/>
              <w:rPr>
                <w:rFonts w:ascii="Arial Narrow" w:hAnsi="Arial Narrow" w:cs="Arial"/>
                <w:sz w:val="20"/>
                <w:szCs w:val="20"/>
              </w:rPr>
            </w:pPr>
          </w:p>
        </w:tc>
        <w:tc>
          <w:tcPr>
            <w:tcW w:w="4020" w:type="pct"/>
            <w:gridSpan w:val="6"/>
            <w:tcBorders>
              <w:top w:val="single" w:sz="4" w:space="0" w:color="auto"/>
              <w:left w:val="single" w:sz="4" w:space="0" w:color="auto"/>
              <w:bottom w:val="single" w:sz="4" w:space="0" w:color="auto"/>
              <w:right w:val="single" w:sz="4" w:space="0" w:color="auto"/>
            </w:tcBorders>
          </w:tcPr>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 xml:space="preserve">The condition must be diagnosed as clinically definite relapsing-remitting multiple sclerosis by magnetic resonance imaging of the brain and/or spinal cord; </w:t>
            </w:r>
          </w:p>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OR</w:t>
            </w:r>
          </w:p>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AND</w:t>
            </w:r>
          </w:p>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The treatment must be a sole PBS-subsidised disease modifying therapy for this condition,</w:t>
            </w:r>
          </w:p>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AND</w:t>
            </w:r>
          </w:p>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Patient must have experienced at least 2 documented attacks of neurological dysfunction, believed to be due to the multiple sclerosis, in the preceding 2 years,</w:t>
            </w:r>
          </w:p>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AND</w:t>
            </w:r>
          </w:p>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Patient must be ambulatory (without assistance or support).</w:t>
            </w:r>
          </w:p>
          <w:p w:rsidR="00826F6D" w:rsidRPr="00260CE3" w:rsidRDefault="00621341" w:rsidP="00621341">
            <w:pPr>
              <w:spacing w:before="40" w:after="40"/>
              <w:rPr>
                <w:rFonts w:ascii="Arial Narrow" w:hAnsi="Arial Narrow" w:cs="Arial"/>
                <w:sz w:val="20"/>
                <w:szCs w:val="20"/>
              </w:rPr>
            </w:pPr>
            <w:r w:rsidRPr="003C5B15">
              <w:rPr>
                <w:rFonts w:ascii="Arial Narrow" w:hAnsi="Arial Narrow" w:cs="Arial"/>
                <w:strike/>
                <w:sz w:val="20"/>
                <w:szCs w:val="20"/>
              </w:rPr>
              <w:t>Where applicable, the date of the magnetic resonance imaging scan must be recorded in the patient's medical records.</w:t>
            </w:r>
          </w:p>
        </w:tc>
      </w:tr>
      <w:tr w:rsidR="00621341" w:rsidRPr="00260CE3"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621341" w:rsidRPr="003C5B15" w:rsidRDefault="00621341" w:rsidP="003745D9">
            <w:pPr>
              <w:jc w:val="both"/>
              <w:rPr>
                <w:rFonts w:ascii="Arial Narrow" w:hAnsi="Arial Narrow" w:cs="Arial"/>
                <w:b/>
                <w:sz w:val="20"/>
                <w:szCs w:val="20"/>
              </w:rPr>
            </w:pPr>
            <w:r w:rsidRPr="003C5B15">
              <w:rPr>
                <w:rFonts w:ascii="Arial Narrow" w:hAnsi="Arial Narrow" w:cs="Arial"/>
                <w:b/>
                <w:sz w:val="20"/>
                <w:szCs w:val="20"/>
              </w:rPr>
              <w:t>Prescriber Instructions</w:t>
            </w:r>
          </w:p>
        </w:tc>
        <w:tc>
          <w:tcPr>
            <w:tcW w:w="4020" w:type="pct"/>
            <w:gridSpan w:val="6"/>
            <w:tcBorders>
              <w:top w:val="single" w:sz="4" w:space="0" w:color="auto"/>
              <w:left w:val="single" w:sz="4" w:space="0" w:color="auto"/>
              <w:bottom w:val="single" w:sz="4" w:space="0" w:color="auto"/>
              <w:right w:val="single" w:sz="4" w:space="0" w:color="auto"/>
            </w:tcBorders>
          </w:tcPr>
          <w:p w:rsidR="00621341" w:rsidRDefault="00621341" w:rsidP="003745D9">
            <w:pPr>
              <w:rPr>
                <w:rFonts w:ascii="Arial Narrow" w:hAnsi="Arial Narrow" w:cs="Arial"/>
                <w:sz w:val="20"/>
                <w:szCs w:val="20"/>
              </w:rPr>
            </w:pPr>
            <w:r w:rsidRPr="003C5B15">
              <w:rPr>
                <w:rFonts w:ascii="Arial Narrow" w:hAnsi="Arial Narrow" w:cs="Arial"/>
                <w:sz w:val="20"/>
                <w:szCs w:val="20"/>
              </w:rPr>
              <w:t>Where applicable, the date of the magnetic resonance imaging scan must be recorded in the patient's medical records.</w:t>
            </w:r>
          </w:p>
          <w:p w:rsidR="00621341" w:rsidRPr="00832637" w:rsidRDefault="00621341" w:rsidP="003745D9">
            <w:pPr>
              <w:rPr>
                <w:rFonts w:ascii="Arial Narrow" w:hAnsi="Arial Narrow" w:cs="Arial"/>
                <w:i/>
                <w:sz w:val="20"/>
                <w:szCs w:val="20"/>
              </w:rPr>
            </w:pPr>
            <w:r w:rsidRPr="00832637">
              <w:rPr>
                <w:rFonts w:ascii="Arial Narrow" w:hAnsi="Arial Narrow" w:cs="Arial"/>
                <w:i/>
                <w:sz w:val="20"/>
                <w:szCs w:val="20"/>
              </w:rPr>
              <w:t xml:space="preserve">The prescriber should request authority approval for the appropriate combination of packs (1, 4 or 6 tablets) </w:t>
            </w:r>
            <w:r>
              <w:rPr>
                <w:rFonts w:ascii="Arial Narrow" w:hAnsi="Arial Narrow" w:cs="Arial"/>
                <w:i/>
                <w:sz w:val="20"/>
                <w:szCs w:val="20"/>
              </w:rPr>
              <w:t xml:space="preserve">to provide sufficient drug for a treatment week </w:t>
            </w:r>
            <w:r w:rsidRPr="00832637">
              <w:rPr>
                <w:rFonts w:ascii="Arial Narrow" w:hAnsi="Arial Narrow" w:cs="Arial"/>
                <w:i/>
                <w:sz w:val="20"/>
                <w:szCs w:val="20"/>
              </w:rPr>
              <w:t xml:space="preserve">based on the weight of the patient in accordance with the </w:t>
            </w:r>
            <w:r>
              <w:rPr>
                <w:rFonts w:ascii="Arial Narrow" w:hAnsi="Arial Narrow" w:cs="Arial"/>
                <w:i/>
                <w:sz w:val="20"/>
                <w:szCs w:val="20"/>
              </w:rPr>
              <w:t xml:space="preserve">TGA approved </w:t>
            </w:r>
            <w:r w:rsidRPr="00832637">
              <w:rPr>
                <w:rFonts w:ascii="Arial Narrow" w:hAnsi="Arial Narrow" w:cs="Arial"/>
                <w:i/>
                <w:sz w:val="20"/>
                <w:szCs w:val="20"/>
              </w:rPr>
              <w:t xml:space="preserve">Product Information. </w:t>
            </w:r>
            <w:r>
              <w:rPr>
                <w:rFonts w:ascii="Arial Narrow" w:hAnsi="Arial Narrow" w:cs="Arial"/>
                <w:i/>
                <w:sz w:val="20"/>
                <w:szCs w:val="20"/>
              </w:rPr>
              <w:t>Separate authority prescriptions may be required where the dose for treatment week 5 is different to the dose for treatment week 1.</w:t>
            </w:r>
          </w:p>
        </w:tc>
      </w:tr>
      <w:tr w:rsidR="00826F6D" w:rsidRPr="00260CE3"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26F6D" w:rsidRPr="00260CE3" w:rsidRDefault="007E7728" w:rsidP="00EB0B63">
            <w:pPr>
              <w:spacing w:before="40" w:after="40"/>
              <w:jc w:val="both"/>
              <w:rPr>
                <w:rFonts w:ascii="Arial Narrow" w:hAnsi="Arial Narrow" w:cs="Arial"/>
                <w:sz w:val="20"/>
                <w:szCs w:val="20"/>
              </w:rPr>
            </w:pPr>
            <w:r w:rsidRPr="007E7728">
              <w:rPr>
                <w:rFonts w:ascii="Arial Narrow" w:hAnsi="Arial Narrow" w:cs="Arial"/>
                <w:b/>
                <w:sz w:val="20"/>
                <w:szCs w:val="20"/>
              </w:rPr>
              <w:t>Administrative Advice</w:t>
            </w:r>
            <w:r>
              <w:rPr>
                <w:rFonts w:ascii="Arial Narrow" w:hAnsi="Arial Narrow" w:cs="Arial"/>
                <w:b/>
                <w:sz w:val="20"/>
                <w:szCs w:val="20"/>
              </w:rPr>
              <w:t>:</w:t>
            </w:r>
          </w:p>
        </w:tc>
        <w:tc>
          <w:tcPr>
            <w:tcW w:w="4020" w:type="pct"/>
            <w:gridSpan w:val="6"/>
            <w:tcBorders>
              <w:top w:val="single" w:sz="4" w:space="0" w:color="auto"/>
              <w:left w:val="single" w:sz="4" w:space="0" w:color="auto"/>
              <w:bottom w:val="single" w:sz="4" w:space="0" w:color="auto"/>
              <w:right w:val="single" w:sz="4" w:space="0" w:color="auto"/>
            </w:tcBorders>
          </w:tcPr>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No increase in the maximum quantity may be authorised.</w:t>
            </w:r>
          </w:p>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No increase in the maximum number of repeats may be authorised.</w:t>
            </w:r>
          </w:p>
          <w:p w:rsidR="00621341" w:rsidRPr="003C5B15" w:rsidRDefault="00621341" w:rsidP="00621341">
            <w:pPr>
              <w:rPr>
                <w:rFonts w:ascii="Arial Narrow" w:hAnsi="Arial Narrow" w:cs="Arial"/>
                <w:sz w:val="20"/>
                <w:szCs w:val="20"/>
              </w:rPr>
            </w:pPr>
            <w:r w:rsidRPr="003C5B15">
              <w:rPr>
                <w:rFonts w:ascii="Arial Narrow" w:hAnsi="Arial Narrow" w:cs="Arial"/>
                <w:sz w:val="20"/>
                <w:szCs w:val="20"/>
              </w:rPr>
              <w:t>Special Pricing Arrangements apply.</w:t>
            </w:r>
          </w:p>
          <w:p w:rsidR="00826F6D" w:rsidRPr="00260CE3" w:rsidRDefault="00621341" w:rsidP="00621341">
            <w:pPr>
              <w:spacing w:before="40" w:after="40"/>
              <w:rPr>
                <w:rFonts w:ascii="Arial Narrow" w:hAnsi="Arial Narrow" w:cs="Arial"/>
                <w:sz w:val="20"/>
                <w:szCs w:val="20"/>
              </w:rPr>
            </w:pPr>
            <w:r w:rsidRPr="003C5B15">
              <w:rPr>
                <w:rFonts w:ascii="Arial Narrow" w:hAnsi="Arial Narrow" w:cs="Arial"/>
                <w:strike/>
                <w:sz w:val="20"/>
                <w:szCs w:val="20"/>
              </w:rPr>
              <w:t>A grandfathering clause applies.</w:t>
            </w:r>
          </w:p>
        </w:tc>
      </w:tr>
      <w:tr w:rsidR="00053440" w:rsidRPr="003C5B15" w:rsidTr="00053440">
        <w:trPr>
          <w:cantSplit/>
          <w:trHeight w:val="245"/>
        </w:trPr>
        <w:tc>
          <w:tcPr>
            <w:tcW w:w="980" w:type="pct"/>
            <w:tcBorders>
              <w:top w:val="single" w:sz="4" w:space="0" w:color="auto"/>
              <w:bottom w:val="single" w:sz="4" w:space="0" w:color="auto"/>
            </w:tcBorders>
          </w:tcPr>
          <w:p w:rsidR="00053440" w:rsidRPr="003C5B15" w:rsidRDefault="00053440" w:rsidP="003745D9">
            <w:pPr>
              <w:jc w:val="both"/>
              <w:rPr>
                <w:rFonts w:ascii="Arial Narrow" w:hAnsi="Arial Narrow" w:cs="Arial"/>
                <w:b/>
                <w:sz w:val="20"/>
                <w:szCs w:val="20"/>
              </w:rPr>
            </w:pPr>
          </w:p>
        </w:tc>
        <w:tc>
          <w:tcPr>
            <w:tcW w:w="4020" w:type="pct"/>
            <w:gridSpan w:val="6"/>
            <w:tcBorders>
              <w:top w:val="single" w:sz="4" w:space="0" w:color="auto"/>
              <w:bottom w:val="single" w:sz="4" w:space="0" w:color="auto"/>
            </w:tcBorders>
          </w:tcPr>
          <w:p w:rsidR="00053440" w:rsidRPr="003C5B15" w:rsidRDefault="00053440" w:rsidP="003745D9">
            <w:pPr>
              <w:rPr>
                <w:rFonts w:ascii="Arial Narrow" w:hAnsi="Arial Narrow" w:cs="Arial"/>
                <w:sz w:val="20"/>
                <w:szCs w:val="20"/>
              </w:rPr>
            </w:pPr>
          </w:p>
        </w:tc>
      </w:tr>
      <w:tr w:rsidR="00851A73" w:rsidRPr="003C5B15" w:rsidTr="00053440">
        <w:trPr>
          <w:cantSplit/>
          <w:trHeight w:val="245"/>
        </w:trPr>
        <w:tc>
          <w:tcPr>
            <w:tcW w:w="980" w:type="pct"/>
            <w:tcBorders>
              <w:top w:val="single" w:sz="4" w:space="0" w:color="auto"/>
              <w:left w:val="single" w:sz="4" w:space="0" w:color="auto"/>
              <w:bottom w:val="single" w:sz="4" w:space="0" w:color="auto"/>
              <w:right w:val="single" w:sz="4" w:space="0" w:color="auto"/>
            </w:tcBorders>
          </w:tcPr>
          <w:p w:rsidR="00851A73" w:rsidRPr="003C5B15" w:rsidRDefault="00851A73" w:rsidP="003745D9">
            <w:pPr>
              <w:jc w:val="both"/>
              <w:rPr>
                <w:rFonts w:ascii="Arial Narrow" w:hAnsi="Arial Narrow" w:cs="Arial"/>
                <w:b/>
                <w:sz w:val="20"/>
                <w:szCs w:val="20"/>
              </w:rPr>
            </w:pPr>
            <w:r w:rsidRPr="003C5B15">
              <w:rPr>
                <w:rFonts w:ascii="Arial Narrow" w:hAnsi="Arial Narrow" w:cs="Arial"/>
                <w:b/>
                <w:sz w:val="20"/>
                <w:szCs w:val="20"/>
              </w:rPr>
              <w:t>Category / Program</w:t>
            </w:r>
          </w:p>
        </w:tc>
        <w:tc>
          <w:tcPr>
            <w:tcW w:w="4020" w:type="pct"/>
            <w:gridSpan w:val="6"/>
            <w:tcBorders>
              <w:top w:val="single" w:sz="4" w:space="0" w:color="auto"/>
              <w:left w:val="single" w:sz="4" w:space="0" w:color="auto"/>
              <w:bottom w:val="single" w:sz="4" w:space="0" w:color="auto"/>
              <w:right w:val="single" w:sz="4" w:space="0" w:color="auto"/>
            </w:tcBorders>
          </w:tcPr>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GENER</w:t>
            </w:r>
            <w:r>
              <w:rPr>
                <w:rFonts w:ascii="Arial Narrow" w:hAnsi="Arial Narrow" w:cs="Arial"/>
                <w:sz w:val="20"/>
                <w:szCs w:val="20"/>
              </w:rPr>
              <w:t>AL – General Schedule (Code GE)</w:t>
            </w:r>
          </w:p>
        </w:tc>
      </w:tr>
      <w:tr w:rsidR="00851A73" w:rsidRPr="003C5B15" w:rsidTr="00053440">
        <w:trPr>
          <w:cantSplit/>
          <w:trHeight w:val="321"/>
        </w:trPr>
        <w:tc>
          <w:tcPr>
            <w:tcW w:w="980" w:type="pct"/>
            <w:tcBorders>
              <w:top w:val="single" w:sz="4" w:space="0" w:color="auto"/>
              <w:left w:val="single" w:sz="4" w:space="0" w:color="auto"/>
              <w:bottom w:val="single" w:sz="4" w:space="0" w:color="auto"/>
              <w:right w:val="single" w:sz="4" w:space="0" w:color="auto"/>
            </w:tcBorders>
          </w:tcPr>
          <w:p w:rsidR="00851A73" w:rsidRPr="003C5B15" w:rsidRDefault="00851A73" w:rsidP="00FD08F5">
            <w:pPr>
              <w:jc w:val="both"/>
              <w:rPr>
                <w:rFonts w:ascii="Arial Narrow" w:hAnsi="Arial Narrow" w:cs="Arial"/>
                <w:b/>
                <w:sz w:val="20"/>
                <w:szCs w:val="20"/>
              </w:rPr>
            </w:pPr>
            <w:r w:rsidRPr="003C5B15">
              <w:rPr>
                <w:rFonts w:ascii="Arial Narrow" w:hAnsi="Arial Narrow" w:cs="Arial"/>
                <w:b/>
                <w:sz w:val="20"/>
                <w:szCs w:val="20"/>
              </w:rPr>
              <w:t>Prescriber type:</w:t>
            </w:r>
          </w:p>
        </w:tc>
        <w:tc>
          <w:tcPr>
            <w:tcW w:w="4020" w:type="pct"/>
            <w:gridSpan w:val="6"/>
            <w:tcBorders>
              <w:top w:val="single" w:sz="4" w:space="0" w:color="auto"/>
              <w:left w:val="single" w:sz="4" w:space="0" w:color="auto"/>
              <w:bottom w:val="single" w:sz="4" w:space="0" w:color="auto"/>
              <w:right w:val="single" w:sz="4" w:space="0" w:color="auto"/>
            </w:tcBorders>
          </w:tcPr>
          <w:p w:rsidR="00851A73" w:rsidRPr="003C5B15" w:rsidRDefault="00851A73" w:rsidP="00FD08F5">
            <w:pPr>
              <w:rPr>
                <w:rFonts w:ascii="Arial Narrow" w:hAnsi="Arial Narrow" w:cs="Arial"/>
                <w:sz w:val="20"/>
                <w:szCs w:val="20"/>
              </w:rPr>
            </w:pPr>
            <w:r w:rsidRPr="003C5B15">
              <w:rPr>
                <w:rFonts w:ascii="Arial Narrow" w:hAnsi="Arial Narrow" w:cs="Arial"/>
                <w:sz w:val="20"/>
                <w:szCs w:val="20"/>
              </w:rPr>
              <w:fldChar w:fldCharType="begin">
                <w:ffData>
                  <w:name w:val="Check1"/>
                  <w:enabled/>
                  <w:calcOnExit w:val="0"/>
                  <w:checkBox>
                    <w:sizeAuto/>
                    <w:default w:val="0"/>
                  </w:checkBox>
                </w:ffData>
              </w:fldChar>
            </w:r>
            <w:r w:rsidRPr="003C5B15">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3C5B15">
              <w:rPr>
                <w:rFonts w:ascii="Arial Narrow" w:hAnsi="Arial Narrow" w:cs="Arial"/>
                <w:sz w:val="20"/>
                <w:szCs w:val="20"/>
              </w:rPr>
              <w:fldChar w:fldCharType="end"/>
            </w:r>
            <w:r w:rsidRPr="003C5B15">
              <w:rPr>
                <w:rFonts w:ascii="Arial Narrow" w:hAnsi="Arial Narrow" w:cs="Arial"/>
                <w:sz w:val="20"/>
                <w:szCs w:val="20"/>
              </w:rPr>
              <w:t xml:space="preserve">Dental  </w:t>
            </w:r>
            <w:r w:rsidRPr="003C5B15">
              <w:rPr>
                <w:rFonts w:ascii="Arial Narrow" w:hAnsi="Arial Narrow" w:cs="Arial"/>
                <w:sz w:val="20"/>
                <w:szCs w:val="20"/>
              </w:rPr>
              <w:fldChar w:fldCharType="begin">
                <w:ffData>
                  <w:name w:val=""/>
                  <w:enabled/>
                  <w:calcOnExit w:val="0"/>
                  <w:checkBox>
                    <w:sizeAuto/>
                    <w:default w:val="1"/>
                  </w:checkBox>
                </w:ffData>
              </w:fldChar>
            </w:r>
            <w:r w:rsidRPr="003C5B15">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3C5B15">
              <w:rPr>
                <w:rFonts w:ascii="Arial Narrow" w:hAnsi="Arial Narrow" w:cs="Arial"/>
                <w:sz w:val="20"/>
                <w:szCs w:val="20"/>
              </w:rPr>
              <w:fldChar w:fldCharType="end"/>
            </w:r>
            <w:r w:rsidRPr="003C5B15">
              <w:rPr>
                <w:rFonts w:ascii="Arial Narrow" w:hAnsi="Arial Narrow" w:cs="Arial"/>
                <w:sz w:val="20"/>
                <w:szCs w:val="20"/>
              </w:rPr>
              <w:t xml:space="preserve">Medical Practitioners  </w:t>
            </w:r>
            <w:r w:rsidRPr="003C5B15">
              <w:rPr>
                <w:rFonts w:ascii="Arial Narrow" w:hAnsi="Arial Narrow" w:cs="Arial"/>
                <w:sz w:val="20"/>
                <w:szCs w:val="20"/>
              </w:rPr>
              <w:fldChar w:fldCharType="begin">
                <w:ffData>
                  <w:name w:val="Check3"/>
                  <w:enabled/>
                  <w:calcOnExit w:val="0"/>
                  <w:checkBox>
                    <w:sizeAuto/>
                    <w:default w:val="0"/>
                  </w:checkBox>
                </w:ffData>
              </w:fldChar>
            </w:r>
            <w:r w:rsidRPr="003C5B15">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3C5B15">
              <w:rPr>
                <w:rFonts w:ascii="Arial Narrow" w:hAnsi="Arial Narrow" w:cs="Arial"/>
                <w:sz w:val="20"/>
                <w:szCs w:val="20"/>
              </w:rPr>
              <w:fldChar w:fldCharType="end"/>
            </w:r>
            <w:r w:rsidRPr="003C5B15">
              <w:rPr>
                <w:rFonts w:ascii="Arial Narrow" w:hAnsi="Arial Narrow" w:cs="Arial"/>
                <w:sz w:val="20"/>
                <w:szCs w:val="20"/>
              </w:rPr>
              <w:t xml:space="preserve">Nurse practitioners  </w:t>
            </w:r>
            <w:r w:rsidRPr="003C5B15">
              <w:rPr>
                <w:rFonts w:ascii="Arial Narrow" w:hAnsi="Arial Narrow" w:cs="Arial"/>
                <w:sz w:val="20"/>
                <w:szCs w:val="20"/>
              </w:rPr>
              <w:fldChar w:fldCharType="begin">
                <w:ffData>
                  <w:name w:val=""/>
                  <w:enabled/>
                  <w:calcOnExit w:val="0"/>
                  <w:checkBox>
                    <w:sizeAuto/>
                    <w:default w:val="0"/>
                  </w:checkBox>
                </w:ffData>
              </w:fldChar>
            </w:r>
            <w:r w:rsidRPr="003C5B15">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3C5B15">
              <w:rPr>
                <w:rFonts w:ascii="Arial Narrow" w:hAnsi="Arial Narrow" w:cs="Arial"/>
                <w:sz w:val="20"/>
                <w:szCs w:val="20"/>
              </w:rPr>
              <w:fldChar w:fldCharType="end"/>
            </w:r>
            <w:r w:rsidRPr="003C5B15">
              <w:rPr>
                <w:rFonts w:ascii="Arial Narrow" w:hAnsi="Arial Narrow" w:cs="Arial"/>
                <w:sz w:val="20"/>
                <w:szCs w:val="20"/>
              </w:rPr>
              <w:t>Optometrists</w:t>
            </w:r>
            <w:r w:rsidR="00FD08F5">
              <w:rPr>
                <w:rFonts w:ascii="Arial Narrow" w:hAnsi="Arial Narrow" w:cs="Arial"/>
                <w:sz w:val="20"/>
                <w:szCs w:val="20"/>
              </w:rPr>
              <w:t xml:space="preserve"> </w:t>
            </w:r>
            <w:r w:rsidRPr="003C5B15">
              <w:rPr>
                <w:rFonts w:ascii="Arial Narrow" w:hAnsi="Arial Narrow" w:cs="Arial"/>
                <w:sz w:val="20"/>
                <w:szCs w:val="20"/>
              </w:rPr>
              <w:fldChar w:fldCharType="begin">
                <w:ffData>
                  <w:name w:val="Check5"/>
                  <w:enabled/>
                  <w:calcOnExit w:val="0"/>
                  <w:checkBox>
                    <w:sizeAuto/>
                    <w:default w:val="0"/>
                  </w:checkBox>
                </w:ffData>
              </w:fldChar>
            </w:r>
            <w:r w:rsidRPr="003C5B15">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3C5B15">
              <w:rPr>
                <w:rFonts w:ascii="Arial Narrow" w:hAnsi="Arial Narrow" w:cs="Arial"/>
                <w:sz w:val="20"/>
                <w:szCs w:val="20"/>
              </w:rPr>
              <w:fldChar w:fldCharType="end"/>
            </w:r>
            <w:r w:rsidRPr="003C5B15">
              <w:rPr>
                <w:rFonts w:ascii="Arial Narrow" w:hAnsi="Arial Narrow" w:cs="Arial"/>
                <w:sz w:val="20"/>
                <w:szCs w:val="20"/>
              </w:rPr>
              <w:t>Midwives</w:t>
            </w:r>
          </w:p>
        </w:tc>
      </w:tr>
      <w:tr w:rsidR="00851A73" w:rsidRPr="003C5B15"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51A73" w:rsidRPr="003C5B15" w:rsidRDefault="00851A73" w:rsidP="003745D9">
            <w:pPr>
              <w:jc w:val="both"/>
              <w:rPr>
                <w:rFonts w:ascii="Arial Narrow" w:hAnsi="Arial Narrow" w:cs="Arial"/>
                <w:b/>
                <w:sz w:val="20"/>
                <w:szCs w:val="20"/>
              </w:rPr>
            </w:pPr>
            <w:r w:rsidRPr="003C5B15">
              <w:rPr>
                <w:rFonts w:ascii="Arial Narrow" w:hAnsi="Arial Narrow" w:cs="Arial"/>
                <w:b/>
                <w:sz w:val="20"/>
                <w:szCs w:val="20"/>
              </w:rPr>
              <w:t>Condition:</w:t>
            </w:r>
          </w:p>
        </w:tc>
        <w:tc>
          <w:tcPr>
            <w:tcW w:w="4020" w:type="pct"/>
            <w:gridSpan w:val="6"/>
            <w:tcBorders>
              <w:top w:val="single" w:sz="4" w:space="0" w:color="auto"/>
              <w:left w:val="single" w:sz="4" w:space="0" w:color="auto"/>
              <w:bottom w:val="single" w:sz="4" w:space="0" w:color="auto"/>
              <w:right w:val="single" w:sz="4" w:space="0" w:color="auto"/>
            </w:tcBorders>
          </w:tcPr>
          <w:p w:rsidR="00851A73" w:rsidRPr="003C5B15" w:rsidRDefault="00851A73" w:rsidP="003745D9">
            <w:pPr>
              <w:rPr>
                <w:rFonts w:ascii="Arial Narrow" w:hAnsi="Arial Narrow" w:cs="Arial"/>
                <w:sz w:val="20"/>
                <w:szCs w:val="20"/>
              </w:rPr>
            </w:pPr>
            <w:r>
              <w:rPr>
                <w:rFonts w:ascii="Arial Narrow" w:hAnsi="Arial Narrow" w:cs="Arial"/>
                <w:sz w:val="20"/>
                <w:szCs w:val="20"/>
              </w:rPr>
              <w:t>Relapsing remitting multiple s</w:t>
            </w:r>
            <w:r w:rsidRPr="003C5B15">
              <w:rPr>
                <w:rFonts w:ascii="Arial Narrow" w:hAnsi="Arial Narrow" w:cs="Arial"/>
                <w:sz w:val="20"/>
                <w:szCs w:val="20"/>
              </w:rPr>
              <w:t>clerosis</w:t>
            </w:r>
          </w:p>
        </w:tc>
      </w:tr>
      <w:tr w:rsidR="00851A73" w:rsidRPr="003C5B15"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51A73" w:rsidRPr="003C5B15" w:rsidRDefault="00851A73" w:rsidP="003745D9">
            <w:pPr>
              <w:jc w:val="both"/>
              <w:rPr>
                <w:rFonts w:ascii="Arial Narrow" w:hAnsi="Arial Narrow" w:cs="Arial"/>
                <w:b/>
                <w:sz w:val="20"/>
                <w:szCs w:val="20"/>
              </w:rPr>
            </w:pPr>
            <w:r w:rsidRPr="003C5B15">
              <w:rPr>
                <w:rFonts w:ascii="Arial Narrow" w:hAnsi="Arial Narrow" w:cs="Arial"/>
                <w:b/>
                <w:sz w:val="20"/>
                <w:szCs w:val="20"/>
              </w:rPr>
              <w:t>PBS Indication:</w:t>
            </w:r>
          </w:p>
        </w:tc>
        <w:tc>
          <w:tcPr>
            <w:tcW w:w="4020" w:type="pct"/>
            <w:gridSpan w:val="6"/>
            <w:tcBorders>
              <w:top w:val="single" w:sz="4" w:space="0" w:color="auto"/>
              <w:left w:val="single" w:sz="4" w:space="0" w:color="auto"/>
              <w:bottom w:val="single" w:sz="4" w:space="0" w:color="auto"/>
              <w:right w:val="single" w:sz="4" w:space="0" w:color="auto"/>
            </w:tcBorders>
          </w:tcPr>
          <w:p w:rsidR="00851A73" w:rsidRPr="003C5B15" w:rsidRDefault="00851A73" w:rsidP="003745D9">
            <w:pPr>
              <w:rPr>
                <w:rFonts w:ascii="Arial Narrow" w:hAnsi="Arial Narrow" w:cs="Arial"/>
                <w:sz w:val="20"/>
                <w:szCs w:val="20"/>
              </w:rPr>
            </w:pPr>
            <w:r w:rsidRPr="00851A73">
              <w:rPr>
                <w:rFonts w:ascii="Arial Narrow" w:hAnsi="Arial Narrow" w:cs="Arial"/>
                <w:i/>
                <w:sz w:val="20"/>
                <w:szCs w:val="20"/>
              </w:rPr>
              <w:t>Relapsing remitting</w:t>
            </w:r>
            <w:r>
              <w:rPr>
                <w:rFonts w:ascii="Arial Narrow" w:hAnsi="Arial Narrow" w:cs="Arial"/>
                <w:sz w:val="20"/>
                <w:szCs w:val="20"/>
              </w:rPr>
              <w:t xml:space="preserve"> multiple s</w:t>
            </w:r>
            <w:r w:rsidRPr="003C5B15">
              <w:rPr>
                <w:rFonts w:ascii="Arial Narrow" w:hAnsi="Arial Narrow" w:cs="Arial"/>
                <w:sz w:val="20"/>
                <w:szCs w:val="20"/>
              </w:rPr>
              <w:t>clerosis</w:t>
            </w:r>
          </w:p>
        </w:tc>
      </w:tr>
      <w:tr w:rsidR="00851A73" w:rsidRPr="003C5B15"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51A73" w:rsidRPr="003C5B15" w:rsidRDefault="00851A73" w:rsidP="003745D9">
            <w:pPr>
              <w:jc w:val="both"/>
              <w:rPr>
                <w:rFonts w:ascii="Arial Narrow" w:hAnsi="Arial Narrow" w:cs="Arial"/>
                <w:i/>
                <w:sz w:val="20"/>
                <w:szCs w:val="20"/>
              </w:rPr>
            </w:pPr>
            <w:r w:rsidRPr="003C5B15">
              <w:rPr>
                <w:rFonts w:ascii="Arial Narrow" w:hAnsi="Arial Narrow" w:cs="Arial"/>
                <w:b/>
                <w:sz w:val="20"/>
                <w:szCs w:val="20"/>
              </w:rPr>
              <w:t>Treatment phase:</w:t>
            </w:r>
          </w:p>
        </w:tc>
        <w:tc>
          <w:tcPr>
            <w:tcW w:w="4020" w:type="pct"/>
            <w:gridSpan w:val="6"/>
            <w:tcBorders>
              <w:top w:val="single" w:sz="4" w:space="0" w:color="auto"/>
              <w:left w:val="single" w:sz="4" w:space="0" w:color="auto"/>
              <w:bottom w:val="single" w:sz="4" w:space="0" w:color="auto"/>
              <w:right w:val="single" w:sz="4" w:space="0" w:color="auto"/>
            </w:tcBorders>
          </w:tcPr>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 xml:space="preserve">Continuing </w:t>
            </w:r>
            <w:r w:rsidRPr="00306697">
              <w:rPr>
                <w:rFonts w:ascii="Arial Narrow" w:hAnsi="Arial Narrow" w:cs="Arial"/>
                <w:i/>
                <w:sz w:val="20"/>
                <w:szCs w:val="20"/>
              </w:rPr>
              <w:t>treatment</w:t>
            </w:r>
          </w:p>
        </w:tc>
      </w:tr>
      <w:tr w:rsidR="00851A73" w:rsidRPr="003C5B15"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51A73" w:rsidRPr="003C5B15" w:rsidRDefault="00851A73" w:rsidP="003745D9">
            <w:pPr>
              <w:jc w:val="both"/>
              <w:rPr>
                <w:rFonts w:ascii="Arial Narrow" w:hAnsi="Arial Narrow" w:cs="Arial"/>
                <w:b/>
                <w:sz w:val="20"/>
                <w:szCs w:val="20"/>
              </w:rPr>
            </w:pPr>
            <w:r w:rsidRPr="003C5B15">
              <w:rPr>
                <w:rFonts w:ascii="Arial Narrow" w:hAnsi="Arial Narrow" w:cs="Arial"/>
                <w:b/>
                <w:sz w:val="20"/>
                <w:szCs w:val="20"/>
              </w:rPr>
              <w:t>Restriction Level / Method:</w:t>
            </w:r>
          </w:p>
          <w:p w:rsidR="00851A73" w:rsidRPr="003C5B15" w:rsidRDefault="00851A73" w:rsidP="003745D9">
            <w:pPr>
              <w:rPr>
                <w:rFonts w:ascii="Arial Narrow" w:hAnsi="Arial Narrow" w:cs="Arial"/>
                <w:i/>
                <w:sz w:val="20"/>
                <w:szCs w:val="20"/>
              </w:rPr>
            </w:pPr>
          </w:p>
          <w:p w:rsidR="00851A73" w:rsidRPr="003C5B15" w:rsidRDefault="00851A73" w:rsidP="003745D9">
            <w:pPr>
              <w:rPr>
                <w:rFonts w:ascii="Arial Narrow" w:hAnsi="Arial Narrow" w:cs="Arial"/>
                <w:i/>
                <w:sz w:val="20"/>
                <w:szCs w:val="20"/>
              </w:rPr>
            </w:pPr>
          </w:p>
        </w:tc>
        <w:tc>
          <w:tcPr>
            <w:tcW w:w="4020" w:type="pct"/>
            <w:gridSpan w:val="6"/>
            <w:tcBorders>
              <w:top w:val="single" w:sz="4" w:space="0" w:color="auto"/>
              <w:left w:val="single" w:sz="4" w:space="0" w:color="auto"/>
              <w:bottom w:val="single" w:sz="4" w:space="0" w:color="auto"/>
              <w:right w:val="single" w:sz="4" w:space="0" w:color="auto"/>
            </w:tcBorders>
          </w:tcPr>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fldChar w:fldCharType="begin">
                <w:ffData>
                  <w:name w:val="Check1"/>
                  <w:enabled/>
                  <w:calcOnExit w:val="0"/>
                  <w:checkBox>
                    <w:sizeAuto/>
                    <w:default w:val="0"/>
                  </w:checkBox>
                </w:ffData>
              </w:fldChar>
            </w:r>
            <w:r w:rsidRPr="003C5B15">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3C5B15">
              <w:rPr>
                <w:rFonts w:ascii="Arial Narrow" w:hAnsi="Arial Narrow" w:cs="Arial"/>
                <w:sz w:val="20"/>
                <w:szCs w:val="20"/>
              </w:rPr>
              <w:fldChar w:fldCharType="end"/>
            </w:r>
            <w:r w:rsidRPr="003C5B15">
              <w:rPr>
                <w:rFonts w:ascii="Arial Narrow" w:hAnsi="Arial Narrow" w:cs="Arial"/>
                <w:sz w:val="20"/>
                <w:szCs w:val="20"/>
              </w:rPr>
              <w:t>Restricted benefit</w:t>
            </w:r>
          </w:p>
          <w:p w:rsidR="00851A73" w:rsidRPr="003C5B15" w:rsidRDefault="00306697" w:rsidP="003745D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Pr>
                <w:rFonts w:ascii="Arial Narrow" w:hAnsi="Arial Narrow" w:cs="Arial"/>
                <w:sz w:val="20"/>
                <w:szCs w:val="20"/>
              </w:rPr>
              <w:fldChar w:fldCharType="end"/>
            </w:r>
            <w:r w:rsidR="00851A73" w:rsidRPr="003C5B15">
              <w:rPr>
                <w:rFonts w:ascii="Arial Narrow" w:hAnsi="Arial Narrow" w:cs="Arial"/>
                <w:sz w:val="20"/>
                <w:szCs w:val="20"/>
              </w:rPr>
              <w:t>Authority Required - In Writing</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fldChar w:fldCharType="begin">
                <w:ffData>
                  <w:name w:val=""/>
                  <w:enabled/>
                  <w:calcOnExit w:val="0"/>
                  <w:checkBox>
                    <w:sizeAuto/>
                    <w:default w:val="1"/>
                  </w:checkBox>
                </w:ffData>
              </w:fldChar>
            </w:r>
            <w:r w:rsidRPr="003C5B15">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3C5B15">
              <w:rPr>
                <w:rFonts w:ascii="Arial Narrow" w:hAnsi="Arial Narrow" w:cs="Arial"/>
                <w:sz w:val="20"/>
                <w:szCs w:val="20"/>
              </w:rPr>
              <w:fldChar w:fldCharType="end"/>
            </w:r>
            <w:r w:rsidRPr="003C5B15">
              <w:rPr>
                <w:rFonts w:ascii="Arial Narrow" w:hAnsi="Arial Narrow" w:cs="Arial"/>
                <w:sz w:val="20"/>
                <w:szCs w:val="20"/>
              </w:rPr>
              <w:t>Authority Required - Telephone</w:t>
            </w:r>
          </w:p>
          <w:p w:rsidR="00851A73" w:rsidRPr="003C5B15" w:rsidRDefault="00306697" w:rsidP="003745D9">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Pr>
                <w:rFonts w:ascii="Arial Narrow" w:hAnsi="Arial Narrow" w:cs="Arial"/>
                <w:sz w:val="20"/>
                <w:szCs w:val="20"/>
              </w:rPr>
              <w:fldChar w:fldCharType="end"/>
            </w:r>
            <w:r w:rsidR="00851A73" w:rsidRPr="003C5B15">
              <w:rPr>
                <w:rFonts w:ascii="Arial Narrow" w:hAnsi="Arial Narrow" w:cs="Arial"/>
                <w:sz w:val="20"/>
                <w:szCs w:val="20"/>
              </w:rPr>
              <w:t>Authority Required - Emergency</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fldChar w:fldCharType="begin">
                <w:ffData>
                  <w:name w:val=""/>
                  <w:enabled/>
                  <w:calcOnExit w:val="0"/>
                  <w:checkBox>
                    <w:sizeAuto/>
                    <w:default w:val="1"/>
                  </w:checkBox>
                </w:ffData>
              </w:fldChar>
            </w:r>
            <w:r w:rsidRPr="003C5B15">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3C5B15">
              <w:rPr>
                <w:rFonts w:ascii="Arial Narrow" w:hAnsi="Arial Narrow" w:cs="Arial"/>
                <w:sz w:val="20"/>
                <w:szCs w:val="20"/>
              </w:rPr>
              <w:fldChar w:fldCharType="end"/>
            </w:r>
            <w:r w:rsidRPr="003C5B15">
              <w:rPr>
                <w:rFonts w:ascii="Arial Narrow" w:hAnsi="Arial Narrow" w:cs="Arial"/>
                <w:sz w:val="20"/>
                <w:szCs w:val="20"/>
              </w:rPr>
              <w:t>Authority Required - Electronic</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fldChar w:fldCharType="begin">
                <w:ffData>
                  <w:name w:val="Check5"/>
                  <w:enabled/>
                  <w:calcOnExit w:val="0"/>
                  <w:checkBox>
                    <w:sizeAuto/>
                    <w:default w:val="0"/>
                  </w:checkBox>
                </w:ffData>
              </w:fldChar>
            </w:r>
            <w:r w:rsidRPr="003C5B15">
              <w:rPr>
                <w:rFonts w:ascii="Arial Narrow" w:hAnsi="Arial Narrow" w:cs="Arial"/>
                <w:sz w:val="20"/>
                <w:szCs w:val="20"/>
              </w:rPr>
              <w:instrText xml:space="preserve"> FORMCHECKBOX </w:instrText>
            </w:r>
            <w:r w:rsidR="00AA2608">
              <w:rPr>
                <w:rFonts w:ascii="Arial Narrow" w:hAnsi="Arial Narrow" w:cs="Arial"/>
                <w:sz w:val="20"/>
                <w:szCs w:val="20"/>
              </w:rPr>
            </w:r>
            <w:r w:rsidR="00AA2608">
              <w:rPr>
                <w:rFonts w:ascii="Arial Narrow" w:hAnsi="Arial Narrow" w:cs="Arial"/>
                <w:sz w:val="20"/>
                <w:szCs w:val="20"/>
              </w:rPr>
              <w:fldChar w:fldCharType="separate"/>
            </w:r>
            <w:r w:rsidRPr="003C5B15">
              <w:rPr>
                <w:rFonts w:ascii="Arial Narrow" w:hAnsi="Arial Narrow" w:cs="Arial"/>
                <w:sz w:val="20"/>
                <w:szCs w:val="20"/>
              </w:rPr>
              <w:fldChar w:fldCharType="end"/>
            </w:r>
            <w:r w:rsidRPr="003C5B15">
              <w:rPr>
                <w:rFonts w:ascii="Arial Narrow" w:hAnsi="Arial Narrow" w:cs="Arial"/>
                <w:sz w:val="20"/>
                <w:szCs w:val="20"/>
              </w:rPr>
              <w:t>Streamlined</w:t>
            </w:r>
          </w:p>
        </w:tc>
      </w:tr>
      <w:tr w:rsidR="00851A73" w:rsidRPr="003C5B15"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51A73" w:rsidRPr="003C5B15" w:rsidRDefault="00851A73" w:rsidP="003745D9">
            <w:pPr>
              <w:rPr>
                <w:rFonts w:ascii="Arial Narrow" w:hAnsi="Arial Narrow" w:cs="Arial"/>
                <w:b/>
                <w:sz w:val="20"/>
                <w:szCs w:val="20"/>
              </w:rPr>
            </w:pPr>
            <w:r w:rsidRPr="003C5B15">
              <w:rPr>
                <w:rFonts w:ascii="Arial Narrow" w:hAnsi="Arial Narrow" w:cs="Arial"/>
                <w:b/>
                <w:sz w:val="20"/>
                <w:szCs w:val="20"/>
              </w:rPr>
              <w:t>Treatment criteria:</w:t>
            </w:r>
          </w:p>
        </w:tc>
        <w:tc>
          <w:tcPr>
            <w:tcW w:w="4020" w:type="pct"/>
            <w:gridSpan w:val="6"/>
            <w:tcBorders>
              <w:top w:val="single" w:sz="4" w:space="0" w:color="auto"/>
              <w:left w:val="single" w:sz="4" w:space="0" w:color="auto"/>
              <w:bottom w:val="single" w:sz="4" w:space="0" w:color="auto"/>
              <w:right w:val="single" w:sz="4" w:space="0" w:color="auto"/>
            </w:tcBorders>
          </w:tcPr>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 xml:space="preserve">Must be </w:t>
            </w:r>
            <w:r w:rsidRPr="003C5B15">
              <w:rPr>
                <w:rFonts w:ascii="Arial Narrow" w:hAnsi="Arial Narrow" w:cs="Arial"/>
                <w:strike/>
                <w:sz w:val="20"/>
                <w:szCs w:val="20"/>
              </w:rPr>
              <w:t>initiated and</w:t>
            </w:r>
            <w:r w:rsidRPr="003C5B15">
              <w:rPr>
                <w:rFonts w:ascii="Arial Narrow" w:hAnsi="Arial Narrow" w:cs="Arial"/>
                <w:sz w:val="20"/>
                <w:szCs w:val="20"/>
              </w:rPr>
              <w:t xml:space="preserve"> supervised by </w:t>
            </w:r>
            <w:r w:rsidRPr="003C5B15">
              <w:rPr>
                <w:rFonts w:ascii="Arial Narrow" w:hAnsi="Arial Narrow" w:cs="Arial"/>
                <w:i/>
                <w:sz w:val="20"/>
                <w:szCs w:val="20"/>
              </w:rPr>
              <w:t xml:space="preserve">a </w:t>
            </w:r>
            <w:r w:rsidRPr="003C5B15">
              <w:rPr>
                <w:rFonts w:ascii="Arial Narrow" w:hAnsi="Arial Narrow" w:cs="Arial"/>
                <w:sz w:val="20"/>
                <w:szCs w:val="20"/>
              </w:rPr>
              <w:t>neurologist</w:t>
            </w:r>
            <w:r w:rsidRPr="003C5B15">
              <w:rPr>
                <w:rFonts w:ascii="Arial Narrow" w:hAnsi="Arial Narrow" w:cs="Arial"/>
                <w:strike/>
                <w:sz w:val="20"/>
                <w:szCs w:val="20"/>
              </w:rPr>
              <w:t>s</w:t>
            </w:r>
            <w:r w:rsidRPr="003C5B15">
              <w:rPr>
                <w:rFonts w:ascii="Arial Narrow" w:hAnsi="Arial Narrow" w:cs="Arial"/>
                <w:sz w:val="20"/>
                <w:szCs w:val="20"/>
              </w:rPr>
              <w:t>.</w:t>
            </w:r>
          </w:p>
        </w:tc>
      </w:tr>
      <w:tr w:rsidR="00851A73" w:rsidRPr="003C5B15" w:rsidTr="00053440">
        <w:trPr>
          <w:trHeight w:val="360"/>
        </w:trPr>
        <w:tc>
          <w:tcPr>
            <w:tcW w:w="980" w:type="pct"/>
            <w:tcBorders>
              <w:top w:val="single" w:sz="4" w:space="0" w:color="auto"/>
              <w:left w:val="single" w:sz="4" w:space="0" w:color="auto"/>
              <w:bottom w:val="single" w:sz="4" w:space="0" w:color="auto"/>
              <w:right w:val="single" w:sz="4" w:space="0" w:color="auto"/>
            </w:tcBorders>
          </w:tcPr>
          <w:p w:rsidR="00851A73" w:rsidRPr="003C5B15" w:rsidRDefault="00851A73" w:rsidP="003745D9">
            <w:pPr>
              <w:jc w:val="both"/>
              <w:rPr>
                <w:rFonts w:ascii="Arial Narrow" w:hAnsi="Arial Narrow" w:cs="Arial"/>
                <w:b/>
                <w:sz w:val="20"/>
                <w:szCs w:val="20"/>
              </w:rPr>
            </w:pPr>
            <w:r w:rsidRPr="003C5B15">
              <w:rPr>
                <w:rFonts w:ascii="Arial Narrow" w:hAnsi="Arial Narrow" w:cs="Arial"/>
                <w:b/>
                <w:sz w:val="20"/>
                <w:szCs w:val="20"/>
              </w:rPr>
              <w:t>Clinical criteria:</w:t>
            </w:r>
          </w:p>
          <w:p w:rsidR="00851A73" w:rsidRPr="003C5B15" w:rsidRDefault="00851A73" w:rsidP="003745D9">
            <w:pPr>
              <w:jc w:val="both"/>
              <w:rPr>
                <w:rFonts w:ascii="Arial Narrow" w:hAnsi="Arial Narrow" w:cs="Arial"/>
                <w:i/>
                <w:sz w:val="20"/>
                <w:szCs w:val="20"/>
              </w:rPr>
            </w:pPr>
          </w:p>
          <w:p w:rsidR="00851A73" w:rsidRPr="003C5B15" w:rsidRDefault="00851A73" w:rsidP="003745D9">
            <w:pPr>
              <w:jc w:val="both"/>
              <w:rPr>
                <w:rFonts w:ascii="Arial Narrow" w:hAnsi="Arial Narrow" w:cs="Arial"/>
                <w:sz w:val="20"/>
                <w:szCs w:val="20"/>
              </w:rPr>
            </w:pPr>
          </w:p>
        </w:tc>
        <w:tc>
          <w:tcPr>
            <w:tcW w:w="4020" w:type="pct"/>
            <w:gridSpan w:val="6"/>
            <w:tcBorders>
              <w:top w:val="single" w:sz="4" w:space="0" w:color="auto"/>
              <w:left w:val="single" w:sz="4" w:space="0" w:color="auto"/>
              <w:bottom w:val="single" w:sz="4" w:space="0" w:color="auto"/>
              <w:right w:val="single" w:sz="4" w:space="0" w:color="auto"/>
            </w:tcBorders>
          </w:tcPr>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The condition must be diagnosed as clinically definite relapsing-remitting multiple sclerosis,</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AND</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The treatment must be a sole PBS-subsidised disease modifying therapy for this condition,</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AND</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Patient must have previously received PBS-subsidised treatment with this drug for this condition,</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AND</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Patient must not show continuing progression of disability while on treatment with this drug,</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AND</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Patient must have demonstrated compliance with, and an ability to tolerate this therapy.</w:t>
            </w:r>
          </w:p>
        </w:tc>
      </w:tr>
      <w:tr w:rsidR="00851A73" w:rsidRPr="00832637" w:rsidTr="00053440">
        <w:trPr>
          <w:trHeight w:val="360"/>
        </w:trPr>
        <w:tc>
          <w:tcPr>
            <w:tcW w:w="980" w:type="pct"/>
            <w:tcBorders>
              <w:top w:val="single" w:sz="4" w:space="0" w:color="auto"/>
              <w:left w:val="single" w:sz="4" w:space="0" w:color="auto"/>
              <w:bottom w:val="single" w:sz="4" w:space="0" w:color="auto"/>
              <w:right w:val="single" w:sz="4" w:space="0" w:color="auto"/>
            </w:tcBorders>
          </w:tcPr>
          <w:p w:rsidR="00851A73" w:rsidRPr="00832637" w:rsidRDefault="00851A73" w:rsidP="003745D9">
            <w:pPr>
              <w:jc w:val="both"/>
              <w:rPr>
                <w:rFonts w:ascii="Arial Narrow" w:hAnsi="Arial Narrow" w:cs="Arial"/>
                <w:b/>
                <w:i/>
                <w:sz w:val="20"/>
                <w:szCs w:val="20"/>
              </w:rPr>
            </w:pPr>
            <w:r w:rsidRPr="00832637">
              <w:rPr>
                <w:rFonts w:ascii="Arial Narrow" w:hAnsi="Arial Narrow" w:cs="Arial"/>
                <w:b/>
                <w:i/>
                <w:sz w:val="20"/>
                <w:szCs w:val="20"/>
              </w:rPr>
              <w:t>Prescriber Instructions</w:t>
            </w:r>
          </w:p>
        </w:tc>
        <w:tc>
          <w:tcPr>
            <w:tcW w:w="4020" w:type="pct"/>
            <w:gridSpan w:val="6"/>
            <w:tcBorders>
              <w:top w:val="single" w:sz="4" w:space="0" w:color="auto"/>
              <w:left w:val="single" w:sz="4" w:space="0" w:color="auto"/>
              <w:bottom w:val="single" w:sz="4" w:space="0" w:color="auto"/>
              <w:right w:val="single" w:sz="4" w:space="0" w:color="auto"/>
            </w:tcBorders>
          </w:tcPr>
          <w:p w:rsidR="00851A73" w:rsidRPr="00832637" w:rsidRDefault="00851A73" w:rsidP="003745D9">
            <w:pPr>
              <w:rPr>
                <w:rFonts w:ascii="Arial Narrow" w:hAnsi="Arial Narrow" w:cs="Arial"/>
                <w:i/>
                <w:sz w:val="20"/>
                <w:szCs w:val="20"/>
              </w:rPr>
            </w:pPr>
            <w:r w:rsidRPr="00552CFE">
              <w:rPr>
                <w:rFonts w:ascii="Arial Narrow" w:hAnsi="Arial Narrow" w:cs="Arial"/>
                <w:i/>
                <w:sz w:val="20"/>
                <w:szCs w:val="20"/>
              </w:rPr>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r>
      <w:tr w:rsidR="00851A73" w:rsidRPr="003C5B15" w:rsidTr="00053440">
        <w:trPr>
          <w:cantSplit/>
          <w:trHeight w:val="360"/>
        </w:trPr>
        <w:tc>
          <w:tcPr>
            <w:tcW w:w="980" w:type="pct"/>
            <w:tcBorders>
              <w:top w:val="single" w:sz="4" w:space="0" w:color="auto"/>
              <w:left w:val="single" w:sz="4" w:space="0" w:color="auto"/>
              <w:bottom w:val="single" w:sz="4" w:space="0" w:color="auto"/>
              <w:right w:val="single" w:sz="4" w:space="0" w:color="auto"/>
            </w:tcBorders>
          </w:tcPr>
          <w:p w:rsidR="00851A73" w:rsidRPr="003C5B15" w:rsidRDefault="00851A73" w:rsidP="003745D9">
            <w:pPr>
              <w:jc w:val="both"/>
              <w:rPr>
                <w:rFonts w:ascii="Arial Narrow" w:hAnsi="Arial Narrow" w:cs="Arial"/>
                <w:b/>
                <w:sz w:val="20"/>
                <w:szCs w:val="20"/>
              </w:rPr>
            </w:pPr>
            <w:r w:rsidRPr="003C5B15">
              <w:rPr>
                <w:rFonts w:ascii="Arial Narrow" w:hAnsi="Arial Narrow" w:cs="Arial"/>
                <w:b/>
                <w:sz w:val="20"/>
                <w:szCs w:val="20"/>
              </w:rPr>
              <w:lastRenderedPageBreak/>
              <w:t>Administrative Advice</w:t>
            </w:r>
          </w:p>
          <w:p w:rsidR="00851A73" w:rsidRPr="003C5B15" w:rsidRDefault="00851A73" w:rsidP="003745D9">
            <w:pPr>
              <w:jc w:val="both"/>
              <w:rPr>
                <w:rFonts w:ascii="Arial Narrow" w:hAnsi="Arial Narrow" w:cs="Arial"/>
                <w:i/>
                <w:sz w:val="20"/>
                <w:szCs w:val="20"/>
              </w:rPr>
            </w:pPr>
          </w:p>
        </w:tc>
        <w:tc>
          <w:tcPr>
            <w:tcW w:w="4020" w:type="pct"/>
            <w:gridSpan w:val="6"/>
            <w:tcBorders>
              <w:top w:val="single" w:sz="4" w:space="0" w:color="auto"/>
              <w:left w:val="single" w:sz="4" w:space="0" w:color="auto"/>
              <w:bottom w:val="single" w:sz="4" w:space="0" w:color="auto"/>
              <w:right w:val="single" w:sz="4" w:space="0" w:color="auto"/>
            </w:tcBorders>
          </w:tcPr>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No increase in the maximum quantity may be authorised.</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No increase in the maximum number of repeats may be authorised.</w:t>
            </w:r>
          </w:p>
          <w:p w:rsidR="00851A73" w:rsidRPr="003C5B15" w:rsidRDefault="00851A73" w:rsidP="003745D9">
            <w:pPr>
              <w:rPr>
                <w:rFonts w:ascii="Arial Narrow" w:hAnsi="Arial Narrow" w:cs="Arial"/>
                <w:sz w:val="20"/>
                <w:szCs w:val="20"/>
              </w:rPr>
            </w:pPr>
            <w:r w:rsidRPr="003C5B15">
              <w:rPr>
                <w:rFonts w:ascii="Arial Narrow" w:hAnsi="Arial Narrow" w:cs="Arial"/>
                <w:sz w:val="20"/>
                <w:szCs w:val="20"/>
              </w:rPr>
              <w:t>Special Pricing Arrangements apply.</w:t>
            </w:r>
          </w:p>
          <w:p w:rsidR="00851A73" w:rsidRPr="003C5B15" w:rsidRDefault="00851A73" w:rsidP="003745D9">
            <w:pPr>
              <w:rPr>
                <w:rFonts w:ascii="Arial Narrow" w:hAnsi="Arial Narrow" w:cs="Arial"/>
                <w:strike/>
                <w:sz w:val="20"/>
                <w:szCs w:val="20"/>
              </w:rPr>
            </w:pPr>
            <w:r w:rsidRPr="003C5B15">
              <w:rPr>
                <w:rFonts w:ascii="Arial Narrow" w:hAnsi="Arial Narrow" w:cs="Arial"/>
                <w:strike/>
                <w:sz w:val="20"/>
                <w:szCs w:val="20"/>
              </w:rPr>
              <w:t>A grandfathering clause applies.</w:t>
            </w:r>
          </w:p>
        </w:tc>
      </w:tr>
      <w:tr w:rsidR="00053440" w:rsidRPr="009B4EA7" w:rsidTr="00053440">
        <w:trPr>
          <w:cantSplit/>
          <w:trHeight w:val="360"/>
        </w:trPr>
        <w:tc>
          <w:tcPr>
            <w:tcW w:w="979" w:type="pct"/>
            <w:tcBorders>
              <w:top w:val="single" w:sz="4" w:space="0" w:color="auto"/>
              <w:bottom w:val="single" w:sz="4" w:space="0" w:color="auto"/>
            </w:tcBorders>
          </w:tcPr>
          <w:p w:rsidR="00053440" w:rsidRPr="009B4EA7" w:rsidRDefault="00053440" w:rsidP="003745D9">
            <w:pPr>
              <w:jc w:val="both"/>
              <w:rPr>
                <w:rFonts w:ascii="Arial Narrow" w:hAnsi="Arial Narrow" w:cs="Arial"/>
                <w:b/>
                <w:i/>
                <w:sz w:val="20"/>
                <w:szCs w:val="20"/>
              </w:rPr>
            </w:pPr>
          </w:p>
        </w:tc>
        <w:tc>
          <w:tcPr>
            <w:tcW w:w="4021" w:type="pct"/>
            <w:gridSpan w:val="6"/>
            <w:tcBorders>
              <w:top w:val="single" w:sz="4" w:space="0" w:color="auto"/>
              <w:bottom w:val="single" w:sz="4" w:space="0" w:color="auto"/>
            </w:tcBorders>
          </w:tcPr>
          <w:p w:rsidR="00053440" w:rsidRPr="009B4EA7" w:rsidRDefault="00053440" w:rsidP="003745D9">
            <w:pPr>
              <w:rPr>
                <w:rFonts w:ascii="Arial Narrow" w:hAnsi="Arial Narrow" w:cs="Arial"/>
                <w:i/>
                <w:sz w:val="20"/>
                <w:szCs w:val="20"/>
              </w:rPr>
            </w:pPr>
          </w:p>
        </w:tc>
      </w:tr>
      <w:tr w:rsidR="00FD08F5" w:rsidRPr="009B4EA7" w:rsidTr="00053440">
        <w:trPr>
          <w:cantSplit/>
          <w:trHeight w:val="360"/>
        </w:trPr>
        <w:tc>
          <w:tcPr>
            <w:tcW w:w="979" w:type="pct"/>
            <w:tcBorders>
              <w:top w:val="single" w:sz="4" w:space="0" w:color="auto"/>
              <w:left w:val="single" w:sz="4" w:space="0" w:color="auto"/>
              <w:bottom w:val="single" w:sz="4" w:space="0" w:color="auto"/>
              <w:right w:val="single" w:sz="4" w:space="0" w:color="auto"/>
            </w:tcBorders>
          </w:tcPr>
          <w:p w:rsidR="00FD08F5" w:rsidRPr="009B4EA7" w:rsidRDefault="00FD08F5" w:rsidP="003745D9">
            <w:pPr>
              <w:jc w:val="both"/>
              <w:rPr>
                <w:rFonts w:ascii="Arial Narrow" w:hAnsi="Arial Narrow" w:cs="Arial"/>
                <w:b/>
                <w:i/>
                <w:sz w:val="20"/>
                <w:szCs w:val="20"/>
              </w:rPr>
            </w:pPr>
            <w:r w:rsidRPr="009B4EA7">
              <w:rPr>
                <w:rFonts w:ascii="Arial Narrow" w:hAnsi="Arial Narrow" w:cs="Arial"/>
                <w:b/>
                <w:i/>
                <w:sz w:val="20"/>
                <w:szCs w:val="20"/>
              </w:rPr>
              <w:t>Category / Program</w:t>
            </w:r>
          </w:p>
        </w:tc>
        <w:tc>
          <w:tcPr>
            <w:tcW w:w="4021" w:type="pct"/>
            <w:gridSpan w:val="6"/>
            <w:tcBorders>
              <w:top w:val="single" w:sz="4" w:space="0" w:color="auto"/>
              <w:left w:val="single" w:sz="4" w:space="0" w:color="auto"/>
              <w:bottom w:val="single" w:sz="4" w:space="0" w:color="auto"/>
              <w:right w:val="single" w:sz="4" w:space="0" w:color="auto"/>
            </w:tcBorders>
          </w:tcPr>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GENER</w:t>
            </w:r>
            <w:r>
              <w:rPr>
                <w:rFonts w:ascii="Arial Narrow" w:hAnsi="Arial Narrow" w:cs="Arial"/>
                <w:i/>
                <w:sz w:val="20"/>
                <w:szCs w:val="20"/>
              </w:rPr>
              <w:t>AL – General Schedule (Code GE)</w:t>
            </w:r>
          </w:p>
        </w:tc>
      </w:tr>
      <w:tr w:rsidR="00FD08F5" w:rsidRPr="009B4EA7" w:rsidTr="00053440">
        <w:trPr>
          <w:cantSplit/>
          <w:trHeight w:val="360"/>
        </w:trPr>
        <w:tc>
          <w:tcPr>
            <w:tcW w:w="979" w:type="pct"/>
            <w:tcBorders>
              <w:top w:val="single" w:sz="4" w:space="0" w:color="auto"/>
              <w:left w:val="single" w:sz="4" w:space="0" w:color="auto"/>
              <w:bottom w:val="single" w:sz="4" w:space="0" w:color="auto"/>
              <w:right w:val="single" w:sz="4" w:space="0" w:color="auto"/>
            </w:tcBorders>
          </w:tcPr>
          <w:p w:rsidR="00FD08F5" w:rsidRPr="009B4EA7" w:rsidRDefault="00FD08F5" w:rsidP="00FD08F5">
            <w:pPr>
              <w:jc w:val="both"/>
              <w:rPr>
                <w:rFonts w:ascii="Arial Narrow" w:hAnsi="Arial Narrow" w:cs="Arial"/>
                <w:b/>
                <w:i/>
                <w:sz w:val="20"/>
                <w:szCs w:val="20"/>
              </w:rPr>
            </w:pPr>
            <w:r w:rsidRPr="009B4EA7">
              <w:rPr>
                <w:rFonts w:ascii="Arial Narrow" w:hAnsi="Arial Narrow" w:cs="Arial"/>
                <w:b/>
                <w:i/>
                <w:sz w:val="20"/>
                <w:szCs w:val="20"/>
              </w:rPr>
              <w:t>Prescriber type:</w:t>
            </w:r>
          </w:p>
        </w:tc>
        <w:tc>
          <w:tcPr>
            <w:tcW w:w="4021" w:type="pct"/>
            <w:gridSpan w:val="6"/>
            <w:tcBorders>
              <w:top w:val="single" w:sz="4" w:space="0" w:color="auto"/>
              <w:left w:val="single" w:sz="4" w:space="0" w:color="auto"/>
              <w:bottom w:val="single" w:sz="4" w:space="0" w:color="auto"/>
              <w:right w:val="single" w:sz="4" w:space="0" w:color="auto"/>
            </w:tcBorders>
          </w:tcPr>
          <w:p w:rsidR="00FD08F5" w:rsidRPr="009B4EA7" w:rsidRDefault="00FD08F5" w:rsidP="00FD08F5">
            <w:pPr>
              <w:rPr>
                <w:rFonts w:ascii="Arial Narrow" w:hAnsi="Arial Narrow" w:cs="Arial"/>
                <w:i/>
                <w:sz w:val="20"/>
                <w:szCs w:val="20"/>
              </w:rPr>
            </w:pPr>
            <w:r w:rsidRPr="009B4EA7">
              <w:rPr>
                <w:rFonts w:ascii="Arial Narrow" w:hAnsi="Arial Narrow" w:cs="Arial"/>
                <w:i/>
                <w:sz w:val="20"/>
                <w:szCs w:val="20"/>
              </w:rPr>
              <w:fldChar w:fldCharType="begin">
                <w:ffData>
                  <w:name w:val="Check1"/>
                  <w:enabled/>
                  <w:calcOnExit w:val="0"/>
                  <w:checkBox>
                    <w:sizeAuto/>
                    <w:default w:val="0"/>
                  </w:checkBox>
                </w:ffData>
              </w:fldChar>
            </w:r>
            <w:r w:rsidRPr="009B4EA7">
              <w:rPr>
                <w:rFonts w:ascii="Arial Narrow" w:hAnsi="Arial Narrow" w:cs="Arial"/>
                <w:i/>
                <w:sz w:val="20"/>
                <w:szCs w:val="20"/>
              </w:rPr>
              <w:instrText xml:space="preserve"> FORMCHECKBOX </w:instrText>
            </w:r>
            <w:r w:rsidR="00AA2608">
              <w:rPr>
                <w:rFonts w:ascii="Arial Narrow" w:hAnsi="Arial Narrow" w:cs="Arial"/>
                <w:i/>
                <w:sz w:val="20"/>
                <w:szCs w:val="20"/>
              </w:rPr>
            </w:r>
            <w:r w:rsidR="00AA2608">
              <w:rPr>
                <w:rFonts w:ascii="Arial Narrow" w:hAnsi="Arial Narrow" w:cs="Arial"/>
                <w:i/>
                <w:sz w:val="20"/>
                <w:szCs w:val="20"/>
              </w:rPr>
              <w:fldChar w:fldCharType="separate"/>
            </w:r>
            <w:r w:rsidRPr="009B4EA7">
              <w:rPr>
                <w:rFonts w:ascii="Arial Narrow" w:hAnsi="Arial Narrow" w:cs="Arial"/>
                <w:i/>
                <w:sz w:val="20"/>
                <w:szCs w:val="20"/>
              </w:rPr>
              <w:fldChar w:fldCharType="end"/>
            </w:r>
            <w:r w:rsidRPr="009B4EA7">
              <w:rPr>
                <w:rFonts w:ascii="Arial Narrow" w:hAnsi="Arial Narrow" w:cs="Arial"/>
                <w:i/>
                <w:sz w:val="20"/>
                <w:szCs w:val="20"/>
              </w:rPr>
              <w:t xml:space="preserve">Dental  </w:t>
            </w:r>
            <w:r w:rsidRPr="009B4EA7">
              <w:rPr>
                <w:rFonts w:ascii="Arial Narrow" w:hAnsi="Arial Narrow" w:cs="Arial"/>
                <w:i/>
                <w:sz w:val="20"/>
                <w:szCs w:val="20"/>
              </w:rPr>
              <w:fldChar w:fldCharType="begin">
                <w:ffData>
                  <w:name w:val=""/>
                  <w:enabled/>
                  <w:calcOnExit w:val="0"/>
                  <w:checkBox>
                    <w:sizeAuto/>
                    <w:default w:val="1"/>
                  </w:checkBox>
                </w:ffData>
              </w:fldChar>
            </w:r>
            <w:r w:rsidRPr="009B4EA7">
              <w:rPr>
                <w:rFonts w:ascii="Arial Narrow" w:hAnsi="Arial Narrow" w:cs="Arial"/>
                <w:i/>
                <w:sz w:val="20"/>
                <w:szCs w:val="20"/>
              </w:rPr>
              <w:instrText xml:space="preserve"> FORMCHECKBOX </w:instrText>
            </w:r>
            <w:r w:rsidR="00AA2608">
              <w:rPr>
                <w:rFonts w:ascii="Arial Narrow" w:hAnsi="Arial Narrow" w:cs="Arial"/>
                <w:i/>
                <w:sz w:val="20"/>
                <w:szCs w:val="20"/>
              </w:rPr>
            </w:r>
            <w:r w:rsidR="00AA2608">
              <w:rPr>
                <w:rFonts w:ascii="Arial Narrow" w:hAnsi="Arial Narrow" w:cs="Arial"/>
                <w:i/>
                <w:sz w:val="20"/>
                <w:szCs w:val="20"/>
              </w:rPr>
              <w:fldChar w:fldCharType="separate"/>
            </w:r>
            <w:r w:rsidRPr="009B4EA7">
              <w:rPr>
                <w:rFonts w:ascii="Arial Narrow" w:hAnsi="Arial Narrow" w:cs="Arial"/>
                <w:i/>
                <w:sz w:val="20"/>
                <w:szCs w:val="20"/>
              </w:rPr>
              <w:fldChar w:fldCharType="end"/>
            </w:r>
            <w:r w:rsidRPr="009B4EA7">
              <w:rPr>
                <w:rFonts w:ascii="Arial Narrow" w:hAnsi="Arial Narrow" w:cs="Arial"/>
                <w:i/>
                <w:sz w:val="20"/>
                <w:szCs w:val="20"/>
              </w:rPr>
              <w:t xml:space="preserve">Medical Practitioners  </w:t>
            </w:r>
            <w:r w:rsidRPr="009B4EA7">
              <w:rPr>
                <w:rFonts w:ascii="Arial Narrow" w:hAnsi="Arial Narrow" w:cs="Arial"/>
                <w:i/>
                <w:sz w:val="20"/>
                <w:szCs w:val="20"/>
              </w:rPr>
              <w:fldChar w:fldCharType="begin">
                <w:ffData>
                  <w:name w:val="Check3"/>
                  <w:enabled/>
                  <w:calcOnExit w:val="0"/>
                  <w:checkBox>
                    <w:sizeAuto/>
                    <w:default w:val="0"/>
                  </w:checkBox>
                </w:ffData>
              </w:fldChar>
            </w:r>
            <w:r w:rsidRPr="009B4EA7">
              <w:rPr>
                <w:rFonts w:ascii="Arial Narrow" w:hAnsi="Arial Narrow" w:cs="Arial"/>
                <w:i/>
                <w:sz w:val="20"/>
                <w:szCs w:val="20"/>
              </w:rPr>
              <w:instrText xml:space="preserve"> FORMCHECKBOX </w:instrText>
            </w:r>
            <w:r w:rsidR="00AA2608">
              <w:rPr>
                <w:rFonts w:ascii="Arial Narrow" w:hAnsi="Arial Narrow" w:cs="Arial"/>
                <w:i/>
                <w:sz w:val="20"/>
                <w:szCs w:val="20"/>
              </w:rPr>
            </w:r>
            <w:r w:rsidR="00AA2608">
              <w:rPr>
                <w:rFonts w:ascii="Arial Narrow" w:hAnsi="Arial Narrow" w:cs="Arial"/>
                <w:i/>
                <w:sz w:val="20"/>
                <w:szCs w:val="20"/>
              </w:rPr>
              <w:fldChar w:fldCharType="separate"/>
            </w:r>
            <w:r w:rsidRPr="009B4EA7">
              <w:rPr>
                <w:rFonts w:ascii="Arial Narrow" w:hAnsi="Arial Narrow" w:cs="Arial"/>
                <w:i/>
                <w:sz w:val="20"/>
                <w:szCs w:val="20"/>
              </w:rPr>
              <w:fldChar w:fldCharType="end"/>
            </w:r>
            <w:r w:rsidRPr="009B4EA7">
              <w:rPr>
                <w:rFonts w:ascii="Arial Narrow" w:hAnsi="Arial Narrow" w:cs="Arial"/>
                <w:i/>
                <w:sz w:val="20"/>
                <w:szCs w:val="20"/>
              </w:rPr>
              <w:t xml:space="preserve">Nurse practitioners  </w:t>
            </w:r>
            <w:r w:rsidRPr="009B4EA7">
              <w:rPr>
                <w:rFonts w:ascii="Arial Narrow" w:hAnsi="Arial Narrow" w:cs="Arial"/>
                <w:i/>
                <w:sz w:val="20"/>
                <w:szCs w:val="20"/>
              </w:rPr>
              <w:fldChar w:fldCharType="begin">
                <w:ffData>
                  <w:name w:val=""/>
                  <w:enabled/>
                  <w:calcOnExit w:val="0"/>
                  <w:checkBox>
                    <w:sizeAuto/>
                    <w:default w:val="0"/>
                  </w:checkBox>
                </w:ffData>
              </w:fldChar>
            </w:r>
            <w:r w:rsidRPr="009B4EA7">
              <w:rPr>
                <w:rFonts w:ascii="Arial Narrow" w:hAnsi="Arial Narrow" w:cs="Arial"/>
                <w:i/>
                <w:sz w:val="20"/>
                <w:szCs w:val="20"/>
              </w:rPr>
              <w:instrText xml:space="preserve"> FORMCHECKBOX </w:instrText>
            </w:r>
            <w:r w:rsidR="00AA2608">
              <w:rPr>
                <w:rFonts w:ascii="Arial Narrow" w:hAnsi="Arial Narrow" w:cs="Arial"/>
                <w:i/>
                <w:sz w:val="20"/>
                <w:szCs w:val="20"/>
              </w:rPr>
            </w:r>
            <w:r w:rsidR="00AA2608">
              <w:rPr>
                <w:rFonts w:ascii="Arial Narrow" w:hAnsi="Arial Narrow" w:cs="Arial"/>
                <w:i/>
                <w:sz w:val="20"/>
                <w:szCs w:val="20"/>
              </w:rPr>
              <w:fldChar w:fldCharType="separate"/>
            </w:r>
            <w:r w:rsidRPr="009B4EA7">
              <w:rPr>
                <w:rFonts w:ascii="Arial Narrow" w:hAnsi="Arial Narrow" w:cs="Arial"/>
                <w:i/>
                <w:sz w:val="20"/>
                <w:szCs w:val="20"/>
              </w:rPr>
              <w:fldChar w:fldCharType="end"/>
            </w:r>
            <w:r w:rsidRPr="009B4EA7">
              <w:rPr>
                <w:rFonts w:ascii="Arial Narrow" w:hAnsi="Arial Narrow" w:cs="Arial"/>
                <w:i/>
                <w:sz w:val="20"/>
                <w:szCs w:val="20"/>
              </w:rPr>
              <w:t>Optometrists</w:t>
            </w:r>
            <w:r>
              <w:rPr>
                <w:rFonts w:ascii="Arial Narrow" w:hAnsi="Arial Narrow" w:cs="Arial"/>
                <w:i/>
                <w:sz w:val="20"/>
                <w:szCs w:val="20"/>
              </w:rPr>
              <w:t xml:space="preserve"> </w:t>
            </w:r>
            <w:r w:rsidRPr="009B4EA7">
              <w:rPr>
                <w:rFonts w:ascii="Arial Narrow" w:hAnsi="Arial Narrow" w:cs="Arial"/>
                <w:i/>
                <w:sz w:val="20"/>
                <w:szCs w:val="20"/>
              </w:rPr>
              <w:fldChar w:fldCharType="begin">
                <w:ffData>
                  <w:name w:val="Check5"/>
                  <w:enabled/>
                  <w:calcOnExit w:val="0"/>
                  <w:checkBox>
                    <w:sizeAuto/>
                    <w:default w:val="0"/>
                  </w:checkBox>
                </w:ffData>
              </w:fldChar>
            </w:r>
            <w:r w:rsidRPr="009B4EA7">
              <w:rPr>
                <w:rFonts w:ascii="Arial Narrow" w:hAnsi="Arial Narrow" w:cs="Arial"/>
                <w:i/>
                <w:sz w:val="20"/>
                <w:szCs w:val="20"/>
              </w:rPr>
              <w:instrText xml:space="preserve"> FORMCHECKBOX </w:instrText>
            </w:r>
            <w:r w:rsidR="00AA2608">
              <w:rPr>
                <w:rFonts w:ascii="Arial Narrow" w:hAnsi="Arial Narrow" w:cs="Arial"/>
                <w:i/>
                <w:sz w:val="20"/>
                <w:szCs w:val="20"/>
              </w:rPr>
            </w:r>
            <w:r w:rsidR="00AA2608">
              <w:rPr>
                <w:rFonts w:ascii="Arial Narrow" w:hAnsi="Arial Narrow" w:cs="Arial"/>
                <w:i/>
                <w:sz w:val="20"/>
                <w:szCs w:val="20"/>
              </w:rPr>
              <w:fldChar w:fldCharType="separate"/>
            </w:r>
            <w:r w:rsidRPr="009B4EA7">
              <w:rPr>
                <w:rFonts w:ascii="Arial Narrow" w:hAnsi="Arial Narrow" w:cs="Arial"/>
                <w:i/>
                <w:sz w:val="20"/>
                <w:szCs w:val="20"/>
              </w:rPr>
              <w:fldChar w:fldCharType="end"/>
            </w:r>
            <w:r w:rsidRPr="009B4EA7">
              <w:rPr>
                <w:rFonts w:ascii="Arial Narrow" w:hAnsi="Arial Narrow" w:cs="Arial"/>
                <w:i/>
                <w:sz w:val="20"/>
                <w:szCs w:val="20"/>
              </w:rPr>
              <w:t>Midwives</w:t>
            </w:r>
          </w:p>
        </w:tc>
      </w:tr>
      <w:tr w:rsidR="00FD08F5" w:rsidRPr="009B4EA7" w:rsidTr="00053440">
        <w:trPr>
          <w:cantSplit/>
          <w:trHeight w:val="360"/>
        </w:trPr>
        <w:tc>
          <w:tcPr>
            <w:tcW w:w="979" w:type="pct"/>
            <w:tcBorders>
              <w:top w:val="single" w:sz="4" w:space="0" w:color="auto"/>
              <w:left w:val="single" w:sz="4" w:space="0" w:color="auto"/>
              <w:bottom w:val="single" w:sz="4" w:space="0" w:color="auto"/>
              <w:right w:val="single" w:sz="4" w:space="0" w:color="auto"/>
            </w:tcBorders>
          </w:tcPr>
          <w:p w:rsidR="00FD08F5" w:rsidRPr="009B4EA7" w:rsidRDefault="00FD08F5" w:rsidP="003745D9">
            <w:pPr>
              <w:jc w:val="both"/>
              <w:rPr>
                <w:rFonts w:ascii="Arial Narrow" w:hAnsi="Arial Narrow" w:cs="Arial"/>
                <w:b/>
                <w:i/>
                <w:sz w:val="20"/>
                <w:szCs w:val="20"/>
              </w:rPr>
            </w:pPr>
            <w:r w:rsidRPr="009B4EA7">
              <w:rPr>
                <w:rFonts w:ascii="Arial Narrow" w:hAnsi="Arial Narrow" w:cs="Arial"/>
                <w:b/>
                <w:i/>
                <w:sz w:val="20"/>
                <w:szCs w:val="20"/>
              </w:rPr>
              <w:t>Condition:</w:t>
            </w:r>
          </w:p>
        </w:tc>
        <w:tc>
          <w:tcPr>
            <w:tcW w:w="4021" w:type="pct"/>
            <w:gridSpan w:val="6"/>
            <w:tcBorders>
              <w:top w:val="single" w:sz="4" w:space="0" w:color="auto"/>
              <w:left w:val="single" w:sz="4" w:space="0" w:color="auto"/>
              <w:bottom w:val="single" w:sz="4" w:space="0" w:color="auto"/>
              <w:right w:val="single" w:sz="4" w:space="0" w:color="auto"/>
            </w:tcBorders>
          </w:tcPr>
          <w:p w:rsidR="00FD08F5" w:rsidRPr="009B4EA7" w:rsidRDefault="00FD08F5" w:rsidP="003745D9">
            <w:pPr>
              <w:rPr>
                <w:rFonts w:ascii="Arial Narrow" w:hAnsi="Arial Narrow" w:cs="Arial"/>
                <w:i/>
                <w:sz w:val="20"/>
                <w:szCs w:val="20"/>
              </w:rPr>
            </w:pPr>
            <w:r>
              <w:rPr>
                <w:rFonts w:ascii="Arial Narrow" w:hAnsi="Arial Narrow" w:cs="Arial"/>
                <w:i/>
                <w:sz w:val="20"/>
                <w:szCs w:val="20"/>
              </w:rPr>
              <w:t>Relapsing remitting multiple s</w:t>
            </w:r>
            <w:r w:rsidRPr="009B4EA7">
              <w:rPr>
                <w:rFonts w:ascii="Arial Narrow" w:hAnsi="Arial Narrow" w:cs="Arial"/>
                <w:i/>
                <w:sz w:val="20"/>
                <w:szCs w:val="20"/>
              </w:rPr>
              <w:t>clerosis</w:t>
            </w:r>
          </w:p>
        </w:tc>
      </w:tr>
      <w:tr w:rsidR="00FD08F5" w:rsidRPr="009B4EA7" w:rsidTr="00053440">
        <w:trPr>
          <w:cantSplit/>
          <w:trHeight w:val="360"/>
        </w:trPr>
        <w:tc>
          <w:tcPr>
            <w:tcW w:w="979" w:type="pct"/>
            <w:tcBorders>
              <w:top w:val="single" w:sz="4" w:space="0" w:color="auto"/>
              <w:left w:val="single" w:sz="4" w:space="0" w:color="auto"/>
              <w:bottom w:val="single" w:sz="4" w:space="0" w:color="auto"/>
              <w:right w:val="single" w:sz="4" w:space="0" w:color="auto"/>
            </w:tcBorders>
          </w:tcPr>
          <w:p w:rsidR="00FD08F5" w:rsidRPr="009B4EA7" w:rsidRDefault="00FD08F5" w:rsidP="003745D9">
            <w:pPr>
              <w:jc w:val="both"/>
              <w:rPr>
                <w:rFonts w:ascii="Arial Narrow" w:hAnsi="Arial Narrow" w:cs="Arial"/>
                <w:b/>
                <w:i/>
                <w:sz w:val="20"/>
                <w:szCs w:val="20"/>
              </w:rPr>
            </w:pPr>
            <w:r w:rsidRPr="009B4EA7">
              <w:rPr>
                <w:rFonts w:ascii="Arial Narrow" w:hAnsi="Arial Narrow" w:cs="Arial"/>
                <w:b/>
                <w:i/>
                <w:sz w:val="20"/>
                <w:szCs w:val="20"/>
              </w:rPr>
              <w:t>PBS Indication:</w:t>
            </w:r>
          </w:p>
        </w:tc>
        <w:tc>
          <w:tcPr>
            <w:tcW w:w="4021" w:type="pct"/>
            <w:gridSpan w:val="6"/>
            <w:tcBorders>
              <w:top w:val="single" w:sz="4" w:space="0" w:color="auto"/>
              <w:left w:val="single" w:sz="4" w:space="0" w:color="auto"/>
              <w:bottom w:val="single" w:sz="4" w:space="0" w:color="auto"/>
              <w:right w:val="single" w:sz="4" w:space="0" w:color="auto"/>
            </w:tcBorders>
          </w:tcPr>
          <w:p w:rsidR="00FD08F5" w:rsidRPr="009B4EA7" w:rsidRDefault="00FD08F5" w:rsidP="003745D9">
            <w:pPr>
              <w:rPr>
                <w:rFonts w:ascii="Arial Narrow" w:hAnsi="Arial Narrow" w:cs="Arial"/>
                <w:i/>
                <w:sz w:val="20"/>
                <w:szCs w:val="20"/>
              </w:rPr>
            </w:pPr>
            <w:r>
              <w:rPr>
                <w:rFonts w:ascii="Arial Narrow" w:hAnsi="Arial Narrow" w:cs="Arial"/>
                <w:i/>
                <w:sz w:val="20"/>
                <w:szCs w:val="20"/>
              </w:rPr>
              <w:t>Relapsing remitting multiple s</w:t>
            </w:r>
            <w:r w:rsidRPr="009B4EA7">
              <w:rPr>
                <w:rFonts w:ascii="Arial Narrow" w:hAnsi="Arial Narrow" w:cs="Arial"/>
                <w:i/>
                <w:sz w:val="20"/>
                <w:szCs w:val="20"/>
              </w:rPr>
              <w:t>clerosis</w:t>
            </w:r>
          </w:p>
        </w:tc>
      </w:tr>
      <w:tr w:rsidR="00FD08F5" w:rsidRPr="009B4EA7" w:rsidTr="00053440">
        <w:trPr>
          <w:cantSplit/>
          <w:trHeight w:val="360"/>
        </w:trPr>
        <w:tc>
          <w:tcPr>
            <w:tcW w:w="979" w:type="pct"/>
            <w:tcBorders>
              <w:top w:val="single" w:sz="4" w:space="0" w:color="auto"/>
              <w:left w:val="single" w:sz="4" w:space="0" w:color="auto"/>
              <w:bottom w:val="single" w:sz="4" w:space="0" w:color="auto"/>
              <w:right w:val="single" w:sz="4" w:space="0" w:color="auto"/>
            </w:tcBorders>
          </w:tcPr>
          <w:p w:rsidR="00FD08F5" w:rsidRPr="009B4EA7" w:rsidRDefault="00FD08F5" w:rsidP="003745D9">
            <w:pPr>
              <w:jc w:val="both"/>
              <w:rPr>
                <w:rFonts w:ascii="Arial Narrow" w:hAnsi="Arial Narrow" w:cs="Arial"/>
                <w:i/>
                <w:sz w:val="20"/>
                <w:szCs w:val="20"/>
              </w:rPr>
            </w:pPr>
            <w:r w:rsidRPr="009B4EA7">
              <w:rPr>
                <w:rFonts w:ascii="Arial Narrow" w:hAnsi="Arial Narrow" w:cs="Arial"/>
                <w:b/>
                <w:i/>
                <w:sz w:val="20"/>
                <w:szCs w:val="20"/>
              </w:rPr>
              <w:t>Treatment phase:</w:t>
            </w:r>
          </w:p>
        </w:tc>
        <w:tc>
          <w:tcPr>
            <w:tcW w:w="4021" w:type="pct"/>
            <w:gridSpan w:val="6"/>
            <w:tcBorders>
              <w:top w:val="single" w:sz="4" w:space="0" w:color="auto"/>
              <w:left w:val="single" w:sz="4" w:space="0" w:color="auto"/>
              <w:bottom w:val="single" w:sz="4" w:space="0" w:color="auto"/>
              <w:right w:val="single" w:sz="4" w:space="0" w:color="auto"/>
            </w:tcBorders>
          </w:tcPr>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Grandfather treatment</w:t>
            </w:r>
          </w:p>
        </w:tc>
      </w:tr>
      <w:tr w:rsidR="00FD08F5" w:rsidRPr="009B4EA7" w:rsidTr="00053440">
        <w:trPr>
          <w:cantSplit/>
          <w:trHeight w:val="360"/>
        </w:trPr>
        <w:tc>
          <w:tcPr>
            <w:tcW w:w="979" w:type="pct"/>
            <w:tcBorders>
              <w:top w:val="single" w:sz="4" w:space="0" w:color="auto"/>
              <w:left w:val="single" w:sz="4" w:space="0" w:color="auto"/>
              <w:bottom w:val="single" w:sz="4" w:space="0" w:color="auto"/>
              <w:right w:val="single" w:sz="4" w:space="0" w:color="auto"/>
            </w:tcBorders>
          </w:tcPr>
          <w:p w:rsidR="00FD08F5" w:rsidRPr="009B4EA7" w:rsidRDefault="00FD08F5" w:rsidP="003745D9">
            <w:pPr>
              <w:jc w:val="both"/>
              <w:rPr>
                <w:rFonts w:ascii="Arial Narrow" w:hAnsi="Arial Narrow" w:cs="Arial"/>
                <w:b/>
                <w:i/>
                <w:sz w:val="20"/>
                <w:szCs w:val="20"/>
              </w:rPr>
            </w:pPr>
            <w:r w:rsidRPr="009B4EA7">
              <w:rPr>
                <w:rFonts w:ascii="Arial Narrow" w:hAnsi="Arial Narrow" w:cs="Arial"/>
                <w:b/>
                <w:i/>
                <w:sz w:val="20"/>
                <w:szCs w:val="20"/>
              </w:rPr>
              <w:t>Clinical criteria:</w:t>
            </w:r>
          </w:p>
          <w:p w:rsidR="00FD08F5" w:rsidRPr="009B4EA7" w:rsidRDefault="00FD08F5" w:rsidP="003745D9">
            <w:pPr>
              <w:jc w:val="both"/>
              <w:rPr>
                <w:rFonts w:ascii="Arial Narrow" w:hAnsi="Arial Narrow" w:cs="Arial"/>
                <w:b/>
                <w:i/>
                <w:sz w:val="20"/>
                <w:szCs w:val="20"/>
              </w:rPr>
            </w:pPr>
          </w:p>
        </w:tc>
        <w:tc>
          <w:tcPr>
            <w:tcW w:w="4021" w:type="pct"/>
            <w:gridSpan w:val="6"/>
            <w:tcBorders>
              <w:top w:val="single" w:sz="4" w:space="0" w:color="auto"/>
              <w:left w:val="single" w:sz="4" w:space="0" w:color="auto"/>
              <w:bottom w:val="single" w:sz="4" w:space="0" w:color="auto"/>
              <w:right w:val="single" w:sz="4" w:space="0" w:color="auto"/>
            </w:tcBorders>
          </w:tcPr>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 xml:space="preserve">The condition must be diagnosed as clinically definite relapsing-remitting multiple sclerosis by magnetic resonance imaging of the brain and/or spinal cord; </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OR</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w:t>
            </w:r>
            <w:r>
              <w:rPr>
                <w:rFonts w:ascii="Arial Narrow" w:hAnsi="Arial Narrow" w:cs="Arial"/>
                <w:i/>
                <w:sz w:val="20"/>
                <w:szCs w:val="20"/>
              </w:rPr>
              <w:t>ological) injury to the patient;</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AND</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Patient must have received treatment with this drug for this condition prior to (</w:t>
            </w:r>
            <w:r>
              <w:rPr>
                <w:rFonts w:ascii="Arial Narrow" w:hAnsi="Arial Narrow" w:cs="Arial"/>
                <w:i/>
                <w:sz w:val="20"/>
                <w:szCs w:val="20"/>
              </w:rPr>
              <w:t>listing date);</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AND</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The treatment must be a sole PBS-subsidised disease modif</w:t>
            </w:r>
            <w:r>
              <w:rPr>
                <w:rFonts w:ascii="Arial Narrow" w:hAnsi="Arial Narrow" w:cs="Arial"/>
                <w:i/>
                <w:sz w:val="20"/>
                <w:szCs w:val="20"/>
              </w:rPr>
              <w:t>ying therapy for this condition;</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AND</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Patient must have experienced at least 2 documented attacks of neurological dysfunction, believed to be due to the multiple sclerosis, in the 2 years preceding when this drug was initiated for this condition</w:t>
            </w:r>
            <w:r>
              <w:rPr>
                <w:rFonts w:ascii="Arial Narrow" w:hAnsi="Arial Narrow" w:cs="Arial"/>
                <w:i/>
                <w:sz w:val="20"/>
                <w:szCs w:val="20"/>
              </w:rPr>
              <w:t>;</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AND</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 xml:space="preserve">Patient must be ambulatory </w:t>
            </w:r>
            <w:r>
              <w:rPr>
                <w:rFonts w:ascii="Arial Narrow" w:hAnsi="Arial Narrow" w:cs="Arial"/>
                <w:i/>
                <w:sz w:val="20"/>
                <w:szCs w:val="20"/>
              </w:rPr>
              <w:t>(without assistance or support);</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AND</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Patient must not show continuing progression of disability wh</w:t>
            </w:r>
            <w:r>
              <w:rPr>
                <w:rFonts w:ascii="Arial Narrow" w:hAnsi="Arial Narrow" w:cs="Arial"/>
                <w:i/>
                <w:sz w:val="20"/>
                <w:szCs w:val="20"/>
              </w:rPr>
              <w:t>ile on treatment with this drug;</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AND</w:t>
            </w:r>
          </w:p>
          <w:p w:rsidR="00FD08F5" w:rsidRPr="009B4EA7" w:rsidRDefault="00FD08F5" w:rsidP="003745D9">
            <w:pPr>
              <w:rPr>
                <w:rFonts w:ascii="Arial Narrow" w:hAnsi="Arial Narrow" w:cs="Arial"/>
                <w:i/>
                <w:sz w:val="20"/>
                <w:szCs w:val="20"/>
              </w:rPr>
            </w:pPr>
            <w:r w:rsidRPr="009B4EA7">
              <w:rPr>
                <w:rFonts w:ascii="Arial Narrow" w:hAnsi="Arial Narrow" w:cs="Arial"/>
                <w:i/>
                <w:sz w:val="20"/>
                <w:szCs w:val="20"/>
              </w:rPr>
              <w:t>Patient must have demonstrated compliance with, and an ability to tolerate this therapy.</w:t>
            </w:r>
          </w:p>
        </w:tc>
      </w:tr>
      <w:tr w:rsidR="00FD08F5" w:rsidRPr="009B4EA7" w:rsidTr="00053440">
        <w:trPr>
          <w:cantSplit/>
          <w:trHeight w:val="360"/>
        </w:trPr>
        <w:tc>
          <w:tcPr>
            <w:tcW w:w="979" w:type="pct"/>
            <w:tcBorders>
              <w:top w:val="single" w:sz="4" w:space="0" w:color="auto"/>
              <w:left w:val="single" w:sz="4" w:space="0" w:color="auto"/>
              <w:bottom w:val="single" w:sz="4" w:space="0" w:color="auto"/>
              <w:right w:val="single" w:sz="4" w:space="0" w:color="auto"/>
            </w:tcBorders>
          </w:tcPr>
          <w:p w:rsidR="00FD08F5" w:rsidRPr="0066423E" w:rsidRDefault="00FD08F5" w:rsidP="003745D9">
            <w:pPr>
              <w:jc w:val="both"/>
              <w:rPr>
                <w:rFonts w:ascii="Arial Narrow" w:hAnsi="Arial Narrow" w:cs="Arial"/>
                <w:b/>
                <w:i/>
                <w:sz w:val="20"/>
                <w:szCs w:val="20"/>
              </w:rPr>
            </w:pPr>
            <w:r w:rsidRPr="00832637">
              <w:rPr>
                <w:rFonts w:ascii="Arial Narrow" w:hAnsi="Arial Narrow" w:cs="Arial"/>
                <w:b/>
                <w:i/>
                <w:sz w:val="20"/>
                <w:szCs w:val="20"/>
              </w:rPr>
              <w:t>Prescriber Instructions</w:t>
            </w:r>
          </w:p>
        </w:tc>
        <w:tc>
          <w:tcPr>
            <w:tcW w:w="4021" w:type="pct"/>
            <w:gridSpan w:val="6"/>
            <w:tcBorders>
              <w:top w:val="single" w:sz="4" w:space="0" w:color="auto"/>
              <w:left w:val="single" w:sz="4" w:space="0" w:color="auto"/>
              <w:bottom w:val="single" w:sz="4" w:space="0" w:color="auto"/>
              <w:right w:val="single" w:sz="4" w:space="0" w:color="auto"/>
            </w:tcBorders>
          </w:tcPr>
          <w:p w:rsidR="00FD08F5" w:rsidRPr="0066423E" w:rsidRDefault="00FD08F5" w:rsidP="003745D9">
            <w:pPr>
              <w:rPr>
                <w:rFonts w:ascii="Arial Narrow" w:hAnsi="Arial Narrow" w:cs="Arial"/>
                <w:i/>
                <w:sz w:val="20"/>
                <w:szCs w:val="20"/>
              </w:rPr>
            </w:pPr>
            <w:r w:rsidRPr="00552CFE">
              <w:rPr>
                <w:rFonts w:ascii="Arial Narrow" w:hAnsi="Arial Narrow" w:cs="Arial"/>
                <w:i/>
                <w:sz w:val="20"/>
                <w:szCs w:val="20"/>
              </w:rPr>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r>
    </w:tbl>
    <w:p w:rsidR="00635662" w:rsidRPr="001056BE" w:rsidRDefault="00BE721A" w:rsidP="001056B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November 2017 major resubmission requested a DPMQ for ten tablets of cladribine ($</w:t>
      </w:r>
      <w:r w:rsidR="00AA2608">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w:t>
      </w:r>
      <w:r w:rsidR="001020AF">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but applied the price of seven tablets</w:t>
      </w:r>
      <w:r w:rsidR="00F63E5B" w:rsidRPr="00F63E5B">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w:t>
      </w:r>
      <w:r w:rsidR="00AA2608">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in the </w:t>
      </w:r>
      <w:r w:rsidR="001020AF">
        <w:rPr>
          <w:rFonts w:asciiTheme="minorHAnsi" w:eastAsiaTheme="minorHAnsi" w:hAnsiTheme="minorHAnsi" w:cstheme="minorBidi"/>
          <w:snapToGrid/>
          <w:sz w:val="24"/>
          <w:szCs w:val="22"/>
        </w:rPr>
        <w:t xml:space="preserve">cost minimisation and </w:t>
      </w:r>
      <w:r>
        <w:rPr>
          <w:rFonts w:asciiTheme="minorHAnsi" w:eastAsiaTheme="minorHAnsi" w:hAnsiTheme="minorHAnsi" w:cstheme="minorBidi"/>
          <w:snapToGrid/>
          <w:sz w:val="24"/>
          <w:szCs w:val="22"/>
        </w:rPr>
        <w:t>financial analysis</w:t>
      </w:r>
      <w:r w:rsidR="00635662">
        <w:rPr>
          <w:rFonts w:asciiTheme="minorHAnsi" w:eastAsiaTheme="minorHAnsi" w:hAnsiTheme="minorHAnsi" w:cstheme="minorBidi"/>
          <w:snapToGrid/>
          <w:sz w:val="24"/>
          <w:szCs w:val="22"/>
        </w:rPr>
        <w:t>, based on the average weight (76.6kg) of patients in an Australian multiple sclerosis longitudinal study receiving cladribine</w:t>
      </w:r>
      <w:r>
        <w:rPr>
          <w:rFonts w:asciiTheme="minorHAnsi" w:eastAsiaTheme="minorHAnsi" w:hAnsiTheme="minorHAnsi" w:cstheme="minorBidi"/>
          <w:snapToGrid/>
          <w:sz w:val="24"/>
          <w:szCs w:val="22"/>
        </w:rPr>
        <w:t xml:space="preserve">. </w:t>
      </w:r>
      <w:r w:rsidR="00635662">
        <w:rPr>
          <w:rFonts w:asciiTheme="minorHAnsi" w:eastAsiaTheme="minorHAnsi" w:hAnsiTheme="minorHAnsi" w:cstheme="minorBidi"/>
          <w:snapToGrid/>
          <w:sz w:val="24"/>
          <w:szCs w:val="22"/>
        </w:rPr>
        <w:t xml:space="preserve">The Secretariat noted that this created a large potential for wastage and proposed changes </w:t>
      </w:r>
      <w:r w:rsidR="00D74339">
        <w:rPr>
          <w:rFonts w:asciiTheme="minorHAnsi" w:eastAsiaTheme="minorHAnsi" w:hAnsiTheme="minorHAnsi" w:cstheme="minorBidi"/>
          <w:snapToGrid/>
          <w:sz w:val="24"/>
          <w:szCs w:val="22"/>
        </w:rPr>
        <w:t>to the requested restriction,</w:t>
      </w:r>
      <w:r w:rsidR="00635662">
        <w:rPr>
          <w:rFonts w:asciiTheme="minorHAnsi" w:eastAsiaTheme="minorHAnsi" w:hAnsiTheme="minorHAnsi" w:cstheme="minorBidi"/>
          <w:snapToGrid/>
          <w:sz w:val="24"/>
          <w:szCs w:val="22"/>
        </w:rPr>
        <w:t xml:space="preserve"> maximum quantity</w:t>
      </w:r>
      <w:r w:rsidR="00D74339">
        <w:rPr>
          <w:rFonts w:asciiTheme="minorHAnsi" w:eastAsiaTheme="minorHAnsi" w:hAnsiTheme="minorHAnsi" w:cstheme="minorBidi"/>
          <w:snapToGrid/>
          <w:sz w:val="24"/>
          <w:szCs w:val="22"/>
        </w:rPr>
        <w:t xml:space="preserve"> and number of repeats</w:t>
      </w:r>
      <w:r w:rsidR="00635662">
        <w:rPr>
          <w:rFonts w:asciiTheme="minorHAnsi" w:eastAsiaTheme="minorHAnsi" w:hAnsiTheme="minorHAnsi" w:cstheme="minorBidi"/>
          <w:snapToGrid/>
          <w:sz w:val="24"/>
          <w:szCs w:val="22"/>
        </w:rPr>
        <w:t xml:space="preserve">, which </w:t>
      </w:r>
      <w:r w:rsidR="00FB3687">
        <w:rPr>
          <w:rFonts w:asciiTheme="minorHAnsi" w:eastAsiaTheme="minorHAnsi" w:hAnsiTheme="minorHAnsi" w:cstheme="minorBidi"/>
          <w:snapToGrid/>
          <w:sz w:val="24"/>
          <w:szCs w:val="22"/>
        </w:rPr>
        <w:t xml:space="preserve">were </w:t>
      </w:r>
      <w:r w:rsidR="00635662">
        <w:rPr>
          <w:rFonts w:asciiTheme="minorHAnsi" w:eastAsiaTheme="minorHAnsi" w:hAnsiTheme="minorHAnsi" w:cstheme="minorBidi"/>
          <w:snapToGrid/>
          <w:sz w:val="24"/>
          <w:szCs w:val="22"/>
        </w:rPr>
        <w:t>welcomed by the sponsor in its Pre-Sub</w:t>
      </w:r>
      <w:r w:rsidR="00D921AC">
        <w:rPr>
          <w:rFonts w:asciiTheme="minorHAnsi" w:eastAsiaTheme="minorHAnsi" w:hAnsiTheme="minorHAnsi" w:cstheme="minorBidi"/>
          <w:snapToGrid/>
          <w:sz w:val="24"/>
          <w:szCs w:val="22"/>
        </w:rPr>
        <w:t>-C</w:t>
      </w:r>
      <w:r w:rsidR="00635662">
        <w:rPr>
          <w:rFonts w:asciiTheme="minorHAnsi" w:eastAsiaTheme="minorHAnsi" w:hAnsiTheme="minorHAnsi" w:cstheme="minorBidi"/>
          <w:snapToGrid/>
          <w:sz w:val="24"/>
          <w:szCs w:val="22"/>
        </w:rPr>
        <w:t>ommittee Response</w:t>
      </w:r>
      <w:r w:rsidR="005B451E">
        <w:rPr>
          <w:rFonts w:asciiTheme="minorHAnsi" w:eastAsiaTheme="minorHAnsi" w:hAnsiTheme="minorHAnsi" w:cstheme="minorBidi"/>
          <w:snapToGrid/>
          <w:sz w:val="24"/>
          <w:szCs w:val="22"/>
        </w:rPr>
        <w:t xml:space="preserve"> </w:t>
      </w:r>
      <w:r w:rsidR="00D74339">
        <w:rPr>
          <w:rFonts w:asciiTheme="minorHAnsi" w:eastAsiaTheme="minorHAnsi" w:hAnsiTheme="minorHAnsi" w:cstheme="minorBidi"/>
          <w:snapToGrid/>
          <w:sz w:val="24"/>
          <w:szCs w:val="22"/>
        </w:rPr>
        <w:t>and accepted</w:t>
      </w:r>
      <w:r w:rsidR="00635662">
        <w:rPr>
          <w:rFonts w:asciiTheme="minorHAnsi" w:eastAsiaTheme="minorHAnsi" w:hAnsiTheme="minorHAnsi" w:cstheme="minorBidi"/>
          <w:snapToGrid/>
          <w:sz w:val="24"/>
          <w:szCs w:val="22"/>
        </w:rPr>
        <w:t xml:space="preserve"> by the PBAC at its November 2017 meeting. </w:t>
      </w:r>
    </w:p>
    <w:p w:rsidR="007E6ED6" w:rsidRPr="00242B9B" w:rsidRDefault="00BE721A" w:rsidP="001056B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63E5B">
        <w:rPr>
          <w:rFonts w:asciiTheme="minorHAnsi" w:eastAsiaTheme="minorHAnsi" w:hAnsiTheme="minorHAnsi" w:cstheme="minorBidi"/>
          <w:snapToGrid/>
          <w:sz w:val="24"/>
          <w:szCs w:val="22"/>
        </w:rPr>
        <w:t xml:space="preserve">The minor resubmission requested a DPMQ </w:t>
      </w:r>
      <w:r>
        <w:rPr>
          <w:rFonts w:asciiTheme="minorHAnsi" w:eastAsiaTheme="minorHAnsi" w:hAnsiTheme="minorHAnsi" w:cstheme="minorBidi"/>
          <w:snapToGrid/>
          <w:sz w:val="24"/>
          <w:szCs w:val="22"/>
        </w:rPr>
        <w:t>($</w:t>
      </w:r>
      <w:r w:rsidR="00AA2608">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w:t>
      </w:r>
      <w:r w:rsidRPr="00F63E5B">
        <w:rPr>
          <w:rFonts w:asciiTheme="minorHAnsi" w:eastAsiaTheme="minorHAnsi" w:hAnsiTheme="minorHAnsi" w:cstheme="minorBidi"/>
          <w:snapToGrid/>
          <w:sz w:val="24"/>
          <w:szCs w:val="22"/>
        </w:rPr>
        <w:t xml:space="preserve">for seven tablets of cladribine, based on </w:t>
      </w:r>
      <w:r>
        <w:rPr>
          <w:rFonts w:asciiTheme="minorHAnsi" w:eastAsiaTheme="minorHAnsi" w:hAnsiTheme="minorHAnsi" w:cstheme="minorBidi"/>
          <w:snapToGrid/>
          <w:sz w:val="24"/>
          <w:szCs w:val="22"/>
        </w:rPr>
        <w:t>a</w:t>
      </w:r>
      <w:r w:rsidRPr="00F63E5B">
        <w:rPr>
          <w:rFonts w:asciiTheme="minorHAnsi" w:eastAsiaTheme="minorHAnsi" w:hAnsiTheme="minorHAnsi" w:cstheme="minorBidi"/>
          <w:snapToGrid/>
          <w:sz w:val="24"/>
          <w:szCs w:val="22"/>
        </w:rPr>
        <w:t xml:space="preserve"> cost minimisation</w:t>
      </w:r>
      <w:r>
        <w:rPr>
          <w:rFonts w:asciiTheme="minorHAnsi" w:eastAsiaTheme="minorHAnsi" w:hAnsiTheme="minorHAnsi" w:cstheme="minorBidi"/>
          <w:snapToGrid/>
          <w:sz w:val="24"/>
          <w:szCs w:val="22"/>
        </w:rPr>
        <w:t xml:space="preserve"> analysis versus the published price of fingolimod, and, the application of two rebates (</w:t>
      </w:r>
      <w:r w:rsidR="00AA2608">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and </w:t>
      </w:r>
      <w:r w:rsidR="00AA2608">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The revised</w:t>
      </w:r>
      <w:r w:rsidR="00635662">
        <w:rPr>
          <w:rFonts w:asciiTheme="minorHAnsi" w:eastAsiaTheme="minorHAnsi" w:hAnsiTheme="minorHAnsi" w:cstheme="minorBidi"/>
          <w:snapToGrid/>
          <w:sz w:val="24"/>
          <w:szCs w:val="22"/>
        </w:rPr>
        <w:t xml:space="preserve"> DPMQ has</w:t>
      </w:r>
      <w:r w:rsidR="002F304B">
        <w:rPr>
          <w:rFonts w:asciiTheme="minorHAnsi" w:eastAsiaTheme="minorHAnsi" w:hAnsiTheme="minorHAnsi" w:cstheme="minorBidi"/>
          <w:snapToGrid/>
          <w:sz w:val="24"/>
          <w:szCs w:val="22"/>
        </w:rPr>
        <w:t xml:space="preserve"> accounted for</w:t>
      </w:r>
      <w:r w:rsidR="009A6B96">
        <w:rPr>
          <w:rFonts w:asciiTheme="minorHAnsi" w:eastAsiaTheme="minorHAnsi" w:hAnsiTheme="minorHAnsi" w:cstheme="minorBidi"/>
          <w:snapToGrid/>
          <w:sz w:val="24"/>
          <w:szCs w:val="22"/>
        </w:rPr>
        <w:t xml:space="preserve"> updated administration and handling fees, </w:t>
      </w:r>
      <w:r>
        <w:rPr>
          <w:rFonts w:asciiTheme="minorHAnsi" w:eastAsiaTheme="minorHAnsi" w:hAnsiTheme="minorHAnsi" w:cstheme="minorBidi"/>
          <w:snapToGrid/>
          <w:sz w:val="24"/>
          <w:szCs w:val="22"/>
        </w:rPr>
        <w:t xml:space="preserve">which occurred between the time of lodgement for the November 2017 major resubmission and the </w:t>
      </w:r>
      <w:r w:rsidRPr="00242B9B">
        <w:rPr>
          <w:rFonts w:asciiTheme="minorHAnsi" w:eastAsiaTheme="minorHAnsi" w:hAnsiTheme="minorHAnsi" w:cstheme="minorBidi"/>
          <w:snapToGrid/>
          <w:sz w:val="24"/>
          <w:szCs w:val="22"/>
        </w:rPr>
        <w:t xml:space="preserve">current minor resubmission. </w:t>
      </w:r>
      <w:r w:rsidR="00635662" w:rsidRPr="00242B9B">
        <w:rPr>
          <w:rFonts w:asciiTheme="minorHAnsi" w:eastAsiaTheme="minorHAnsi" w:hAnsiTheme="minorHAnsi" w:cstheme="minorBidi"/>
          <w:snapToGrid/>
          <w:sz w:val="24"/>
          <w:szCs w:val="22"/>
        </w:rPr>
        <w:t>However, the minor resubmission did not propose a DPMQ for each of the three different pack sizes for cladribine.</w:t>
      </w:r>
    </w:p>
    <w:p w:rsidR="007E6ED6" w:rsidRDefault="007E6ED6" w:rsidP="001056B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242B9B">
        <w:rPr>
          <w:rFonts w:asciiTheme="minorHAnsi" w:eastAsiaTheme="minorHAnsi" w:hAnsiTheme="minorHAnsi" w:cstheme="minorBidi"/>
          <w:snapToGrid/>
          <w:sz w:val="24"/>
          <w:szCs w:val="22"/>
        </w:rPr>
        <w:t>The March 2011 major submission requested a DPMQ of $</w:t>
      </w:r>
      <w:r w:rsidR="00AA2608">
        <w:rPr>
          <w:rFonts w:asciiTheme="minorHAnsi" w:eastAsiaTheme="minorHAnsi" w:hAnsiTheme="minorHAnsi" w:cstheme="minorBidi"/>
          <w:noProof/>
          <w:snapToGrid/>
          <w:color w:val="000000"/>
          <w:sz w:val="24"/>
          <w:szCs w:val="22"/>
          <w:highlight w:val="black"/>
        </w:rPr>
        <w:t>''''''''''''''</w:t>
      </w:r>
      <w:r w:rsidRPr="00242B9B">
        <w:rPr>
          <w:rFonts w:asciiTheme="minorHAnsi" w:eastAsiaTheme="minorHAnsi" w:hAnsiTheme="minorHAnsi" w:cstheme="minorBidi"/>
          <w:snapToGrid/>
          <w:sz w:val="24"/>
          <w:szCs w:val="22"/>
        </w:rPr>
        <w:t xml:space="preserve"> for ten tablets of cladribine. This is approximately </w:t>
      </w:r>
      <w:r w:rsidR="00AA2608">
        <w:rPr>
          <w:rFonts w:asciiTheme="minorHAnsi" w:eastAsiaTheme="minorHAnsi" w:hAnsiTheme="minorHAnsi" w:cstheme="minorBidi"/>
          <w:noProof/>
          <w:snapToGrid/>
          <w:color w:val="000000"/>
          <w:sz w:val="24"/>
          <w:szCs w:val="22"/>
          <w:highlight w:val="black"/>
        </w:rPr>
        <w:t>''''''</w:t>
      </w:r>
      <w:r w:rsidRPr="00242B9B">
        <w:rPr>
          <w:rFonts w:asciiTheme="minorHAnsi" w:eastAsiaTheme="minorHAnsi" w:hAnsiTheme="minorHAnsi" w:cstheme="minorBidi"/>
          <w:snapToGrid/>
          <w:sz w:val="24"/>
          <w:szCs w:val="22"/>
        </w:rPr>
        <w:t xml:space="preserve">% less per tablet of cladribine compared to the requested price in the minor resubmission. </w:t>
      </w:r>
      <w:r w:rsidR="00EA703C">
        <w:rPr>
          <w:rFonts w:asciiTheme="minorHAnsi" w:eastAsiaTheme="minorHAnsi" w:hAnsiTheme="minorHAnsi" w:cstheme="minorBidi"/>
          <w:snapToGrid/>
          <w:sz w:val="24"/>
          <w:szCs w:val="22"/>
        </w:rPr>
        <w:t xml:space="preserve">The pre-PBAC response agreed with the minor overview that the per tablet price requested for cladribine in 2011 was </w:t>
      </w:r>
      <w:r w:rsidR="00AA2608">
        <w:rPr>
          <w:rFonts w:asciiTheme="minorHAnsi" w:eastAsiaTheme="minorHAnsi" w:hAnsiTheme="minorHAnsi" w:cstheme="minorBidi"/>
          <w:noProof/>
          <w:snapToGrid/>
          <w:color w:val="000000"/>
          <w:sz w:val="24"/>
          <w:szCs w:val="22"/>
          <w:highlight w:val="black"/>
        </w:rPr>
        <w:t>'''''</w:t>
      </w:r>
      <w:r w:rsidR="00EA703C">
        <w:rPr>
          <w:rFonts w:asciiTheme="minorHAnsi" w:eastAsiaTheme="minorHAnsi" w:hAnsiTheme="minorHAnsi" w:cstheme="minorBidi"/>
          <w:snapToGrid/>
          <w:sz w:val="24"/>
          <w:szCs w:val="22"/>
        </w:rPr>
        <w:t>% lower than the currently proposed price, however argued that this does not take into account the evidence base now available. It claimed that, “i</w:t>
      </w:r>
      <w:r w:rsidR="00EA703C" w:rsidRPr="00EA703C">
        <w:rPr>
          <w:rFonts w:asciiTheme="minorHAnsi" w:eastAsiaTheme="minorHAnsi" w:hAnsiTheme="minorHAnsi" w:cstheme="minorBidi"/>
          <w:snapToGrid/>
          <w:sz w:val="24"/>
          <w:szCs w:val="22"/>
        </w:rPr>
        <w:t xml:space="preserve">n 2011, the extended duration of benefit </w:t>
      </w:r>
      <w:r w:rsidR="00EA703C">
        <w:rPr>
          <w:rFonts w:asciiTheme="minorHAnsi" w:eastAsiaTheme="minorHAnsi" w:hAnsiTheme="minorHAnsi" w:cstheme="minorBidi"/>
          <w:snapToGrid/>
          <w:sz w:val="24"/>
          <w:szCs w:val="22"/>
        </w:rPr>
        <w:t xml:space="preserve">(of cladribine) </w:t>
      </w:r>
      <w:r w:rsidR="00EA703C" w:rsidRPr="00EA703C">
        <w:rPr>
          <w:rFonts w:asciiTheme="minorHAnsi" w:eastAsiaTheme="minorHAnsi" w:hAnsiTheme="minorHAnsi" w:cstheme="minorBidi"/>
          <w:snapToGrid/>
          <w:sz w:val="24"/>
          <w:szCs w:val="22"/>
        </w:rPr>
        <w:t>was not yet known. The cost of treatment over 2 years at the 2011 price of $</w:t>
      </w:r>
      <w:r w:rsidR="00AA2608">
        <w:rPr>
          <w:rFonts w:asciiTheme="minorHAnsi" w:eastAsiaTheme="minorHAnsi" w:hAnsiTheme="minorHAnsi" w:cstheme="minorBidi"/>
          <w:noProof/>
          <w:snapToGrid/>
          <w:color w:val="000000"/>
          <w:sz w:val="24"/>
          <w:szCs w:val="22"/>
          <w:highlight w:val="black"/>
        </w:rPr>
        <w:t>''''''''''</w:t>
      </w:r>
      <w:r w:rsidR="00EA703C" w:rsidRPr="00EA703C">
        <w:rPr>
          <w:rFonts w:asciiTheme="minorHAnsi" w:eastAsiaTheme="minorHAnsi" w:hAnsiTheme="minorHAnsi" w:cstheme="minorBidi"/>
          <w:snapToGrid/>
          <w:sz w:val="24"/>
          <w:szCs w:val="22"/>
        </w:rPr>
        <w:t xml:space="preserve"> per tablet would be $</w:t>
      </w:r>
      <w:r w:rsidR="00AA2608">
        <w:rPr>
          <w:rFonts w:asciiTheme="minorHAnsi" w:eastAsiaTheme="minorHAnsi" w:hAnsiTheme="minorHAnsi" w:cstheme="minorBidi"/>
          <w:noProof/>
          <w:snapToGrid/>
          <w:color w:val="000000"/>
          <w:sz w:val="24"/>
          <w:szCs w:val="22"/>
          <w:highlight w:val="black"/>
        </w:rPr>
        <w:t>''''''''''''''</w:t>
      </w:r>
      <w:r w:rsidR="00EA703C" w:rsidRPr="00EA703C">
        <w:rPr>
          <w:rFonts w:asciiTheme="minorHAnsi" w:eastAsiaTheme="minorHAnsi" w:hAnsiTheme="minorHAnsi" w:cstheme="minorBidi"/>
          <w:snapToGrid/>
          <w:sz w:val="24"/>
          <w:szCs w:val="22"/>
        </w:rPr>
        <w:t>, or $</w:t>
      </w:r>
      <w:r w:rsidR="00AA2608">
        <w:rPr>
          <w:rFonts w:asciiTheme="minorHAnsi" w:eastAsiaTheme="minorHAnsi" w:hAnsiTheme="minorHAnsi" w:cstheme="minorBidi"/>
          <w:noProof/>
          <w:snapToGrid/>
          <w:color w:val="000000"/>
          <w:sz w:val="24"/>
          <w:szCs w:val="22"/>
          <w:highlight w:val="black"/>
        </w:rPr>
        <w:t>'''''''''''''</w:t>
      </w:r>
      <w:r w:rsidR="00EA703C" w:rsidRPr="00EA703C">
        <w:rPr>
          <w:rFonts w:asciiTheme="minorHAnsi" w:eastAsiaTheme="minorHAnsi" w:hAnsiTheme="minorHAnsi" w:cstheme="minorBidi"/>
          <w:snapToGrid/>
          <w:sz w:val="24"/>
          <w:szCs w:val="22"/>
        </w:rPr>
        <w:t xml:space="preserve"> on an annual basis. The currently proposed 4-year cost of treatment is $</w:t>
      </w:r>
      <w:r w:rsidR="00AA2608">
        <w:rPr>
          <w:rFonts w:asciiTheme="minorHAnsi" w:eastAsiaTheme="minorHAnsi" w:hAnsiTheme="minorHAnsi" w:cstheme="minorBidi"/>
          <w:noProof/>
          <w:snapToGrid/>
          <w:color w:val="000000"/>
          <w:sz w:val="24"/>
          <w:szCs w:val="22"/>
          <w:highlight w:val="black"/>
        </w:rPr>
        <w:t>''''''''''''''</w:t>
      </w:r>
      <w:r w:rsidR="00EA703C" w:rsidRPr="00EA703C">
        <w:rPr>
          <w:rFonts w:asciiTheme="minorHAnsi" w:eastAsiaTheme="minorHAnsi" w:hAnsiTheme="minorHAnsi" w:cstheme="minorBidi"/>
          <w:snapToGrid/>
          <w:sz w:val="24"/>
          <w:szCs w:val="22"/>
        </w:rPr>
        <w:t>, or $</w:t>
      </w:r>
      <w:r w:rsidR="00AA2608">
        <w:rPr>
          <w:rFonts w:asciiTheme="minorHAnsi" w:eastAsiaTheme="minorHAnsi" w:hAnsiTheme="minorHAnsi" w:cstheme="minorBidi"/>
          <w:noProof/>
          <w:snapToGrid/>
          <w:color w:val="000000"/>
          <w:sz w:val="24"/>
          <w:szCs w:val="22"/>
          <w:highlight w:val="black"/>
        </w:rPr>
        <w:t>''''''''''''</w:t>
      </w:r>
      <w:r w:rsidR="00EA703C" w:rsidRPr="00EA703C">
        <w:rPr>
          <w:rFonts w:asciiTheme="minorHAnsi" w:eastAsiaTheme="minorHAnsi" w:hAnsiTheme="minorHAnsi" w:cstheme="minorBidi"/>
          <w:snapToGrid/>
          <w:sz w:val="24"/>
          <w:szCs w:val="22"/>
        </w:rPr>
        <w:t xml:space="preserve"> on an annual basis.</w:t>
      </w:r>
      <w:r w:rsidR="00EA703C">
        <w:rPr>
          <w:rFonts w:asciiTheme="minorHAnsi" w:eastAsiaTheme="minorHAnsi" w:hAnsiTheme="minorHAnsi" w:cstheme="minorBidi"/>
          <w:snapToGrid/>
          <w:sz w:val="24"/>
          <w:szCs w:val="22"/>
        </w:rPr>
        <w:t xml:space="preserve"> </w:t>
      </w:r>
      <w:r w:rsidR="00EA703C" w:rsidRPr="00EA703C">
        <w:rPr>
          <w:rFonts w:asciiTheme="minorHAnsi" w:eastAsiaTheme="minorHAnsi" w:hAnsiTheme="minorHAnsi" w:cstheme="minorBidi"/>
          <w:snapToGrid/>
          <w:sz w:val="24"/>
          <w:szCs w:val="22"/>
        </w:rPr>
        <w:t xml:space="preserve">The cost of treatment with cladribine tablets on an annual basis has therefore decreased by </w:t>
      </w:r>
      <w:r w:rsidR="00AA2608">
        <w:rPr>
          <w:rFonts w:asciiTheme="minorHAnsi" w:eastAsiaTheme="minorHAnsi" w:hAnsiTheme="minorHAnsi" w:cstheme="minorBidi"/>
          <w:noProof/>
          <w:snapToGrid/>
          <w:color w:val="000000"/>
          <w:sz w:val="24"/>
          <w:szCs w:val="22"/>
          <w:highlight w:val="black"/>
        </w:rPr>
        <w:t>'''''</w:t>
      </w:r>
      <w:r w:rsidR="00EA703C" w:rsidRPr="00EA703C">
        <w:rPr>
          <w:rFonts w:asciiTheme="minorHAnsi" w:eastAsiaTheme="minorHAnsi" w:hAnsiTheme="minorHAnsi" w:cstheme="minorBidi"/>
          <w:snapToGrid/>
          <w:sz w:val="24"/>
          <w:szCs w:val="22"/>
        </w:rPr>
        <w:t>% since 2011</w:t>
      </w:r>
      <w:r w:rsidR="00EA703C">
        <w:rPr>
          <w:rFonts w:asciiTheme="minorHAnsi" w:eastAsiaTheme="minorHAnsi" w:hAnsiTheme="minorHAnsi" w:cstheme="minorBidi"/>
          <w:snapToGrid/>
          <w:sz w:val="24"/>
          <w:szCs w:val="22"/>
        </w:rPr>
        <w:t>.” The pre-PBAC response also highlighted that these prices do not take into account the Special Pricing Arrangement</w:t>
      </w:r>
      <w:r w:rsidR="00EA703C" w:rsidRPr="00E86579">
        <w:rPr>
          <w:rFonts w:asciiTheme="minorHAnsi" w:eastAsiaTheme="minorHAnsi" w:hAnsiTheme="minorHAnsi" w:cstheme="minorBidi"/>
          <w:snapToGrid/>
          <w:sz w:val="24"/>
          <w:szCs w:val="22"/>
        </w:rPr>
        <w:t xml:space="preserve"> (SPA)</w:t>
      </w:r>
      <w:r w:rsidR="00EA703C">
        <w:rPr>
          <w:rFonts w:asciiTheme="minorHAnsi" w:eastAsiaTheme="minorHAnsi" w:hAnsiTheme="minorHAnsi" w:cstheme="minorBidi"/>
          <w:snapToGrid/>
          <w:sz w:val="24"/>
          <w:szCs w:val="22"/>
        </w:rPr>
        <w:t xml:space="preserve"> in place for fingolimod, which would also apply to cladribine if cladribine was to be PBS-listed. </w:t>
      </w:r>
    </w:p>
    <w:p w:rsidR="00EA703C" w:rsidRPr="00242B9B" w:rsidRDefault="00EA703C" w:rsidP="001056B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pre-PBAC response accepted the Secretariat’s suggested changes to the proposed restriction. </w:t>
      </w:r>
    </w:p>
    <w:p w:rsidR="007F37BA" w:rsidRPr="007F37BA" w:rsidRDefault="000042AF" w:rsidP="007F37BA">
      <w:pPr>
        <w:pStyle w:val="ListParagraph"/>
        <w:widowControl/>
        <w:spacing w:after="120"/>
        <w:contextualSpacing w:val="0"/>
        <w:rPr>
          <w:rFonts w:asciiTheme="minorHAnsi" w:eastAsiaTheme="minorHAnsi" w:hAnsiTheme="minorHAnsi" w:cstheme="minorBidi"/>
          <w:i/>
          <w:snapToGrid/>
          <w:sz w:val="24"/>
          <w:szCs w:val="22"/>
        </w:rPr>
      </w:pPr>
      <w:r w:rsidRPr="00806713">
        <w:rPr>
          <w:rFonts w:asciiTheme="minorHAnsi" w:eastAsiaTheme="minorHAnsi" w:hAnsiTheme="minorHAnsi" w:cstheme="minorBidi"/>
          <w:i/>
          <w:snapToGrid/>
          <w:sz w:val="24"/>
          <w:szCs w:val="22"/>
        </w:rPr>
        <w:t>For more detail on PBAC’s vie</w:t>
      </w:r>
      <w:r w:rsidR="00806713" w:rsidRPr="00806713">
        <w:rPr>
          <w:rFonts w:asciiTheme="minorHAnsi" w:eastAsiaTheme="minorHAnsi" w:hAnsiTheme="minorHAnsi" w:cstheme="minorBidi"/>
          <w:i/>
          <w:snapToGrid/>
          <w:sz w:val="24"/>
          <w:szCs w:val="22"/>
        </w:rPr>
        <w:t>w, see section 6 PBAC outcome</w:t>
      </w:r>
    </w:p>
    <w:p w:rsidR="00C603D4" w:rsidRDefault="00CE10C4" w:rsidP="00053440">
      <w:pPr>
        <w:pStyle w:val="PBACHeading1"/>
      </w:pPr>
      <w:r w:rsidRPr="002B5596">
        <w:t>Background</w:t>
      </w:r>
    </w:p>
    <w:p w:rsidR="005D76A7" w:rsidRPr="00053440" w:rsidRDefault="005D76A7" w:rsidP="00053440">
      <w:pPr>
        <w:pStyle w:val="Heading2"/>
      </w:pPr>
      <w:r w:rsidRPr="00053440">
        <w:t>Registration Status</w:t>
      </w:r>
    </w:p>
    <w:p w:rsidR="005D76A7" w:rsidRPr="006F5D7A" w:rsidRDefault="005D76A7" w:rsidP="005D76A7">
      <w:pPr>
        <w:pStyle w:val="ListParagraph"/>
        <w:widowControl/>
        <w:numPr>
          <w:ilvl w:val="1"/>
          <w:numId w:val="14"/>
        </w:numPr>
        <w:contextualSpacing w:val="0"/>
        <w:rPr>
          <w:rFonts w:asciiTheme="minorHAnsi" w:eastAsiaTheme="minorHAnsi" w:hAnsiTheme="minorHAnsi" w:cstheme="minorBidi"/>
          <w:snapToGrid/>
          <w:sz w:val="24"/>
          <w:szCs w:val="22"/>
        </w:rPr>
      </w:pPr>
      <w:r w:rsidRPr="006F5D7A">
        <w:rPr>
          <w:rFonts w:asciiTheme="minorHAnsi" w:eastAsiaTheme="minorHAnsi" w:hAnsiTheme="minorHAnsi" w:cstheme="minorBidi"/>
          <w:snapToGrid/>
          <w:sz w:val="24"/>
          <w:szCs w:val="22"/>
        </w:rPr>
        <w:t>Cladribine (tablet) was approved by the TGA in December 2</w:t>
      </w:r>
      <w:r w:rsidR="006F5D7A" w:rsidRPr="006F5D7A">
        <w:rPr>
          <w:rFonts w:asciiTheme="minorHAnsi" w:eastAsiaTheme="minorHAnsi" w:hAnsiTheme="minorHAnsi" w:cstheme="minorBidi"/>
          <w:snapToGrid/>
          <w:sz w:val="24"/>
          <w:szCs w:val="22"/>
        </w:rPr>
        <w:t xml:space="preserve">017 for </w:t>
      </w:r>
      <w:r w:rsidRPr="006F5D7A">
        <w:rPr>
          <w:rFonts w:asciiTheme="minorHAnsi" w:eastAsiaTheme="minorHAnsi" w:hAnsiTheme="minorHAnsi" w:cstheme="minorBidi"/>
          <w:snapToGrid/>
          <w:sz w:val="24"/>
          <w:szCs w:val="22"/>
        </w:rPr>
        <w:t>“the treatment of relapsing-remitting multiple sclerosis (RRMS) to reduce the frequency of clinical relapses and to delay the progression of physical disability.</w:t>
      </w:r>
      <w:r w:rsidR="006F5D7A" w:rsidRPr="006F5D7A">
        <w:rPr>
          <w:rFonts w:asciiTheme="minorHAnsi" w:eastAsiaTheme="minorHAnsi" w:hAnsiTheme="minorHAnsi" w:cstheme="minorBidi"/>
          <w:snapToGrid/>
          <w:sz w:val="24"/>
          <w:szCs w:val="22"/>
        </w:rPr>
        <w:t xml:space="preserve"> </w:t>
      </w:r>
      <w:r w:rsidRPr="006F5D7A">
        <w:rPr>
          <w:rFonts w:asciiTheme="minorHAnsi" w:eastAsiaTheme="minorHAnsi" w:hAnsiTheme="minorHAnsi" w:cstheme="minorBidi"/>
          <w:snapToGrid/>
          <w:sz w:val="24"/>
          <w:szCs w:val="22"/>
        </w:rPr>
        <w:t>Following completion of the 2 treatment courses, no further cladribine treatment is required in years 3 and 4. Re-initiation of therapy after</w:t>
      </w:r>
      <w:r w:rsidR="00096843">
        <w:rPr>
          <w:rFonts w:asciiTheme="minorHAnsi" w:eastAsiaTheme="minorHAnsi" w:hAnsiTheme="minorHAnsi" w:cstheme="minorBidi"/>
          <w:snapToGrid/>
          <w:sz w:val="24"/>
          <w:szCs w:val="22"/>
        </w:rPr>
        <w:t xml:space="preserve"> year 4 has not been studied.” </w:t>
      </w:r>
    </w:p>
    <w:p w:rsidR="00FB6F85" w:rsidRPr="0060715A" w:rsidRDefault="00FB6F85" w:rsidP="00053440">
      <w:pPr>
        <w:pStyle w:val="Heading2"/>
      </w:pPr>
      <w:r w:rsidRPr="0060715A">
        <w:t>Previous PBAC consideration</w:t>
      </w:r>
    </w:p>
    <w:p w:rsidR="003745D9" w:rsidRDefault="00B45783" w:rsidP="003745D9">
      <w:pPr>
        <w:pStyle w:val="ListParagraph"/>
        <w:widowControl/>
        <w:numPr>
          <w:ilvl w:val="1"/>
          <w:numId w:val="14"/>
        </w:numPr>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Cladribine was </w:t>
      </w:r>
      <w:r w:rsidR="003745D9">
        <w:rPr>
          <w:rFonts w:asciiTheme="minorHAnsi" w:eastAsiaTheme="minorHAnsi" w:hAnsiTheme="minorHAnsi" w:cstheme="minorBidi"/>
          <w:snapToGrid/>
          <w:sz w:val="24"/>
          <w:szCs w:val="22"/>
        </w:rPr>
        <w:t>first considered by the PBAC at the March 2011 meeting. The PBAC did not recommend cladribine on the grounds of several concerns, including:</w:t>
      </w:r>
    </w:p>
    <w:p w:rsidR="003745D9" w:rsidRDefault="003745D9" w:rsidP="003745D9">
      <w:pPr>
        <w:pStyle w:val="ListParagraph"/>
        <w:widowControl/>
        <w:numPr>
          <w:ilvl w:val="0"/>
          <w:numId w:val="19"/>
        </w:numPr>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Natalizumab was not accepted as the main comparator and therefore the associated cost effectiveness model was not accepted;</w:t>
      </w:r>
    </w:p>
    <w:p w:rsidR="003745D9" w:rsidRDefault="003745D9" w:rsidP="003745D9">
      <w:pPr>
        <w:pStyle w:val="ListParagraph"/>
        <w:widowControl/>
        <w:numPr>
          <w:ilvl w:val="0"/>
          <w:numId w:val="19"/>
        </w:numPr>
        <w:ind w:left="1077" w:hanging="357"/>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claim that cladribine was of superior efficacy compared to interferon beta 1a and non-inferior to natalizumab was not accepted;</w:t>
      </w:r>
    </w:p>
    <w:p w:rsidR="003745D9" w:rsidRDefault="003745D9" w:rsidP="003745D9">
      <w:pPr>
        <w:pStyle w:val="ListParagraph"/>
        <w:widowControl/>
        <w:numPr>
          <w:ilvl w:val="0"/>
          <w:numId w:val="19"/>
        </w:numPr>
        <w:spacing w:after="160"/>
        <w:ind w:left="1077" w:hanging="357"/>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Uncertainty of usefulness of cladribine given treatment is limited to two years due to safety concerns.</w:t>
      </w:r>
    </w:p>
    <w:p w:rsidR="00496695" w:rsidRPr="001056BE" w:rsidRDefault="003745D9" w:rsidP="001056B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3745D9">
        <w:rPr>
          <w:rFonts w:asciiTheme="minorHAnsi" w:eastAsiaTheme="minorHAnsi" w:hAnsiTheme="minorHAnsi" w:cstheme="minorBidi"/>
          <w:snapToGrid/>
          <w:sz w:val="24"/>
          <w:szCs w:val="22"/>
        </w:rPr>
        <w:t>A major resubmission for cladribine was considered at the November 2017 PBAC meeting. The PBAC did not recommend the listing of cladribine, on the basis of uncertainty in the non-inferior efficacy claim of cladribine versus</w:t>
      </w:r>
      <w:r>
        <w:rPr>
          <w:rFonts w:asciiTheme="minorHAnsi" w:eastAsiaTheme="minorHAnsi" w:hAnsiTheme="minorHAnsi" w:cstheme="minorBidi"/>
          <w:snapToGrid/>
          <w:sz w:val="24"/>
          <w:szCs w:val="22"/>
        </w:rPr>
        <w:t xml:space="preserve"> the comparator,</w:t>
      </w:r>
      <w:r w:rsidRPr="003745D9">
        <w:rPr>
          <w:rFonts w:asciiTheme="minorHAnsi" w:eastAsiaTheme="minorHAnsi" w:hAnsiTheme="minorHAnsi" w:cstheme="minorBidi"/>
          <w:snapToGrid/>
          <w:sz w:val="24"/>
          <w:szCs w:val="22"/>
        </w:rPr>
        <w:t xml:space="preserve"> fingolimod</w:t>
      </w:r>
      <w:r>
        <w:rPr>
          <w:rFonts w:asciiTheme="minorHAnsi" w:eastAsiaTheme="minorHAnsi" w:hAnsiTheme="minorHAnsi" w:cstheme="minorBidi"/>
          <w:snapToGrid/>
          <w:sz w:val="24"/>
          <w:szCs w:val="22"/>
        </w:rPr>
        <w:t>,</w:t>
      </w:r>
      <w:r w:rsidRPr="003745D9">
        <w:rPr>
          <w:rFonts w:asciiTheme="minorHAnsi" w:eastAsiaTheme="minorHAnsi" w:hAnsiTheme="minorHAnsi" w:cstheme="minorBidi"/>
          <w:snapToGrid/>
          <w:sz w:val="24"/>
          <w:szCs w:val="22"/>
        </w:rPr>
        <w:t xml:space="preserve"> over two and four years. The PBAC considered there was insufficient clinical evidence to support the time horizon of four years for estimating the equi-effective doses of cladribine and fingolimod. The PBAC also considered that it was unrealistic to assume that patients who receive cladribine and experience disease relapse would not be prescribed another medicine for RRMS before the four-year period or that patients would be 100% persistent to fingolimod. Therefore, the PBAC did not accept two years of cladribine treatment versus four years of fingolimod treatment as the basis for</w:t>
      </w:r>
      <w:r>
        <w:rPr>
          <w:rFonts w:asciiTheme="minorHAnsi" w:eastAsiaTheme="minorHAnsi" w:hAnsiTheme="minorHAnsi" w:cstheme="minorBidi"/>
          <w:snapToGrid/>
          <w:sz w:val="24"/>
          <w:szCs w:val="22"/>
        </w:rPr>
        <w:t xml:space="preserve"> the cost-minimisation analysis. </w:t>
      </w:r>
      <w:r w:rsidRPr="003745D9">
        <w:rPr>
          <w:rFonts w:asciiTheme="minorHAnsi" w:eastAsiaTheme="minorHAnsi" w:hAnsiTheme="minorHAnsi" w:cstheme="minorBidi"/>
          <w:snapToGrid/>
          <w:sz w:val="24"/>
          <w:szCs w:val="22"/>
        </w:rPr>
        <w:t>The PBAC noted that there were significant uncertainties in the financial analysis, including the persistence rates assumed by the resubmission. The PBAC further noted that the financial analysis estimated a significant net c</w:t>
      </w:r>
      <w:r>
        <w:rPr>
          <w:rFonts w:asciiTheme="minorHAnsi" w:eastAsiaTheme="minorHAnsi" w:hAnsiTheme="minorHAnsi" w:cstheme="minorBidi"/>
          <w:snapToGrid/>
          <w:sz w:val="24"/>
          <w:szCs w:val="22"/>
        </w:rPr>
        <w:t>ost to the PBS, which undermined</w:t>
      </w:r>
      <w:r w:rsidRPr="003745D9">
        <w:rPr>
          <w:rFonts w:asciiTheme="minorHAnsi" w:eastAsiaTheme="minorHAnsi" w:hAnsiTheme="minorHAnsi" w:cstheme="minorBidi"/>
          <w:snapToGrid/>
          <w:sz w:val="24"/>
          <w:szCs w:val="22"/>
        </w:rPr>
        <w:t xml:space="preserve"> the first principles of a cost minimisation analysis. </w:t>
      </w:r>
    </w:p>
    <w:p w:rsidR="00673015" w:rsidRPr="007F37BA" w:rsidRDefault="000042AF" w:rsidP="007F37BA">
      <w:pPr>
        <w:pStyle w:val="ListParagraph"/>
        <w:widowControl/>
        <w:spacing w:before="120" w:after="160"/>
        <w:contextualSpacing w:val="0"/>
        <w:rPr>
          <w:rFonts w:asciiTheme="minorHAnsi" w:eastAsiaTheme="minorHAnsi" w:hAnsiTheme="minorHAnsi" w:cstheme="minorBidi"/>
          <w:i/>
          <w:snapToGrid/>
          <w:sz w:val="24"/>
          <w:szCs w:val="22"/>
        </w:rPr>
      </w:pPr>
      <w:r w:rsidRPr="00806713">
        <w:rPr>
          <w:rFonts w:asciiTheme="minorHAnsi" w:eastAsiaTheme="minorHAnsi" w:hAnsiTheme="minorHAnsi" w:cstheme="minorBidi"/>
          <w:i/>
          <w:snapToGrid/>
          <w:sz w:val="24"/>
          <w:szCs w:val="22"/>
        </w:rPr>
        <w:t>For more detail on PBAC’s v</w:t>
      </w:r>
      <w:r w:rsidR="00806713" w:rsidRPr="00806713">
        <w:rPr>
          <w:rFonts w:asciiTheme="minorHAnsi" w:eastAsiaTheme="minorHAnsi" w:hAnsiTheme="minorHAnsi" w:cstheme="minorBidi"/>
          <w:i/>
          <w:snapToGrid/>
          <w:sz w:val="24"/>
          <w:szCs w:val="22"/>
        </w:rPr>
        <w:t xml:space="preserve">iew, see section </w:t>
      </w:r>
      <w:r w:rsidR="0060715A">
        <w:rPr>
          <w:rFonts w:asciiTheme="minorHAnsi" w:eastAsiaTheme="minorHAnsi" w:hAnsiTheme="minorHAnsi" w:cstheme="minorBidi"/>
          <w:i/>
          <w:snapToGrid/>
          <w:sz w:val="24"/>
          <w:szCs w:val="22"/>
        </w:rPr>
        <w:t>6</w:t>
      </w:r>
      <w:r w:rsidR="00806713" w:rsidRPr="00806713">
        <w:rPr>
          <w:rFonts w:asciiTheme="minorHAnsi" w:eastAsiaTheme="minorHAnsi" w:hAnsiTheme="minorHAnsi" w:cstheme="minorBidi"/>
          <w:i/>
          <w:snapToGrid/>
          <w:sz w:val="24"/>
          <w:szCs w:val="22"/>
        </w:rPr>
        <w:t xml:space="preserve"> PBAC outcome</w:t>
      </w:r>
    </w:p>
    <w:p w:rsidR="00C4218E" w:rsidRDefault="00C4218E" w:rsidP="00053440">
      <w:pPr>
        <w:pStyle w:val="PBACHeading1"/>
      </w:pPr>
      <w:r w:rsidRPr="00C4218E">
        <w:t xml:space="preserve">Comparator </w:t>
      </w:r>
    </w:p>
    <w:p w:rsidR="00E334AD" w:rsidRDefault="006F5D7A" w:rsidP="001056B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056BE">
        <w:rPr>
          <w:rFonts w:asciiTheme="minorHAnsi" w:eastAsiaTheme="minorHAnsi" w:hAnsiTheme="minorHAnsi" w:cstheme="minorBidi"/>
          <w:snapToGrid/>
          <w:sz w:val="24"/>
          <w:szCs w:val="22"/>
        </w:rPr>
        <w:t xml:space="preserve">The minor resubmission did not change the main comparator nominated in the November 2017 major resubmission. </w:t>
      </w:r>
      <w:r w:rsidR="00E334AD" w:rsidRPr="001056BE">
        <w:rPr>
          <w:rFonts w:asciiTheme="minorHAnsi" w:eastAsiaTheme="minorHAnsi" w:hAnsiTheme="minorHAnsi" w:cstheme="minorBidi"/>
          <w:snapToGrid/>
          <w:sz w:val="24"/>
          <w:szCs w:val="22"/>
        </w:rPr>
        <w:t>At the November 2017 meeting, the PBAC accepted fingolimod as the appropriate main comparator, however, considered that cladribine may replace or displace all PBS listed RRMS treatments to some extent. The PBAC noted that if treatment with cladribine is substantially more costly than an alternative therapy or alternative therapies, the Committee could only recommend listing of cladribine if it is satisfied that cladribine provides, for some patients, a significant improvement in efficacy or reduction of toxicity over the alternative therapy or therapies. The alternative therapies in this case may include interferon beta, dimethyl fumarate</w:t>
      </w:r>
      <w:r w:rsidR="00951EA1">
        <w:rPr>
          <w:rFonts w:asciiTheme="minorHAnsi" w:eastAsiaTheme="minorHAnsi" w:hAnsiTheme="minorHAnsi" w:cstheme="minorBidi"/>
          <w:snapToGrid/>
          <w:sz w:val="24"/>
          <w:szCs w:val="22"/>
        </w:rPr>
        <w:t xml:space="preserve"> and </w:t>
      </w:r>
      <w:r w:rsidR="00E334AD" w:rsidRPr="001056BE">
        <w:rPr>
          <w:rFonts w:asciiTheme="minorHAnsi" w:eastAsiaTheme="minorHAnsi" w:hAnsiTheme="minorHAnsi" w:cstheme="minorBidi"/>
          <w:snapToGrid/>
          <w:sz w:val="24"/>
          <w:szCs w:val="22"/>
        </w:rPr>
        <w:t xml:space="preserve">teriflunomide. The PBAC considered it was uncertain whether cladribine was superior over interferon beta 1a in terms of efficacy, however, the Committee considered that cladribine was superior over interferon beta 1a in terms of safety. The PBAC recalled that at its March 2011 consideration of cladribine, the Committee did not accept that cladribine was of non-inferior efficacy to natalizumab. The PBAC noted that this matter remains (paragraph 7.5, November 2017 PBAC </w:t>
      </w:r>
      <w:r w:rsidR="00D921AC">
        <w:rPr>
          <w:rFonts w:asciiTheme="minorHAnsi" w:eastAsiaTheme="minorHAnsi" w:hAnsiTheme="minorHAnsi" w:cstheme="minorBidi"/>
          <w:snapToGrid/>
          <w:sz w:val="24"/>
          <w:szCs w:val="22"/>
        </w:rPr>
        <w:t>meeting PSD</w:t>
      </w:r>
      <w:r w:rsidR="00E334AD" w:rsidRPr="001056BE">
        <w:rPr>
          <w:rFonts w:asciiTheme="minorHAnsi" w:eastAsiaTheme="minorHAnsi" w:hAnsiTheme="minorHAnsi" w:cstheme="minorBidi"/>
          <w:snapToGrid/>
          <w:sz w:val="24"/>
          <w:szCs w:val="22"/>
        </w:rPr>
        <w:t>).</w:t>
      </w:r>
    </w:p>
    <w:p w:rsidR="000042AF" w:rsidRDefault="000042AF" w:rsidP="0060715A">
      <w:pPr>
        <w:spacing w:before="120" w:after="160"/>
        <w:ind w:firstLine="720"/>
        <w:rPr>
          <w:rFonts w:asciiTheme="minorHAnsi" w:eastAsiaTheme="minorHAnsi" w:hAnsiTheme="minorHAnsi" w:cstheme="minorBidi"/>
          <w:i/>
          <w:lang w:eastAsia="en-US"/>
        </w:rPr>
      </w:pPr>
      <w:r w:rsidRPr="00806713">
        <w:rPr>
          <w:rFonts w:asciiTheme="minorHAnsi" w:eastAsiaTheme="minorHAnsi" w:hAnsiTheme="minorHAnsi" w:cstheme="minorBidi"/>
          <w:i/>
          <w:lang w:eastAsia="en-US"/>
        </w:rPr>
        <w:t>For more deta</w:t>
      </w:r>
      <w:r w:rsidR="00806713" w:rsidRPr="00806713">
        <w:rPr>
          <w:rFonts w:asciiTheme="minorHAnsi" w:eastAsiaTheme="minorHAnsi" w:hAnsiTheme="minorHAnsi" w:cstheme="minorBidi"/>
          <w:i/>
          <w:lang w:eastAsia="en-US"/>
        </w:rPr>
        <w:t>il on PBAC’s view, see section 6</w:t>
      </w:r>
      <w:r w:rsidR="00806713">
        <w:rPr>
          <w:rFonts w:asciiTheme="minorHAnsi" w:eastAsiaTheme="minorHAnsi" w:hAnsiTheme="minorHAnsi" w:cstheme="minorBidi"/>
          <w:i/>
          <w:lang w:eastAsia="en-US"/>
        </w:rPr>
        <w:t xml:space="preserve"> PBAC outcome</w:t>
      </w:r>
    </w:p>
    <w:p w:rsidR="000B558D" w:rsidRPr="00053440" w:rsidRDefault="008D7A41" w:rsidP="00053440">
      <w:pPr>
        <w:pStyle w:val="PBACHeading1"/>
      </w:pPr>
      <w:r w:rsidRPr="00053440">
        <w:t>C</w:t>
      </w:r>
      <w:r w:rsidR="00D84934" w:rsidRPr="00053440">
        <w:t>onsideration of the evidence</w:t>
      </w:r>
    </w:p>
    <w:p w:rsidR="002C361A" w:rsidRPr="00525B39" w:rsidRDefault="002C361A" w:rsidP="00053440">
      <w:pPr>
        <w:pStyle w:val="Heading2"/>
      </w:pPr>
      <w:r w:rsidRPr="00525B39">
        <w:t>Sponsor hearing</w:t>
      </w:r>
    </w:p>
    <w:p w:rsidR="002C361A" w:rsidRPr="000042AF" w:rsidRDefault="002C361A" w:rsidP="002C361A">
      <w:pPr>
        <w:widowControl w:val="0"/>
        <w:numPr>
          <w:ilvl w:val="1"/>
          <w:numId w:val="5"/>
        </w:numPr>
        <w:spacing w:after="120"/>
        <w:jc w:val="both"/>
        <w:rPr>
          <w:rFonts w:asciiTheme="minorHAnsi" w:hAnsiTheme="minorHAnsi" w:cs="Arial"/>
          <w:bCs/>
          <w:snapToGrid w:val="0"/>
          <w:lang w:eastAsia="en-US"/>
        </w:rPr>
      </w:pPr>
      <w:r w:rsidRPr="000042AF">
        <w:rPr>
          <w:rFonts w:asciiTheme="minorHAnsi" w:hAnsiTheme="minorHAnsi" w:cs="Arial"/>
          <w:bCs/>
          <w:snapToGrid w:val="0"/>
          <w:lang w:eastAsia="en-US"/>
        </w:rPr>
        <w:t>There was no hearing for this ite</w:t>
      </w:r>
      <w:r>
        <w:rPr>
          <w:rFonts w:asciiTheme="minorHAnsi" w:hAnsiTheme="minorHAnsi" w:cs="Arial"/>
          <w:bCs/>
          <w:snapToGrid w:val="0"/>
          <w:lang w:eastAsia="en-US"/>
        </w:rPr>
        <w:t>m as it was a minor submission.</w:t>
      </w:r>
    </w:p>
    <w:p w:rsidR="002C361A" w:rsidRPr="00951EA1" w:rsidRDefault="002C361A" w:rsidP="00053440">
      <w:pPr>
        <w:pStyle w:val="Heading2"/>
        <w:keepNext/>
      </w:pPr>
      <w:r w:rsidRPr="00951EA1">
        <w:t>Consumer comments</w:t>
      </w:r>
    </w:p>
    <w:p w:rsidR="002C361A" w:rsidRDefault="002C361A" w:rsidP="002C361A">
      <w:pPr>
        <w:widowControl w:val="0"/>
        <w:numPr>
          <w:ilvl w:val="1"/>
          <w:numId w:val="5"/>
        </w:numPr>
        <w:spacing w:after="120"/>
        <w:jc w:val="both"/>
        <w:rPr>
          <w:rFonts w:asciiTheme="minorHAnsi" w:hAnsiTheme="minorHAnsi" w:cs="Arial"/>
          <w:bCs/>
          <w:snapToGrid w:val="0"/>
        </w:rPr>
      </w:pPr>
      <w:r w:rsidRPr="002E79EA">
        <w:rPr>
          <w:rFonts w:asciiTheme="minorHAnsi" w:hAnsiTheme="minorHAnsi" w:cs="Arial"/>
          <w:bCs/>
          <w:snapToGrid w:val="0"/>
        </w:rPr>
        <w:t xml:space="preserve">The PBAC noted and welcomed the input from individuals (26), health care professionals (10) and organisations (3) via the Consumer Comments facility on the PBS website.  The comments described a range of benefits of treatment with cladribine including the ability to </w:t>
      </w:r>
      <w:r>
        <w:rPr>
          <w:rFonts w:asciiTheme="minorHAnsi" w:hAnsiTheme="minorHAnsi" w:cs="Arial"/>
          <w:bCs/>
          <w:snapToGrid w:val="0"/>
        </w:rPr>
        <w:t>help a patient retain a “normal life” for longer</w:t>
      </w:r>
      <w:r w:rsidRPr="002E79EA">
        <w:rPr>
          <w:rFonts w:asciiTheme="minorHAnsi" w:hAnsiTheme="minorHAnsi" w:cs="Arial"/>
          <w:bCs/>
          <w:snapToGrid w:val="0"/>
        </w:rPr>
        <w:t xml:space="preserve">, low monitoring burden, </w:t>
      </w:r>
      <w:r>
        <w:rPr>
          <w:rFonts w:asciiTheme="minorHAnsi" w:hAnsiTheme="minorHAnsi" w:cs="Arial"/>
          <w:bCs/>
          <w:snapToGrid w:val="0"/>
        </w:rPr>
        <w:t>improvement in disability</w:t>
      </w:r>
      <w:r w:rsidRPr="002E79EA">
        <w:rPr>
          <w:rFonts w:asciiTheme="minorHAnsi" w:hAnsiTheme="minorHAnsi" w:cs="Arial"/>
          <w:bCs/>
          <w:snapToGrid w:val="0"/>
        </w:rPr>
        <w:t xml:space="preserve">, ease in administration </w:t>
      </w:r>
      <w:r>
        <w:rPr>
          <w:rFonts w:asciiTheme="minorHAnsi" w:hAnsiTheme="minorHAnsi" w:cs="Arial"/>
          <w:bCs/>
          <w:snapToGrid w:val="0"/>
        </w:rPr>
        <w:t xml:space="preserve">and relief of MS symptoms other than relapses and progression of disability (sensations, fatigue, social engagement, ability to walk unaided). </w:t>
      </w:r>
    </w:p>
    <w:p w:rsidR="0071030D" w:rsidRDefault="002C361A" w:rsidP="002C361A">
      <w:pPr>
        <w:widowControl w:val="0"/>
        <w:numPr>
          <w:ilvl w:val="1"/>
          <w:numId w:val="5"/>
        </w:numPr>
        <w:spacing w:after="120"/>
        <w:jc w:val="both"/>
        <w:rPr>
          <w:rFonts w:asciiTheme="minorHAnsi" w:hAnsiTheme="minorHAnsi" w:cs="Arial"/>
          <w:bCs/>
          <w:snapToGrid w:val="0"/>
        </w:rPr>
      </w:pPr>
      <w:r w:rsidRPr="0073348B">
        <w:rPr>
          <w:rFonts w:asciiTheme="minorHAnsi" w:hAnsiTheme="minorHAnsi" w:cs="Arial"/>
          <w:bCs/>
          <w:snapToGrid w:val="0"/>
        </w:rPr>
        <w:t xml:space="preserve">The PBAC noted </w:t>
      </w:r>
      <w:r>
        <w:rPr>
          <w:rFonts w:asciiTheme="minorHAnsi" w:hAnsiTheme="minorHAnsi" w:cs="Arial"/>
          <w:bCs/>
          <w:snapToGrid w:val="0"/>
        </w:rPr>
        <w:t>input receiv</w:t>
      </w:r>
      <w:r w:rsidR="0071030D">
        <w:rPr>
          <w:rFonts w:asciiTheme="minorHAnsi" w:hAnsiTheme="minorHAnsi" w:cs="Arial"/>
          <w:bCs/>
          <w:snapToGrid w:val="0"/>
        </w:rPr>
        <w:t xml:space="preserve">ed from MS Ireland, </w:t>
      </w:r>
      <w:r w:rsidRPr="0073348B">
        <w:rPr>
          <w:rFonts w:asciiTheme="minorHAnsi" w:hAnsiTheme="minorHAnsi" w:cs="Arial"/>
          <w:bCs/>
          <w:snapToGrid w:val="0"/>
        </w:rPr>
        <w:t xml:space="preserve">MS Research Australia </w:t>
      </w:r>
      <w:r w:rsidR="0071030D">
        <w:rPr>
          <w:rFonts w:asciiTheme="minorHAnsi" w:hAnsiTheme="minorHAnsi" w:cs="Arial"/>
          <w:bCs/>
          <w:snapToGrid w:val="0"/>
        </w:rPr>
        <w:t xml:space="preserve">and the Trish Multiple Sclerosis Research Foundation </w:t>
      </w:r>
      <w:r w:rsidRPr="0073348B">
        <w:rPr>
          <w:rFonts w:asciiTheme="minorHAnsi" w:hAnsiTheme="minorHAnsi" w:cs="Arial"/>
          <w:bCs/>
          <w:snapToGrid w:val="0"/>
        </w:rPr>
        <w:t xml:space="preserve">in support of subsidising cladribine through the PBS. </w:t>
      </w:r>
      <w:r w:rsidR="00BB273C">
        <w:rPr>
          <w:rFonts w:asciiTheme="minorHAnsi" w:hAnsiTheme="minorHAnsi" w:cs="Arial"/>
          <w:bCs/>
          <w:snapToGrid w:val="0"/>
        </w:rPr>
        <w:t>The organisations described the impact of MS and treatments for MS on patients’ lives, and emphasised the significance of a new effective treatment option, which will allow increased choice</w:t>
      </w:r>
      <w:r w:rsidR="00A53DEB">
        <w:rPr>
          <w:rFonts w:asciiTheme="minorHAnsi" w:hAnsiTheme="minorHAnsi" w:cs="Arial"/>
          <w:bCs/>
          <w:snapToGrid w:val="0"/>
        </w:rPr>
        <w:t xml:space="preserve"> for patients. MS Ireland described a survey it conducted on the experiences of MS patients in accessing and taking disease modifying therapies. Based on the results of the survey, MS Ireland reported that patients found injections difficult to manage and administer. It highlighted the benefit of oral administration with cladribine and the shorter treatment course compared to existing oral therapies for MS. </w:t>
      </w:r>
    </w:p>
    <w:p w:rsidR="00D84934" w:rsidRPr="0060715A" w:rsidRDefault="00D84934" w:rsidP="00053440">
      <w:pPr>
        <w:pStyle w:val="Heading2"/>
      </w:pPr>
      <w:r w:rsidRPr="0060715A">
        <w:t>Clinical trials</w:t>
      </w:r>
    </w:p>
    <w:p w:rsidR="009F4E46" w:rsidRDefault="008B3258" w:rsidP="008B325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As a minor submission, no new</w:t>
      </w:r>
      <w:r w:rsidR="0076420C" w:rsidRPr="001B2BBC">
        <w:rPr>
          <w:rFonts w:asciiTheme="minorHAnsi" w:eastAsiaTheme="minorHAnsi" w:hAnsiTheme="minorHAnsi" w:cstheme="minorBidi"/>
          <w:snapToGrid/>
          <w:sz w:val="24"/>
          <w:szCs w:val="22"/>
        </w:rPr>
        <w:t xml:space="preserve"> clinical trials </w:t>
      </w:r>
      <w:r w:rsidR="00FF2801" w:rsidRPr="001B2BBC">
        <w:rPr>
          <w:rFonts w:asciiTheme="minorHAnsi" w:eastAsiaTheme="minorHAnsi" w:hAnsiTheme="minorHAnsi" w:cstheme="minorBidi"/>
          <w:snapToGrid/>
          <w:sz w:val="24"/>
          <w:szCs w:val="22"/>
        </w:rPr>
        <w:t>were</w:t>
      </w:r>
      <w:r>
        <w:rPr>
          <w:rFonts w:asciiTheme="minorHAnsi" w:eastAsiaTheme="minorHAnsi" w:hAnsiTheme="minorHAnsi" w:cstheme="minorBidi"/>
          <w:snapToGrid/>
          <w:sz w:val="24"/>
          <w:szCs w:val="22"/>
        </w:rPr>
        <w:t xml:space="preserve"> presented in the re</w:t>
      </w:r>
      <w:r w:rsidR="0076420C" w:rsidRPr="001B2BBC">
        <w:rPr>
          <w:rFonts w:asciiTheme="minorHAnsi" w:eastAsiaTheme="minorHAnsi" w:hAnsiTheme="minorHAnsi" w:cstheme="minorBidi"/>
          <w:snapToGrid/>
          <w:sz w:val="24"/>
          <w:szCs w:val="22"/>
        </w:rPr>
        <w:t>submission.</w:t>
      </w:r>
    </w:p>
    <w:p w:rsidR="005A3173" w:rsidRPr="0060715A" w:rsidRDefault="006C7335" w:rsidP="00053440">
      <w:pPr>
        <w:pStyle w:val="Heading2"/>
      </w:pPr>
      <w:r w:rsidRPr="0060715A">
        <w:t>Clinical claim</w:t>
      </w:r>
    </w:p>
    <w:p w:rsidR="001056BE" w:rsidRPr="00242B9B" w:rsidRDefault="001056BE" w:rsidP="001056B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242B9B">
        <w:rPr>
          <w:rFonts w:asciiTheme="minorHAnsi" w:eastAsiaTheme="minorHAnsi" w:hAnsiTheme="minorHAnsi" w:cstheme="minorBidi"/>
          <w:snapToGrid/>
          <w:sz w:val="24"/>
          <w:szCs w:val="22"/>
        </w:rPr>
        <w:t>At the November 2017 meeting, the PBAC considered that there was uncertainty in the claim that cladribine is non-inferior to fingolimod in terms of efficacy over two years. The PBAC noted that the basis of the claim over two years was an indirect comparison of one cladribine (CLARITY) and two fingolimod (FREEDOMS and FREEDOMS II) trials. Although no statistically significant differences between cladribine and fingolimod were observed in the indirect comparison for the annualised relapse rate, proportion of patients remaining relapse-free; and proportion of patients free from confirmed disability progression at 3 and 6 months; this was based on a minimal clinically important difference (MCID) nominated by the resubmission of 1.46 for the relapse ratio. The PBAC considered that the method of calculating this MCID was not adequately justified. The PBAC therefore considered that the possibility that cladribine was inferior to fingolimod over two years could not be excluded (paragraph 7.6, November 2017 PBAC</w:t>
      </w:r>
      <w:r w:rsidR="00284FA3">
        <w:rPr>
          <w:rFonts w:asciiTheme="minorHAnsi" w:eastAsiaTheme="minorHAnsi" w:hAnsiTheme="minorHAnsi" w:cstheme="minorBidi"/>
          <w:snapToGrid/>
          <w:sz w:val="24"/>
          <w:szCs w:val="22"/>
        </w:rPr>
        <w:t xml:space="preserve"> meeting</w:t>
      </w:r>
      <w:r w:rsidRPr="00242B9B">
        <w:rPr>
          <w:rFonts w:asciiTheme="minorHAnsi" w:eastAsiaTheme="minorHAnsi" w:hAnsiTheme="minorHAnsi" w:cstheme="minorBidi"/>
          <w:snapToGrid/>
          <w:sz w:val="24"/>
          <w:szCs w:val="22"/>
        </w:rPr>
        <w:t xml:space="preserve"> </w:t>
      </w:r>
      <w:r w:rsidR="00284FA3">
        <w:rPr>
          <w:rFonts w:asciiTheme="minorHAnsi" w:eastAsiaTheme="minorHAnsi" w:hAnsiTheme="minorHAnsi" w:cstheme="minorBidi"/>
          <w:snapToGrid/>
          <w:sz w:val="24"/>
          <w:szCs w:val="22"/>
        </w:rPr>
        <w:t>PSD</w:t>
      </w:r>
      <w:r w:rsidRPr="00242B9B">
        <w:rPr>
          <w:rFonts w:asciiTheme="minorHAnsi" w:eastAsiaTheme="minorHAnsi" w:hAnsiTheme="minorHAnsi" w:cstheme="minorBidi"/>
          <w:snapToGrid/>
          <w:sz w:val="24"/>
          <w:szCs w:val="22"/>
        </w:rPr>
        <w:t>).</w:t>
      </w:r>
    </w:p>
    <w:p w:rsidR="00F80A9C" w:rsidRPr="00F80A9C" w:rsidRDefault="002117C1" w:rsidP="00F80A9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242B9B">
        <w:rPr>
          <w:rFonts w:asciiTheme="minorHAnsi" w:eastAsiaTheme="minorHAnsi" w:hAnsiTheme="minorHAnsi" w:cstheme="minorBidi"/>
          <w:snapToGrid/>
          <w:sz w:val="24"/>
          <w:szCs w:val="22"/>
        </w:rPr>
        <w:t xml:space="preserve">The minor resubmission </w:t>
      </w:r>
      <w:r w:rsidR="00D87746" w:rsidRPr="00242B9B">
        <w:rPr>
          <w:rFonts w:asciiTheme="minorHAnsi" w:eastAsiaTheme="minorHAnsi" w:hAnsiTheme="minorHAnsi" w:cstheme="minorBidi"/>
          <w:snapToGrid/>
          <w:sz w:val="24"/>
          <w:szCs w:val="22"/>
        </w:rPr>
        <w:t xml:space="preserve">(p4) </w:t>
      </w:r>
      <w:r w:rsidRPr="00242B9B">
        <w:rPr>
          <w:rFonts w:asciiTheme="minorHAnsi" w:eastAsiaTheme="minorHAnsi" w:hAnsiTheme="minorHAnsi" w:cstheme="minorBidi"/>
          <w:snapToGrid/>
          <w:sz w:val="24"/>
          <w:szCs w:val="22"/>
        </w:rPr>
        <w:t xml:space="preserve">argued that, </w:t>
      </w:r>
      <w:r w:rsidR="00D87746" w:rsidRPr="00242B9B">
        <w:rPr>
          <w:rFonts w:asciiTheme="minorHAnsi" w:eastAsiaTheme="minorHAnsi" w:hAnsiTheme="minorHAnsi" w:cstheme="minorBidi"/>
          <w:snapToGrid/>
          <w:sz w:val="24"/>
          <w:szCs w:val="22"/>
        </w:rPr>
        <w:t>“</w:t>
      </w:r>
      <w:r w:rsidRPr="00242B9B">
        <w:rPr>
          <w:rFonts w:asciiTheme="minorHAnsi" w:eastAsiaTheme="minorHAnsi" w:hAnsiTheme="minorHAnsi" w:cstheme="minorBidi"/>
          <w:snapToGrid/>
          <w:sz w:val="24"/>
          <w:szCs w:val="22"/>
        </w:rPr>
        <w:t xml:space="preserve">application of the MCID of 1.23 noted in the ocrelizumab </w:t>
      </w:r>
      <w:r w:rsidR="000C5412" w:rsidRPr="00242B9B">
        <w:rPr>
          <w:rFonts w:asciiTheme="minorHAnsi" w:eastAsiaTheme="minorHAnsi" w:hAnsiTheme="minorHAnsi" w:cstheme="minorBidi"/>
          <w:snapToGrid/>
          <w:sz w:val="24"/>
          <w:szCs w:val="22"/>
        </w:rPr>
        <w:t>public summary document (</w:t>
      </w:r>
      <w:r w:rsidRPr="00242B9B">
        <w:rPr>
          <w:rFonts w:asciiTheme="minorHAnsi" w:eastAsiaTheme="minorHAnsi" w:hAnsiTheme="minorHAnsi" w:cstheme="minorBidi"/>
          <w:snapToGrid/>
          <w:sz w:val="24"/>
          <w:szCs w:val="22"/>
        </w:rPr>
        <w:t>PSD</w:t>
      </w:r>
      <w:r w:rsidR="000C5412" w:rsidRPr="00242B9B">
        <w:rPr>
          <w:rFonts w:asciiTheme="minorHAnsi" w:eastAsiaTheme="minorHAnsi" w:hAnsiTheme="minorHAnsi" w:cstheme="minorBidi"/>
          <w:snapToGrid/>
          <w:sz w:val="24"/>
          <w:szCs w:val="22"/>
        </w:rPr>
        <w:t>)</w:t>
      </w:r>
      <w:r w:rsidRPr="00242B9B">
        <w:rPr>
          <w:rFonts w:asciiTheme="minorHAnsi" w:eastAsiaTheme="minorHAnsi" w:hAnsiTheme="minorHAnsi" w:cstheme="minorBidi"/>
          <w:snapToGrid/>
          <w:sz w:val="24"/>
          <w:szCs w:val="22"/>
        </w:rPr>
        <w:t xml:space="preserve"> (</w:t>
      </w:r>
      <w:r w:rsidR="00422DBC" w:rsidRPr="00242B9B">
        <w:rPr>
          <w:rFonts w:asciiTheme="minorHAnsi" w:eastAsiaTheme="minorHAnsi" w:hAnsiTheme="minorHAnsi" w:cstheme="minorBidi"/>
          <w:snapToGrid/>
          <w:sz w:val="24"/>
          <w:szCs w:val="22"/>
        </w:rPr>
        <w:t>p</w:t>
      </w:r>
      <w:r w:rsidRPr="00242B9B">
        <w:rPr>
          <w:rFonts w:asciiTheme="minorHAnsi" w:eastAsiaTheme="minorHAnsi" w:hAnsiTheme="minorHAnsi" w:cstheme="minorBidi"/>
          <w:snapToGrid/>
          <w:sz w:val="24"/>
          <w:szCs w:val="22"/>
        </w:rPr>
        <w:t>aragraph 6.15, July 2017) to the upper confidence interval</w:t>
      </w:r>
      <w:r w:rsidR="000C5412" w:rsidRPr="00242B9B">
        <w:rPr>
          <w:rFonts w:asciiTheme="minorHAnsi" w:eastAsiaTheme="minorHAnsi" w:hAnsiTheme="minorHAnsi" w:cstheme="minorBidi"/>
          <w:snapToGrid/>
          <w:sz w:val="24"/>
          <w:szCs w:val="22"/>
        </w:rPr>
        <w:t xml:space="preserve"> (CI)</w:t>
      </w:r>
      <w:r w:rsidRPr="00242B9B">
        <w:rPr>
          <w:rFonts w:asciiTheme="minorHAnsi" w:eastAsiaTheme="minorHAnsi" w:hAnsiTheme="minorHAnsi" w:cstheme="minorBidi"/>
          <w:snapToGrid/>
          <w:sz w:val="24"/>
          <w:szCs w:val="22"/>
        </w:rPr>
        <w:t xml:space="preserve"> of the indirect estimate of annualised relapse rate for cladribine compared to fingolimod (0.89 [0.67, 1.18]; Table 5, p11, cladribine November 2017 PBAC </w:t>
      </w:r>
      <w:r w:rsidR="00284FA3">
        <w:rPr>
          <w:rFonts w:asciiTheme="minorHAnsi" w:eastAsiaTheme="minorHAnsi" w:hAnsiTheme="minorHAnsi" w:cstheme="minorBidi"/>
          <w:snapToGrid/>
          <w:sz w:val="24"/>
          <w:szCs w:val="22"/>
        </w:rPr>
        <w:t>Meeting PSD</w:t>
      </w:r>
      <w:r w:rsidRPr="00242B9B">
        <w:rPr>
          <w:rFonts w:asciiTheme="minorHAnsi" w:eastAsiaTheme="minorHAnsi" w:hAnsiTheme="minorHAnsi" w:cstheme="minorBidi"/>
          <w:snapToGrid/>
          <w:sz w:val="24"/>
          <w:szCs w:val="22"/>
        </w:rPr>
        <w:t>), confirms that cladribine is non-inferior to fingolimod using a MCID already accepted by the PBAC</w:t>
      </w:r>
      <w:r w:rsidR="00D87746" w:rsidRPr="00242B9B">
        <w:rPr>
          <w:rFonts w:asciiTheme="minorHAnsi" w:eastAsiaTheme="minorHAnsi" w:hAnsiTheme="minorHAnsi" w:cstheme="minorBidi"/>
          <w:snapToGrid/>
          <w:sz w:val="24"/>
          <w:szCs w:val="22"/>
        </w:rPr>
        <w:t>”</w:t>
      </w:r>
      <w:r w:rsidRPr="00242B9B">
        <w:rPr>
          <w:rFonts w:asciiTheme="minorHAnsi" w:eastAsiaTheme="minorHAnsi" w:hAnsiTheme="minorHAnsi" w:cstheme="minorBidi"/>
          <w:snapToGrid/>
          <w:sz w:val="24"/>
          <w:szCs w:val="22"/>
        </w:rPr>
        <w:t>.</w:t>
      </w:r>
      <w:r w:rsidR="00245168" w:rsidRPr="00242B9B">
        <w:rPr>
          <w:rFonts w:asciiTheme="minorHAnsi" w:eastAsiaTheme="minorHAnsi" w:hAnsiTheme="minorHAnsi" w:cstheme="minorBidi"/>
          <w:snapToGrid/>
          <w:sz w:val="24"/>
          <w:szCs w:val="22"/>
        </w:rPr>
        <w:t xml:space="preserve"> </w:t>
      </w:r>
    </w:p>
    <w:p w:rsidR="00F80A9C" w:rsidRPr="00F80A9C" w:rsidRDefault="00F80A9C" w:rsidP="00F80A9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80A9C">
        <w:rPr>
          <w:rFonts w:asciiTheme="minorHAnsi" w:eastAsiaTheme="minorHAnsi" w:hAnsiTheme="minorHAnsi" w:cstheme="minorBidi"/>
          <w:snapToGrid/>
          <w:sz w:val="24"/>
          <w:szCs w:val="22"/>
        </w:rPr>
        <w:t>A comparison of the key elements of the indirect comparison of ocrelizumab versus fingolimod compared to that of cladribine versus fingolimod is presented below.</w:t>
      </w:r>
    </w:p>
    <w:p w:rsidR="00F80A9C" w:rsidRPr="00F80A9C" w:rsidRDefault="00F80A9C" w:rsidP="00F80A9C">
      <w:pPr>
        <w:pStyle w:val="TableHeading0"/>
      </w:pPr>
      <w:r w:rsidRPr="00F80A9C">
        <w:t xml:space="preserve">Table </w:t>
      </w:r>
      <w:r w:rsidRPr="00F80A9C">
        <w:rPr>
          <w:noProof/>
        </w:rPr>
        <w:t>1</w:t>
      </w:r>
      <w:r w:rsidRPr="00F80A9C">
        <w:t xml:space="preserve">: Comparison of key elements of the evidence presented in the ocrelizumab July 2017 and cladribine November 2017 major submissions. </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714"/>
        <w:gridCol w:w="2685"/>
        <w:gridCol w:w="2683"/>
      </w:tblGrid>
      <w:tr w:rsidR="00F80A9C" w:rsidRPr="00F80A9C" w:rsidTr="005B451E">
        <w:tc>
          <w:tcPr>
            <w:tcW w:w="2045" w:type="pct"/>
          </w:tcPr>
          <w:p w:rsidR="00F80A9C" w:rsidRPr="00F80A9C" w:rsidRDefault="00F80A9C" w:rsidP="005B451E">
            <w:pPr>
              <w:rPr>
                <w:rFonts w:ascii="Arial Narrow" w:eastAsiaTheme="minorHAnsi" w:hAnsi="Arial Narrow" w:cstheme="minorBidi"/>
                <w:b/>
                <w:i/>
                <w:sz w:val="20"/>
                <w:szCs w:val="20"/>
              </w:rPr>
            </w:pPr>
            <w:r w:rsidRPr="00F80A9C">
              <w:rPr>
                <w:rFonts w:ascii="Arial Narrow" w:eastAsiaTheme="minorHAnsi" w:hAnsi="Arial Narrow" w:cstheme="minorBidi"/>
                <w:b/>
                <w:i/>
                <w:sz w:val="20"/>
                <w:szCs w:val="20"/>
              </w:rPr>
              <w:t xml:space="preserve">Submission </w:t>
            </w:r>
          </w:p>
        </w:tc>
        <w:tc>
          <w:tcPr>
            <w:tcW w:w="1478" w:type="pct"/>
          </w:tcPr>
          <w:p w:rsidR="00F80A9C" w:rsidRPr="00F80A9C" w:rsidRDefault="00F80A9C" w:rsidP="005B451E">
            <w:pPr>
              <w:jc w:val="center"/>
              <w:rPr>
                <w:rFonts w:ascii="Arial Narrow" w:eastAsiaTheme="minorHAnsi" w:hAnsi="Arial Narrow" w:cstheme="minorBidi"/>
                <w:b/>
                <w:i/>
                <w:sz w:val="20"/>
                <w:szCs w:val="20"/>
              </w:rPr>
            </w:pPr>
            <w:r w:rsidRPr="00F80A9C">
              <w:rPr>
                <w:rFonts w:ascii="Arial Narrow" w:eastAsiaTheme="minorHAnsi" w:hAnsi="Arial Narrow" w:cstheme="minorBidi"/>
                <w:b/>
                <w:i/>
                <w:sz w:val="20"/>
                <w:szCs w:val="20"/>
              </w:rPr>
              <w:t>Ocrelizumab July 2017 major</w:t>
            </w:r>
          </w:p>
        </w:tc>
        <w:tc>
          <w:tcPr>
            <w:tcW w:w="1478" w:type="pct"/>
          </w:tcPr>
          <w:p w:rsidR="00F80A9C" w:rsidRPr="00F80A9C" w:rsidRDefault="00F80A9C" w:rsidP="005B451E">
            <w:pPr>
              <w:jc w:val="center"/>
              <w:rPr>
                <w:rFonts w:ascii="Arial Narrow" w:eastAsiaTheme="minorHAnsi" w:hAnsi="Arial Narrow" w:cstheme="minorBidi"/>
                <w:b/>
                <w:i/>
                <w:sz w:val="20"/>
                <w:szCs w:val="20"/>
                <w:vertAlign w:val="superscript"/>
              </w:rPr>
            </w:pPr>
            <w:r w:rsidRPr="00F80A9C">
              <w:rPr>
                <w:rFonts w:ascii="Arial Narrow" w:eastAsiaTheme="minorHAnsi" w:hAnsi="Arial Narrow" w:cstheme="minorBidi"/>
                <w:b/>
                <w:i/>
                <w:sz w:val="20"/>
                <w:szCs w:val="20"/>
              </w:rPr>
              <w:t>Cladribine November 2017 major</w:t>
            </w:r>
            <w:r w:rsidRPr="00F80A9C">
              <w:rPr>
                <w:rFonts w:ascii="Arial Narrow" w:eastAsiaTheme="minorHAnsi" w:hAnsi="Arial Narrow" w:cstheme="minorBidi"/>
                <w:b/>
                <w:i/>
                <w:sz w:val="20"/>
                <w:szCs w:val="20"/>
                <w:vertAlign w:val="superscript"/>
              </w:rPr>
              <w:t>a</w:t>
            </w:r>
          </w:p>
        </w:tc>
      </w:tr>
      <w:tr w:rsidR="00F80A9C" w:rsidRPr="00F80A9C" w:rsidTr="005B451E">
        <w:tc>
          <w:tcPr>
            <w:tcW w:w="2045" w:type="pct"/>
          </w:tcPr>
          <w:p w:rsidR="00F80A9C" w:rsidRPr="00F80A9C" w:rsidRDefault="00F80A9C" w:rsidP="005B451E">
            <w:pPr>
              <w:rPr>
                <w:rFonts w:ascii="Arial Narrow" w:eastAsiaTheme="minorHAnsi" w:hAnsi="Arial Narrow" w:cstheme="minorBidi"/>
                <w:b/>
                <w:i/>
                <w:sz w:val="20"/>
                <w:szCs w:val="20"/>
              </w:rPr>
            </w:pPr>
            <w:r w:rsidRPr="00F80A9C">
              <w:rPr>
                <w:rFonts w:ascii="Arial Narrow" w:eastAsiaTheme="minorHAnsi" w:hAnsi="Arial Narrow" w:cstheme="minorBidi"/>
                <w:b/>
                <w:i/>
                <w:sz w:val="20"/>
                <w:szCs w:val="20"/>
              </w:rPr>
              <w:t>Indirect comparison</w:t>
            </w:r>
          </w:p>
        </w:tc>
        <w:tc>
          <w:tcPr>
            <w:tcW w:w="1478" w:type="pct"/>
          </w:tcPr>
          <w:p w:rsidR="00F80A9C" w:rsidRPr="00F80A9C" w:rsidRDefault="00F80A9C" w:rsidP="005B451E">
            <w:pPr>
              <w:jc w:val="center"/>
              <w:rPr>
                <w:rFonts w:ascii="Arial Narrow" w:eastAsiaTheme="minorHAnsi" w:hAnsi="Arial Narrow" w:cstheme="minorBidi"/>
                <w:i/>
                <w:sz w:val="20"/>
                <w:szCs w:val="20"/>
              </w:rPr>
            </w:pPr>
            <w:r w:rsidRPr="00F80A9C">
              <w:rPr>
                <w:rFonts w:ascii="Arial Narrow" w:eastAsiaTheme="minorHAnsi" w:hAnsi="Arial Narrow" w:cstheme="minorBidi"/>
                <w:i/>
                <w:sz w:val="20"/>
                <w:szCs w:val="20"/>
              </w:rPr>
              <w:t>Ocrelizumab vs fingolimod</w:t>
            </w:r>
          </w:p>
        </w:tc>
        <w:tc>
          <w:tcPr>
            <w:tcW w:w="1478" w:type="pct"/>
          </w:tcPr>
          <w:p w:rsidR="00F80A9C" w:rsidRPr="00F80A9C" w:rsidRDefault="00F80A9C" w:rsidP="005B451E">
            <w:pPr>
              <w:jc w:val="center"/>
              <w:rPr>
                <w:rFonts w:ascii="Arial Narrow" w:eastAsiaTheme="minorHAnsi" w:hAnsi="Arial Narrow" w:cstheme="minorBidi"/>
                <w:i/>
                <w:sz w:val="20"/>
                <w:szCs w:val="20"/>
              </w:rPr>
            </w:pPr>
            <w:r w:rsidRPr="00F80A9C">
              <w:rPr>
                <w:rFonts w:ascii="Arial Narrow" w:eastAsiaTheme="minorHAnsi" w:hAnsi="Arial Narrow" w:cstheme="minorBidi"/>
                <w:i/>
                <w:sz w:val="20"/>
                <w:szCs w:val="20"/>
              </w:rPr>
              <w:t>Cladribine vs fingolimod</w:t>
            </w:r>
          </w:p>
        </w:tc>
      </w:tr>
      <w:tr w:rsidR="00F80A9C" w:rsidRPr="00F80A9C" w:rsidTr="005B451E">
        <w:tc>
          <w:tcPr>
            <w:tcW w:w="2045" w:type="pct"/>
          </w:tcPr>
          <w:p w:rsidR="00F80A9C" w:rsidRPr="00F80A9C" w:rsidRDefault="00F80A9C" w:rsidP="005B451E">
            <w:pPr>
              <w:rPr>
                <w:rFonts w:ascii="Arial Narrow" w:eastAsiaTheme="minorHAnsi" w:hAnsi="Arial Narrow" w:cstheme="minorBidi"/>
                <w:b/>
                <w:i/>
                <w:sz w:val="20"/>
                <w:szCs w:val="20"/>
              </w:rPr>
            </w:pPr>
            <w:r w:rsidRPr="00F80A9C">
              <w:rPr>
                <w:rFonts w:ascii="Arial Narrow" w:eastAsiaTheme="minorHAnsi" w:hAnsi="Arial Narrow" w:cstheme="minorBidi"/>
                <w:b/>
                <w:i/>
                <w:sz w:val="20"/>
                <w:szCs w:val="20"/>
              </w:rPr>
              <w:t>Common reference</w:t>
            </w:r>
          </w:p>
        </w:tc>
        <w:tc>
          <w:tcPr>
            <w:tcW w:w="1478" w:type="pct"/>
          </w:tcPr>
          <w:p w:rsidR="00F80A9C" w:rsidRPr="00F80A9C" w:rsidRDefault="00F80A9C" w:rsidP="005B451E">
            <w:pPr>
              <w:jc w:val="center"/>
              <w:rPr>
                <w:rFonts w:ascii="Arial Narrow" w:eastAsiaTheme="minorHAnsi" w:hAnsi="Arial Narrow" w:cstheme="minorBidi"/>
                <w:i/>
                <w:sz w:val="20"/>
                <w:szCs w:val="20"/>
              </w:rPr>
            </w:pPr>
            <w:r w:rsidRPr="00F80A9C">
              <w:rPr>
                <w:rFonts w:ascii="Arial Narrow" w:eastAsiaTheme="minorHAnsi" w:hAnsi="Arial Narrow" w:cstheme="minorBidi"/>
                <w:i/>
                <w:sz w:val="20"/>
                <w:szCs w:val="20"/>
              </w:rPr>
              <w:t>Interferon beta-1a/placebo</w:t>
            </w:r>
            <w:r w:rsidRPr="00F80A9C">
              <w:rPr>
                <w:rStyle w:val="FootnoteReference"/>
                <w:rFonts w:ascii="Arial Narrow" w:eastAsiaTheme="minorHAnsi" w:hAnsi="Arial Narrow" w:cstheme="minorBidi"/>
                <w:i/>
                <w:sz w:val="20"/>
                <w:szCs w:val="20"/>
              </w:rPr>
              <w:footnoteReference w:id="1"/>
            </w:r>
          </w:p>
        </w:tc>
        <w:tc>
          <w:tcPr>
            <w:tcW w:w="1478" w:type="pct"/>
          </w:tcPr>
          <w:p w:rsidR="00F80A9C" w:rsidRPr="00F80A9C" w:rsidRDefault="00F80A9C" w:rsidP="005B451E">
            <w:pPr>
              <w:jc w:val="center"/>
              <w:rPr>
                <w:rFonts w:ascii="Arial Narrow" w:eastAsiaTheme="minorHAnsi" w:hAnsi="Arial Narrow" w:cstheme="minorBidi"/>
                <w:i/>
                <w:sz w:val="20"/>
                <w:szCs w:val="20"/>
              </w:rPr>
            </w:pPr>
            <w:r w:rsidRPr="00F80A9C">
              <w:rPr>
                <w:rFonts w:ascii="Arial Narrow" w:eastAsiaTheme="minorHAnsi" w:hAnsi="Arial Narrow" w:cstheme="minorBidi"/>
                <w:i/>
                <w:sz w:val="20"/>
                <w:szCs w:val="20"/>
              </w:rPr>
              <w:t>Placebo</w:t>
            </w:r>
            <w:r w:rsidRPr="00F80A9C">
              <w:rPr>
                <w:rStyle w:val="FootnoteReference"/>
                <w:rFonts w:ascii="Arial Narrow" w:eastAsiaTheme="minorHAnsi" w:hAnsi="Arial Narrow" w:cstheme="minorBidi"/>
                <w:i/>
                <w:sz w:val="20"/>
                <w:szCs w:val="20"/>
              </w:rPr>
              <w:footnoteReference w:id="2"/>
            </w:r>
          </w:p>
        </w:tc>
      </w:tr>
      <w:tr w:rsidR="00F80A9C" w:rsidRPr="00F80A9C" w:rsidTr="005B451E">
        <w:tc>
          <w:tcPr>
            <w:tcW w:w="2045" w:type="pct"/>
          </w:tcPr>
          <w:p w:rsidR="00F80A9C" w:rsidRPr="00F80A9C" w:rsidRDefault="00F80A9C" w:rsidP="005B451E">
            <w:pPr>
              <w:rPr>
                <w:rFonts w:ascii="Arial Narrow" w:eastAsiaTheme="minorHAnsi" w:hAnsi="Arial Narrow" w:cstheme="minorBidi"/>
                <w:b/>
                <w:i/>
                <w:sz w:val="20"/>
                <w:szCs w:val="20"/>
              </w:rPr>
            </w:pPr>
            <w:r w:rsidRPr="00F80A9C">
              <w:rPr>
                <w:rFonts w:ascii="Arial Narrow" w:eastAsiaTheme="minorHAnsi" w:hAnsi="Arial Narrow" w:cstheme="minorBidi"/>
                <w:b/>
                <w:i/>
                <w:sz w:val="20"/>
                <w:szCs w:val="20"/>
              </w:rPr>
              <w:t>Efficacy outcome</w:t>
            </w:r>
          </w:p>
        </w:tc>
        <w:tc>
          <w:tcPr>
            <w:tcW w:w="1478" w:type="pct"/>
          </w:tcPr>
          <w:p w:rsidR="00F80A9C" w:rsidRPr="00F80A9C" w:rsidRDefault="00F80A9C" w:rsidP="005B451E">
            <w:pPr>
              <w:jc w:val="center"/>
              <w:rPr>
                <w:rFonts w:ascii="Arial Narrow" w:eastAsiaTheme="minorHAnsi" w:hAnsi="Arial Narrow" w:cstheme="minorBidi"/>
                <w:i/>
                <w:sz w:val="20"/>
                <w:szCs w:val="20"/>
              </w:rPr>
            </w:pPr>
          </w:p>
        </w:tc>
        <w:tc>
          <w:tcPr>
            <w:tcW w:w="1478" w:type="pct"/>
          </w:tcPr>
          <w:p w:rsidR="00F80A9C" w:rsidRPr="00F80A9C" w:rsidRDefault="00F80A9C" w:rsidP="005B451E">
            <w:pPr>
              <w:jc w:val="center"/>
              <w:rPr>
                <w:rFonts w:ascii="Arial Narrow" w:eastAsiaTheme="minorHAnsi" w:hAnsi="Arial Narrow" w:cstheme="minorBidi"/>
                <w:i/>
                <w:sz w:val="20"/>
                <w:szCs w:val="20"/>
              </w:rPr>
            </w:pPr>
          </w:p>
        </w:tc>
      </w:tr>
      <w:tr w:rsidR="00F80A9C" w:rsidRPr="00F80A9C" w:rsidTr="005B451E">
        <w:tc>
          <w:tcPr>
            <w:tcW w:w="2045" w:type="pct"/>
          </w:tcPr>
          <w:p w:rsidR="00F80A9C" w:rsidRPr="00F80A9C" w:rsidRDefault="00F80A9C" w:rsidP="005B451E">
            <w:pPr>
              <w:rPr>
                <w:rFonts w:ascii="Arial Narrow" w:eastAsiaTheme="minorHAnsi" w:hAnsi="Arial Narrow" w:cstheme="minorBidi"/>
                <w:i/>
                <w:sz w:val="20"/>
                <w:szCs w:val="20"/>
              </w:rPr>
            </w:pPr>
            <w:r w:rsidRPr="00F80A9C">
              <w:rPr>
                <w:rFonts w:ascii="Arial Narrow" w:eastAsiaTheme="minorHAnsi" w:hAnsi="Arial Narrow" w:cstheme="minorBidi"/>
                <w:i/>
                <w:sz w:val="20"/>
                <w:szCs w:val="20"/>
              </w:rPr>
              <w:t>Annualised relapse rate (rate ratio)</w:t>
            </w:r>
          </w:p>
        </w:tc>
        <w:tc>
          <w:tcPr>
            <w:tcW w:w="1478" w:type="pct"/>
          </w:tcPr>
          <w:p w:rsidR="00F80A9C" w:rsidRPr="00385679" w:rsidRDefault="00385679" w:rsidP="005B451E">
            <w:pPr>
              <w:jc w:val="center"/>
              <w:rPr>
                <w:rFonts w:ascii="Arial Narrow" w:eastAsiaTheme="minorHAnsi" w:hAnsi="Arial Narrow" w:cstheme="minorBidi"/>
                <w:i/>
                <w:sz w:val="20"/>
                <w:szCs w:val="20"/>
                <w:highlight w:val="black"/>
              </w:rPr>
            </w:pPr>
            <w:r>
              <w:rPr>
                <w:rFonts w:ascii="Arial Narrow" w:eastAsiaTheme="minorHAnsi" w:hAnsi="Arial Narrow" w:cstheme="minorBidi"/>
                <w:i/>
                <w:noProof/>
                <w:color w:val="000000"/>
                <w:sz w:val="20"/>
                <w:szCs w:val="20"/>
                <w:highlight w:val="black"/>
              </w:rPr>
              <w:t>''''''''''' '''''''''''''' ''''''' '''''''''''' '''''''''''''</w:t>
            </w:r>
          </w:p>
        </w:tc>
        <w:tc>
          <w:tcPr>
            <w:tcW w:w="1478" w:type="pct"/>
          </w:tcPr>
          <w:p w:rsidR="00F80A9C" w:rsidRPr="00F80A9C" w:rsidRDefault="00F80A9C" w:rsidP="005B451E">
            <w:pPr>
              <w:jc w:val="center"/>
              <w:rPr>
                <w:rFonts w:ascii="Arial Narrow" w:eastAsiaTheme="minorHAnsi" w:hAnsi="Arial Narrow" w:cstheme="minorBidi"/>
                <w:i/>
                <w:sz w:val="20"/>
                <w:szCs w:val="20"/>
              </w:rPr>
            </w:pPr>
            <w:r w:rsidRPr="00F80A9C">
              <w:rPr>
                <w:rFonts w:ascii="Arial Narrow" w:eastAsiaTheme="minorHAnsi" w:hAnsi="Arial Narrow" w:cstheme="minorBidi"/>
                <w:i/>
                <w:sz w:val="20"/>
                <w:szCs w:val="20"/>
              </w:rPr>
              <w:t>0.89 (95% CI: 0.67, 1.18)</w:t>
            </w:r>
          </w:p>
        </w:tc>
      </w:tr>
      <w:tr w:rsidR="00F80A9C" w:rsidRPr="00F80A9C" w:rsidTr="005B451E">
        <w:tc>
          <w:tcPr>
            <w:tcW w:w="2045" w:type="pct"/>
          </w:tcPr>
          <w:p w:rsidR="00F80A9C" w:rsidRPr="00F80A9C" w:rsidRDefault="00F80A9C" w:rsidP="005B451E">
            <w:pPr>
              <w:rPr>
                <w:rFonts w:ascii="Arial Narrow" w:eastAsiaTheme="minorHAnsi" w:hAnsi="Arial Narrow" w:cstheme="minorBidi"/>
                <w:i/>
                <w:sz w:val="20"/>
                <w:szCs w:val="20"/>
              </w:rPr>
            </w:pPr>
            <w:r w:rsidRPr="00F80A9C">
              <w:rPr>
                <w:rFonts w:ascii="Arial Narrow" w:eastAsiaTheme="minorHAnsi" w:hAnsi="Arial Narrow" w:cstheme="minorBidi"/>
                <w:i/>
                <w:sz w:val="20"/>
                <w:szCs w:val="20"/>
              </w:rPr>
              <w:t>Confirmed 3-month disability progression (HR)</w:t>
            </w:r>
          </w:p>
        </w:tc>
        <w:tc>
          <w:tcPr>
            <w:tcW w:w="1478" w:type="pct"/>
          </w:tcPr>
          <w:p w:rsidR="00F80A9C" w:rsidRPr="00385679" w:rsidRDefault="00385679" w:rsidP="005B451E">
            <w:pPr>
              <w:jc w:val="center"/>
              <w:rPr>
                <w:rFonts w:ascii="Arial Narrow" w:eastAsiaTheme="minorHAnsi" w:hAnsi="Arial Narrow" w:cstheme="minorBidi"/>
                <w:i/>
                <w:sz w:val="20"/>
                <w:szCs w:val="20"/>
                <w:highlight w:val="black"/>
              </w:rPr>
            </w:pPr>
            <w:r>
              <w:rPr>
                <w:rFonts w:ascii="Arial Narrow" w:eastAsiaTheme="minorHAnsi" w:hAnsi="Arial Narrow" w:cstheme="minorBidi"/>
                <w:i/>
                <w:noProof/>
                <w:color w:val="000000"/>
                <w:sz w:val="20"/>
                <w:szCs w:val="20"/>
                <w:highlight w:val="black"/>
              </w:rPr>
              <w:t>'''''''''' '''''''''''' ''''''' ''''''''''' ''''''''''''</w:t>
            </w:r>
          </w:p>
        </w:tc>
        <w:tc>
          <w:tcPr>
            <w:tcW w:w="1478" w:type="pct"/>
          </w:tcPr>
          <w:p w:rsidR="00F80A9C" w:rsidRPr="00F80A9C" w:rsidRDefault="00F80A9C" w:rsidP="005B451E">
            <w:pPr>
              <w:jc w:val="center"/>
              <w:rPr>
                <w:rFonts w:ascii="Arial Narrow" w:eastAsiaTheme="minorHAnsi" w:hAnsi="Arial Narrow" w:cstheme="minorBidi"/>
                <w:i/>
                <w:sz w:val="20"/>
                <w:szCs w:val="20"/>
                <w:vertAlign w:val="superscript"/>
              </w:rPr>
            </w:pPr>
            <w:r w:rsidRPr="00F80A9C">
              <w:rPr>
                <w:rFonts w:ascii="Arial Narrow" w:eastAsiaTheme="minorHAnsi" w:hAnsi="Arial Narrow" w:cstheme="minorBidi"/>
                <w:i/>
                <w:sz w:val="20"/>
                <w:szCs w:val="20"/>
              </w:rPr>
              <w:t>0.78 (95% CI: 0.53, 1.14)</w:t>
            </w:r>
            <w:r w:rsidRPr="00F80A9C">
              <w:rPr>
                <w:rFonts w:ascii="Arial Narrow" w:eastAsiaTheme="minorHAnsi" w:hAnsi="Arial Narrow" w:cstheme="minorBidi"/>
                <w:i/>
                <w:sz w:val="20"/>
                <w:szCs w:val="20"/>
                <w:vertAlign w:val="superscript"/>
              </w:rPr>
              <w:t>b</w:t>
            </w:r>
          </w:p>
        </w:tc>
      </w:tr>
      <w:tr w:rsidR="00F80A9C" w:rsidRPr="00F80A9C" w:rsidTr="005B451E">
        <w:tc>
          <w:tcPr>
            <w:tcW w:w="2045" w:type="pct"/>
          </w:tcPr>
          <w:p w:rsidR="00F80A9C" w:rsidRPr="00F80A9C" w:rsidRDefault="00F80A9C" w:rsidP="005B451E">
            <w:pPr>
              <w:rPr>
                <w:rFonts w:ascii="Arial Narrow" w:eastAsiaTheme="minorHAnsi" w:hAnsi="Arial Narrow" w:cstheme="minorBidi"/>
                <w:i/>
                <w:sz w:val="20"/>
                <w:szCs w:val="20"/>
              </w:rPr>
            </w:pPr>
            <w:r w:rsidRPr="00F80A9C">
              <w:rPr>
                <w:rFonts w:ascii="Arial Narrow" w:eastAsiaTheme="minorHAnsi" w:hAnsi="Arial Narrow" w:cstheme="minorBidi"/>
                <w:i/>
                <w:sz w:val="20"/>
                <w:szCs w:val="20"/>
              </w:rPr>
              <w:t>Confirmed 6-month disability progression (HR)</w:t>
            </w:r>
          </w:p>
        </w:tc>
        <w:tc>
          <w:tcPr>
            <w:tcW w:w="1478" w:type="pct"/>
          </w:tcPr>
          <w:p w:rsidR="00F80A9C" w:rsidRPr="00385679" w:rsidRDefault="00385679" w:rsidP="005B451E">
            <w:pPr>
              <w:jc w:val="center"/>
              <w:rPr>
                <w:rFonts w:ascii="Arial Narrow" w:eastAsiaTheme="minorHAnsi" w:hAnsi="Arial Narrow" w:cstheme="minorBidi"/>
                <w:b/>
                <w:i/>
                <w:sz w:val="20"/>
                <w:szCs w:val="20"/>
                <w:highlight w:val="black"/>
              </w:rPr>
            </w:pPr>
            <w:r>
              <w:rPr>
                <w:rFonts w:ascii="Arial Narrow" w:eastAsiaTheme="minorHAnsi" w:hAnsi="Arial Narrow" w:cstheme="minorBidi"/>
                <w:b/>
                <w:i/>
                <w:noProof/>
                <w:color w:val="000000"/>
                <w:sz w:val="20"/>
                <w:szCs w:val="20"/>
                <w:highlight w:val="black"/>
              </w:rPr>
              <w:t>'''''''' '''''''''' ''''' '''''''''' ''''''''''</w:t>
            </w:r>
          </w:p>
        </w:tc>
        <w:tc>
          <w:tcPr>
            <w:tcW w:w="1478" w:type="pct"/>
          </w:tcPr>
          <w:p w:rsidR="00F80A9C" w:rsidRPr="00F80A9C" w:rsidRDefault="00F80A9C" w:rsidP="005B451E">
            <w:pPr>
              <w:jc w:val="center"/>
              <w:rPr>
                <w:rFonts w:ascii="Arial Narrow" w:eastAsiaTheme="minorHAnsi" w:hAnsi="Arial Narrow" w:cstheme="minorBidi"/>
                <w:i/>
                <w:sz w:val="20"/>
                <w:szCs w:val="20"/>
                <w:vertAlign w:val="superscript"/>
              </w:rPr>
            </w:pPr>
            <w:r w:rsidRPr="00F80A9C">
              <w:rPr>
                <w:rFonts w:ascii="Arial Narrow" w:eastAsiaTheme="minorHAnsi" w:hAnsi="Arial Narrow" w:cstheme="minorBidi"/>
                <w:i/>
                <w:sz w:val="20"/>
                <w:szCs w:val="20"/>
              </w:rPr>
              <w:t>0.79 (95% CI:0.49, 1.27)</w:t>
            </w:r>
            <w:r w:rsidRPr="00F80A9C">
              <w:rPr>
                <w:rFonts w:ascii="Arial Narrow" w:eastAsiaTheme="minorHAnsi" w:hAnsi="Arial Narrow" w:cstheme="minorBidi"/>
                <w:i/>
                <w:sz w:val="20"/>
                <w:szCs w:val="20"/>
                <w:vertAlign w:val="superscript"/>
              </w:rPr>
              <w:t>c</w:t>
            </w:r>
          </w:p>
        </w:tc>
      </w:tr>
    </w:tbl>
    <w:p w:rsidR="00F80A9C" w:rsidRPr="00F80A9C" w:rsidRDefault="00F80A9C" w:rsidP="00F80A9C">
      <w:pPr>
        <w:rPr>
          <w:rFonts w:ascii="Arial Narrow" w:eastAsiaTheme="minorHAnsi" w:hAnsi="Arial Narrow" w:cstheme="minorBidi"/>
          <w:i/>
          <w:sz w:val="18"/>
          <w:szCs w:val="18"/>
        </w:rPr>
      </w:pPr>
      <w:r w:rsidRPr="00F80A9C">
        <w:rPr>
          <w:rFonts w:ascii="Arial Narrow" w:eastAsiaTheme="minorHAnsi" w:hAnsi="Arial Narrow" w:cstheme="minorBidi"/>
          <w:i/>
          <w:sz w:val="18"/>
          <w:szCs w:val="18"/>
        </w:rPr>
        <w:t>CI=confidence interval; HR=hazard ratio</w:t>
      </w:r>
    </w:p>
    <w:p w:rsidR="00F80A9C" w:rsidRPr="00F80A9C" w:rsidRDefault="00F80A9C" w:rsidP="00F80A9C">
      <w:pPr>
        <w:rPr>
          <w:rFonts w:ascii="Arial Narrow" w:eastAsiaTheme="minorHAnsi" w:hAnsi="Arial Narrow" w:cstheme="minorBidi"/>
          <w:i/>
          <w:sz w:val="18"/>
          <w:szCs w:val="18"/>
        </w:rPr>
      </w:pPr>
      <w:r w:rsidRPr="00F80A9C">
        <w:rPr>
          <w:rFonts w:ascii="Arial Narrow" w:eastAsiaTheme="minorHAnsi" w:hAnsi="Arial Narrow" w:cstheme="minorBidi"/>
          <w:i/>
          <w:sz w:val="18"/>
          <w:szCs w:val="18"/>
        </w:rPr>
        <w:t>a Clinical data was unchanged in the cladribine March 2018 minor resubmission</w:t>
      </w:r>
    </w:p>
    <w:p w:rsidR="00F80A9C" w:rsidRPr="00F80A9C" w:rsidRDefault="00F80A9C" w:rsidP="00F80A9C">
      <w:pPr>
        <w:rPr>
          <w:rFonts w:ascii="Arial Narrow" w:eastAsiaTheme="minorHAnsi" w:hAnsi="Arial Narrow" w:cstheme="minorBidi"/>
          <w:i/>
          <w:sz w:val="18"/>
          <w:szCs w:val="18"/>
        </w:rPr>
      </w:pPr>
      <w:r w:rsidRPr="00F80A9C">
        <w:rPr>
          <w:rFonts w:ascii="Arial Narrow" w:eastAsiaTheme="minorHAnsi" w:hAnsi="Arial Narrow" w:cstheme="minorBidi"/>
          <w:i/>
          <w:sz w:val="18"/>
          <w:szCs w:val="18"/>
        </w:rPr>
        <w:t xml:space="preserve">b Calculated from HR = </w:t>
      </w:r>
      <w:r w:rsidRPr="00F80A9C">
        <w:rPr>
          <w:rFonts w:ascii="Arial Narrow" w:eastAsiaTheme="minorHAnsi" w:hAnsi="Arial Narrow" w:cstheme="minorBidi"/>
          <w:b/>
          <w:i/>
          <w:sz w:val="18"/>
          <w:szCs w:val="18"/>
        </w:rPr>
        <w:t xml:space="preserve">0.59 (0.43, 0.80) </w:t>
      </w:r>
      <w:r w:rsidRPr="00F80A9C">
        <w:rPr>
          <w:rFonts w:ascii="Arial Narrow" w:eastAsiaTheme="minorHAnsi" w:hAnsi="Arial Narrow" w:cstheme="minorBidi"/>
          <w:i/>
          <w:sz w:val="18"/>
          <w:szCs w:val="18"/>
        </w:rPr>
        <w:t xml:space="preserve">for cladribine vs. placebo and HR = </w:t>
      </w:r>
      <w:r w:rsidRPr="00F80A9C">
        <w:rPr>
          <w:rFonts w:ascii="Arial Narrow" w:eastAsiaTheme="minorHAnsi" w:hAnsi="Arial Narrow" w:cstheme="minorBidi"/>
          <w:b/>
          <w:i/>
          <w:sz w:val="18"/>
          <w:szCs w:val="18"/>
        </w:rPr>
        <w:t xml:space="preserve">0.76 (0.61, 0.95) </w:t>
      </w:r>
      <w:r w:rsidRPr="00F80A9C">
        <w:rPr>
          <w:rFonts w:ascii="Arial Narrow" w:eastAsiaTheme="minorHAnsi" w:hAnsi="Arial Narrow" w:cstheme="minorBidi"/>
          <w:i/>
          <w:sz w:val="18"/>
          <w:szCs w:val="18"/>
        </w:rPr>
        <w:t>for fingolimod vs. placebo, from Tables 2.5.1 (p42) and 2.6.1 (p47) of the cladribine November 2017 commentary.</w:t>
      </w:r>
    </w:p>
    <w:p w:rsidR="00F80A9C" w:rsidRPr="00F80A9C" w:rsidRDefault="00F80A9C" w:rsidP="00F80A9C">
      <w:pPr>
        <w:rPr>
          <w:rFonts w:ascii="Arial Narrow" w:eastAsiaTheme="minorHAnsi" w:hAnsi="Arial Narrow" w:cstheme="minorBidi"/>
          <w:i/>
          <w:sz w:val="18"/>
          <w:szCs w:val="18"/>
        </w:rPr>
      </w:pPr>
      <w:r w:rsidRPr="00F80A9C">
        <w:rPr>
          <w:rFonts w:ascii="Arial Narrow" w:eastAsiaTheme="minorHAnsi" w:hAnsi="Arial Narrow" w:cstheme="minorBidi"/>
          <w:i/>
          <w:sz w:val="18"/>
          <w:szCs w:val="18"/>
        </w:rPr>
        <w:t xml:space="preserve">c Calculated from HR = </w:t>
      </w:r>
      <w:r w:rsidRPr="00F80A9C">
        <w:rPr>
          <w:rFonts w:ascii="Arial Narrow" w:eastAsiaTheme="minorHAnsi" w:hAnsi="Arial Narrow" w:cstheme="minorBidi"/>
          <w:b/>
          <w:i/>
          <w:sz w:val="18"/>
          <w:szCs w:val="18"/>
        </w:rPr>
        <w:t xml:space="preserve">0.53 (0.36, 0.79) </w:t>
      </w:r>
      <w:r w:rsidRPr="00F80A9C">
        <w:rPr>
          <w:rFonts w:ascii="Arial Narrow" w:eastAsiaTheme="minorHAnsi" w:hAnsi="Arial Narrow" w:cstheme="minorBidi"/>
          <w:i/>
          <w:sz w:val="18"/>
          <w:szCs w:val="18"/>
        </w:rPr>
        <w:t xml:space="preserve">for cladribine vs. placebo and HR = </w:t>
      </w:r>
      <w:r w:rsidRPr="00F80A9C">
        <w:rPr>
          <w:rFonts w:ascii="Arial Narrow" w:eastAsiaTheme="minorHAnsi" w:hAnsi="Arial Narrow" w:cstheme="minorBidi"/>
          <w:b/>
          <w:i/>
          <w:sz w:val="18"/>
          <w:szCs w:val="18"/>
        </w:rPr>
        <w:t xml:space="preserve">0.67 (0.51, 0.87) </w:t>
      </w:r>
      <w:r w:rsidRPr="00F80A9C">
        <w:rPr>
          <w:rFonts w:ascii="Arial Narrow" w:eastAsiaTheme="minorHAnsi" w:hAnsi="Arial Narrow" w:cstheme="minorBidi"/>
          <w:i/>
          <w:sz w:val="18"/>
          <w:szCs w:val="18"/>
        </w:rPr>
        <w:t>for fingolimod vs. placebo, from Tables 2.5.1 (p42) and 2.6.1 (p47) of the cladribine November 2017 commentary</w:t>
      </w:r>
    </w:p>
    <w:p w:rsidR="00F80A9C" w:rsidRPr="0060715A" w:rsidRDefault="00F80A9C" w:rsidP="00F80A9C">
      <w:pPr>
        <w:rPr>
          <w:rFonts w:ascii="Arial Narrow" w:eastAsiaTheme="minorHAnsi" w:hAnsi="Arial Narrow" w:cstheme="minorBidi"/>
          <w:i/>
          <w:sz w:val="18"/>
          <w:szCs w:val="18"/>
        </w:rPr>
      </w:pPr>
      <w:r w:rsidRPr="00F80A9C">
        <w:rPr>
          <w:rFonts w:ascii="Arial Narrow" w:eastAsiaTheme="minorHAnsi" w:hAnsi="Arial Narrow" w:cstheme="minorBidi"/>
          <w:i/>
          <w:sz w:val="18"/>
          <w:szCs w:val="18"/>
        </w:rPr>
        <w:t>Source: Ocrelizumab July 2017 PBAC Minutes; Cladribine November 2017 commentary and PBAC Minutes</w:t>
      </w:r>
      <w:r w:rsidR="0060715A">
        <w:rPr>
          <w:rFonts w:ascii="Arial Narrow" w:eastAsiaTheme="minorHAnsi" w:hAnsi="Arial Narrow" w:cstheme="minorBidi"/>
          <w:i/>
          <w:sz w:val="18"/>
          <w:szCs w:val="18"/>
        </w:rPr>
        <w:br/>
      </w:r>
    </w:p>
    <w:p w:rsidR="00F80A9C" w:rsidRDefault="00F80A9C" w:rsidP="009B418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80A9C">
        <w:rPr>
          <w:rFonts w:asciiTheme="minorHAnsi" w:eastAsiaTheme="minorHAnsi" w:hAnsiTheme="minorHAnsi" w:cstheme="minorBidi"/>
          <w:snapToGrid/>
          <w:sz w:val="24"/>
          <w:szCs w:val="22"/>
        </w:rPr>
        <w:t xml:space="preserve">Although the nominated non-inferiority margin of 1.23 (ocrelizumab July 2017 submission) was not reached for the key relapse and disability outcomes, </w:t>
      </w:r>
      <w:r w:rsidR="00385679">
        <w:rPr>
          <w:rFonts w:asciiTheme="minorHAnsi" w:eastAsiaTheme="minorHAnsi" w:hAnsiTheme="minorHAnsi" w:cstheme="minorBidi"/>
          <w:noProof/>
          <w:snapToGrid/>
          <w:color w:val="000000"/>
          <w:sz w:val="24"/>
          <w:szCs w:val="22"/>
          <w:highlight w:val="black"/>
        </w:rPr>
        <w:t>'''''' ''''''''''' '''''''''''''''''''' '''' ''''''' '''''''''''''''' '''''''''''''''''''''' '''''''''''''' '''''''''''''''''''' '''''''''' '''''''''''''''''''''' '''''''''' '''''''''''''''''''' ''''' ''''''''''''''''''''''' '''''''''' '''''' ''''''''''''''''''' '''''''''''' ''''' '''''' '''''''''''''''''''''</w:t>
      </w:r>
      <w:r w:rsidRPr="00F80A9C">
        <w:rPr>
          <w:rFonts w:asciiTheme="minorHAnsi" w:eastAsiaTheme="minorHAnsi" w:hAnsiTheme="minorHAnsi" w:cstheme="minorBidi"/>
          <w:snapToGrid/>
          <w:sz w:val="24"/>
          <w:szCs w:val="22"/>
        </w:rPr>
        <w:t xml:space="preserve"> Additionally, treatment with ocrelizumab was associated with a statistically significant delay in the time to six-month confirmed disability progression compared to fingolimod. Furthermore, whilst the MCID nominated by the ocrelizumab submission was noted in the PBAC Minutes, the Committee did not explicitly accept it as a criterion to determine non-inferiority between ocrelizumab and fingolimod. Rather, the PBAC’s acceptance of the non-inferiority claim for ocrelizumab versus fingolimod was based on the totality of the evidence presented.  </w:t>
      </w:r>
    </w:p>
    <w:p w:rsidR="006C7335" w:rsidRPr="00231590" w:rsidRDefault="009B418D" w:rsidP="00CC650E">
      <w:pPr>
        <w:pStyle w:val="ListParagraph"/>
        <w:widowControl/>
        <w:numPr>
          <w:ilvl w:val="1"/>
          <w:numId w:val="14"/>
        </w:numPr>
        <w:spacing w:after="120"/>
        <w:contextualSpacing w:val="0"/>
        <w:rPr>
          <w:rFonts w:asciiTheme="minorHAnsi" w:eastAsiaTheme="minorHAnsi" w:hAnsiTheme="minorHAnsi" w:cstheme="minorBidi"/>
          <w:szCs w:val="22"/>
        </w:rPr>
      </w:pPr>
      <w:r w:rsidRPr="00231590">
        <w:rPr>
          <w:rFonts w:asciiTheme="minorHAnsi" w:eastAsiaTheme="minorHAnsi" w:hAnsiTheme="minorHAnsi" w:cstheme="minorBidi"/>
          <w:snapToGrid/>
          <w:sz w:val="24"/>
          <w:szCs w:val="22"/>
        </w:rPr>
        <w:t xml:space="preserve">The pre-PBAC response reiterated that there were no statistically significant differences in the indirect comparison between cladribine and fingolimod for the annualised relapse rate and the proportion of patients remaining free from disability progression at 3 and 6 months. </w:t>
      </w:r>
      <w:r w:rsidR="00B81026" w:rsidRPr="00231590">
        <w:rPr>
          <w:rFonts w:asciiTheme="minorHAnsi" w:eastAsiaTheme="minorHAnsi" w:hAnsiTheme="minorHAnsi" w:cstheme="minorBidi"/>
          <w:snapToGrid/>
          <w:sz w:val="24"/>
          <w:szCs w:val="22"/>
        </w:rPr>
        <w:t>The pre-PBAC response also noted that the PSD for ocrelizumab stated that “the ESC commented that these comparisons should be interpreted with caution due to the inherent uncertainty of multi-step indirect comparisons as well as substantial transitivity issues between trials”; and “The ESC noted that, for example, the analysis of disability progression at six months between ocrelizumab and fingolimod was based on a three step indirect analysis and included trials spanning 21 years.” The pre-PBAC response argued that in comparison, “the indirect evaluation of six-month confirmed disability progression for cladribine and fingolimod did not require a multi-step indirect comparison and compared trials which commenced within one year of each other.”</w:t>
      </w:r>
    </w:p>
    <w:p w:rsidR="006C7335" w:rsidRPr="00242B9B" w:rsidRDefault="006C7335" w:rsidP="006C7335">
      <w:pPr>
        <w:pStyle w:val="ListParagraph"/>
        <w:widowControl/>
        <w:numPr>
          <w:ilvl w:val="1"/>
          <w:numId w:val="14"/>
        </w:numPr>
        <w:contextualSpacing w:val="0"/>
        <w:rPr>
          <w:rFonts w:asciiTheme="minorHAnsi" w:eastAsiaTheme="minorHAnsi" w:hAnsiTheme="minorHAnsi" w:cstheme="minorBidi"/>
          <w:snapToGrid/>
          <w:sz w:val="24"/>
          <w:szCs w:val="22"/>
        </w:rPr>
      </w:pPr>
      <w:r w:rsidRPr="00242B9B">
        <w:rPr>
          <w:rFonts w:asciiTheme="minorHAnsi" w:eastAsiaTheme="minorHAnsi" w:hAnsiTheme="minorHAnsi" w:cstheme="minorBidi"/>
          <w:snapToGrid/>
          <w:sz w:val="24"/>
          <w:szCs w:val="22"/>
        </w:rPr>
        <w:t>At the November 2017 meeting</w:t>
      </w:r>
      <w:r w:rsidRPr="000042AF">
        <w:rPr>
          <w:rFonts w:asciiTheme="minorHAnsi" w:eastAsiaTheme="minorHAnsi" w:hAnsiTheme="minorHAnsi" w:cstheme="minorBidi"/>
          <w:snapToGrid/>
          <w:sz w:val="24"/>
          <w:szCs w:val="22"/>
        </w:rPr>
        <w:t>, the PBAC did not accept the claim that cladribine is non-inferior to fingolimod in terms of efficacy over four years, which was based on a naïve comparison of point estimates of the extension studies to the three trials. The PBAC also considered that there was insufficient data to accurately assess the claim of non-inferior safety of cladribine versus fingolimod. The PBAC considered that while it had previously noted cladribine to be generally well tolerated, cladribine was associated with important adverse events (paragraphs 7.7 – 7.8</w:t>
      </w:r>
      <w:r w:rsidRPr="0080760C">
        <w:rPr>
          <w:rFonts w:asciiTheme="minorHAnsi" w:eastAsiaTheme="minorHAnsi" w:hAnsiTheme="minorHAnsi" w:cstheme="minorBidi"/>
          <w:snapToGrid/>
          <w:sz w:val="24"/>
          <w:szCs w:val="22"/>
        </w:rPr>
        <w:t xml:space="preserve">, November 2017 PBAC </w:t>
      </w:r>
      <w:r w:rsidR="00284FA3">
        <w:rPr>
          <w:rFonts w:asciiTheme="minorHAnsi" w:eastAsiaTheme="minorHAnsi" w:hAnsiTheme="minorHAnsi" w:cstheme="minorBidi"/>
          <w:snapToGrid/>
          <w:sz w:val="24"/>
          <w:szCs w:val="22"/>
        </w:rPr>
        <w:t>Meeting PSD</w:t>
      </w:r>
      <w:r w:rsidRPr="0080760C">
        <w:rPr>
          <w:rFonts w:asciiTheme="minorHAnsi" w:eastAsiaTheme="minorHAnsi" w:hAnsiTheme="minorHAnsi" w:cstheme="minorBidi"/>
          <w:snapToGrid/>
          <w:sz w:val="24"/>
          <w:szCs w:val="22"/>
        </w:rPr>
        <w:t xml:space="preserve">). </w:t>
      </w:r>
      <w:r w:rsidRPr="00E86579">
        <w:rPr>
          <w:rFonts w:asciiTheme="minorHAnsi" w:eastAsiaTheme="minorHAnsi" w:hAnsiTheme="minorHAnsi" w:cstheme="minorBidi"/>
          <w:snapToGrid/>
          <w:sz w:val="24"/>
          <w:szCs w:val="22"/>
        </w:rPr>
        <w:t xml:space="preserve">The minor resubmission did not address these concerns. </w:t>
      </w:r>
    </w:p>
    <w:p w:rsidR="005A3173" w:rsidRPr="0060715A" w:rsidRDefault="005A3173" w:rsidP="00053440">
      <w:pPr>
        <w:pStyle w:val="Heading2"/>
      </w:pPr>
      <w:r w:rsidRPr="0060715A">
        <w:t>Economic analysis</w:t>
      </w:r>
    </w:p>
    <w:p w:rsidR="008F5966" w:rsidRPr="001E6690" w:rsidRDefault="007D628E" w:rsidP="007D628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242B9B">
        <w:rPr>
          <w:rFonts w:asciiTheme="minorHAnsi" w:eastAsiaTheme="minorHAnsi" w:hAnsiTheme="minorHAnsi" w:cstheme="minorBidi"/>
          <w:snapToGrid/>
          <w:sz w:val="24"/>
          <w:szCs w:val="22"/>
        </w:rPr>
        <w:t>At the November 2017 meeting</w:t>
      </w:r>
      <w:r w:rsidRPr="000042AF">
        <w:rPr>
          <w:rFonts w:asciiTheme="minorHAnsi" w:eastAsiaTheme="minorHAnsi" w:hAnsiTheme="minorHAnsi" w:cstheme="minorBidi"/>
          <w:snapToGrid/>
          <w:sz w:val="24"/>
          <w:szCs w:val="22"/>
        </w:rPr>
        <w:t xml:space="preserve">, the PBAC considered there was insufficient clinical evidence to support the time horizon of four years for estimating the equi-effective doses of cladribine and fingolimod. The PBAC also considered that it was unrealistic to assume that patients who receive cladribine and experience disease relapse would not be prescribed another medicine for RRMS before the four-year period or that patients would be </w:t>
      </w:r>
      <w:r w:rsidR="00AA2608">
        <w:rPr>
          <w:rFonts w:asciiTheme="minorHAnsi" w:eastAsiaTheme="minorHAnsi" w:hAnsiTheme="minorHAnsi" w:cstheme="minorBidi"/>
          <w:noProof/>
          <w:snapToGrid/>
          <w:color w:val="000000"/>
          <w:sz w:val="24"/>
          <w:szCs w:val="22"/>
          <w:highlight w:val="black"/>
        </w:rPr>
        <w:t>''''''''</w:t>
      </w:r>
      <w:r w:rsidRPr="000042AF">
        <w:rPr>
          <w:rFonts w:asciiTheme="minorHAnsi" w:eastAsiaTheme="minorHAnsi" w:hAnsiTheme="minorHAnsi" w:cstheme="minorBidi"/>
          <w:snapToGrid/>
          <w:sz w:val="24"/>
          <w:szCs w:val="22"/>
        </w:rPr>
        <w:t xml:space="preserve">% persistent to fingolimod. Therefore, the PBAC did not accept two years of cladribine treatment versus four years of fingolimod treatment as the basis for the cost-minimisation analysis (paragraph 7.1, November 2017 PBAC </w:t>
      </w:r>
      <w:r w:rsidR="00284FA3">
        <w:rPr>
          <w:rFonts w:asciiTheme="minorHAnsi" w:eastAsiaTheme="minorHAnsi" w:hAnsiTheme="minorHAnsi" w:cstheme="minorBidi"/>
          <w:snapToGrid/>
          <w:sz w:val="24"/>
          <w:szCs w:val="22"/>
        </w:rPr>
        <w:t>Meeting PSD</w:t>
      </w:r>
      <w:r w:rsidRPr="000042AF">
        <w:rPr>
          <w:rFonts w:asciiTheme="minorHAnsi" w:eastAsiaTheme="minorHAnsi" w:hAnsiTheme="minorHAnsi" w:cstheme="minorBidi"/>
          <w:snapToGrid/>
          <w:sz w:val="24"/>
          <w:szCs w:val="22"/>
        </w:rPr>
        <w:t>).</w:t>
      </w:r>
    </w:p>
    <w:p w:rsidR="00094DAC" w:rsidRDefault="00094DAC" w:rsidP="00094DA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comparison of the equi-effective dose</w:t>
      </w:r>
      <w:r w:rsidR="00764C9C">
        <w:rPr>
          <w:rFonts w:asciiTheme="minorHAnsi" w:eastAsiaTheme="minorHAnsi" w:hAnsiTheme="minorHAnsi" w:cstheme="minorBidi"/>
          <w:snapToGrid/>
          <w:sz w:val="24"/>
          <w:szCs w:val="22"/>
        </w:rPr>
        <w:t>s</w:t>
      </w:r>
      <w:r>
        <w:rPr>
          <w:rFonts w:asciiTheme="minorHAnsi" w:eastAsiaTheme="minorHAnsi" w:hAnsiTheme="minorHAnsi" w:cstheme="minorBidi"/>
          <w:snapToGrid/>
          <w:sz w:val="24"/>
          <w:szCs w:val="22"/>
        </w:rPr>
        <w:t xml:space="preserve"> proposed by the November 2017 major resubmission and the current minor resubmission is presented below.</w:t>
      </w:r>
    </w:p>
    <w:p w:rsidR="00094DAC" w:rsidRDefault="00094DAC" w:rsidP="00094DAC">
      <w:pPr>
        <w:pStyle w:val="TableHeading0"/>
      </w:pPr>
      <w:r>
        <w:t xml:space="preserve">Table </w:t>
      </w:r>
      <w:r w:rsidR="001F1C2B">
        <w:t>2</w:t>
      </w:r>
      <w:r>
        <w:t xml:space="preserve">: </w:t>
      </w:r>
      <w:r w:rsidR="00764C9C">
        <w:t>Comparison of the equi-effective doses proposed for cladribine vs fingolimod in the November 2017 and March 2018 submissions</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296"/>
        <w:gridCol w:w="3260"/>
        <w:gridCol w:w="3526"/>
      </w:tblGrid>
      <w:tr w:rsidR="00764C9C" w:rsidTr="00053440">
        <w:tc>
          <w:tcPr>
            <w:tcW w:w="1264" w:type="pct"/>
            <w:vMerge w:val="restart"/>
            <w:vAlign w:val="center"/>
          </w:tcPr>
          <w:p w:rsidR="00764C9C" w:rsidRPr="00764C9C" w:rsidRDefault="00764C9C" w:rsidP="00632993">
            <w:pPr>
              <w:pStyle w:val="TableText0"/>
              <w:spacing w:before="0" w:after="0"/>
              <w:rPr>
                <w:b/>
              </w:rPr>
            </w:pPr>
            <w:r w:rsidRPr="00764C9C">
              <w:rPr>
                <w:b/>
              </w:rPr>
              <w:t>Cladribine dose</w:t>
            </w:r>
          </w:p>
        </w:tc>
        <w:tc>
          <w:tcPr>
            <w:tcW w:w="3736" w:type="pct"/>
            <w:gridSpan w:val="2"/>
            <w:vAlign w:val="center"/>
          </w:tcPr>
          <w:p w:rsidR="00764C9C" w:rsidRPr="00764C9C" w:rsidRDefault="00764C9C" w:rsidP="00632993">
            <w:pPr>
              <w:pStyle w:val="TableText0"/>
              <w:spacing w:before="0" w:after="0"/>
              <w:jc w:val="center"/>
              <w:rPr>
                <w:b/>
              </w:rPr>
            </w:pPr>
            <w:r w:rsidRPr="00764C9C">
              <w:rPr>
                <w:b/>
              </w:rPr>
              <w:t>Fingolimod dose</w:t>
            </w:r>
          </w:p>
        </w:tc>
      </w:tr>
      <w:tr w:rsidR="00764C9C" w:rsidTr="00053440">
        <w:tc>
          <w:tcPr>
            <w:tcW w:w="1264" w:type="pct"/>
            <w:vMerge/>
          </w:tcPr>
          <w:p w:rsidR="00764C9C" w:rsidRDefault="00764C9C" w:rsidP="00632993">
            <w:pPr>
              <w:pStyle w:val="TableText0"/>
              <w:spacing w:before="0" w:after="0"/>
            </w:pPr>
          </w:p>
        </w:tc>
        <w:tc>
          <w:tcPr>
            <w:tcW w:w="1795" w:type="pct"/>
            <w:vAlign w:val="center"/>
          </w:tcPr>
          <w:p w:rsidR="00764C9C" w:rsidRPr="00764C9C" w:rsidRDefault="00764C9C" w:rsidP="00632993">
            <w:pPr>
              <w:pStyle w:val="TableText0"/>
              <w:spacing w:before="0" w:after="0"/>
              <w:jc w:val="center"/>
              <w:rPr>
                <w:b/>
              </w:rPr>
            </w:pPr>
            <w:r w:rsidRPr="00764C9C">
              <w:rPr>
                <w:b/>
              </w:rPr>
              <w:t>November 2017 major resubmission</w:t>
            </w:r>
          </w:p>
        </w:tc>
        <w:tc>
          <w:tcPr>
            <w:tcW w:w="1941" w:type="pct"/>
            <w:vAlign w:val="center"/>
          </w:tcPr>
          <w:p w:rsidR="00764C9C" w:rsidRPr="00764C9C" w:rsidRDefault="00764C9C" w:rsidP="00632993">
            <w:pPr>
              <w:pStyle w:val="TableText0"/>
              <w:spacing w:before="0" w:after="0"/>
              <w:jc w:val="center"/>
              <w:rPr>
                <w:b/>
              </w:rPr>
            </w:pPr>
            <w:r w:rsidRPr="00764C9C">
              <w:rPr>
                <w:b/>
              </w:rPr>
              <w:t>March 2018 minor resubmission</w:t>
            </w:r>
          </w:p>
        </w:tc>
      </w:tr>
      <w:tr w:rsidR="00094DAC" w:rsidTr="00053440">
        <w:tc>
          <w:tcPr>
            <w:tcW w:w="1264" w:type="pct"/>
          </w:tcPr>
          <w:p w:rsidR="00764C9C" w:rsidRDefault="00094DAC" w:rsidP="00632993">
            <w:pPr>
              <w:pStyle w:val="TableText0"/>
              <w:spacing w:before="0" w:after="0"/>
            </w:pPr>
            <w:r>
              <w:t xml:space="preserve">280 mg </w:t>
            </w:r>
          </w:p>
          <w:p w:rsidR="00094DAC" w:rsidRDefault="00094DAC" w:rsidP="00632993">
            <w:pPr>
              <w:pStyle w:val="TableText0"/>
              <w:spacing w:before="0" w:after="0"/>
            </w:pPr>
            <w:r>
              <w:t>(</w:t>
            </w:r>
            <w:r w:rsidRPr="00094DAC">
              <w:t>28 tablets; assuming average weight of 76.6kg</w:t>
            </w:r>
            <w:r>
              <w:t>)</w:t>
            </w:r>
            <w:r w:rsidR="00764C9C">
              <w:t xml:space="preserve"> </w:t>
            </w:r>
            <w:r>
              <w:t xml:space="preserve">= </w:t>
            </w:r>
          </w:p>
        </w:tc>
        <w:tc>
          <w:tcPr>
            <w:tcW w:w="1795" w:type="pct"/>
            <w:vAlign w:val="center"/>
          </w:tcPr>
          <w:p w:rsidR="00764C9C" w:rsidRDefault="00094DAC" w:rsidP="00632993">
            <w:pPr>
              <w:pStyle w:val="TableText0"/>
              <w:spacing w:before="0" w:after="0"/>
              <w:jc w:val="center"/>
            </w:pPr>
            <w:r>
              <w:t xml:space="preserve">730 mg </w:t>
            </w:r>
          </w:p>
          <w:p w:rsidR="00094DAC" w:rsidRDefault="00094DAC" w:rsidP="00632993">
            <w:pPr>
              <w:pStyle w:val="TableText0"/>
              <w:spacing w:before="0" w:after="0"/>
              <w:jc w:val="center"/>
            </w:pPr>
            <w:r w:rsidRPr="00EA448D">
              <w:rPr>
                <w:rFonts w:cstheme="minorHAnsi"/>
              </w:rPr>
              <w:t xml:space="preserve">(365 days x </w:t>
            </w:r>
            <w:r>
              <w:rPr>
                <w:rFonts w:cstheme="minorHAnsi"/>
              </w:rPr>
              <w:t>four</w:t>
            </w:r>
            <w:r w:rsidRPr="00EA448D">
              <w:rPr>
                <w:rFonts w:cstheme="minorHAnsi"/>
              </w:rPr>
              <w:t xml:space="preserve"> years x 0.5mg/day)</w:t>
            </w:r>
          </w:p>
        </w:tc>
        <w:tc>
          <w:tcPr>
            <w:tcW w:w="1941" w:type="pct"/>
            <w:vAlign w:val="center"/>
          </w:tcPr>
          <w:p w:rsidR="00764C9C" w:rsidRDefault="00094DAC" w:rsidP="00632993">
            <w:pPr>
              <w:pStyle w:val="TableText0"/>
              <w:spacing w:before="0" w:after="0"/>
              <w:jc w:val="center"/>
            </w:pPr>
            <w:r>
              <w:t xml:space="preserve">697 mg </w:t>
            </w:r>
          </w:p>
          <w:p w:rsidR="00094DAC" w:rsidRDefault="00094DAC" w:rsidP="00632993">
            <w:pPr>
              <w:pStyle w:val="TableText0"/>
              <w:spacing w:before="0" w:after="0"/>
              <w:jc w:val="center"/>
            </w:pPr>
            <w:r w:rsidRPr="00EA448D">
              <w:rPr>
                <w:rFonts w:cstheme="minorHAnsi"/>
              </w:rPr>
              <w:t xml:space="preserve">(365 days x </w:t>
            </w:r>
            <w:r>
              <w:rPr>
                <w:rFonts w:cstheme="minorHAnsi"/>
              </w:rPr>
              <w:t>four</w:t>
            </w:r>
            <w:r w:rsidRPr="00EA448D">
              <w:rPr>
                <w:rFonts w:cstheme="minorHAnsi"/>
              </w:rPr>
              <w:t xml:space="preserve"> years x 0.5mg/day</w:t>
            </w:r>
            <w:r>
              <w:rPr>
                <w:rFonts w:cstheme="minorHAnsi"/>
              </w:rPr>
              <w:t xml:space="preserve"> x 95.48%</w:t>
            </w:r>
            <w:r w:rsidRPr="00EA448D">
              <w:rPr>
                <w:rFonts w:cstheme="minorHAnsi"/>
              </w:rPr>
              <w:t>)</w:t>
            </w:r>
          </w:p>
        </w:tc>
      </w:tr>
    </w:tbl>
    <w:p w:rsidR="0060715A" w:rsidRPr="0060715A" w:rsidRDefault="0060715A" w:rsidP="0060715A">
      <w:pPr>
        <w:spacing w:after="120"/>
        <w:rPr>
          <w:rFonts w:ascii="Arial Narrow" w:eastAsiaTheme="minorHAnsi" w:hAnsi="Arial Narrow" w:cstheme="minorBidi"/>
          <w:sz w:val="20"/>
          <w:szCs w:val="20"/>
        </w:rPr>
      </w:pPr>
    </w:p>
    <w:p w:rsidR="00564500" w:rsidRDefault="00564500" w:rsidP="00D775F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242B9B">
        <w:rPr>
          <w:rFonts w:asciiTheme="minorHAnsi" w:eastAsiaTheme="minorHAnsi" w:hAnsiTheme="minorHAnsi" w:cstheme="minorBidi"/>
          <w:snapToGrid/>
          <w:sz w:val="24"/>
          <w:szCs w:val="22"/>
        </w:rPr>
        <w:t xml:space="preserve">The minor resubmission proposed a new equi-effective dose, based on adjusting the fingolimod dose </w:t>
      </w:r>
      <w:r w:rsidRPr="000042AF">
        <w:rPr>
          <w:rFonts w:asciiTheme="minorHAnsi" w:eastAsiaTheme="minorHAnsi" w:hAnsiTheme="minorHAnsi" w:cstheme="minorBidi"/>
          <w:snapToGrid/>
          <w:sz w:val="24"/>
          <w:szCs w:val="22"/>
        </w:rPr>
        <w:t>to account for a lower compliance rate (95.48%</w:t>
      </w:r>
      <w:r w:rsidR="00FB3C65" w:rsidRPr="000042AF">
        <w:rPr>
          <w:rStyle w:val="FootnoteReference"/>
          <w:rFonts w:asciiTheme="minorHAnsi" w:eastAsiaTheme="minorHAnsi" w:hAnsiTheme="minorHAnsi" w:cstheme="minorBidi"/>
          <w:snapToGrid/>
          <w:sz w:val="24"/>
          <w:szCs w:val="22"/>
        </w:rPr>
        <w:footnoteReference w:id="3"/>
      </w:r>
      <w:r w:rsidRPr="000042AF">
        <w:rPr>
          <w:rFonts w:asciiTheme="minorHAnsi" w:eastAsiaTheme="minorHAnsi" w:hAnsiTheme="minorHAnsi" w:cstheme="minorBidi"/>
          <w:snapToGrid/>
          <w:sz w:val="24"/>
          <w:szCs w:val="22"/>
        </w:rPr>
        <w:t xml:space="preserve">) for fingolimod over four years. This revised compliance rate was based on calculating the mean duration of exposure of 1394 days out of 1460 days for fingolimod in the FREEDOMS extension trial. </w:t>
      </w:r>
      <w:r w:rsidR="0023652C" w:rsidRPr="00E86579">
        <w:rPr>
          <w:rFonts w:asciiTheme="minorHAnsi" w:eastAsiaTheme="minorHAnsi" w:hAnsiTheme="minorHAnsi" w:cstheme="minorBidi"/>
          <w:snapToGrid/>
          <w:sz w:val="24"/>
          <w:szCs w:val="22"/>
        </w:rPr>
        <w:t>I</w:t>
      </w:r>
      <w:r w:rsidR="00EE1DBC" w:rsidRPr="00E86579">
        <w:rPr>
          <w:rFonts w:asciiTheme="minorHAnsi" w:eastAsiaTheme="minorHAnsi" w:hAnsiTheme="minorHAnsi" w:cstheme="minorBidi"/>
          <w:snapToGrid/>
          <w:sz w:val="24"/>
          <w:szCs w:val="22"/>
        </w:rPr>
        <w:t xml:space="preserve">n the November 2017 major resubmission (unchanged in the current minor resubmission), the base case financial analysis assumed cladribine persistence rates of </w:t>
      </w:r>
      <w:r w:rsidR="00AA2608">
        <w:rPr>
          <w:rFonts w:asciiTheme="minorHAnsi" w:eastAsiaTheme="minorHAnsi" w:hAnsiTheme="minorHAnsi" w:cstheme="minorBidi"/>
          <w:noProof/>
          <w:snapToGrid/>
          <w:color w:val="000000"/>
          <w:sz w:val="24"/>
          <w:szCs w:val="22"/>
          <w:highlight w:val="black"/>
        </w:rPr>
        <w:t>'''''''</w:t>
      </w:r>
      <w:r w:rsidR="00EE1DBC" w:rsidRPr="000F255B">
        <w:rPr>
          <w:rFonts w:asciiTheme="minorHAnsi" w:eastAsiaTheme="minorHAnsi" w:hAnsiTheme="minorHAnsi" w:cstheme="minorBidi"/>
          <w:snapToGrid/>
          <w:sz w:val="24"/>
          <w:szCs w:val="22"/>
        </w:rPr>
        <w:t xml:space="preserve">%, </w:t>
      </w:r>
      <w:r w:rsidR="00AA2608">
        <w:rPr>
          <w:rFonts w:asciiTheme="minorHAnsi" w:eastAsiaTheme="minorHAnsi" w:hAnsiTheme="minorHAnsi" w:cstheme="minorBidi"/>
          <w:noProof/>
          <w:snapToGrid/>
          <w:color w:val="000000"/>
          <w:sz w:val="24"/>
          <w:szCs w:val="22"/>
          <w:highlight w:val="black"/>
        </w:rPr>
        <w:t>''''''</w:t>
      </w:r>
      <w:r w:rsidR="00EE1DBC" w:rsidRPr="000F255B">
        <w:rPr>
          <w:rFonts w:asciiTheme="minorHAnsi" w:eastAsiaTheme="minorHAnsi" w:hAnsiTheme="minorHAnsi" w:cstheme="minorBidi"/>
          <w:snapToGrid/>
          <w:sz w:val="24"/>
          <w:szCs w:val="22"/>
        </w:rPr>
        <w:t xml:space="preserve">%, </w:t>
      </w:r>
      <w:r w:rsidR="00AA2608">
        <w:rPr>
          <w:rFonts w:asciiTheme="minorHAnsi" w:eastAsiaTheme="minorHAnsi" w:hAnsiTheme="minorHAnsi" w:cstheme="minorBidi"/>
          <w:noProof/>
          <w:snapToGrid/>
          <w:color w:val="000000"/>
          <w:sz w:val="24"/>
          <w:szCs w:val="22"/>
          <w:highlight w:val="black"/>
        </w:rPr>
        <w:t>'''''</w:t>
      </w:r>
      <w:r w:rsidR="00EE1DBC" w:rsidRPr="000F255B">
        <w:rPr>
          <w:rFonts w:asciiTheme="minorHAnsi" w:eastAsiaTheme="minorHAnsi" w:hAnsiTheme="minorHAnsi" w:cstheme="minorBidi"/>
          <w:snapToGrid/>
          <w:sz w:val="24"/>
          <w:szCs w:val="22"/>
        </w:rPr>
        <w:t xml:space="preserve">%, </w:t>
      </w:r>
      <w:r w:rsidR="00AA2608">
        <w:rPr>
          <w:rFonts w:asciiTheme="minorHAnsi" w:eastAsiaTheme="minorHAnsi" w:hAnsiTheme="minorHAnsi" w:cstheme="minorBidi"/>
          <w:noProof/>
          <w:snapToGrid/>
          <w:color w:val="000000"/>
          <w:sz w:val="24"/>
          <w:szCs w:val="22"/>
          <w:highlight w:val="black"/>
        </w:rPr>
        <w:t>'''''</w:t>
      </w:r>
      <w:r w:rsidR="00EE1DBC" w:rsidRPr="000F255B">
        <w:rPr>
          <w:rFonts w:asciiTheme="minorHAnsi" w:eastAsiaTheme="minorHAnsi" w:hAnsiTheme="minorHAnsi" w:cstheme="minorBidi"/>
          <w:snapToGrid/>
          <w:sz w:val="24"/>
          <w:szCs w:val="22"/>
        </w:rPr>
        <w:t xml:space="preserve">%, </w:t>
      </w:r>
      <w:r w:rsidR="00AA2608">
        <w:rPr>
          <w:rFonts w:asciiTheme="minorHAnsi" w:eastAsiaTheme="minorHAnsi" w:hAnsiTheme="minorHAnsi" w:cstheme="minorBidi"/>
          <w:noProof/>
          <w:snapToGrid/>
          <w:color w:val="000000"/>
          <w:sz w:val="24"/>
          <w:szCs w:val="22"/>
          <w:highlight w:val="black"/>
        </w:rPr>
        <w:t>'''''</w:t>
      </w:r>
      <w:r w:rsidR="00EE1DBC" w:rsidRPr="000F255B">
        <w:rPr>
          <w:rFonts w:asciiTheme="minorHAnsi" w:eastAsiaTheme="minorHAnsi" w:hAnsiTheme="minorHAnsi" w:cstheme="minorBidi"/>
          <w:snapToGrid/>
          <w:sz w:val="24"/>
          <w:szCs w:val="22"/>
        </w:rPr>
        <w:t xml:space="preserve">% and </w:t>
      </w:r>
      <w:r w:rsidR="00AA2608">
        <w:rPr>
          <w:rFonts w:asciiTheme="minorHAnsi" w:eastAsiaTheme="minorHAnsi" w:hAnsiTheme="minorHAnsi" w:cstheme="minorBidi"/>
          <w:noProof/>
          <w:snapToGrid/>
          <w:color w:val="000000"/>
          <w:sz w:val="24"/>
          <w:szCs w:val="22"/>
          <w:highlight w:val="black"/>
        </w:rPr>
        <w:t>''''''</w:t>
      </w:r>
      <w:r w:rsidR="00EE1DBC" w:rsidRPr="000F255B">
        <w:rPr>
          <w:rFonts w:asciiTheme="minorHAnsi" w:eastAsiaTheme="minorHAnsi" w:hAnsiTheme="minorHAnsi" w:cstheme="minorBidi"/>
          <w:snapToGrid/>
          <w:sz w:val="24"/>
          <w:szCs w:val="22"/>
        </w:rPr>
        <w:t>%</w:t>
      </w:r>
      <w:r w:rsidR="00EE1DBC" w:rsidRPr="00E86579">
        <w:rPr>
          <w:rFonts w:asciiTheme="minorHAnsi" w:eastAsiaTheme="minorHAnsi" w:hAnsiTheme="minorHAnsi" w:cstheme="minorBidi"/>
          <w:snapToGrid/>
          <w:sz w:val="24"/>
          <w:szCs w:val="22"/>
        </w:rPr>
        <w:t xml:space="preserve"> in Years 1 to 6. This was based on a Prospection analysis of the fingolimod Medicare prescription data for the persistence rates of fingolimod. It is therefore inconsistent to apply the trial-based compliance rate for fingolimod of 95.48% in the calculation of equi-effective doses and Medicare prescription data (with lower compliance rates) as the basis for estimating cladribine usage. </w:t>
      </w:r>
    </w:p>
    <w:p w:rsidR="00231590" w:rsidRDefault="00231590" w:rsidP="00D775F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pre-PBAC response argued that using the trial based compliance rate for fingolimod is consistent with the preferred approach in the PBAC Guidelines. As an alternative, the pre-PBAC response also proposed to apply a compliance rate of 91.20% for fingolimod, based on the MS DUSC Report 2015 and therefore increase Rebate 1 from </w:t>
      </w:r>
      <w:r w:rsidR="00AA2608">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(see paragraph 5</w:t>
      </w:r>
      <w:r w:rsidR="005E1C12">
        <w:rPr>
          <w:rFonts w:asciiTheme="minorHAnsi" w:eastAsiaTheme="minorHAnsi" w:hAnsiTheme="minorHAnsi" w:cstheme="minorBidi"/>
          <w:snapToGrid/>
          <w:sz w:val="24"/>
          <w:szCs w:val="22"/>
        </w:rPr>
        <w:t>.16</w:t>
      </w:r>
      <w:r>
        <w:rPr>
          <w:rFonts w:asciiTheme="minorHAnsi" w:eastAsiaTheme="minorHAnsi" w:hAnsiTheme="minorHAnsi" w:cstheme="minorBidi"/>
          <w:snapToGrid/>
          <w:sz w:val="24"/>
          <w:szCs w:val="22"/>
        </w:rPr>
        <w:t xml:space="preserve"> below) to </w:t>
      </w:r>
      <w:r w:rsidR="00AA2608">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w:t>
      </w:r>
    </w:p>
    <w:p w:rsidR="000D0237" w:rsidRPr="00242B9B" w:rsidRDefault="000D0237" w:rsidP="00D775F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noted that t</w:t>
      </w:r>
      <w:r w:rsidRPr="000D0237">
        <w:rPr>
          <w:rFonts w:asciiTheme="minorHAnsi" w:eastAsiaTheme="minorHAnsi" w:hAnsiTheme="minorHAnsi" w:cstheme="minorBidi"/>
          <w:snapToGrid/>
          <w:sz w:val="24"/>
          <w:szCs w:val="22"/>
        </w:rPr>
        <w:t xml:space="preserve">he </w:t>
      </w:r>
      <w:r>
        <w:rPr>
          <w:rFonts w:asciiTheme="minorHAnsi" w:eastAsiaTheme="minorHAnsi" w:hAnsiTheme="minorHAnsi" w:cstheme="minorBidi"/>
          <w:snapToGrid/>
          <w:sz w:val="24"/>
          <w:szCs w:val="22"/>
        </w:rPr>
        <w:t xml:space="preserve">MS </w:t>
      </w:r>
      <w:r w:rsidRPr="000D0237">
        <w:rPr>
          <w:rFonts w:asciiTheme="minorHAnsi" w:eastAsiaTheme="minorHAnsi" w:hAnsiTheme="minorHAnsi" w:cstheme="minorBidi"/>
          <w:snapToGrid/>
          <w:sz w:val="24"/>
          <w:szCs w:val="22"/>
        </w:rPr>
        <w:t>DUSC report simply presented what the assumed treatment compliance for fingolimod was in the teriflunomide submission</w:t>
      </w:r>
      <w:r>
        <w:rPr>
          <w:rFonts w:asciiTheme="minorHAnsi" w:eastAsiaTheme="minorHAnsi" w:hAnsiTheme="minorHAnsi" w:cstheme="minorBidi"/>
          <w:snapToGrid/>
          <w:sz w:val="24"/>
          <w:szCs w:val="22"/>
        </w:rPr>
        <w:t xml:space="preserve"> seeking PBS listing for the treatment of MS</w:t>
      </w:r>
      <w:r w:rsidRPr="000D0237">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and that </w:t>
      </w:r>
      <w:r w:rsidRPr="000D0237">
        <w:rPr>
          <w:rFonts w:asciiTheme="minorHAnsi" w:eastAsiaTheme="minorHAnsi" w:hAnsiTheme="minorHAnsi" w:cstheme="minorBidi"/>
          <w:snapToGrid/>
          <w:sz w:val="24"/>
          <w:szCs w:val="22"/>
        </w:rPr>
        <w:t xml:space="preserve">this figure </w:t>
      </w:r>
      <w:r>
        <w:rPr>
          <w:rFonts w:asciiTheme="minorHAnsi" w:eastAsiaTheme="minorHAnsi" w:hAnsiTheme="minorHAnsi" w:cstheme="minorBidi"/>
          <w:snapToGrid/>
          <w:sz w:val="24"/>
          <w:szCs w:val="22"/>
        </w:rPr>
        <w:t xml:space="preserve">(91.20%) </w:t>
      </w:r>
      <w:r w:rsidRPr="000D0237">
        <w:rPr>
          <w:rFonts w:asciiTheme="minorHAnsi" w:eastAsiaTheme="minorHAnsi" w:hAnsiTheme="minorHAnsi" w:cstheme="minorBidi"/>
          <w:snapToGrid/>
          <w:sz w:val="24"/>
          <w:szCs w:val="22"/>
        </w:rPr>
        <w:t>was not based on any analysis conducted by DUSC to determine fingolimod persistence rates</w:t>
      </w:r>
      <w:r>
        <w:rPr>
          <w:rFonts w:asciiTheme="minorHAnsi" w:eastAsiaTheme="minorHAnsi" w:hAnsiTheme="minorHAnsi" w:cstheme="minorBidi"/>
          <w:snapToGrid/>
          <w:sz w:val="24"/>
          <w:szCs w:val="22"/>
        </w:rPr>
        <w:t xml:space="preserve">. </w:t>
      </w:r>
    </w:p>
    <w:p w:rsidR="00564500" w:rsidRPr="0060715A" w:rsidRDefault="00564500" w:rsidP="00053440">
      <w:pPr>
        <w:pStyle w:val="Heading2"/>
      </w:pPr>
      <w:r w:rsidRPr="0060715A">
        <w:t xml:space="preserve">Special pricing arrangement </w:t>
      </w:r>
    </w:p>
    <w:p w:rsidR="00764C9C" w:rsidRPr="000042AF" w:rsidRDefault="00094DAC" w:rsidP="00D775F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242B9B">
        <w:rPr>
          <w:rFonts w:asciiTheme="minorHAnsi" w:eastAsiaTheme="minorHAnsi" w:hAnsiTheme="minorHAnsi" w:cstheme="minorBidi"/>
          <w:snapToGrid/>
          <w:sz w:val="24"/>
          <w:szCs w:val="22"/>
        </w:rPr>
        <w:t xml:space="preserve">The minor resubmission proposed a rebate of </w:t>
      </w:r>
      <w:r w:rsidR="00AA2608">
        <w:rPr>
          <w:rFonts w:asciiTheme="minorHAnsi" w:eastAsiaTheme="minorHAnsi" w:hAnsiTheme="minorHAnsi" w:cstheme="minorBidi"/>
          <w:noProof/>
          <w:snapToGrid/>
          <w:color w:val="000000"/>
          <w:sz w:val="24"/>
          <w:szCs w:val="22"/>
          <w:highlight w:val="black"/>
        </w:rPr>
        <w:t>'''''''''</w:t>
      </w:r>
      <w:r w:rsidRPr="00242B9B">
        <w:rPr>
          <w:rFonts w:asciiTheme="minorHAnsi" w:eastAsiaTheme="minorHAnsi" w:hAnsiTheme="minorHAnsi" w:cstheme="minorBidi"/>
          <w:snapToGrid/>
          <w:sz w:val="24"/>
          <w:szCs w:val="22"/>
        </w:rPr>
        <w:t>% to the co</w:t>
      </w:r>
      <w:r w:rsidRPr="000042AF">
        <w:rPr>
          <w:rFonts w:asciiTheme="minorHAnsi" w:eastAsiaTheme="minorHAnsi" w:hAnsiTheme="minorHAnsi" w:cstheme="minorBidi"/>
          <w:snapToGrid/>
          <w:sz w:val="24"/>
          <w:szCs w:val="22"/>
        </w:rPr>
        <w:t>st of cladribine to</w:t>
      </w:r>
      <w:r w:rsidR="00764C9C" w:rsidRPr="000042AF">
        <w:rPr>
          <w:rFonts w:asciiTheme="minorHAnsi" w:eastAsiaTheme="minorHAnsi" w:hAnsiTheme="minorHAnsi" w:cstheme="minorBidi"/>
          <w:snapToGrid/>
          <w:sz w:val="24"/>
          <w:szCs w:val="22"/>
        </w:rPr>
        <w:t xml:space="preserve"> account for a lower compliance</w:t>
      </w:r>
      <w:r w:rsidRPr="000042AF">
        <w:rPr>
          <w:rFonts w:asciiTheme="minorHAnsi" w:eastAsiaTheme="minorHAnsi" w:hAnsiTheme="minorHAnsi" w:cstheme="minorBidi"/>
          <w:snapToGrid/>
          <w:sz w:val="24"/>
          <w:szCs w:val="22"/>
        </w:rPr>
        <w:t xml:space="preserve"> rate for fingolimod</w:t>
      </w:r>
      <w:r w:rsidR="00764C9C" w:rsidRPr="000042AF">
        <w:rPr>
          <w:rFonts w:asciiTheme="minorHAnsi" w:eastAsiaTheme="minorHAnsi" w:hAnsiTheme="minorHAnsi" w:cstheme="minorBidi"/>
          <w:snapToGrid/>
          <w:sz w:val="24"/>
          <w:szCs w:val="22"/>
        </w:rPr>
        <w:t xml:space="preserve">. </w:t>
      </w:r>
      <w:r w:rsidR="000C29E0">
        <w:rPr>
          <w:rFonts w:asciiTheme="minorHAnsi" w:eastAsiaTheme="minorHAnsi" w:hAnsiTheme="minorHAnsi" w:cstheme="minorBidi"/>
          <w:snapToGrid/>
          <w:sz w:val="24"/>
          <w:szCs w:val="22"/>
        </w:rPr>
        <w:t>T</w:t>
      </w:r>
      <w:r w:rsidR="00764C9C" w:rsidRPr="00E86579">
        <w:rPr>
          <w:rFonts w:asciiTheme="minorHAnsi" w:eastAsiaTheme="minorHAnsi" w:hAnsiTheme="minorHAnsi" w:cstheme="minorBidi"/>
          <w:snapToGrid/>
          <w:sz w:val="24"/>
          <w:szCs w:val="22"/>
        </w:rPr>
        <w:t xml:space="preserve">he </w:t>
      </w:r>
      <w:r w:rsidR="0023652C" w:rsidRPr="00E86579">
        <w:rPr>
          <w:rFonts w:asciiTheme="minorHAnsi" w:eastAsiaTheme="minorHAnsi" w:hAnsiTheme="minorHAnsi" w:cstheme="minorBidi"/>
          <w:snapToGrid/>
          <w:sz w:val="24"/>
          <w:szCs w:val="22"/>
        </w:rPr>
        <w:t xml:space="preserve">PBAC </w:t>
      </w:r>
      <w:r w:rsidR="000C29E0">
        <w:rPr>
          <w:rFonts w:asciiTheme="minorHAnsi" w:eastAsiaTheme="minorHAnsi" w:hAnsiTheme="minorHAnsi" w:cstheme="minorBidi"/>
          <w:snapToGrid/>
          <w:sz w:val="24"/>
          <w:szCs w:val="22"/>
        </w:rPr>
        <w:t>recalled that in November 2017, it</w:t>
      </w:r>
      <w:r w:rsidR="0023652C" w:rsidRPr="00E86579">
        <w:rPr>
          <w:rFonts w:asciiTheme="minorHAnsi" w:eastAsiaTheme="minorHAnsi" w:hAnsiTheme="minorHAnsi" w:cstheme="minorBidi"/>
          <w:snapToGrid/>
          <w:sz w:val="24"/>
          <w:szCs w:val="22"/>
        </w:rPr>
        <w:t xml:space="preserve"> did not accept </w:t>
      </w:r>
      <w:r w:rsidR="00764C9C" w:rsidRPr="00E86579">
        <w:rPr>
          <w:rFonts w:asciiTheme="minorHAnsi" w:eastAsiaTheme="minorHAnsi" w:hAnsiTheme="minorHAnsi" w:cstheme="minorBidi"/>
          <w:snapToGrid/>
          <w:sz w:val="24"/>
          <w:szCs w:val="22"/>
        </w:rPr>
        <w:t xml:space="preserve">the clinical claim that cladribine is </w:t>
      </w:r>
      <w:r w:rsidR="00D775FC" w:rsidRPr="00E86579">
        <w:rPr>
          <w:rFonts w:asciiTheme="minorHAnsi" w:eastAsiaTheme="minorHAnsi" w:hAnsiTheme="minorHAnsi" w:cstheme="minorBidi"/>
          <w:snapToGrid/>
          <w:sz w:val="24"/>
          <w:szCs w:val="22"/>
        </w:rPr>
        <w:t xml:space="preserve">of </w:t>
      </w:r>
      <w:r w:rsidR="00764C9C" w:rsidRPr="00E86579">
        <w:rPr>
          <w:rFonts w:asciiTheme="minorHAnsi" w:eastAsiaTheme="minorHAnsi" w:hAnsiTheme="minorHAnsi" w:cstheme="minorBidi"/>
          <w:snapToGrid/>
          <w:sz w:val="24"/>
          <w:szCs w:val="22"/>
        </w:rPr>
        <w:t>non-inferior</w:t>
      </w:r>
      <w:r w:rsidR="00D775FC" w:rsidRPr="00E86579">
        <w:rPr>
          <w:rFonts w:asciiTheme="minorHAnsi" w:eastAsiaTheme="minorHAnsi" w:hAnsiTheme="minorHAnsi" w:cstheme="minorBidi"/>
          <w:snapToGrid/>
          <w:sz w:val="24"/>
          <w:szCs w:val="22"/>
        </w:rPr>
        <w:t xml:space="preserve"> efficacy</w:t>
      </w:r>
      <w:r w:rsidR="00764C9C" w:rsidRPr="00E86579">
        <w:rPr>
          <w:rFonts w:asciiTheme="minorHAnsi" w:eastAsiaTheme="minorHAnsi" w:hAnsiTheme="minorHAnsi" w:cstheme="minorBidi"/>
          <w:snapToGrid/>
          <w:sz w:val="24"/>
          <w:szCs w:val="22"/>
        </w:rPr>
        <w:t xml:space="preserve"> to fingolimod</w:t>
      </w:r>
      <w:r w:rsidR="00D775FC" w:rsidRPr="00E86579">
        <w:rPr>
          <w:rFonts w:asciiTheme="minorHAnsi" w:eastAsiaTheme="minorHAnsi" w:hAnsiTheme="minorHAnsi" w:cstheme="minorBidi"/>
          <w:snapToGrid/>
          <w:sz w:val="24"/>
          <w:szCs w:val="22"/>
        </w:rPr>
        <w:t xml:space="preserve"> over four years</w:t>
      </w:r>
      <w:r w:rsidR="000C29E0">
        <w:rPr>
          <w:rFonts w:asciiTheme="minorHAnsi" w:eastAsiaTheme="minorHAnsi" w:hAnsiTheme="minorHAnsi" w:cstheme="minorBidi"/>
          <w:snapToGrid/>
          <w:sz w:val="24"/>
          <w:szCs w:val="22"/>
        </w:rPr>
        <w:t>. Therefore, the Committee</w:t>
      </w:r>
      <w:r w:rsidR="00D775FC" w:rsidRPr="00E86579">
        <w:rPr>
          <w:rFonts w:asciiTheme="minorHAnsi" w:eastAsiaTheme="minorHAnsi" w:hAnsiTheme="minorHAnsi" w:cstheme="minorBidi"/>
          <w:snapToGrid/>
          <w:sz w:val="24"/>
          <w:szCs w:val="22"/>
        </w:rPr>
        <w:t xml:space="preserve"> consider</w:t>
      </w:r>
      <w:r w:rsidR="000C29E0">
        <w:rPr>
          <w:rFonts w:asciiTheme="minorHAnsi" w:eastAsiaTheme="minorHAnsi" w:hAnsiTheme="minorHAnsi" w:cstheme="minorBidi"/>
          <w:snapToGrid/>
          <w:sz w:val="24"/>
          <w:szCs w:val="22"/>
        </w:rPr>
        <w:t>ed that</w:t>
      </w:r>
      <w:r w:rsidR="00D775FC" w:rsidRPr="00E86579">
        <w:rPr>
          <w:rFonts w:asciiTheme="minorHAnsi" w:eastAsiaTheme="minorHAnsi" w:hAnsiTheme="minorHAnsi" w:cstheme="minorBidi"/>
          <w:snapToGrid/>
          <w:sz w:val="24"/>
          <w:szCs w:val="22"/>
        </w:rPr>
        <w:t xml:space="preserve"> the proposed rebate </w:t>
      </w:r>
      <w:r w:rsidR="000C29E0">
        <w:rPr>
          <w:rFonts w:asciiTheme="minorHAnsi" w:eastAsiaTheme="minorHAnsi" w:hAnsiTheme="minorHAnsi" w:cstheme="minorBidi"/>
          <w:snapToGrid/>
          <w:sz w:val="24"/>
          <w:szCs w:val="22"/>
        </w:rPr>
        <w:t xml:space="preserve">did not </w:t>
      </w:r>
      <w:r w:rsidR="00D775FC" w:rsidRPr="00E86579">
        <w:rPr>
          <w:rFonts w:asciiTheme="minorHAnsi" w:eastAsiaTheme="minorHAnsi" w:hAnsiTheme="minorHAnsi" w:cstheme="minorBidi"/>
          <w:snapToGrid/>
          <w:sz w:val="24"/>
          <w:szCs w:val="22"/>
        </w:rPr>
        <w:t>suf</w:t>
      </w:r>
      <w:r w:rsidR="000C29E0">
        <w:rPr>
          <w:rFonts w:asciiTheme="minorHAnsi" w:eastAsiaTheme="minorHAnsi" w:hAnsiTheme="minorHAnsi" w:cstheme="minorBidi"/>
          <w:snapToGrid/>
          <w:sz w:val="24"/>
          <w:szCs w:val="22"/>
        </w:rPr>
        <w:t>ficiently address</w:t>
      </w:r>
      <w:r w:rsidR="0023652C" w:rsidRPr="00E86579">
        <w:rPr>
          <w:rFonts w:asciiTheme="minorHAnsi" w:eastAsiaTheme="minorHAnsi" w:hAnsiTheme="minorHAnsi" w:cstheme="minorBidi"/>
          <w:snapToGrid/>
          <w:sz w:val="24"/>
          <w:szCs w:val="22"/>
        </w:rPr>
        <w:t xml:space="preserve"> its concern on this issue</w:t>
      </w:r>
      <w:r w:rsidR="00D775FC" w:rsidRPr="00E86579">
        <w:rPr>
          <w:rFonts w:asciiTheme="minorHAnsi" w:eastAsiaTheme="minorHAnsi" w:hAnsiTheme="minorHAnsi" w:cstheme="minorBidi"/>
          <w:snapToGrid/>
          <w:sz w:val="24"/>
          <w:szCs w:val="22"/>
        </w:rPr>
        <w:t>.</w:t>
      </w:r>
      <w:r w:rsidR="000C29E0">
        <w:rPr>
          <w:rFonts w:asciiTheme="minorHAnsi" w:eastAsiaTheme="minorHAnsi" w:hAnsiTheme="minorHAnsi" w:cstheme="minorBidi"/>
          <w:snapToGrid/>
          <w:sz w:val="24"/>
          <w:szCs w:val="22"/>
        </w:rPr>
        <w:t xml:space="preserve"> The PBAC also noted that</w:t>
      </w:r>
      <w:r w:rsidR="0023652C" w:rsidRPr="00E86579">
        <w:rPr>
          <w:rFonts w:asciiTheme="minorHAnsi" w:eastAsiaTheme="minorHAnsi" w:hAnsiTheme="minorHAnsi" w:cstheme="minorBidi"/>
          <w:snapToGrid/>
          <w:sz w:val="24"/>
          <w:szCs w:val="22"/>
        </w:rPr>
        <w:t>, as reflected by the Prospection analysis</w:t>
      </w:r>
      <w:r w:rsidR="001E6690">
        <w:rPr>
          <w:rFonts w:asciiTheme="minorHAnsi" w:eastAsiaTheme="minorHAnsi" w:hAnsiTheme="minorHAnsi" w:cstheme="minorBidi"/>
          <w:snapToGrid/>
          <w:sz w:val="24"/>
          <w:szCs w:val="22"/>
        </w:rPr>
        <w:t xml:space="preserve"> above</w:t>
      </w:r>
      <w:r w:rsidR="0023652C" w:rsidRPr="00E86579">
        <w:rPr>
          <w:rFonts w:asciiTheme="minorHAnsi" w:eastAsiaTheme="minorHAnsi" w:hAnsiTheme="minorHAnsi" w:cstheme="minorBidi"/>
          <w:snapToGrid/>
          <w:sz w:val="24"/>
          <w:szCs w:val="22"/>
        </w:rPr>
        <w:t>, compliance to fingolimod in the PBS setting is likely to be lower than that observ</w:t>
      </w:r>
      <w:r w:rsidR="00A02052">
        <w:rPr>
          <w:rFonts w:asciiTheme="minorHAnsi" w:eastAsiaTheme="minorHAnsi" w:hAnsiTheme="minorHAnsi" w:cstheme="minorBidi"/>
          <w:snapToGrid/>
          <w:sz w:val="24"/>
          <w:szCs w:val="22"/>
        </w:rPr>
        <w:t>ed in a clinical trial setting.</w:t>
      </w:r>
    </w:p>
    <w:p w:rsidR="0060715A" w:rsidRPr="0060715A" w:rsidRDefault="00D775FC" w:rsidP="00D139F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042AF">
        <w:rPr>
          <w:rFonts w:asciiTheme="minorHAnsi" w:eastAsiaTheme="minorHAnsi" w:hAnsiTheme="minorHAnsi" w:cstheme="minorBidi"/>
          <w:snapToGrid/>
          <w:sz w:val="24"/>
          <w:szCs w:val="22"/>
        </w:rPr>
        <w:t>The minor resubmission also proposed a second rebate, of</w:t>
      </w:r>
      <w:r w:rsidR="00094DAC" w:rsidRPr="000042AF">
        <w:rPr>
          <w:rFonts w:asciiTheme="minorHAnsi" w:eastAsiaTheme="minorHAnsi" w:hAnsiTheme="minorHAnsi" w:cstheme="minorBidi"/>
          <w:snapToGrid/>
          <w:sz w:val="24"/>
          <w:szCs w:val="22"/>
        </w:rPr>
        <w:t xml:space="preserve"> </w:t>
      </w:r>
      <w:r w:rsidR="00AA2608">
        <w:rPr>
          <w:rFonts w:asciiTheme="minorHAnsi" w:eastAsiaTheme="minorHAnsi" w:hAnsiTheme="minorHAnsi" w:cstheme="minorBidi"/>
          <w:noProof/>
          <w:snapToGrid/>
          <w:color w:val="000000"/>
          <w:sz w:val="24"/>
          <w:szCs w:val="22"/>
          <w:highlight w:val="black"/>
        </w:rPr>
        <w:t>''''''''</w:t>
      </w:r>
      <w:r w:rsidR="00094DAC" w:rsidRPr="000042AF">
        <w:rPr>
          <w:rFonts w:asciiTheme="minorHAnsi" w:eastAsiaTheme="minorHAnsi" w:hAnsiTheme="minorHAnsi" w:cstheme="minorBidi"/>
          <w:snapToGrid/>
          <w:sz w:val="24"/>
          <w:szCs w:val="22"/>
        </w:rPr>
        <w:t>%</w:t>
      </w:r>
      <w:r w:rsidRPr="000042AF">
        <w:rPr>
          <w:rFonts w:asciiTheme="minorHAnsi" w:eastAsiaTheme="minorHAnsi" w:hAnsiTheme="minorHAnsi" w:cstheme="minorBidi"/>
          <w:snapToGrid/>
          <w:sz w:val="24"/>
          <w:szCs w:val="22"/>
        </w:rPr>
        <w:t xml:space="preserve"> to the cost of cladribine,</w:t>
      </w:r>
      <w:r w:rsidR="00094DAC" w:rsidRPr="000042AF">
        <w:rPr>
          <w:rFonts w:asciiTheme="minorHAnsi" w:eastAsiaTheme="minorHAnsi" w:hAnsiTheme="minorHAnsi" w:cstheme="minorBidi"/>
          <w:snapToGrid/>
          <w:sz w:val="24"/>
          <w:szCs w:val="22"/>
        </w:rPr>
        <w:t xml:space="preserve"> to account for any treatment switching that may occur for patients who experience disease relapse prior to the four-year period with cladribine treatment.</w:t>
      </w:r>
      <w:r w:rsidRPr="000042AF">
        <w:rPr>
          <w:rFonts w:asciiTheme="minorHAnsi" w:eastAsiaTheme="minorHAnsi" w:hAnsiTheme="minorHAnsi" w:cstheme="minorBidi"/>
          <w:snapToGrid/>
          <w:sz w:val="24"/>
          <w:szCs w:val="22"/>
        </w:rPr>
        <w:t xml:space="preserve"> </w:t>
      </w:r>
      <w:r w:rsidR="00204FCF" w:rsidRPr="000042AF">
        <w:rPr>
          <w:rFonts w:asciiTheme="minorHAnsi" w:eastAsiaTheme="minorHAnsi" w:hAnsiTheme="minorHAnsi" w:cstheme="minorBidi"/>
          <w:snapToGrid/>
          <w:sz w:val="24"/>
          <w:szCs w:val="22"/>
        </w:rPr>
        <w:t>The minor resubmission stated that, “the rebate uses time to first relapse in CLARITY and CLARITY EXTENSION as an appropriate proxy for time to treatment switch. The rebate is based on the price of cladribine tablets. It assumes a simple linear increase in the proportion of patients who experience a relapse, so that the</w:t>
      </w:r>
      <w:r w:rsidR="00204FCF" w:rsidRPr="00204FCF">
        <w:rPr>
          <w:rFonts w:asciiTheme="minorHAnsi" w:eastAsiaTheme="minorHAnsi" w:hAnsiTheme="minorHAnsi" w:cstheme="minorBidi"/>
          <w:snapToGrid/>
          <w:sz w:val="24"/>
          <w:szCs w:val="22"/>
        </w:rPr>
        <w:t xml:space="preserve"> total proportion of patients who switch to another therapy by the end of Year 4 (</w:t>
      </w:r>
      <w:r w:rsidR="00AA2608">
        <w:rPr>
          <w:rFonts w:asciiTheme="minorHAnsi" w:eastAsiaTheme="minorHAnsi" w:hAnsiTheme="minorHAnsi" w:cstheme="minorBidi"/>
          <w:noProof/>
          <w:snapToGrid/>
          <w:color w:val="000000"/>
          <w:sz w:val="24"/>
          <w:szCs w:val="22"/>
          <w:highlight w:val="black"/>
        </w:rPr>
        <w:t>''''''''</w:t>
      </w:r>
      <w:r w:rsidR="00204FCF" w:rsidRPr="00204FCF">
        <w:rPr>
          <w:rFonts w:asciiTheme="minorHAnsi" w:eastAsiaTheme="minorHAnsi" w:hAnsiTheme="minorHAnsi" w:cstheme="minorBidi"/>
          <w:snapToGrid/>
          <w:sz w:val="24"/>
          <w:szCs w:val="22"/>
        </w:rPr>
        <w:t>%) is divided by four to give the annualised rate. It is assumed that patients relapse, and therefore switch to another therapy, at the mid-point of each year. The analysis takes into account the fact that patients who relapse in Year 1 have only incurred the cost of treatment courses in Year 1. Patients who relapse in subsequent years have already incurred the full cost of cladribine treatment courses in Years 1 and 2</w:t>
      </w:r>
      <w:r w:rsidR="00204FCF">
        <w:rPr>
          <w:rFonts w:asciiTheme="minorHAnsi" w:eastAsiaTheme="minorHAnsi" w:hAnsiTheme="minorHAnsi" w:cstheme="minorBidi"/>
          <w:snapToGrid/>
          <w:sz w:val="24"/>
          <w:szCs w:val="22"/>
        </w:rPr>
        <w:t>”. The calculations are presented below.</w:t>
      </w:r>
    </w:p>
    <w:p w:rsidR="001F1C2B" w:rsidRDefault="001F1C2B" w:rsidP="00A02052">
      <w:pPr>
        <w:pStyle w:val="TableHeading0"/>
      </w:pPr>
      <w:r>
        <w:t>Table 3: Summary of the derivation for ‘Rebate 2’</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152"/>
        <w:gridCol w:w="1186"/>
        <w:gridCol w:w="1186"/>
        <w:gridCol w:w="1186"/>
        <w:gridCol w:w="1186"/>
        <w:gridCol w:w="1186"/>
      </w:tblGrid>
      <w:tr w:rsidR="00CD5DF3" w:rsidRPr="001F1C2B" w:rsidTr="00D139FF">
        <w:tc>
          <w:tcPr>
            <w:tcW w:w="1735" w:type="pct"/>
          </w:tcPr>
          <w:p w:rsidR="00CD5DF3" w:rsidRPr="00D139FF" w:rsidRDefault="00CD5DF3" w:rsidP="00A02052">
            <w:pPr>
              <w:keepNext/>
              <w:rPr>
                <w:rFonts w:ascii="Arial Narrow" w:eastAsiaTheme="minorHAnsi" w:hAnsi="Arial Narrow" w:cstheme="minorBidi"/>
                <w:sz w:val="20"/>
                <w:szCs w:val="20"/>
              </w:rPr>
            </w:pP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b/>
                <w:bCs/>
                <w:color w:val="000000"/>
                <w:sz w:val="20"/>
                <w:szCs w:val="20"/>
              </w:rPr>
              <w:t xml:space="preserve">Time of switch </w:t>
            </w:r>
            <w:r w:rsidRPr="00D139FF">
              <w:rPr>
                <w:rFonts w:ascii="Arial Narrow" w:hAnsi="Arial Narrow"/>
                <w:b/>
                <w:bCs/>
                <w:color w:val="000000"/>
                <w:sz w:val="20"/>
                <w:szCs w:val="20"/>
              </w:rPr>
              <w:br/>
              <w:t>(years)</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b/>
                <w:bCs/>
                <w:color w:val="000000"/>
                <w:sz w:val="20"/>
                <w:szCs w:val="20"/>
              </w:rPr>
              <w:t>Duration with overlapping costs (years)</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b/>
                <w:bCs/>
                <w:color w:val="000000"/>
                <w:sz w:val="20"/>
                <w:szCs w:val="20"/>
              </w:rPr>
              <w:t>Rebate as a % of 4-year cost</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b/>
                <w:bCs/>
                <w:color w:val="000000"/>
                <w:sz w:val="20"/>
                <w:szCs w:val="20"/>
              </w:rPr>
              <w:t>Proportion of patients switching during year</w:t>
            </w:r>
            <w:r w:rsidRPr="001F1C2B">
              <w:rPr>
                <w:rFonts w:ascii="Arial Narrow" w:hAnsi="Arial Narrow"/>
                <w:b/>
                <w:bCs/>
                <w:color w:val="000000"/>
                <w:sz w:val="20"/>
                <w:szCs w:val="20"/>
                <w:vertAlign w:val="superscript"/>
              </w:rPr>
              <w:t>b</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b/>
                <w:bCs/>
                <w:color w:val="000000"/>
                <w:sz w:val="20"/>
                <w:szCs w:val="20"/>
              </w:rPr>
              <w:t>Weighted % of 4-year cost overpaid</w:t>
            </w:r>
          </w:p>
        </w:tc>
      </w:tr>
      <w:tr w:rsidR="00CD5DF3" w:rsidRPr="001F1C2B" w:rsidTr="00D139FF">
        <w:tc>
          <w:tcPr>
            <w:tcW w:w="1735" w:type="pct"/>
          </w:tcPr>
          <w:p w:rsidR="00CD5DF3" w:rsidRPr="001F1C2B" w:rsidRDefault="00CD5DF3" w:rsidP="00A02052">
            <w:pPr>
              <w:keepNext/>
              <w:rPr>
                <w:rFonts w:ascii="Arial Narrow" w:eastAsiaTheme="minorHAnsi" w:hAnsi="Arial Narrow" w:cstheme="minorBidi"/>
                <w:sz w:val="20"/>
                <w:szCs w:val="20"/>
              </w:rPr>
            </w:pPr>
          </w:p>
        </w:tc>
        <w:tc>
          <w:tcPr>
            <w:tcW w:w="653" w:type="pct"/>
          </w:tcPr>
          <w:p w:rsidR="00CD5DF3" w:rsidRPr="001F1C2B" w:rsidRDefault="00CD5DF3" w:rsidP="00A02052">
            <w:pPr>
              <w:keepNext/>
              <w:jc w:val="center"/>
              <w:rPr>
                <w:rFonts w:ascii="Arial Narrow" w:hAnsi="Arial Narrow"/>
                <w:b/>
                <w:bCs/>
                <w:color w:val="000000"/>
                <w:sz w:val="20"/>
                <w:szCs w:val="20"/>
              </w:rPr>
            </w:pPr>
            <w:r w:rsidRPr="001F1C2B">
              <w:rPr>
                <w:rFonts w:ascii="Arial Narrow" w:hAnsi="Arial Narrow"/>
                <w:b/>
                <w:bCs/>
                <w:color w:val="000000"/>
                <w:sz w:val="20"/>
                <w:szCs w:val="20"/>
              </w:rPr>
              <w:t>A</w:t>
            </w:r>
          </w:p>
        </w:tc>
        <w:tc>
          <w:tcPr>
            <w:tcW w:w="653" w:type="pct"/>
          </w:tcPr>
          <w:p w:rsidR="00CD5DF3" w:rsidRPr="001F1C2B" w:rsidRDefault="00CD5DF3" w:rsidP="00A02052">
            <w:pPr>
              <w:keepNext/>
              <w:jc w:val="center"/>
              <w:rPr>
                <w:rFonts w:ascii="Arial Narrow" w:hAnsi="Arial Narrow"/>
                <w:b/>
                <w:bCs/>
                <w:color w:val="000000"/>
                <w:sz w:val="20"/>
                <w:szCs w:val="20"/>
              </w:rPr>
            </w:pPr>
            <w:r w:rsidRPr="001F1C2B">
              <w:rPr>
                <w:rFonts w:ascii="Arial Narrow" w:hAnsi="Arial Narrow"/>
                <w:b/>
                <w:bCs/>
                <w:color w:val="000000"/>
                <w:sz w:val="20"/>
                <w:szCs w:val="20"/>
              </w:rPr>
              <w:t>B</w:t>
            </w:r>
          </w:p>
        </w:tc>
        <w:tc>
          <w:tcPr>
            <w:tcW w:w="653" w:type="pct"/>
          </w:tcPr>
          <w:p w:rsidR="00CD5DF3" w:rsidRPr="001F1C2B" w:rsidRDefault="00CD5DF3" w:rsidP="00A02052">
            <w:pPr>
              <w:keepNext/>
              <w:jc w:val="center"/>
              <w:rPr>
                <w:rFonts w:ascii="Arial Narrow" w:hAnsi="Arial Narrow"/>
                <w:b/>
                <w:bCs/>
                <w:color w:val="000000"/>
                <w:sz w:val="20"/>
                <w:szCs w:val="20"/>
              </w:rPr>
            </w:pPr>
            <w:r w:rsidRPr="001F1C2B">
              <w:rPr>
                <w:rFonts w:ascii="Arial Narrow" w:hAnsi="Arial Narrow"/>
                <w:b/>
                <w:bCs/>
                <w:color w:val="000000"/>
                <w:sz w:val="20"/>
                <w:szCs w:val="20"/>
              </w:rPr>
              <w:t>C</w:t>
            </w:r>
          </w:p>
        </w:tc>
        <w:tc>
          <w:tcPr>
            <w:tcW w:w="653" w:type="pct"/>
          </w:tcPr>
          <w:p w:rsidR="00CD5DF3" w:rsidRPr="001F1C2B" w:rsidRDefault="00CD5DF3" w:rsidP="00A02052">
            <w:pPr>
              <w:keepNext/>
              <w:jc w:val="center"/>
              <w:rPr>
                <w:rFonts w:ascii="Arial Narrow" w:hAnsi="Arial Narrow"/>
                <w:b/>
                <w:bCs/>
                <w:color w:val="000000"/>
                <w:sz w:val="20"/>
                <w:szCs w:val="20"/>
              </w:rPr>
            </w:pPr>
            <w:r w:rsidRPr="001F1C2B">
              <w:rPr>
                <w:rFonts w:ascii="Arial Narrow" w:hAnsi="Arial Narrow"/>
                <w:b/>
                <w:bCs/>
                <w:color w:val="000000"/>
                <w:sz w:val="20"/>
                <w:szCs w:val="20"/>
              </w:rPr>
              <w:t>D</w:t>
            </w:r>
          </w:p>
        </w:tc>
        <w:tc>
          <w:tcPr>
            <w:tcW w:w="653" w:type="pct"/>
          </w:tcPr>
          <w:p w:rsidR="00CD5DF3" w:rsidRPr="001F1C2B" w:rsidRDefault="00CD5DF3" w:rsidP="00A02052">
            <w:pPr>
              <w:keepNext/>
              <w:jc w:val="center"/>
              <w:rPr>
                <w:rFonts w:ascii="Arial Narrow" w:hAnsi="Arial Narrow"/>
                <w:b/>
                <w:bCs/>
                <w:color w:val="000000"/>
                <w:sz w:val="20"/>
                <w:szCs w:val="20"/>
              </w:rPr>
            </w:pPr>
            <w:r w:rsidRPr="001F1C2B">
              <w:rPr>
                <w:rFonts w:ascii="Arial Narrow" w:hAnsi="Arial Narrow"/>
                <w:b/>
                <w:bCs/>
                <w:color w:val="000000"/>
                <w:sz w:val="20"/>
                <w:szCs w:val="20"/>
              </w:rPr>
              <w:t>C x D</w:t>
            </w:r>
          </w:p>
        </w:tc>
      </w:tr>
      <w:tr w:rsidR="00CD5DF3" w:rsidRPr="001F1C2B" w:rsidTr="00D139FF">
        <w:tc>
          <w:tcPr>
            <w:tcW w:w="1735" w:type="pct"/>
          </w:tcPr>
          <w:p w:rsidR="00CD5DF3" w:rsidRPr="00D139FF" w:rsidRDefault="00CD5DF3" w:rsidP="00A02052">
            <w:pPr>
              <w:keepNext/>
              <w:rPr>
                <w:rFonts w:ascii="Arial Narrow" w:eastAsiaTheme="minorHAnsi" w:hAnsi="Arial Narrow" w:cstheme="minorBidi"/>
                <w:sz w:val="20"/>
                <w:szCs w:val="20"/>
              </w:rPr>
            </w:pPr>
            <w:r w:rsidRPr="00D139FF">
              <w:rPr>
                <w:rFonts w:ascii="Arial Narrow" w:hAnsi="Arial Narrow"/>
                <w:b/>
                <w:bCs/>
                <w:color w:val="000000"/>
                <w:sz w:val="20"/>
                <w:szCs w:val="20"/>
              </w:rPr>
              <w:t>Relapse in Yr 1 (cost of treatment courses in Year 1 only have been paid)</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color w:val="000000"/>
                <w:sz w:val="20"/>
                <w:szCs w:val="20"/>
              </w:rPr>
              <w:t>0.5</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color w:val="000000"/>
                <w:sz w:val="20"/>
                <w:szCs w:val="20"/>
              </w:rPr>
              <w:t>1.5</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vertAlign w:val="superscript"/>
              </w:rPr>
            </w:pPr>
            <w:r>
              <w:rPr>
                <w:rFonts w:ascii="Arial Narrow" w:hAnsi="Arial Narrow"/>
                <w:noProof/>
                <w:color w:val="000000"/>
                <w:sz w:val="20"/>
                <w:szCs w:val="20"/>
                <w:highlight w:val="black"/>
              </w:rPr>
              <w:t>'''''''''''''''''''''''</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rPr>
            </w:pPr>
            <w:r>
              <w:rPr>
                <w:rFonts w:ascii="Arial Narrow" w:hAnsi="Arial Narrow"/>
                <w:noProof/>
                <w:color w:val="000000"/>
                <w:sz w:val="20"/>
                <w:szCs w:val="20"/>
                <w:highlight w:val="black"/>
              </w:rPr>
              <w:t>''''''''''''''</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rPr>
            </w:pPr>
            <w:r>
              <w:rPr>
                <w:rFonts w:ascii="Arial Narrow" w:hAnsi="Arial Narrow"/>
                <w:noProof/>
                <w:color w:val="000000"/>
                <w:sz w:val="20"/>
                <w:szCs w:val="20"/>
                <w:highlight w:val="black"/>
              </w:rPr>
              <w:t>''''''''''''''''</w:t>
            </w:r>
          </w:p>
        </w:tc>
      </w:tr>
      <w:tr w:rsidR="00CD5DF3" w:rsidRPr="001F1C2B" w:rsidTr="00D139FF">
        <w:tc>
          <w:tcPr>
            <w:tcW w:w="1735" w:type="pct"/>
          </w:tcPr>
          <w:p w:rsidR="00CD5DF3" w:rsidRPr="00D139FF" w:rsidRDefault="00CD5DF3" w:rsidP="00A02052">
            <w:pPr>
              <w:keepNext/>
              <w:rPr>
                <w:rFonts w:ascii="Arial Narrow" w:eastAsiaTheme="minorHAnsi" w:hAnsi="Arial Narrow" w:cstheme="minorBidi"/>
                <w:sz w:val="20"/>
                <w:szCs w:val="20"/>
              </w:rPr>
            </w:pPr>
            <w:r w:rsidRPr="00D139FF">
              <w:rPr>
                <w:rFonts w:ascii="Arial Narrow" w:hAnsi="Arial Narrow"/>
                <w:b/>
                <w:bCs/>
                <w:color w:val="000000"/>
                <w:sz w:val="20"/>
                <w:szCs w:val="20"/>
              </w:rPr>
              <w:t>Relapse in Yr 2</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color w:val="000000"/>
                <w:sz w:val="20"/>
                <w:szCs w:val="20"/>
              </w:rPr>
              <w:t>1.5</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color w:val="000000"/>
                <w:sz w:val="20"/>
                <w:szCs w:val="20"/>
              </w:rPr>
              <w:t>2.5</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rPr>
            </w:pPr>
            <w:r>
              <w:rPr>
                <w:rFonts w:ascii="Arial Narrow" w:hAnsi="Arial Narrow"/>
                <w:noProof/>
                <w:color w:val="000000"/>
                <w:sz w:val="20"/>
                <w:szCs w:val="20"/>
                <w:highlight w:val="black"/>
              </w:rPr>
              <w:t>'''''''''''''''''''</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rPr>
            </w:pPr>
            <w:r>
              <w:rPr>
                <w:rFonts w:ascii="Arial Narrow" w:hAnsi="Arial Narrow"/>
                <w:noProof/>
                <w:color w:val="000000"/>
                <w:sz w:val="20"/>
                <w:szCs w:val="20"/>
                <w:highlight w:val="black"/>
              </w:rPr>
              <w:t>''''''''''''''</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rPr>
            </w:pPr>
            <w:r>
              <w:rPr>
                <w:rFonts w:ascii="Arial Narrow" w:hAnsi="Arial Narrow"/>
                <w:noProof/>
                <w:color w:val="000000"/>
                <w:sz w:val="20"/>
                <w:szCs w:val="20"/>
                <w:highlight w:val="black"/>
              </w:rPr>
              <w:t>''''''''''''''''</w:t>
            </w:r>
          </w:p>
        </w:tc>
      </w:tr>
      <w:tr w:rsidR="00CD5DF3" w:rsidRPr="001F1C2B" w:rsidTr="00D139FF">
        <w:tc>
          <w:tcPr>
            <w:tcW w:w="1735" w:type="pct"/>
          </w:tcPr>
          <w:p w:rsidR="00CD5DF3" w:rsidRPr="00D139FF" w:rsidRDefault="00CD5DF3" w:rsidP="00A02052">
            <w:pPr>
              <w:keepNext/>
              <w:rPr>
                <w:rFonts w:ascii="Arial Narrow" w:eastAsiaTheme="minorHAnsi" w:hAnsi="Arial Narrow" w:cstheme="minorBidi"/>
                <w:sz w:val="20"/>
                <w:szCs w:val="20"/>
              </w:rPr>
            </w:pPr>
            <w:r w:rsidRPr="00D139FF">
              <w:rPr>
                <w:rFonts w:ascii="Arial Narrow" w:hAnsi="Arial Narrow"/>
                <w:b/>
                <w:bCs/>
                <w:color w:val="000000"/>
                <w:sz w:val="20"/>
                <w:szCs w:val="20"/>
              </w:rPr>
              <w:t>Relapse in Yr 3</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color w:val="000000"/>
                <w:sz w:val="20"/>
                <w:szCs w:val="20"/>
              </w:rPr>
              <w:t>2.5</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color w:val="000000"/>
                <w:sz w:val="20"/>
                <w:szCs w:val="20"/>
              </w:rPr>
              <w:t>1.5</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rPr>
            </w:pPr>
            <w:r>
              <w:rPr>
                <w:rFonts w:ascii="Arial Narrow" w:hAnsi="Arial Narrow"/>
                <w:noProof/>
                <w:color w:val="000000"/>
                <w:sz w:val="20"/>
                <w:szCs w:val="20"/>
                <w:highlight w:val="black"/>
              </w:rPr>
              <w:t>'''''''''''''''''</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rPr>
            </w:pPr>
            <w:r>
              <w:rPr>
                <w:rFonts w:ascii="Arial Narrow" w:hAnsi="Arial Narrow"/>
                <w:noProof/>
                <w:color w:val="000000"/>
                <w:sz w:val="20"/>
                <w:szCs w:val="20"/>
                <w:highlight w:val="black"/>
              </w:rPr>
              <w:t>'''''''''''''''''</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rPr>
            </w:pPr>
            <w:r>
              <w:rPr>
                <w:rFonts w:ascii="Arial Narrow" w:hAnsi="Arial Narrow"/>
                <w:noProof/>
                <w:color w:val="000000"/>
                <w:sz w:val="20"/>
                <w:szCs w:val="20"/>
                <w:highlight w:val="black"/>
              </w:rPr>
              <w:t>''''''''''''''</w:t>
            </w:r>
          </w:p>
        </w:tc>
      </w:tr>
      <w:tr w:rsidR="00CD5DF3" w:rsidRPr="001F1C2B" w:rsidTr="00D139FF">
        <w:tc>
          <w:tcPr>
            <w:tcW w:w="1735" w:type="pct"/>
          </w:tcPr>
          <w:p w:rsidR="00CD5DF3" w:rsidRPr="00D139FF" w:rsidRDefault="00CD5DF3" w:rsidP="00A02052">
            <w:pPr>
              <w:keepNext/>
              <w:rPr>
                <w:rFonts w:ascii="Arial Narrow" w:eastAsiaTheme="minorHAnsi" w:hAnsi="Arial Narrow" w:cstheme="minorBidi"/>
                <w:sz w:val="20"/>
                <w:szCs w:val="20"/>
              </w:rPr>
            </w:pPr>
            <w:r w:rsidRPr="00D139FF">
              <w:rPr>
                <w:rFonts w:ascii="Arial Narrow" w:hAnsi="Arial Narrow"/>
                <w:b/>
                <w:bCs/>
                <w:color w:val="000000"/>
                <w:sz w:val="20"/>
                <w:szCs w:val="20"/>
              </w:rPr>
              <w:t>Relapse in Yr 4</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color w:val="000000"/>
                <w:sz w:val="20"/>
                <w:szCs w:val="20"/>
              </w:rPr>
              <w:t>3.5</w:t>
            </w:r>
          </w:p>
        </w:tc>
        <w:tc>
          <w:tcPr>
            <w:tcW w:w="653" w:type="pct"/>
          </w:tcPr>
          <w:p w:rsidR="00CD5DF3" w:rsidRPr="00D139FF" w:rsidRDefault="00CD5DF3" w:rsidP="00A02052">
            <w:pPr>
              <w:keepNext/>
              <w:jc w:val="center"/>
              <w:rPr>
                <w:rFonts w:ascii="Arial Narrow" w:eastAsiaTheme="minorHAnsi" w:hAnsi="Arial Narrow" w:cstheme="minorBidi"/>
                <w:sz w:val="20"/>
                <w:szCs w:val="20"/>
              </w:rPr>
            </w:pPr>
            <w:r w:rsidRPr="00D139FF">
              <w:rPr>
                <w:rFonts w:ascii="Arial Narrow" w:hAnsi="Arial Narrow"/>
                <w:color w:val="000000"/>
                <w:sz w:val="20"/>
                <w:szCs w:val="20"/>
              </w:rPr>
              <w:t>0.5</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rPr>
            </w:pPr>
            <w:r>
              <w:rPr>
                <w:rFonts w:ascii="Arial Narrow" w:hAnsi="Arial Narrow"/>
                <w:noProof/>
                <w:color w:val="000000"/>
                <w:sz w:val="20"/>
                <w:szCs w:val="20"/>
                <w:highlight w:val="black"/>
              </w:rPr>
              <w:t>'''''''''''''''''</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rPr>
            </w:pPr>
            <w:r>
              <w:rPr>
                <w:rFonts w:ascii="Arial Narrow" w:hAnsi="Arial Narrow"/>
                <w:noProof/>
                <w:color w:val="000000"/>
                <w:sz w:val="20"/>
                <w:szCs w:val="20"/>
                <w:highlight w:val="black"/>
              </w:rPr>
              <w:t>''''''''''''''''</w:t>
            </w:r>
          </w:p>
        </w:tc>
        <w:tc>
          <w:tcPr>
            <w:tcW w:w="653" w:type="pct"/>
          </w:tcPr>
          <w:p w:rsidR="00CD5DF3" w:rsidRPr="00AA2608" w:rsidRDefault="00AA2608" w:rsidP="00A02052">
            <w:pPr>
              <w:keepNext/>
              <w:jc w:val="center"/>
              <w:rPr>
                <w:rFonts w:ascii="Arial Narrow" w:eastAsiaTheme="minorHAnsi" w:hAnsi="Arial Narrow" w:cstheme="minorBidi"/>
                <w:sz w:val="20"/>
                <w:szCs w:val="20"/>
                <w:highlight w:val="black"/>
              </w:rPr>
            </w:pPr>
            <w:r>
              <w:rPr>
                <w:rFonts w:ascii="Arial Narrow" w:hAnsi="Arial Narrow"/>
                <w:noProof/>
                <w:color w:val="000000"/>
                <w:sz w:val="20"/>
                <w:szCs w:val="20"/>
                <w:highlight w:val="black"/>
              </w:rPr>
              <w:t>'''''''''''''''''</w:t>
            </w:r>
          </w:p>
        </w:tc>
      </w:tr>
      <w:tr w:rsidR="001F1C2B" w:rsidRPr="001F1C2B" w:rsidTr="001F1C2B">
        <w:tc>
          <w:tcPr>
            <w:tcW w:w="4347" w:type="pct"/>
            <w:gridSpan w:val="5"/>
          </w:tcPr>
          <w:p w:rsidR="001F1C2B" w:rsidRPr="00D139FF" w:rsidRDefault="001F1C2B" w:rsidP="00A02052">
            <w:pPr>
              <w:keepNext/>
              <w:rPr>
                <w:rFonts w:ascii="Arial Narrow" w:hAnsi="Arial Narrow"/>
                <w:b/>
                <w:bCs/>
                <w:color w:val="000000"/>
                <w:sz w:val="20"/>
                <w:szCs w:val="20"/>
              </w:rPr>
            </w:pPr>
            <w:r w:rsidRPr="00D139FF">
              <w:rPr>
                <w:rFonts w:ascii="Arial Narrow" w:hAnsi="Arial Narrow"/>
                <w:b/>
                <w:bCs/>
                <w:color w:val="000000"/>
                <w:sz w:val="20"/>
                <w:szCs w:val="20"/>
              </w:rPr>
              <w:t>Overall weighted price adjustment for patients switching to another therapy</w:t>
            </w:r>
          </w:p>
        </w:tc>
        <w:tc>
          <w:tcPr>
            <w:tcW w:w="653" w:type="pct"/>
          </w:tcPr>
          <w:p w:rsidR="001F1C2B" w:rsidRPr="00D139FF" w:rsidRDefault="00AA2608" w:rsidP="00A02052">
            <w:pPr>
              <w:keepNext/>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1F1C2B">
              <w:rPr>
                <w:rFonts w:ascii="Arial Narrow" w:eastAsiaTheme="minorHAnsi" w:hAnsi="Arial Narrow" w:cstheme="minorBidi"/>
                <w:sz w:val="20"/>
                <w:szCs w:val="20"/>
              </w:rPr>
              <w:t>%</w:t>
            </w:r>
          </w:p>
        </w:tc>
      </w:tr>
    </w:tbl>
    <w:p w:rsidR="00CD5DF3" w:rsidRDefault="00CD5DF3" w:rsidP="00D139FF">
      <w:pPr>
        <w:rPr>
          <w:rFonts w:ascii="Arial Narrow" w:eastAsiaTheme="minorHAnsi" w:hAnsi="Arial Narrow" w:cstheme="minorBidi"/>
          <w:sz w:val="20"/>
        </w:rPr>
      </w:pPr>
      <w:r w:rsidRPr="00D139FF">
        <w:rPr>
          <w:rFonts w:ascii="Arial Narrow" w:eastAsiaTheme="minorHAnsi" w:hAnsi="Arial Narrow" w:cstheme="minorBidi"/>
          <w:sz w:val="20"/>
          <w:szCs w:val="20"/>
          <w:vertAlign w:val="superscript"/>
        </w:rPr>
        <w:t>a</w:t>
      </w:r>
      <w:r>
        <w:rPr>
          <w:rFonts w:ascii="Arial Narrow" w:eastAsiaTheme="minorHAnsi" w:hAnsi="Arial Narrow" w:cstheme="minorBidi"/>
          <w:sz w:val="20"/>
          <w:szCs w:val="20"/>
        </w:rPr>
        <w:t xml:space="preserve"> F</w:t>
      </w:r>
      <w:r w:rsidRPr="00CD5DF3">
        <w:rPr>
          <w:rFonts w:ascii="Arial Narrow" w:eastAsiaTheme="minorHAnsi" w:hAnsi="Arial Narrow" w:cstheme="minorBidi"/>
          <w:sz w:val="20"/>
          <w:szCs w:val="20"/>
        </w:rPr>
        <w:t>or Year 1 only, duration of overlapping costs is limited to a proportion of 2 years of upfront treatment cost (in subsequent years the full 4 year cladribine cost has already been paid upfront)</w:t>
      </w:r>
      <w:r>
        <w:rPr>
          <w:rFonts w:ascii="Arial Narrow" w:eastAsiaTheme="minorHAnsi" w:hAnsi="Arial Narrow" w:cstheme="minorBidi"/>
          <w:sz w:val="20"/>
          <w:szCs w:val="20"/>
        </w:rPr>
        <w:t>.</w:t>
      </w:r>
    </w:p>
    <w:p w:rsidR="00CD5DF3" w:rsidRDefault="00CD5DF3" w:rsidP="00D139FF">
      <w:pPr>
        <w:rPr>
          <w:rFonts w:ascii="Arial Narrow" w:eastAsiaTheme="minorHAnsi" w:hAnsi="Arial Narrow" w:cstheme="minorBidi"/>
          <w:sz w:val="20"/>
        </w:rPr>
      </w:pPr>
      <w:r w:rsidRPr="00D139FF">
        <w:rPr>
          <w:rFonts w:ascii="Arial Narrow" w:eastAsiaTheme="minorHAnsi" w:hAnsi="Arial Narrow" w:cstheme="minorBidi"/>
          <w:sz w:val="20"/>
          <w:szCs w:val="20"/>
          <w:vertAlign w:val="superscript"/>
        </w:rPr>
        <w:t>b</w:t>
      </w:r>
      <w:r>
        <w:rPr>
          <w:rFonts w:ascii="Arial Narrow" w:eastAsiaTheme="minorHAnsi" w:hAnsi="Arial Narrow" w:cstheme="minorBidi"/>
          <w:sz w:val="20"/>
          <w:szCs w:val="20"/>
        </w:rPr>
        <w:t xml:space="preserve"> Calculated from </w:t>
      </w:r>
      <w:r w:rsidR="00AA2608">
        <w:rPr>
          <w:rFonts w:ascii="Arial Narrow" w:eastAsiaTheme="minorHAnsi" w:hAnsi="Arial Narrow" w:cstheme="minorBidi"/>
          <w:noProof/>
          <w:color w:val="000000"/>
          <w:sz w:val="20"/>
          <w:szCs w:val="20"/>
          <w:highlight w:val="black"/>
        </w:rPr>
        <w:t>''''''''''''''</w:t>
      </w:r>
      <w:r>
        <w:rPr>
          <w:rFonts w:ascii="Arial Narrow" w:eastAsiaTheme="minorHAnsi" w:hAnsi="Arial Narrow" w:cstheme="minorBidi"/>
          <w:sz w:val="20"/>
          <w:szCs w:val="20"/>
        </w:rPr>
        <w:t xml:space="preserve">% / 4 = </w:t>
      </w:r>
      <w:r w:rsidR="00AA2608">
        <w:rPr>
          <w:rFonts w:ascii="Arial Narrow" w:eastAsiaTheme="minorHAnsi" w:hAnsi="Arial Narrow" w:cstheme="minorBidi"/>
          <w:noProof/>
          <w:color w:val="000000"/>
          <w:sz w:val="20"/>
          <w:szCs w:val="20"/>
          <w:highlight w:val="black"/>
        </w:rPr>
        <w:t>''''''''''</w:t>
      </w:r>
      <w:r>
        <w:rPr>
          <w:rFonts w:ascii="Arial Narrow" w:eastAsiaTheme="minorHAnsi" w:hAnsi="Arial Narrow" w:cstheme="minorBidi"/>
          <w:sz w:val="20"/>
          <w:szCs w:val="20"/>
        </w:rPr>
        <w:t xml:space="preserve">%, where </w:t>
      </w:r>
      <w:r w:rsidR="00AA2608">
        <w:rPr>
          <w:rFonts w:ascii="Arial Narrow" w:eastAsiaTheme="minorHAnsi" w:hAnsi="Arial Narrow" w:cstheme="minorBidi"/>
          <w:noProof/>
          <w:color w:val="000000"/>
          <w:sz w:val="20"/>
          <w:szCs w:val="20"/>
          <w:highlight w:val="black"/>
        </w:rPr>
        <w:t>''''''''''''''</w:t>
      </w:r>
      <w:r>
        <w:rPr>
          <w:rFonts w:ascii="Arial Narrow" w:eastAsiaTheme="minorHAnsi" w:hAnsi="Arial Narrow" w:cstheme="minorBidi"/>
          <w:sz w:val="20"/>
          <w:szCs w:val="20"/>
        </w:rPr>
        <w:t xml:space="preserve">% of patients who relapse in the 4-year treatment period is derived from 100% - </w:t>
      </w:r>
      <w:r w:rsidR="00AA2608">
        <w:rPr>
          <w:rFonts w:ascii="Arial Narrow" w:eastAsiaTheme="minorHAnsi" w:hAnsi="Arial Narrow" w:cstheme="minorBidi"/>
          <w:noProof/>
          <w:color w:val="000000"/>
          <w:sz w:val="20"/>
          <w:szCs w:val="20"/>
          <w:highlight w:val="black"/>
        </w:rPr>
        <w:t>''''''''''''''</w:t>
      </w:r>
      <w:r>
        <w:rPr>
          <w:rFonts w:ascii="Arial Narrow" w:eastAsiaTheme="minorHAnsi" w:hAnsi="Arial Narrow" w:cstheme="minorBidi"/>
          <w:sz w:val="20"/>
          <w:szCs w:val="20"/>
        </w:rPr>
        <w:t>% (patients relapse free at the end of Year 4 in CLARITY and CLARITY EXT)</w:t>
      </w:r>
    </w:p>
    <w:p w:rsidR="0060715A" w:rsidRPr="0060715A" w:rsidRDefault="00CD5DF3" w:rsidP="00D139FF">
      <w:pPr>
        <w:spacing w:after="120"/>
        <w:rPr>
          <w:rFonts w:ascii="Arial Narrow" w:eastAsiaTheme="minorHAnsi" w:hAnsi="Arial Narrow" w:cstheme="minorBidi"/>
          <w:sz w:val="20"/>
          <w:szCs w:val="20"/>
        </w:rPr>
      </w:pPr>
      <w:r w:rsidRPr="00D139FF">
        <w:rPr>
          <w:rFonts w:ascii="Arial Narrow" w:eastAsiaTheme="minorHAnsi" w:hAnsi="Arial Narrow" w:cstheme="minorBidi"/>
          <w:sz w:val="20"/>
          <w:szCs w:val="20"/>
        </w:rPr>
        <w:t>Source: “Rebate 2 switch” worksheet of the workbook submitted with the minor resubmission</w:t>
      </w:r>
    </w:p>
    <w:p w:rsidR="005963BB" w:rsidRDefault="00D775FC" w:rsidP="00204FC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86579">
        <w:rPr>
          <w:rFonts w:asciiTheme="minorHAnsi" w:eastAsiaTheme="minorHAnsi" w:hAnsiTheme="minorHAnsi" w:cstheme="minorBidi"/>
          <w:snapToGrid/>
          <w:sz w:val="24"/>
          <w:szCs w:val="22"/>
        </w:rPr>
        <w:t xml:space="preserve">Under usual practice, deeds for Special Pricing Arrangements (SPA) specify a single rebate rather than a two-tiered rebate as proposed by the minor resubmission. </w:t>
      </w:r>
      <w:r w:rsidR="005B473B" w:rsidRPr="00E86579">
        <w:rPr>
          <w:rFonts w:asciiTheme="minorHAnsi" w:eastAsiaTheme="minorHAnsi" w:hAnsiTheme="minorHAnsi" w:cstheme="minorBidi"/>
          <w:snapToGrid/>
          <w:sz w:val="24"/>
          <w:szCs w:val="22"/>
        </w:rPr>
        <w:t xml:space="preserve">Therefore, any deed for an SPA may require the sponsor to propose a consolidated, single rebate. </w:t>
      </w:r>
    </w:p>
    <w:p w:rsidR="000C29E0" w:rsidRDefault="000C29E0" w:rsidP="00204FC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pre-PBAC response clarified that the total rebate proposed, including the increased Rebate 1 (from </w:t>
      </w:r>
      <w:r w:rsidR="00AA2608">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to </w:t>
      </w:r>
      <w:r w:rsidR="00AA2608">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is </w:t>
      </w:r>
      <w:r w:rsidR="00AA2608">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The pre-PBAC response emphasised that this rebate is in addition to the SPA that is currently in place for fingolimod, which would also apply to cladribine. </w:t>
      </w:r>
    </w:p>
    <w:p w:rsidR="004E66C6" w:rsidRPr="0060715A" w:rsidRDefault="004E66C6" w:rsidP="00053440">
      <w:pPr>
        <w:pStyle w:val="Heading2"/>
      </w:pPr>
      <w:bookmarkStart w:id="3" w:name="_Toc413139283"/>
      <w:bookmarkStart w:id="4" w:name="_Toc365847465"/>
      <w:r w:rsidRPr="0060715A">
        <w:t>Drug cost/patient/course</w:t>
      </w:r>
      <w:bookmarkEnd w:id="3"/>
      <w:r w:rsidRPr="0060715A">
        <w:t>: $</w:t>
      </w:r>
      <w:bookmarkEnd w:id="4"/>
      <w:r w:rsidR="00AA2608">
        <w:rPr>
          <w:noProof/>
          <w:color w:val="000000"/>
          <w:highlight w:val="black"/>
        </w:rPr>
        <w:t>''''''''''''</w:t>
      </w:r>
      <w:r w:rsidR="00B04309" w:rsidRPr="0060715A">
        <w:t xml:space="preserve"> </w:t>
      </w:r>
      <w:r w:rsidRPr="0060715A">
        <w:t>(based on treatment in years 1 and 2, and no treatment in years 3 and 4)</w:t>
      </w:r>
    </w:p>
    <w:p w:rsidR="004E66C6" w:rsidRPr="000042AF" w:rsidRDefault="004E66C6" w:rsidP="003C6BE7">
      <w:pPr>
        <w:pStyle w:val="ListParagraph"/>
        <w:widowControl/>
        <w:numPr>
          <w:ilvl w:val="1"/>
          <w:numId w:val="14"/>
        </w:numPr>
        <w:spacing w:after="120"/>
        <w:contextualSpacing w:val="0"/>
        <w:rPr>
          <w:rFonts w:asciiTheme="minorHAnsi" w:hAnsiTheme="minorHAnsi"/>
          <w:sz w:val="24"/>
        </w:rPr>
      </w:pPr>
      <w:r w:rsidRPr="00242B9B">
        <w:rPr>
          <w:rFonts w:asciiTheme="minorHAnsi" w:eastAsia="Calibri" w:hAnsiTheme="minorHAnsi"/>
          <w:sz w:val="24"/>
        </w:rPr>
        <w:t>The drug cost per patient per course, assuming an average requirement of seven tablets per patient, based on the average weight (76.6kg) of patients in a</w:t>
      </w:r>
      <w:r w:rsidRPr="000042AF">
        <w:rPr>
          <w:rFonts w:asciiTheme="minorHAnsi" w:eastAsia="Calibri" w:hAnsiTheme="minorHAnsi"/>
          <w:sz w:val="24"/>
        </w:rPr>
        <w:t xml:space="preserve">n Australian MS longitudinal study receiving cladribine and a DPMQ of </w:t>
      </w:r>
      <w:r w:rsidR="00D80B04" w:rsidRPr="000042AF">
        <w:rPr>
          <w:rFonts w:asciiTheme="minorHAnsi" w:eastAsia="Calibri" w:hAnsiTheme="minorHAnsi"/>
          <w:sz w:val="24"/>
        </w:rPr>
        <w:t>$</w:t>
      </w:r>
      <w:r w:rsidR="00AA2608">
        <w:rPr>
          <w:rFonts w:asciiTheme="minorHAnsi" w:eastAsia="Calibri" w:hAnsiTheme="minorHAnsi"/>
          <w:noProof/>
          <w:color w:val="000000"/>
          <w:sz w:val="24"/>
          <w:highlight w:val="black"/>
        </w:rPr>
        <w:t>''''''''''''''</w:t>
      </w:r>
      <w:r w:rsidR="00D80B04" w:rsidRPr="000042AF">
        <w:rPr>
          <w:rFonts w:asciiTheme="minorHAnsi" w:eastAsia="Calibri" w:hAnsiTheme="minorHAnsi"/>
          <w:sz w:val="24"/>
        </w:rPr>
        <w:t>, is $</w:t>
      </w:r>
      <w:r w:rsidR="00AA2608">
        <w:rPr>
          <w:rFonts w:asciiTheme="minorHAnsi" w:eastAsia="Calibri" w:hAnsiTheme="minorHAnsi"/>
          <w:noProof/>
          <w:color w:val="000000"/>
          <w:sz w:val="24"/>
          <w:highlight w:val="black"/>
        </w:rPr>
        <w:t>''''''''''''''</w:t>
      </w:r>
      <w:r w:rsidRPr="000042AF">
        <w:rPr>
          <w:rFonts w:asciiTheme="minorHAnsi" w:eastAsia="Calibri" w:hAnsiTheme="minorHAnsi"/>
          <w:sz w:val="24"/>
        </w:rPr>
        <w:t>.</w:t>
      </w:r>
      <w:r w:rsidR="00B24CB2" w:rsidRPr="00E86579">
        <w:rPr>
          <w:rFonts w:asciiTheme="minorHAnsi" w:eastAsia="Calibri" w:hAnsiTheme="minorHAnsi"/>
          <w:sz w:val="24"/>
        </w:rPr>
        <w:t xml:space="preserve"> This estimate includes the </w:t>
      </w:r>
      <w:r w:rsidR="00AA2608">
        <w:rPr>
          <w:rFonts w:asciiTheme="minorHAnsi" w:eastAsia="Calibri" w:hAnsiTheme="minorHAnsi"/>
          <w:noProof/>
          <w:color w:val="000000"/>
          <w:sz w:val="24"/>
          <w:highlight w:val="black"/>
        </w:rPr>
        <w:t>'''''''''</w:t>
      </w:r>
      <w:r w:rsidR="00B24CB2" w:rsidRPr="00E86579">
        <w:rPr>
          <w:rFonts w:asciiTheme="minorHAnsi" w:eastAsia="Calibri" w:hAnsiTheme="minorHAnsi"/>
          <w:sz w:val="24"/>
        </w:rPr>
        <w:t xml:space="preserve">% and </w:t>
      </w:r>
      <w:r w:rsidR="00AA2608">
        <w:rPr>
          <w:rFonts w:asciiTheme="minorHAnsi" w:eastAsia="Calibri" w:hAnsiTheme="minorHAnsi"/>
          <w:noProof/>
          <w:color w:val="000000"/>
          <w:sz w:val="24"/>
          <w:highlight w:val="black"/>
        </w:rPr>
        <w:t>'''''''''</w:t>
      </w:r>
      <w:r w:rsidR="00B24CB2" w:rsidRPr="00E86579">
        <w:rPr>
          <w:rFonts w:asciiTheme="minorHAnsi" w:eastAsia="Calibri" w:hAnsiTheme="minorHAnsi"/>
          <w:sz w:val="24"/>
        </w:rPr>
        <w:t>% rebates proposed for the cost of cladribine tablets.</w:t>
      </w:r>
      <w:r w:rsidRPr="00242B9B">
        <w:rPr>
          <w:rFonts w:asciiTheme="minorHAnsi" w:eastAsia="Calibri" w:hAnsiTheme="minorHAnsi"/>
          <w:sz w:val="24"/>
        </w:rPr>
        <w:t xml:space="preserve"> </w:t>
      </w:r>
      <w:r w:rsidR="00FB0B34" w:rsidRPr="000042AF">
        <w:rPr>
          <w:rFonts w:asciiTheme="minorHAnsi" w:hAnsiTheme="minorHAnsi"/>
          <w:sz w:val="24"/>
        </w:rPr>
        <w:t xml:space="preserve">This </w:t>
      </w:r>
      <w:r w:rsidR="00A327E2" w:rsidRPr="000042AF">
        <w:rPr>
          <w:rFonts w:asciiTheme="minorHAnsi" w:hAnsiTheme="minorHAnsi"/>
          <w:sz w:val="24"/>
        </w:rPr>
        <w:t>compares to a cost of $115,122 for four years treatment with fingolimod (assuming a DPMQ of $2,207.81 and approximately 52 packs of fingolimod), based on the published price of fingolimod</w:t>
      </w:r>
      <w:r w:rsidR="00BD3314" w:rsidRPr="000042AF">
        <w:rPr>
          <w:rFonts w:asciiTheme="minorHAnsi" w:hAnsiTheme="minorHAnsi"/>
          <w:sz w:val="24"/>
        </w:rPr>
        <w:t xml:space="preserve">, and assuming 100% compliance with </w:t>
      </w:r>
      <w:r w:rsidR="00134C2B" w:rsidRPr="000042AF">
        <w:rPr>
          <w:rFonts w:asciiTheme="minorHAnsi" w:hAnsiTheme="minorHAnsi"/>
          <w:sz w:val="24"/>
        </w:rPr>
        <w:t>fingolimod.</w:t>
      </w:r>
    </w:p>
    <w:p w:rsidR="005A3173" w:rsidRPr="0060715A" w:rsidRDefault="005A3173" w:rsidP="00053440">
      <w:pPr>
        <w:pStyle w:val="Heading2"/>
        <w:keepNext/>
      </w:pPr>
      <w:r w:rsidRPr="0060715A">
        <w:t>Estimated PBS usage &amp; financial implications</w:t>
      </w:r>
    </w:p>
    <w:p w:rsidR="0060715A" w:rsidRPr="0060715A" w:rsidRDefault="009B00CC" w:rsidP="00244A2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9B00CC">
        <w:rPr>
          <w:rFonts w:asciiTheme="minorHAnsi" w:eastAsiaTheme="minorHAnsi" w:hAnsiTheme="minorHAnsi" w:cstheme="minorBidi"/>
          <w:snapToGrid/>
          <w:sz w:val="24"/>
          <w:szCs w:val="22"/>
        </w:rPr>
        <w:t>The minor resubmission presented revised financial analys</w:t>
      </w:r>
      <w:r w:rsidR="00244A2D">
        <w:rPr>
          <w:rFonts w:asciiTheme="minorHAnsi" w:eastAsiaTheme="minorHAnsi" w:hAnsiTheme="minorHAnsi" w:cstheme="minorBidi"/>
          <w:snapToGrid/>
          <w:sz w:val="24"/>
          <w:szCs w:val="22"/>
        </w:rPr>
        <w:t>es, which reduced the estimated</w:t>
      </w:r>
      <w:r w:rsidRPr="009B00CC">
        <w:rPr>
          <w:rFonts w:asciiTheme="minorHAnsi" w:eastAsiaTheme="minorHAnsi" w:hAnsiTheme="minorHAnsi" w:cstheme="minorBidi"/>
          <w:snapToGrid/>
          <w:sz w:val="24"/>
          <w:szCs w:val="22"/>
        </w:rPr>
        <w:t xml:space="preserve"> six-year cost to the PBS from </w:t>
      </w:r>
      <w:r w:rsidR="000F255B">
        <w:rPr>
          <w:rFonts w:asciiTheme="minorHAnsi" w:eastAsiaTheme="minorHAnsi" w:hAnsiTheme="minorHAnsi" w:cstheme="minorBidi"/>
          <w:snapToGrid/>
          <w:sz w:val="24"/>
          <w:szCs w:val="22"/>
        </w:rPr>
        <w:t>more than $100</w:t>
      </w:r>
      <w:r w:rsidRPr="009B00CC">
        <w:rPr>
          <w:rFonts w:asciiTheme="minorHAnsi" w:eastAsiaTheme="minorHAnsi" w:hAnsiTheme="minorHAnsi" w:cstheme="minorBidi"/>
          <w:snapToGrid/>
          <w:sz w:val="24"/>
          <w:szCs w:val="22"/>
        </w:rPr>
        <w:t xml:space="preserve"> million</w:t>
      </w:r>
      <w:r w:rsidR="00244A2D">
        <w:rPr>
          <w:rFonts w:asciiTheme="minorHAnsi" w:eastAsiaTheme="minorHAnsi" w:hAnsiTheme="minorHAnsi" w:cstheme="minorBidi"/>
          <w:snapToGrid/>
          <w:sz w:val="24"/>
          <w:szCs w:val="22"/>
        </w:rPr>
        <w:t xml:space="preserve"> in the November 2017 resubmission </w:t>
      </w:r>
      <w:r w:rsidRPr="009B00CC">
        <w:rPr>
          <w:rFonts w:asciiTheme="minorHAnsi" w:eastAsiaTheme="minorHAnsi" w:hAnsiTheme="minorHAnsi" w:cstheme="minorBidi"/>
          <w:snapToGrid/>
          <w:sz w:val="24"/>
          <w:szCs w:val="22"/>
        </w:rPr>
        <w:t xml:space="preserve">to </w:t>
      </w:r>
      <w:r w:rsidR="000F255B">
        <w:rPr>
          <w:rFonts w:asciiTheme="minorHAnsi" w:eastAsiaTheme="minorHAnsi" w:hAnsiTheme="minorHAnsi" w:cstheme="minorBidi"/>
          <w:snapToGrid/>
          <w:sz w:val="24"/>
          <w:szCs w:val="22"/>
        </w:rPr>
        <w:t>$30 - $60</w:t>
      </w:r>
      <w:r w:rsidRPr="009B00CC">
        <w:rPr>
          <w:rFonts w:asciiTheme="minorHAnsi" w:eastAsiaTheme="minorHAnsi" w:hAnsiTheme="minorHAnsi" w:cstheme="minorBidi"/>
          <w:snapToGrid/>
          <w:sz w:val="24"/>
          <w:szCs w:val="22"/>
        </w:rPr>
        <w:t xml:space="preserve"> million</w:t>
      </w:r>
      <w:r w:rsidR="00244A2D">
        <w:rPr>
          <w:rFonts w:asciiTheme="minorHAnsi" w:eastAsiaTheme="minorHAnsi" w:hAnsiTheme="minorHAnsi" w:cstheme="minorBidi"/>
          <w:snapToGrid/>
          <w:sz w:val="24"/>
          <w:szCs w:val="22"/>
        </w:rPr>
        <w:t xml:space="preserve"> in the minor resubmission</w:t>
      </w:r>
      <w:r w:rsidRPr="009B00CC">
        <w:rPr>
          <w:rFonts w:asciiTheme="minorHAnsi" w:eastAsiaTheme="minorHAnsi" w:hAnsiTheme="minorHAnsi" w:cstheme="minorBidi"/>
          <w:snapToGrid/>
          <w:sz w:val="24"/>
          <w:szCs w:val="22"/>
        </w:rPr>
        <w:t>.</w:t>
      </w:r>
      <w:r w:rsidR="003A2C02">
        <w:rPr>
          <w:rFonts w:asciiTheme="minorHAnsi" w:eastAsiaTheme="minorHAnsi" w:hAnsiTheme="minorHAnsi" w:cstheme="minorBidi"/>
          <w:snapToGrid/>
          <w:sz w:val="24"/>
          <w:szCs w:val="22"/>
        </w:rPr>
        <w:t xml:space="preserve"> A comparison of the financial implications to the PBS between the </w:t>
      </w:r>
      <w:r w:rsidR="00244A2D">
        <w:rPr>
          <w:rFonts w:asciiTheme="minorHAnsi" w:eastAsiaTheme="minorHAnsi" w:hAnsiTheme="minorHAnsi" w:cstheme="minorBidi"/>
          <w:snapToGrid/>
          <w:sz w:val="24"/>
          <w:szCs w:val="22"/>
        </w:rPr>
        <w:t>two</w:t>
      </w:r>
      <w:r w:rsidR="003A2C02">
        <w:rPr>
          <w:rFonts w:asciiTheme="minorHAnsi" w:eastAsiaTheme="minorHAnsi" w:hAnsiTheme="minorHAnsi" w:cstheme="minorBidi"/>
          <w:snapToGrid/>
          <w:sz w:val="24"/>
          <w:szCs w:val="22"/>
        </w:rPr>
        <w:t xml:space="preserve"> resubmissions is presented below.</w:t>
      </w:r>
    </w:p>
    <w:p w:rsidR="00244A2D" w:rsidRDefault="00244A2D" w:rsidP="00244A2D">
      <w:pPr>
        <w:pStyle w:val="TableHeading0"/>
      </w:pPr>
      <w:r>
        <w:t xml:space="preserve">Table </w:t>
      </w:r>
      <w:r w:rsidR="001F1C2B">
        <w:rPr>
          <w:noProof/>
        </w:rPr>
        <w:t>4</w:t>
      </w:r>
      <w:r>
        <w:t>: Summary of the estimated use and financial implications presented in the November 2017 major resubmission and March 2018 minor resubmission</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579"/>
        <w:gridCol w:w="1252"/>
        <w:gridCol w:w="1252"/>
        <w:gridCol w:w="1251"/>
        <w:gridCol w:w="1251"/>
        <w:gridCol w:w="1251"/>
        <w:gridCol w:w="1246"/>
      </w:tblGrid>
      <w:tr w:rsidR="00D47D26" w:rsidRPr="002F304B" w:rsidTr="00244A2D">
        <w:tc>
          <w:tcPr>
            <w:tcW w:w="869" w:type="pct"/>
          </w:tcPr>
          <w:p w:rsidR="00D47D26" w:rsidRPr="002F304B" w:rsidRDefault="00D47D26" w:rsidP="002F304B">
            <w:pPr>
              <w:rPr>
                <w:rFonts w:ascii="Arial Narrow" w:eastAsiaTheme="minorHAnsi" w:hAnsi="Arial Narrow" w:cstheme="minorBidi"/>
                <w:sz w:val="20"/>
                <w:szCs w:val="20"/>
              </w:rPr>
            </w:pPr>
          </w:p>
        </w:tc>
        <w:tc>
          <w:tcPr>
            <w:tcW w:w="689" w:type="pct"/>
            <w:vAlign w:val="center"/>
          </w:tcPr>
          <w:p w:rsidR="00D47D26" w:rsidRPr="002F304B" w:rsidRDefault="00D47D26" w:rsidP="002F304B">
            <w:pPr>
              <w:pStyle w:val="TableText0"/>
              <w:spacing w:before="0" w:after="0"/>
              <w:jc w:val="center"/>
              <w:rPr>
                <w:b/>
                <w:szCs w:val="20"/>
              </w:rPr>
            </w:pPr>
            <w:r w:rsidRPr="002F304B">
              <w:rPr>
                <w:b/>
                <w:szCs w:val="20"/>
              </w:rPr>
              <w:t>Year 1</w:t>
            </w:r>
          </w:p>
        </w:tc>
        <w:tc>
          <w:tcPr>
            <w:tcW w:w="689" w:type="pct"/>
            <w:vAlign w:val="center"/>
          </w:tcPr>
          <w:p w:rsidR="00D47D26" w:rsidRPr="002F304B" w:rsidRDefault="00D47D26" w:rsidP="002F304B">
            <w:pPr>
              <w:pStyle w:val="TableText0"/>
              <w:spacing w:before="0" w:after="0"/>
              <w:jc w:val="center"/>
              <w:rPr>
                <w:b/>
                <w:szCs w:val="20"/>
              </w:rPr>
            </w:pPr>
            <w:r w:rsidRPr="002F304B">
              <w:rPr>
                <w:b/>
                <w:szCs w:val="20"/>
              </w:rPr>
              <w:t>Year 2</w:t>
            </w:r>
          </w:p>
        </w:tc>
        <w:tc>
          <w:tcPr>
            <w:tcW w:w="689" w:type="pct"/>
            <w:vAlign w:val="center"/>
          </w:tcPr>
          <w:p w:rsidR="00D47D26" w:rsidRPr="002F304B" w:rsidRDefault="00D47D26" w:rsidP="002F304B">
            <w:pPr>
              <w:pStyle w:val="TableText0"/>
              <w:spacing w:before="0" w:after="0"/>
              <w:jc w:val="center"/>
              <w:rPr>
                <w:b/>
                <w:szCs w:val="20"/>
              </w:rPr>
            </w:pPr>
            <w:r w:rsidRPr="002F304B">
              <w:rPr>
                <w:b/>
                <w:szCs w:val="20"/>
              </w:rPr>
              <w:t>Year 3</w:t>
            </w:r>
          </w:p>
        </w:tc>
        <w:tc>
          <w:tcPr>
            <w:tcW w:w="689" w:type="pct"/>
            <w:vAlign w:val="center"/>
          </w:tcPr>
          <w:p w:rsidR="00D47D26" w:rsidRPr="002F304B" w:rsidRDefault="00D47D26" w:rsidP="002F304B">
            <w:pPr>
              <w:pStyle w:val="TableText0"/>
              <w:spacing w:before="0" w:after="0"/>
              <w:jc w:val="center"/>
              <w:rPr>
                <w:b/>
                <w:szCs w:val="20"/>
              </w:rPr>
            </w:pPr>
            <w:r w:rsidRPr="002F304B">
              <w:rPr>
                <w:b/>
                <w:szCs w:val="20"/>
              </w:rPr>
              <w:t>Year 4</w:t>
            </w:r>
          </w:p>
        </w:tc>
        <w:tc>
          <w:tcPr>
            <w:tcW w:w="689" w:type="pct"/>
            <w:vAlign w:val="center"/>
          </w:tcPr>
          <w:p w:rsidR="00D47D26" w:rsidRPr="002F304B" w:rsidRDefault="00D47D26" w:rsidP="002F304B">
            <w:pPr>
              <w:pStyle w:val="TableText0"/>
              <w:spacing w:before="0" w:after="0"/>
              <w:jc w:val="center"/>
              <w:rPr>
                <w:b/>
                <w:szCs w:val="20"/>
              </w:rPr>
            </w:pPr>
            <w:r w:rsidRPr="002F304B">
              <w:rPr>
                <w:b/>
                <w:szCs w:val="20"/>
              </w:rPr>
              <w:t>Year 5</w:t>
            </w:r>
          </w:p>
        </w:tc>
        <w:tc>
          <w:tcPr>
            <w:tcW w:w="687" w:type="pct"/>
            <w:vAlign w:val="center"/>
          </w:tcPr>
          <w:p w:rsidR="00D47D26" w:rsidRPr="002F304B" w:rsidRDefault="00D47D26" w:rsidP="002F304B">
            <w:pPr>
              <w:pStyle w:val="TableText0"/>
              <w:spacing w:before="0" w:after="0"/>
              <w:jc w:val="center"/>
              <w:rPr>
                <w:b/>
                <w:szCs w:val="20"/>
              </w:rPr>
            </w:pPr>
            <w:r w:rsidRPr="002F304B">
              <w:rPr>
                <w:b/>
                <w:szCs w:val="20"/>
              </w:rPr>
              <w:t>Year 6</w:t>
            </w:r>
          </w:p>
        </w:tc>
      </w:tr>
      <w:tr w:rsidR="00D47D26" w:rsidRPr="002F304B" w:rsidTr="00D47D26">
        <w:tc>
          <w:tcPr>
            <w:tcW w:w="5000" w:type="pct"/>
            <w:gridSpan w:val="7"/>
          </w:tcPr>
          <w:p w:rsidR="00D47D26" w:rsidRPr="00D47D26" w:rsidRDefault="00D47D26" w:rsidP="00D47D26">
            <w:pPr>
              <w:rPr>
                <w:rFonts w:ascii="Arial Narrow" w:eastAsiaTheme="minorHAnsi" w:hAnsi="Arial Narrow" w:cstheme="minorBidi"/>
                <w:b/>
                <w:sz w:val="20"/>
                <w:szCs w:val="20"/>
              </w:rPr>
            </w:pPr>
            <w:r w:rsidRPr="00D47D26">
              <w:rPr>
                <w:rFonts w:ascii="Arial Narrow" w:eastAsiaTheme="minorHAnsi" w:hAnsi="Arial Narrow" w:cstheme="minorBidi"/>
                <w:b/>
                <w:sz w:val="20"/>
                <w:szCs w:val="20"/>
              </w:rPr>
              <w:t>Estimated extent of use of cladribine</w:t>
            </w:r>
            <w:r w:rsidRPr="00640913">
              <w:rPr>
                <w:rFonts w:ascii="Arial Narrow" w:eastAsiaTheme="minorHAnsi" w:hAnsi="Arial Narrow" w:cstheme="minorBidi"/>
                <w:sz w:val="20"/>
                <w:szCs w:val="20"/>
              </w:rPr>
              <w:t xml:space="preserve"> (unchanged</w:t>
            </w:r>
            <w:r w:rsidR="00244A2D" w:rsidRPr="00640913">
              <w:rPr>
                <w:rFonts w:ascii="Arial Narrow" w:eastAsiaTheme="minorHAnsi" w:hAnsi="Arial Narrow" w:cstheme="minorBidi"/>
                <w:sz w:val="20"/>
                <w:szCs w:val="20"/>
              </w:rPr>
              <w:t xml:space="preserve"> between November 2017 and March 2018 resubmissions)</w:t>
            </w:r>
          </w:p>
        </w:tc>
      </w:tr>
      <w:tr w:rsidR="00D47D26" w:rsidRPr="002F304B" w:rsidTr="00244A2D">
        <w:tc>
          <w:tcPr>
            <w:tcW w:w="869" w:type="pct"/>
            <w:vAlign w:val="center"/>
          </w:tcPr>
          <w:p w:rsidR="00D47D26" w:rsidRPr="002F304B" w:rsidRDefault="00D47D26" w:rsidP="002F304B">
            <w:pPr>
              <w:pStyle w:val="TableText0"/>
              <w:spacing w:before="0" w:after="0"/>
              <w:rPr>
                <w:rFonts w:eastAsia="Times New Roman" w:cs="Times New Roman"/>
                <w:szCs w:val="20"/>
              </w:rPr>
            </w:pPr>
            <w:r w:rsidRPr="002F304B">
              <w:rPr>
                <w:szCs w:val="20"/>
              </w:rPr>
              <w:t>Number of patients</w:t>
            </w:r>
          </w:p>
        </w:tc>
        <w:tc>
          <w:tcPr>
            <w:tcW w:w="689" w:type="pct"/>
            <w:vAlign w:val="center"/>
          </w:tcPr>
          <w:p w:rsidR="00D47D26" w:rsidRPr="00AA2608" w:rsidRDefault="00AA2608" w:rsidP="002F304B">
            <w:pPr>
              <w:pStyle w:val="TableText0"/>
              <w:spacing w:before="0" w:after="0"/>
              <w:jc w:val="center"/>
              <w:rPr>
                <w:bCs/>
                <w:color w:val="000000"/>
                <w:szCs w:val="20"/>
                <w:highlight w:val="black"/>
              </w:rPr>
            </w:pPr>
            <w:r>
              <w:rPr>
                <w:rFonts w:eastAsia="Times New Roman" w:cs="Arial"/>
                <w:bCs/>
                <w:noProof/>
                <w:color w:val="000000"/>
                <w:szCs w:val="20"/>
                <w:highlight w:val="black"/>
              </w:rPr>
              <w:t>'''''''''''''</w:t>
            </w:r>
          </w:p>
        </w:tc>
        <w:tc>
          <w:tcPr>
            <w:tcW w:w="689" w:type="pct"/>
            <w:vAlign w:val="center"/>
          </w:tcPr>
          <w:p w:rsidR="00D47D26" w:rsidRPr="00AA2608" w:rsidRDefault="00AA2608" w:rsidP="002F304B">
            <w:pPr>
              <w:pStyle w:val="TableText0"/>
              <w:spacing w:before="0" w:after="0"/>
              <w:jc w:val="center"/>
              <w:rPr>
                <w:bCs/>
                <w:color w:val="000000"/>
                <w:szCs w:val="20"/>
                <w:highlight w:val="black"/>
              </w:rPr>
            </w:pPr>
            <w:r>
              <w:rPr>
                <w:rFonts w:eastAsia="Times New Roman" w:cs="Arial"/>
                <w:bCs/>
                <w:noProof/>
                <w:color w:val="000000"/>
                <w:szCs w:val="20"/>
                <w:highlight w:val="black"/>
              </w:rPr>
              <w:t>'''''''''''''</w:t>
            </w:r>
          </w:p>
        </w:tc>
        <w:tc>
          <w:tcPr>
            <w:tcW w:w="689" w:type="pct"/>
            <w:vAlign w:val="center"/>
          </w:tcPr>
          <w:p w:rsidR="00D47D26" w:rsidRPr="00AA2608" w:rsidRDefault="00AA2608" w:rsidP="002F304B">
            <w:pPr>
              <w:pStyle w:val="TableText0"/>
              <w:spacing w:before="0" w:after="0"/>
              <w:jc w:val="center"/>
              <w:rPr>
                <w:bCs/>
                <w:color w:val="000000"/>
                <w:szCs w:val="20"/>
                <w:highlight w:val="black"/>
              </w:rPr>
            </w:pPr>
            <w:r>
              <w:rPr>
                <w:rFonts w:eastAsia="Times New Roman" w:cs="Arial"/>
                <w:bCs/>
                <w:noProof/>
                <w:color w:val="000000"/>
                <w:szCs w:val="20"/>
                <w:highlight w:val="black"/>
              </w:rPr>
              <w:t>'''''''''''''''</w:t>
            </w:r>
          </w:p>
        </w:tc>
        <w:tc>
          <w:tcPr>
            <w:tcW w:w="689" w:type="pct"/>
            <w:vAlign w:val="center"/>
          </w:tcPr>
          <w:p w:rsidR="00D47D26" w:rsidRPr="00AA2608" w:rsidRDefault="00AA2608" w:rsidP="002F304B">
            <w:pPr>
              <w:pStyle w:val="TableText0"/>
              <w:spacing w:before="0" w:after="0"/>
              <w:jc w:val="center"/>
              <w:rPr>
                <w:bCs/>
                <w:color w:val="000000"/>
                <w:szCs w:val="20"/>
                <w:highlight w:val="black"/>
              </w:rPr>
            </w:pPr>
            <w:r>
              <w:rPr>
                <w:rFonts w:eastAsia="Times New Roman" w:cs="Arial"/>
                <w:bCs/>
                <w:noProof/>
                <w:color w:val="000000"/>
                <w:szCs w:val="20"/>
                <w:highlight w:val="black"/>
              </w:rPr>
              <w:t>'''''''''''''</w:t>
            </w:r>
          </w:p>
        </w:tc>
        <w:tc>
          <w:tcPr>
            <w:tcW w:w="689" w:type="pct"/>
            <w:vAlign w:val="center"/>
          </w:tcPr>
          <w:p w:rsidR="00D47D26" w:rsidRPr="00AA2608" w:rsidRDefault="00AA2608" w:rsidP="002F304B">
            <w:pPr>
              <w:pStyle w:val="TableText0"/>
              <w:spacing w:before="0" w:after="0"/>
              <w:jc w:val="center"/>
              <w:rPr>
                <w:bCs/>
                <w:color w:val="000000"/>
                <w:szCs w:val="20"/>
                <w:highlight w:val="black"/>
              </w:rPr>
            </w:pPr>
            <w:r>
              <w:rPr>
                <w:rFonts w:eastAsia="Times New Roman" w:cs="Arial"/>
                <w:bCs/>
                <w:noProof/>
                <w:color w:val="000000"/>
                <w:szCs w:val="20"/>
                <w:highlight w:val="black"/>
              </w:rPr>
              <w:t>'''''''''''''''</w:t>
            </w:r>
          </w:p>
        </w:tc>
        <w:tc>
          <w:tcPr>
            <w:tcW w:w="687" w:type="pct"/>
            <w:vAlign w:val="center"/>
          </w:tcPr>
          <w:p w:rsidR="00D47D26" w:rsidRPr="00AA2608" w:rsidRDefault="00AA2608" w:rsidP="002F304B">
            <w:pPr>
              <w:pStyle w:val="TableText0"/>
              <w:spacing w:before="0" w:after="0"/>
              <w:jc w:val="center"/>
              <w:rPr>
                <w:bCs/>
                <w:color w:val="000000"/>
                <w:szCs w:val="20"/>
                <w:highlight w:val="black"/>
              </w:rPr>
            </w:pPr>
            <w:r>
              <w:rPr>
                <w:rFonts w:eastAsia="Times New Roman" w:cs="Arial"/>
                <w:bCs/>
                <w:noProof/>
                <w:color w:val="000000"/>
                <w:szCs w:val="20"/>
                <w:highlight w:val="black"/>
              </w:rPr>
              <w:t>''''''''''''''</w:t>
            </w:r>
          </w:p>
        </w:tc>
      </w:tr>
      <w:tr w:rsidR="00D47D26" w:rsidRPr="002F304B" w:rsidTr="00244A2D">
        <w:tc>
          <w:tcPr>
            <w:tcW w:w="869" w:type="pct"/>
            <w:vAlign w:val="center"/>
          </w:tcPr>
          <w:p w:rsidR="00D47D26" w:rsidRPr="002F304B" w:rsidRDefault="00D47D26" w:rsidP="002F304B">
            <w:pPr>
              <w:pStyle w:val="TableText0"/>
              <w:spacing w:before="0" w:after="0"/>
              <w:rPr>
                <w:rFonts w:eastAsia="Times New Roman" w:cs="Times New Roman"/>
                <w:szCs w:val="20"/>
              </w:rPr>
            </w:pPr>
            <w:r>
              <w:rPr>
                <w:szCs w:val="20"/>
              </w:rPr>
              <w:t>Number of scripts</w:t>
            </w:r>
            <w:r w:rsidRPr="002F304B">
              <w:rPr>
                <w:szCs w:val="20"/>
                <w:vertAlign w:val="superscript"/>
              </w:rPr>
              <w:t>a</w:t>
            </w:r>
          </w:p>
        </w:tc>
        <w:tc>
          <w:tcPr>
            <w:tcW w:w="689" w:type="pct"/>
            <w:vAlign w:val="center"/>
          </w:tcPr>
          <w:p w:rsidR="00D47D26" w:rsidRPr="00AA2608" w:rsidRDefault="00AA2608" w:rsidP="002F304B">
            <w:pPr>
              <w:pStyle w:val="TableText0"/>
              <w:spacing w:before="0" w:after="0"/>
              <w:jc w:val="center"/>
              <w:rPr>
                <w:bCs/>
                <w:szCs w:val="20"/>
                <w:highlight w:val="black"/>
              </w:rPr>
            </w:pPr>
            <w:r>
              <w:rPr>
                <w:rFonts w:eastAsia="Times New Roman" w:cs="Arial"/>
                <w:noProof/>
                <w:color w:val="000000"/>
                <w:szCs w:val="20"/>
                <w:highlight w:val="black"/>
              </w:rPr>
              <w:t>'''''''''''''''</w:t>
            </w:r>
          </w:p>
        </w:tc>
        <w:tc>
          <w:tcPr>
            <w:tcW w:w="689" w:type="pct"/>
            <w:vAlign w:val="center"/>
          </w:tcPr>
          <w:p w:rsidR="00D47D26" w:rsidRPr="00AA2608" w:rsidRDefault="00AA2608" w:rsidP="002F304B">
            <w:pPr>
              <w:pStyle w:val="TableText0"/>
              <w:spacing w:before="0" w:after="0"/>
              <w:jc w:val="center"/>
              <w:rPr>
                <w:bCs/>
                <w:szCs w:val="20"/>
                <w:highlight w:val="black"/>
              </w:rPr>
            </w:pPr>
            <w:r>
              <w:rPr>
                <w:rFonts w:eastAsia="Times New Roman" w:cs="Arial"/>
                <w:noProof/>
                <w:color w:val="000000"/>
                <w:szCs w:val="20"/>
                <w:highlight w:val="black"/>
              </w:rPr>
              <w:t>''''''''''''''</w:t>
            </w:r>
          </w:p>
        </w:tc>
        <w:tc>
          <w:tcPr>
            <w:tcW w:w="689" w:type="pct"/>
            <w:vAlign w:val="center"/>
          </w:tcPr>
          <w:p w:rsidR="00D47D26" w:rsidRPr="00AA2608" w:rsidRDefault="00AA2608" w:rsidP="002F304B">
            <w:pPr>
              <w:pStyle w:val="TableText0"/>
              <w:spacing w:before="0" w:after="0"/>
              <w:jc w:val="center"/>
              <w:rPr>
                <w:bCs/>
                <w:szCs w:val="20"/>
                <w:highlight w:val="black"/>
              </w:rPr>
            </w:pPr>
            <w:r>
              <w:rPr>
                <w:rFonts w:eastAsia="Times New Roman" w:cs="Arial"/>
                <w:noProof/>
                <w:color w:val="000000"/>
                <w:szCs w:val="20"/>
                <w:highlight w:val="black"/>
              </w:rPr>
              <w:t>''''''''''''''</w:t>
            </w:r>
          </w:p>
        </w:tc>
        <w:tc>
          <w:tcPr>
            <w:tcW w:w="689" w:type="pct"/>
            <w:vAlign w:val="center"/>
          </w:tcPr>
          <w:p w:rsidR="00D47D26" w:rsidRPr="00AA2608" w:rsidRDefault="00AA2608" w:rsidP="002F304B">
            <w:pPr>
              <w:pStyle w:val="TableText0"/>
              <w:spacing w:before="0" w:after="0"/>
              <w:jc w:val="center"/>
              <w:rPr>
                <w:bCs/>
                <w:szCs w:val="20"/>
                <w:highlight w:val="black"/>
              </w:rPr>
            </w:pPr>
            <w:r>
              <w:rPr>
                <w:rFonts w:eastAsia="Times New Roman" w:cs="Arial"/>
                <w:noProof/>
                <w:color w:val="000000"/>
                <w:szCs w:val="20"/>
                <w:highlight w:val="black"/>
              </w:rPr>
              <w:t>'''''''''''''</w:t>
            </w:r>
          </w:p>
        </w:tc>
        <w:tc>
          <w:tcPr>
            <w:tcW w:w="689" w:type="pct"/>
            <w:vAlign w:val="center"/>
          </w:tcPr>
          <w:p w:rsidR="00D47D26" w:rsidRPr="00AA2608" w:rsidRDefault="00AA2608" w:rsidP="002F304B">
            <w:pPr>
              <w:pStyle w:val="TableText0"/>
              <w:spacing w:before="0" w:after="0"/>
              <w:jc w:val="center"/>
              <w:rPr>
                <w:bCs/>
                <w:szCs w:val="20"/>
                <w:highlight w:val="black"/>
              </w:rPr>
            </w:pPr>
            <w:r>
              <w:rPr>
                <w:rFonts w:eastAsia="Times New Roman" w:cs="Arial"/>
                <w:noProof/>
                <w:color w:val="000000"/>
                <w:szCs w:val="20"/>
                <w:highlight w:val="black"/>
              </w:rPr>
              <w:t>'''''''''''''</w:t>
            </w:r>
          </w:p>
        </w:tc>
        <w:tc>
          <w:tcPr>
            <w:tcW w:w="687" w:type="pct"/>
            <w:vAlign w:val="center"/>
          </w:tcPr>
          <w:p w:rsidR="00D47D26" w:rsidRPr="00AA2608" w:rsidRDefault="00AA2608" w:rsidP="002F304B">
            <w:pPr>
              <w:pStyle w:val="TableText0"/>
              <w:spacing w:before="0" w:after="0"/>
              <w:jc w:val="center"/>
              <w:rPr>
                <w:bCs/>
                <w:szCs w:val="20"/>
                <w:highlight w:val="black"/>
              </w:rPr>
            </w:pPr>
            <w:r>
              <w:rPr>
                <w:rFonts w:eastAsia="Times New Roman" w:cs="Arial"/>
                <w:noProof/>
                <w:color w:val="000000"/>
                <w:szCs w:val="20"/>
                <w:highlight w:val="black"/>
              </w:rPr>
              <w:t>'''''''''''''''</w:t>
            </w:r>
          </w:p>
        </w:tc>
      </w:tr>
      <w:tr w:rsidR="00D47D26" w:rsidRPr="00D47D26" w:rsidTr="00D47D26">
        <w:tc>
          <w:tcPr>
            <w:tcW w:w="5000" w:type="pct"/>
            <w:gridSpan w:val="7"/>
          </w:tcPr>
          <w:p w:rsidR="00D47D26" w:rsidRPr="00D47D26" w:rsidRDefault="00D47D26" w:rsidP="00D47D26">
            <w:pPr>
              <w:pStyle w:val="TableText0"/>
              <w:spacing w:before="0" w:after="0"/>
              <w:rPr>
                <w:rFonts w:eastAsia="Times New Roman" w:cs="Arial"/>
                <w:b/>
                <w:szCs w:val="20"/>
              </w:rPr>
            </w:pPr>
            <w:r w:rsidRPr="00D47D26">
              <w:rPr>
                <w:rFonts w:eastAsia="Times New Roman" w:cs="Arial"/>
                <w:b/>
                <w:szCs w:val="20"/>
              </w:rPr>
              <w:t xml:space="preserve">Estimated cost of cladribine to the PBS </w:t>
            </w:r>
            <w:r w:rsidR="00640913" w:rsidRPr="00640913">
              <w:rPr>
                <w:rFonts w:eastAsia="Times New Roman" w:cs="Arial"/>
                <w:szCs w:val="20"/>
              </w:rPr>
              <w:t>(</w:t>
            </w:r>
            <w:r w:rsidRPr="00640913">
              <w:rPr>
                <w:rFonts w:eastAsia="Times New Roman" w:cs="Arial"/>
                <w:szCs w:val="20"/>
              </w:rPr>
              <w:t>less copayments</w:t>
            </w:r>
            <w:r w:rsidR="00640913" w:rsidRPr="00640913">
              <w:rPr>
                <w:rFonts w:eastAsia="Times New Roman" w:cs="Arial"/>
                <w:szCs w:val="20"/>
              </w:rPr>
              <w:t>)</w:t>
            </w:r>
          </w:p>
        </w:tc>
      </w:tr>
      <w:tr w:rsidR="00D47D26" w:rsidRPr="002F304B" w:rsidTr="00244A2D">
        <w:tc>
          <w:tcPr>
            <w:tcW w:w="869" w:type="pct"/>
          </w:tcPr>
          <w:p w:rsidR="00D47D26" w:rsidRPr="002F304B" w:rsidRDefault="00244A2D" w:rsidP="004025E1">
            <w:pPr>
              <w:pStyle w:val="TableText0"/>
              <w:spacing w:before="0" w:after="0"/>
              <w:rPr>
                <w:szCs w:val="20"/>
              </w:rPr>
            </w:pPr>
            <w:r>
              <w:rPr>
                <w:szCs w:val="20"/>
              </w:rPr>
              <w:t xml:space="preserve">November </w:t>
            </w:r>
            <w:r w:rsidR="00D47D26" w:rsidRPr="002F304B">
              <w:rPr>
                <w:szCs w:val="20"/>
              </w:rPr>
              <w:t>2017</w:t>
            </w:r>
          </w:p>
        </w:tc>
        <w:tc>
          <w:tcPr>
            <w:tcW w:w="689" w:type="pct"/>
            <w:vAlign w:val="center"/>
          </w:tcPr>
          <w:p w:rsidR="00D47D26" w:rsidRPr="002F304B" w:rsidRDefault="00D47D26"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c>
          <w:tcPr>
            <w:tcW w:w="689" w:type="pct"/>
            <w:vAlign w:val="center"/>
          </w:tcPr>
          <w:p w:rsidR="00D47D26" w:rsidRPr="002F304B" w:rsidRDefault="00D47D26"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c>
          <w:tcPr>
            <w:tcW w:w="689" w:type="pct"/>
            <w:vAlign w:val="center"/>
          </w:tcPr>
          <w:p w:rsidR="00D47D26" w:rsidRPr="002F304B" w:rsidRDefault="00D47D26"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c>
          <w:tcPr>
            <w:tcW w:w="689" w:type="pct"/>
            <w:vAlign w:val="center"/>
          </w:tcPr>
          <w:p w:rsidR="00D47D26" w:rsidRPr="002F304B" w:rsidRDefault="00D47D26"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c>
          <w:tcPr>
            <w:tcW w:w="689" w:type="pct"/>
            <w:vAlign w:val="center"/>
          </w:tcPr>
          <w:p w:rsidR="00D47D26" w:rsidRPr="002F304B" w:rsidRDefault="00D47D26"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c>
          <w:tcPr>
            <w:tcW w:w="687" w:type="pct"/>
            <w:vAlign w:val="center"/>
          </w:tcPr>
          <w:p w:rsidR="00D47D26" w:rsidRPr="002F304B" w:rsidRDefault="00D47D26"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r>
      <w:tr w:rsidR="00D47D26" w:rsidRPr="002F304B" w:rsidTr="00244A2D">
        <w:tc>
          <w:tcPr>
            <w:tcW w:w="869" w:type="pct"/>
          </w:tcPr>
          <w:p w:rsidR="00D47D26" w:rsidRPr="002F304B" w:rsidRDefault="00D47D26" w:rsidP="004025E1">
            <w:pPr>
              <w:rPr>
                <w:rFonts w:ascii="Arial Narrow" w:eastAsiaTheme="minorHAnsi" w:hAnsi="Arial Narrow" w:cstheme="minorBidi"/>
                <w:sz w:val="20"/>
                <w:szCs w:val="20"/>
              </w:rPr>
            </w:pPr>
            <w:r w:rsidRPr="002F304B">
              <w:rPr>
                <w:rFonts w:ascii="Arial Narrow" w:hAnsi="Arial Narrow"/>
                <w:sz w:val="20"/>
                <w:szCs w:val="20"/>
              </w:rPr>
              <w:t>Mar</w:t>
            </w:r>
            <w:r w:rsidR="00244A2D">
              <w:rPr>
                <w:rFonts w:ascii="Arial Narrow" w:hAnsi="Arial Narrow"/>
                <w:sz w:val="20"/>
                <w:szCs w:val="20"/>
              </w:rPr>
              <w:t>ch</w:t>
            </w:r>
            <w:r w:rsidRPr="002F304B">
              <w:rPr>
                <w:rFonts w:ascii="Arial Narrow" w:hAnsi="Arial Narrow"/>
                <w:sz w:val="20"/>
                <w:szCs w:val="20"/>
              </w:rPr>
              <w:t xml:space="preserve"> 2018</w:t>
            </w:r>
          </w:p>
        </w:tc>
        <w:tc>
          <w:tcPr>
            <w:tcW w:w="689" w:type="pct"/>
            <w:vAlign w:val="center"/>
          </w:tcPr>
          <w:p w:rsidR="00D47D26" w:rsidRPr="002F304B" w:rsidRDefault="00D47D26"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D47D26" w:rsidRPr="002F304B" w:rsidRDefault="00D47D26"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D47D26" w:rsidRPr="002F304B" w:rsidRDefault="00D47D26"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D47D26" w:rsidRPr="002F304B" w:rsidRDefault="00D47D26"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D47D26" w:rsidRPr="002F304B" w:rsidRDefault="00D47D26"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7" w:type="pct"/>
            <w:vAlign w:val="center"/>
          </w:tcPr>
          <w:p w:rsidR="00D47D26" w:rsidRPr="002F304B" w:rsidRDefault="00D47D26"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r>
      <w:tr w:rsidR="00D47D26" w:rsidRPr="00D47D26" w:rsidTr="00D47D26">
        <w:tc>
          <w:tcPr>
            <w:tcW w:w="5000" w:type="pct"/>
            <w:gridSpan w:val="7"/>
          </w:tcPr>
          <w:p w:rsidR="00D47D26" w:rsidRPr="00D47D26" w:rsidRDefault="00D47D26" w:rsidP="00D47D26">
            <w:pPr>
              <w:rPr>
                <w:rFonts w:ascii="Arial Narrow" w:hAnsi="Arial Narrow"/>
                <w:b/>
                <w:sz w:val="20"/>
                <w:szCs w:val="20"/>
              </w:rPr>
            </w:pPr>
            <w:r w:rsidRPr="00D47D26">
              <w:rPr>
                <w:rFonts w:ascii="Arial Narrow" w:hAnsi="Arial Narrow"/>
                <w:b/>
                <w:sz w:val="20"/>
                <w:szCs w:val="20"/>
              </w:rPr>
              <w:t>Estimated PBS cost offsets for fingolimod</w:t>
            </w:r>
            <w:r w:rsidR="00B40106">
              <w:rPr>
                <w:rFonts w:ascii="Arial Narrow" w:hAnsi="Arial Narrow"/>
                <w:b/>
                <w:sz w:val="20"/>
                <w:szCs w:val="20"/>
                <w:vertAlign w:val="superscript"/>
              </w:rPr>
              <w:t>b</w:t>
            </w:r>
            <w:r w:rsidRPr="00D47D26">
              <w:rPr>
                <w:rFonts w:ascii="Arial Narrow" w:hAnsi="Arial Narrow"/>
                <w:b/>
                <w:sz w:val="20"/>
                <w:szCs w:val="20"/>
              </w:rPr>
              <w:t xml:space="preserve"> </w:t>
            </w:r>
            <w:r w:rsidRPr="00640913">
              <w:rPr>
                <w:rFonts w:ascii="Arial Narrow" w:hAnsi="Arial Narrow"/>
                <w:sz w:val="20"/>
                <w:szCs w:val="20"/>
              </w:rPr>
              <w:t>(published price</w:t>
            </w:r>
            <w:r w:rsidR="00244A2D" w:rsidRPr="00640913">
              <w:rPr>
                <w:rFonts w:ascii="Arial Narrow" w:hAnsi="Arial Narrow"/>
                <w:sz w:val="20"/>
                <w:szCs w:val="20"/>
              </w:rPr>
              <w:t>, less copayments</w:t>
            </w:r>
            <w:r w:rsidRPr="00640913">
              <w:rPr>
                <w:rFonts w:ascii="Arial Narrow" w:hAnsi="Arial Narrow"/>
                <w:sz w:val="20"/>
                <w:szCs w:val="20"/>
              </w:rPr>
              <w:t>)</w:t>
            </w:r>
          </w:p>
        </w:tc>
      </w:tr>
      <w:tr w:rsidR="00244A2D" w:rsidRPr="002F304B" w:rsidTr="00244A2D">
        <w:tc>
          <w:tcPr>
            <w:tcW w:w="869" w:type="pct"/>
          </w:tcPr>
          <w:p w:rsidR="00244A2D" w:rsidRPr="002F304B" w:rsidRDefault="00244A2D" w:rsidP="004025E1">
            <w:pPr>
              <w:pStyle w:val="TableText0"/>
              <w:spacing w:before="0" w:after="0"/>
              <w:rPr>
                <w:szCs w:val="20"/>
              </w:rPr>
            </w:pPr>
            <w:r>
              <w:rPr>
                <w:szCs w:val="20"/>
              </w:rPr>
              <w:t xml:space="preserve">November </w:t>
            </w:r>
            <w:r w:rsidRPr="002F304B">
              <w:rPr>
                <w:szCs w:val="20"/>
              </w:rPr>
              <w:t>2017</w:t>
            </w:r>
          </w:p>
        </w:tc>
        <w:tc>
          <w:tcPr>
            <w:tcW w:w="689" w:type="pct"/>
            <w:vAlign w:val="center"/>
          </w:tcPr>
          <w:p w:rsidR="00244A2D" w:rsidRPr="002F304B" w:rsidRDefault="00244A2D"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c>
          <w:tcPr>
            <w:tcW w:w="689" w:type="pct"/>
            <w:vAlign w:val="center"/>
          </w:tcPr>
          <w:p w:rsidR="00244A2D" w:rsidRPr="002F304B" w:rsidRDefault="00244A2D"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c>
          <w:tcPr>
            <w:tcW w:w="689" w:type="pct"/>
            <w:vAlign w:val="center"/>
          </w:tcPr>
          <w:p w:rsidR="00244A2D" w:rsidRPr="002F304B" w:rsidRDefault="00244A2D"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c>
          <w:tcPr>
            <w:tcW w:w="689" w:type="pct"/>
            <w:vAlign w:val="center"/>
          </w:tcPr>
          <w:p w:rsidR="00244A2D" w:rsidRPr="002F304B" w:rsidRDefault="00244A2D"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c>
          <w:tcPr>
            <w:tcW w:w="689" w:type="pct"/>
            <w:vAlign w:val="center"/>
          </w:tcPr>
          <w:p w:rsidR="00244A2D" w:rsidRPr="002F304B" w:rsidRDefault="00244A2D"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c>
          <w:tcPr>
            <w:tcW w:w="687" w:type="pct"/>
            <w:vAlign w:val="center"/>
          </w:tcPr>
          <w:p w:rsidR="00244A2D" w:rsidRPr="002F304B" w:rsidRDefault="00244A2D" w:rsidP="002F304B">
            <w:pPr>
              <w:pStyle w:val="TableText0"/>
              <w:spacing w:before="0" w:after="0"/>
              <w:jc w:val="center"/>
              <w:rPr>
                <w:bCs/>
                <w:color w:val="000000"/>
                <w:szCs w:val="20"/>
              </w:rPr>
            </w:pPr>
            <w:r w:rsidRPr="002F304B">
              <w:rPr>
                <w:rFonts w:eastAsia="Times New Roman" w:cs="Arial"/>
                <w:szCs w:val="20"/>
              </w:rPr>
              <w:t>$</w:t>
            </w:r>
            <w:r w:rsidR="00AA2608">
              <w:rPr>
                <w:rFonts w:eastAsia="Times New Roman" w:cs="Arial"/>
                <w:noProof/>
                <w:color w:val="000000"/>
                <w:szCs w:val="20"/>
                <w:highlight w:val="black"/>
              </w:rPr>
              <w:t>''''''''''''''''''''''''''''</w:t>
            </w:r>
          </w:p>
        </w:tc>
      </w:tr>
      <w:tr w:rsidR="00244A2D" w:rsidRPr="002F304B" w:rsidTr="00244A2D">
        <w:tc>
          <w:tcPr>
            <w:tcW w:w="869" w:type="pct"/>
          </w:tcPr>
          <w:p w:rsidR="00244A2D" w:rsidRPr="002F304B" w:rsidRDefault="00244A2D" w:rsidP="004025E1">
            <w:pPr>
              <w:rPr>
                <w:rFonts w:ascii="Arial Narrow" w:eastAsiaTheme="minorHAnsi" w:hAnsi="Arial Narrow" w:cstheme="minorBidi"/>
                <w:sz w:val="20"/>
                <w:szCs w:val="20"/>
              </w:rPr>
            </w:pPr>
            <w:r w:rsidRPr="002F304B">
              <w:rPr>
                <w:rFonts w:ascii="Arial Narrow" w:hAnsi="Arial Narrow"/>
                <w:sz w:val="20"/>
                <w:szCs w:val="20"/>
              </w:rPr>
              <w:t>Mar</w:t>
            </w:r>
            <w:r>
              <w:rPr>
                <w:rFonts w:ascii="Arial Narrow" w:hAnsi="Arial Narrow"/>
                <w:sz w:val="20"/>
                <w:szCs w:val="20"/>
              </w:rPr>
              <w:t>ch</w:t>
            </w:r>
            <w:r w:rsidRPr="002F304B">
              <w:rPr>
                <w:rFonts w:ascii="Arial Narrow" w:hAnsi="Arial Narrow"/>
                <w:sz w:val="20"/>
                <w:szCs w:val="20"/>
              </w:rPr>
              <w:t xml:space="preserve"> 2018</w:t>
            </w:r>
          </w:p>
        </w:tc>
        <w:tc>
          <w:tcPr>
            <w:tcW w:w="689" w:type="pct"/>
            <w:vAlign w:val="center"/>
          </w:tcPr>
          <w:p w:rsidR="00244A2D" w:rsidRPr="002F304B" w:rsidRDefault="00244A2D"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244A2D" w:rsidRPr="002F304B" w:rsidRDefault="00244A2D"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244A2D" w:rsidRPr="002F304B" w:rsidRDefault="00244A2D"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244A2D" w:rsidRPr="002F304B" w:rsidRDefault="00244A2D"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244A2D" w:rsidRPr="002F304B" w:rsidRDefault="00244A2D"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7" w:type="pct"/>
            <w:vAlign w:val="center"/>
          </w:tcPr>
          <w:p w:rsidR="00244A2D" w:rsidRPr="002F304B" w:rsidRDefault="00244A2D"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r>
      <w:tr w:rsidR="00D47D26" w:rsidRPr="00D47D26" w:rsidTr="00D47D26">
        <w:tc>
          <w:tcPr>
            <w:tcW w:w="5000" w:type="pct"/>
            <w:gridSpan w:val="7"/>
          </w:tcPr>
          <w:p w:rsidR="00D47D26" w:rsidRPr="00D47D26" w:rsidRDefault="00D47D26" w:rsidP="00D47D26">
            <w:pPr>
              <w:rPr>
                <w:rFonts w:ascii="Arial Narrow" w:hAnsi="Arial Narrow"/>
                <w:b/>
                <w:sz w:val="20"/>
                <w:szCs w:val="20"/>
              </w:rPr>
            </w:pPr>
            <w:r w:rsidRPr="00D47D26">
              <w:rPr>
                <w:rFonts w:ascii="Arial Narrow" w:hAnsi="Arial Narrow"/>
                <w:b/>
                <w:sz w:val="20"/>
                <w:szCs w:val="20"/>
              </w:rPr>
              <w:t>Estimated net cost to the PBS</w:t>
            </w:r>
          </w:p>
        </w:tc>
      </w:tr>
      <w:tr w:rsidR="00244A2D" w:rsidRPr="002F304B" w:rsidTr="00244A2D">
        <w:tc>
          <w:tcPr>
            <w:tcW w:w="869" w:type="pct"/>
          </w:tcPr>
          <w:p w:rsidR="00244A2D" w:rsidRPr="002F304B" w:rsidRDefault="00244A2D" w:rsidP="004025E1">
            <w:pPr>
              <w:pStyle w:val="TableText0"/>
              <w:spacing w:before="0" w:after="0"/>
              <w:rPr>
                <w:szCs w:val="20"/>
              </w:rPr>
            </w:pPr>
            <w:r>
              <w:rPr>
                <w:szCs w:val="20"/>
              </w:rPr>
              <w:t xml:space="preserve">November </w:t>
            </w:r>
            <w:r w:rsidRPr="002F304B">
              <w:rPr>
                <w:szCs w:val="20"/>
              </w:rPr>
              <w:t>2017</w:t>
            </w:r>
          </w:p>
        </w:tc>
        <w:tc>
          <w:tcPr>
            <w:tcW w:w="689" w:type="pct"/>
            <w:vAlign w:val="center"/>
          </w:tcPr>
          <w:p w:rsidR="00244A2D" w:rsidRPr="002F304B" w:rsidRDefault="00244A2D" w:rsidP="002F304B">
            <w:pPr>
              <w:pStyle w:val="TableText0"/>
              <w:spacing w:before="0" w:after="0"/>
              <w:jc w:val="center"/>
              <w:rPr>
                <w:bCs/>
                <w:color w:val="000000"/>
                <w:szCs w:val="20"/>
              </w:rPr>
            </w:pPr>
            <w:r w:rsidRPr="002F304B">
              <w:rPr>
                <w:rFonts w:eastAsia="Times New Roman" w:cs="Arial"/>
                <w:bCs/>
                <w:color w:val="000000"/>
                <w:szCs w:val="20"/>
              </w:rPr>
              <w:t>$</w:t>
            </w:r>
            <w:r w:rsidR="00AA2608">
              <w:rPr>
                <w:rFonts w:eastAsia="Times New Roman" w:cs="Arial"/>
                <w:bCs/>
                <w:noProof/>
                <w:color w:val="000000"/>
                <w:szCs w:val="20"/>
                <w:highlight w:val="black"/>
              </w:rPr>
              <w:t>'''''''''''''''''''''''''</w:t>
            </w:r>
          </w:p>
        </w:tc>
        <w:tc>
          <w:tcPr>
            <w:tcW w:w="689" w:type="pct"/>
            <w:vAlign w:val="center"/>
          </w:tcPr>
          <w:p w:rsidR="00244A2D" w:rsidRPr="002F304B" w:rsidRDefault="00244A2D" w:rsidP="002F304B">
            <w:pPr>
              <w:pStyle w:val="TableText0"/>
              <w:spacing w:before="0" w:after="0"/>
              <w:jc w:val="center"/>
              <w:rPr>
                <w:bCs/>
                <w:color w:val="000000"/>
                <w:szCs w:val="20"/>
              </w:rPr>
            </w:pPr>
            <w:r w:rsidRPr="002F304B">
              <w:rPr>
                <w:rFonts w:eastAsia="Times New Roman" w:cs="Arial"/>
                <w:bCs/>
                <w:color w:val="000000"/>
                <w:szCs w:val="20"/>
              </w:rPr>
              <w:t>$</w:t>
            </w:r>
            <w:r w:rsidR="00AA2608">
              <w:rPr>
                <w:rFonts w:eastAsia="Times New Roman" w:cs="Arial"/>
                <w:bCs/>
                <w:noProof/>
                <w:color w:val="000000"/>
                <w:szCs w:val="20"/>
                <w:highlight w:val="black"/>
              </w:rPr>
              <w:t>'''''''''''''''''''''''''''</w:t>
            </w:r>
          </w:p>
        </w:tc>
        <w:tc>
          <w:tcPr>
            <w:tcW w:w="689" w:type="pct"/>
            <w:vAlign w:val="center"/>
          </w:tcPr>
          <w:p w:rsidR="00244A2D" w:rsidRPr="002F304B" w:rsidRDefault="00244A2D" w:rsidP="002F304B">
            <w:pPr>
              <w:pStyle w:val="TableText0"/>
              <w:spacing w:before="0" w:after="0"/>
              <w:jc w:val="center"/>
              <w:rPr>
                <w:bCs/>
                <w:color w:val="000000"/>
                <w:szCs w:val="20"/>
              </w:rPr>
            </w:pPr>
            <w:r w:rsidRPr="002F304B">
              <w:rPr>
                <w:rFonts w:eastAsia="Times New Roman" w:cs="Arial"/>
                <w:bCs/>
                <w:color w:val="000000"/>
                <w:szCs w:val="20"/>
              </w:rPr>
              <w:t>$</w:t>
            </w:r>
            <w:r w:rsidR="00AA2608">
              <w:rPr>
                <w:rFonts w:eastAsia="Times New Roman" w:cs="Arial"/>
                <w:bCs/>
                <w:noProof/>
                <w:color w:val="000000"/>
                <w:szCs w:val="20"/>
                <w:highlight w:val="black"/>
              </w:rPr>
              <w:t>'''''''''''''''''''''''''''</w:t>
            </w:r>
          </w:p>
        </w:tc>
        <w:tc>
          <w:tcPr>
            <w:tcW w:w="689" w:type="pct"/>
            <w:vAlign w:val="center"/>
          </w:tcPr>
          <w:p w:rsidR="00244A2D" w:rsidRPr="002F304B" w:rsidRDefault="00244A2D" w:rsidP="002F304B">
            <w:pPr>
              <w:pStyle w:val="TableText0"/>
              <w:spacing w:before="0" w:after="0"/>
              <w:jc w:val="center"/>
              <w:rPr>
                <w:bCs/>
                <w:color w:val="000000"/>
                <w:szCs w:val="20"/>
              </w:rPr>
            </w:pPr>
            <w:r w:rsidRPr="00D47D26">
              <w:rPr>
                <w:rFonts w:eastAsia="Times New Roman" w:cs="Arial"/>
                <w:bCs/>
                <w:szCs w:val="20"/>
              </w:rPr>
              <w:t>–</w:t>
            </w:r>
            <w:r w:rsidRPr="002F304B">
              <w:rPr>
                <w:rFonts w:eastAsia="Times New Roman" w:cs="Arial"/>
                <w:bCs/>
                <w:szCs w:val="20"/>
              </w:rPr>
              <w:t>$</w:t>
            </w:r>
            <w:r w:rsidR="00AA2608">
              <w:rPr>
                <w:rFonts w:eastAsia="Times New Roman" w:cs="Arial"/>
                <w:bCs/>
                <w:noProof/>
                <w:color w:val="000000"/>
                <w:szCs w:val="20"/>
                <w:highlight w:val="black"/>
              </w:rPr>
              <w:t>'''''''''''''''''''''''''</w:t>
            </w:r>
          </w:p>
        </w:tc>
        <w:tc>
          <w:tcPr>
            <w:tcW w:w="689" w:type="pct"/>
            <w:vAlign w:val="center"/>
          </w:tcPr>
          <w:p w:rsidR="00244A2D" w:rsidRPr="002F304B" w:rsidRDefault="00244A2D" w:rsidP="002F304B">
            <w:pPr>
              <w:pStyle w:val="TableText0"/>
              <w:spacing w:before="0" w:after="0"/>
              <w:jc w:val="center"/>
              <w:rPr>
                <w:bCs/>
                <w:color w:val="000000"/>
                <w:szCs w:val="20"/>
              </w:rPr>
            </w:pPr>
            <w:r w:rsidRPr="002F304B">
              <w:rPr>
                <w:rFonts w:eastAsia="Times New Roman" w:cs="Arial"/>
                <w:bCs/>
                <w:color w:val="000000"/>
                <w:szCs w:val="20"/>
              </w:rPr>
              <w:t>$2</w:t>
            </w:r>
            <w:r w:rsidR="00AA2608">
              <w:rPr>
                <w:rFonts w:eastAsia="Times New Roman" w:cs="Arial"/>
                <w:bCs/>
                <w:noProof/>
                <w:color w:val="000000"/>
                <w:szCs w:val="20"/>
                <w:highlight w:val="black"/>
              </w:rPr>
              <w:t>'''''''''''''''''''''</w:t>
            </w:r>
          </w:p>
        </w:tc>
        <w:tc>
          <w:tcPr>
            <w:tcW w:w="687" w:type="pct"/>
            <w:vAlign w:val="center"/>
          </w:tcPr>
          <w:p w:rsidR="00244A2D" w:rsidRPr="002F304B" w:rsidRDefault="00244A2D" w:rsidP="002F304B">
            <w:pPr>
              <w:pStyle w:val="TableText0"/>
              <w:spacing w:before="0" w:after="0"/>
              <w:jc w:val="center"/>
              <w:rPr>
                <w:bCs/>
                <w:color w:val="000000"/>
                <w:szCs w:val="20"/>
              </w:rPr>
            </w:pPr>
            <w:r w:rsidRPr="002F304B">
              <w:rPr>
                <w:rFonts w:eastAsia="Times New Roman" w:cs="Arial"/>
                <w:bCs/>
                <w:color w:val="000000"/>
                <w:szCs w:val="20"/>
              </w:rPr>
              <w:t>$</w:t>
            </w:r>
            <w:r w:rsidR="00AA2608">
              <w:rPr>
                <w:rFonts w:eastAsia="Times New Roman" w:cs="Arial"/>
                <w:bCs/>
                <w:noProof/>
                <w:color w:val="000000"/>
                <w:szCs w:val="20"/>
                <w:highlight w:val="black"/>
              </w:rPr>
              <w:t>''''''''''''''''''''''''''</w:t>
            </w:r>
          </w:p>
        </w:tc>
      </w:tr>
      <w:tr w:rsidR="00244A2D" w:rsidRPr="002F304B" w:rsidTr="00244A2D">
        <w:tc>
          <w:tcPr>
            <w:tcW w:w="869" w:type="pct"/>
          </w:tcPr>
          <w:p w:rsidR="00244A2D" w:rsidRPr="002F304B" w:rsidRDefault="00244A2D" w:rsidP="004025E1">
            <w:pPr>
              <w:rPr>
                <w:rFonts w:ascii="Arial Narrow" w:eastAsiaTheme="minorHAnsi" w:hAnsi="Arial Narrow" w:cstheme="minorBidi"/>
                <w:sz w:val="20"/>
                <w:szCs w:val="20"/>
              </w:rPr>
            </w:pPr>
            <w:r w:rsidRPr="002F304B">
              <w:rPr>
                <w:rFonts w:ascii="Arial Narrow" w:hAnsi="Arial Narrow"/>
                <w:sz w:val="20"/>
                <w:szCs w:val="20"/>
              </w:rPr>
              <w:t>Mar</w:t>
            </w:r>
            <w:r>
              <w:rPr>
                <w:rFonts w:ascii="Arial Narrow" w:hAnsi="Arial Narrow"/>
                <w:sz w:val="20"/>
                <w:szCs w:val="20"/>
              </w:rPr>
              <w:t>ch</w:t>
            </w:r>
            <w:r w:rsidRPr="002F304B">
              <w:rPr>
                <w:rFonts w:ascii="Arial Narrow" w:hAnsi="Arial Narrow"/>
                <w:sz w:val="20"/>
                <w:szCs w:val="20"/>
              </w:rPr>
              <w:t xml:space="preserve"> 2018</w:t>
            </w:r>
          </w:p>
        </w:tc>
        <w:tc>
          <w:tcPr>
            <w:tcW w:w="689" w:type="pct"/>
            <w:vAlign w:val="center"/>
          </w:tcPr>
          <w:p w:rsidR="00244A2D" w:rsidRPr="002F304B" w:rsidRDefault="00244A2D"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244A2D" w:rsidRPr="002F304B" w:rsidRDefault="00244A2D"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244A2D" w:rsidRPr="002F304B" w:rsidRDefault="00244A2D"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244A2D" w:rsidRPr="002F304B" w:rsidRDefault="00244A2D" w:rsidP="002F304B">
            <w:pPr>
              <w:jc w:val="center"/>
              <w:rPr>
                <w:rFonts w:ascii="Arial Narrow" w:hAnsi="Arial Narrow"/>
                <w:sz w:val="20"/>
                <w:szCs w:val="20"/>
              </w:rPr>
            </w:pPr>
            <w:r>
              <w:rPr>
                <w:bCs/>
                <w:szCs w:val="20"/>
              </w:rPr>
              <w:t>–</w:t>
            </w: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9" w:type="pct"/>
            <w:vAlign w:val="center"/>
          </w:tcPr>
          <w:p w:rsidR="00244A2D" w:rsidRPr="002F304B" w:rsidRDefault="00244A2D" w:rsidP="002F304B">
            <w:pPr>
              <w:jc w:val="center"/>
              <w:rPr>
                <w:rFonts w:ascii="Arial Narrow" w:hAnsi="Arial Narrow"/>
                <w:sz w:val="20"/>
                <w:szCs w:val="20"/>
              </w:rPr>
            </w:pPr>
            <w:r>
              <w:rPr>
                <w:bCs/>
                <w:szCs w:val="20"/>
              </w:rPr>
              <w:t>–</w:t>
            </w:r>
            <w:r w:rsidRPr="002F304B">
              <w:rPr>
                <w:rFonts w:ascii="Arial Narrow" w:hAnsi="Arial Narrow"/>
                <w:sz w:val="20"/>
                <w:szCs w:val="20"/>
              </w:rPr>
              <w:t>$</w:t>
            </w:r>
            <w:r w:rsidR="00AA2608">
              <w:rPr>
                <w:rFonts w:ascii="Arial Narrow" w:hAnsi="Arial Narrow"/>
                <w:noProof/>
                <w:color w:val="000000"/>
                <w:sz w:val="20"/>
                <w:szCs w:val="20"/>
                <w:highlight w:val="black"/>
              </w:rPr>
              <w:t>'''''''''''''''''''''''''''''</w:t>
            </w:r>
          </w:p>
        </w:tc>
        <w:tc>
          <w:tcPr>
            <w:tcW w:w="687" w:type="pct"/>
            <w:vAlign w:val="center"/>
          </w:tcPr>
          <w:p w:rsidR="00244A2D" w:rsidRPr="002F304B" w:rsidRDefault="00244A2D" w:rsidP="002F304B">
            <w:pPr>
              <w:jc w:val="center"/>
              <w:rPr>
                <w:rFonts w:ascii="Arial Narrow" w:hAnsi="Arial Narrow"/>
                <w:sz w:val="20"/>
                <w:szCs w:val="20"/>
              </w:rPr>
            </w:pPr>
            <w:r w:rsidRPr="002F304B">
              <w:rPr>
                <w:rFonts w:ascii="Arial Narrow" w:hAnsi="Arial Narrow"/>
                <w:sz w:val="20"/>
                <w:szCs w:val="20"/>
              </w:rPr>
              <w:t>$</w:t>
            </w:r>
            <w:r w:rsidR="00AA2608">
              <w:rPr>
                <w:rFonts w:ascii="Arial Narrow" w:hAnsi="Arial Narrow"/>
                <w:noProof/>
                <w:color w:val="000000"/>
                <w:sz w:val="20"/>
                <w:szCs w:val="20"/>
                <w:highlight w:val="black"/>
              </w:rPr>
              <w:t>''''''''''''''''''''''''''</w:t>
            </w:r>
          </w:p>
        </w:tc>
      </w:tr>
    </w:tbl>
    <w:p w:rsidR="00B40106" w:rsidRDefault="00B40106" w:rsidP="00B40106">
      <w:pPr>
        <w:pStyle w:val="TableFooter"/>
        <w:tabs>
          <w:tab w:val="left" w:pos="284"/>
        </w:tabs>
      </w:pPr>
      <w:r>
        <w:rPr>
          <w:rFonts w:asciiTheme="minorHAnsi" w:eastAsiaTheme="minorHAnsi" w:hAnsiTheme="minorHAnsi" w:cstheme="minorBidi"/>
          <w:szCs w:val="22"/>
        </w:rPr>
        <w:t xml:space="preserve">a </w:t>
      </w:r>
      <w:r w:rsidRPr="00EA448D">
        <w:t>Assuming 2 scripts per year of treatment a</w:t>
      </w:r>
      <w:r>
        <w:t>s estimated by the resubmissions.</w:t>
      </w:r>
    </w:p>
    <w:p w:rsidR="0060715A" w:rsidRDefault="00B40106" w:rsidP="00B40106">
      <w:pPr>
        <w:pStyle w:val="TableFooter"/>
        <w:tabs>
          <w:tab w:val="left" w:pos="284"/>
        </w:tabs>
        <w:contextualSpacing w:val="0"/>
      </w:pPr>
      <w:r>
        <w:t xml:space="preserve">b The minor difference in the estimated PBS cost for fingolimod is due to the change in administration and handling fees in between the lodgement of the two resubmissions. Fingolimod DPMQ = $2,206.17 vs $2,207.81 applied in the November 2017 and March 2018 resubmissions, respectively. </w:t>
      </w:r>
    </w:p>
    <w:p w:rsidR="00473F36" w:rsidRPr="00473F36" w:rsidRDefault="00473F36" w:rsidP="00B40106">
      <w:pPr>
        <w:pStyle w:val="TableFooter"/>
        <w:tabs>
          <w:tab w:val="left" w:pos="284"/>
        </w:tabs>
        <w:rPr>
          <w:rFonts w:asciiTheme="minorHAnsi" w:hAnsiTheme="minorHAnsi"/>
          <w:sz w:val="24"/>
          <w:szCs w:val="24"/>
        </w:rPr>
      </w:pPr>
      <w:r>
        <w:rPr>
          <w:rFonts w:asciiTheme="minorHAnsi" w:hAnsiTheme="minorHAnsi"/>
          <w:sz w:val="24"/>
          <w:szCs w:val="24"/>
        </w:rPr>
        <w:t>The redacted table shows that at Year 6 the estimated number of patients was less than 10,000, and the March 2018 minor resubmission net cost to the PBS would be $10 - $20 million.</w:t>
      </w:r>
    </w:p>
    <w:p w:rsidR="00CC650E" w:rsidRPr="009A3C5A" w:rsidRDefault="00ED45EB" w:rsidP="00473F3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D45EB">
        <w:rPr>
          <w:rFonts w:asciiTheme="minorHAnsi" w:eastAsiaTheme="minorHAnsi" w:hAnsiTheme="minorHAnsi" w:cstheme="minorBidi"/>
          <w:snapToGrid/>
          <w:sz w:val="24"/>
          <w:szCs w:val="22"/>
        </w:rPr>
        <w:t>The minor resubmission argued that due to the dosing regimen for cladribine, the upfront cost of cladribine tablets in Years 4, 5 and 6 cannot be offset within the six-year time horizon specified by the PBAC</w:t>
      </w:r>
      <w:r w:rsidR="00BD7FBE">
        <w:rPr>
          <w:rFonts w:asciiTheme="minorHAnsi" w:eastAsiaTheme="minorHAnsi" w:hAnsiTheme="minorHAnsi" w:cstheme="minorBidi"/>
          <w:snapToGrid/>
          <w:sz w:val="24"/>
          <w:szCs w:val="22"/>
        </w:rPr>
        <w:t xml:space="preserve"> guidelines</w:t>
      </w:r>
      <w:r w:rsidRPr="00ED45EB">
        <w:rPr>
          <w:rFonts w:asciiTheme="minorHAnsi" w:eastAsiaTheme="minorHAnsi" w:hAnsiTheme="minorHAnsi" w:cstheme="minorBidi"/>
          <w:snapToGrid/>
          <w:sz w:val="24"/>
          <w:szCs w:val="22"/>
        </w:rPr>
        <w:t xml:space="preserve">, therefore the net financial impact of listing cladribine will never be zero in any given year.  </w:t>
      </w:r>
    </w:p>
    <w:p w:rsidR="000042AF" w:rsidRDefault="000042AF" w:rsidP="0060715A">
      <w:pPr>
        <w:spacing w:after="120"/>
        <w:ind w:firstLine="720"/>
        <w:rPr>
          <w:rFonts w:asciiTheme="minorHAnsi" w:eastAsiaTheme="minorHAnsi" w:hAnsiTheme="minorHAnsi" w:cstheme="minorBidi"/>
          <w:i/>
        </w:rPr>
      </w:pPr>
      <w:r w:rsidRPr="00806713">
        <w:rPr>
          <w:rFonts w:asciiTheme="minorHAnsi" w:eastAsiaTheme="minorHAnsi" w:hAnsiTheme="minorHAnsi" w:cstheme="minorBidi"/>
          <w:i/>
        </w:rPr>
        <w:t>For more detail on PBAC’s view, see section 6</w:t>
      </w:r>
      <w:r w:rsidR="00806713">
        <w:rPr>
          <w:rFonts w:asciiTheme="minorHAnsi" w:eastAsiaTheme="minorHAnsi" w:hAnsiTheme="minorHAnsi" w:cstheme="minorBidi"/>
          <w:i/>
        </w:rPr>
        <w:t xml:space="preserve"> PBAC outcome</w:t>
      </w:r>
    </w:p>
    <w:p w:rsidR="000042AF" w:rsidRPr="0060715A" w:rsidRDefault="000042AF" w:rsidP="00053440">
      <w:pPr>
        <w:pStyle w:val="PBACHeading1"/>
        <w:spacing w:before="240" w:after="120"/>
      </w:pPr>
      <w:r w:rsidRPr="0060715A">
        <w:t>PBAC Outcome</w:t>
      </w:r>
    </w:p>
    <w:p w:rsidR="00C57174" w:rsidRPr="00A05045" w:rsidRDefault="00A52280" w:rsidP="00C57174">
      <w:pPr>
        <w:pStyle w:val="ListParagraph"/>
        <w:widowControl/>
        <w:numPr>
          <w:ilvl w:val="1"/>
          <w:numId w:val="14"/>
        </w:numPr>
        <w:spacing w:after="120"/>
        <w:contextualSpacing w:val="0"/>
        <w:rPr>
          <w:rFonts w:asciiTheme="minorHAnsi" w:eastAsiaTheme="minorHAnsi" w:hAnsiTheme="minorHAnsi" w:cstheme="minorBidi"/>
          <w:snapToGrid/>
          <w:sz w:val="24"/>
          <w:szCs w:val="24"/>
        </w:rPr>
      </w:pPr>
      <w:r w:rsidRPr="00A05045">
        <w:rPr>
          <w:rFonts w:asciiTheme="minorHAnsi" w:hAnsiTheme="minorHAnsi"/>
          <w:bCs/>
          <w:sz w:val="24"/>
          <w:szCs w:val="24"/>
          <w:lang w:val="en-GB"/>
        </w:rPr>
        <w:t xml:space="preserve">The PBAC did not recommend the listing of cladribine for the treatment of </w:t>
      </w:r>
      <w:r w:rsidRPr="00A05045">
        <w:rPr>
          <w:rFonts w:asciiTheme="minorHAnsi" w:hAnsiTheme="minorHAnsi"/>
          <w:bCs/>
          <w:sz w:val="24"/>
          <w:szCs w:val="24"/>
        </w:rPr>
        <w:t xml:space="preserve">relapsing remitting multiple sclerosis (RRMS), on the basis of uncertainty in the non-inferior efficacy claim of cladribine versus fingolimod over two and four years. The PBAC recalled that in November 2017 it considered there was insufficient clinical evidence to support the time horizon of four years for estimating the equi-effective doses of cladribine and fingolimod. The PBAC noted that the minor resubmission did not provide additional clinical evidence to address its concerns. Therefore, the PBAC again did not accept two years of cladribine treatment versus four years of fingolimod treatment as the basis for the cost-minimisation analysis proposed by the </w:t>
      </w:r>
      <w:r w:rsidRPr="00A05045">
        <w:rPr>
          <w:rFonts w:asciiTheme="minorHAnsi" w:eastAsiaTheme="minorHAnsi" w:hAnsiTheme="minorHAnsi" w:cstheme="minorBidi"/>
          <w:snapToGrid/>
          <w:sz w:val="24"/>
          <w:szCs w:val="24"/>
        </w:rPr>
        <w:t>minor resubmission. The PBAC noted that there remained significant uncertainties in the financial analysis, including the persistence rates assumed by the resubmission. The PBAC further noted that the financial analysis estimated a significant net cost to the PBS, which undermines the first principles of a cost minimisation analysis.</w:t>
      </w:r>
      <w:r w:rsidR="00C57174" w:rsidRPr="00A05045">
        <w:rPr>
          <w:rFonts w:asciiTheme="minorHAnsi" w:eastAsiaTheme="minorHAnsi" w:hAnsiTheme="minorHAnsi" w:cstheme="minorBidi"/>
          <w:snapToGrid/>
          <w:sz w:val="24"/>
          <w:szCs w:val="24"/>
        </w:rPr>
        <w:t xml:space="preserve"> </w:t>
      </w:r>
    </w:p>
    <w:p w:rsidR="00C57174" w:rsidRPr="00A05045" w:rsidRDefault="00C57174" w:rsidP="00C57174">
      <w:pPr>
        <w:pStyle w:val="ListParagraph"/>
        <w:widowControl/>
        <w:numPr>
          <w:ilvl w:val="1"/>
          <w:numId w:val="14"/>
        </w:numPr>
        <w:spacing w:after="120"/>
        <w:contextualSpacing w:val="0"/>
        <w:rPr>
          <w:rFonts w:asciiTheme="minorHAnsi" w:hAnsiTheme="minorHAnsi"/>
          <w:bCs/>
          <w:sz w:val="24"/>
          <w:szCs w:val="24"/>
        </w:rPr>
      </w:pPr>
      <w:r w:rsidRPr="00A05045">
        <w:rPr>
          <w:rFonts w:asciiTheme="minorHAnsi" w:eastAsiaTheme="minorHAnsi" w:hAnsiTheme="minorHAnsi" w:cstheme="minorBidi"/>
          <w:snapToGrid/>
          <w:sz w:val="24"/>
          <w:szCs w:val="24"/>
        </w:rPr>
        <w:t xml:space="preserve">The PBAC noted the consumer comments that patients and clinicians value additional treatment options for multiple sclerosis. The PBAC </w:t>
      </w:r>
      <w:r w:rsidR="00A05045">
        <w:rPr>
          <w:rFonts w:asciiTheme="minorHAnsi" w:eastAsiaTheme="minorHAnsi" w:hAnsiTheme="minorHAnsi" w:cstheme="minorBidi"/>
          <w:snapToGrid/>
          <w:sz w:val="24"/>
          <w:szCs w:val="24"/>
        </w:rPr>
        <w:t xml:space="preserve">also </w:t>
      </w:r>
      <w:r w:rsidRPr="00A05045">
        <w:rPr>
          <w:rFonts w:asciiTheme="minorHAnsi" w:eastAsiaTheme="minorHAnsi" w:hAnsiTheme="minorHAnsi" w:cstheme="minorBidi"/>
          <w:snapToGrid/>
          <w:sz w:val="24"/>
          <w:szCs w:val="24"/>
        </w:rPr>
        <w:t>noted consumers’ perceived cladribine as a medicine with a good safety profile and ease of administration</w:t>
      </w:r>
      <w:r w:rsidRPr="00A05045">
        <w:rPr>
          <w:rFonts w:asciiTheme="minorHAnsi" w:hAnsiTheme="minorHAnsi"/>
          <w:bCs/>
          <w:sz w:val="24"/>
          <w:szCs w:val="24"/>
        </w:rPr>
        <w:t xml:space="preserve">. </w:t>
      </w:r>
    </w:p>
    <w:p w:rsidR="00A52280" w:rsidRPr="00A05045" w:rsidRDefault="00C57174" w:rsidP="00084D0D">
      <w:pPr>
        <w:widowControl w:val="0"/>
        <w:numPr>
          <w:ilvl w:val="1"/>
          <w:numId w:val="5"/>
        </w:numPr>
        <w:spacing w:after="120"/>
        <w:jc w:val="both"/>
        <w:rPr>
          <w:rFonts w:asciiTheme="minorHAnsi" w:hAnsiTheme="minorHAnsi" w:cs="Arial"/>
          <w:bCs/>
          <w:snapToGrid w:val="0"/>
          <w:lang w:val="en-GB" w:eastAsia="en-US"/>
        </w:rPr>
      </w:pPr>
      <w:r w:rsidRPr="00A05045">
        <w:rPr>
          <w:rFonts w:asciiTheme="minorHAnsi" w:hAnsiTheme="minorHAnsi" w:cs="Arial"/>
          <w:bCs/>
          <w:snapToGrid w:val="0"/>
          <w:lang w:val="en-GB" w:eastAsia="en-US"/>
        </w:rPr>
        <w:t xml:space="preserve">The PBAC noted the minor resubmission’s arguments for the </w:t>
      </w:r>
      <w:r w:rsidR="00A05045">
        <w:rPr>
          <w:rFonts w:asciiTheme="minorHAnsi" w:hAnsiTheme="minorHAnsi" w:cs="Arial"/>
          <w:bCs/>
          <w:snapToGrid w:val="0"/>
          <w:lang w:val="en-GB" w:eastAsia="en-US"/>
        </w:rPr>
        <w:t xml:space="preserve">use of the </w:t>
      </w:r>
      <w:r w:rsidRPr="00A05045">
        <w:rPr>
          <w:rFonts w:asciiTheme="minorHAnsi" w:hAnsiTheme="minorHAnsi" w:cs="Arial"/>
          <w:bCs/>
          <w:snapToGrid w:val="0"/>
          <w:lang w:val="en-GB" w:eastAsia="en-US"/>
        </w:rPr>
        <w:t>MCID used in the ocrelizumab submission for RRMS (July 2017)</w:t>
      </w:r>
      <w:r w:rsidR="00A05045">
        <w:rPr>
          <w:rFonts w:asciiTheme="minorHAnsi" w:hAnsiTheme="minorHAnsi" w:cs="Arial"/>
          <w:bCs/>
          <w:snapToGrid w:val="0"/>
          <w:lang w:val="en-GB" w:eastAsia="en-US"/>
        </w:rPr>
        <w:t xml:space="preserve"> in assessing the efficacy of cladribine</w:t>
      </w:r>
      <w:r w:rsidRPr="00A05045">
        <w:rPr>
          <w:rFonts w:asciiTheme="minorHAnsi" w:hAnsiTheme="minorHAnsi" w:cs="Arial"/>
          <w:bCs/>
          <w:snapToGrid w:val="0"/>
          <w:lang w:val="en-GB" w:eastAsia="en-US"/>
        </w:rPr>
        <w:t xml:space="preserve">, however </w:t>
      </w:r>
      <w:r w:rsidR="00A05045">
        <w:rPr>
          <w:rFonts w:asciiTheme="minorHAnsi" w:hAnsiTheme="minorHAnsi" w:cs="Arial"/>
          <w:bCs/>
          <w:snapToGrid w:val="0"/>
          <w:lang w:val="en-GB" w:eastAsia="en-US"/>
        </w:rPr>
        <w:t xml:space="preserve">it </w:t>
      </w:r>
      <w:r w:rsidRPr="00A05045">
        <w:rPr>
          <w:rFonts w:asciiTheme="minorHAnsi" w:hAnsiTheme="minorHAnsi" w:cs="Arial"/>
          <w:bCs/>
          <w:snapToGrid w:val="0"/>
          <w:lang w:val="en-GB" w:eastAsia="en-US"/>
        </w:rPr>
        <w:t xml:space="preserve">recalled that the Committee recommended ocrelizumab based on the totality of the evidence presented in that submission, and not on the basis of the </w:t>
      </w:r>
      <w:r w:rsidR="00A05045">
        <w:rPr>
          <w:rFonts w:asciiTheme="minorHAnsi" w:hAnsiTheme="minorHAnsi" w:cs="Arial"/>
          <w:bCs/>
          <w:snapToGrid w:val="0"/>
          <w:lang w:val="en-GB" w:eastAsia="en-US"/>
        </w:rPr>
        <w:t xml:space="preserve">proposed </w:t>
      </w:r>
      <w:r w:rsidRPr="00A05045">
        <w:rPr>
          <w:rFonts w:asciiTheme="minorHAnsi" w:hAnsiTheme="minorHAnsi" w:cs="Arial"/>
          <w:bCs/>
          <w:snapToGrid w:val="0"/>
          <w:lang w:val="en-GB" w:eastAsia="en-US"/>
        </w:rPr>
        <w:t xml:space="preserve">MCID. The PBAC noted that the minor resubmission did not address its concerns regarding the uncertainty in the non-inferior efficacy between cladribine and fingolimod over four years, or uncertainty in the non-inferior safety between cladribine and fingolimod. The PBAC therefore considered that the uncertainty in the non-inferior efficacy claim over </w:t>
      </w:r>
      <w:r w:rsidR="00CD35CB">
        <w:rPr>
          <w:rFonts w:asciiTheme="minorHAnsi" w:hAnsiTheme="minorHAnsi" w:cs="Arial"/>
          <w:bCs/>
          <w:snapToGrid w:val="0"/>
          <w:lang w:val="en-GB" w:eastAsia="en-US"/>
        </w:rPr>
        <w:t xml:space="preserve">two and </w:t>
      </w:r>
      <w:r w:rsidRPr="00A05045">
        <w:rPr>
          <w:rFonts w:asciiTheme="minorHAnsi" w:hAnsiTheme="minorHAnsi" w:cs="Arial"/>
          <w:bCs/>
          <w:snapToGrid w:val="0"/>
          <w:lang w:val="en-GB" w:eastAsia="en-US"/>
        </w:rPr>
        <w:t xml:space="preserve">four years, and non-inferior safety claim between cladribine and fingolimod, remained. </w:t>
      </w:r>
    </w:p>
    <w:p w:rsidR="00C57174" w:rsidRPr="00A05045" w:rsidRDefault="00C57174" w:rsidP="00084D0D">
      <w:pPr>
        <w:widowControl w:val="0"/>
        <w:numPr>
          <w:ilvl w:val="1"/>
          <w:numId w:val="5"/>
        </w:numPr>
        <w:spacing w:after="120"/>
        <w:jc w:val="both"/>
        <w:rPr>
          <w:rFonts w:asciiTheme="minorHAnsi" w:hAnsiTheme="minorHAnsi" w:cs="Arial"/>
          <w:bCs/>
          <w:snapToGrid w:val="0"/>
          <w:lang w:val="en-GB" w:eastAsia="en-US"/>
        </w:rPr>
      </w:pPr>
      <w:r w:rsidRPr="00A05045">
        <w:rPr>
          <w:rFonts w:asciiTheme="minorHAnsi" w:hAnsiTheme="minorHAnsi" w:cs="Arial"/>
          <w:bCs/>
          <w:snapToGrid w:val="0"/>
          <w:lang w:val="en-GB" w:eastAsia="en-US"/>
        </w:rPr>
        <w:t>The PBAC noted that the DPMQ proposed by the minor resubmission was substantially reduced from $</w:t>
      </w:r>
      <w:r w:rsidR="00AA2608">
        <w:rPr>
          <w:rFonts w:asciiTheme="minorHAnsi" w:hAnsiTheme="minorHAnsi" w:cs="Arial"/>
          <w:bCs/>
          <w:noProof/>
          <w:snapToGrid w:val="0"/>
          <w:color w:val="000000"/>
          <w:highlight w:val="black"/>
          <w:lang w:val="en-GB" w:eastAsia="en-US"/>
        </w:rPr>
        <w:t>''''''''''''''''''''</w:t>
      </w:r>
      <w:r w:rsidRPr="00A05045">
        <w:rPr>
          <w:rFonts w:asciiTheme="minorHAnsi" w:hAnsiTheme="minorHAnsi" w:cs="Arial"/>
          <w:bCs/>
          <w:snapToGrid w:val="0"/>
          <w:lang w:val="en-GB" w:eastAsia="en-US"/>
        </w:rPr>
        <w:t xml:space="preserve"> in the November 2017 resubmission to $</w:t>
      </w:r>
      <w:r w:rsidR="00AA2608">
        <w:rPr>
          <w:rFonts w:asciiTheme="minorHAnsi" w:hAnsiTheme="minorHAnsi" w:cs="Arial"/>
          <w:bCs/>
          <w:noProof/>
          <w:snapToGrid w:val="0"/>
          <w:color w:val="000000"/>
          <w:highlight w:val="black"/>
          <w:lang w:val="en-GB" w:eastAsia="en-US"/>
        </w:rPr>
        <w:t>''''''''''''''''''''</w:t>
      </w:r>
      <w:r w:rsidRPr="00A05045">
        <w:rPr>
          <w:rFonts w:asciiTheme="minorHAnsi" w:hAnsiTheme="minorHAnsi" w:cs="Arial"/>
          <w:bCs/>
          <w:snapToGrid w:val="0"/>
          <w:lang w:val="en-GB" w:eastAsia="en-US"/>
        </w:rPr>
        <w:t xml:space="preserve"> to the current minor resubmission</w:t>
      </w:r>
      <w:r w:rsidR="000E5FF5" w:rsidRPr="00A05045">
        <w:rPr>
          <w:rFonts w:asciiTheme="minorHAnsi" w:hAnsiTheme="minorHAnsi" w:cs="Arial"/>
          <w:bCs/>
          <w:snapToGrid w:val="0"/>
          <w:lang w:val="en-GB" w:eastAsia="en-US"/>
        </w:rPr>
        <w:t xml:space="preserve">. However, the PBAC noted that this was predominately due to a lower number of tablets (from ten to seven) for the maximum quantity requested, rather than a reduction in the price per tablet of cladribine. </w:t>
      </w:r>
    </w:p>
    <w:p w:rsidR="00BF3D4E" w:rsidRPr="00A05045" w:rsidRDefault="00BF3D4E" w:rsidP="00084D0D">
      <w:pPr>
        <w:widowControl w:val="0"/>
        <w:numPr>
          <w:ilvl w:val="1"/>
          <w:numId w:val="5"/>
        </w:numPr>
        <w:spacing w:after="120"/>
        <w:jc w:val="both"/>
        <w:rPr>
          <w:rFonts w:asciiTheme="minorHAnsi" w:hAnsiTheme="minorHAnsi" w:cs="Arial"/>
          <w:bCs/>
          <w:snapToGrid w:val="0"/>
          <w:lang w:val="en-GB" w:eastAsia="en-US"/>
        </w:rPr>
      </w:pPr>
      <w:r w:rsidRPr="00A05045">
        <w:rPr>
          <w:rFonts w:asciiTheme="minorHAnsi" w:hAnsiTheme="minorHAnsi" w:cs="Arial"/>
          <w:bCs/>
          <w:snapToGrid w:val="0"/>
          <w:lang w:val="en-GB" w:eastAsia="en-US"/>
        </w:rPr>
        <w:t xml:space="preserve">The PBAC noted that the total financial impact was reduced substantially from </w:t>
      </w:r>
      <w:r w:rsidR="00473F36">
        <w:rPr>
          <w:rFonts w:asciiTheme="minorHAnsi" w:hAnsiTheme="minorHAnsi" w:cs="Arial"/>
          <w:bCs/>
          <w:snapToGrid w:val="0"/>
          <w:lang w:val="en-GB" w:eastAsia="en-US"/>
        </w:rPr>
        <w:t>more than $100 million</w:t>
      </w:r>
      <w:r w:rsidRPr="00A05045">
        <w:rPr>
          <w:rFonts w:asciiTheme="minorHAnsi" w:hAnsiTheme="minorHAnsi" w:cs="Arial"/>
          <w:bCs/>
          <w:snapToGrid w:val="0"/>
          <w:lang w:val="en-GB" w:eastAsia="en-US"/>
        </w:rPr>
        <w:t xml:space="preserve"> to </w:t>
      </w:r>
      <w:r w:rsidR="00473F36">
        <w:rPr>
          <w:rFonts w:asciiTheme="minorHAnsi" w:hAnsiTheme="minorHAnsi" w:cs="Arial"/>
          <w:bCs/>
          <w:snapToGrid w:val="0"/>
          <w:lang w:val="en-GB" w:eastAsia="en-US"/>
        </w:rPr>
        <w:t>$30 – 60</w:t>
      </w:r>
      <w:r w:rsidRPr="00A05045">
        <w:rPr>
          <w:rFonts w:asciiTheme="minorHAnsi" w:hAnsiTheme="minorHAnsi" w:cs="Arial"/>
          <w:bCs/>
          <w:snapToGrid w:val="0"/>
          <w:lang w:val="en-GB" w:eastAsia="en-US"/>
        </w:rPr>
        <w:t xml:space="preserve"> million over six years. The PBAC noted the minor resubmission’s arguments that due to the dosing regimen for cladribine, the upfront costs of cladribine in Years 4, 5 and 6 cannot be offset within the six-year time horizon specified by the PBAC Guidelines. However, the PBAC considered that this scenario may only be reasonable if the non-inferior efficacy claim of cladribine versus fingolimod over four years was accepted. Given that the PBAC did not accept the claim that cladribine is non-inferior to fingolimod in terms of efficacy over four years, it did not accept this as the basis for estimating the equi-effective doses of cladribine and fingolimod, or as the basis for the financial analyses. </w:t>
      </w:r>
    </w:p>
    <w:p w:rsidR="00C12DCD" w:rsidRPr="00A05045" w:rsidRDefault="00C12DCD" w:rsidP="00084D0D">
      <w:pPr>
        <w:widowControl w:val="0"/>
        <w:numPr>
          <w:ilvl w:val="1"/>
          <w:numId w:val="5"/>
        </w:numPr>
        <w:spacing w:after="120"/>
        <w:jc w:val="both"/>
        <w:rPr>
          <w:rFonts w:asciiTheme="minorHAnsi" w:hAnsiTheme="minorHAnsi" w:cs="Arial"/>
          <w:bCs/>
          <w:snapToGrid w:val="0"/>
          <w:lang w:val="en-GB" w:eastAsia="en-US"/>
        </w:rPr>
      </w:pPr>
      <w:r w:rsidRPr="00A05045">
        <w:rPr>
          <w:rFonts w:asciiTheme="minorHAnsi" w:hAnsiTheme="minorHAnsi" w:cs="Arial"/>
          <w:bCs/>
          <w:snapToGrid w:val="0"/>
          <w:lang w:val="en-GB" w:eastAsia="en-US"/>
        </w:rPr>
        <w:t xml:space="preserve">The PBAC recalled that it previously advised that cladribine is not suitable for prescribing by nurse practitioners and that the Early Supply Rule should not apply. The PBAC also advised that cladribine should not be treated as interchangeable on an individual patient basis with any other drugs under Section 101(3BA) of the National Health Act, 1953. </w:t>
      </w:r>
    </w:p>
    <w:p w:rsidR="00C12DCD" w:rsidRPr="00A05045" w:rsidRDefault="002B0D03" w:rsidP="00084D0D">
      <w:pPr>
        <w:widowControl w:val="0"/>
        <w:numPr>
          <w:ilvl w:val="1"/>
          <w:numId w:val="5"/>
        </w:numPr>
        <w:spacing w:after="120"/>
        <w:jc w:val="both"/>
        <w:rPr>
          <w:rFonts w:asciiTheme="minorHAnsi" w:hAnsiTheme="minorHAnsi" w:cs="Arial"/>
          <w:bCs/>
          <w:snapToGrid w:val="0"/>
          <w:lang w:val="en-GB" w:eastAsia="en-US"/>
        </w:rPr>
      </w:pPr>
      <w:r w:rsidRPr="00A05045">
        <w:rPr>
          <w:rFonts w:asciiTheme="minorHAnsi" w:hAnsiTheme="minorHAnsi" w:cs="Arial"/>
          <w:bCs/>
          <w:snapToGrid w:val="0"/>
          <w:lang w:val="en-GB" w:eastAsia="en-US"/>
        </w:rPr>
        <w:t>The PBAC noted that this submission is eligible for an Independent Review.</w:t>
      </w:r>
    </w:p>
    <w:p w:rsidR="000042AF" w:rsidRPr="00A05045" w:rsidRDefault="000042AF" w:rsidP="00053440">
      <w:pPr>
        <w:spacing w:before="240"/>
        <w:jc w:val="both"/>
        <w:rPr>
          <w:rFonts w:asciiTheme="minorHAnsi" w:hAnsiTheme="minorHAnsi" w:cs="Arial"/>
          <w:b/>
          <w:bCs/>
          <w:snapToGrid w:val="0"/>
          <w:lang w:val="en-GB" w:eastAsia="en-US"/>
        </w:rPr>
      </w:pPr>
      <w:r w:rsidRPr="00A05045">
        <w:rPr>
          <w:rFonts w:asciiTheme="minorHAnsi" w:hAnsiTheme="minorHAnsi" w:cs="Arial"/>
          <w:b/>
          <w:bCs/>
          <w:snapToGrid w:val="0"/>
          <w:lang w:val="en-GB" w:eastAsia="en-US"/>
        </w:rPr>
        <w:t>Outcome:</w:t>
      </w:r>
    </w:p>
    <w:p w:rsidR="000042AF" w:rsidRDefault="000042AF" w:rsidP="002B0D03">
      <w:pPr>
        <w:tabs>
          <w:tab w:val="left" w:pos="5742"/>
        </w:tabs>
        <w:spacing w:after="120"/>
        <w:jc w:val="both"/>
        <w:rPr>
          <w:rFonts w:asciiTheme="minorHAnsi" w:hAnsiTheme="minorHAnsi" w:cs="Arial"/>
          <w:bCs/>
          <w:snapToGrid w:val="0"/>
          <w:lang w:val="en-GB" w:eastAsia="en-US"/>
        </w:rPr>
      </w:pPr>
      <w:r w:rsidRPr="00A05045">
        <w:rPr>
          <w:rFonts w:asciiTheme="minorHAnsi" w:hAnsiTheme="minorHAnsi" w:cs="Arial"/>
          <w:bCs/>
          <w:snapToGrid w:val="0"/>
          <w:lang w:val="en-GB" w:eastAsia="en-US"/>
        </w:rPr>
        <w:t>Reje</w:t>
      </w:r>
      <w:r w:rsidR="002B0D03" w:rsidRPr="00A05045">
        <w:rPr>
          <w:rFonts w:asciiTheme="minorHAnsi" w:hAnsiTheme="minorHAnsi" w:cs="Arial"/>
          <w:bCs/>
          <w:snapToGrid w:val="0"/>
          <w:lang w:val="en-GB" w:eastAsia="en-US"/>
        </w:rPr>
        <w:t xml:space="preserve">cted </w:t>
      </w:r>
    </w:p>
    <w:p w:rsidR="000D6C09" w:rsidRPr="00053440" w:rsidRDefault="000D6C09" w:rsidP="00053440">
      <w:pPr>
        <w:pStyle w:val="PBACHeading1"/>
        <w:keepNext/>
        <w:widowControl w:val="0"/>
        <w:spacing w:before="120" w:after="120"/>
        <w:rPr>
          <w:rFonts w:eastAsiaTheme="minorHAnsi"/>
        </w:rPr>
      </w:pPr>
      <w:r w:rsidRPr="00053440">
        <w:rPr>
          <w:rFonts w:eastAsiaTheme="minorHAnsi"/>
        </w:rPr>
        <w:t>Context for Decision</w:t>
      </w:r>
    </w:p>
    <w:p w:rsidR="000D6C09" w:rsidRDefault="000D6C09" w:rsidP="00053440">
      <w:pPr>
        <w:rPr>
          <w:rFonts w:asciiTheme="minorHAnsi" w:eastAsiaTheme="minorHAnsi" w:hAnsiTheme="minorHAnsi"/>
        </w:rPr>
      </w:pPr>
      <w:r>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D6C09" w:rsidRPr="000D6C09" w:rsidRDefault="000D6C09" w:rsidP="00053440">
      <w:pPr>
        <w:pStyle w:val="PBACHeading1"/>
        <w:spacing w:before="240" w:after="120"/>
        <w:rPr>
          <w:rFonts w:eastAsiaTheme="minorHAnsi"/>
        </w:rPr>
      </w:pPr>
      <w:r w:rsidRPr="000D6C09">
        <w:rPr>
          <w:rFonts w:eastAsiaTheme="minorHAnsi"/>
        </w:rPr>
        <w:t>Sponsor’s Comment</w:t>
      </w:r>
    </w:p>
    <w:p w:rsidR="000D6C09" w:rsidRPr="00053440" w:rsidRDefault="00826BB8" w:rsidP="00053440">
      <w:pPr>
        <w:rPr>
          <w:rFonts w:asciiTheme="minorHAnsi" w:hAnsiTheme="minorHAnsi" w:cs="Arial"/>
          <w:bCs/>
          <w:snapToGrid w:val="0"/>
          <w:lang w:val="en-GB" w:eastAsia="en-US"/>
        </w:rPr>
      </w:pPr>
      <w:r w:rsidRPr="00053440">
        <w:rPr>
          <w:rFonts w:asciiTheme="minorHAnsi" w:hAnsiTheme="minorHAnsi"/>
        </w:rPr>
        <w:t>Cladribine tablets have proven efficacy and safety, and a low monitoring burden. Their unique dosing regimen provides additional patient and carer benefits. Merck therefore remains intent on working with the PBAC to ensure that this important treatment option becomes available on the PBS for patients with RRMS.</w:t>
      </w:r>
    </w:p>
    <w:sectPr w:rsidR="000D6C09" w:rsidRPr="00053440"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08" w:rsidRDefault="00AA2608">
      <w:r>
        <w:separator/>
      </w:r>
    </w:p>
    <w:p w:rsidR="00AA2608" w:rsidRDefault="00AA2608"/>
  </w:endnote>
  <w:endnote w:type="continuationSeparator" w:id="0">
    <w:p w:rsidR="00AA2608" w:rsidRDefault="00AA2608">
      <w:r>
        <w:continuationSeparator/>
      </w:r>
    </w:p>
    <w:p w:rsidR="00AA2608" w:rsidRDefault="00AA2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26BB8" w:rsidTr="005A3173">
      <w:trPr>
        <w:trHeight w:val="151"/>
      </w:trPr>
      <w:tc>
        <w:tcPr>
          <w:tcW w:w="2250" w:type="pct"/>
          <w:tcBorders>
            <w:top w:val="nil"/>
            <w:left w:val="nil"/>
            <w:bottom w:val="single" w:sz="4" w:space="0" w:color="4F81BD"/>
            <w:right w:val="nil"/>
          </w:tcBorders>
        </w:tcPr>
        <w:p w:rsidR="00826BB8" w:rsidRPr="005A3173" w:rsidRDefault="00826BB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26BB8" w:rsidRPr="005A3173" w:rsidRDefault="00826B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26BB8" w:rsidRPr="005A3173" w:rsidRDefault="00826BB8" w:rsidP="005A3173">
          <w:pPr>
            <w:pStyle w:val="Header"/>
            <w:spacing w:line="276" w:lineRule="auto"/>
            <w:rPr>
              <w:rFonts w:ascii="Calibri" w:eastAsia="MS Gothic" w:hAnsi="Calibri"/>
              <w:b/>
              <w:bCs/>
              <w:color w:val="4F81BD"/>
            </w:rPr>
          </w:pPr>
        </w:p>
      </w:tc>
    </w:tr>
    <w:tr w:rsidR="00826BB8" w:rsidTr="005A3173">
      <w:trPr>
        <w:trHeight w:val="150"/>
      </w:trPr>
      <w:tc>
        <w:tcPr>
          <w:tcW w:w="2250" w:type="pct"/>
          <w:tcBorders>
            <w:top w:val="single" w:sz="4" w:space="0" w:color="4F81BD"/>
            <w:left w:val="nil"/>
            <w:bottom w:val="nil"/>
            <w:right w:val="nil"/>
          </w:tcBorders>
        </w:tcPr>
        <w:p w:rsidR="00826BB8" w:rsidRPr="005A3173" w:rsidRDefault="00826BB8" w:rsidP="005A3173">
          <w:pPr>
            <w:pStyle w:val="Header"/>
            <w:spacing w:line="276" w:lineRule="auto"/>
            <w:rPr>
              <w:rFonts w:ascii="Calibri" w:eastAsia="MS Gothic" w:hAnsi="Calibri"/>
              <w:b/>
              <w:bCs/>
              <w:color w:val="4F81BD"/>
            </w:rPr>
          </w:pPr>
        </w:p>
      </w:tc>
      <w:tc>
        <w:tcPr>
          <w:tcW w:w="0" w:type="auto"/>
          <w:vMerge/>
          <w:vAlign w:val="center"/>
          <w:hideMark/>
        </w:tcPr>
        <w:p w:rsidR="00826BB8" w:rsidRPr="005A3173" w:rsidRDefault="00826BB8" w:rsidP="005A3173">
          <w:pPr>
            <w:rPr>
              <w:rFonts w:ascii="Calibri" w:hAnsi="Calibri"/>
              <w:color w:val="365F91"/>
              <w:sz w:val="22"/>
              <w:szCs w:val="22"/>
            </w:rPr>
          </w:pPr>
        </w:p>
      </w:tc>
      <w:tc>
        <w:tcPr>
          <w:tcW w:w="2250" w:type="pct"/>
          <w:tcBorders>
            <w:top w:val="single" w:sz="4" w:space="0" w:color="4F81BD"/>
            <w:left w:val="nil"/>
            <w:bottom w:val="nil"/>
            <w:right w:val="nil"/>
          </w:tcBorders>
        </w:tcPr>
        <w:p w:rsidR="00826BB8" w:rsidRPr="005A3173" w:rsidRDefault="00826BB8" w:rsidP="005A3173">
          <w:pPr>
            <w:pStyle w:val="Header"/>
            <w:spacing w:line="276" w:lineRule="auto"/>
            <w:rPr>
              <w:rFonts w:ascii="Calibri" w:eastAsia="MS Gothic" w:hAnsi="Calibri"/>
              <w:b/>
              <w:bCs/>
              <w:color w:val="4F81BD"/>
            </w:rPr>
          </w:pPr>
        </w:p>
      </w:tc>
    </w:tr>
  </w:tbl>
  <w:p w:rsidR="00826BB8" w:rsidRDefault="00826BB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BB8" w:rsidRDefault="00826BB8">
    <w:pPr>
      <w:pStyle w:val="Footer"/>
    </w:pPr>
  </w:p>
  <w:p w:rsidR="00826BB8" w:rsidRDefault="00826B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B8" w:rsidRDefault="00826BB8" w:rsidP="00EF44A0">
    <w:pPr>
      <w:pStyle w:val="Footer"/>
      <w:jc w:val="center"/>
      <w:rPr>
        <w:rFonts w:ascii="Arial" w:hAnsi="Arial" w:cs="Arial"/>
        <w:b/>
        <w:sz w:val="20"/>
        <w:szCs w:val="20"/>
      </w:rPr>
    </w:pPr>
  </w:p>
  <w:p w:rsidR="00826BB8" w:rsidRPr="00F90A91" w:rsidRDefault="00826BB8" w:rsidP="000042AF">
    <w:pPr>
      <w:pStyle w:val="Footer"/>
      <w:ind w:left="360"/>
      <w:jc w:val="center"/>
      <w:rPr>
        <w:rFonts w:ascii="Calibri" w:hAnsi="Calibri" w:cs="Arial"/>
        <w:b/>
        <w:sz w:val="20"/>
      </w:rPr>
    </w:pPr>
  </w:p>
  <w:p w:rsidR="00826BB8" w:rsidRPr="00F90A91" w:rsidRDefault="00826BB8" w:rsidP="000042AF">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AA2608">
      <w:rPr>
        <w:rFonts w:ascii="Calibri" w:hAnsi="Calibri" w:cs="Arial"/>
        <w:b/>
        <w:noProof/>
        <w:sz w:val="20"/>
      </w:rPr>
      <w:t>1</w:t>
    </w:r>
    <w:r w:rsidRPr="00F90A91">
      <w:rPr>
        <w:rFonts w:ascii="Calibri" w:hAnsi="Calibri" w:cs="Arial"/>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26BB8" w:rsidTr="005A3173">
      <w:trPr>
        <w:trHeight w:val="151"/>
      </w:trPr>
      <w:tc>
        <w:tcPr>
          <w:tcW w:w="2250" w:type="pct"/>
          <w:tcBorders>
            <w:top w:val="nil"/>
            <w:left w:val="nil"/>
            <w:bottom w:val="single" w:sz="4" w:space="0" w:color="4F81BD"/>
            <w:right w:val="nil"/>
          </w:tcBorders>
        </w:tcPr>
        <w:p w:rsidR="00826BB8" w:rsidRPr="005A3173" w:rsidRDefault="00826BB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26BB8" w:rsidRPr="005A3173" w:rsidRDefault="00826B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26BB8" w:rsidRPr="005A3173" w:rsidRDefault="00826BB8" w:rsidP="005A3173">
          <w:pPr>
            <w:pStyle w:val="Header"/>
            <w:spacing w:line="276" w:lineRule="auto"/>
            <w:rPr>
              <w:rFonts w:ascii="Calibri" w:eastAsia="MS Gothic" w:hAnsi="Calibri"/>
              <w:b/>
              <w:bCs/>
              <w:color w:val="4F81BD"/>
            </w:rPr>
          </w:pPr>
        </w:p>
      </w:tc>
    </w:tr>
    <w:tr w:rsidR="00826BB8" w:rsidTr="005A3173">
      <w:trPr>
        <w:trHeight w:val="150"/>
      </w:trPr>
      <w:tc>
        <w:tcPr>
          <w:tcW w:w="2250" w:type="pct"/>
          <w:tcBorders>
            <w:top w:val="single" w:sz="4" w:space="0" w:color="4F81BD"/>
            <w:left w:val="nil"/>
            <w:bottom w:val="nil"/>
            <w:right w:val="nil"/>
          </w:tcBorders>
        </w:tcPr>
        <w:p w:rsidR="00826BB8" w:rsidRPr="005A3173" w:rsidRDefault="00826BB8" w:rsidP="005A3173">
          <w:pPr>
            <w:pStyle w:val="Header"/>
            <w:spacing w:line="276" w:lineRule="auto"/>
            <w:rPr>
              <w:rFonts w:ascii="Calibri" w:eastAsia="MS Gothic" w:hAnsi="Calibri"/>
              <w:b/>
              <w:bCs/>
              <w:color w:val="4F81BD"/>
            </w:rPr>
          </w:pPr>
        </w:p>
      </w:tc>
      <w:tc>
        <w:tcPr>
          <w:tcW w:w="0" w:type="auto"/>
          <w:vMerge/>
          <w:vAlign w:val="center"/>
          <w:hideMark/>
        </w:tcPr>
        <w:p w:rsidR="00826BB8" w:rsidRPr="005A3173" w:rsidRDefault="00826BB8" w:rsidP="005A3173">
          <w:pPr>
            <w:rPr>
              <w:rFonts w:ascii="Calibri" w:hAnsi="Calibri"/>
              <w:color w:val="365F91"/>
              <w:sz w:val="22"/>
              <w:szCs w:val="22"/>
            </w:rPr>
          </w:pPr>
        </w:p>
      </w:tc>
      <w:tc>
        <w:tcPr>
          <w:tcW w:w="2250" w:type="pct"/>
          <w:tcBorders>
            <w:top w:val="single" w:sz="4" w:space="0" w:color="4F81BD"/>
            <w:left w:val="nil"/>
            <w:bottom w:val="nil"/>
            <w:right w:val="nil"/>
          </w:tcBorders>
        </w:tcPr>
        <w:p w:rsidR="00826BB8" w:rsidRPr="005A3173" w:rsidRDefault="00826BB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26BB8" w:rsidTr="005A3173">
      <w:trPr>
        <w:trHeight w:val="151"/>
      </w:trPr>
      <w:tc>
        <w:tcPr>
          <w:tcW w:w="2250" w:type="pct"/>
          <w:tcBorders>
            <w:top w:val="nil"/>
            <w:left w:val="nil"/>
            <w:bottom w:val="single" w:sz="4" w:space="0" w:color="4F81BD"/>
            <w:right w:val="nil"/>
          </w:tcBorders>
        </w:tcPr>
        <w:p w:rsidR="00826BB8" w:rsidRPr="005A3173" w:rsidRDefault="00826BB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26BB8" w:rsidRPr="005A3173" w:rsidRDefault="00826B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26BB8" w:rsidRPr="005A3173" w:rsidRDefault="00826BB8" w:rsidP="005A3173">
          <w:pPr>
            <w:pStyle w:val="Header"/>
            <w:spacing w:line="276" w:lineRule="auto"/>
            <w:rPr>
              <w:rFonts w:ascii="Calibri" w:eastAsia="MS Gothic" w:hAnsi="Calibri"/>
              <w:b/>
              <w:bCs/>
              <w:color w:val="4F81BD"/>
            </w:rPr>
          </w:pPr>
        </w:p>
      </w:tc>
    </w:tr>
    <w:tr w:rsidR="00826BB8" w:rsidTr="005A3173">
      <w:trPr>
        <w:trHeight w:val="150"/>
      </w:trPr>
      <w:tc>
        <w:tcPr>
          <w:tcW w:w="2250" w:type="pct"/>
          <w:tcBorders>
            <w:top w:val="single" w:sz="4" w:space="0" w:color="4F81BD"/>
            <w:left w:val="nil"/>
            <w:bottom w:val="nil"/>
            <w:right w:val="nil"/>
          </w:tcBorders>
        </w:tcPr>
        <w:p w:rsidR="00826BB8" w:rsidRPr="005A3173" w:rsidRDefault="00826BB8" w:rsidP="005A3173">
          <w:pPr>
            <w:pStyle w:val="Header"/>
            <w:spacing w:line="276" w:lineRule="auto"/>
            <w:rPr>
              <w:rFonts w:ascii="Calibri" w:eastAsia="MS Gothic" w:hAnsi="Calibri"/>
              <w:b/>
              <w:bCs/>
              <w:color w:val="4F81BD"/>
            </w:rPr>
          </w:pPr>
        </w:p>
      </w:tc>
      <w:tc>
        <w:tcPr>
          <w:tcW w:w="0" w:type="auto"/>
          <w:vMerge/>
          <w:vAlign w:val="center"/>
          <w:hideMark/>
        </w:tcPr>
        <w:p w:rsidR="00826BB8" w:rsidRPr="005A3173" w:rsidRDefault="00826BB8" w:rsidP="005A3173">
          <w:pPr>
            <w:rPr>
              <w:rFonts w:ascii="Calibri" w:hAnsi="Calibri"/>
              <w:color w:val="365F91"/>
              <w:sz w:val="22"/>
              <w:szCs w:val="22"/>
            </w:rPr>
          </w:pPr>
        </w:p>
      </w:tc>
      <w:tc>
        <w:tcPr>
          <w:tcW w:w="2250" w:type="pct"/>
          <w:tcBorders>
            <w:top w:val="single" w:sz="4" w:space="0" w:color="4F81BD"/>
            <w:left w:val="nil"/>
            <w:bottom w:val="nil"/>
            <w:right w:val="nil"/>
          </w:tcBorders>
        </w:tcPr>
        <w:p w:rsidR="00826BB8" w:rsidRPr="005A3173" w:rsidRDefault="00826BB8" w:rsidP="005A3173">
          <w:pPr>
            <w:pStyle w:val="Header"/>
            <w:spacing w:line="276" w:lineRule="auto"/>
            <w:rPr>
              <w:rFonts w:ascii="Calibri" w:eastAsia="MS Gothic" w:hAnsi="Calibri"/>
              <w:b/>
              <w:bCs/>
              <w:color w:val="4F81BD"/>
            </w:rPr>
          </w:pPr>
        </w:p>
      </w:tc>
    </w:tr>
  </w:tbl>
  <w:p w:rsidR="00826BB8" w:rsidRPr="007C0F57" w:rsidRDefault="00826BB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26BB8" w:rsidRPr="007C0F57" w:rsidRDefault="00826BB8" w:rsidP="007C0F57">
    <w:pPr>
      <w:pStyle w:val="Footer"/>
      <w:jc w:val="center"/>
      <w:rPr>
        <w:b/>
        <w:i/>
        <w:sz w:val="20"/>
        <w:szCs w:val="20"/>
      </w:rPr>
    </w:pPr>
    <w:r w:rsidRPr="007C0F57">
      <w:rPr>
        <w:b/>
        <w:i/>
        <w:sz w:val="20"/>
        <w:szCs w:val="20"/>
      </w:rPr>
      <w:t>Commercial-in-Confidence</w:t>
    </w:r>
  </w:p>
  <w:p w:rsidR="00826BB8" w:rsidRDefault="00826B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08" w:rsidRDefault="00AA2608">
      <w:r>
        <w:separator/>
      </w:r>
    </w:p>
    <w:p w:rsidR="00AA2608" w:rsidRDefault="00AA2608"/>
  </w:footnote>
  <w:footnote w:type="continuationSeparator" w:id="0">
    <w:p w:rsidR="00AA2608" w:rsidRDefault="00AA2608">
      <w:r>
        <w:continuationSeparator/>
      </w:r>
    </w:p>
    <w:p w:rsidR="00AA2608" w:rsidRDefault="00AA2608"/>
  </w:footnote>
  <w:footnote w:id="1">
    <w:p w:rsidR="00826BB8" w:rsidRDefault="00826BB8" w:rsidP="00F80A9C">
      <w:pPr>
        <w:pStyle w:val="FootnoteText"/>
      </w:pPr>
      <w:r>
        <w:rPr>
          <w:rStyle w:val="FootnoteReference"/>
        </w:rPr>
        <w:footnoteRef/>
      </w:r>
      <w:r>
        <w:t xml:space="preserve"> The indirect comparison of ocrelizumab vs. fingolimod was a multi-step indirect comparison based on:</w:t>
      </w:r>
    </w:p>
    <w:p w:rsidR="00826BB8" w:rsidRDefault="00826BB8" w:rsidP="00F80A9C">
      <w:pPr>
        <w:pStyle w:val="FootnoteText"/>
        <w:numPr>
          <w:ilvl w:val="0"/>
          <w:numId w:val="22"/>
        </w:numPr>
      </w:pPr>
      <w:r>
        <w:t>Indirect analysis of ocrelizumab vs. IM interferon beta-1a (OPERA-I, OPERA-II; EVIDENCE, Etemadifar 2006) linked to a meta-analysis of direct (TRANSFORMS) and indirect (BRAVO, MSCRG, FREEDOMS-I, FREEDOMS-II) comparisons of IM interferon beta-1a vs. fingolimod; and</w:t>
      </w:r>
    </w:p>
    <w:p w:rsidR="00826BB8" w:rsidRDefault="00826BB8" w:rsidP="00F80A9C">
      <w:pPr>
        <w:pStyle w:val="FootnoteText"/>
        <w:numPr>
          <w:ilvl w:val="0"/>
          <w:numId w:val="22"/>
        </w:numPr>
      </w:pPr>
      <w:r>
        <w:t>Three step indirect analysis using SC interferon beta-1a/teriflunomide/placebo as bridging comparators (OPERA-I, OPERA-II, TENERE, TEMSO, TOWER, FREEDOMS-I, FREEDOMS-II)</w:t>
      </w:r>
    </w:p>
  </w:footnote>
  <w:footnote w:id="2">
    <w:p w:rsidR="00826BB8" w:rsidRDefault="00826BB8" w:rsidP="00F80A9C">
      <w:pPr>
        <w:pStyle w:val="FootnoteText"/>
      </w:pPr>
      <w:r>
        <w:rPr>
          <w:rStyle w:val="FootnoteReference"/>
        </w:rPr>
        <w:footnoteRef/>
      </w:r>
      <w:r>
        <w:t xml:space="preserve"> </w:t>
      </w:r>
      <w:r w:rsidRPr="008D3674">
        <w:t>The indirect comparison between cladribine and fingolimod was based on one trial comparing cladrib</w:t>
      </w:r>
      <w:r>
        <w:t>ine to placebo (CLARITY</w:t>
      </w:r>
      <w:r w:rsidRPr="008D3674">
        <w:t>), and two trials comparing fingolim</w:t>
      </w:r>
      <w:r>
        <w:t>od to placebo (FREEDOMS and FREEDOMS II</w:t>
      </w:r>
      <w:r w:rsidRPr="008D3674">
        <w:t>) and their respective extension studies.</w:t>
      </w:r>
    </w:p>
  </w:footnote>
  <w:footnote w:id="3">
    <w:p w:rsidR="00826BB8" w:rsidRDefault="00826BB8">
      <w:pPr>
        <w:pStyle w:val="FootnoteText"/>
      </w:pPr>
      <w:r>
        <w:rPr>
          <w:rStyle w:val="FootnoteReference"/>
        </w:rPr>
        <w:footnoteRef/>
      </w:r>
      <w:r>
        <w:t xml:space="preserve"> </w:t>
      </w:r>
      <w:r>
        <w:rPr>
          <w:rFonts w:ascii="Arial Narrow" w:hAnsi="Arial Narrow"/>
          <w:sz w:val="20"/>
        </w:rPr>
        <w:t xml:space="preserve">Kappos, L., et al. </w:t>
      </w:r>
      <w:r w:rsidRPr="00D80171">
        <w:rPr>
          <w:rFonts w:ascii="Arial Narrow" w:hAnsi="Arial Narrow"/>
          <w:sz w:val="20"/>
        </w:rPr>
        <w:t>Long-term effects of fingolimod in multiple sclerosis: the randomized FREEDOMS extension trial.</w:t>
      </w:r>
      <w:r>
        <w:rPr>
          <w:rFonts w:ascii="Arial Narrow" w:hAnsi="Arial Narrow"/>
          <w:sz w:val="20"/>
        </w:rPr>
        <w:t xml:space="preserve"> </w:t>
      </w:r>
      <w:r w:rsidRPr="0080002E">
        <w:rPr>
          <w:rFonts w:ascii="Arial Narrow" w:hAnsi="Arial Narrow"/>
          <w:i/>
          <w:sz w:val="20"/>
        </w:rPr>
        <w:t>Neurology</w:t>
      </w:r>
      <w:r w:rsidRPr="00D80171">
        <w:rPr>
          <w:rFonts w:ascii="Arial Narrow" w:hAnsi="Arial Narrow"/>
          <w:sz w:val="20"/>
        </w:rPr>
        <w:t xml:space="preserve"> </w:t>
      </w:r>
      <w:r>
        <w:rPr>
          <w:rFonts w:ascii="Arial Narrow" w:hAnsi="Arial Narrow"/>
          <w:sz w:val="20"/>
        </w:rPr>
        <w:t xml:space="preserve"> 2015; </w:t>
      </w:r>
      <w:r w:rsidRPr="00D80171">
        <w:rPr>
          <w:rFonts w:ascii="Arial Narrow" w:hAnsi="Arial Narrow"/>
          <w:sz w:val="20"/>
        </w:rPr>
        <w:t>84(15): 1582-1591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26BB8" w:rsidRPr="008E0D90" w:rsidTr="00A06225">
      <w:trPr>
        <w:trHeight w:val="151"/>
      </w:trPr>
      <w:tc>
        <w:tcPr>
          <w:tcW w:w="2389" w:type="pct"/>
          <w:tcBorders>
            <w:top w:val="nil"/>
            <w:left w:val="nil"/>
            <w:bottom w:val="single" w:sz="4" w:space="0" w:color="4F81BD"/>
            <w:right w:val="nil"/>
          </w:tcBorders>
        </w:tcPr>
        <w:p w:rsidR="00826BB8" w:rsidRPr="00A06225" w:rsidRDefault="00826BB8">
          <w:pPr>
            <w:pStyle w:val="Header"/>
            <w:spacing w:line="276" w:lineRule="auto"/>
            <w:rPr>
              <w:rFonts w:ascii="Cambria" w:eastAsia="MS Gothic" w:hAnsi="Cambria"/>
              <w:b/>
              <w:bCs/>
              <w:color w:val="4F81BD"/>
            </w:rPr>
          </w:pPr>
        </w:p>
      </w:tc>
      <w:tc>
        <w:tcPr>
          <w:tcW w:w="333" w:type="pct"/>
          <w:vMerge w:val="restart"/>
          <w:noWrap/>
          <w:vAlign w:val="center"/>
          <w:hideMark/>
        </w:tcPr>
        <w:p w:rsidR="00826BB8" w:rsidRPr="00A06225" w:rsidRDefault="00826BB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26BB8" w:rsidRPr="00A06225" w:rsidRDefault="00826BB8">
          <w:pPr>
            <w:pStyle w:val="Header"/>
            <w:spacing w:line="276" w:lineRule="auto"/>
            <w:rPr>
              <w:rFonts w:ascii="Cambria" w:eastAsia="MS Gothic" w:hAnsi="Cambria"/>
              <w:b/>
              <w:bCs/>
              <w:color w:val="4F81BD"/>
            </w:rPr>
          </w:pPr>
        </w:p>
      </w:tc>
    </w:tr>
    <w:tr w:rsidR="00826BB8" w:rsidRPr="008E0D90" w:rsidTr="00A06225">
      <w:trPr>
        <w:trHeight w:val="150"/>
      </w:trPr>
      <w:tc>
        <w:tcPr>
          <w:tcW w:w="2389" w:type="pct"/>
          <w:tcBorders>
            <w:top w:val="single" w:sz="4" w:space="0" w:color="4F81BD"/>
            <w:left w:val="nil"/>
            <w:bottom w:val="nil"/>
            <w:right w:val="nil"/>
          </w:tcBorders>
        </w:tcPr>
        <w:p w:rsidR="00826BB8" w:rsidRPr="00A06225" w:rsidRDefault="00826BB8">
          <w:pPr>
            <w:pStyle w:val="Header"/>
            <w:spacing w:line="276" w:lineRule="auto"/>
            <w:rPr>
              <w:rFonts w:ascii="Cambria" w:eastAsia="MS Gothic" w:hAnsi="Cambria"/>
              <w:b/>
              <w:bCs/>
              <w:color w:val="4F81BD"/>
            </w:rPr>
          </w:pPr>
        </w:p>
      </w:tc>
      <w:tc>
        <w:tcPr>
          <w:tcW w:w="0" w:type="auto"/>
          <w:vMerge/>
          <w:vAlign w:val="center"/>
          <w:hideMark/>
        </w:tcPr>
        <w:p w:rsidR="00826BB8" w:rsidRPr="00A06225" w:rsidRDefault="00826BB8">
          <w:pPr>
            <w:rPr>
              <w:rFonts w:ascii="Cambria" w:hAnsi="Cambria"/>
              <w:color w:val="4F81BD"/>
              <w:sz w:val="22"/>
              <w:szCs w:val="22"/>
            </w:rPr>
          </w:pPr>
        </w:p>
      </w:tc>
      <w:tc>
        <w:tcPr>
          <w:tcW w:w="2278" w:type="pct"/>
          <w:tcBorders>
            <w:top w:val="single" w:sz="4" w:space="0" w:color="4F81BD"/>
            <w:left w:val="nil"/>
            <w:bottom w:val="nil"/>
            <w:right w:val="nil"/>
          </w:tcBorders>
        </w:tcPr>
        <w:p w:rsidR="00826BB8" w:rsidRPr="00A06225" w:rsidRDefault="00826BB8">
          <w:pPr>
            <w:pStyle w:val="Header"/>
            <w:spacing w:line="276" w:lineRule="auto"/>
            <w:rPr>
              <w:rFonts w:ascii="Cambria" w:eastAsia="MS Gothic" w:hAnsi="Cambria"/>
              <w:b/>
              <w:bCs/>
              <w:color w:val="4F81BD"/>
            </w:rPr>
          </w:pPr>
        </w:p>
      </w:tc>
    </w:tr>
  </w:tbl>
  <w:p w:rsidR="00826BB8" w:rsidRDefault="00826BB8">
    <w:pPr>
      <w:pStyle w:val="Header"/>
    </w:pPr>
  </w:p>
  <w:p w:rsidR="00826BB8" w:rsidRDefault="00826B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B8" w:rsidRPr="00F90A91" w:rsidRDefault="00826BB8" w:rsidP="000042AF">
    <w:pPr>
      <w:pStyle w:val="Header"/>
      <w:ind w:left="360"/>
      <w:jc w:val="center"/>
      <w:rPr>
        <w:rFonts w:asciiTheme="minorHAnsi" w:hAnsiTheme="minorHAnsi" w:cs="Arial"/>
        <w:i/>
        <w:color w:val="808080"/>
        <w:sz w:val="22"/>
      </w:rPr>
    </w:pPr>
    <w:r>
      <w:rPr>
        <w:rFonts w:asciiTheme="minorHAnsi" w:hAnsiTheme="minorHAnsi" w:cs="Arial"/>
        <w:i/>
        <w:color w:val="808080"/>
        <w:sz w:val="22"/>
      </w:rPr>
      <w:t xml:space="preserve">Public Summary Document – March 2018 </w:t>
    </w:r>
    <w:r w:rsidRPr="00F90A91">
      <w:rPr>
        <w:rFonts w:asciiTheme="minorHAnsi" w:hAnsiTheme="minorHAnsi" w:cs="Arial"/>
        <w:i/>
        <w:color w:val="808080"/>
        <w:sz w:val="22"/>
      </w:rPr>
      <w:t>PBAC Meeting</w:t>
    </w:r>
  </w:p>
  <w:p w:rsidR="00826BB8" w:rsidRDefault="00826BB8"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B8" w:rsidRDefault="00826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83A3CCA"/>
    <w:multiLevelType w:val="hybridMultilevel"/>
    <w:tmpl w:val="97088F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A90764E"/>
    <w:multiLevelType w:val="hybridMultilevel"/>
    <w:tmpl w:val="C4740BE2"/>
    <w:lvl w:ilvl="0" w:tplc="7C0A26DA">
      <w:start w:val="85"/>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84E682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FF15F7F"/>
    <w:multiLevelType w:val="hybridMultilevel"/>
    <w:tmpl w:val="9CF84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6B60FD9"/>
    <w:multiLevelType w:val="hybridMultilevel"/>
    <w:tmpl w:val="46882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5879DB"/>
    <w:multiLevelType w:val="hybridMultilevel"/>
    <w:tmpl w:val="43EAC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13E6CCF"/>
    <w:multiLevelType w:val="hybridMultilevel"/>
    <w:tmpl w:val="9AFC3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C430CE"/>
    <w:multiLevelType w:val="hybridMultilevel"/>
    <w:tmpl w:val="FB8A8538"/>
    <w:lvl w:ilvl="0" w:tplc="2976D908">
      <w:start w:val="1"/>
      <w:numFmt w:val="decimal"/>
      <w:lvlText w:val="%1."/>
      <w:lvlJc w:val="left"/>
      <w:pPr>
        <w:tabs>
          <w:tab w:val="num" w:pos="360"/>
        </w:tabs>
        <w:ind w:left="360" w:hanging="360"/>
      </w:pPr>
      <w:rPr>
        <w:rFonts w:ascii="Arial" w:hAnsi="Arial"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B97403"/>
    <w:multiLevelType w:val="hybridMultilevel"/>
    <w:tmpl w:val="E0A48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1345AEA"/>
    <w:multiLevelType w:val="hybridMultilevel"/>
    <w:tmpl w:val="69A07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551CDD"/>
    <w:multiLevelType w:val="hybridMultilevel"/>
    <w:tmpl w:val="06E4D1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784D033C"/>
    <w:multiLevelType w:val="multilevel"/>
    <w:tmpl w:val="2218410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8"/>
  </w:num>
  <w:num w:numId="4">
    <w:abstractNumId w:val="20"/>
  </w:num>
  <w:num w:numId="5">
    <w:abstractNumId w:val="27"/>
  </w:num>
  <w:num w:numId="6">
    <w:abstractNumId w:val="9"/>
  </w:num>
  <w:num w:numId="7">
    <w:abstractNumId w:val="18"/>
  </w:num>
  <w:num w:numId="8">
    <w:abstractNumId w:val="4"/>
  </w:num>
  <w:num w:numId="9">
    <w:abstractNumId w:val="16"/>
  </w:num>
  <w:num w:numId="10">
    <w:abstractNumId w:val="15"/>
  </w:num>
  <w:num w:numId="11">
    <w:abstractNumId w:val="13"/>
  </w:num>
  <w:num w:numId="12">
    <w:abstractNumId w:val="1"/>
  </w:num>
  <w:num w:numId="13">
    <w:abstractNumId w:val="0"/>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21"/>
  </w:num>
  <w:num w:numId="19">
    <w:abstractNumId w:val="5"/>
  </w:num>
  <w:num w:numId="20">
    <w:abstractNumId w:val="27"/>
  </w:num>
  <w:num w:numId="21">
    <w:abstractNumId w:val="26"/>
  </w:num>
  <w:num w:numId="22">
    <w:abstractNumId w:val="24"/>
  </w:num>
  <w:num w:numId="23">
    <w:abstractNumId w:val="7"/>
  </w:num>
  <w:num w:numId="24">
    <w:abstractNumId w:val="2"/>
  </w:num>
  <w:num w:numId="25">
    <w:abstractNumId w:val="11"/>
  </w:num>
  <w:num w:numId="26">
    <w:abstractNumId w:val="23"/>
  </w:num>
  <w:num w:numId="27">
    <w:abstractNumId w:val="17"/>
  </w:num>
  <w:num w:numId="28">
    <w:abstractNumId w:val="19"/>
  </w:num>
  <w:num w:numId="29">
    <w:abstractNumId w:val="14"/>
  </w:num>
  <w:num w:numId="30">
    <w:abstractNumId w:val="25"/>
  </w:num>
  <w:num w:numId="31">
    <w:abstractNumId w:val="22"/>
  </w:num>
  <w:num w:numId="32">
    <w:abstractNumId w:val="27"/>
  </w:num>
  <w:num w:numId="33">
    <w:abstractNumId w:val="27"/>
  </w:num>
  <w:num w:numId="3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42AF"/>
    <w:rsid w:val="0002464A"/>
    <w:rsid w:val="0003106B"/>
    <w:rsid w:val="00034AF4"/>
    <w:rsid w:val="000421A1"/>
    <w:rsid w:val="0004240E"/>
    <w:rsid w:val="00043412"/>
    <w:rsid w:val="000454FA"/>
    <w:rsid w:val="0004578E"/>
    <w:rsid w:val="00045E26"/>
    <w:rsid w:val="000514B5"/>
    <w:rsid w:val="000522B7"/>
    <w:rsid w:val="00053440"/>
    <w:rsid w:val="00060E64"/>
    <w:rsid w:val="00066755"/>
    <w:rsid w:val="00077143"/>
    <w:rsid w:val="00082169"/>
    <w:rsid w:val="00084D0D"/>
    <w:rsid w:val="00093559"/>
    <w:rsid w:val="00094DAC"/>
    <w:rsid w:val="00096843"/>
    <w:rsid w:val="000969AD"/>
    <w:rsid w:val="000B558D"/>
    <w:rsid w:val="000B6566"/>
    <w:rsid w:val="000C29E0"/>
    <w:rsid w:val="000C5412"/>
    <w:rsid w:val="000C6835"/>
    <w:rsid w:val="000C6996"/>
    <w:rsid w:val="000D0237"/>
    <w:rsid w:val="000D23BA"/>
    <w:rsid w:val="000D6C09"/>
    <w:rsid w:val="000D7975"/>
    <w:rsid w:val="000E0BEC"/>
    <w:rsid w:val="000E420C"/>
    <w:rsid w:val="000E52C3"/>
    <w:rsid w:val="000E5FF5"/>
    <w:rsid w:val="000E681E"/>
    <w:rsid w:val="000F0003"/>
    <w:rsid w:val="000F255B"/>
    <w:rsid w:val="000F4E6A"/>
    <w:rsid w:val="001020AF"/>
    <w:rsid w:val="00102602"/>
    <w:rsid w:val="00104227"/>
    <w:rsid w:val="001049CC"/>
    <w:rsid w:val="001056BE"/>
    <w:rsid w:val="001107BF"/>
    <w:rsid w:val="0012417C"/>
    <w:rsid w:val="0012553F"/>
    <w:rsid w:val="00127C87"/>
    <w:rsid w:val="00130BA3"/>
    <w:rsid w:val="00134C2B"/>
    <w:rsid w:val="00140A44"/>
    <w:rsid w:val="00142395"/>
    <w:rsid w:val="00142714"/>
    <w:rsid w:val="001452ED"/>
    <w:rsid w:val="00163329"/>
    <w:rsid w:val="00164623"/>
    <w:rsid w:val="00165B64"/>
    <w:rsid w:val="0017176C"/>
    <w:rsid w:val="00171F40"/>
    <w:rsid w:val="001830CE"/>
    <w:rsid w:val="00183648"/>
    <w:rsid w:val="0018643B"/>
    <w:rsid w:val="001924B1"/>
    <w:rsid w:val="00196307"/>
    <w:rsid w:val="001A33EA"/>
    <w:rsid w:val="001B017F"/>
    <w:rsid w:val="001B2BBC"/>
    <w:rsid w:val="001B5129"/>
    <w:rsid w:val="001C1195"/>
    <w:rsid w:val="001C2667"/>
    <w:rsid w:val="001C4D8B"/>
    <w:rsid w:val="001C5600"/>
    <w:rsid w:val="001E33A6"/>
    <w:rsid w:val="001E6690"/>
    <w:rsid w:val="001F1850"/>
    <w:rsid w:val="001F1C2B"/>
    <w:rsid w:val="001F223E"/>
    <w:rsid w:val="001F2C81"/>
    <w:rsid w:val="001F3B51"/>
    <w:rsid w:val="00200854"/>
    <w:rsid w:val="00203FAC"/>
    <w:rsid w:val="00204FCF"/>
    <w:rsid w:val="002117C1"/>
    <w:rsid w:val="00213CFB"/>
    <w:rsid w:val="00214F50"/>
    <w:rsid w:val="00216D03"/>
    <w:rsid w:val="00217BE1"/>
    <w:rsid w:val="00231590"/>
    <w:rsid w:val="00232E6B"/>
    <w:rsid w:val="0023652C"/>
    <w:rsid w:val="00242B9B"/>
    <w:rsid w:val="00244A2D"/>
    <w:rsid w:val="00244EE2"/>
    <w:rsid w:val="00245168"/>
    <w:rsid w:val="0026023C"/>
    <w:rsid w:val="00265424"/>
    <w:rsid w:val="00266473"/>
    <w:rsid w:val="00271BA1"/>
    <w:rsid w:val="0027220D"/>
    <w:rsid w:val="00275288"/>
    <w:rsid w:val="0027530D"/>
    <w:rsid w:val="00275F9A"/>
    <w:rsid w:val="002762FA"/>
    <w:rsid w:val="00277505"/>
    <w:rsid w:val="00281A3F"/>
    <w:rsid w:val="00284CC7"/>
    <w:rsid w:val="00284FA3"/>
    <w:rsid w:val="0029458F"/>
    <w:rsid w:val="002A0976"/>
    <w:rsid w:val="002A104C"/>
    <w:rsid w:val="002A4960"/>
    <w:rsid w:val="002B0D03"/>
    <w:rsid w:val="002B1AE6"/>
    <w:rsid w:val="002B2DE8"/>
    <w:rsid w:val="002B30F8"/>
    <w:rsid w:val="002B5596"/>
    <w:rsid w:val="002C1177"/>
    <w:rsid w:val="002C12DD"/>
    <w:rsid w:val="002C212F"/>
    <w:rsid w:val="002C361A"/>
    <w:rsid w:val="002C73B7"/>
    <w:rsid w:val="002D4543"/>
    <w:rsid w:val="002E3153"/>
    <w:rsid w:val="002E72CA"/>
    <w:rsid w:val="002E7DD6"/>
    <w:rsid w:val="002F0F60"/>
    <w:rsid w:val="002F304B"/>
    <w:rsid w:val="00300AD6"/>
    <w:rsid w:val="00302B48"/>
    <w:rsid w:val="00303352"/>
    <w:rsid w:val="00306697"/>
    <w:rsid w:val="00317C6C"/>
    <w:rsid w:val="00323274"/>
    <w:rsid w:val="00326E79"/>
    <w:rsid w:val="0033518A"/>
    <w:rsid w:val="003367EF"/>
    <w:rsid w:val="00341AE4"/>
    <w:rsid w:val="00347AC5"/>
    <w:rsid w:val="00355970"/>
    <w:rsid w:val="00356696"/>
    <w:rsid w:val="003570BC"/>
    <w:rsid w:val="0036261D"/>
    <w:rsid w:val="003745D9"/>
    <w:rsid w:val="00385679"/>
    <w:rsid w:val="003872CF"/>
    <w:rsid w:val="0039005E"/>
    <w:rsid w:val="003940D3"/>
    <w:rsid w:val="00394955"/>
    <w:rsid w:val="0039782C"/>
    <w:rsid w:val="003A07BD"/>
    <w:rsid w:val="003A2C02"/>
    <w:rsid w:val="003A5B4A"/>
    <w:rsid w:val="003B23C5"/>
    <w:rsid w:val="003B2A75"/>
    <w:rsid w:val="003B6124"/>
    <w:rsid w:val="003C2FB5"/>
    <w:rsid w:val="003C3C42"/>
    <w:rsid w:val="003C6BE7"/>
    <w:rsid w:val="003D08C2"/>
    <w:rsid w:val="003D4AC4"/>
    <w:rsid w:val="003D63B7"/>
    <w:rsid w:val="003E468B"/>
    <w:rsid w:val="003E6E1A"/>
    <w:rsid w:val="003F0AC2"/>
    <w:rsid w:val="003F3228"/>
    <w:rsid w:val="003F5C8C"/>
    <w:rsid w:val="003F7E56"/>
    <w:rsid w:val="004025E1"/>
    <w:rsid w:val="00422DBC"/>
    <w:rsid w:val="004252EC"/>
    <w:rsid w:val="00435107"/>
    <w:rsid w:val="00435D3A"/>
    <w:rsid w:val="004465BD"/>
    <w:rsid w:val="004475C3"/>
    <w:rsid w:val="00456DFD"/>
    <w:rsid w:val="00466ADA"/>
    <w:rsid w:val="00473F36"/>
    <w:rsid w:val="00476245"/>
    <w:rsid w:val="00483035"/>
    <w:rsid w:val="0048322B"/>
    <w:rsid w:val="00485940"/>
    <w:rsid w:val="00493913"/>
    <w:rsid w:val="00496695"/>
    <w:rsid w:val="004A2484"/>
    <w:rsid w:val="004A57D4"/>
    <w:rsid w:val="004A5A85"/>
    <w:rsid w:val="004A71D1"/>
    <w:rsid w:val="004B34F7"/>
    <w:rsid w:val="004B5640"/>
    <w:rsid w:val="004C1BD7"/>
    <w:rsid w:val="004C31FE"/>
    <w:rsid w:val="004C691D"/>
    <w:rsid w:val="004C6C07"/>
    <w:rsid w:val="004D0AF9"/>
    <w:rsid w:val="004D2CBB"/>
    <w:rsid w:val="004E5F30"/>
    <w:rsid w:val="004E66C6"/>
    <w:rsid w:val="004E692D"/>
    <w:rsid w:val="00501554"/>
    <w:rsid w:val="00514CD7"/>
    <w:rsid w:val="00520190"/>
    <w:rsid w:val="005319B2"/>
    <w:rsid w:val="00532402"/>
    <w:rsid w:val="00532C74"/>
    <w:rsid w:val="005332D2"/>
    <w:rsid w:val="00534E2E"/>
    <w:rsid w:val="00544552"/>
    <w:rsid w:val="005574B8"/>
    <w:rsid w:val="00564500"/>
    <w:rsid w:val="00577C4D"/>
    <w:rsid w:val="00581932"/>
    <w:rsid w:val="005963BB"/>
    <w:rsid w:val="005A3173"/>
    <w:rsid w:val="005A3223"/>
    <w:rsid w:val="005A3DA3"/>
    <w:rsid w:val="005A52C4"/>
    <w:rsid w:val="005B4359"/>
    <w:rsid w:val="005B451E"/>
    <w:rsid w:val="005B473B"/>
    <w:rsid w:val="005B4950"/>
    <w:rsid w:val="005D0125"/>
    <w:rsid w:val="005D03AB"/>
    <w:rsid w:val="005D5017"/>
    <w:rsid w:val="005D76A7"/>
    <w:rsid w:val="005E1333"/>
    <w:rsid w:val="005E1C12"/>
    <w:rsid w:val="005F3E53"/>
    <w:rsid w:val="00601A91"/>
    <w:rsid w:val="00601D4D"/>
    <w:rsid w:val="00602BA3"/>
    <w:rsid w:val="0060715A"/>
    <w:rsid w:val="00612E34"/>
    <w:rsid w:val="00614159"/>
    <w:rsid w:val="00617C00"/>
    <w:rsid w:val="00617C86"/>
    <w:rsid w:val="00621341"/>
    <w:rsid w:val="006263BF"/>
    <w:rsid w:val="0062748A"/>
    <w:rsid w:val="00630A2C"/>
    <w:rsid w:val="00632993"/>
    <w:rsid w:val="00635662"/>
    <w:rsid w:val="0063682E"/>
    <w:rsid w:val="006368A0"/>
    <w:rsid w:val="00640913"/>
    <w:rsid w:val="006436CD"/>
    <w:rsid w:val="00643DCA"/>
    <w:rsid w:val="00651169"/>
    <w:rsid w:val="00653D69"/>
    <w:rsid w:val="006670BE"/>
    <w:rsid w:val="0066771B"/>
    <w:rsid w:val="00670A76"/>
    <w:rsid w:val="006711AA"/>
    <w:rsid w:val="00672B57"/>
    <w:rsid w:val="00673015"/>
    <w:rsid w:val="00675622"/>
    <w:rsid w:val="00677959"/>
    <w:rsid w:val="0068536F"/>
    <w:rsid w:val="006906DB"/>
    <w:rsid w:val="00690803"/>
    <w:rsid w:val="00691E6C"/>
    <w:rsid w:val="00696129"/>
    <w:rsid w:val="00697CF2"/>
    <w:rsid w:val="006A12A5"/>
    <w:rsid w:val="006B0D94"/>
    <w:rsid w:val="006B45A2"/>
    <w:rsid w:val="006B485D"/>
    <w:rsid w:val="006C708E"/>
    <w:rsid w:val="006C7335"/>
    <w:rsid w:val="006D6EC7"/>
    <w:rsid w:val="006D7BA1"/>
    <w:rsid w:val="006D7CB1"/>
    <w:rsid w:val="006E1077"/>
    <w:rsid w:val="006E5114"/>
    <w:rsid w:val="006F5125"/>
    <w:rsid w:val="006F5D7A"/>
    <w:rsid w:val="00702B6F"/>
    <w:rsid w:val="0071030D"/>
    <w:rsid w:val="007125E0"/>
    <w:rsid w:val="0071340B"/>
    <w:rsid w:val="00714BE4"/>
    <w:rsid w:val="00715E06"/>
    <w:rsid w:val="007174BB"/>
    <w:rsid w:val="0072025D"/>
    <w:rsid w:val="00726E1A"/>
    <w:rsid w:val="007353D3"/>
    <w:rsid w:val="00743656"/>
    <w:rsid w:val="007507AB"/>
    <w:rsid w:val="00752179"/>
    <w:rsid w:val="00763DB2"/>
    <w:rsid w:val="0076420C"/>
    <w:rsid w:val="00764C9C"/>
    <w:rsid w:val="00774A20"/>
    <w:rsid w:val="007753C2"/>
    <w:rsid w:val="0078073D"/>
    <w:rsid w:val="007838B8"/>
    <w:rsid w:val="007931BC"/>
    <w:rsid w:val="007A7185"/>
    <w:rsid w:val="007B4F07"/>
    <w:rsid w:val="007B506C"/>
    <w:rsid w:val="007C0F57"/>
    <w:rsid w:val="007C2C70"/>
    <w:rsid w:val="007C2EC1"/>
    <w:rsid w:val="007C40B6"/>
    <w:rsid w:val="007C4C36"/>
    <w:rsid w:val="007C729F"/>
    <w:rsid w:val="007D628E"/>
    <w:rsid w:val="007D65DC"/>
    <w:rsid w:val="007E1D28"/>
    <w:rsid w:val="007E2124"/>
    <w:rsid w:val="007E5720"/>
    <w:rsid w:val="007E6ED6"/>
    <w:rsid w:val="007E7728"/>
    <w:rsid w:val="007F2641"/>
    <w:rsid w:val="007F37BA"/>
    <w:rsid w:val="007F5E1C"/>
    <w:rsid w:val="007F7C36"/>
    <w:rsid w:val="00804121"/>
    <w:rsid w:val="008041CD"/>
    <w:rsid w:val="00806713"/>
    <w:rsid w:val="00806796"/>
    <w:rsid w:val="0080760C"/>
    <w:rsid w:val="008151D6"/>
    <w:rsid w:val="008224B8"/>
    <w:rsid w:val="00826BB8"/>
    <w:rsid w:val="00826F6D"/>
    <w:rsid w:val="008306F3"/>
    <w:rsid w:val="0083144D"/>
    <w:rsid w:val="00833DD1"/>
    <w:rsid w:val="00851A73"/>
    <w:rsid w:val="00856DDD"/>
    <w:rsid w:val="00860384"/>
    <w:rsid w:val="008606FA"/>
    <w:rsid w:val="0086267E"/>
    <w:rsid w:val="00863E68"/>
    <w:rsid w:val="0086594F"/>
    <w:rsid w:val="00882085"/>
    <w:rsid w:val="00883188"/>
    <w:rsid w:val="00897D58"/>
    <w:rsid w:val="00897F22"/>
    <w:rsid w:val="008A1956"/>
    <w:rsid w:val="008A3187"/>
    <w:rsid w:val="008A4937"/>
    <w:rsid w:val="008A4BBB"/>
    <w:rsid w:val="008A50F1"/>
    <w:rsid w:val="008B0936"/>
    <w:rsid w:val="008B3258"/>
    <w:rsid w:val="008C776C"/>
    <w:rsid w:val="008D1B5C"/>
    <w:rsid w:val="008D3674"/>
    <w:rsid w:val="008D3C82"/>
    <w:rsid w:val="008D447E"/>
    <w:rsid w:val="008D7A41"/>
    <w:rsid w:val="008E0AA5"/>
    <w:rsid w:val="008E3680"/>
    <w:rsid w:val="008E5870"/>
    <w:rsid w:val="008F1434"/>
    <w:rsid w:val="008F5824"/>
    <w:rsid w:val="008F5966"/>
    <w:rsid w:val="008F7355"/>
    <w:rsid w:val="009067B7"/>
    <w:rsid w:val="00926D6A"/>
    <w:rsid w:val="009307EC"/>
    <w:rsid w:val="00930937"/>
    <w:rsid w:val="00933E6C"/>
    <w:rsid w:val="00937958"/>
    <w:rsid w:val="00942160"/>
    <w:rsid w:val="009461A8"/>
    <w:rsid w:val="00946CC2"/>
    <w:rsid w:val="0095146F"/>
    <w:rsid w:val="00951EA1"/>
    <w:rsid w:val="009602C5"/>
    <w:rsid w:val="00962223"/>
    <w:rsid w:val="00966D0D"/>
    <w:rsid w:val="009701C8"/>
    <w:rsid w:val="00974C21"/>
    <w:rsid w:val="009A156F"/>
    <w:rsid w:val="009A3C5A"/>
    <w:rsid w:val="009A6B96"/>
    <w:rsid w:val="009B00CC"/>
    <w:rsid w:val="009B0F67"/>
    <w:rsid w:val="009B2158"/>
    <w:rsid w:val="009B418D"/>
    <w:rsid w:val="009C3B52"/>
    <w:rsid w:val="009C703C"/>
    <w:rsid w:val="009D3CAA"/>
    <w:rsid w:val="009E0A46"/>
    <w:rsid w:val="009F4E46"/>
    <w:rsid w:val="009F5B65"/>
    <w:rsid w:val="009F5F2E"/>
    <w:rsid w:val="00A02052"/>
    <w:rsid w:val="00A044DE"/>
    <w:rsid w:val="00A04D8C"/>
    <w:rsid w:val="00A05045"/>
    <w:rsid w:val="00A06225"/>
    <w:rsid w:val="00A128E6"/>
    <w:rsid w:val="00A240CC"/>
    <w:rsid w:val="00A327E2"/>
    <w:rsid w:val="00A34E6C"/>
    <w:rsid w:val="00A360C8"/>
    <w:rsid w:val="00A36EAE"/>
    <w:rsid w:val="00A37C8D"/>
    <w:rsid w:val="00A43860"/>
    <w:rsid w:val="00A45480"/>
    <w:rsid w:val="00A51F14"/>
    <w:rsid w:val="00A52280"/>
    <w:rsid w:val="00A5246B"/>
    <w:rsid w:val="00A5273B"/>
    <w:rsid w:val="00A53A9D"/>
    <w:rsid w:val="00A53DEB"/>
    <w:rsid w:val="00A55FEE"/>
    <w:rsid w:val="00A62C1A"/>
    <w:rsid w:val="00A6426D"/>
    <w:rsid w:val="00A665C1"/>
    <w:rsid w:val="00A70622"/>
    <w:rsid w:val="00A70977"/>
    <w:rsid w:val="00A77613"/>
    <w:rsid w:val="00A8041A"/>
    <w:rsid w:val="00A8390C"/>
    <w:rsid w:val="00A928BD"/>
    <w:rsid w:val="00A95ABB"/>
    <w:rsid w:val="00AA2608"/>
    <w:rsid w:val="00AA4D1C"/>
    <w:rsid w:val="00AB60C3"/>
    <w:rsid w:val="00AC193C"/>
    <w:rsid w:val="00AC1AD0"/>
    <w:rsid w:val="00AC5206"/>
    <w:rsid w:val="00AE11A5"/>
    <w:rsid w:val="00AE13E2"/>
    <w:rsid w:val="00AE22D3"/>
    <w:rsid w:val="00AF62DF"/>
    <w:rsid w:val="00AF68CC"/>
    <w:rsid w:val="00AF7423"/>
    <w:rsid w:val="00B00E27"/>
    <w:rsid w:val="00B04309"/>
    <w:rsid w:val="00B1059E"/>
    <w:rsid w:val="00B129D1"/>
    <w:rsid w:val="00B13496"/>
    <w:rsid w:val="00B176C8"/>
    <w:rsid w:val="00B205AA"/>
    <w:rsid w:val="00B20BA3"/>
    <w:rsid w:val="00B22E84"/>
    <w:rsid w:val="00B24CB2"/>
    <w:rsid w:val="00B25F75"/>
    <w:rsid w:val="00B26B3F"/>
    <w:rsid w:val="00B40106"/>
    <w:rsid w:val="00B43E90"/>
    <w:rsid w:val="00B45783"/>
    <w:rsid w:val="00B467DC"/>
    <w:rsid w:val="00B516C7"/>
    <w:rsid w:val="00B5388B"/>
    <w:rsid w:val="00B56118"/>
    <w:rsid w:val="00B6773F"/>
    <w:rsid w:val="00B777A2"/>
    <w:rsid w:val="00B801BA"/>
    <w:rsid w:val="00B802B6"/>
    <w:rsid w:val="00B81026"/>
    <w:rsid w:val="00B81F9E"/>
    <w:rsid w:val="00B84D5C"/>
    <w:rsid w:val="00BA1010"/>
    <w:rsid w:val="00BA1411"/>
    <w:rsid w:val="00BB273C"/>
    <w:rsid w:val="00BB41F3"/>
    <w:rsid w:val="00BB49D7"/>
    <w:rsid w:val="00BB69F5"/>
    <w:rsid w:val="00BB6A48"/>
    <w:rsid w:val="00BB7EC3"/>
    <w:rsid w:val="00BC063B"/>
    <w:rsid w:val="00BC4B9A"/>
    <w:rsid w:val="00BC7462"/>
    <w:rsid w:val="00BD2A28"/>
    <w:rsid w:val="00BD3314"/>
    <w:rsid w:val="00BD784C"/>
    <w:rsid w:val="00BD7FBE"/>
    <w:rsid w:val="00BE721A"/>
    <w:rsid w:val="00BF3D4E"/>
    <w:rsid w:val="00BF4CB6"/>
    <w:rsid w:val="00C00DA7"/>
    <w:rsid w:val="00C022EB"/>
    <w:rsid w:val="00C12768"/>
    <w:rsid w:val="00C12DCD"/>
    <w:rsid w:val="00C206A3"/>
    <w:rsid w:val="00C27B58"/>
    <w:rsid w:val="00C30273"/>
    <w:rsid w:val="00C32821"/>
    <w:rsid w:val="00C35996"/>
    <w:rsid w:val="00C4218E"/>
    <w:rsid w:val="00C4747E"/>
    <w:rsid w:val="00C5342C"/>
    <w:rsid w:val="00C53648"/>
    <w:rsid w:val="00C53C1C"/>
    <w:rsid w:val="00C57174"/>
    <w:rsid w:val="00C601A7"/>
    <w:rsid w:val="00C603D4"/>
    <w:rsid w:val="00C60A17"/>
    <w:rsid w:val="00C6256A"/>
    <w:rsid w:val="00C77263"/>
    <w:rsid w:val="00C77891"/>
    <w:rsid w:val="00C847F6"/>
    <w:rsid w:val="00C91449"/>
    <w:rsid w:val="00C92D10"/>
    <w:rsid w:val="00C97EF2"/>
    <w:rsid w:val="00CA12C1"/>
    <w:rsid w:val="00CA4152"/>
    <w:rsid w:val="00CC1CC4"/>
    <w:rsid w:val="00CC650E"/>
    <w:rsid w:val="00CC6A34"/>
    <w:rsid w:val="00CD35CB"/>
    <w:rsid w:val="00CD41C3"/>
    <w:rsid w:val="00CD5DF3"/>
    <w:rsid w:val="00CE10C4"/>
    <w:rsid w:val="00CE27B5"/>
    <w:rsid w:val="00CF46ED"/>
    <w:rsid w:val="00D0299E"/>
    <w:rsid w:val="00D0321E"/>
    <w:rsid w:val="00D114EE"/>
    <w:rsid w:val="00D139FF"/>
    <w:rsid w:val="00D1455A"/>
    <w:rsid w:val="00D207A2"/>
    <w:rsid w:val="00D31150"/>
    <w:rsid w:val="00D3138B"/>
    <w:rsid w:val="00D3280C"/>
    <w:rsid w:val="00D3406A"/>
    <w:rsid w:val="00D34898"/>
    <w:rsid w:val="00D37388"/>
    <w:rsid w:val="00D40268"/>
    <w:rsid w:val="00D42F8F"/>
    <w:rsid w:val="00D4572C"/>
    <w:rsid w:val="00D469B2"/>
    <w:rsid w:val="00D47D26"/>
    <w:rsid w:val="00D741EB"/>
    <w:rsid w:val="00D74339"/>
    <w:rsid w:val="00D76303"/>
    <w:rsid w:val="00D775FC"/>
    <w:rsid w:val="00D80B04"/>
    <w:rsid w:val="00D83605"/>
    <w:rsid w:val="00D84934"/>
    <w:rsid w:val="00D87746"/>
    <w:rsid w:val="00D91271"/>
    <w:rsid w:val="00D91D99"/>
    <w:rsid w:val="00D921AC"/>
    <w:rsid w:val="00DA2CB5"/>
    <w:rsid w:val="00DA4BAC"/>
    <w:rsid w:val="00DB06D8"/>
    <w:rsid w:val="00DE6D27"/>
    <w:rsid w:val="00DF217D"/>
    <w:rsid w:val="00DF26A7"/>
    <w:rsid w:val="00E01D55"/>
    <w:rsid w:val="00E05539"/>
    <w:rsid w:val="00E15627"/>
    <w:rsid w:val="00E164B3"/>
    <w:rsid w:val="00E16910"/>
    <w:rsid w:val="00E334AD"/>
    <w:rsid w:val="00E42BDB"/>
    <w:rsid w:val="00E456FC"/>
    <w:rsid w:val="00E47152"/>
    <w:rsid w:val="00E57EEB"/>
    <w:rsid w:val="00E62D94"/>
    <w:rsid w:val="00E65E54"/>
    <w:rsid w:val="00E80155"/>
    <w:rsid w:val="00E848C0"/>
    <w:rsid w:val="00E86579"/>
    <w:rsid w:val="00E86603"/>
    <w:rsid w:val="00E91B96"/>
    <w:rsid w:val="00E92D07"/>
    <w:rsid w:val="00E941A1"/>
    <w:rsid w:val="00E95CE3"/>
    <w:rsid w:val="00EA2825"/>
    <w:rsid w:val="00EA703C"/>
    <w:rsid w:val="00EB0B63"/>
    <w:rsid w:val="00EB1936"/>
    <w:rsid w:val="00EB5088"/>
    <w:rsid w:val="00EB7487"/>
    <w:rsid w:val="00EC0393"/>
    <w:rsid w:val="00ED1644"/>
    <w:rsid w:val="00ED2593"/>
    <w:rsid w:val="00ED45EB"/>
    <w:rsid w:val="00ED6DA0"/>
    <w:rsid w:val="00ED7D9C"/>
    <w:rsid w:val="00EE1DBC"/>
    <w:rsid w:val="00EE1F48"/>
    <w:rsid w:val="00EE3A98"/>
    <w:rsid w:val="00EF44A0"/>
    <w:rsid w:val="00EF4FED"/>
    <w:rsid w:val="00F004F1"/>
    <w:rsid w:val="00F050BD"/>
    <w:rsid w:val="00F05657"/>
    <w:rsid w:val="00F071F0"/>
    <w:rsid w:val="00F11242"/>
    <w:rsid w:val="00F14C2B"/>
    <w:rsid w:val="00F25578"/>
    <w:rsid w:val="00F258E5"/>
    <w:rsid w:val="00F300BC"/>
    <w:rsid w:val="00F31353"/>
    <w:rsid w:val="00F3334E"/>
    <w:rsid w:val="00F36CCB"/>
    <w:rsid w:val="00F374E5"/>
    <w:rsid w:val="00F43AF2"/>
    <w:rsid w:val="00F45E20"/>
    <w:rsid w:val="00F50EC4"/>
    <w:rsid w:val="00F51753"/>
    <w:rsid w:val="00F550CF"/>
    <w:rsid w:val="00F57A6D"/>
    <w:rsid w:val="00F600BF"/>
    <w:rsid w:val="00F60230"/>
    <w:rsid w:val="00F638CC"/>
    <w:rsid w:val="00F63E5B"/>
    <w:rsid w:val="00F63E6B"/>
    <w:rsid w:val="00F64CC1"/>
    <w:rsid w:val="00F72317"/>
    <w:rsid w:val="00F7559B"/>
    <w:rsid w:val="00F80475"/>
    <w:rsid w:val="00F80A9C"/>
    <w:rsid w:val="00F8247A"/>
    <w:rsid w:val="00F91C55"/>
    <w:rsid w:val="00F9629A"/>
    <w:rsid w:val="00F97EFC"/>
    <w:rsid w:val="00FA2CC5"/>
    <w:rsid w:val="00FA5883"/>
    <w:rsid w:val="00FA6055"/>
    <w:rsid w:val="00FA739D"/>
    <w:rsid w:val="00FB0B34"/>
    <w:rsid w:val="00FB322F"/>
    <w:rsid w:val="00FB3687"/>
    <w:rsid w:val="00FB3C65"/>
    <w:rsid w:val="00FB442F"/>
    <w:rsid w:val="00FB6F85"/>
    <w:rsid w:val="00FC1929"/>
    <w:rsid w:val="00FC53F1"/>
    <w:rsid w:val="00FC5B46"/>
    <w:rsid w:val="00FD08F5"/>
    <w:rsid w:val="00FD3F48"/>
    <w:rsid w:val="00FD6D8E"/>
    <w:rsid w:val="00FE0E94"/>
    <w:rsid w:val="00FE1D3D"/>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053440"/>
    <w:pPr>
      <w:widowControl w:val="0"/>
      <w:spacing w:before="120" w:after="120"/>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4E66C6"/>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053440"/>
    <w:pPr>
      <w:numPr>
        <w:numId w:val="5"/>
      </w:numPr>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053440"/>
    <w:rPr>
      <w:rFonts w:asciiTheme="minorHAnsi" w:hAnsiTheme="minorHAnsi" w:cs="Arial"/>
      <w:b/>
      <w:bCs/>
      <w:i/>
      <w:snapToGrid w:val="0"/>
      <w:sz w:val="28"/>
      <w:szCs w:val="28"/>
    </w:rPr>
  </w:style>
  <w:style w:type="paragraph" w:customStyle="1" w:styleId="TableText0">
    <w:name w:val="Table Text"/>
    <w:basedOn w:val="Normal"/>
    <w:qFormat/>
    <w:rsid w:val="00ED6DA0"/>
    <w:pPr>
      <w:keepNext/>
      <w:spacing w:before="40" w:after="40"/>
    </w:pPr>
    <w:rPr>
      <w:rFonts w:ascii="Arial Narrow" w:eastAsiaTheme="minorHAnsi" w:hAnsi="Arial Narrow" w:cstheme="minorBidi"/>
      <w:sz w:val="20"/>
      <w:szCs w:val="22"/>
      <w:lang w:eastAsia="en-US"/>
    </w:rPr>
  </w:style>
  <w:style w:type="paragraph" w:customStyle="1" w:styleId="TableHeading0">
    <w:name w:val="Table Heading"/>
    <w:basedOn w:val="Normal"/>
    <w:qFormat/>
    <w:rsid w:val="00ED6DA0"/>
    <w:pPr>
      <w:keepNext/>
      <w:spacing w:after="60"/>
    </w:pPr>
    <w:rPr>
      <w:rFonts w:ascii="Arial Narrow" w:eastAsiaTheme="minorHAnsi" w:hAnsi="Arial Narrow" w:cstheme="minorBidi"/>
      <w:b/>
      <w:sz w:val="20"/>
      <w:szCs w:val="22"/>
      <w:lang w:eastAsia="en-US"/>
    </w:rPr>
  </w:style>
  <w:style w:type="character" w:customStyle="1" w:styleId="Heading8Char">
    <w:name w:val="Heading 8 Char"/>
    <w:basedOn w:val="DefaultParagraphFont"/>
    <w:link w:val="Heading8"/>
    <w:uiPriority w:val="7"/>
    <w:rsid w:val="004E66C6"/>
    <w:rPr>
      <w:rFonts w:asciiTheme="majorHAnsi" w:eastAsiaTheme="majorEastAsia" w:hAnsiTheme="majorHAnsi" w:cstheme="majorBidi"/>
      <w:color w:val="272727" w:themeColor="text1" w:themeTint="D8"/>
      <w:sz w:val="21"/>
      <w:szCs w:val="21"/>
      <w:lang w:eastAsia="en-US"/>
    </w:rPr>
  </w:style>
  <w:style w:type="paragraph" w:styleId="FootnoteText">
    <w:name w:val="footnote text"/>
    <w:basedOn w:val="Normal"/>
    <w:link w:val="FootnoteTextChar"/>
    <w:uiPriority w:val="99"/>
    <w:unhideWhenUsed/>
    <w:rsid w:val="004E66C6"/>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4E66C6"/>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4E66C6"/>
    <w:rPr>
      <w:vertAlign w:val="superscript"/>
    </w:rPr>
  </w:style>
  <w:style w:type="paragraph" w:customStyle="1" w:styleId="ESHeading2">
    <w:name w:val="ES Heading 2"/>
    <w:basedOn w:val="Heading2"/>
    <w:link w:val="ESHeading2Char"/>
    <w:uiPriority w:val="2"/>
    <w:qFormat/>
    <w:rsid w:val="005D76A7"/>
    <w:pPr>
      <w:keepLines/>
      <w:spacing w:before="360"/>
      <w:ind w:left="720" w:hanging="720"/>
    </w:pPr>
    <w:rPr>
      <w:rFonts w:asciiTheme="majorHAnsi" w:eastAsiaTheme="majorEastAsia" w:hAnsiTheme="majorHAnsi" w:cstheme="majorBidi"/>
      <w:snapToGrid/>
      <w:lang w:eastAsia="en-US"/>
    </w:rPr>
  </w:style>
  <w:style w:type="character" w:customStyle="1" w:styleId="ESHeading2Char">
    <w:name w:val="ES Heading 2 Char"/>
    <w:basedOn w:val="Heading2Char"/>
    <w:link w:val="ESHeading2"/>
    <w:uiPriority w:val="2"/>
    <w:rsid w:val="005D76A7"/>
    <w:rPr>
      <w:rFonts w:asciiTheme="majorHAnsi" w:eastAsiaTheme="majorEastAsia" w:hAnsiTheme="majorHAnsi" w:cstheme="majorBidi"/>
      <w:b/>
      <w:bCs/>
      <w:i/>
      <w:snapToGrid/>
      <w:sz w:val="28"/>
      <w:szCs w:val="28"/>
      <w:lang w:eastAsia="en-US"/>
    </w:rPr>
  </w:style>
  <w:style w:type="paragraph" w:styleId="Caption">
    <w:name w:val="caption"/>
    <w:basedOn w:val="Normal"/>
    <w:next w:val="Normal"/>
    <w:unhideWhenUsed/>
    <w:qFormat/>
    <w:rsid w:val="001924B1"/>
    <w:pPr>
      <w:spacing w:after="200"/>
    </w:pPr>
    <w:rPr>
      <w:b/>
      <w:bCs/>
      <w:color w:val="4F81BD" w:themeColor="accent1"/>
      <w:sz w:val="18"/>
      <w:szCs w:val="18"/>
    </w:rPr>
  </w:style>
  <w:style w:type="paragraph" w:customStyle="1" w:styleId="TableFooter">
    <w:name w:val="Table Footer"/>
    <w:basedOn w:val="Normal"/>
    <w:link w:val="TableFooterChar"/>
    <w:qFormat/>
    <w:rsid w:val="00B40106"/>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B40106"/>
    <w:rPr>
      <w:rFonts w:ascii="Arial Narrow" w:hAnsi="Arial Narrow" w:cs="Arial"/>
      <w:snapToGrid w:val="0"/>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053440"/>
    <w:pPr>
      <w:widowControl w:val="0"/>
      <w:spacing w:before="120" w:after="120"/>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4E66C6"/>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053440"/>
    <w:pPr>
      <w:numPr>
        <w:numId w:val="5"/>
      </w:numPr>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053440"/>
    <w:rPr>
      <w:rFonts w:asciiTheme="minorHAnsi" w:hAnsiTheme="minorHAnsi" w:cs="Arial"/>
      <w:b/>
      <w:bCs/>
      <w:i/>
      <w:snapToGrid w:val="0"/>
      <w:sz w:val="28"/>
      <w:szCs w:val="28"/>
    </w:rPr>
  </w:style>
  <w:style w:type="paragraph" w:customStyle="1" w:styleId="TableText0">
    <w:name w:val="Table Text"/>
    <w:basedOn w:val="Normal"/>
    <w:qFormat/>
    <w:rsid w:val="00ED6DA0"/>
    <w:pPr>
      <w:keepNext/>
      <w:spacing w:before="40" w:after="40"/>
    </w:pPr>
    <w:rPr>
      <w:rFonts w:ascii="Arial Narrow" w:eastAsiaTheme="minorHAnsi" w:hAnsi="Arial Narrow" w:cstheme="minorBidi"/>
      <w:sz w:val="20"/>
      <w:szCs w:val="22"/>
      <w:lang w:eastAsia="en-US"/>
    </w:rPr>
  </w:style>
  <w:style w:type="paragraph" w:customStyle="1" w:styleId="TableHeading0">
    <w:name w:val="Table Heading"/>
    <w:basedOn w:val="Normal"/>
    <w:qFormat/>
    <w:rsid w:val="00ED6DA0"/>
    <w:pPr>
      <w:keepNext/>
      <w:spacing w:after="60"/>
    </w:pPr>
    <w:rPr>
      <w:rFonts w:ascii="Arial Narrow" w:eastAsiaTheme="minorHAnsi" w:hAnsi="Arial Narrow" w:cstheme="minorBidi"/>
      <w:b/>
      <w:sz w:val="20"/>
      <w:szCs w:val="22"/>
      <w:lang w:eastAsia="en-US"/>
    </w:rPr>
  </w:style>
  <w:style w:type="character" w:customStyle="1" w:styleId="Heading8Char">
    <w:name w:val="Heading 8 Char"/>
    <w:basedOn w:val="DefaultParagraphFont"/>
    <w:link w:val="Heading8"/>
    <w:uiPriority w:val="7"/>
    <w:rsid w:val="004E66C6"/>
    <w:rPr>
      <w:rFonts w:asciiTheme="majorHAnsi" w:eastAsiaTheme="majorEastAsia" w:hAnsiTheme="majorHAnsi" w:cstheme="majorBidi"/>
      <w:color w:val="272727" w:themeColor="text1" w:themeTint="D8"/>
      <w:sz w:val="21"/>
      <w:szCs w:val="21"/>
      <w:lang w:eastAsia="en-US"/>
    </w:rPr>
  </w:style>
  <w:style w:type="paragraph" w:styleId="FootnoteText">
    <w:name w:val="footnote text"/>
    <w:basedOn w:val="Normal"/>
    <w:link w:val="FootnoteTextChar"/>
    <w:uiPriority w:val="99"/>
    <w:unhideWhenUsed/>
    <w:rsid w:val="004E66C6"/>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4E66C6"/>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4E66C6"/>
    <w:rPr>
      <w:vertAlign w:val="superscript"/>
    </w:rPr>
  </w:style>
  <w:style w:type="paragraph" w:customStyle="1" w:styleId="ESHeading2">
    <w:name w:val="ES Heading 2"/>
    <w:basedOn w:val="Heading2"/>
    <w:link w:val="ESHeading2Char"/>
    <w:uiPriority w:val="2"/>
    <w:qFormat/>
    <w:rsid w:val="005D76A7"/>
    <w:pPr>
      <w:keepLines/>
      <w:spacing w:before="360"/>
      <w:ind w:left="720" w:hanging="720"/>
    </w:pPr>
    <w:rPr>
      <w:rFonts w:asciiTheme="majorHAnsi" w:eastAsiaTheme="majorEastAsia" w:hAnsiTheme="majorHAnsi" w:cstheme="majorBidi"/>
      <w:snapToGrid/>
      <w:lang w:eastAsia="en-US"/>
    </w:rPr>
  </w:style>
  <w:style w:type="character" w:customStyle="1" w:styleId="ESHeading2Char">
    <w:name w:val="ES Heading 2 Char"/>
    <w:basedOn w:val="Heading2Char"/>
    <w:link w:val="ESHeading2"/>
    <w:uiPriority w:val="2"/>
    <w:rsid w:val="005D76A7"/>
    <w:rPr>
      <w:rFonts w:asciiTheme="majorHAnsi" w:eastAsiaTheme="majorEastAsia" w:hAnsiTheme="majorHAnsi" w:cstheme="majorBidi"/>
      <w:b/>
      <w:bCs/>
      <w:i/>
      <w:snapToGrid/>
      <w:sz w:val="28"/>
      <w:szCs w:val="28"/>
      <w:lang w:eastAsia="en-US"/>
    </w:rPr>
  </w:style>
  <w:style w:type="paragraph" w:styleId="Caption">
    <w:name w:val="caption"/>
    <w:basedOn w:val="Normal"/>
    <w:next w:val="Normal"/>
    <w:unhideWhenUsed/>
    <w:qFormat/>
    <w:rsid w:val="001924B1"/>
    <w:pPr>
      <w:spacing w:after="200"/>
    </w:pPr>
    <w:rPr>
      <w:b/>
      <w:bCs/>
      <w:color w:val="4F81BD" w:themeColor="accent1"/>
      <w:sz w:val="18"/>
      <w:szCs w:val="18"/>
    </w:rPr>
  </w:style>
  <w:style w:type="paragraph" w:customStyle="1" w:styleId="TableFooter">
    <w:name w:val="Table Footer"/>
    <w:basedOn w:val="Normal"/>
    <w:link w:val="TableFooterChar"/>
    <w:qFormat/>
    <w:rsid w:val="00B40106"/>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B40106"/>
    <w:rPr>
      <w:rFonts w:ascii="Arial Narrow" w:hAnsi="Arial Narrow" w:cs="Arial"/>
      <w:snapToGrid w:val="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0901135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1205504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1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7D862-E172-4908-BF79-581394E4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5071</Words>
  <Characters>29998</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2018-06-20T06:31:00Z</dcterms:created>
  <dcterms:modified xsi:type="dcterms:W3CDTF">2018-06-20T06:32:00Z</dcterms:modified>
</cp:coreProperties>
</file>