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95" w:rsidRPr="00C11AAD" w:rsidRDefault="00B33652" w:rsidP="00CF5F42">
      <w:pPr>
        <w:outlineLvl w:val="0"/>
        <w:rPr>
          <w:b/>
          <w:sz w:val="36"/>
          <w:szCs w:val="36"/>
        </w:rPr>
      </w:pPr>
      <w:bookmarkStart w:id="0" w:name="_GoBack"/>
      <w:bookmarkEnd w:id="0"/>
      <w:r w:rsidRPr="00C11AAD">
        <w:rPr>
          <w:b/>
          <w:sz w:val="36"/>
          <w:szCs w:val="36"/>
        </w:rPr>
        <w:t>5</w:t>
      </w:r>
      <w:r w:rsidR="00433044" w:rsidRPr="00C11AAD">
        <w:rPr>
          <w:b/>
          <w:sz w:val="36"/>
          <w:szCs w:val="36"/>
        </w:rPr>
        <w:t>.</w:t>
      </w:r>
      <w:r w:rsidRPr="00C11AAD">
        <w:rPr>
          <w:b/>
          <w:sz w:val="36"/>
          <w:szCs w:val="36"/>
        </w:rPr>
        <w:t>03</w:t>
      </w:r>
      <w:r w:rsidR="00B60939" w:rsidRPr="00C11AAD">
        <w:rPr>
          <w:b/>
          <w:sz w:val="36"/>
          <w:szCs w:val="36"/>
        </w:rPr>
        <w:tab/>
      </w:r>
      <w:r w:rsidR="0027045B" w:rsidRPr="00C11AAD">
        <w:rPr>
          <w:b/>
          <w:sz w:val="36"/>
          <w:szCs w:val="36"/>
        </w:rPr>
        <w:t>ERTUGLIFLOZIN</w:t>
      </w:r>
      <w:r w:rsidR="00B60939" w:rsidRPr="00C11AAD">
        <w:rPr>
          <w:b/>
          <w:sz w:val="36"/>
          <w:szCs w:val="36"/>
        </w:rPr>
        <w:t xml:space="preserve">, </w:t>
      </w:r>
      <w:r w:rsidR="00557595" w:rsidRPr="00C11AAD">
        <w:rPr>
          <w:rFonts w:asciiTheme="minorHAnsi" w:hAnsiTheme="minorHAnsi"/>
          <w:b/>
          <w:sz w:val="36"/>
          <w:szCs w:val="36"/>
        </w:rPr>
        <w:t xml:space="preserve">Tablet containing 5 mg </w:t>
      </w:r>
      <w:proofErr w:type="spellStart"/>
      <w:r w:rsidR="00557595" w:rsidRPr="00C11AAD">
        <w:rPr>
          <w:rFonts w:asciiTheme="minorHAnsi" w:hAnsiTheme="minorHAnsi"/>
          <w:b/>
          <w:sz w:val="36"/>
          <w:szCs w:val="36"/>
        </w:rPr>
        <w:t>ertugliflozin</w:t>
      </w:r>
      <w:proofErr w:type="spellEnd"/>
      <w:r w:rsidR="00557595" w:rsidRPr="00C11AAD">
        <w:rPr>
          <w:rFonts w:asciiTheme="minorHAnsi" w:hAnsiTheme="minorHAnsi"/>
          <w:b/>
          <w:sz w:val="36"/>
          <w:szCs w:val="36"/>
        </w:rPr>
        <w:t>,</w:t>
      </w:r>
      <w:r w:rsidR="00734500" w:rsidRPr="00C11AAD">
        <w:rPr>
          <w:rFonts w:asciiTheme="minorHAnsi" w:hAnsiTheme="minorHAnsi"/>
          <w:b/>
          <w:sz w:val="36"/>
          <w:szCs w:val="36"/>
        </w:rPr>
        <w:t xml:space="preserve"> </w:t>
      </w:r>
      <w:r w:rsidR="00557595" w:rsidRPr="00C11AAD">
        <w:rPr>
          <w:rFonts w:asciiTheme="minorHAnsi" w:hAnsiTheme="minorHAnsi"/>
          <w:b/>
          <w:sz w:val="36"/>
          <w:szCs w:val="36"/>
        </w:rPr>
        <w:t xml:space="preserve">Tablet containing 15 mg </w:t>
      </w:r>
      <w:proofErr w:type="spellStart"/>
      <w:r w:rsidR="00557595" w:rsidRPr="00C11AAD">
        <w:rPr>
          <w:rFonts w:asciiTheme="minorHAnsi" w:hAnsiTheme="minorHAnsi"/>
          <w:b/>
          <w:sz w:val="36"/>
          <w:szCs w:val="36"/>
        </w:rPr>
        <w:t>ertugliflozin</w:t>
      </w:r>
      <w:proofErr w:type="spellEnd"/>
      <w:r w:rsidR="00557595" w:rsidRPr="00C11AAD">
        <w:rPr>
          <w:rFonts w:asciiTheme="minorHAnsi" w:hAnsiTheme="minorHAnsi"/>
          <w:b/>
          <w:sz w:val="36"/>
          <w:szCs w:val="36"/>
        </w:rPr>
        <w:t>,</w:t>
      </w:r>
      <w:r w:rsidR="00734500" w:rsidRPr="00C11AAD">
        <w:rPr>
          <w:rFonts w:asciiTheme="minorHAnsi" w:hAnsiTheme="minorHAnsi"/>
          <w:b/>
          <w:sz w:val="36"/>
          <w:szCs w:val="36"/>
        </w:rPr>
        <w:t xml:space="preserve"> </w:t>
      </w:r>
      <w:proofErr w:type="spellStart"/>
      <w:r w:rsidR="0027045B" w:rsidRPr="00C11AAD">
        <w:rPr>
          <w:b/>
          <w:sz w:val="36"/>
          <w:szCs w:val="36"/>
        </w:rPr>
        <w:t>Steglatro</w:t>
      </w:r>
      <w:proofErr w:type="spellEnd"/>
      <w:r w:rsidR="00B60939" w:rsidRPr="00C76B4A">
        <w:rPr>
          <w:b/>
          <w:sz w:val="36"/>
          <w:szCs w:val="36"/>
        </w:rPr>
        <w:t>®</w:t>
      </w:r>
      <w:r w:rsidR="00557595" w:rsidRPr="00C11AAD">
        <w:rPr>
          <w:b/>
          <w:sz w:val="36"/>
          <w:szCs w:val="36"/>
        </w:rPr>
        <w:t>;</w:t>
      </w:r>
      <w:r w:rsidR="0027045B" w:rsidRPr="00C11AAD">
        <w:rPr>
          <w:b/>
          <w:sz w:val="36"/>
          <w:szCs w:val="36"/>
        </w:rPr>
        <w:t xml:space="preserve"> </w:t>
      </w:r>
    </w:p>
    <w:p w:rsidR="00557595" w:rsidRPr="00C11AAD" w:rsidRDefault="0027045B" w:rsidP="00734500">
      <w:pPr>
        <w:jc w:val="left"/>
        <w:rPr>
          <w:b/>
          <w:sz w:val="36"/>
          <w:szCs w:val="36"/>
        </w:rPr>
      </w:pPr>
      <w:r w:rsidRPr="00C11AAD">
        <w:rPr>
          <w:b/>
          <w:sz w:val="36"/>
          <w:szCs w:val="36"/>
        </w:rPr>
        <w:t xml:space="preserve">ERTUGLIFLOZIN with METFORMIN, </w:t>
      </w:r>
      <w:r w:rsidR="00557595" w:rsidRPr="00C11AAD">
        <w:rPr>
          <w:rFonts w:asciiTheme="minorHAnsi" w:hAnsiTheme="minorHAnsi"/>
          <w:b/>
          <w:sz w:val="36"/>
          <w:szCs w:val="36"/>
        </w:rPr>
        <w:t xml:space="preserve">Tablet containing 2.5 mg </w:t>
      </w:r>
      <w:proofErr w:type="spellStart"/>
      <w:r w:rsidR="00557595" w:rsidRPr="00C11AAD">
        <w:rPr>
          <w:rFonts w:asciiTheme="minorHAnsi" w:hAnsiTheme="minorHAnsi"/>
          <w:b/>
          <w:sz w:val="36"/>
          <w:szCs w:val="36"/>
        </w:rPr>
        <w:t>ertugliflozin</w:t>
      </w:r>
      <w:proofErr w:type="spellEnd"/>
      <w:r w:rsidR="00557595" w:rsidRPr="00C11AAD">
        <w:rPr>
          <w:rFonts w:asciiTheme="minorHAnsi" w:hAnsiTheme="minorHAnsi"/>
          <w:b/>
          <w:sz w:val="36"/>
          <w:szCs w:val="36"/>
        </w:rPr>
        <w:t xml:space="preserve"> with 500 mg metformin hydrochloride,</w:t>
      </w:r>
      <w:r w:rsidR="00734500" w:rsidRPr="00C11AAD">
        <w:rPr>
          <w:rFonts w:asciiTheme="minorHAnsi" w:hAnsiTheme="minorHAnsi"/>
          <w:b/>
          <w:sz w:val="36"/>
          <w:szCs w:val="36"/>
        </w:rPr>
        <w:t xml:space="preserve"> </w:t>
      </w:r>
      <w:r w:rsidR="00557595" w:rsidRPr="00C11AAD">
        <w:rPr>
          <w:rFonts w:asciiTheme="minorHAnsi" w:hAnsiTheme="minorHAnsi"/>
          <w:b/>
          <w:sz w:val="36"/>
          <w:szCs w:val="36"/>
        </w:rPr>
        <w:t xml:space="preserve">Tablet containing 2.5 mg </w:t>
      </w:r>
      <w:proofErr w:type="spellStart"/>
      <w:r w:rsidR="00557595" w:rsidRPr="00C11AAD">
        <w:rPr>
          <w:rFonts w:asciiTheme="minorHAnsi" w:hAnsiTheme="minorHAnsi"/>
          <w:b/>
          <w:sz w:val="36"/>
          <w:szCs w:val="36"/>
        </w:rPr>
        <w:t>ertugliflozin</w:t>
      </w:r>
      <w:proofErr w:type="spellEnd"/>
      <w:r w:rsidR="00557595" w:rsidRPr="00C11AAD">
        <w:rPr>
          <w:rFonts w:asciiTheme="minorHAnsi" w:hAnsiTheme="minorHAnsi"/>
          <w:b/>
          <w:sz w:val="36"/>
          <w:szCs w:val="36"/>
        </w:rPr>
        <w:t xml:space="preserve"> with 1 g metformin </w:t>
      </w:r>
      <w:r w:rsidR="00734500" w:rsidRPr="00C11AAD">
        <w:rPr>
          <w:rFonts w:asciiTheme="minorHAnsi" w:hAnsiTheme="minorHAnsi"/>
          <w:b/>
          <w:sz w:val="36"/>
          <w:szCs w:val="36"/>
        </w:rPr>
        <w:t>h</w:t>
      </w:r>
      <w:r w:rsidR="00557595" w:rsidRPr="00C11AAD">
        <w:rPr>
          <w:rFonts w:asciiTheme="minorHAnsi" w:hAnsiTheme="minorHAnsi"/>
          <w:b/>
          <w:sz w:val="36"/>
          <w:szCs w:val="36"/>
        </w:rPr>
        <w:t>ydrochloride,</w:t>
      </w:r>
      <w:r w:rsidR="00734500" w:rsidRPr="00C11AAD">
        <w:rPr>
          <w:rFonts w:asciiTheme="minorHAnsi" w:hAnsiTheme="minorHAnsi"/>
          <w:b/>
          <w:sz w:val="36"/>
          <w:szCs w:val="36"/>
        </w:rPr>
        <w:t xml:space="preserve"> </w:t>
      </w:r>
      <w:r w:rsidR="00557595" w:rsidRPr="00C11AAD">
        <w:rPr>
          <w:rFonts w:asciiTheme="minorHAnsi" w:hAnsiTheme="minorHAnsi"/>
          <w:b/>
          <w:sz w:val="36"/>
          <w:szCs w:val="36"/>
        </w:rPr>
        <w:t xml:space="preserve">Tablet containing 7.5 mg </w:t>
      </w:r>
      <w:proofErr w:type="spellStart"/>
      <w:r w:rsidR="00557595" w:rsidRPr="00C11AAD">
        <w:rPr>
          <w:rFonts w:asciiTheme="minorHAnsi" w:hAnsiTheme="minorHAnsi"/>
          <w:b/>
          <w:sz w:val="36"/>
          <w:szCs w:val="36"/>
        </w:rPr>
        <w:t>ertugliflozin</w:t>
      </w:r>
      <w:proofErr w:type="spellEnd"/>
      <w:r w:rsidR="00557595" w:rsidRPr="00C11AAD">
        <w:rPr>
          <w:rFonts w:asciiTheme="minorHAnsi" w:hAnsiTheme="minorHAnsi"/>
          <w:b/>
          <w:sz w:val="36"/>
          <w:szCs w:val="36"/>
        </w:rPr>
        <w:t xml:space="preserve"> with 500 mg metformin hydrochloride,</w:t>
      </w:r>
      <w:r w:rsidR="00734500" w:rsidRPr="00C11AAD">
        <w:rPr>
          <w:rFonts w:asciiTheme="minorHAnsi" w:hAnsiTheme="minorHAnsi"/>
          <w:b/>
          <w:sz w:val="36"/>
          <w:szCs w:val="36"/>
        </w:rPr>
        <w:t xml:space="preserve"> </w:t>
      </w:r>
      <w:r w:rsidR="00557595" w:rsidRPr="00C11AAD">
        <w:rPr>
          <w:rFonts w:asciiTheme="minorHAnsi" w:hAnsiTheme="minorHAnsi"/>
          <w:b/>
          <w:sz w:val="36"/>
          <w:szCs w:val="36"/>
        </w:rPr>
        <w:t xml:space="preserve">Tablet containing 7.5 mg </w:t>
      </w:r>
      <w:proofErr w:type="spellStart"/>
      <w:r w:rsidR="00557595" w:rsidRPr="00C11AAD">
        <w:rPr>
          <w:rFonts w:asciiTheme="minorHAnsi" w:hAnsiTheme="minorHAnsi"/>
          <w:b/>
          <w:sz w:val="36"/>
          <w:szCs w:val="36"/>
        </w:rPr>
        <w:t>ertugliflozin</w:t>
      </w:r>
      <w:proofErr w:type="spellEnd"/>
      <w:r w:rsidR="00557595" w:rsidRPr="00C11AAD">
        <w:rPr>
          <w:rFonts w:asciiTheme="minorHAnsi" w:hAnsiTheme="minorHAnsi"/>
          <w:b/>
          <w:sz w:val="36"/>
          <w:szCs w:val="36"/>
        </w:rPr>
        <w:t xml:space="preserve"> with 1 g metformin hydrochloride</w:t>
      </w:r>
      <w:r w:rsidR="00734500" w:rsidRPr="00C11AAD">
        <w:rPr>
          <w:rFonts w:asciiTheme="minorHAnsi" w:hAnsiTheme="minorHAnsi"/>
          <w:b/>
          <w:sz w:val="36"/>
          <w:szCs w:val="36"/>
        </w:rPr>
        <w:t xml:space="preserve">, </w:t>
      </w:r>
      <w:proofErr w:type="spellStart"/>
      <w:r w:rsidRPr="00C11AAD">
        <w:rPr>
          <w:b/>
          <w:sz w:val="36"/>
          <w:szCs w:val="36"/>
        </w:rPr>
        <w:t>Segluromet</w:t>
      </w:r>
      <w:proofErr w:type="spellEnd"/>
      <w:r w:rsidRPr="00C76B4A">
        <w:rPr>
          <w:b/>
          <w:sz w:val="36"/>
          <w:szCs w:val="36"/>
        </w:rPr>
        <w:t>®</w:t>
      </w:r>
      <w:r w:rsidR="00B60939" w:rsidRPr="00C11AAD">
        <w:rPr>
          <w:b/>
          <w:sz w:val="36"/>
          <w:szCs w:val="36"/>
        </w:rPr>
        <w:t xml:space="preserve">, </w:t>
      </w:r>
    </w:p>
    <w:p w:rsidR="00B60939" w:rsidRPr="00C11AAD" w:rsidRDefault="0027045B" w:rsidP="00DB2EA0">
      <w:pPr>
        <w:rPr>
          <w:b/>
          <w:sz w:val="36"/>
          <w:szCs w:val="36"/>
        </w:rPr>
      </w:pPr>
      <w:proofErr w:type="gramStart"/>
      <w:r w:rsidRPr="00C11AAD">
        <w:rPr>
          <w:b/>
          <w:sz w:val="36"/>
          <w:szCs w:val="36"/>
        </w:rPr>
        <w:t>Merck Sharp &amp; Dohme (Australia)</w:t>
      </w:r>
      <w:r w:rsidR="00557595" w:rsidRPr="00C11AAD">
        <w:rPr>
          <w:b/>
          <w:sz w:val="36"/>
          <w:szCs w:val="36"/>
        </w:rPr>
        <w:t xml:space="preserve"> Pty Ltd</w:t>
      </w:r>
      <w:r w:rsidR="00B60939" w:rsidRPr="00C11AAD">
        <w:rPr>
          <w:b/>
          <w:sz w:val="36"/>
          <w:szCs w:val="36"/>
        </w:rPr>
        <w:t>.</w:t>
      </w:r>
      <w:proofErr w:type="gramEnd"/>
    </w:p>
    <w:p w:rsidR="0027045B" w:rsidRPr="00C11AAD" w:rsidRDefault="0027045B" w:rsidP="00DB2EA0">
      <w:pPr>
        <w:rPr>
          <w:b/>
          <w:sz w:val="32"/>
          <w:szCs w:val="32"/>
        </w:rPr>
      </w:pPr>
    </w:p>
    <w:p w:rsidR="00B50DB8" w:rsidRPr="00C11AAD" w:rsidRDefault="00B50DB8" w:rsidP="00CF5F42">
      <w:pPr>
        <w:pStyle w:val="PBACHeading1"/>
      </w:pPr>
      <w:bookmarkStart w:id="1" w:name="_Toc503874309"/>
      <w:r w:rsidRPr="00C11AAD">
        <w:t>Purpose of Application</w:t>
      </w:r>
      <w:bookmarkEnd w:id="1"/>
    </w:p>
    <w:p w:rsidR="002C2775" w:rsidRPr="00C11AAD" w:rsidRDefault="005D6AE2" w:rsidP="00675E43">
      <w:pPr>
        <w:pStyle w:val="ListParagraph"/>
        <w:widowControl/>
        <w:numPr>
          <w:ilvl w:val="1"/>
          <w:numId w:val="2"/>
        </w:numPr>
        <w:spacing w:after="120"/>
      </w:pPr>
      <w:r w:rsidRPr="00C11AAD">
        <w:t xml:space="preserve">The submission requested an </w:t>
      </w:r>
      <w:r w:rsidR="008B1757" w:rsidRPr="00C11AAD">
        <w:t>Authority Required</w:t>
      </w:r>
      <w:r w:rsidR="008F700D" w:rsidRPr="00C11AAD">
        <w:t xml:space="preserve"> (Streamlined)</w:t>
      </w:r>
      <w:r w:rsidR="008B1757" w:rsidRPr="00C11AAD">
        <w:t xml:space="preserve"> listing for </w:t>
      </w:r>
      <w:proofErr w:type="spellStart"/>
      <w:r w:rsidR="008F700D" w:rsidRPr="00C11AAD">
        <w:t>ertugliflozin</w:t>
      </w:r>
      <w:proofErr w:type="spellEnd"/>
      <w:r w:rsidR="008F700D" w:rsidRPr="00C11AAD">
        <w:t xml:space="preserve"> </w:t>
      </w:r>
      <w:r w:rsidR="0097203C" w:rsidRPr="00C11AAD">
        <w:t>for dual oral therapy with metformin</w:t>
      </w:r>
      <w:r w:rsidR="00721548" w:rsidRPr="00C11AAD">
        <w:t xml:space="preserve"> or a sulfonylurea</w:t>
      </w:r>
      <w:r w:rsidR="0097203C" w:rsidRPr="00C11AAD">
        <w:t xml:space="preserve">, </w:t>
      </w:r>
      <w:r w:rsidR="008F700D" w:rsidRPr="00C11AAD">
        <w:t xml:space="preserve">and </w:t>
      </w:r>
      <w:proofErr w:type="spellStart"/>
      <w:r w:rsidR="008F700D" w:rsidRPr="00C11AAD">
        <w:t>ertugliflozin</w:t>
      </w:r>
      <w:proofErr w:type="spellEnd"/>
      <w:r w:rsidR="008F700D" w:rsidRPr="00C11AAD">
        <w:t xml:space="preserve"> with metformin fixed dose combination (FDC)</w:t>
      </w:r>
      <w:r w:rsidR="002D4C73" w:rsidRPr="00C11AAD">
        <w:t>,</w:t>
      </w:r>
      <w:r w:rsidR="008B1757" w:rsidRPr="00C11AAD">
        <w:t xml:space="preserve"> </w:t>
      </w:r>
      <w:r w:rsidR="0097203C" w:rsidRPr="00C11AAD">
        <w:t>for the treatment of</w:t>
      </w:r>
      <w:r w:rsidR="008B1757" w:rsidRPr="00C11AAD">
        <w:t xml:space="preserve"> </w:t>
      </w:r>
      <w:r w:rsidR="008F700D" w:rsidRPr="00C11AAD">
        <w:t xml:space="preserve">type 2 diabetes in patients inadequately controlled with metformin or a sulfonylurea. </w:t>
      </w:r>
      <w:proofErr w:type="spellStart"/>
      <w:r w:rsidR="008F700D" w:rsidRPr="00C11AAD">
        <w:t>Ertugliflozin</w:t>
      </w:r>
      <w:proofErr w:type="spellEnd"/>
      <w:r w:rsidR="008F700D" w:rsidRPr="00C11AAD">
        <w:t xml:space="preserve"> has not been previously considered by the PBAC.</w:t>
      </w:r>
    </w:p>
    <w:p w:rsidR="00C2778B" w:rsidRPr="00C11AAD" w:rsidRDefault="008F700D" w:rsidP="00675E43">
      <w:pPr>
        <w:pStyle w:val="ListParagraph"/>
        <w:widowControl/>
        <w:numPr>
          <w:ilvl w:val="1"/>
          <w:numId w:val="2"/>
        </w:numPr>
        <w:spacing w:after="120"/>
      </w:pPr>
      <w:r w:rsidRPr="00C11AAD">
        <w:t xml:space="preserve">The submission requested listing </w:t>
      </w:r>
      <w:r w:rsidR="0097203C" w:rsidRPr="00C11AAD">
        <w:t xml:space="preserve">for </w:t>
      </w:r>
      <w:proofErr w:type="spellStart"/>
      <w:r w:rsidR="0097203C" w:rsidRPr="00C11AAD">
        <w:t>ertugliflozin</w:t>
      </w:r>
      <w:proofErr w:type="spellEnd"/>
      <w:r w:rsidR="0097203C" w:rsidRPr="00C11AAD">
        <w:t xml:space="preserve"> </w:t>
      </w:r>
      <w:r w:rsidRPr="00C11AAD">
        <w:t xml:space="preserve">on a cost-minimisation basis to the two comparators, </w:t>
      </w:r>
      <w:proofErr w:type="spellStart"/>
      <w:r w:rsidRPr="00C11AAD">
        <w:t>dapag</w:t>
      </w:r>
      <w:r w:rsidR="00D5082B" w:rsidRPr="00C11AAD">
        <w:t>liflozin</w:t>
      </w:r>
      <w:proofErr w:type="spellEnd"/>
      <w:r w:rsidR="00D5082B" w:rsidRPr="00C11AAD">
        <w:t xml:space="preserve"> and </w:t>
      </w:r>
      <w:proofErr w:type="spellStart"/>
      <w:r w:rsidR="00D5082B" w:rsidRPr="00C11AAD">
        <w:t>empagliflozin</w:t>
      </w:r>
      <w:proofErr w:type="spellEnd"/>
      <w:r w:rsidR="00FC5D68" w:rsidRPr="00C11AAD">
        <w:t xml:space="preserve">; the requested listing for </w:t>
      </w:r>
      <w:proofErr w:type="spellStart"/>
      <w:r w:rsidR="00FC5D68" w:rsidRPr="00C11AAD">
        <w:t>ertugliflozin</w:t>
      </w:r>
      <w:proofErr w:type="spellEnd"/>
      <w:r w:rsidR="00FC5D68" w:rsidRPr="00C11AAD">
        <w:t xml:space="preserve"> with metformin FDC is on a cost-minimisation basis to the individual components</w:t>
      </w:r>
      <w:r w:rsidR="00D5082B" w:rsidRPr="00C11AAD">
        <w:t>.</w:t>
      </w:r>
      <w:r w:rsidR="005D6AE2" w:rsidRPr="00C11AAD">
        <w:t xml:space="preserve"> </w:t>
      </w:r>
    </w:p>
    <w:p w:rsidR="0097203C" w:rsidRPr="00C11AAD" w:rsidRDefault="0097203C" w:rsidP="00A75836">
      <w:pPr>
        <w:keepNext/>
        <w:rPr>
          <w:rStyle w:val="CommentReference"/>
        </w:rPr>
      </w:pPr>
      <w:r w:rsidRPr="00C11AAD">
        <w:rPr>
          <w:rStyle w:val="CommentReference"/>
        </w:rPr>
        <w:lastRenderedPageBreak/>
        <w:t>Table 1:  Key components of the clinical issue addressed in the submission</w:t>
      </w:r>
    </w:p>
    <w:tbl>
      <w:tblPr>
        <w:tblStyle w:val="TableGrid"/>
        <w:tblW w:w="9053" w:type="dxa"/>
        <w:tblInd w:w="-5" w:type="dxa"/>
        <w:tblLook w:val="04A0" w:firstRow="1" w:lastRow="0" w:firstColumn="1" w:lastColumn="0" w:noHBand="0" w:noVBand="1"/>
        <w:tblCaption w:val="Table 1:  Key components of the clinical issue addressed in the submission"/>
      </w:tblPr>
      <w:tblGrid>
        <w:gridCol w:w="1565"/>
        <w:gridCol w:w="7488"/>
      </w:tblGrid>
      <w:tr w:rsidR="0097203C" w:rsidRPr="00C11AAD" w:rsidTr="00FA0BE6">
        <w:trPr>
          <w:tblHeader/>
        </w:trPr>
        <w:tc>
          <w:tcPr>
            <w:tcW w:w="1565" w:type="dxa"/>
          </w:tcPr>
          <w:p w:rsidR="0097203C" w:rsidRPr="00C11AAD" w:rsidRDefault="0097203C" w:rsidP="00A75836">
            <w:pPr>
              <w:pStyle w:val="Tabletext"/>
              <w:keepNext/>
              <w:rPr>
                <w:b/>
              </w:rPr>
            </w:pPr>
            <w:r w:rsidRPr="00C11AAD">
              <w:rPr>
                <w:b/>
              </w:rPr>
              <w:t>Component</w:t>
            </w:r>
          </w:p>
        </w:tc>
        <w:tc>
          <w:tcPr>
            <w:tcW w:w="7488" w:type="dxa"/>
          </w:tcPr>
          <w:p w:rsidR="0097203C" w:rsidRPr="00C11AAD" w:rsidRDefault="0097203C" w:rsidP="00A75836">
            <w:pPr>
              <w:pStyle w:val="Tabletext"/>
              <w:keepNext/>
              <w:jc w:val="center"/>
              <w:rPr>
                <w:b/>
              </w:rPr>
            </w:pPr>
            <w:r w:rsidRPr="00C11AAD">
              <w:rPr>
                <w:b/>
              </w:rPr>
              <w:t>Description</w:t>
            </w:r>
          </w:p>
        </w:tc>
      </w:tr>
      <w:tr w:rsidR="0097203C" w:rsidRPr="00C11AAD" w:rsidTr="006020F6">
        <w:tc>
          <w:tcPr>
            <w:tcW w:w="1565" w:type="dxa"/>
          </w:tcPr>
          <w:p w:rsidR="0097203C" w:rsidRPr="00C11AAD" w:rsidRDefault="0097203C" w:rsidP="00A75836">
            <w:pPr>
              <w:pStyle w:val="Tabletext"/>
              <w:keepNext/>
            </w:pPr>
            <w:r w:rsidRPr="00C11AAD">
              <w:t>Population</w:t>
            </w:r>
          </w:p>
        </w:tc>
        <w:tc>
          <w:tcPr>
            <w:tcW w:w="7488" w:type="dxa"/>
          </w:tcPr>
          <w:p w:rsidR="0097203C" w:rsidRPr="00C11AAD" w:rsidRDefault="0097203C" w:rsidP="00A75836">
            <w:pPr>
              <w:pStyle w:val="Tabletext"/>
              <w:keepNext/>
            </w:pPr>
            <w:r w:rsidRPr="00C11AAD">
              <w:t>Patients with type 2 diabetes who are inadequately controlled on metformin or a sulfonylurea</w:t>
            </w:r>
            <w:r w:rsidR="005354CD" w:rsidRPr="00C11AAD">
              <w:t>.</w:t>
            </w:r>
          </w:p>
        </w:tc>
      </w:tr>
      <w:tr w:rsidR="0097203C" w:rsidRPr="00C11AAD" w:rsidTr="006020F6">
        <w:tc>
          <w:tcPr>
            <w:tcW w:w="1565" w:type="dxa"/>
          </w:tcPr>
          <w:p w:rsidR="0097203C" w:rsidRPr="00C11AAD" w:rsidRDefault="0097203C" w:rsidP="00A75836">
            <w:pPr>
              <w:pStyle w:val="Tabletext"/>
              <w:keepNext/>
            </w:pPr>
            <w:r w:rsidRPr="00C11AAD">
              <w:t>Intervention</w:t>
            </w:r>
          </w:p>
        </w:tc>
        <w:tc>
          <w:tcPr>
            <w:tcW w:w="7488" w:type="dxa"/>
          </w:tcPr>
          <w:p w:rsidR="0097203C" w:rsidRPr="00C11AAD" w:rsidRDefault="0097203C" w:rsidP="00A75836">
            <w:pPr>
              <w:pStyle w:val="Tabletext"/>
              <w:keepNext/>
            </w:pPr>
            <w:proofErr w:type="spellStart"/>
            <w:r w:rsidRPr="00C11AAD">
              <w:t>Ertugliflozin</w:t>
            </w:r>
            <w:proofErr w:type="spellEnd"/>
            <w:r w:rsidRPr="00C11AAD">
              <w:t xml:space="preserve"> in dual oral therapy with metformin; including the FDC of </w:t>
            </w:r>
            <w:proofErr w:type="spellStart"/>
            <w:r w:rsidRPr="00C11AAD">
              <w:t>ertugliflozin</w:t>
            </w:r>
            <w:proofErr w:type="spellEnd"/>
            <w:r w:rsidRPr="00C11AAD">
              <w:t xml:space="preserve"> with metformin. No evidence of efficacy and safety for </w:t>
            </w:r>
            <w:proofErr w:type="spellStart"/>
            <w:r w:rsidRPr="00C11AAD">
              <w:t>ertugliflozin</w:t>
            </w:r>
            <w:proofErr w:type="spellEnd"/>
            <w:r w:rsidRPr="00C11AAD">
              <w:t xml:space="preserve"> with a sulfonylurea was presented in the submission.</w:t>
            </w:r>
          </w:p>
        </w:tc>
      </w:tr>
      <w:tr w:rsidR="0097203C" w:rsidRPr="00C11AAD" w:rsidTr="006020F6">
        <w:tc>
          <w:tcPr>
            <w:tcW w:w="1565" w:type="dxa"/>
          </w:tcPr>
          <w:p w:rsidR="0097203C" w:rsidRPr="00C11AAD" w:rsidRDefault="0097203C" w:rsidP="00A75836">
            <w:pPr>
              <w:pStyle w:val="Tabletext"/>
              <w:keepNext/>
            </w:pPr>
            <w:r w:rsidRPr="00C11AAD">
              <w:t>Comparator</w:t>
            </w:r>
          </w:p>
        </w:tc>
        <w:tc>
          <w:tcPr>
            <w:tcW w:w="7488" w:type="dxa"/>
          </w:tcPr>
          <w:p w:rsidR="0097203C" w:rsidRPr="00C11AAD" w:rsidRDefault="0097203C" w:rsidP="00A75836">
            <w:pPr>
              <w:pStyle w:val="Tabletext"/>
              <w:keepNext/>
            </w:pPr>
            <w:proofErr w:type="spellStart"/>
            <w:r w:rsidRPr="00C11AAD">
              <w:t>Dapagliflozin</w:t>
            </w:r>
            <w:proofErr w:type="spellEnd"/>
            <w:r w:rsidRPr="00C11AAD">
              <w:t xml:space="preserve"> and </w:t>
            </w:r>
            <w:proofErr w:type="spellStart"/>
            <w:r w:rsidRPr="00C11AAD">
              <w:t>empagliflozin</w:t>
            </w:r>
            <w:proofErr w:type="spellEnd"/>
            <w:r w:rsidRPr="00C11AAD">
              <w:t xml:space="preserve"> (other SGLT2 inhibitors), in dual therapy with metformin or a sulfonylurea. For the </w:t>
            </w:r>
            <w:proofErr w:type="spellStart"/>
            <w:r w:rsidRPr="00C11AAD">
              <w:t>ertugliflozin</w:t>
            </w:r>
            <w:proofErr w:type="spellEnd"/>
            <w:r w:rsidRPr="00C11AAD">
              <w:t xml:space="preserve"> with metformin FDC, the main comparator is</w:t>
            </w:r>
            <w:r w:rsidR="005354CD" w:rsidRPr="00C11AAD">
              <w:t xml:space="preserve"> concurrent treatment with</w:t>
            </w:r>
            <w:r w:rsidRPr="00C11AAD">
              <w:t xml:space="preserve"> individual components </w:t>
            </w:r>
            <w:r w:rsidR="005354CD" w:rsidRPr="00C11AAD">
              <w:t>at corresponding doses</w:t>
            </w:r>
            <w:r w:rsidRPr="00C11AAD">
              <w:t xml:space="preserve">. </w:t>
            </w:r>
          </w:p>
        </w:tc>
      </w:tr>
      <w:tr w:rsidR="0097203C" w:rsidRPr="00C11AAD" w:rsidTr="006020F6">
        <w:tc>
          <w:tcPr>
            <w:tcW w:w="1565" w:type="dxa"/>
            <w:tcBorders>
              <w:bottom w:val="single" w:sz="4" w:space="0" w:color="auto"/>
            </w:tcBorders>
          </w:tcPr>
          <w:p w:rsidR="0097203C" w:rsidRPr="00C11AAD" w:rsidRDefault="0097203C" w:rsidP="00A75836">
            <w:pPr>
              <w:pStyle w:val="Tabletext"/>
              <w:keepNext/>
            </w:pPr>
            <w:r w:rsidRPr="00C11AAD">
              <w:t>Outcomes</w:t>
            </w:r>
          </w:p>
        </w:tc>
        <w:tc>
          <w:tcPr>
            <w:tcW w:w="7488" w:type="dxa"/>
          </w:tcPr>
          <w:p w:rsidR="0097203C" w:rsidRPr="00C11AAD" w:rsidRDefault="0097203C" w:rsidP="00A75836">
            <w:pPr>
              <w:pStyle w:val="Tabletext"/>
              <w:keepNext/>
            </w:pPr>
            <w:r w:rsidRPr="00C11AAD">
              <w:t xml:space="preserve">Mean change </w:t>
            </w:r>
            <w:r w:rsidR="00E22CD6" w:rsidRPr="00C11AAD">
              <w:t xml:space="preserve">from baseline </w:t>
            </w:r>
            <w:r w:rsidRPr="00C11AAD">
              <w:t>in HbA1c, fast</w:t>
            </w:r>
            <w:r w:rsidR="00E22CD6" w:rsidRPr="00C11AAD">
              <w:t>ing plasma glucose, and body weight,</w:t>
            </w:r>
            <w:r w:rsidRPr="00C11AAD">
              <w:t xml:space="preserve"> </w:t>
            </w:r>
            <w:r w:rsidR="00E22CD6" w:rsidRPr="00C11AAD">
              <w:t xml:space="preserve">proportion of HbA1c responders (&lt;7%), </w:t>
            </w:r>
            <w:r w:rsidRPr="00C11AAD">
              <w:t xml:space="preserve">safety, hypoglycaemic events. Bioequivalence outcomes </w:t>
            </w:r>
            <w:r w:rsidR="005C28E0" w:rsidRPr="00C11AAD">
              <w:t>we</w:t>
            </w:r>
            <w:r w:rsidRPr="00C11AAD">
              <w:t xml:space="preserve">re also presented for the </w:t>
            </w:r>
            <w:proofErr w:type="spellStart"/>
            <w:r w:rsidRPr="00C11AAD">
              <w:t>ertugliflozin</w:t>
            </w:r>
            <w:proofErr w:type="spellEnd"/>
            <w:r w:rsidRPr="00C11AAD">
              <w:t xml:space="preserve"> with metformin FDC.</w:t>
            </w:r>
          </w:p>
        </w:tc>
      </w:tr>
      <w:tr w:rsidR="0097203C" w:rsidRPr="00C11AAD" w:rsidTr="006020F6">
        <w:tc>
          <w:tcPr>
            <w:tcW w:w="1565" w:type="dxa"/>
            <w:tcBorders>
              <w:bottom w:val="single" w:sz="4" w:space="0" w:color="auto"/>
            </w:tcBorders>
          </w:tcPr>
          <w:p w:rsidR="0097203C" w:rsidRPr="00C11AAD" w:rsidRDefault="0097203C" w:rsidP="00A75836">
            <w:pPr>
              <w:pStyle w:val="Tabletext"/>
              <w:keepNext/>
            </w:pPr>
            <w:r w:rsidRPr="00C11AAD">
              <w:t>Clinical claim</w:t>
            </w:r>
          </w:p>
        </w:tc>
        <w:tc>
          <w:tcPr>
            <w:tcW w:w="7488" w:type="dxa"/>
          </w:tcPr>
          <w:p w:rsidR="0097203C" w:rsidRPr="00C11AAD" w:rsidRDefault="0097203C" w:rsidP="00A75836">
            <w:pPr>
              <w:pStyle w:val="Tabletext"/>
              <w:keepNext/>
            </w:pPr>
            <w:r w:rsidRPr="00C11AAD">
              <w:t xml:space="preserve">In patients with type 2 diabetes who are inadequately controlled on metformin or a sulfonylurea, dual oral therapy with </w:t>
            </w:r>
            <w:proofErr w:type="spellStart"/>
            <w:r w:rsidRPr="00C11AAD">
              <w:t>ertugliflozin</w:t>
            </w:r>
            <w:proofErr w:type="spellEnd"/>
            <w:r w:rsidRPr="00C11AAD">
              <w:t xml:space="preserve"> and metformin is as effective at controlling glycaemic levels and reducing body weigh</w:t>
            </w:r>
            <w:r w:rsidR="00E22CD6" w:rsidRPr="00C11AAD">
              <w:t>t</w:t>
            </w:r>
            <w:r w:rsidRPr="00C11AAD">
              <w:t xml:space="preserve"> compared to dual oral therapy with </w:t>
            </w:r>
            <w:proofErr w:type="spellStart"/>
            <w:r w:rsidRPr="00C11AAD">
              <w:t>dapagliflozin</w:t>
            </w:r>
            <w:proofErr w:type="spellEnd"/>
            <w:r w:rsidRPr="00C11AAD">
              <w:t xml:space="preserve"> or </w:t>
            </w:r>
            <w:proofErr w:type="spellStart"/>
            <w:r w:rsidRPr="00C11AAD">
              <w:t>empagliflozin</w:t>
            </w:r>
            <w:proofErr w:type="spellEnd"/>
            <w:r w:rsidRPr="00C11AAD">
              <w:t xml:space="preserve"> and metformin; and is as safe in terms of ad</w:t>
            </w:r>
            <w:r w:rsidR="000A72BE" w:rsidRPr="00C11AAD">
              <w:t>verse events and hypoglycaemia.</w:t>
            </w:r>
          </w:p>
          <w:p w:rsidR="0097203C" w:rsidRPr="00C11AAD" w:rsidRDefault="0097203C" w:rsidP="00A75836">
            <w:pPr>
              <w:pStyle w:val="Tabletext"/>
              <w:keepNext/>
            </w:pPr>
          </w:p>
          <w:p w:rsidR="0097203C" w:rsidRPr="00C11AAD" w:rsidRDefault="0097203C" w:rsidP="00A75836">
            <w:pPr>
              <w:pStyle w:val="Tabletext"/>
              <w:keepNext/>
            </w:pPr>
            <w:r w:rsidRPr="00C11AAD">
              <w:t xml:space="preserve">The FDC of </w:t>
            </w:r>
            <w:proofErr w:type="spellStart"/>
            <w:r w:rsidRPr="00C11AAD">
              <w:t>ertugliflozin</w:t>
            </w:r>
            <w:proofErr w:type="spellEnd"/>
            <w:r w:rsidRPr="00C11AAD">
              <w:t xml:space="preserve"> and metformin is bioequivalent to the individual</w:t>
            </w:r>
            <w:r w:rsidR="000A72BE" w:rsidRPr="00C11AAD">
              <w:t xml:space="preserve"> components taken concurrently.</w:t>
            </w:r>
          </w:p>
        </w:tc>
      </w:tr>
    </w:tbl>
    <w:p w:rsidR="0097203C" w:rsidRPr="00C11AAD" w:rsidRDefault="0097203C" w:rsidP="00A75836">
      <w:pPr>
        <w:pStyle w:val="TableFooter"/>
        <w:keepNext/>
      </w:pPr>
      <w:r w:rsidRPr="00C11AAD">
        <w:t xml:space="preserve">Abbreviations: FDC, fixed dose combination; HbA1c, glycosylated haemoglobin; SGLT2, </w:t>
      </w:r>
      <w:r w:rsidR="00FB3BFA" w:rsidRPr="00C11AAD">
        <w:t>sodium glucose co-transporter 2; TGA, Therapeutic Goods Administration.</w:t>
      </w:r>
    </w:p>
    <w:p w:rsidR="0097203C" w:rsidRPr="00C11AAD" w:rsidRDefault="0097203C" w:rsidP="00A75836">
      <w:pPr>
        <w:pStyle w:val="TableFooter"/>
        <w:keepNext/>
      </w:pPr>
      <w:r w:rsidRPr="00C11AAD">
        <w:t>Source: Table 1.1-1, p2 of the submission.</w:t>
      </w:r>
    </w:p>
    <w:p w:rsidR="00B60939" w:rsidRPr="00C11AAD" w:rsidRDefault="00B50DB8" w:rsidP="00CF5F42">
      <w:pPr>
        <w:pStyle w:val="PBACHeading1"/>
      </w:pPr>
      <w:bookmarkStart w:id="2" w:name="_Toc503874310"/>
      <w:r w:rsidRPr="00C11AAD">
        <w:t>Requested listing</w:t>
      </w:r>
      <w:bookmarkEnd w:id="2"/>
    </w:p>
    <w:tbl>
      <w:tblPr>
        <w:tblW w:w="4977" w:type="pct"/>
        <w:tblInd w:w="28" w:type="dxa"/>
        <w:tblCellMar>
          <w:left w:w="28" w:type="dxa"/>
          <w:right w:w="28" w:type="dxa"/>
        </w:tblCellMar>
        <w:tblLook w:val="0000" w:firstRow="0" w:lastRow="0" w:firstColumn="0" w:lastColumn="0" w:noHBand="0" w:noVBand="0"/>
      </w:tblPr>
      <w:tblGrid>
        <w:gridCol w:w="2256"/>
        <w:gridCol w:w="1125"/>
        <w:gridCol w:w="1087"/>
        <w:gridCol w:w="843"/>
        <w:gridCol w:w="1519"/>
        <w:gridCol w:w="2211"/>
      </w:tblGrid>
      <w:tr w:rsidR="003517F9" w:rsidRPr="00C11AAD" w:rsidTr="00352FDF">
        <w:trPr>
          <w:cantSplit/>
          <w:trHeight w:val="463"/>
        </w:trPr>
        <w:tc>
          <w:tcPr>
            <w:tcW w:w="1870" w:type="pct"/>
            <w:gridSpan w:val="2"/>
            <w:tcBorders>
              <w:top w:val="single" w:sz="4" w:space="0" w:color="auto"/>
              <w:bottom w:val="single" w:sz="4" w:space="0" w:color="auto"/>
            </w:tcBorders>
            <w:vAlign w:val="center"/>
          </w:tcPr>
          <w:p w:rsidR="00617E12" w:rsidRPr="00C11AAD" w:rsidRDefault="00617E12" w:rsidP="00DB2EA0">
            <w:pPr>
              <w:keepNext/>
              <w:jc w:val="left"/>
              <w:rPr>
                <w:rFonts w:ascii="Arial Narrow" w:hAnsi="Arial Narrow"/>
                <w:b/>
                <w:sz w:val="20"/>
              </w:rPr>
            </w:pPr>
            <w:r w:rsidRPr="00C11AAD">
              <w:rPr>
                <w:rFonts w:ascii="Arial Narrow" w:hAnsi="Arial Narrow"/>
                <w:b/>
                <w:sz w:val="20"/>
              </w:rPr>
              <w:t>Name, Restriction,</w:t>
            </w:r>
          </w:p>
          <w:p w:rsidR="00617E12" w:rsidRPr="00C11AAD" w:rsidRDefault="00617E12" w:rsidP="00DB2EA0">
            <w:pPr>
              <w:keepNext/>
              <w:jc w:val="left"/>
              <w:rPr>
                <w:rFonts w:ascii="Arial Narrow" w:hAnsi="Arial Narrow"/>
                <w:b/>
                <w:sz w:val="20"/>
              </w:rPr>
            </w:pPr>
            <w:r w:rsidRPr="00C11AAD">
              <w:rPr>
                <w:rFonts w:ascii="Arial Narrow" w:hAnsi="Arial Narrow"/>
                <w:b/>
                <w:sz w:val="20"/>
              </w:rPr>
              <w:t>Manner of administration and form</w:t>
            </w:r>
          </w:p>
        </w:tc>
        <w:tc>
          <w:tcPr>
            <w:tcW w:w="601" w:type="pct"/>
            <w:tcBorders>
              <w:top w:val="single" w:sz="4" w:space="0" w:color="auto"/>
              <w:bottom w:val="single" w:sz="4" w:space="0" w:color="auto"/>
            </w:tcBorders>
            <w:vAlign w:val="center"/>
          </w:tcPr>
          <w:p w:rsidR="00617E12" w:rsidRPr="00C11AAD" w:rsidRDefault="00617E12" w:rsidP="00DB2EA0">
            <w:pPr>
              <w:keepNext/>
              <w:jc w:val="center"/>
              <w:rPr>
                <w:rFonts w:ascii="Arial Narrow" w:hAnsi="Arial Narrow"/>
                <w:b/>
                <w:sz w:val="20"/>
              </w:rPr>
            </w:pPr>
            <w:r w:rsidRPr="00C11AAD">
              <w:rPr>
                <w:rFonts w:ascii="Arial Narrow" w:hAnsi="Arial Narrow"/>
                <w:b/>
                <w:sz w:val="20"/>
              </w:rPr>
              <w:t>Max.</w:t>
            </w:r>
          </w:p>
          <w:p w:rsidR="00617E12" w:rsidRPr="00C11AAD" w:rsidRDefault="00617E12" w:rsidP="00DB2EA0">
            <w:pPr>
              <w:keepNext/>
              <w:jc w:val="center"/>
              <w:rPr>
                <w:rFonts w:ascii="Arial Narrow" w:hAnsi="Arial Narrow"/>
                <w:b/>
                <w:sz w:val="20"/>
              </w:rPr>
            </w:pPr>
            <w:proofErr w:type="spellStart"/>
            <w:r w:rsidRPr="00C11AAD">
              <w:rPr>
                <w:rFonts w:ascii="Arial Narrow" w:hAnsi="Arial Narrow"/>
                <w:b/>
                <w:sz w:val="20"/>
              </w:rPr>
              <w:t>Qty</w:t>
            </w:r>
            <w:proofErr w:type="spellEnd"/>
          </w:p>
        </w:tc>
        <w:tc>
          <w:tcPr>
            <w:tcW w:w="466" w:type="pct"/>
            <w:tcBorders>
              <w:top w:val="single" w:sz="4" w:space="0" w:color="auto"/>
              <w:bottom w:val="single" w:sz="4" w:space="0" w:color="auto"/>
            </w:tcBorders>
            <w:vAlign w:val="center"/>
          </w:tcPr>
          <w:p w:rsidR="00617E12" w:rsidRPr="00C11AAD" w:rsidRDefault="00617E12" w:rsidP="00DB2EA0">
            <w:pPr>
              <w:keepNext/>
              <w:jc w:val="center"/>
              <w:rPr>
                <w:rFonts w:ascii="Arial Narrow" w:hAnsi="Arial Narrow"/>
                <w:b/>
                <w:sz w:val="20"/>
              </w:rPr>
            </w:pPr>
            <w:r w:rsidRPr="00C11AAD">
              <w:rPr>
                <w:rFonts w:ascii="Arial Narrow" w:hAnsi="Arial Narrow" w:cs="Times New Roman"/>
                <w:b/>
                <w:sz w:val="20"/>
              </w:rPr>
              <w:t>№</w:t>
            </w:r>
            <w:r w:rsidRPr="00C11AAD">
              <w:rPr>
                <w:rFonts w:ascii="Arial Narrow" w:hAnsi="Arial Narrow"/>
                <w:b/>
                <w:sz w:val="20"/>
              </w:rPr>
              <w:t>.of</w:t>
            </w:r>
          </w:p>
          <w:p w:rsidR="00617E12" w:rsidRPr="00C11AAD" w:rsidRDefault="00617E12" w:rsidP="00DB2EA0">
            <w:pPr>
              <w:keepNext/>
              <w:jc w:val="center"/>
              <w:rPr>
                <w:rFonts w:ascii="Arial Narrow" w:hAnsi="Arial Narrow"/>
                <w:b/>
                <w:sz w:val="20"/>
              </w:rPr>
            </w:pPr>
            <w:proofErr w:type="spellStart"/>
            <w:r w:rsidRPr="00C11AAD">
              <w:rPr>
                <w:rFonts w:ascii="Arial Narrow" w:hAnsi="Arial Narrow"/>
                <w:b/>
                <w:sz w:val="20"/>
              </w:rPr>
              <w:t>Rpts</w:t>
            </w:r>
            <w:proofErr w:type="spellEnd"/>
          </w:p>
        </w:tc>
        <w:tc>
          <w:tcPr>
            <w:tcW w:w="840" w:type="pct"/>
            <w:tcBorders>
              <w:top w:val="single" w:sz="4" w:space="0" w:color="auto"/>
              <w:bottom w:val="single" w:sz="4" w:space="0" w:color="auto"/>
            </w:tcBorders>
            <w:vAlign w:val="center"/>
          </w:tcPr>
          <w:p w:rsidR="00617E12" w:rsidRPr="00C11AAD" w:rsidRDefault="00617E12" w:rsidP="00DB2EA0">
            <w:pPr>
              <w:keepNext/>
              <w:jc w:val="center"/>
              <w:rPr>
                <w:rFonts w:ascii="Arial Narrow" w:hAnsi="Arial Narrow"/>
                <w:b/>
                <w:sz w:val="20"/>
              </w:rPr>
            </w:pPr>
            <w:r w:rsidRPr="00C11AAD">
              <w:rPr>
                <w:rFonts w:ascii="Arial Narrow" w:hAnsi="Arial Narrow"/>
                <w:b/>
                <w:sz w:val="20"/>
              </w:rPr>
              <w:t xml:space="preserve">Dispensed Price for Max. </w:t>
            </w:r>
            <w:proofErr w:type="spellStart"/>
            <w:r w:rsidRPr="00C11AAD">
              <w:rPr>
                <w:rFonts w:ascii="Arial Narrow" w:hAnsi="Arial Narrow"/>
                <w:b/>
                <w:sz w:val="20"/>
              </w:rPr>
              <w:t>Qty</w:t>
            </w:r>
            <w:proofErr w:type="spellEnd"/>
          </w:p>
        </w:tc>
        <w:tc>
          <w:tcPr>
            <w:tcW w:w="1223" w:type="pct"/>
            <w:tcBorders>
              <w:top w:val="single" w:sz="4" w:space="0" w:color="auto"/>
              <w:bottom w:val="single" w:sz="4" w:space="0" w:color="auto"/>
            </w:tcBorders>
            <w:vAlign w:val="center"/>
          </w:tcPr>
          <w:p w:rsidR="00617E12" w:rsidRPr="00C11AAD" w:rsidRDefault="00617E12" w:rsidP="00DB2EA0">
            <w:pPr>
              <w:keepNext/>
              <w:jc w:val="center"/>
              <w:rPr>
                <w:rFonts w:ascii="Arial Narrow" w:hAnsi="Arial Narrow"/>
                <w:b/>
                <w:sz w:val="20"/>
                <w:lang w:val="fr-FR"/>
              </w:rPr>
            </w:pPr>
            <w:r w:rsidRPr="00C11AAD">
              <w:rPr>
                <w:rFonts w:ascii="Arial Narrow" w:hAnsi="Arial Narrow"/>
                <w:b/>
                <w:sz w:val="20"/>
              </w:rPr>
              <w:t>Proprietary Name and Manufacturer</w:t>
            </w:r>
          </w:p>
        </w:tc>
      </w:tr>
      <w:tr w:rsidR="00FB3BFA" w:rsidRPr="00C11AAD" w:rsidTr="00352FDF">
        <w:trPr>
          <w:cantSplit/>
          <w:trHeight w:val="567"/>
        </w:trPr>
        <w:tc>
          <w:tcPr>
            <w:tcW w:w="1870" w:type="pct"/>
            <w:gridSpan w:val="2"/>
            <w:vAlign w:val="center"/>
          </w:tcPr>
          <w:p w:rsidR="00FB3BFA" w:rsidRPr="00C11AAD" w:rsidRDefault="00FB3BFA" w:rsidP="00DB2EA0">
            <w:pPr>
              <w:keepNext/>
              <w:jc w:val="left"/>
              <w:rPr>
                <w:rFonts w:ascii="Arial Narrow" w:hAnsi="Arial Narrow"/>
                <w:smallCaps/>
                <w:sz w:val="20"/>
              </w:rPr>
            </w:pPr>
            <w:proofErr w:type="spellStart"/>
            <w:r w:rsidRPr="00C11AAD">
              <w:rPr>
                <w:rFonts w:ascii="Arial Narrow" w:hAnsi="Arial Narrow"/>
                <w:smallCaps/>
                <w:sz w:val="20"/>
              </w:rPr>
              <w:t>Ertugliflozin</w:t>
            </w:r>
            <w:proofErr w:type="spellEnd"/>
          </w:p>
          <w:p w:rsidR="00FB3BFA" w:rsidRPr="00C11AAD" w:rsidRDefault="00FB3BFA" w:rsidP="00DB2EA0">
            <w:pPr>
              <w:keepNext/>
              <w:jc w:val="left"/>
              <w:rPr>
                <w:rFonts w:ascii="Arial Narrow" w:hAnsi="Arial Narrow"/>
                <w:sz w:val="20"/>
              </w:rPr>
            </w:pPr>
            <w:r w:rsidRPr="00C11AAD">
              <w:rPr>
                <w:rFonts w:ascii="Arial Narrow" w:hAnsi="Arial Narrow"/>
                <w:sz w:val="20"/>
              </w:rPr>
              <w:t>Oral tablet, 5 mg</w:t>
            </w:r>
          </w:p>
          <w:p w:rsidR="00FB3BFA" w:rsidRPr="00C11AAD" w:rsidRDefault="00FB3BFA" w:rsidP="00DB2EA0">
            <w:pPr>
              <w:keepNext/>
              <w:jc w:val="left"/>
              <w:rPr>
                <w:rFonts w:ascii="Arial Narrow" w:hAnsi="Arial Narrow"/>
                <w:sz w:val="20"/>
              </w:rPr>
            </w:pPr>
            <w:r w:rsidRPr="00C11AAD">
              <w:rPr>
                <w:rFonts w:ascii="Arial Narrow" w:hAnsi="Arial Narrow"/>
                <w:sz w:val="20"/>
              </w:rPr>
              <w:t>Oral tablet, 15 mg</w:t>
            </w:r>
          </w:p>
        </w:tc>
        <w:tc>
          <w:tcPr>
            <w:tcW w:w="601" w:type="pct"/>
          </w:tcPr>
          <w:p w:rsidR="00FB3BFA" w:rsidRPr="00C11AAD" w:rsidRDefault="00FB3BFA" w:rsidP="00DB2EA0">
            <w:pPr>
              <w:keepNext/>
              <w:jc w:val="center"/>
              <w:rPr>
                <w:rFonts w:ascii="Arial Narrow" w:hAnsi="Arial Narrow"/>
                <w:sz w:val="20"/>
              </w:rPr>
            </w:pPr>
          </w:p>
          <w:p w:rsidR="00FB3BFA" w:rsidRPr="00C11AAD" w:rsidRDefault="00FB3BFA" w:rsidP="00DB2EA0">
            <w:pPr>
              <w:keepNext/>
              <w:jc w:val="center"/>
              <w:rPr>
                <w:rFonts w:ascii="Arial Narrow" w:hAnsi="Arial Narrow"/>
                <w:sz w:val="20"/>
              </w:rPr>
            </w:pPr>
            <w:r w:rsidRPr="00C11AAD">
              <w:rPr>
                <w:rFonts w:ascii="Arial Narrow" w:hAnsi="Arial Narrow"/>
                <w:sz w:val="20"/>
              </w:rPr>
              <w:t>28</w:t>
            </w:r>
          </w:p>
          <w:p w:rsidR="00FB3BFA" w:rsidRPr="00C11AAD" w:rsidRDefault="00FB3BFA" w:rsidP="00DB2EA0">
            <w:pPr>
              <w:keepNext/>
              <w:jc w:val="center"/>
              <w:rPr>
                <w:rFonts w:ascii="Arial Narrow" w:hAnsi="Arial Narrow"/>
                <w:sz w:val="20"/>
              </w:rPr>
            </w:pPr>
            <w:r w:rsidRPr="00C11AAD">
              <w:rPr>
                <w:rFonts w:ascii="Arial Narrow" w:hAnsi="Arial Narrow"/>
                <w:sz w:val="20"/>
              </w:rPr>
              <w:t>28</w:t>
            </w:r>
          </w:p>
        </w:tc>
        <w:tc>
          <w:tcPr>
            <w:tcW w:w="466" w:type="pct"/>
          </w:tcPr>
          <w:p w:rsidR="00FB3BFA" w:rsidRPr="00C11AAD" w:rsidRDefault="00FB3BFA" w:rsidP="00DB2EA0">
            <w:pPr>
              <w:keepNext/>
              <w:jc w:val="center"/>
              <w:rPr>
                <w:rFonts w:ascii="Arial Narrow" w:hAnsi="Arial Narrow"/>
                <w:sz w:val="20"/>
              </w:rPr>
            </w:pPr>
          </w:p>
          <w:p w:rsidR="00FB3BFA" w:rsidRPr="00C11AAD" w:rsidRDefault="00FB3BFA" w:rsidP="00DB2EA0">
            <w:pPr>
              <w:keepNext/>
              <w:jc w:val="center"/>
              <w:rPr>
                <w:rFonts w:ascii="Arial Narrow" w:hAnsi="Arial Narrow"/>
                <w:sz w:val="20"/>
              </w:rPr>
            </w:pPr>
            <w:r w:rsidRPr="00C11AAD">
              <w:rPr>
                <w:rFonts w:ascii="Arial Narrow" w:hAnsi="Arial Narrow"/>
                <w:sz w:val="20"/>
              </w:rPr>
              <w:t>5</w:t>
            </w:r>
          </w:p>
          <w:p w:rsidR="00FB3BFA" w:rsidRPr="00C11AAD" w:rsidRDefault="00FB3BFA" w:rsidP="00DB2EA0">
            <w:pPr>
              <w:keepNext/>
              <w:jc w:val="center"/>
              <w:rPr>
                <w:rFonts w:ascii="Arial Narrow" w:hAnsi="Arial Narrow"/>
                <w:sz w:val="20"/>
              </w:rPr>
            </w:pPr>
            <w:r w:rsidRPr="00C11AAD">
              <w:rPr>
                <w:rFonts w:ascii="Arial Narrow" w:hAnsi="Arial Narrow"/>
                <w:sz w:val="20"/>
              </w:rPr>
              <w:t>5</w:t>
            </w:r>
          </w:p>
        </w:tc>
        <w:tc>
          <w:tcPr>
            <w:tcW w:w="840" w:type="pct"/>
          </w:tcPr>
          <w:p w:rsidR="00FB3BFA" w:rsidRPr="00C11AAD" w:rsidRDefault="00FB3BFA" w:rsidP="00DB2EA0">
            <w:pPr>
              <w:keepNext/>
              <w:jc w:val="center"/>
              <w:rPr>
                <w:rFonts w:ascii="Arial Narrow" w:hAnsi="Arial Narrow"/>
                <w:sz w:val="20"/>
              </w:rPr>
            </w:pPr>
          </w:p>
          <w:p w:rsidR="00FB3BFA" w:rsidRPr="00C11AAD" w:rsidRDefault="00FB3BFA" w:rsidP="00DB2EA0">
            <w:pPr>
              <w:keepNext/>
              <w:jc w:val="center"/>
              <w:rPr>
                <w:rFonts w:ascii="Arial Narrow" w:hAnsi="Arial Narrow"/>
                <w:sz w:val="20"/>
              </w:rPr>
            </w:pPr>
            <w:r w:rsidRPr="00C11AAD">
              <w:rPr>
                <w:rFonts w:ascii="Arial Narrow" w:hAnsi="Arial Narrow"/>
                <w:sz w:val="20"/>
              </w:rPr>
              <w:t>$</w:t>
            </w:r>
            <w:r w:rsidRPr="0059706A">
              <w:rPr>
                <w:rFonts w:ascii="Arial Narrow" w:hAnsi="Arial Narrow"/>
                <w:sz w:val="20"/>
              </w:rPr>
              <w:t>58.27</w:t>
            </w:r>
          </w:p>
          <w:p w:rsidR="00FB3BFA" w:rsidRPr="00C11AAD" w:rsidRDefault="00FB3BFA" w:rsidP="00DB2EA0">
            <w:pPr>
              <w:keepNext/>
              <w:jc w:val="center"/>
              <w:rPr>
                <w:rFonts w:ascii="Arial Narrow" w:hAnsi="Arial Narrow"/>
                <w:sz w:val="20"/>
              </w:rPr>
            </w:pPr>
            <w:r w:rsidRPr="00C11AAD">
              <w:rPr>
                <w:rFonts w:ascii="Arial Narrow" w:hAnsi="Arial Narrow"/>
                <w:sz w:val="20"/>
              </w:rPr>
              <w:t>$</w:t>
            </w:r>
            <w:r w:rsidRPr="0059706A">
              <w:rPr>
                <w:rFonts w:ascii="Arial Narrow" w:hAnsi="Arial Narrow"/>
                <w:sz w:val="20"/>
              </w:rPr>
              <w:t>58.27</w:t>
            </w:r>
          </w:p>
        </w:tc>
        <w:tc>
          <w:tcPr>
            <w:tcW w:w="1223" w:type="pct"/>
            <w:vAlign w:val="center"/>
          </w:tcPr>
          <w:p w:rsidR="00BD4C28" w:rsidRDefault="00BD4C28" w:rsidP="00DB2EA0">
            <w:pPr>
              <w:keepNext/>
              <w:jc w:val="center"/>
              <w:rPr>
                <w:rFonts w:ascii="Arial Narrow" w:hAnsi="Arial Narrow"/>
                <w:sz w:val="20"/>
              </w:rPr>
            </w:pPr>
          </w:p>
          <w:p w:rsidR="00FB3BFA" w:rsidRPr="00C11AAD" w:rsidRDefault="00FB3BFA" w:rsidP="00DB2EA0">
            <w:pPr>
              <w:keepNext/>
              <w:jc w:val="center"/>
              <w:rPr>
                <w:rFonts w:ascii="Arial Narrow" w:hAnsi="Arial Narrow"/>
                <w:sz w:val="20"/>
                <w:vertAlign w:val="superscript"/>
              </w:rPr>
            </w:pPr>
            <w:proofErr w:type="spellStart"/>
            <w:r w:rsidRPr="00C11AAD">
              <w:rPr>
                <w:rFonts w:ascii="Arial Narrow" w:hAnsi="Arial Narrow"/>
                <w:sz w:val="20"/>
              </w:rPr>
              <w:t>Steglatro</w:t>
            </w:r>
            <w:proofErr w:type="spellEnd"/>
            <w:r w:rsidRPr="00C11AAD">
              <w:rPr>
                <w:rFonts w:ascii="Arial Narrow" w:hAnsi="Arial Narrow"/>
                <w:sz w:val="20"/>
              </w:rPr>
              <w:t xml:space="preserve"> </w:t>
            </w:r>
            <w:r w:rsidRPr="00C11AAD">
              <w:rPr>
                <w:rFonts w:ascii="Arial Narrow" w:hAnsi="Arial Narrow"/>
                <w:sz w:val="20"/>
                <w:vertAlign w:val="superscript"/>
              </w:rPr>
              <w:t>®</w:t>
            </w:r>
          </w:p>
          <w:p w:rsidR="00FB3BFA" w:rsidRPr="00C11AAD" w:rsidRDefault="00FB3BFA" w:rsidP="00DB2EA0">
            <w:pPr>
              <w:keepNext/>
              <w:jc w:val="center"/>
              <w:rPr>
                <w:rFonts w:ascii="Arial Narrow" w:hAnsi="Arial Narrow"/>
                <w:sz w:val="20"/>
              </w:rPr>
            </w:pPr>
            <w:r w:rsidRPr="00C11AAD">
              <w:rPr>
                <w:rFonts w:ascii="Arial Narrow" w:hAnsi="Arial Narrow"/>
                <w:sz w:val="20"/>
              </w:rPr>
              <w:t>Merck Sharp &amp; Dohme</w:t>
            </w:r>
          </w:p>
          <w:p w:rsidR="00FB3BFA" w:rsidRPr="00C11AAD" w:rsidRDefault="00FB3BFA" w:rsidP="00DB2EA0">
            <w:pPr>
              <w:keepNext/>
              <w:rPr>
                <w:rFonts w:ascii="Arial Narrow" w:hAnsi="Arial Narrow"/>
                <w:sz w:val="20"/>
              </w:rPr>
            </w:pPr>
          </w:p>
        </w:tc>
      </w:tr>
      <w:tr w:rsidR="00352FDF" w:rsidRPr="00C11AAD" w:rsidTr="00FB3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Category/Program:</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General Schedule</w:t>
            </w:r>
          </w:p>
        </w:tc>
      </w:tr>
      <w:tr w:rsidR="00352FDF" w:rsidRPr="00C11AAD" w:rsidTr="00FB3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PBS indication:</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Diabetes mellitus type 2</w:t>
            </w:r>
          </w:p>
        </w:tc>
      </w:tr>
      <w:tr w:rsidR="00352FDF" w:rsidRPr="00C11AAD" w:rsidTr="00FB3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Treatment phase:</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N/A</w:t>
            </w:r>
          </w:p>
        </w:tc>
      </w:tr>
      <w:tr w:rsidR="00352FDF" w:rsidRPr="00C11AAD" w:rsidTr="00FB3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Restriction:</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Streamlined Authority</w:t>
            </w:r>
          </w:p>
        </w:tc>
      </w:tr>
      <w:tr w:rsidR="00542C2D" w:rsidRPr="00C11AAD" w:rsidTr="00FB3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542C2D" w:rsidRPr="00C11AAD" w:rsidRDefault="00542C2D" w:rsidP="00DB2EA0">
            <w:pPr>
              <w:pStyle w:val="Tabletext"/>
              <w:rPr>
                <w:lang w:eastAsia="en-AU"/>
              </w:rPr>
            </w:pPr>
            <w:r w:rsidRPr="00C11AAD">
              <w:rPr>
                <w:lang w:eastAsia="en-AU"/>
              </w:rPr>
              <w:t>Clinical criteria</w:t>
            </w:r>
            <w:r w:rsidR="00591957" w:rsidRPr="00C11AAD">
              <w:rPr>
                <w:lang w:eastAsia="en-AU"/>
              </w:rPr>
              <w:t>:</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 xml:space="preserve">The treatment must be in combination with metformin; </w:t>
            </w:r>
          </w:p>
          <w:p w:rsidR="00352FDF" w:rsidRPr="00C11AAD" w:rsidRDefault="00352FDF" w:rsidP="00DB2EA0">
            <w:pPr>
              <w:pStyle w:val="Tabletext"/>
              <w:rPr>
                <w:lang w:eastAsia="en-AU"/>
              </w:rPr>
            </w:pPr>
            <w:r w:rsidRPr="00C11AAD">
              <w:rPr>
                <w:lang w:eastAsia="en-AU"/>
              </w:rPr>
              <w:t xml:space="preserve">OR </w:t>
            </w:r>
          </w:p>
          <w:p w:rsidR="00352FDF" w:rsidRPr="00C11AAD" w:rsidRDefault="00352FDF" w:rsidP="00DB2EA0">
            <w:pPr>
              <w:pStyle w:val="Tabletext"/>
              <w:rPr>
                <w:lang w:eastAsia="en-AU"/>
              </w:rPr>
            </w:pPr>
            <w:r w:rsidRPr="00C11AAD">
              <w:rPr>
                <w:lang w:eastAsia="en-AU"/>
              </w:rPr>
              <w:t>The treatment must be in combination with a sulfonylurea,</w:t>
            </w:r>
          </w:p>
          <w:p w:rsidR="00352FDF" w:rsidRPr="00C11AAD" w:rsidRDefault="00352FDF" w:rsidP="00DB2EA0">
            <w:pPr>
              <w:pStyle w:val="Tabletext"/>
              <w:rPr>
                <w:lang w:eastAsia="en-AU"/>
              </w:rPr>
            </w:pPr>
            <w:r w:rsidRPr="00C11AAD">
              <w:rPr>
                <w:lang w:eastAsia="en-AU"/>
              </w:rPr>
              <w:t>AND</w:t>
            </w:r>
          </w:p>
          <w:p w:rsidR="00352FDF" w:rsidRPr="00C11AAD" w:rsidRDefault="00352FDF" w:rsidP="00DB2EA0">
            <w:pPr>
              <w:pStyle w:val="Tabletext"/>
              <w:rPr>
                <w:lang w:eastAsia="en-AU"/>
              </w:rPr>
            </w:pPr>
            <w:r w:rsidRPr="00C11AAD">
              <w:rPr>
                <w:lang w:eastAsia="en-AU"/>
              </w:rPr>
              <w:t xml:space="preserve">Patient must have, or have had, a HbA1c measurement greater than 7% despite treatment with either metformin or a sulfonylurea; </w:t>
            </w:r>
          </w:p>
          <w:p w:rsidR="00352FDF" w:rsidRPr="00C11AAD" w:rsidRDefault="00352FDF" w:rsidP="00DB2EA0">
            <w:pPr>
              <w:pStyle w:val="Tabletext"/>
              <w:rPr>
                <w:lang w:eastAsia="en-AU"/>
              </w:rPr>
            </w:pPr>
            <w:r w:rsidRPr="00C11AAD">
              <w:rPr>
                <w:lang w:eastAsia="en-AU"/>
              </w:rPr>
              <w:t xml:space="preserve">OR </w:t>
            </w:r>
          </w:p>
          <w:p w:rsidR="00542C2D" w:rsidRPr="00C11AAD" w:rsidRDefault="00352FDF" w:rsidP="00DB2EA0">
            <w:pPr>
              <w:pStyle w:val="Tabletext"/>
              <w:rPr>
                <w:lang w:eastAsia="en-AU"/>
              </w:rPr>
            </w:pPr>
            <w:r w:rsidRPr="00C11AAD">
              <w:rPr>
                <w:lang w:eastAsia="en-AU"/>
              </w:rPr>
              <w:t xml:space="preserve">Patient must have, or have had, where HbA1c measurement is clinically inappropriate, blood glucose levels greater than 10 </w:t>
            </w:r>
            <w:proofErr w:type="spellStart"/>
            <w:r w:rsidRPr="00C11AAD">
              <w:rPr>
                <w:lang w:eastAsia="en-AU"/>
              </w:rPr>
              <w:t>mmol</w:t>
            </w:r>
            <w:proofErr w:type="spellEnd"/>
            <w:r w:rsidRPr="00C11AAD">
              <w:rPr>
                <w:lang w:eastAsia="en-AU"/>
              </w:rPr>
              <w:t xml:space="preserve"> per L in more than 20% of tests over a 2 week period despite treatment with either metformin or a sulfonylurea.</w:t>
            </w:r>
          </w:p>
        </w:tc>
      </w:tr>
      <w:tr w:rsidR="00542C2D" w:rsidRPr="00C11AAD" w:rsidTr="00FB3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542C2D" w:rsidRPr="00C11AAD" w:rsidRDefault="00591957" w:rsidP="00DB2EA0">
            <w:pPr>
              <w:pStyle w:val="Tabletext"/>
              <w:rPr>
                <w:lang w:eastAsia="en-AU"/>
              </w:rPr>
            </w:pPr>
            <w:r w:rsidRPr="00C11AAD">
              <w:rPr>
                <w:lang w:eastAsia="en-AU"/>
              </w:rPr>
              <w:t>Prescriber criteria:</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color w:val="000000"/>
                <w:szCs w:val="24"/>
                <w:lang w:eastAsia="en-AU"/>
              </w:rPr>
            </w:pPr>
            <w:r w:rsidRPr="00C11AAD">
              <w:rPr>
                <w:color w:val="000000"/>
                <w:szCs w:val="24"/>
                <w:lang w:eastAsia="en-AU"/>
              </w:rPr>
              <w:t>Continuing Therapy Only:</w:t>
            </w:r>
          </w:p>
          <w:p w:rsidR="00352FDF" w:rsidRPr="00C11AAD" w:rsidRDefault="00352FDF" w:rsidP="00DB2EA0">
            <w:pPr>
              <w:pStyle w:val="Tabletext"/>
              <w:rPr>
                <w:color w:val="000000"/>
                <w:szCs w:val="24"/>
                <w:lang w:eastAsia="en-AU"/>
              </w:rPr>
            </w:pPr>
            <w:r w:rsidRPr="00C11AAD">
              <w:rPr>
                <w:color w:val="000000"/>
                <w:szCs w:val="24"/>
                <w:lang w:eastAsia="en-AU"/>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352FDF" w:rsidRPr="00C11AAD" w:rsidRDefault="00352FDF" w:rsidP="00DB2EA0">
            <w:pPr>
              <w:pStyle w:val="Tabletext"/>
              <w:rPr>
                <w:color w:val="000000"/>
                <w:szCs w:val="24"/>
                <w:lang w:eastAsia="en-AU"/>
              </w:rPr>
            </w:pPr>
            <w:r w:rsidRPr="00C11AAD">
              <w:rPr>
                <w:color w:val="000000"/>
                <w:szCs w:val="24"/>
                <w:lang w:eastAsia="en-AU"/>
              </w:rPr>
              <w:t>Note:</w:t>
            </w:r>
          </w:p>
          <w:p w:rsidR="00542C2D" w:rsidRPr="00C11AAD" w:rsidRDefault="00352FDF" w:rsidP="00DB2EA0">
            <w:pPr>
              <w:pStyle w:val="Tabletext"/>
              <w:rPr>
                <w:color w:val="000000"/>
                <w:szCs w:val="24"/>
                <w:lang w:eastAsia="en-AU"/>
              </w:rPr>
            </w:pPr>
            <w:r w:rsidRPr="00C11AAD">
              <w:rPr>
                <w:color w:val="000000"/>
                <w:szCs w:val="24"/>
                <w:lang w:eastAsia="en-AU"/>
              </w:rPr>
              <w:t>This drug is not PBS subsidised for use as monotherapy or in combination with a thiazolidinedione (</w:t>
            </w:r>
            <w:proofErr w:type="spellStart"/>
            <w:r w:rsidRPr="00C11AAD">
              <w:rPr>
                <w:color w:val="000000"/>
                <w:szCs w:val="24"/>
                <w:lang w:eastAsia="en-AU"/>
              </w:rPr>
              <w:t>glitazone</w:t>
            </w:r>
            <w:proofErr w:type="spellEnd"/>
            <w:r w:rsidRPr="00C11AAD">
              <w:rPr>
                <w:color w:val="000000"/>
                <w:szCs w:val="24"/>
                <w:lang w:eastAsia="en-AU"/>
              </w:rPr>
              <w:t xml:space="preserve">), a dipeptidyl peptidase </w:t>
            </w:r>
            <w:proofErr w:type="gramStart"/>
            <w:r w:rsidRPr="00C11AAD">
              <w:rPr>
                <w:color w:val="000000"/>
                <w:szCs w:val="24"/>
                <w:lang w:eastAsia="en-AU"/>
              </w:rPr>
              <w:t>4 inhibitor (gliptin)</w:t>
            </w:r>
            <w:proofErr w:type="gramEnd"/>
            <w:r w:rsidRPr="00C11AAD">
              <w:rPr>
                <w:color w:val="000000"/>
                <w:szCs w:val="24"/>
                <w:lang w:eastAsia="en-AU"/>
              </w:rPr>
              <w:t xml:space="preserve"> or a glucagon-like peptide-1.</w:t>
            </w:r>
          </w:p>
        </w:tc>
      </w:tr>
    </w:tbl>
    <w:p w:rsidR="00B60939" w:rsidRPr="00C11AAD" w:rsidRDefault="00B60939" w:rsidP="00DB2EA0"/>
    <w:p w:rsidR="00352FDF" w:rsidRPr="00C11AAD" w:rsidRDefault="00352FDF" w:rsidP="00DB2EA0"/>
    <w:tbl>
      <w:tblPr>
        <w:tblW w:w="4977" w:type="pct"/>
        <w:tblInd w:w="28" w:type="dxa"/>
        <w:tblCellMar>
          <w:left w:w="28" w:type="dxa"/>
          <w:right w:w="28" w:type="dxa"/>
        </w:tblCellMar>
        <w:tblLook w:val="0000" w:firstRow="0" w:lastRow="0" w:firstColumn="0" w:lastColumn="0" w:noHBand="0" w:noVBand="0"/>
      </w:tblPr>
      <w:tblGrid>
        <w:gridCol w:w="2256"/>
        <w:gridCol w:w="1125"/>
        <w:gridCol w:w="1087"/>
        <w:gridCol w:w="843"/>
        <w:gridCol w:w="1519"/>
        <w:gridCol w:w="2211"/>
      </w:tblGrid>
      <w:tr w:rsidR="00352FDF" w:rsidRPr="00C11AAD" w:rsidTr="00352FDF">
        <w:trPr>
          <w:cantSplit/>
          <w:trHeight w:val="463"/>
        </w:trPr>
        <w:tc>
          <w:tcPr>
            <w:tcW w:w="1870" w:type="pct"/>
            <w:gridSpan w:val="2"/>
            <w:tcBorders>
              <w:top w:val="single" w:sz="4" w:space="0" w:color="auto"/>
              <w:bottom w:val="single" w:sz="4" w:space="0" w:color="auto"/>
            </w:tcBorders>
            <w:vAlign w:val="center"/>
          </w:tcPr>
          <w:p w:rsidR="00352FDF" w:rsidRPr="00C11AAD" w:rsidRDefault="00352FDF" w:rsidP="00DB2EA0">
            <w:pPr>
              <w:keepNext/>
              <w:jc w:val="left"/>
              <w:rPr>
                <w:rFonts w:ascii="Arial Narrow" w:hAnsi="Arial Narrow"/>
                <w:b/>
                <w:sz w:val="20"/>
              </w:rPr>
            </w:pPr>
            <w:r w:rsidRPr="00C11AAD">
              <w:rPr>
                <w:rFonts w:ascii="Arial Narrow" w:hAnsi="Arial Narrow"/>
                <w:b/>
                <w:sz w:val="20"/>
              </w:rPr>
              <w:lastRenderedPageBreak/>
              <w:t>Name, Restriction,</w:t>
            </w:r>
          </w:p>
          <w:p w:rsidR="00352FDF" w:rsidRPr="00C11AAD" w:rsidRDefault="00352FDF" w:rsidP="00DB2EA0">
            <w:pPr>
              <w:keepNext/>
              <w:jc w:val="left"/>
              <w:rPr>
                <w:rFonts w:ascii="Arial Narrow" w:hAnsi="Arial Narrow"/>
                <w:b/>
                <w:sz w:val="20"/>
              </w:rPr>
            </w:pPr>
            <w:r w:rsidRPr="00C11AAD">
              <w:rPr>
                <w:rFonts w:ascii="Arial Narrow" w:hAnsi="Arial Narrow"/>
                <w:b/>
                <w:sz w:val="20"/>
              </w:rPr>
              <w:t>Manner of administration and form</w:t>
            </w:r>
          </w:p>
        </w:tc>
        <w:tc>
          <w:tcPr>
            <w:tcW w:w="601" w:type="pct"/>
            <w:tcBorders>
              <w:top w:val="single" w:sz="4" w:space="0" w:color="auto"/>
              <w:bottom w:val="single" w:sz="4" w:space="0" w:color="auto"/>
            </w:tcBorders>
            <w:vAlign w:val="center"/>
          </w:tcPr>
          <w:p w:rsidR="00352FDF" w:rsidRPr="00C11AAD" w:rsidRDefault="00352FDF" w:rsidP="00DB2EA0">
            <w:pPr>
              <w:keepNext/>
              <w:jc w:val="center"/>
              <w:rPr>
                <w:rFonts w:ascii="Arial Narrow" w:hAnsi="Arial Narrow"/>
                <w:b/>
                <w:sz w:val="20"/>
              </w:rPr>
            </w:pPr>
            <w:r w:rsidRPr="00C11AAD">
              <w:rPr>
                <w:rFonts w:ascii="Arial Narrow" w:hAnsi="Arial Narrow"/>
                <w:b/>
                <w:sz w:val="20"/>
              </w:rPr>
              <w:t>Max.</w:t>
            </w:r>
          </w:p>
          <w:p w:rsidR="00352FDF" w:rsidRPr="00C11AAD" w:rsidRDefault="00352FDF" w:rsidP="00DB2EA0">
            <w:pPr>
              <w:keepNext/>
              <w:jc w:val="center"/>
              <w:rPr>
                <w:rFonts w:ascii="Arial Narrow" w:hAnsi="Arial Narrow"/>
                <w:b/>
                <w:sz w:val="20"/>
              </w:rPr>
            </w:pPr>
            <w:proofErr w:type="spellStart"/>
            <w:r w:rsidRPr="00C11AAD">
              <w:rPr>
                <w:rFonts w:ascii="Arial Narrow" w:hAnsi="Arial Narrow"/>
                <w:b/>
                <w:sz w:val="20"/>
              </w:rPr>
              <w:t>Qty</w:t>
            </w:r>
            <w:proofErr w:type="spellEnd"/>
          </w:p>
        </w:tc>
        <w:tc>
          <w:tcPr>
            <w:tcW w:w="466" w:type="pct"/>
            <w:tcBorders>
              <w:top w:val="single" w:sz="4" w:space="0" w:color="auto"/>
              <w:bottom w:val="single" w:sz="4" w:space="0" w:color="auto"/>
            </w:tcBorders>
            <w:vAlign w:val="center"/>
          </w:tcPr>
          <w:p w:rsidR="00352FDF" w:rsidRPr="00C11AAD" w:rsidRDefault="00352FDF" w:rsidP="00DB2EA0">
            <w:pPr>
              <w:keepNext/>
              <w:jc w:val="center"/>
              <w:rPr>
                <w:rFonts w:ascii="Arial Narrow" w:hAnsi="Arial Narrow"/>
                <w:b/>
                <w:sz w:val="20"/>
              </w:rPr>
            </w:pPr>
            <w:r w:rsidRPr="00C11AAD">
              <w:rPr>
                <w:rFonts w:ascii="Arial Narrow" w:hAnsi="Arial Narrow" w:cs="Times New Roman"/>
                <w:b/>
                <w:sz w:val="20"/>
              </w:rPr>
              <w:t>№</w:t>
            </w:r>
            <w:r w:rsidRPr="00C11AAD">
              <w:rPr>
                <w:rFonts w:ascii="Arial Narrow" w:hAnsi="Arial Narrow"/>
                <w:b/>
                <w:sz w:val="20"/>
              </w:rPr>
              <w:t>.of</w:t>
            </w:r>
          </w:p>
          <w:p w:rsidR="00352FDF" w:rsidRPr="00C11AAD" w:rsidRDefault="00352FDF" w:rsidP="00DB2EA0">
            <w:pPr>
              <w:keepNext/>
              <w:jc w:val="center"/>
              <w:rPr>
                <w:rFonts w:ascii="Arial Narrow" w:hAnsi="Arial Narrow"/>
                <w:b/>
                <w:sz w:val="20"/>
              </w:rPr>
            </w:pPr>
            <w:proofErr w:type="spellStart"/>
            <w:r w:rsidRPr="00C11AAD">
              <w:rPr>
                <w:rFonts w:ascii="Arial Narrow" w:hAnsi="Arial Narrow"/>
                <w:b/>
                <w:sz w:val="20"/>
              </w:rPr>
              <w:t>Rpts</w:t>
            </w:r>
            <w:proofErr w:type="spellEnd"/>
          </w:p>
        </w:tc>
        <w:tc>
          <w:tcPr>
            <w:tcW w:w="840" w:type="pct"/>
            <w:tcBorders>
              <w:top w:val="single" w:sz="4" w:space="0" w:color="auto"/>
              <w:bottom w:val="single" w:sz="4" w:space="0" w:color="auto"/>
            </w:tcBorders>
            <w:vAlign w:val="center"/>
          </w:tcPr>
          <w:p w:rsidR="00352FDF" w:rsidRPr="00C11AAD" w:rsidRDefault="00352FDF" w:rsidP="00DB2EA0">
            <w:pPr>
              <w:keepNext/>
              <w:jc w:val="center"/>
              <w:rPr>
                <w:rFonts w:ascii="Arial Narrow" w:hAnsi="Arial Narrow"/>
                <w:b/>
                <w:sz w:val="20"/>
              </w:rPr>
            </w:pPr>
            <w:r w:rsidRPr="00C11AAD">
              <w:rPr>
                <w:rFonts w:ascii="Arial Narrow" w:hAnsi="Arial Narrow"/>
                <w:b/>
                <w:sz w:val="20"/>
              </w:rPr>
              <w:t xml:space="preserve">Dispensed Price for Max. </w:t>
            </w:r>
            <w:proofErr w:type="spellStart"/>
            <w:r w:rsidRPr="00C11AAD">
              <w:rPr>
                <w:rFonts w:ascii="Arial Narrow" w:hAnsi="Arial Narrow"/>
                <w:b/>
                <w:sz w:val="20"/>
              </w:rPr>
              <w:t>Qty</w:t>
            </w:r>
            <w:proofErr w:type="spellEnd"/>
          </w:p>
        </w:tc>
        <w:tc>
          <w:tcPr>
            <w:tcW w:w="1223" w:type="pct"/>
            <w:tcBorders>
              <w:top w:val="single" w:sz="4" w:space="0" w:color="auto"/>
              <w:bottom w:val="single" w:sz="4" w:space="0" w:color="auto"/>
            </w:tcBorders>
            <w:vAlign w:val="center"/>
          </w:tcPr>
          <w:p w:rsidR="00352FDF" w:rsidRPr="00C11AAD" w:rsidRDefault="00352FDF" w:rsidP="00DB2EA0">
            <w:pPr>
              <w:keepNext/>
              <w:jc w:val="center"/>
              <w:rPr>
                <w:rFonts w:ascii="Arial Narrow" w:hAnsi="Arial Narrow"/>
                <w:b/>
                <w:sz w:val="20"/>
                <w:lang w:val="fr-FR"/>
              </w:rPr>
            </w:pPr>
            <w:r w:rsidRPr="00C11AAD">
              <w:rPr>
                <w:rFonts w:ascii="Arial Narrow" w:hAnsi="Arial Narrow"/>
                <w:b/>
                <w:sz w:val="20"/>
              </w:rPr>
              <w:t>Proprietary Name and Manufacturer</w:t>
            </w:r>
          </w:p>
        </w:tc>
      </w:tr>
      <w:tr w:rsidR="00352FDF" w:rsidRPr="00C11AAD" w:rsidTr="00352FDF">
        <w:trPr>
          <w:cantSplit/>
          <w:trHeight w:val="567"/>
        </w:trPr>
        <w:tc>
          <w:tcPr>
            <w:tcW w:w="1870" w:type="pct"/>
            <w:gridSpan w:val="2"/>
            <w:vAlign w:val="center"/>
          </w:tcPr>
          <w:p w:rsidR="00352FDF" w:rsidRPr="00C11AAD" w:rsidRDefault="00352FDF" w:rsidP="00DB2EA0">
            <w:pPr>
              <w:keepNext/>
              <w:jc w:val="left"/>
              <w:rPr>
                <w:rFonts w:ascii="Arial Narrow" w:hAnsi="Arial Narrow"/>
                <w:smallCaps/>
                <w:sz w:val="20"/>
              </w:rPr>
            </w:pPr>
            <w:proofErr w:type="spellStart"/>
            <w:r w:rsidRPr="00C11AAD">
              <w:rPr>
                <w:rFonts w:ascii="Arial Narrow" w:hAnsi="Arial Narrow"/>
                <w:smallCaps/>
                <w:sz w:val="20"/>
              </w:rPr>
              <w:t>Ertugliflozin</w:t>
            </w:r>
            <w:proofErr w:type="spellEnd"/>
            <w:r w:rsidRPr="00C11AAD">
              <w:rPr>
                <w:rFonts w:ascii="Arial Narrow" w:hAnsi="Arial Narrow"/>
                <w:smallCaps/>
                <w:sz w:val="20"/>
              </w:rPr>
              <w:t xml:space="preserve"> with Metformin</w:t>
            </w:r>
          </w:p>
          <w:p w:rsidR="00352FDF" w:rsidRPr="00C11AAD" w:rsidRDefault="00352FDF" w:rsidP="00DB2EA0">
            <w:pPr>
              <w:keepNext/>
              <w:jc w:val="left"/>
              <w:rPr>
                <w:rFonts w:ascii="Arial Narrow" w:hAnsi="Arial Narrow"/>
                <w:sz w:val="20"/>
              </w:rPr>
            </w:pPr>
            <w:r w:rsidRPr="00C11AAD">
              <w:rPr>
                <w:rFonts w:ascii="Arial Narrow" w:hAnsi="Arial Narrow"/>
                <w:sz w:val="20"/>
              </w:rPr>
              <w:t>Oral tablet, 2.5 mg/500 mg</w:t>
            </w:r>
          </w:p>
          <w:p w:rsidR="00352FDF" w:rsidRPr="00C11AAD" w:rsidRDefault="00352FDF" w:rsidP="00DB2EA0">
            <w:pPr>
              <w:keepNext/>
              <w:jc w:val="left"/>
              <w:rPr>
                <w:rFonts w:ascii="Arial Narrow" w:hAnsi="Arial Narrow"/>
                <w:sz w:val="20"/>
              </w:rPr>
            </w:pPr>
            <w:r w:rsidRPr="00C11AAD">
              <w:rPr>
                <w:rFonts w:ascii="Arial Narrow" w:hAnsi="Arial Narrow"/>
                <w:sz w:val="20"/>
              </w:rPr>
              <w:t>Oral tablet, 2.5 mg/1000 mg</w:t>
            </w:r>
          </w:p>
          <w:p w:rsidR="00352FDF" w:rsidRPr="00C11AAD" w:rsidRDefault="00352FDF" w:rsidP="00DB2EA0">
            <w:pPr>
              <w:keepNext/>
              <w:jc w:val="left"/>
              <w:rPr>
                <w:rFonts w:ascii="Arial Narrow" w:hAnsi="Arial Narrow"/>
                <w:sz w:val="20"/>
              </w:rPr>
            </w:pPr>
            <w:r w:rsidRPr="00C11AAD">
              <w:rPr>
                <w:rFonts w:ascii="Arial Narrow" w:hAnsi="Arial Narrow"/>
                <w:sz w:val="20"/>
              </w:rPr>
              <w:t>Oral tablet, 7.5 mg/500 mg</w:t>
            </w:r>
          </w:p>
          <w:p w:rsidR="00352FDF" w:rsidRPr="00C11AAD" w:rsidRDefault="00352FDF" w:rsidP="00DB2EA0">
            <w:pPr>
              <w:keepNext/>
              <w:jc w:val="left"/>
              <w:rPr>
                <w:rFonts w:ascii="Arial Narrow" w:hAnsi="Arial Narrow"/>
                <w:sz w:val="20"/>
              </w:rPr>
            </w:pPr>
            <w:r w:rsidRPr="00C11AAD">
              <w:rPr>
                <w:rFonts w:ascii="Arial Narrow" w:hAnsi="Arial Narrow"/>
                <w:sz w:val="20"/>
              </w:rPr>
              <w:t>Oral tablet, 7.5 mg/1000 mg</w:t>
            </w:r>
          </w:p>
        </w:tc>
        <w:tc>
          <w:tcPr>
            <w:tcW w:w="601" w:type="pct"/>
          </w:tcPr>
          <w:p w:rsidR="00352FDF" w:rsidRPr="00C11AAD" w:rsidRDefault="00352FDF" w:rsidP="00DB2EA0">
            <w:pPr>
              <w:keepNext/>
              <w:jc w:val="center"/>
              <w:rPr>
                <w:rFonts w:ascii="Arial Narrow" w:hAnsi="Arial Narrow"/>
                <w:sz w:val="20"/>
              </w:rPr>
            </w:pPr>
          </w:p>
          <w:p w:rsidR="00352FDF" w:rsidRPr="00C11AAD" w:rsidRDefault="00352FDF" w:rsidP="00DB2EA0">
            <w:pPr>
              <w:keepNext/>
              <w:jc w:val="center"/>
              <w:rPr>
                <w:rFonts w:ascii="Arial Narrow" w:hAnsi="Arial Narrow"/>
                <w:sz w:val="20"/>
              </w:rPr>
            </w:pPr>
            <w:r w:rsidRPr="00C11AAD">
              <w:rPr>
                <w:rFonts w:ascii="Arial Narrow" w:hAnsi="Arial Narrow"/>
                <w:sz w:val="20"/>
              </w:rPr>
              <w:t>56</w:t>
            </w:r>
          </w:p>
          <w:p w:rsidR="00352FDF" w:rsidRPr="00C11AAD" w:rsidRDefault="00352FDF" w:rsidP="00DB2EA0">
            <w:pPr>
              <w:keepNext/>
              <w:jc w:val="center"/>
              <w:rPr>
                <w:rFonts w:ascii="Arial Narrow" w:hAnsi="Arial Narrow"/>
                <w:sz w:val="20"/>
              </w:rPr>
            </w:pPr>
            <w:r w:rsidRPr="00C11AAD">
              <w:rPr>
                <w:rFonts w:ascii="Arial Narrow" w:hAnsi="Arial Narrow"/>
                <w:sz w:val="20"/>
              </w:rPr>
              <w:t>56</w:t>
            </w:r>
          </w:p>
          <w:p w:rsidR="00352FDF" w:rsidRPr="00C11AAD" w:rsidRDefault="00352FDF" w:rsidP="00DB2EA0">
            <w:pPr>
              <w:keepNext/>
              <w:jc w:val="center"/>
              <w:rPr>
                <w:rFonts w:ascii="Arial Narrow" w:hAnsi="Arial Narrow"/>
                <w:sz w:val="20"/>
              </w:rPr>
            </w:pPr>
            <w:r w:rsidRPr="00C11AAD">
              <w:rPr>
                <w:rFonts w:ascii="Arial Narrow" w:hAnsi="Arial Narrow"/>
                <w:sz w:val="20"/>
              </w:rPr>
              <w:t>56</w:t>
            </w:r>
          </w:p>
          <w:p w:rsidR="00352FDF" w:rsidRPr="00C11AAD" w:rsidRDefault="00352FDF" w:rsidP="00DB2EA0">
            <w:pPr>
              <w:keepNext/>
              <w:jc w:val="center"/>
              <w:rPr>
                <w:rFonts w:ascii="Arial Narrow" w:hAnsi="Arial Narrow"/>
                <w:sz w:val="20"/>
              </w:rPr>
            </w:pPr>
            <w:r w:rsidRPr="00C11AAD">
              <w:rPr>
                <w:rFonts w:ascii="Arial Narrow" w:hAnsi="Arial Narrow"/>
                <w:sz w:val="20"/>
              </w:rPr>
              <w:t>56</w:t>
            </w:r>
          </w:p>
        </w:tc>
        <w:tc>
          <w:tcPr>
            <w:tcW w:w="466" w:type="pct"/>
          </w:tcPr>
          <w:p w:rsidR="00352FDF" w:rsidRPr="00C11AAD" w:rsidRDefault="00352FDF" w:rsidP="00DB2EA0">
            <w:pPr>
              <w:keepNext/>
              <w:jc w:val="center"/>
              <w:rPr>
                <w:rFonts w:ascii="Arial Narrow" w:hAnsi="Arial Narrow"/>
                <w:sz w:val="20"/>
              </w:rPr>
            </w:pPr>
          </w:p>
          <w:p w:rsidR="00352FDF" w:rsidRPr="00C11AAD" w:rsidRDefault="00352FDF" w:rsidP="00DB2EA0">
            <w:pPr>
              <w:keepNext/>
              <w:jc w:val="center"/>
              <w:rPr>
                <w:rFonts w:ascii="Arial Narrow" w:hAnsi="Arial Narrow"/>
                <w:sz w:val="20"/>
              </w:rPr>
            </w:pPr>
            <w:r w:rsidRPr="00C11AAD">
              <w:rPr>
                <w:rFonts w:ascii="Arial Narrow" w:hAnsi="Arial Narrow"/>
                <w:sz w:val="20"/>
              </w:rPr>
              <w:t>5</w:t>
            </w:r>
          </w:p>
          <w:p w:rsidR="00352FDF" w:rsidRPr="00C11AAD" w:rsidRDefault="00352FDF" w:rsidP="00DB2EA0">
            <w:pPr>
              <w:keepNext/>
              <w:jc w:val="center"/>
              <w:rPr>
                <w:rFonts w:ascii="Arial Narrow" w:hAnsi="Arial Narrow"/>
                <w:sz w:val="20"/>
              </w:rPr>
            </w:pPr>
            <w:r w:rsidRPr="00C11AAD">
              <w:rPr>
                <w:rFonts w:ascii="Arial Narrow" w:hAnsi="Arial Narrow"/>
                <w:sz w:val="20"/>
              </w:rPr>
              <w:t>5</w:t>
            </w:r>
          </w:p>
          <w:p w:rsidR="00352FDF" w:rsidRPr="00C11AAD" w:rsidRDefault="00352FDF" w:rsidP="00DB2EA0">
            <w:pPr>
              <w:keepNext/>
              <w:jc w:val="center"/>
              <w:rPr>
                <w:rFonts w:ascii="Arial Narrow" w:hAnsi="Arial Narrow"/>
                <w:sz w:val="20"/>
              </w:rPr>
            </w:pPr>
            <w:r w:rsidRPr="00C11AAD">
              <w:rPr>
                <w:rFonts w:ascii="Arial Narrow" w:hAnsi="Arial Narrow"/>
                <w:sz w:val="20"/>
              </w:rPr>
              <w:t>5</w:t>
            </w:r>
          </w:p>
          <w:p w:rsidR="00352FDF" w:rsidRPr="00C11AAD" w:rsidRDefault="00352FDF" w:rsidP="00DB2EA0">
            <w:pPr>
              <w:keepNext/>
              <w:jc w:val="center"/>
              <w:rPr>
                <w:rFonts w:ascii="Arial Narrow" w:hAnsi="Arial Narrow"/>
                <w:sz w:val="20"/>
              </w:rPr>
            </w:pPr>
            <w:r w:rsidRPr="00C11AAD">
              <w:rPr>
                <w:rFonts w:ascii="Arial Narrow" w:hAnsi="Arial Narrow"/>
                <w:sz w:val="20"/>
              </w:rPr>
              <w:t>5</w:t>
            </w:r>
          </w:p>
        </w:tc>
        <w:tc>
          <w:tcPr>
            <w:tcW w:w="840" w:type="pct"/>
          </w:tcPr>
          <w:p w:rsidR="00352FDF" w:rsidRPr="00C11AAD" w:rsidRDefault="00352FDF" w:rsidP="00DB2EA0">
            <w:pPr>
              <w:keepNext/>
              <w:jc w:val="center"/>
              <w:rPr>
                <w:rFonts w:ascii="Arial Narrow" w:hAnsi="Arial Narrow"/>
                <w:sz w:val="20"/>
              </w:rPr>
            </w:pPr>
          </w:p>
          <w:p w:rsidR="00352FDF" w:rsidRPr="00C11AAD" w:rsidRDefault="00352FDF" w:rsidP="00DB2EA0">
            <w:pPr>
              <w:keepNext/>
              <w:jc w:val="center"/>
              <w:rPr>
                <w:rFonts w:ascii="Arial Narrow" w:hAnsi="Arial Narrow"/>
                <w:sz w:val="20"/>
              </w:rPr>
            </w:pPr>
            <w:r w:rsidRPr="00C11AAD">
              <w:rPr>
                <w:rFonts w:ascii="Arial Narrow" w:hAnsi="Arial Narrow"/>
                <w:sz w:val="20"/>
              </w:rPr>
              <w:t>$</w:t>
            </w:r>
            <w:r w:rsidRPr="0059706A">
              <w:rPr>
                <w:rFonts w:ascii="Arial Narrow" w:hAnsi="Arial Narrow"/>
                <w:sz w:val="20"/>
              </w:rPr>
              <w:t>59.78</w:t>
            </w:r>
          </w:p>
          <w:p w:rsidR="00352FDF" w:rsidRPr="00C11AAD" w:rsidRDefault="00352FDF" w:rsidP="00DB2EA0">
            <w:pPr>
              <w:keepNext/>
              <w:jc w:val="center"/>
              <w:rPr>
                <w:rFonts w:ascii="Arial Narrow" w:hAnsi="Arial Narrow"/>
                <w:sz w:val="20"/>
              </w:rPr>
            </w:pPr>
            <w:r w:rsidRPr="00C11AAD">
              <w:rPr>
                <w:rFonts w:ascii="Arial Narrow" w:hAnsi="Arial Narrow"/>
                <w:sz w:val="20"/>
              </w:rPr>
              <w:t>$</w:t>
            </w:r>
            <w:r w:rsidRPr="0059706A">
              <w:rPr>
                <w:rFonts w:ascii="Arial Narrow" w:hAnsi="Arial Narrow"/>
                <w:sz w:val="20"/>
              </w:rPr>
              <w:t>61.18</w:t>
            </w:r>
          </w:p>
          <w:p w:rsidR="00352FDF" w:rsidRPr="00C11AAD" w:rsidRDefault="00352FDF" w:rsidP="00DB2EA0">
            <w:pPr>
              <w:keepNext/>
              <w:jc w:val="center"/>
              <w:rPr>
                <w:rFonts w:ascii="Arial Narrow" w:hAnsi="Arial Narrow"/>
                <w:sz w:val="20"/>
              </w:rPr>
            </w:pPr>
            <w:r w:rsidRPr="00C11AAD">
              <w:rPr>
                <w:rFonts w:ascii="Arial Narrow" w:hAnsi="Arial Narrow"/>
                <w:sz w:val="20"/>
              </w:rPr>
              <w:t>$</w:t>
            </w:r>
            <w:r w:rsidRPr="0059706A">
              <w:rPr>
                <w:rFonts w:ascii="Arial Narrow" w:hAnsi="Arial Narrow"/>
                <w:sz w:val="20"/>
              </w:rPr>
              <w:t>59.78</w:t>
            </w:r>
          </w:p>
          <w:p w:rsidR="00352FDF" w:rsidRPr="00C11AAD" w:rsidRDefault="00352FDF" w:rsidP="00DB2EA0">
            <w:pPr>
              <w:keepNext/>
              <w:jc w:val="center"/>
              <w:rPr>
                <w:rFonts w:ascii="Arial Narrow" w:hAnsi="Arial Narrow"/>
                <w:sz w:val="20"/>
              </w:rPr>
            </w:pPr>
            <w:r w:rsidRPr="00C11AAD">
              <w:rPr>
                <w:rFonts w:ascii="Arial Narrow" w:hAnsi="Arial Narrow"/>
                <w:sz w:val="20"/>
              </w:rPr>
              <w:t>$</w:t>
            </w:r>
            <w:r w:rsidRPr="0059706A">
              <w:rPr>
                <w:rFonts w:ascii="Arial Narrow" w:hAnsi="Arial Narrow"/>
                <w:sz w:val="20"/>
              </w:rPr>
              <w:t>61.18</w:t>
            </w:r>
          </w:p>
        </w:tc>
        <w:tc>
          <w:tcPr>
            <w:tcW w:w="1223" w:type="pct"/>
            <w:vAlign w:val="center"/>
          </w:tcPr>
          <w:p w:rsidR="00352FDF" w:rsidRPr="00C11AAD" w:rsidRDefault="00352FDF" w:rsidP="00DB2EA0">
            <w:pPr>
              <w:keepNext/>
              <w:jc w:val="center"/>
              <w:rPr>
                <w:rFonts w:ascii="Arial Narrow" w:hAnsi="Arial Narrow"/>
                <w:sz w:val="20"/>
                <w:vertAlign w:val="superscript"/>
              </w:rPr>
            </w:pPr>
            <w:proofErr w:type="spellStart"/>
            <w:r w:rsidRPr="00C11AAD">
              <w:rPr>
                <w:rFonts w:ascii="Arial Narrow" w:hAnsi="Arial Narrow"/>
                <w:sz w:val="20"/>
              </w:rPr>
              <w:t>Segluromet</w:t>
            </w:r>
            <w:proofErr w:type="spellEnd"/>
            <w:r w:rsidRPr="00C11AAD">
              <w:rPr>
                <w:rFonts w:ascii="Arial Narrow" w:hAnsi="Arial Narrow"/>
                <w:sz w:val="20"/>
              </w:rPr>
              <w:t xml:space="preserve"> </w:t>
            </w:r>
            <w:r w:rsidRPr="00C11AAD">
              <w:rPr>
                <w:rFonts w:ascii="Arial Narrow" w:hAnsi="Arial Narrow"/>
                <w:sz w:val="20"/>
                <w:vertAlign w:val="superscript"/>
              </w:rPr>
              <w:t>®</w:t>
            </w:r>
          </w:p>
          <w:p w:rsidR="00352FDF" w:rsidRPr="00C11AAD" w:rsidRDefault="00352FDF" w:rsidP="00DB2EA0">
            <w:pPr>
              <w:keepNext/>
              <w:jc w:val="center"/>
              <w:rPr>
                <w:rFonts w:ascii="Arial Narrow" w:hAnsi="Arial Narrow"/>
                <w:sz w:val="20"/>
              </w:rPr>
            </w:pPr>
            <w:r w:rsidRPr="00C11AAD">
              <w:rPr>
                <w:rFonts w:ascii="Arial Narrow" w:hAnsi="Arial Narrow"/>
                <w:sz w:val="20"/>
              </w:rPr>
              <w:t>Merck Sharp &amp; Dohme</w:t>
            </w:r>
          </w:p>
          <w:p w:rsidR="00352FDF" w:rsidRPr="00C11AAD" w:rsidRDefault="00352FDF" w:rsidP="00DB2EA0">
            <w:pPr>
              <w:keepNext/>
              <w:rPr>
                <w:rFonts w:ascii="Arial Narrow" w:hAnsi="Arial Narrow"/>
                <w:sz w:val="20"/>
              </w:rPr>
            </w:pPr>
          </w:p>
        </w:tc>
      </w:tr>
      <w:tr w:rsidR="00352FDF" w:rsidRPr="00C11AAD" w:rsidTr="00ED3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Category/Program:</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General Schedule</w:t>
            </w:r>
          </w:p>
        </w:tc>
      </w:tr>
      <w:tr w:rsidR="00352FDF" w:rsidRPr="00C11AAD" w:rsidTr="00ED3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PBS indication:</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Diabetes mellitus type 2</w:t>
            </w:r>
          </w:p>
        </w:tc>
      </w:tr>
      <w:tr w:rsidR="00352FDF" w:rsidRPr="00C11AAD" w:rsidTr="00ED3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Treatment phase:</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Initial or Continuing</w:t>
            </w:r>
          </w:p>
        </w:tc>
      </w:tr>
      <w:tr w:rsidR="00352FDF" w:rsidRPr="00C11AAD" w:rsidTr="00ED3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Restriction:</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Streamlined Authority</w:t>
            </w:r>
          </w:p>
        </w:tc>
      </w:tr>
      <w:tr w:rsidR="00352FDF" w:rsidRPr="00C11AAD" w:rsidTr="00ED3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Clinical criteria:</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lang w:eastAsia="en-AU"/>
              </w:rPr>
            </w:pPr>
            <w:r w:rsidRPr="00C11AAD">
              <w:rPr>
                <w:lang w:eastAsia="en-AU"/>
              </w:rPr>
              <w:t>Initial:</w:t>
            </w:r>
          </w:p>
          <w:p w:rsidR="00352FDF" w:rsidRPr="00C11AAD" w:rsidRDefault="00352FDF" w:rsidP="00DB2EA0">
            <w:pPr>
              <w:pStyle w:val="Tabletext"/>
              <w:rPr>
                <w:lang w:eastAsia="en-AU"/>
              </w:rPr>
            </w:pPr>
            <w:r w:rsidRPr="00C11AAD">
              <w:rPr>
                <w:lang w:eastAsia="en-AU"/>
              </w:rPr>
              <w:t xml:space="preserve">Patient must have, or have had, a HbA1c measurement greater than 7% despite treatment with metformin; </w:t>
            </w:r>
          </w:p>
          <w:p w:rsidR="00352FDF" w:rsidRPr="00C11AAD" w:rsidRDefault="00352FDF" w:rsidP="00DB2EA0">
            <w:pPr>
              <w:pStyle w:val="Tabletext"/>
              <w:rPr>
                <w:lang w:eastAsia="en-AU"/>
              </w:rPr>
            </w:pPr>
            <w:r w:rsidRPr="00C11AAD">
              <w:rPr>
                <w:lang w:eastAsia="en-AU"/>
              </w:rPr>
              <w:t>OR</w:t>
            </w:r>
          </w:p>
          <w:p w:rsidR="00352FDF" w:rsidRPr="00C11AAD" w:rsidRDefault="00352FDF" w:rsidP="00DB2EA0">
            <w:pPr>
              <w:pStyle w:val="Tabletext"/>
              <w:rPr>
                <w:lang w:eastAsia="en-AU"/>
              </w:rPr>
            </w:pPr>
            <w:r w:rsidRPr="00C11AAD">
              <w:rPr>
                <w:lang w:eastAsia="en-AU"/>
              </w:rPr>
              <w:t xml:space="preserve">Patient must have, or have had, where HbA1c measurement is clinically inappropriate, blood glucose levels greater than 10 </w:t>
            </w:r>
            <w:proofErr w:type="spellStart"/>
            <w:r w:rsidRPr="00C11AAD">
              <w:rPr>
                <w:lang w:eastAsia="en-AU"/>
              </w:rPr>
              <w:t>mmol</w:t>
            </w:r>
            <w:proofErr w:type="spellEnd"/>
            <w:r w:rsidRPr="00C11AAD">
              <w:rPr>
                <w:lang w:eastAsia="en-AU"/>
              </w:rPr>
              <w:t xml:space="preserve"> per L in more than 20% of tests over a 2 week period despite treatment with metformin.</w:t>
            </w:r>
          </w:p>
          <w:p w:rsidR="00352FDF" w:rsidRPr="00C11AAD" w:rsidRDefault="00352FDF" w:rsidP="00DB2EA0">
            <w:pPr>
              <w:pStyle w:val="Tabletext"/>
              <w:rPr>
                <w:lang w:eastAsia="en-AU"/>
              </w:rPr>
            </w:pPr>
          </w:p>
          <w:p w:rsidR="00352FDF" w:rsidRPr="00C11AAD" w:rsidRDefault="00352FDF" w:rsidP="00DB2EA0">
            <w:pPr>
              <w:pStyle w:val="Tabletext"/>
              <w:rPr>
                <w:lang w:eastAsia="en-AU"/>
              </w:rPr>
            </w:pPr>
            <w:r w:rsidRPr="00C11AAD">
              <w:rPr>
                <w:lang w:eastAsia="en-AU"/>
              </w:rPr>
              <w:t xml:space="preserve">Continuing: Patient must have previously received and been stabilised on a PBS-subsidised regimen of oral diabetic medicines which includes metformin and </w:t>
            </w:r>
            <w:proofErr w:type="spellStart"/>
            <w:r w:rsidRPr="00C11AAD">
              <w:rPr>
                <w:lang w:eastAsia="en-AU"/>
              </w:rPr>
              <w:t>ertugliflozin</w:t>
            </w:r>
            <w:proofErr w:type="spellEnd"/>
            <w:r w:rsidRPr="00C11AAD">
              <w:rPr>
                <w:lang w:eastAsia="en-AU"/>
              </w:rPr>
              <w:t>.</w:t>
            </w:r>
          </w:p>
        </w:tc>
      </w:tr>
      <w:tr w:rsidR="00352FDF" w:rsidRPr="00C11AAD" w:rsidTr="00ED33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48" w:type="pct"/>
            <w:tcBorders>
              <w:top w:val="single" w:sz="4" w:space="0" w:color="auto"/>
              <w:left w:val="single" w:sz="4" w:space="0" w:color="auto"/>
              <w:bottom w:val="single" w:sz="4" w:space="0" w:color="auto"/>
              <w:right w:val="single" w:sz="4" w:space="0" w:color="auto"/>
            </w:tcBorders>
            <w:hideMark/>
          </w:tcPr>
          <w:p w:rsidR="00352FDF" w:rsidRPr="00C11AAD" w:rsidRDefault="00352FDF" w:rsidP="00DB2EA0">
            <w:pPr>
              <w:pStyle w:val="Tabletext"/>
              <w:rPr>
                <w:lang w:eastAsia="en-AU"/>
              </w:rPr>
            </w:pPr>
            <w:r w:rsidRPr="00C11AAD">
              <w:rPr>
                <w:lang w:eastAsia="en-AU"/>
              </w:rPr>
              <w:t>Prescriber criteria:</w:t>
            </w:r>
          </w:p>
        </w:tc>
        <w:tc>
          <w:tcPr>
            <w:tcW w:w="3752" w:type="pct"/>
            <w:gridSpan w:val="5"/>
            <w:tcBorders>
              <w:top w:val="single" w:sz="4" w:space="0" w:color="auto"/>
              <w:left w:val="single" w:sz="4" w:space="0" w:color="auto"/>
              <w:bottom w:val="single" w:sz="4" w:space="0" w:color="auto"/>
              <w:right w:val="single" w:sz="4" w:space="0" w:color="auto"/>
            </w:tcBorders>
          </w:tcPr>
          <w:p w:rsidR="00352FDF" w:rsidRPr="00C11AAD" w:rsidRDefault="00352FDF" w:rsidP="00DB2EA0">
            <w:pPr>
              <w:pStyle w:val="Tabletext"/>
              <w:rPr>
                <w:color w:val="000000"/>
                <w:szCs w:val="24"/>
                <w:lang w:eastAsia="en-AU"/>
              </w:rPr>
            </w:pPr>
            <w:r w:rsidRPr="00C11AAD">
              <w:rPr>
                <w:color w:val="000000"/>
                <w:szCs w:val="24"/>
                <w:lang w:eastAsia="en-AU"/>
              </w:rPr>
              <w:t xml:space="preserve">Note: </w:t>
            </w:r>
          </w:p>
          <w:p w:rsidR="00352FDF" w:rsidRPr="00C11AAD" w:rsidRDefault="00352FDF" w:rsidP="00DB2EA0">
            <w:pPr>
              <w:pStyle w:val="Tabletext"/>
              <w:rPr>
                <w:color w:val="000000"/>
                <w:szCs w:val="24"/>
                <w:lang w:eastAsia="en-AU"/>
              </w:rPr>
            </w:pPr>
            <w:r w:rsidRPr="00C11AAD">
              <w:rPr>
                <w:color w:val="000000"/>
                <w:szCs w:val="24"/>
                <w:lang w:eastAsia="en-AU"/>
              </w:rPr>
              <w:t>This fixed dose combination is not PBS-subsidised for use as initial therapy or in combination with a thiazolidinedione (</w:t>
            </w:r>
            <w:proofErr w:type="spellStart"/>
            <w:r w:rsidRPr="00C11AAD">
              <w:rPr>
                <w:color w:val="000000"/>
                <w:szCs w:val="24"/>
                <w:lang w:eastAsia="en-AU"/>
              </w:rPr>
              <w:t>glitazone</w:t>
            </w:r>
            <w:proofErr w:type="spellEnd"/>
            <w:r w:rsidRPr="00C11AAD">
              <w:rPr>
                <w:color w:val="000000"/>
                <w:szCs w:val="24"/>
                <w:lang w:eastAsia="en-AU"/>
              </w:rPr>
              <w:t xml:space="preserve">), a dipeptidyl peptidase </w:t>
            </w:r>
            <w:proofErr w:type="gramStart"/>
            <w:r w:rsidRPr="00C11AAD">
              <w:rPr>
                <w:color w:val="000000"/>
                <w:szCs w:val="24"/>
                <w:lang w:eastAsia="en-AU"/>
              </w:rPr>
              <w:t>4 inhibitor (gliptin)</w:t>
            </w:r>
            <w:proofErr w:type="gramEnd"/>
            <w:r w:rsidRPr="00C11AAD">
              <w:rPr>
                <w:color w:val="000000"/>
                <w:szCs w:val="24"/>
                <w:lang w:eastAsia="en-AU"/>
              </w:rPr>
              <w:t xml:space="preserve"> or a glucagon-like peptide-1.</w:t>
            </w:r>
          </w:p>
          <w:p w:rsidR="00352FDF" w:rsidRPr="00C11AAD" w:rsidRDefault="00352FDF" w:rsidP="00DB2EA0">
            <w:pPr>
              <w:pStyle w:val="Tabletext"/>
              <w:rPr>
                <w:color w:val="000000"/>
                <w:szCs w:val="24"/>
                <w:lang w:eastAsia="en-AU"/>
              </w:rPr>
            </w:pPr>
            <w:r w:rsidRPr="00C11AAD">
              <w:rPr>
                <w:color w:val="000000"/>
                <w:szCs w:val="24"/>
                <w:lang w:eastAsia="en-AU"/>
              </w:rPr>
              <w:t>Note:</w:t>
            </w:r>
          </w:p>
          <w:p w:rsidR="00352FDF" w:rsidRPr="00C11AAD" w:rsidRDefault="00352FDF" w:rsidP="00DB2EA0">
            <w:pPr>
              <w:pStyle w:val="Tabletext"/>
              <w:rPr>
                <w:color w:val="000000"/>
                <w:szCs w:val="24"/>
                <w:lang w:eastAsia="en-AU"/>
              </w:rPr>
            </w:pPr>
            <w:r w:rsidRPr="00C11AAD">
              <w:rPr>
                <w:color w:val="000000"/>
                <w:szCs w:val="24"/>
                <w:lang w:eastAsia="en-AU"/>
              </w:rPr>
              <w:t>A patient whose diabetes was previously demonstrated unable to be controlled with metformin does not need to requalify on this criterion before being eligible for PBS-subsidised treatment with this fixed dose combination.</w:t>
            </w:r>
          </w:p>
        </w:tc>
      </w:tr>
    </w:tbl>
    <w:p w:rsidR="00352FDF" w:rsidRPr="00C11AAD" w:rsidRDefault="00352FDF" w:rsidP="00DB2EA0"/>
    <w:p w:rsidR="00591957" w:rsidRPr="0059706A" w:rsidRDefault="00352FDF" w:rsidP="00AB2BD2">
      <w:pPr>
        <w:pStyle w:val="ListParagraph"/>
        <w:widowControl/>
        <w:numPr>
          <w:ilvl w:val="1"/>
          <w:numId w:val="2"/>
        </w:numPr>
        <w:spacing w:after="120"/>
      </w:pPr>
      <w:r w:rsidRPr="0059706A">
        <w:t>No special pricing arrangement was proposed.</w:t>
      </w:r>
    </w:p>
    <w:p w:rsidR="005F2F93" w:rsidRDefault="00352FDF" w:rsidP="002776BC">
      <w:pPr>
        <w:pStyle w:val="ListParagraph"/>
        <w:widowControl/>
        <w:numPr>
          <w:ilvl w:val="1"/>
          <w:numId w:val="2"/>
        </w:numPr>
        <w:spacing w:after="120"/>
      </w:pPr>
      <w:r w:rsidRPr="00C11AAD">
        <w:t>The proposed restriction</w:t>
      </w:r>
      <w:r w:rsidR="005149B2" w:rsidRPr="00C11AAD">
        <w:t>s</w:t>
      </w:r>
      <w:r w:rsidRPr="00C11AAD">
        <w:t xml:space="preserve"> are consistent with existing </w:t>
      </w:r>
      <w:r w:rsidR="00941FB6" w:rsidRPr="00C11AAD">
        <w:t xml:space="preserve">dual therapy </w:t>
      </w:r>
      <w:r w:rsidRPr="00C11AAD">
        <w:t xml:space="preserve">PBS listings for </w:t>
      </w:r>
      <w:proofErr w:type="spellStart"/>
      <w:r w:rsidRPr="00C11AAD">
        <w:t>empagliflozin</w:t>
      </w:r>
      <w:proofErr w:type="spellEnd"/>
      <w:r w:rsidRPr="00C11AAD">
        <w:t xml:space="preserve"> and </w:t>
      </w:r>
      <w:proofErr w:type="spellStart"/>
      <w:r w:rsidRPr="00C11AAD">
        <w:t>dapagliflozin</w:t>
      </w:r>
      <w:proofErr w:type="spellEnd"/>
      <w:r w:rsidR="005149B2" w:rsidRPr="00C11AAD">
        <w:t xml:space="preserve"> and their associated fixed dose combinations</w:t>
      </w:r>
      <w:r w:rsidRPr="00C11AAD">
        <w:t>.</w:t>
      </w:r>
      <w:r w:rsidR="00941FB6" w:rsidRPr="00C11AAD">
        <w:t xml:space="preserve"> </w:t>
      </w:r>
    </w:p>
    <w:p w:rsidR="006F0C9E" w:rsidRDefault="00941FB6" w:rsidP="002776BC">
      <w:pPr>
        <w:pStyle w:val="ListParagraph"/>
        <w:widowControl/>
        <w:numPr>
          <w:ilvl w:val="1"/>
          <w:numId w:val="2"/>
        </w:numPr>
        <w:spacing w:after="120"/>
      </w:pPr>
      <w:r w:rsidRPr="00C11AAD">
        <w:t xml:space="preserve">The </w:t>
      </w:r>
      <w:r w:rsidR="005F2F93">
        <w:t xml:space="preserve">PBAC noted that the </w:t>
      </w:r>
      <w:r w:rsidRPr="00C11AAD">
        <w:t xml:space="preserve">proposed </w:t>
      </w:r>
      <w:proofErr w:type="spellStart"/>
      <w:r w:rsidRPr="00C11AAD">
        <w:t>ertugliflozin</w:t>
      </w:r>
      <w:proofErr w:type="spellEnd"/>
      <w:r w:rsidR="005F2F93">
        <w:t xml:space="preserve"> (dual therapy only)</w:t>
      </w:r>
      <w:r w:rsidRPr="00C11AAD">
        <w:t xml:space="preserve"> listing is more restrictive than the PBS listings for the comparators, which also allow use in triple oral therapy and in combination with insulin.</w:t>
      </w:r>
      <w:r w:rsidR="00352FDF" w:rsidRPr="00C11AAD">
        <w:t xml:space="preserve"> </w:t>
      </w:r>
      <w:r w:rsidR="00A86388" w:rsidRPr="00C11AAD">
        <w:t xml:space="preserve">The proposed restriction does not exclude the use of the </w:t>
      </w:r>
      <w:proofErr w:type="spellStart"/>
      <w:r w:rsidR="00A86388" w:rsidRPr="00C11AAD">
        <w:t>ertugliflozin</w:t>
      </w:r>
      <w:proofErr w:type="spellEnd"/>
      <w:r w:rsidR="00A86388" w:rsidRPr="00C11AAD">
        <w:t xml:space="preserve"> with metformin FDC in combination with a sulfonylurea</w:t>
      </w:r>
      <w:r w:rsidR="005F2F93">
        <w:t xml:space="preserve">, which the PBAC considered </w:t>
      </w:r>
      <w:r w:rsidR="005526D1">
        <w:t>could</w:t>
      </w:r>
      <w:r w:rsidR="005F2F93">
        <w:t xml:space="preserve"> cause confusion amongst prescribers and lead to potential leakage outside the proposed restriction</w:t>
      </w:r>
      <w:r w:rsidR="00A86388" w:rsidRPr="00C11AAD">
        <w:t>.</w:t>
      </w:r>
      <w:r w:rsidR="002E49B7">
        <w:t xml:space="preserve"> </w:t>
      </w:r>
    </w:p>
    <w:p w:rsidR="004E43B2" w:rsidRPr="002E49B7" w:rsidRDefault="002E49B7" w:rsidP="00AB2BD2">
      <w:pPr>
        <w:pStyle w:val="ListParagraph"/>
        <w:spacing w:after="120"/>
        <w:ind w:left="709"/>
        <w:rPr>
          <w:rFonts w:asciiTheme="minorHAnsi" w:hAnsiTheme="minorHAnsi"/>
          <w:i/>
        </w:rPr>
      </w:pPr>
      <w:r w:rsidRPr="00A75836">
        <w:rPr>
          <w:rFonts w:asciiTheme="minorHAnsi" w:hAnsiTheme="minorHAnsi"/>
          <w:i/>
        </w:rPr>
        <w:t>For more detail on PBAC’s view, see section 7 PBAC outcome.</w:t>
      </w:r>
    </w:p>
    <w:p w:rsidR="00B50DB8" w:rsidRPr="00C11AAD" w:rsidRDefault="00B50DB8" w:rsidP="00CF5F42">
      <w:pPr>
        <w:pStyle w:val="PBACHeading1"/>
      </w:pPr>
      <w:bookmarkStart w:id="3" w:name="_Toc503874311"/>
      <w:r w:rsidRPr="00C11AAD">
        <w:t>Background</w:t>
      </w:r>
      <w:bookmarkEnd w:id="3"/>
    </w:p>
    <w:p w:rsidR="00B60939" w:rsidRPr="00E719AB" w:rsidRDefault="00591957" w:rsidP="00675E43">
      <w:pPr>
        <w:spacing w:before="240" w:after="120"/>
        <w:rPr>
          <w:b/>
          <w:i/>
          <w:sz w:val="28"/>
          <w:szCs w:val="28"/>
        </w:rPr>
      </w:pPr>
      <w:r w:rsidRPr="00E719AB">
        <w:rPr>
          <w:b/>
          <w:i/>
          <w:sz w:val="28"/>
          <w:szCs w:val="28"/>
        </w:rPr>
        <w:t>Registration status</w:t>
      </w:r>
    </w:p>
    <w:p w:rsidR="00B60939" w:rsidRPr="008257BF" w:rsidRDefault="00B60939" w:rsidP="005526D1">
      <w:pPr>
        <w:pStyle w:val="ListParagraph"/>
        <w:widowControl/>
        <w:numPr>
          <w:ilvl w:val="1"/>
          <w:numId w:val="2"/>
        </w:numPr>
        <w:spacing w:after="120"/>
      </w:pPr>
      <w:r w:rsidRPr="00211FA2">
        <w:t>T</w:t>
      </w:r>
      <w:r w:rsidR="00734500" w:rsidRPr="00211FA2">
        <w:t>GA status:</w:t>
      </w:r>
      <w:r w:rsidR="00734500" w:rsidRPr="008257BF">
        <w:t xml:space="preserve"> T</w:t>
      </w:r>
      <w:r w:rsidRPr="008257BF">
        <w:t xml:space="preserve">he submission was made under TGA/PBAC Parallel Process. </w:t>
      </w:r>
      <w:r w:rsidR="0065404A">
        <w:t>At the time of PBAC consideration, the</w:t>
      </w:r>
      <w:r w:rsidR="00352FDF" w:rsidRPr="008257BF">
        <w:t xml:space="preserve"> TGA Clinical Eval</w:t>
      </w:r>
      <w:r w:rsidR="003B3255" w:rsidRPr="008257BF">
        <w:t>uation</w:t>
      </w:r>
      <w:r w:rsidR="00352FDF" w:rsidRPr="008257BF">
        <w:t xml:space="preserve"> Report </w:t>
      </w:r>
      <w:r w:rsidR="0065404A">
        <w:t>and</w:t>
      </w:r>
      <w:r w:rsidR="00973646" w:rsidRPr="008257BF">
        <w:t xml:space="preserve"> Delegate’s Overview </w:t>
      </w:r>
      <w:r w:rsidR="0065404A">
        <w:t>were available</w:t>
      </w:r>
      <w:r w:rsidR="00941FB6" w:rsidRPr="008257BF">
        <w:t>.</w:t>
      </w:r>
      <w:r w:rsidR="0065404A">
        <w:t xml:space="preserve"> The PBAC noted that the TGA Delegate’s Overview was supportive </w:t>
      </w:r>
      <w:r w:rsidR="0065404A">
        <w:lastRenderedPageBreak/>
        <w:t xml:space="preserve">for the 5 mg </w:t>
      </w:r>
      <w:r w:rsidR="00E65341">
        <w:t xml:space="preserve">dose </w:t>
      </w:r>
      <w:r w:rsidR="001944F5">
        <w:t>strength</w:t>
      </w:r>
      <w:r w:rsidR="00E65341">
        <w:t xml:space="preserve"> of</w:t>
      </w:r>
      <w:r w:rsidR="0065404A">
        <w:t xml:space="preserve"> </w:t>
      </w:r>
      <w:proofErr w:type="spellStart"/>
      <w:r w:rsidR="0065404A">
        <w:t>ertugliflozin</w:t>
      </w:r>
      <w:proofErr w:type="spellEnd"/>
      <w:r w:rsidR="00E65341">
        <w:t xml:space="preserve"> (corresponding to 2.5 mg </w:t>
      </w:r>
      <w:proofErr w:type="spellStart"/>
      <w:r w:rsidR="00E65341">
        <w:t>ertugliflozin</w:t>
      </w:r>
      <w:proofErr w:type="spellEnd"/>
      <w:r w:rsidR="00E65341">
        <w:t xml:space="preserve"> with 500 mg/1 g metformin FDC tablets)</w:t>
      </w:r>
      <w:r w:rsidR="001944F5">
        <w:t xml:space="preserve"> only</w:t>
      </w:r>
      <w:r w:rsidR="0065404A">
        <w:t xml:space="preserve">. </w:t>
      </w:r>
    </w:p>
    <w:p w:rsidR="00941FB6" w:rsidRPr="00C11AAD" w:rsidRDefault="00941FB6" w:rsidP="005526D1">
      <w:pPr>
        <w:pStyle w:val="ListParagraph"/>
        <w:widowControl/>
        <w:numPr>
          <w:ilvl w:val="1"/>
          <w:numId w:val="2"/>
        </w:numPr>
        <w:spacing w:after="120"/>
      </w:pPr>
      <w:r w:rsidRPr="00C11AAD">
        <w:t xml:space="preserve">The requested TGA indications for </w:t>
      </w:r>
      <w:proofErr w:type="spellStart"/>
      <w:r w:rsidRPr="00C11AAD">
        <w:t>ertugliflozin</w:t>
      </w:r>
      <w:proofErr w:type="spellEnd"/>
      <w:r w:rsidRPr="00C11AAD">
        <w:t xml:space="preserve"> and </w:t>
      </w:r>
      <w:proofErr w:type="spellStart"/>
      <w:r w:rsidRPr="00C11AAD">
        <w:t>ertugliflozin</w:t>
      </w:r>
      <w:proofErr w:type="spellEnd"/>
      <w:r w:rsidRPr="00C11AAD">
        <w:t xml:space="preserve"> with metformin FDC are presented below:</w:t>
      </w:r>
    </w:p>
    <w:p w:rsidR="00941FB6" w:rsidRPr="00C11AAD" w:rsidRDefault="00941FB6" w:rsidP="005526D1">
      <w:pPr>
        <w:pStyle w:val="ListParagraph"/>
        <w:widowControl/>
        <w:numPr>
          <w:ilvl w:val="0"/>
          <w:numId w:val="8"/>
        </w:numPr>
        <w:spacing w:after="120"/>
      </w:pPr>
      <w:proofErr w:type="spellStart"/>
      <w:r w:rsidRPr="00C11AAD">
        <w:t>Ertugliflozin</w:t>
      </w:r>
      <w:proofErr w:type="spellEnd"/>
      <w:r w:rsidRPr="00C11AAD">
        <w:t>: as an adjunct to diet and exercise to improve glycaemic control in adults with type 2 diabetes mellitus as monotherapy when metformin is considered inappropriate due to intolerance or in combination with other anti-hyperglycaemic agents.</w:t>
      </w:r>
    </w:p>
    <w:p w:rsidR="00941FB6" w:rsidRPr="00C11AAD" w:rsidRDefault="00941FB6" w:rsidP="005526D1">
      <w:pPr>
        <w:pStyle w:val="ListParagraph"/>
        <w:widowControl/>
        <w:numPr>
          <w:ilvl w:val="0"/>
          <w:numId w:val="8"/>
        </w:numPr>
        <w:spacing w:after="120"/>
      </w:pPr>
      <w:proofErr w:type="spellStart"/>
      <w:r w:rsidRPr="00C11AAD">
        <w:t>Ertugliflozin</w:t>
      </w:r>
      <w:proofErr w:type="spellEnd"/>
      <w:r w:rsidRPr="00C11AAD">
        <w:t xml:space="preserve"> with metformin FDC: as an adjunct to diet and exercise to improve glycaemic control in adults with type 2 diabetes mellitus when treatment with both </w:t>
      </w:r>
      <w:proofErr w:type="spellStart"/>
      <w:r w:rsidRPr="00C11AAD">
        <w:t>ertugliflozin</w:t>
      </w:r>
      <w:proofErr w:type="spellEnd"/>
      <w:r w:rsidRPr="00C11AAD">
        <w:t xml:space="preserve"> and metformin is appropriate.</w:t>
      </w:r>
      <w:r w:rsidR="002E49B7">
        <w:t xml:space="preserve"> </w:t>
      </w:r>
    </w:p>
    <w:p w:rsidR="00B033E5" w:rsidRPr="00E719AB" w:rsidRDefault="00B033E5" w:rsidP="00675E43">
      <w:pPr>
        <w:widowControl/>
        <w:spacing w:before="240" w:after="120"/>
        <w:rPr>
          <w:b/>
          <w:i/>
          <w:sz w:val="28"/>
          <w:szCs w:val="28"/>
        </w:rPr>
      </w:pPr>
      <w:r w:rsidRPr="00E719AB">
        <w:rPr>
          <w:b/>
          <w:i/>
          <w:sz w:val="28"/>
          <w:szCs w:val="28"/>
        </w:rPr>
        <w:t>Previous PBAC consideration</w:t>
      </w:r>
    </w:p>
    <w:p w:rsidR="00E55BB5" w:rsidRPr="002E49B7" w:rsidRDefault="00973646" w:rsidP="00675E43">
      <w:pPr>
        <w:pStyle w:val="ListParagraph"/>
        <w:widowControl/>
        <w:numPr>
          <w:ilvl w:val="1"/>
          <w:numId w:val="2"/>
        </w:numPr>
        <w:spacing w:after="120"/>
      </w:pP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t>
      </w:r>
      <w:r w:rsidR="00962495">
        <w:rPr>
          <w:rFonts w:cs="Calibri"/>
          <w:snapToGrid/>
          <w:szCs w:val="24"/>
          <w:lang w:val="en-US" w:eastAsia="en-AU"/>
        </w:rPr>
        <w:t>had</w:t>
      </w:r>
      <w:r w:rsidR="00962495" w:rsidRPr="00C11AAD">
        <w:rPr>
          <w:rFonts w:cs="Calibri"/>
          <w:snapToGrid/>
          <w:szCs w:val="24"/>
          <w:lang w:val="en-US" w:eastAsia="en-AU"/>
        </w:rPr>
        <w:t xml:space="preserve"> </w:t>
      </w:r>
      <w:r w:rsidRPr="00C11AAD">
        <w:rPr>
          <w:rFonts w:cs="Calibri"/>
          <w:snapToGrid/>
          <w:szCs w:val="24"/>
          <w:lang w:val="en-US" w:eastAsia="en-AU"/>
        </w:rPr>
        <w:t xml:space="preserve">not previously </w:t>
      </w:r>
      <w:r w:rsidR="00675E43">
        <w:rPr>
          <w:rFonts w:cs="Calibri"/>
          <w:snapToGrid/>
          <w:szCs w:val="24"/>
          <w:lang w:val="en-US" w:eastAsia="en-AU"/>
        </w:rPr>
        <w:t xml:space="preserve">been </w:t>
      </w:r>
      <w:r w:rsidRPr="00C11AAD">
        <w:rPr>
          <w:rFonts w:cs="Calibri"/>
          <w:snapToGrid/>
          <w:szCs w:val="24"/>
          <w:lang w:val="en-US" w:eastAsia="en-AU"/>
        </w:rPr>
        <w:t>considered by the PBAC.</w:t>
      </w:r>
      <w:r w:rsidR="002E49B7">
        <w:rPr>
          <w:rFonts w:cs="Calibri"/>
          <w:snapToGrid/>
          <w:szCs w:val="24"/>
          <w:lang w:val="en-US" w:eastAsia="en-AU"/>
        </w:rPr>
        <w:t xml:space="preserve"> </w:t>
      </w:r>
    </w:p>
    <w:p w:rsidR="002E49B7" w:rsidRPr="002E49B7" w:rsidRDefault="002E49B7" w:rsidP="002E49B7">
      <w:pPr>
        <w:pStyle w:val="ListParagraph"/>
        <w:ind w:left="709"/>
        <w:rPr>
          <w:rFonts w:asciiTheme="minorHAnsi" w:hAnsiTheme="minorHAnsi"/>
          <w:i/>
        </w:rPr>
      </w:pPr>
      <w:r w:rsidRPr="00211FA2">
        <w:rPr>
          <w:rFonts w:asciiTheme="minorHAnsi" w:hAnsiTheme="minorHAnsi"/>
          <w:i/>
        </w:rPr>
        <w:t>For more detail on PBAC’s view, see section 7 PBAC outcome.</w:t>
      </w:r>
    </w:p>
    <w:p w:rsidR="00B50DB8" w:rsidRPr="00C11AAD" w:rsidRDefault="00203181" w:rsidP="00CF5F42">
      <w:pPr>
        <w:pStyle w:val="PBACHeading1"/>
      </w:pPr>
      <w:bookmarkStart w:id="4" w:name="_Toc503874312"/>
      <w:r w:rsidRPr="00C11AAD">
        <w:t xml:space="preserve">Population and </w:t>
      </w:r>
      <w:r w:rsidR="008E0D3C" w:rsidRPr="00C11AAD">
        <w:t>d</w:t>
      </w:r>
      <w:r w:rsidRPr="00C11AAD">
        <w:t>isease</w:t>
      </w:r>
      <w:bookmarkEnd w:id="4"/>
    </w:p>
    <w:p w:rsidR="00ED3346" w:rsidRPr="00C11AAD" w:rsidRDefault="00ED3346" w:rsidP="00675E43">
      <w:pPr>
        <w:pStyle w:val="ListParagraph"/>
        <w:numPr>
          <w:ilvl w:val="1"/>
          <w:numId w:val="2"/>
        </w:numPr>
        <w:spacing w:after="120"/>
      </w:pPr>
      <w:r w:rsidRPr="00C11AAD">
        <w:t>Type 2 diabetes is a metabolic disorder characterised by hyperglycaemia resulting from resistance to the action of insulin, insufficient insulin secretion or both. Diet and exercise are the first steps in managing the disease, followed by initiation of drug therapy with metformin</w:t>
      </w:r>
      <w:r w:rsidR="005C28E0" w:rsidRPr="00C11AAD">
        <w:t xml:space="preserve"> or a sulfonylurea if metformin is contraindicated or not tolerated. </w:t>
      </w:r>
      <w:r w:rsidRPr="00C11AAD">
        <w:t>When metformin</w:t>
      </w:r>
      <w:r w:rsidR="005C28E0" w:rsidRPr="00C11AAD">
        <w:t xml:space="preserve"> or sulfonylurea</w:t>
      </w:r>
      <w:r w:rsidRPr="00C11AAD">
        <w:t xml:space="preserve"> monotherapy is inadequate in controlling blood glucose, treatment options include</w:t>
      </w:r>
      <w:r w:rsidR="005C28E0" w:rsidRPr="00C11AAD">
        <w:t xml:space="preserve"> dual therapy with metformin and a sulfonylurea, or the</w:t>
      </w:r>
      <w:r w:rsidRPr="00C11AAD">
        <w:t xml:space="preserve"> addition of insulin, glucagon like peptide 1 (GLP-1) analogues, dipeptidyl peptidase-4 (DPP4) inhibitors, </w:t>
      </w:r>
      <w:proofErr w:type="spellStart"/>
      <w:r w:rsidRPr="00C11AAD">
        <w:t>thiazo</w:t>
      </w:r>
      <w:r w:rsidR="005C28E0" w:rsidRPr="00C11AAD">
        <w:t>lidinediones</w:t>
      </w:r>
      <w:proofErr w:type="spellEnd"/>
      <w:r w:rsidR="005C28E0" w:rsidRPr="00C11AAD">
        <w:t xml:space="preserve"> (TZDs), or </w:t>
      </w:r>
      <w:r w:rsidR="001D6ADE" w:rsidRPr="00C11AAD">
        <w:t>sodium glucose co-transporter 2 (</w:t>
      </w:r>
      <w:r w:rsidR="005C28E0" w:rsidRPr="00C11AAD">
        <w:t>SGLT</w:t>
      </w:r>
      <w:r w:rsidRPr="00C11AAD">
        <w:t>2</w:t>
      </w:r>
      <w:r w:rsidR="001D6ADE" w:rsidRPr="00C11AAD">
        <w:t>)</w:t>
      </w:r>
      <w:r w:rsidRPr="00C11AAD">
        <w:t xml:space="preserve"> inhibitor</w:t>
      </w:r>
      <w:r w:rsidR="001D6ADE" w:rsidRPr="00C11AAD">
        <w:t>s</w:t>
      </w:r>
      <w:r w:rsidRPr="00C11AAD">
        <w:t>.</w:t>
      </w:r>
    </w:p>
    <w:p w:rsidR="00E55BB5" w:rsidRDefault="00ED3346" w:rsidP="00675E43">
      <w:pPr>
        <w:pStyle w:val="ListParagraph"/>
        <w:widowControl/>
        <w:numPr>
          <w:ilvl w:val="1"/>
          <w:numId w:val="2"/>
        </w:numPr>
        <w:spacing w:after="120"/>
      </w:pPr>
      <w:r w:rsidRPr="00C11AAD">
        <w:t xml:space="preserve">The submission positioned </w:t>
      </w:r>
      <w:proofErr w:type="spellStart"/>
      <w:r w:rsidRPr="00C11AAD">
        <w:t>ertugliflozin</w:t>
      </w:r>
      <w:proofErr w:type="spellEnd"/>
      <w:r w:rsidRPr="00C11AAD">
        <w:t xml:space="preserve"> as an alternative to other SGLT2 inhibitors, </w:t>
      </w:r>
      <w:proofErr w:type="spellStart"/>
      <w:r w:rsidRPr="00C11AAD">
        <w:t>dapagliflozin</w:t>
      </w:r>
      <w:proofErr w:type="spellEnd"/>
      <w:r w:rsidRPr="00C11AAD">
        <w:t xml:space="preserve"> and </w:t>
      </w:r>
      <w:proofErr w:type="spellStart"/>
      <w:r w:rsidRPr="00C11AAD">
        <w:t>empagliflozin</w:t>
      </w:r>
      <w:proofErr w:type="spellEnd"/>
      <w:r w:rsidRPr="00C11AAD">
        <w:t>, for dual oral therapy with concurrent metformin</w:t>
      </w:r>
      <w:r w:rsidR="005C28E0" w:rsidRPr="00C11AAD">
        <w:t xml:space="preserve"> or a sulfonylurea</w:t>
      </w:r>
      <w:r w:rsidRPr="00C11AAD">
        <w:t xml:space="preserve"> to treat t</w:t>
      </w:r>
      <w:r w:rsidR="000607C3" w:rsidRPr="00C11AAD">
        <w:t xml:space="preserve">ype 2 diabetes </w:t>
      </w:r>
      <w:r w:rsidRPr="00C11AAD">
        <w:t>mellitus</w:t>
      </w:r>
      <w:r w:rsidR="000607C3" w:rsidRPr="00C11AAD">
        <w:t xml:space="preserve"> in patients with inadequate glycaemic control</w:t>
      </w:r>
      <w:r w:rsidR="007A37AC" w:rsidRPr="00C11AAD">
        <w:t>, defined by</w:t>
      </w:r>
      <w:r w:rsidR="000607C3" w:rsidRPr="00C11AAD">
        <w:t xml:space="preserve"> </w:t>
      </w:r>
      <w:r w:rsidR="001D6ADE" w:rsidRPr="00C11AAD">
        <w:t>glycosylated haemoglobin</w:t>
      </w:r>
      <w:r w:rsidR="007A37AC" w:rsidRPr="00C11AAD">
        <w:t xml:space="preserve"> levels</w:t>
      </w:r>
      <w:r w:rsidR="001D6ADE" w:rsidRPr="00C11AAD">
        <w:t xml:space="preserve"> (</w:t>
      </w:r>
      <w:r w:rsidR="000607C3" w:rsidRPr="00C11AAD">
        <w:t>HbA1c</w:t>
      </w:r>
      <w:r w:rsidR="001D6ADE" w:rsidRPr="00C11AAD">
        <w:t>)</w:t>
      </w:r>
      <w:r w:rsidR="000607C3" w:rsidRPr="00C11AAD">
        <w:t xml:space="preserve"> &gt;7</w:t>
      </w:r>
      <w:r w:rsidR="004C3B05" w:rsidRPr="00C11AAD">
        <w:t>.0</w:t>
      </w:r>
      <w:r w:rsidR="000607C3" w:rsidRPr="00C11AAD">
        <w:t xml:space="preserve">%, despite treatment with metformin or a sulfonylurea. </w:t>
      </w:r>
    </w:p>
    <w:p w:rsidR="00B50DB8" w:rsidRPr="00C11AAD" w:rsidRDefault="00B50DB8" w:rsidP="00CF5F42">
      <w:pPr>
        <w:pStyle w:val="PBACHeading1"/>
      </w:pPr>
      <w:bookmarkStart w:id="5" w:name="_Toc503874313"/>
      <w:r w:rsidRPr="00C11AAD">
        <w:t>Comparator</w:t>
      </w:r>
      <w:bookmarkEnd w:id="5"/>
    </w:p>
    <w:p w:rsidR="003D3FBF" w:rsidRPr="002E49B7" w:rsidRDefault="00D1012C" w:rsidP="00675E43">
      <w:pPr>
        <w:pStyle w:val="ListParagraph"/>
        <w:widowControl/>
        <w:numPr>
          <w:ilvl w:val="1"/>
          <w:numId w:val="2"/>
        </w:numPr>
        <w:spacing w:after="120"/>
      </w:pPr>
      <w:r w:rsidRPr="00C11AAD">
        <w:rPr>
          <w:rFonts w:cs="Calibri"/>
          <w:snapToGrid/>
          <w:szCs w:val="24"/>
          <w:lang w:val="en-US" w:eastAsia="en-AU"/>
        </w:rPr>
        <w:t xml:space="preserve">The submission nominated </w:t>
      </w:r>
      <w:proofErr w:type="spellStart"/>
      <w:r w:rsidRPr="00C11AAD">
        <w:rPr>
          <w:rFonts w:cs="Calibri"/>
          <w:snapToGrid/>
          <w:szCs w:val="24"/>
          <w:lang w:val="en-US" w:eastAsia="en-AU"/>
        </w:rPr>
        <w:t>dapagliflozin</w:t>
      </w:r>
      <w:proofErr w:type="spellEnd"/>
      <w:r w:rsidRPr="00C11AAD">
        <w:rPr>
          <w:rFonts w:cs="Calibri"/>
          <w:snapToGrid/>
          <w:szCs w:val="24"/>
          <w:lang w:val="en-US" w:eastAsia="en-AU"/>
        </w:rPr>
        <w:t xml:space="preserve"> and </w:t>
      </w:r>
      <w:proofErr w:type="spellStart"/>
      <w:r w:rsidRPr="00C11AAD">
        <w:rPr>
          <w:rFonts w:cs="Calibri"/>
          <w:snapToGrid/>
          <w:szCs w:val="24"/>
          <w:lang w:val="en-US" w:eastAsia="en-AU"/>
        </w:rPr>
        <w:t>empagliflozin</w:t>
      </w:r>
      <w:proofErr w:type="spellEnd"/>
      <w:r w:rsidRPr="00C11AAD">
        <w:rPr>
          <w:rFonts w:cs="Calibri"/>
          <w:snapToGrid/>
          <w:szCs w:val="24"/>
          <w:lang w:val="en-US" w:eastAsia="en-AU"/>
        </w:rPr>
        <w:t xml:space="preserve"> as the comparators for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as they are pharmacological analogues and have similar dual therapy PBS listings as the requested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restriction. The submission nominated the individual components given at corresponding doses for the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with metformin FDC. These were considered appropriate.</w:t>
      </w:r>
      <w:r w:rsidR="002A78AB" w:rsidRPr="00C11AAD">
        <w:rPr>
          <w:rFonts w:cs="Calibri"/>
          <w:snapToGrid/>
          <w:szCs w:val="24"/>
          <w:lang w:val="en-US" w:eastAsia="en-AU"/>
        </w:rPr>
        <w:t xml:space="preserve"> Other fixed dose combinations of </w:t>
      </w:r>
      <w:proofErr w:type="spellStart"/>
      <w:r w:rsidR="002A78AB" w:rsidRPr="00C11AAD">
        <w:rPr>
          <w:rFonts w:cs="Calibri"/>
          <w:snapToGrid/>
          <w:szCs w:val="24"/>
          <w:lang w:val="en-US" w:eastAsia="en-AU"/>
        </w:rPr>
        <w:t>empagliflozin</w:t>
      </w:r>
      <w:proofErr w:type="spellEnd"/>
      <w:r w:rsidR="002A78AB" w:rsidRPr="00C11AAD">
        <w:rPr>
          <w:rFonts w:cs="Calibri"/>
          <w:snapToGrid/>
          <w:szCs w:val="24"/>
          <w:lang w:val="en-US" w:eastAsia="en-AU"/>
        </w:rPr>
        <w:t xml:space="preserve"> or </w:t>
      </w:r>
      <w:proofErr w:type="spellStart"/>
      <w:r w:rsidR="002A78AB" w:rsidRPr="00C11AAD">
        <w:rPr>
          <w:rFonts w:cs="Calibri"/>
          <w:snapToGrid/>
          <w:szCs w:val="24"/>
          <w:lang w:val="en-US" w:eastAsia="en-AU"/>
        </w:rPr>
        <w:t>dapagliflozin</w:t>
      </w:r>
      <w:proofErr w:type="spellEnd"/>
      <w:r w:rsidR="002A78AB" w:rsidRPr="00C11AAD">
        <w:rPr>
          <w:rFonts w:cs="Calibri"/>
          <w:snapToGrid/>
          <w:szCs w:val="24"/>
          <w:lang w:val="en-US" w:eastAsia="en-AU"/>
        </w:rPr>
        <w:t xml:space="preserve"> with metformin could also be relevant comparators for the </w:t>
      </w:r>
      <w:proofErr w:type="spellStart"/>
      <w:r w:rsidR="002A78AB" w:rsidRPr="00C11AAD">
        <w:rPr>
          <w:rFonts w:cs="Calibri"/>
          <w:snapToGrid/>
          <w:szCs w:val="24"/>
          <w:lang w:val="en-US" w:eastAsia="en-AU"/>
        </w:rPr>
        <w:t>ertugliflozin</w:t>
      </w:r>
      <w:proofErr w:type="spellEnd"/>
      <w:r w:rsidR="002A78AB" w:rsidRPr="00C11AAD">
        <w:rPr>
          <w:rFonts w:cs="Calibri"/>
          <w:snapToGrid/>
          <w:szCs w:val="24"/>
          <w:lang w:val="en-US" w:eastAsia="en-AU"/>
        </w:rPr>
        <w:t xml:space="preserve"> with metformin FDC.</w:t>
      </w:r>
    </w:p>
    <w:p w:rsidR="00B50DB8" w:rsidRPr="00CF5F42" w:rsidRDefault="00BD6CF3" w:rsidP="00CF5F42">
      <w:pPr>
        <w:pStyle w:val="PBACHeading1"/>
      </w:pPr>
      <w:bookmarkStart w:id="6" w:name="_Toc503874314"/>
      <w:r w:rsidRPr="00CF5F42">
        <w:lastRenderedPageBreak/>
        <w:t>C</w:t>
      </w:r>
      <w:r w:rsidR="00B50DB8" w:rsidRPr="00CF5F42">
        <w:t>onsideration of the evidence</w:t>
      </w:r>
      <w:bookmarkEnd w:id="6"/>
    </w:p>
    <w:p w:rsidR="00675E43" w:rsidRPr="00CF5F42" w:rsidRDefault="00675E43" w:rsidP="00CF5F42">
      <w:pPr>
        <w:pStyle w:val="Heading2"/>
      </w:pPr>
      <w:r w:rsidRPr="00CF5F42">
        <w:t>Sponsor hearing</w:t>
      </w:r>
    </w:p>
    <w:p w:rsidR="00675E43" w:rsidRPr="00675E43" w:rsidRDefault="00675E43" w:rsidP="00675E43">
      <w:pPr>
        <w:numPr>
          <w:ilvl w:val="1"/>
          <w:numId w:val="2"/>
        </w:numPr>
        <w:spacing w:after="120"/>
        <w:rPr>
          <w:rFonts w:asciiTheme="minorHAnsi" w:hAnsiTheme="minorHAnsi"/>
          <w:bCs/>
        </w:rPr>
      </w:pPr>
      <w:r w:rsidRPr="00675E43">
        <w:rPr>
          <w:rFonts w:asciiTheme="minorHAnsi" w:hAnsiTheme="minorHAnsi"/>
          <w:bCs/>
        </w:rPr>
        <w:t>There was no hearing for this item.</w:t>
      </w:r>
    </w:p>
    <w:p w:rsidR="00675E43" w:rsidRPr="00675E43" w:rsidRDefault="00675E43" w:rsidP="00CF5F42">
      <w:pPr>
        <w:pStyle w:val="Heading2"/>
      </w:pPr>
      <w:r w:rsidRPr="00675E43">
        <w:t>Consumer comments</w:t>
      </w:r>
    </w:p>
    <w:p w:rsidR="005526D1" w:rsidRPr="005526D1" w:rsidRDefault="005526D1" w:rsidP="005526D1">
      <w:pPr>
        <w:numPr>
          <w:ilvl w:val="1"/>
          <w:numId w:val="2"/>
        </w:numPr>
        <w:spacing w:after="120"/>
        <w:rPr>
          <w:rFonts w:asciiTheme="minorHAnsi" w:hAnsiTheme="minorHAnsi"/>
          <w:bCs/>
        </w:rPr>
      </w:pPr>
      <w:r w:rsidRPr="005526D1">
        <w:rPr>
          <w:rFonts w:asciiTheme="minorHAnsi" w:hAnsiTheme="minorHAnsi"/>
          <w:bCs/>
        </w:rPr>
        <w:t>The PBAC noted that no consumer comments were received for this item.</w:t>
      </w:r>
    </w:p>
    <w:p w:rsidR="00B60939" w:rsidRPr="00211FA2" w:rsidRDefault="00B60939" w:rsidP="00CF5F42">
      <w:pPr>
        <w:pStyle w:val="Heading2"/>
      </w:pPr>
      <w:bookmarkStart w:id="7" w:name="_Toc503874315"/>
      <w:r w:rsidRPr="00211FA2">
        <w:t>Clinical trials</w:t>
      </w:r>
      <w:bookmarkEnd w:id="7"/>
    </w:p>
    <w:p w:rsidR="00DA2C59" w:rsidRPr="00C11AAD" w:rsidRDefault="007D398D" w:rsidP="00985C8D">
      <w:pPr>
        <w:pStyle w:val="ListParagraph"/>
        <w:widowControl/>
        <w:numPr>
          <w:ilvl w:val="1"/>
          <w:numId w:val="2"/>
        </w:numPr>
        <w:spacing w:after="120"/>
      </w:pPr>
      <w:r w:rsidRPr="00C11AAD">
        <w:rPr>
          <w:rFonts w:cs="Calibri"/>
          <w:snapToGrid/>
          <w:szCs w:val="24"/>
          <w:lang w:val="en-US" w:eastAsia="en-AU"/>
        </w:rPr>
        <w:t xml:space="preserve">The submission was based on an indirect comparison of </w:t>
      </w:r>
      <w:proofErr w:type="spellStart"/>
      <w:r w:rsidR="00C02947" w:rsidRPr="00C11AAD">
        <w:rPr>
          <w:rFonts w:cs="Calibri"/>
          <w:snapToGrid/>
          <w:szCs w:val="24"/>
          <w:lang w:val="en-US" w:eastAsia="en-AU"/>
        </w:rPr>
        <w:t>ertugliflozin</w:t>
      </w:r>
      <w:proofErr w:type="spellEnd"/>
      <w:r w:rsidR="009F4350" w:rsidRPr="00C11AAD">
        <w:rPr>
          <w:rFonts w:cs="Calibri"/>
          <w:snapToGrid/>
          <w:szCs w:val="24"/>
          <w:lang w:val="en-US" w:eastAsia="en-AU"/>
        </w:rPr>
        <w:t xml:space="preserve"> </w:t>
      </w:r>
      <w:r w:rsidR="00C02947" w:rsidRPr="00C11AAD">
        <w:rPr>
          <w:rFonts w:cs="Calibri"/>
          <w:snapToGrid/>
          <w:szCs w:val="24"/>
          <w:lang w:val="en-US" w:eastAsia="en-AU"/>
        </w:rPr>
        <w:t xml:space="preserve">and pooled data for </w:t>
      </w:r>
      <w:proofErr w:type="spellStart"/>
      <w:r w:rsidR="00C02947" w:rsidRPr="00C11AAD">
        <w:rPr>
          <w:rFonts w:cs="Calibri"/>
          <w:snapToGrid/>
          <w:szCs w:val="24"/>
          <w:lang w:val="en-US" w:eastAsia="en-AU"/>
        </w:rPr>
        <w:t>dapagliflozin</w:t>
      </w:r>
      <w:proofErr w:type="spellEnd"/>
      <w:r w:rsidR="009F4350" w:rsidRPr="00C11AAD">
        <w:rPr>
          <w:rFonts w:cs="Calibri"/>
          <w:snapToGrid/>
          <w:szCs w:val="24"/>
          <w:lang w:val="en-US" w:eastAsia="en-AU"/>
        </w:rPr>
        <w:t xml:space="preserve"> </w:t>
      </w:r>
      <w:r w:rsidR="00DA2C59" w:rsidRPr="00C11AAD">
        <w:rPr>
          <w:rFonts w:cs="Calibri"/>
          <w:snapToGrid/>
          <w:szCs w:val="24"/>
          <w:lang w:val="en-US" w:eastAsia="en-AU"/>
        </w:rPr>
        <w:t>a</w:t>
      </w:r>
      <w:r w:rsidR="00C02947" w:rsidRPr="00C11AAD">
        <w:rPr>
          <w:rFonts w:cs="Calibri"/>
          <w:snapToGrid/>
          <w:szCs w:val="24"/>
          <w:lang w:val="en-US" w:eastAsia="en-AU"/>
        </w:rPr>
        <w:t xml:space="preserve">nd </w:t>
      </w:r>
      <w:proofErr w:type="spellStart"/>
      <w:r w:rsidR="00C02947" w:rsidRPr="00C11AAD">
        <w:rPr>
          <w:rFonts w:cs="Calibri"/>
          <w:snapToGrid/>
          <w:szCs w:val="24"/>
          <w:lang w:val="en-US" w:eastAsia="en-AU"/>
        </w:rPr>
        <w:t>empagliflozin</w:t>
      </w:r>
      <w:proofErr w:type="spellEnd"/>
      <w:r w:rsidR="00C02947" w:rsidRPr="00C11AAD">
        <w:rPr>
          <w:rFonts w:cs="Calibri"/>
          <w:snapToGrid/>
          <w:szCs w:val="24"/>
          <w:lang w:val="en-US" w:eastAsia="en-AU"/>
        </w:rPr>
        <w:t>, with placebo as common reference</w:t>
      </w:r>
      <w:r w:rsidR="00DA2C59" w:rsidRPr="00C11AAD">
        <w:rPr>
          <w:rFonts w:cs="Calibri"/>
          <w:snapToGrid/>
          <w:szCs w:val="24"/>
          <w:lang w:val="en-US" w:eastAsia="en-AU"/>
        </w:rPr>
        <w:t>, at different time points:</w:t>
      </w:r>
    </w:p>
    <w:p w:rsidR="00EA467D" w:rsidRPr="00C11AAD" w:rsidRDefault="00DA2C59" w:rsidP="00985C8D">
      <w:pPr>
        <w:pStyle w:val="ListParagraph"/>
        <w:widowControl/>
        <w:numPr>
          <w:ilvl w:val="0"/>
          <w:numId w:val="7"/>
        </w:numPr>
        <w:spacing w:after="120"/>
        <w:ind w:left="1077" w:hanging="357"/>
        <w:rPr>
          <w:rFonts w:cs="Calibri"/>
          <w:snapToGrid/>
          <w:szCs w:val="24"/>
          <w:lang w:val="en-US" w:eastAsia="en-AU"/>
        </w:rPr>
      </w:pPr>
      <w:r w:rsidRPr="00C11AAD">
        <w:rPr>
          <w:rFonts w:cs="Calibri"/>
          <w:snapToGrid/>
          <w:szCs w:val="24"/>
          <w:lang w:val="en-US" w:eastAsia="en-AU"/>
        </w:rPr>
        <w:t xml:space="preserve">12/16 weeks: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5 mg (trial P016, n=104) vs pooled </w:t>
      </w:r>
      <w:proofErr w:type="spellStart"/>
      <w:r w:rsidRPr="00C11AAD">
        <w:rPr>
          <w:rFonts w:cs="Calibri"/>
          <w:snapToGrid/>
          <w:szCs w:val="24"/>
          <w:lang w:val="en-US" w:eastAsia="en-AU"/>
        </w:rPr>
        <w:t>dapagliflozin</w:t>
      </w:r>
      <w:proofErr w:type="spellEnd"/>
      <w:r w:rsidRPr="00C11AAD">
        <w:rPr>
          <w:rFonts w:cs="Calibri"/>
          <w:snapToGrid/>
          <w:szCs w:val="24"/>
          <w:lang w:val="en-US" w:eastAsia="en-AU"/>
        </w:rPr>
        <w:t xml:space="preserve"> 10 mg (trial CT-003, p=198), </w:t>
      </w:r>
      <w:proofErr w:type="spellStart"/>
      <w:r w:rsidRPr="00C11AAD">
        <w:rPr>
          <w:rFonts w:cs="Calibri"/>
          <w:snapToGrid/>
          <w:szCs w:val="24"/>
          <w:lang w:val="en-US" w:eastAsia="en-AU"/>
        </w:rPr>
        <w:t>empagliflozin</w:t>
      </w:r>
      <w:proofErr w:type="spellEnd"/>
      <w:r w:rsidRPr="00C11AAD">
        <w:rPr>
          <w:rFonts w:cs="Calibri"/>
          <w:snapToGrid/>
          <w:szCs w:val="24"/>
          <w:lang w:val="en-US" w:eastAsia="en-AU"/>
        </w:rPr>
        <w:t xml:space="preserve"> 10 mg (trial 1245.10, n=142 and trial 1276.10, n=321)</w:t>
      </w:r>
      <w:r w:rsidR="00EA467D" w:rsidRPr="00C11AAD">
        <w:rPr>
          <w:rFonts w:cs="Calibri"/>
          <w:snapToGrid/>
          <w:szCs w:val="24"/>
          <w:lang w:val="en-US" w:eastAsia="en-AU"/>
        </w:rPr>
        <w:t xml:space="preserve">, and </w:t>
      </w:r>
      <w:proofErr w:type="spellStart"/>
      <w:r w:rsidR="00EA467D" w:rsidRPr="00C11AAD">
        <w:rPr>
          <w:rFonts w:cs="Calibri"/>
          <w:snapToGrid/>
          <w:szCs w:val="24"/>
          <w:lang w:val="en-US" w:eastAsia="en-AU"/>
        </w:rPr>
        <w:t>empagliflozin</w:t>
      </w:r>
      <w:proofErr w:type="spellEnd"/>
      <w:r w:rsidR="00EA467D" w:rsidRPr="00C11AAD">
        <w:rPr>
          <w:rFonts w:cs="Calibri"/>
          <w:snapToGrid/>
          <w:szCs w:val="24"/>
          <w:lang w:val="en-US" w:eastAsia="en-AU"/>
        </w:rPr>
        <w:t xml:space="preserve"> 25 mg (trial 1245.10, n=141 and trial 1276.10, n=321)</w:t>
      </w:r>
      <w:r w:rsidR="00C02947" w:rsidRPr="00C11AAD">
        <w:rPr>
          <w:rFonts w:cs="Calibri"/>
          <w:snapToGrid/>
          <w:szCs w:val="24"/>
          <w:lang w:val="en-US" w:eastAsia="en-AU"/>
        </w:rPr>
        <w:t>.</w:t>
      </w:r>
    </w:p>
    <w:p w:rsidR="004D1A29" w:rsidRPr="00C11AAD" w:rsidRDefault="00EA467D" w:rsidP="00985C8D">
      <w:pPr>
        <w:pStyle w:val="ListParagraph"/>
        <w:widowControl/>
        <w:numPr>
          <w:ilvl w:val="0"/>
          <w:numId w:val="7"/>
        </w:numPr>
        <w:spacing w:after="120"/>
        <w:ind w:left="1077" w:hanging="357"/>
        <w:rPr>
          <w:rFonts w:cs="Calibri"/>
          <w:snapToGrid/>
          <w:szCs w:val="24"/>
          <w:lang w:val="en-US" w:eastAsia="en-AU"/>
        </w:rPr>
      </w:pPr>
      <w:r w:rsidRPr="00C11AAD">
        <w:rPr>
          <w:rFonts w:cs="Calibri"/>
          <w:snapToGrid/>
          <w:szCs w:val="24"/>
          <w:lang w:val="en-US" w:eastAsia="en-AU"/>
        </w:rPr>
        <w:t xml:space="preserve">24/26 weeks: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5 mg (trial</w:t>
      </w:r>
      <w:r w:rsidR="00A063D4" w:rsidRPr="00C11AAD">
        <w:rPr>
          <w:rFonts w:cs="Calibri"/>
          <w:snapToGrid/>
          <w:szCs w:val="24"/>
          <w:lang w:val="en-US" w:eastAsia="en-AU"/>
        </w:rPr>
        <w:t xml:space="preserve"> P007, n=416) vs pooled </w:t>
      </w:r>
      <w:proofErr w:type="spellStart"/>
      <w:r w:rsidR="00A063D4" w:rsidRPr="00C11AAD">
        <w:rPr>
          <w:rFonts w:cs="Calibri"/>
          <w:snapToGrid/>
          <w:szCs w:val="24"/>
          <w:lang w:val="en-US" w:eastAsia="en-AU"/>
        </w:rPr>
        <w:t>dapagliflozin</w:t>
      </w:r>
      <w:proofErr w:type="spellEnd"/>
      <w:r w:rsidR="00A063D4" w:rsidRPr="00C11AAD">
        <w:rPr>
          <w:rFonts w:cs="Calibri"/>
          <w:snapToGrid/>
          <w:szCs w:val="24"/>
          <w:lang w:val="en-US" w:eastAsia="en-AU"/>
        </w:rPr>
        <w:t xml:space="preserve"> 10 mg (CT-012, n=179, CT-014, n=266 and Yang 2016, n=288), </w:t>
      </w:r>
      <w:proofErr w:type="spellStart"/>
      <w:r w:rsidR="00A063D4" w:rsidRPr="00C11AAD">
        <w:rPr>
          <w:rFonts w:cs="Calibri"/>
          <w:snapToGrid/>
          <w:szCs w:val="24"/>
          <w:lang w:val="en-US" w:eastAsia="en-AU"/>
        </w:rPr>
        <w:t>empagliflozin</w:t>
      </w:r>
      <w:proofErr w:type="spellEnd"/>
      <w:r w:rsidR="00A063D4" w:rsidRPr="00C11AAD">
        <w:rPr>
          <w:rFonts w:cs="Calibri"/>
          <w:snapToGrid/>
          <w:szCs w:val="24"/>
          <w:lang w:val="en-US" w:eastAsia="en-AU"/>
        </w:rPr>
        <w:t xml:space="preserve"> 10 mg (trial 1245.23, n=424) and </w:t>
      </w:r>
      <w:proofErr w:type="spellStart"/>
      <w:r w:rsidR="00A063D4" w:rsidRPr="00C11AAD">
        <w:rPr>
          <w:rFonts w:cs="Calibri"/>
          <w:snapToGrid/>
          <w:szCs w:val="24"/>
          <w:lang w:val="en-US" w:eastAsia="en-AU"/>
        </w:rPr>
        <w:t>empagliflozin</w:t>
      </w:r>
      <w:proofErr w:type="spellEnd"/>
      <w:r w:rsidR="00A063D4" w:rsidRPr="00C11AAD">
        <w:rPr>
          <w:rFonts w:cs="Calibri"/>
          <w:snapToGrid/>
          <w:szCs w:val="24"/>
          <w:lang w:val="en-US" w:eastAsia="en-AU"/>
        </w:rPr>
        <w:t xml:space="preserve"> 25 mg (trial 1245.23, n=420).</w:t>
      </w:r>
    </w:p>
    <w:p w:rsidR="00DA2C59" w:rsidRPr="00C11AAD" w:rsidRDefault="00C02947"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Supplementary indirect comparisons using </w:t>
      </w:r>
      <w:r w:rsidR="009F4350" w:rsidRPr="00C11AAD">
        <w:rPr>
          <w:rFonts w:cs="Calibri"/>
          <w:snapToGrid/>
          <w:szCs w:val="24"/>
          <w:lang w:val="en-US" w:eastAsia="en-AU"/>
        </w:rPr>
        <w:t xml:space="preserve">trials with </w:t>
      </w:r>
      <w:r w:rsidRPr="00C11AAD">
        <w:rPr>
          <w:rFonts w:cs="Calibri"/>
          <w:snapToGrid/>
          <w:szCs w:val="24"/>
          <w:lang w:val="en-US" w:eastAsia="en-AU"/>
        </w:rPr>
        <w:t xml:space="preserve">a </w:t>
      </w:r>
      <w:r w:rsidR="00AE315F" w:rsidRPr="00C11AAD">
        <w:rPr>
          <w:rFonts w:cs="Calibri"/>
          <w:snapToGrid/>
          <w:szCs w:val="24"/>
          <w:lang w:val="en-US" w:eastAsia="en-AU"/>
        </w:rPr>
        <w:t>DPP4 inhibitor</w:t>
      </w:r>
      <w:r w:rsidRPr="00C11AAD">
        <w:rPr>
          <w:rFonts w:cs="Calibri"/>
          <w:snapToGrid/>
          <w:szCs w:val="24"/>
          <w:lang w:val="en-US" w:eastAsia="en-AU"/>
        </w:rPr>
        <w:t xml:space="preserve"> or a sulfonylurea as common reference were presented in s</w:t>
      </w:r>
      <w:r w:rsidR="00A063D4" w:rsidRPr="00C11AAD">
        <w:rPr>
          <w:rFonts w:cs="Calibri"/>
          <w:snapToGrid/>
          <w:szCs w:val="24"/>
          <w:lang w:val="en-US" w:eastAsia="en-AU"/>
        </w:rPr>
        <w:t>upport of the primary analysis.</w:t>
      </w:r>
    </w:p>
    <w:p w:rsidR="00BF723F" w:rsidRPr="00C11AAD" w:rsidRDefault="00BF723F"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The submission also presented data from four trials assessing the bioequivalence of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with metformin FDC with corresponding doses of individual components as follows:</w:t>
      </w:r>
    </w:p>
    <w:p w:rsidR="000F30F8" w:rsidRPr="00C11AAD" w:rsidRDefault="000F30F8" w:rsidP="00985C8D">
      <w:pPr>
        <w:pStyle w:val="ListParagraph"/>
        <w:widowControl/>
        <w:numPr>
          <w:ilvl w:val="0"/>
          <w:numId w:val="7"/>
        </w:numPr>
        <w:spacing w:after="120"/>
        <w:ind w:left="1077" w:hanging="357"/>
        <w:rPr>
          <w:rFonts w:cs="Calibri"/>
          <w:snapToGrid/>
          <w:szCs w:val="24"/>
          <w:lang w:val="en-US" w:eastAsia="en-AU"/>
        </w:rPr>
      </w:pP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/metformin 7.5 mg/1 g FDC vs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7.5 mg and metformin 1 g (Study P027, n=16 and Study P047, n=16); and</w:t>
      </w:r>
    </w:p>
    <w:p w:rsidR="000F30F8" w:rsidRPr="00C11AAD" w:rsidRDefault="000F30F8" w:rsidP="00985C8D">
      <w:pPr>
        <w:pStyle w:val="ListParagraph"/>
        <w:widowControl/>
        <w:numPr>
          <w:ilvl w:val="0"/>
          <w:numId w:val="7"/>
        </w:numPr>
        <w:spacing w:after="120"/>
        <w:ind w:left="1077" w:hanging="357"/>
        <w:rPr>
          <w:rFonts w:cs="Calibri"/>
          <w:snapToGrid/>
          <w:szCs w:val="24"/>
          <w:lang w:val="en-US" w:eastAsia="en-AU"/>
        </w:rPr>
      </w:pP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/metformin 2.5 mg/500 mg FDC vs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2.5 mg and metformin 500 mg (Study P050, n=16 and fasted and fed assessment of metformin component only for Study P052, n=16).  </w:t>
      </w:r>
    </w:p>
    <w:p w:rsidR="00712240" w:rsidRPr="00FA0BE6" w:rsidRDefault="00A73134" w:rsidP="00985C8D">
      <w:pPr>
        <w:pStyle w:val="ListParagraph"/>
        <w:widowControl/>
        <w:numPr>
          <w:ilvl w:val="1"/>
          <w:numId w:val="2"/>
        </w:numPr>
        <w:spacing w:after="120"/>
      </w:pPr>
      <w:r w:rsidRPr="00C11AAD">
        <w:rPr>
          <w:rFonts w:cs="Calibri"/>
          <w:snapToGrid/>
          <w:szCs w:val="24"/>
          <w:lang w:val="en-US" w:eastAsia="en-AU"/>
        </w:rPr>
        <w:t>Details of the trials presented in the submission a</w:t>
      </w:r>
      <w:r w:rsidR="00FA0BE6">
        <w:rPr>
          <w:rFonts w:cs="Calibri"/>
          <w:snapToGrid/>
          <w:szCs w:val="24"/>
          <w:lang w:val="en-US" w:eastAsia="en-AU"/>
        </w:rPr>
        <w:t>re provided in the table below.</w:t>
      </w:r>
    </w:p>
    <w:p w:rsidR="00712240" w:rsidRDefault="00712240">
      <w:pPr>
        <w:widowControl/>
        <w:jc w:val="left"/>
        <w:rPr>
          <w:rFonts w:cs="Calibri"/>
          <w:snapToGrid/>
          <w:szCs w:val="24"/>
          <w:lang w:val="en-US" w:eastAsia="en-AU"/>
        </w:rPr>
      </w:pPr>
      <w:r>
        <w:rPr>
          <w:rFonts w:cs="Calibri"/>
          <w:snapToGrid/>
          <w:szCs w:val="24"/>
          <w:lang w:val="en-US" w:eastAsia="en-AU"/>
        </w:rPr>
        <w:br w:type="page"/>
      </w:r>
    </w:p>
    <w:p w:rsidR="008E0D3C" w:rsidRPr="00C11AAD" w:rsidRDefault="008E0D3C" w:rsidP="00985C8D">
      <w:pPr>
        <w:widowControl/>
        <w:rPr>
          <w:rStyle w:val="CommentReference"/>
        </w:rPr>
      </w:pPr>
      <w:r w:rsidRPr="00C11AAD">
        <w:rPr>
          <w:rStyle w:val="CommentReference"/>
        </w:rPr>
        <w:lastRenderedPageBreak/>
        <w:t xml:space="preserve">Table </w:t>
      </w:r>
      <w:r w:rsidR="00941FB6" w:rsidRPr="00C11AAD">
        <w:rPr>
          <w:rStyle w:val="CommentReference"/>
        </w:rPr>
        <w:t>2</w:t>
      </w:r>
      <w:r w:rsidRPr="00C11AAD">
        <w:rPr>
          <w:rStyle w:val="CommentReference"/>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46"/>
        <w:gridCol w:w="5499"/>
        <w:gridCol w:w="2138"/>
      </w:tblGrid>
      <w:tr w:rsidR="00341C6C" w:rsidRPr="00C11AAD" w:rsidTr="00D16C57">
        <w:trPr>
          <w:tblHeader/>
        </w:trPr>
        <w:tc>
          <w:tcPr>
            <w:tcW w:w="796" w:type="pct"/>
            <w:vAlign w:val="center"/>
          </w:tcPr>
          <w:p w:rsidR="00341C6C" w:rsidRPr="00C11AAD" w:rsidRDefault="00341C6C" w:rsidP="00D16C57">
            <w:pPr>
              <w:pStyle w:val="Tabletext"/>
              <w:rPr>
                <w:b/>
              </w:rPr>
            </w:pPr>
            <w:r w:rsidRPr="00C11AAD">
              <w:rPr>
                <w:b/>
              </w:rPr>
              <w:t>Trial ID</w:t>
            </w:r>
          </w:p>
        </w:tc>
        <w:tc>
          <w:tcPr>
            <w:tcW w:w="3027" w:type="pct"/>
            <w:vAlign w:val="center"/>
          </w:tcPr>
          <w:p w:rsidR="00341C6C" w:rsidRPr="00C11AAD" w:rsidRDefault="00341C6C" w:rsidP="00D16C57">
            <w:pPr>
              <w:pStyle w:val="Tabletext"/>
              <w:jc w:val="center"/>
              <w:rPr>
                <w:b/>
              </w:rPr>
            </w:pPr>
            <w:r w:rsidRPr="00C11AAD">
              <w:rPr>
                <w:b/>
              </w:rPr>
              <w:t>Protocol title/ Publication title</w:t>
            </w:r>
          </w:p>
        </w:tc>
        <w:tc>
          <w:tcPr>
            <w:tcW w:w="1177" w:type="pct"/>
            <w:vAlign w:val="center"/>
          </w:tcPr>
          <w:p w:rsidR="00341C6C" w:rsidRPr="00C11AAD" w:rsidRDefault="00341C6C" w:rsidP="00D16C57">
            <w:pPr>
              <w:pStyle w:val="Tabletext"/>
              <w:jc w:val="center"/>
              <w:rPr>
                <w:b/>
              </w:rPr>
            </w:pPr>
            <w:r w:rsidRPr="00C11AAD">
              <w:rPr>
                <w:b/>
              </w:rPr>
              <w:t>Publication citation</w:t>
            </w:r>
          </w:p>
        </w:tc>
      </w:tr>
      <w:tr w:rsidR="00341C6C" w:rsidRPr="00C11AAD" w:rsidTr="00D16C57">
        <w:tc>
          <w:tcPr>
            <w:tcW w:w="5000" w:type="pct"/>
            <w:gridSpan w:val="3"/>
            <w:tcBorders>
              <w:bottom w:val="nil"/>
            </w:tcBorders>
            <w:vAlign w:val="center"/>
          </w:tcPr>
          <w:p w:rsidR="00341C6C" w:rsidRPr="00C11AAD" w:rsidRDefault="00341C6C" w:rsidP="00D16C57">
            <w:pPr>
              <w:pStyle w:val="Tabletext"/>
              <w:rPr>
                <w:b/>
              </w:rPr>
            </w:pPr>
            <w:proofErr w:type="spellStart"/>
            <w:r w:rsidRPr="00C11AAD">
              <w:rPr>
                <w:b/>
              </w:rPr>
              <w:t>Ertugliflozin</w:t>
            </w:r>
            <w:proofErr w:type="spellEnd"/>
            <w:r w:rsidRPr="00C11AAD">
              <w:rPr>
                <w:b/>
              </w:rPr>
              <w:t xml:space="preserve"> trials</w:t>
            </w:r>
          </w:p>
        </w:tc>
      </w:tr>
      <w:tr w:rsidR="00341C6C" w:rsidRPr="00C11AAD" w:rsidTr="00D16C57">
        <w:tc>
          <w:tcPr>
            <w:tcW w:w="796" w:type="pct"/>
            <w:tcBorders>
              <w:bottom w:val="nil"/>
            </w:tcBorders>
            <w:vAlign w:val="center"/>
          </w:tcPr>
          <w:p w:rsidR="00341C6C" w:rsidRPr="00C11AAD" w:rsidRDefault="00341C6C" w:rsidP="00D16C57">
            <w:pPr>
              <w:pStyle w:val="Tabletext"/>
              <w:rPr>
                <w:rFonts w:ascii="Times" w:hAnsi="Times"/>
              </w:rPr>
            </w:pPr>
            <w:r w:rsidRPr="00C11AAD">
              <w:t>P002</w:t>
            </w:r>
          </w:p>
        </w:tc>
        <w:tc>
          <w:tcPr>
            <w:tcW w:w="3027" w:type="pct"/>
            <w:tcBorders>
              <w:bottom w:val="nil"/>
            </w:tcBorders>
            <w:vAlign w:val="center"/>
          </w:tcPr>
          <w:p w:rsidR="00341C6C" w:rsidRPr="00C11AAD" w:rsidRDefault="00341C6C" w:rsidP="00D16C57">
            <w:pPr>
              <w:pStyle w:val="Tabletext"/>
              <w:rPr>
                <w:szCs w:val="18"/>
              </w:rPr>
            </w:pPr>
            <w:r w:rsidRPr="00C11AAD">
              <w:rPr>
                <w:szCs w:val="18"/>
              </w:rPr>
              <w:t xml:space="preserve">A Phase III, </w:t>
            </w:r>
            <w:proofErr w:type="spellStart"/>
            <w:r w:rsidRPr="00C11AAD">
              <w:rPr>
                <w:szCs w:val="18"/>
              </w:rPr>
              <w:t>Multicenter</w:t>
            </w:r>
            <w:proofErr w:type="spellEnd"/>
            <w:r w:rsidRPr="00C11AAD">
              <w:rPr>
                <w:szCs w:val="18"/>
              </w:rPr>
              <w:t xml:space="preserve">, Randomized, Double-Blind, Active-Comparator-Controlled Clinical Trial to Study the Safety and Efficacy of the Addition of </w:t>
            </w:r>
            <w:proofErr w:type="spellStart"/>
            <w:r w:rsidRPr="00C11AAD">
              <w:rPr>
                <w:szCs w:val="18"/>
              </w:rPr>
              <w:t>Ertugliflozin</w:t>
            </w:r>
            <w:proofErr w:type="spellEnd"/>
            <w:r w:rsidRPr="00C11AAD">
              <w:rPr>
                <w:szCs w:val="18"/>
              </w:rPr>
              <w:t xml:space="preserve"> (MK-8835/PF-04971729) Compared With the Addition of Glimepiride in Subjects With Type 2 Diabetes Mellitus Who Have Inadequate </w:t>
            </w:r>
            <w:proofErr w:type="spellStart"/>
            <w:r w:rsidRPr="00C11AAD">
              <w:rPr>
                <w:szCs w:val="18"/>
              </w:rPr>
              <w:t>Glycemic</w:t>
            </w:r>
            <w:proofErr w:type="spellEnd"/>
            <w:r w:rsidRPr="00C11AAD">
              <w:rPr>
                <w:szCs w:val="18"/>
              </w:rPr>
              <w:t xml:space="preserve"> Control on Metformin</w:t>
            </w:r>
          </w:p>
          <w:p w:rsidR="00341C6C" w:rsidRPr="00C11AAD" w:rsidRDefault="00341C6C" w:rsidP="00D16C57">
            <w:pPr>
              <w:pStyle w:val="Tabletext"/>
              <w:rPr>
                <w:szCs w:val="18"/>
              </w:rPr>
            </w:pPr>
            <w:r w:rsidRPr="00C11AAD">
              <w:rPr>
                <w:szCs w:val="18"/>
              </w:rPr>
              <w:t>NCT01999218</w:t>
            </w:r>
          </w:p>
        </w:tc>
        <w:tc>
          <w:tcPr>
            <w:tcW w:w="1177" w:type="pct"/>
            <w:tcBorders>
              <w:bottom w:val="nil"/>
            </w:tcBorders>
            <w:vAlign w:val="center"/>
          </w:tcPr>
          <w:p w:rsidR="00341C6C" w:rsidRPr="00C11AAD" w:rsidRDefault="00341C6C" w:rsidP="00D16C57">
            <w:pPr>
              <w:pStyle w:val="Tabletext"/>
              <w:rPr>
                <w:rFonts w:ascii="Times" w:hAnsi="Times"/>
              </w:rPr>
            </w:pPr>
            <w:r w:rsidRPr="00C11AAD">
              <w:t>November 2016</w:t>
            </w:r>
          </w:p>
        </w:tc>
      </w:tr>
      <w:tr w:rsidR="00341C6C" w:rsidRPr="00C11AAD" w:rsidTr="00D16C57">
        <w:tc>
          <w:tcPr>
            <w:tcW w:w="796" w:type="pct"/>
            <w:tcBorders>
              <w:bottom w:val="nil"/>
            </w:tcBorders>
            <w:vAlign w:val="center"/>
          </w:tcPr>
          <w:p w:rsidR="00341C6C" w:rsidRPr="00C11AAD" w:rsidRDefault="00341C6C" w:rsidP="00D16C57">
            <w:pPr>
              <w:pStyle w:val="Tabletext"/>
              <w:rPr>
                <w:rFonts w:ascii="Times" w:hAnsi="Times"/>
              </w:rPr>
            </w:pPr>
            <w:r w:rsidRPr="00C11AAD">
              <w:t>P005</w:t>
            </w:r>
          </w:p>
        </w:tc>
        <w:tc>
          <w:tcPr>
            <w:tcW w:w="3027" w:type="pct"/>
            <w:tcBorders>
              <w:bottom w:val="nil"/>
            </w:tcBorders>
            <w:vAlign w:val="center"/>
          </w:tcPr>
          <w:p w:rsidR="00341C6C" w:rsidRPr="00C11AAD" w:rsidRDefault="00341C6C" w:rsidP="00D16C57">
            <w:pPr>
              <w:pStyle w:val="Tabletext"/>
              <w:rPr>
                <w:szCs w:val="18"/>
              </w:rPr>
            </w:pPr>
            <w:r w:rsidRPr="00C11AAD">
              <w:rPr>
                <w:szCs w:val="18"/>
              </w:rPr>
              <w:t xml:space="preserve">A Phase III, Randomized, Double-Blind, </w:t>
            </w:r>
            <w:proofErr w:type="spellStart"/>
            <w:r w:rsidRPr="00C11AAD">
              <w:rPr>
                <w:szCs w:val="18"/>
              </w:rPr>
              <w:t>Multicenter</w:t>
            </w:r>
            <w:proofErr w:type="spellEnd"/>
            <w:r w:rsidRPr="00C11AAD">
              <w:rPr>
                <w:szCs w:val="18"/>
              </w:rPr>
              <w:t xml:space="preserve"> Study to Evaluate the Efficacy and Safety of the Combination of </w:t>
            </w:r>
            <w:proofErr w:type="spellStart"/>
            <w:r w:rsidRPr="00C11AAD">
              <w:rPr>
                <w:szCs w:val="18"/>
              </w:rPr>
              <w:t>Ertugliflozin</w:t>
            </w:r>
            <w:proofErr w:type="spellEnd"/>
            <w:r w:rsidRPr="00C11AAD">
              <w:rPr>
                <w:szCs w:val="18"/>
              </w:rPr>
              <w:t xml:space="preserve"> (MK-8835/PF-04971729) with </w:t>
            </w:r>
            <w:proofErr w:type="spellStart"/>
            <w:r w:rsidRPr="00C11AAD">
              <w:rPr>
                <w:szCs w:val="18"/>
              </w:rPr>
              <w:t>Sitagliptin</w:t>
            </w:r>
            <w:proofErr w:type="spellEnd"/>
            <w:r w:rsidRPr="00C11AAD">
              <w:rPr>
                <w:szCs w:val="18"/>
              </w:rPr>
              <w:t xml:space="preserve"> Compared with </w:t>
            </w:r>
            <w:proofErr w:type="spellStart"/>
            <w:r w:rsidRPr="00C11AAD">
              <w:rPr>
                <w:szCs w:val="18"/>
              </w:rPr>
              <w:t>Ertugliflozin</w:t>
            </w:r>
            <w:proofErr w:type="spellEnd"/>
            <w:r w:rsidRPr="00C11AAD">
              <w:rPr>
                <w:szCs w:val="18"/>
              </w:rPr>
              <w:t xml:space="preserve"> Alone and </w:t>
            </w:r>
            <w:proofErr w:type="spellStart"/>
            <w:r w:rsidRPr="00C11AAD">
              <w:rPr>
                <w:szCs w:val="18"/>
              </w:rPr>
              <w:t>Sitagliptin</w:t>
            </w:r>
            <w:proofErr w:type="spellEnd"/>
            <w:r w:rsidRPr="00C11AAD">
              <w:rPr>
                <w:szCs w:val="18"/>
              </w:rPr>
              <w:t xml:space="preserve"> Alone, in the Treatment of Subjects with T2DM With Inadequate </w:t>
            </w:r>
            <w:proofErr w:type="spellStart"/>
            <w:r w:rsidRPr="00C11AAD">
              <w:rPr>
                <w:szCs w:val="18"/>
              </w:rPr>
              <w:t>Glycemic</w:t>
            </w:r>
            <w:proofErr w:type="spellEnd"/>
            <w:r w:rsidRPr="00C11AAD">
              <w:rPr>
                <w:szCs w:val="18"/>
              </w:rPr>
              <w:t xml:space="preserve"> Control on Metformin Monotherapy</w:t>
            </w:r>
          </w:p>
          <w:p w:rsidR="00341C6C" w:rsidRPr="00C11AAD" w:rsidRDefault="00341C6C" w:rsidP="00D16C57">
            <w:pPr>
              <w:pStyle w:val="Tabletext"/>
              <w:rPr>
                <w:szCs w:val="18"/>
              </w:rPr>
            </w:pPr>
            <w:r w:rsidRPr="00C11AAD">
              <w:rPr>
                <w:szCs w:val="18"/>
              </w:rPr>
              <w:t>NCT02099110</w:t>
            </w:r>
          </w:p>
        </w:tc>
        <w:tc>
          <w:tcPr>
            <w:tcW w:w="1177" w:type="pct"/>
            <w:tcBorders>
              <w:bottom w:val="nil"/>
            </w:tcBorders>
            <w:vAlign w:val="center"/>
          </w:tcPr>
          <w:p w:rsidR="00341C6C" w:rsidRPr="00C11AAD" w:rsidRDefault="00341C6C" w:rsidP="00D16C57">
            <w:pPr>
              <w:pStyle w:val="Tabletext"/>
            </w:pPr>
            <w:r w:rsidRPr="00C11AAD">
              <w:t>March 2017</w:t>
            </w:r>
          </w:p>
        </w:tc>
      </w:tr>
      <w:tr w:rsidR="00341C6C" w:rsidRPr="00C11AAD" w:rsidTr="00D16C57">
        <w:tc>
          <w:tcPr>
            <w:tcW w:w="796" w:type="pct"/>
            <w:vAlign w:val="center"/>
          </w:tcPr>
          <w:p w:rsidR="00341C6C" w:rsidRPr="00C11AAD" w:rsidRDefault="00341C6C" w:rsidP="00D16C57">
            <w:pPr>
              <w:pStyle w:val="Tabletext"/>
            </w:pPr>
            <w:r w:rsidRPr="00C11AAD">
              <w:t>P007</w:t>
            </w:r>
          </w:p>
        </w:tc>
        <w:tc>
          <w:tcPr>
            <w:tcW w:w="3027" w:type="pct"/>
            <w:vAlign w:val="center"/>
          </w:tcPr>
          <w:p w:rsidR="00341C6C" w:rsidRPr="00C11AAD" w:rsidRDefault="00341C6C" w:rsidP="00D16C57">
            <w:pPr>
              <w:pStyle w:val="Tabletext"/>
              <w:rPr>
                <w:szCs w:val="18"/>
              </w:rPr>
            </w:pPr>
            <w:r w:rsidRPr="00C11AAD">
              <w:rPr>
                <w:szCs w:val="18"/>
              </w:rPr>
              <w:t xml:space="preserve">A Phase 3, Randomized, Double-Blind, Placebo-Controlled, 26-Week </w:t>
            </w:r>
            <w:proofErr w:type="spellStart"/>
            <w:r w:rsidRPr="00C11AAD">
              <w:rPr>
                <w:szCs w:val="18"/>
              </w:rPr>
              <w:t>Multicenter</w:t>
            </w:r>
            <w:proofErr w:type="spellEnd"/>
            <w:r w:rsidRPr="00C11AAD">
              <w:rPr>
                <w:szCs w:val="18"/>
              </w:rPr>
              <w:t xml:space="preserve"> Study with a 78-Week Extension to Evaluate the Efficacy and Safety of </w:t>
            </w:r>
            <w:proofErr w:type="spellStart"/>
            <w:r w:rsidRPr="00C11AAD">
              <w:rPr>
                <w:szCs w:val="18"/>
              </w:rPr>
              <w:t>Ertugliflozin</w:t>
            </w:r>
            <w:proofErr w:type="spellEnd"/>
            <w:r w:rsidRPr="00C11AAD">
              <w:rPr>
                <w:szCs w:val="18"/>
              </w:rPr>
              <w:t xml:space="preserve"> in Subjects with Type 2 Diabetes Mellitus and Inadequate </w:t>
            </w:r>
            <w:proofErr w:type="spellStart"/>
            <w:r w:rsidRPr="00C11AAD">
              <w:rPr>
                <w:szCs w:val="18"/>
              </w:rPr>
              <w:t>Glycemic</w:t>
            </w:r>
            <w:proofErr w:type="spellEnd"/>
            <w:r w:rsidRPr="00C11AAD">
              <w:rPr>
                <w:szCs w:val="18"/>
              </w:rPr>
              <w:t xml:space="preserve"> Control on Metformin Monotherapy</w:t>
            </w:r>
          </w:p>
          <w:p w:rsidR="00341C6C" w:rsidRPr="00C11AAD" w:rsidRDefault="00341C6C" w:rsidP="00D16C57">
            <w:pPr>
              <w:pStyle w:val="Tabletext"/>
              <w:rPr>
                <w:rFonts w:ascii="Times" w:hAnsi="Times"/>
              </w:rPr>
            </w:pPr>
            <w:r w:rsidRPr="00C11AAD">
              <w:rPr>
                <w:szCs w:val="18"/>
              </w:rPr>
              <w:t>NCT02033889</w:t>
            </w:r>
          </w:p>
        </w:tc>
        <w:tc>
          <w:tcPr>
            <w:tcW w:w="1177" w:type="pct"/>
            <w:vAlign w:val="center"/>
          </w:tcPr>
          <w:p w:rsidR="00341C6C" w:rsidRPr="00C11AAD" w:rsidRDefault="00341C6C" w:rsidP="00D16C57">
            <w:pPr>
              <w:pStyle w:val="Tabletext"/>
              <w:rPr>
                <w:rFonts w:ascii="Times" w:hAnsi="Times"/>
              </w:rPr>
            </w:pPr>
            <w:r w:rsidRPr="00C11AAD">
              <w:t>November 2016</w:t>
            </w:r>
          </w:p>
        </w:tc>
      </w:tr>
      <w:tr w:rsidR="00341C6C" w:rsidRPr="00C11AAD" w:rsidTr="00D16C57">
        <w:tc>
          <w:tcPr>
            <w:tcW w:w="796" w:type="pct"/>
            <w:tcBorders>
              <w:bottom w:val="nil"/>
            </w:tcBorders>
            <w:vAlign w:val="center"/>
          </w:tcPr>
          <w:p w:rsidR="00341C6C" w:rsidRPr="00C11AAD" w:rsidRDefault="00341C6C" w:rsidP="00D16C57">
            <w:pPr>
              <w:pStyle w:val="Tabletext"/>
            </w:pPr>
            <w:r w:rsidRPr="00C11AAD">
              <w:t>P016</w:t>
            </w:r>
          </w:p>
        </w:tc>
        <w:tc>
          <w:tcPr>
            <w:tcW w:w="3027" w:type="pct"/>
            <w:tcBorders>
              <w:bottom w:val="nil"/>
            </w:tcBorders>
            <w:vAlign w:val="center"/>
          </w:tcPr>
          <w:p w:rsidR="00341C6C" w:rsidRPr="00C11AAD" w:rsidRDefault="00341C6C" w:rsidP="00D16C57">
            <w:pPr>
              <w:pStyle w:val="Tabletext"/>
              <w:rPr>
                <w:szCs w:val="18"/>
              </w:rPr>
            </w:pPr>
            <w:r w:rsidRPr="00C11AAD">
              <w:t xml:space="preserve">A 12-Week, Phase 2, Randomized, Double-Blinded, Placebo-Controlled, Dose-Ranging, Parallel Group Study to Evaluate the Safety, Tolerability, and Efficacy of Once Daily PF-04971729 and </w:t>
            </w:r>
            <w:proofErr w:type="spellStart"/>
            <w:r w:rsidRPr="00C11AAD">
              <w:t>Sitagliptin</w:t>
            </w:r>
            <w:proofErr w:type="spellEnd"/>
            <w:r w:rsidRPr="00C11AAD">
              <w:t xml:space="preserve"> on </w:t>
            </w:r>
            <w:proofErr w:type="spellStart"/>
            <w:r w:rsidRPr="00C11AAD">
              <w:t>Glycemic</w:t>
            </w:r>
            <w:proofErr w:type="spellEnd"/>
            <w:r w:rsidRPr="00C11AAD">
              <w:t xml:space="preserve"> Control and Body Weight in Adult Patients with Type 2 Diabetes Mellitus Inadequately Controlled on Metformin. NCT01059825</w:t>
            </w:r>
          </w:p>
        </w:tc>
        <w:tc>
          <w:tcPr>
            <w:tcW w:w="1177" w:type="pct"/>
            <w:tcBorders>
              <w:bottom w:val="nil"/>
            </w:tcBorders>
            <w:vAlign w:val="center"/>
          </w:tcPr>
          <w:p w:rsidR="00341C6C" w:rsidRPr="00C11AAD" w:rsidRDefault="00341C6C" w:rsidP="00D16C57">
            <w:pPr>
              <w:pStyle w:val="Tabletext"/>
            </w:pPr>
            <w:r w:rsidRPr="00C11AAD">
              <w:t>January 2012</w:t>
            </w:r>
          </w:p>
        </w:tc>
      </w:tr>
      <w:tr w:rsidR="00341C6C" w:rsidRPr="00C11AAD" w:rsidTr="00D16C57">
        <w:tc>
          <w:tcPr>
            <w:tcW w:w="796" w:type="pct"/>
            <w:tcBorders>
              <w:top w:val="nil"/>
            </w:tcBorders>
            <w:vAlign w:val="center"/>
          </w:tcPr>
          <w:p w:rsidR="00341C6C" w:rsidRPr="00C11AAD" w:rsidRDefault="00341C6C" w:rsidP="00D16C57">
            <w:pPr>
              <w:pStyle w:val="Tabletext"/>
            </w:pPr>
          </w:p>
        </w:tc>
        <w:tc>
          <w:tcPr>
            <w:tcW w:w="3027" w:type="pct"/>
            <w:tcBorders>
              <w:top w:val="nil"/>
            </w:tcBorders>
            <w:vAlign w:val="center"/>
          </w:tcPr>
          <w:p w:rsidR="00341C6C" w:rsidRPr="00C11AAD" w:rsidRDefault="00341C6C" w:rsidP="00D16C57">
            <w:pPr>
              <w:pStyle w:val="Tabletext"/>
            </w:pPr>
            <w:r w:rsidRPr="00C11AAD">
              <w:t xml:space="preserve">Amin NB, Wang X, Jain SM, Lee DS, </w:t>
            </w:r>
            <w:proofErr w:type="spellStart"/>
            <w:r w:rsidRPr="00C11AAD">
              <w:t>Nucci</w:t>
            </w:r>
            <w:proofErr w:type="spellEnd"/>
            <w:r w:rsidRPr="00C11AAD">
              <w:t xml:space="preserve"> G &amp; Rusnak JM. Dose-ranging efficacy and safety study of </w:t>
            </w:r>
            <w:proofErr w:type="spellStart"/>
            <w:r w:rsidRPr="00C11AAD">
              <w:t>ertugliflozin</w:t>
            </w:r>
            <w:proofErr w:type="spellEnd"/>
            <w:r w:rsidRPr="00C11AAD">
              <w:t xml:space="preserve">, a sodium-glucose co-transporter 2 inhibitor, in patients with type 2 diabetes on a background of metformin. </w:t>
            </w:r>
          </w:p>
        </w:tc>
        <w:tc>
          <w:tcPr>
            <w:tcW w:w="1177" w:type="pct"/>
            <w:tcBorders>
              <w:top w:val="nil"/>
            </w:tcBorders>
            <w:vAlign w:val="center"/>
          </w:tcPr>
          <w:p w:rsidR="00341C6C" w:rsidRPr="00C11AAD" w:rsidRDefault="00341C6C" w:rsidP="00D16C57">
            <w:pPr>
              <w:pStyle w:val="Tabletext"/>
            </w:pPr>
            <w:r w:rsidRPr="00C11AAD">
              <w:t xml:space="preserve">Diabetes </w:t>
            </w:r>
            <w:proofErr w:type="spellStart"/>
            <w:r w:rsidRPr="00C11AAD">
              <w:t>Obes</w:t>
            </w:r>
            <w:proofErr w:type="spellEnd"/>
            <w:r w:rsidRPr="00C11AAD">
              <w:t xml:space="preserve"> </w:t>
            </w:r>
            <w:proofErr w:type="spellStart"/>
            <w:r w:rsidRPr="00C11AAD">
              <w:t>Metab</w:t>
            </w:r>
            <w:proofErr w:type="spellEnd"/>
            <w:r w:rsidRPr="00C11AAD">
              <w:t xml:space="preserve"> 2015, 17(6): 591-8. 10.1111/dom.12460</w:t>
            </w:r>
          </w:p>
        </w:tc>
      </w:tr>
      <w:tr w:rsidR="00341C6C" w:rsidRPr="00C11AAD" w:rsidTr="00D16C57">
        <w:tc>
          <w:tcPr>
            <w:tcW w:w="5000" w:type="pct"/>
            <w:gridSpan w:val="3"/>
            <w:vAlign w:val="center"/>
          </w:tcPr>
          <w:p w:rsidR="00341C6C" w:rsidRPr="00C11AAD" w:rsidRDefault="00341C6C" w:rsidP="00D16C57">
            <w:pPr>
              <w:pStyle w:val="Tabletext"/>
              <w:rPr>
                <w:b/>
              </w:rPr>
            </w:pPr>
            <w:proofErr w:type="spellStart"/>
            <w:r w:rsidRPr="00C11AAD">
              <w:rPr>
                <w:b/>
              </w:rPr>
              <w:t>Dapagliflozin</w:t>
            </w:r>
            <w:proofErr w:type="spellEnd"/>
            <w:r w:rsidRPr="00C11AAD">
              <w:rPr>
                <w:b/>
              </w:rPr>
              <w:t xml:space="preserve"> trials</w:t>
            </w:r>
          </w:p>
        </w:tc>
      </w:tr>
      <w:tr w:rsidR="00341C6C" w:rsidRPr="00C11AAD" w:rsidTr="00D16C57">
        <w:tc>
          <w:tcPr>
            <w:tcW w:w="796" w:type="pct"/>
            <w:tcBorders>
              <w:bottom w:val="nil"/>
            </w:tcBorders>
            <w:vAlign w:val="center"/>
          </w:tcPr>
          <w:p w:rsidR="00341C6C" w:rsidRPr="00C11AAD" w:rsidRDefault="00341C6C" w:rsidP="00D16C57">
            <w:pPr>
              <w:pStyle w:val="Tabletext"/>
            </w:pPr>
            <w:r w:rsidRPr="00C11AAD">
              <w:t>CT-014</w:t>
            </w:r>
          </w:p>
        </w:tc>
        <w:tc>
          <w:tcPr>
            <w:tcW w:w="3027" w:type="pct"/>
            <w:tcBorders>
              <w:bottom w:val="nil"/>
            </w:tcBorders>
            <w:vAlign w:val="center"/>
          </w:tcPr>
          <w:p w:rsidR="00341C6C" w:rsidRPr="00C11AAD" w:rsidRDefault="00341C6C" w:rsidP="00D16C57">
            <w:pPr>
              <w:pStyle w:val="Tabletext"/>
              <w:rPr>
                <w:szCs w:val="18"/>
              </w:rPr>
            </w:pPr>
            <w:r w:rsidRPr="00C11AAD">
              <w:rPr>
                <w:szCs w:val="18"/>
              </w:rPr>
              <w:t xml:space="preserve">Bailey CJ, Gross JL, </w:t>
            </w:r>
            <w:proofErr w:type="spellStart"/>
            <w:r w:rsidRPr="00C11AAD">
              <w:rPr>
                <w:szCs w:val="18"/>
              </w:rPr>
              <w:t>Pieters</w:t>
            </w:r>
            <w:proofErr w:type="spellEnd"/>
            <w:r w:rsidRPr="00C11AAD">
              <w:rPr>
                <w:szCs w:val="18"/>
              </w:rPr>
              <w:t xml:space="preserve"> A, </w:t>
            </w:r>
            <w:proofErr w:type="spellStart"/>
            <w:r w:rsidRPr="00C11AAD">
              <w:rPr>
                <w:szCs w:val="18"/>
              </w:rPr>
              <w:t>Bastien</w:t>
            </w:r>
            <w:proofErr w:type="spellEnd"/>
            <w:r w:rsidRPr="00C11AAD">
              <w:rPr>
                <w:szCs w:val="18"/>
              </w:rPr>
              <w:t xml:space="preserve"> A &amp; List JF. Effect of </w:t>
            </w:r>
            <w:proofErr w:type="spellStart"/>
            <w:r w:rsidRPr="00C11AAD">
              <w:rPr>
                <w:szCs w:val="18"/>
              </w:rPr>
              <w:t>dapagliflozin</w:t>
            </w:r>
            <w:proofErr w:type="spellEnd"/>
            <w:r w:rsidRPr="00C11AAD">
              <w:rPr>
                <w:szCs w:val="18"/>
              </w:rPr>
              <w:t xml:space="preserve"> in patients with type 2 diabetes who have inadequate glycaemic control with metformin: a randomised, double-blind, placebo-controlled trial.</w:t>
            </w:r>
          </w:p>
          <w:p w:rsidR="00341C6C" w:rsidRPr="00C11AAD" w:rsidRDefault="00341C6C" w:rsidP="00D16C57">
            <w:pPr>
              <w:pStyle w:val="Tabletext"/>
              <w:rPr>
                <w:szCs w:val="18"/>
              </w:rPr>
            </w:pPr>
            <w:r w:rsidRPr="00C11AAD">
              <w:rPr>
                <w:szCs w:val="18"/>
              </w:rPr>
              <w:t>NCT00528879</w:t>
            </w:r>
          </w:p>
        </w:tc>
        <w:tc>
          <w:tcPr>
            <w:tcW w:w="1177" w:type="pct"/>
            <w:tcBorders>
              <w:bottom w:val="nil"/>
            </w:tcBorders>
            <w:vAlign w:val="center"/>
          </w:tcPr>
          <w:p w:rsidR="00341C6C" w:rsidRPr="00C11AAD" w:rsidRDefault="00341C6C" w:rsidP="00D16C57">
            <w:pPr>
              <w:pStyle w:val="Tabletext"/>
            </w:pPr>
            <w:r w:rsidRPr="00C11AAD">
              <w:rPr>
                <w:szCs w:val="18"/>
              </w:rPr>
              <w:t>The Lancet 2010, 375(9733): 2223-2233. 10.1016/S0140-6736(10)60407-2</w:t>
            </w:r>
          </w:p>
        </w:tc>
      </w:tr>
      <w:tr w:rsidR="00341C6C" w:rsidRPr="00C11AAD" w:rsidTr="00D16C57">
        <w:tc>
          <w:tcPr>
            <w:tcW w:w="796" w:type="pct"/>
            <w:vAlign w:val="center"/>
          </w:tcPr>
          <w:p w:rsidR="00341C6C" w:rsidRPr="00C11AAD" w:rsidRDefault="00341C6C" w:rsidP="00D16C57">
            <w:pPr>
              <w:pStyle w:val="Tabletext"/>
            </w:pPr>
            <w:r w:rsidRPr="00C11AAD">
              <w:t>CT-003</w:t>
            </w:r>
          </w:p>
        </w:tc>
        <w:tc>
          <w:tcPr>
            <w:tcW w:w="3027" w:type="pct"/>
            <w:vAlign w:val="center"/>
          </w:tcPr>
          <w:p w:rsidR="00341C6C" w:rsidRPr="00C11AAD" w:rsidRDefault="00341C6C" w:rsidP="00D16C57">
            <w:pPr>
              <w:pStyle w:val="Tabletext"/>
              <w:rPr>
                <w:szCs w:val="18"/>
              </w:rPr>
            </w:pPr>
            <w:proofErr w:type="spellStart"/>
            <w:r w:rsidRPr="00C11AAD">
              <w:rPr>
                <w:szCs w:val="18"/>
              </w:rPr>
              <w:t>Schumm-Draeger</w:t>
            </w:r>
            <w:proofErr w:type="spellEnd"/>
            <w:r w:rsidRPr="00C11AAD">
              <w:rPr>
                <w:szCs w:val="18"/>
              </w:rPr>
              <w:t xml:space="preserve"> PM, Burgess L, </w:t>
            </w:r>
            <w:proofErr w:type="spellStart"/>
            <w:r w:rsidRPr="00C11AAD">
              <w:rPr>
                <w:szCs w:val="18"/>
              </w:rPr>
              <w:t>Korányi</w:t>
            </w:r>
            <w:proofErr w:type="spellEnd"/>
            <w:r w:rsidRPr="00C11AAD">
              <w:rPr>
                <w:szCs w:val="18"/>
              </w:rPr>
              <w:t xml:space="preserve"> L, </w:t>
            </w:r>
            <w:proofErr w:type="spellStart"/>
            <w:r w:rsidRPr="00C11AAD">
              <w:rPr>
                <w:szCs w:val="18"/>
              </w:rPr>
              <w:t>Hruba</w:t>
            </w:r>
            <w:proofErr w:type="spellEnd"/>
            <w:r w:rsidRPr="00C11AAD">
              <w:rPr>
                <w:szCs w:val="18"/>
              </w:rPr>
              <w:t xml:space="preserve"> V, Hamer-</w:t>
            </w:r>
            <w:proofErr w:type="spellStart"/>
            <w:r w:rsidRPr="00C11AAD">
              <w:rPr>
                <w:szCs w:val="18"/>
              </w:rPr>
              <w:t>Maansson</w:t>
            </w:r>
            <w:proofErr w:type="spellEnd"/>
            <w:r w:rsidRPr="00C11AAD">
              <w:rPr>
                <w:szCs w:val="18"/>
              </w:rPr>
              <w:t xml:space="preserve"> JE &amp; de Bruin TWA. Twice-daily </w:t>
            </w:r>
            <w:proofErr w:type="spellStart"/>
            <w:r w:rsidRPr="00C11AAD">
              <w:rPr>
                <w:szCs w:val="18"/>
              </w:rPr>
              <w:t>dapagliflozin</w:t>
            </w:r>
            <w:proofErr w:type="spellEnd"/>
            <w:r w:rsidRPr="00C11AAD">
              <w:rPr>
                <w:szCs w:val="18"/>
              </w:rPr>
              <w:t xml:space="preserve"> co-administered with metformin in type </w:t>
            </w:r>
            <w:proofErr w:type="gramStart"/>
            <w:r w:rsidRPr="00C11AAD">
              <w:rPr>
                <w:szCs w:val="18"/>
              </w:rPr>
              <w:t>2 diabetes</w:t>
            </w:r>
            <w:proofErr w:type="gramEnd"/>
            <w:r w:rsidRPr="00C11AAD">
              <w:rPr>
                <w:szCs w:val="18"/>
              </w:rPr>
              <w:t>: A 16-week randomized, placebo-controlled clinical trial. NCT01217892</w:t>
            </w:r>
          </w:p>
        </w:tc>
        <w:tc>
          <w:tcPr>
            <w:tcW w:w="1177" w:type="pct"/>
            <w:vAlign w:val="center"/>
          </w:tcPr>
          <w:p w:rsidR="00341C6C" w:rsidRPr="00C11AAD" w:rsidRDefault="00341C6C" w:rsidP="00D16C57">
            <w:pPr>
              <w:pStyle w:val="Tabletext"/>
            </w:pPr>
            <w:r w:rsidRPr="00C11AAD">
              <w:rPr>
                <w:szCs w:val="18"/>
              </w:rPr>
              <w:t xml:space="preserve">Diabetes </w:t>
            </w:r>
            <w:proofErr w:type="spellStart"/>
            <w:r w:rsidRPr="00C11AAD">
              <w:rPr>
                <w:szCs w:val="18"/>
              </w:rPr>
              <w:t>Obes</w:t>
            </w:r>
            <w:proofErr w:type="spellEnd"/>
            <w:r w:rsidRPr="00C11AAD">
              <w:rPr>
                <w:szCs w:val="18"/>
              </w:rPr>
              <w:t xml:space="preserve"> </w:t>
            </w:r>
            <w:proofErr w:type="spellStart"/>
            <w:r w:rsidRPr="00C11AAD">
              <w:rPr>
                <w:szCs w:val="18"/>
              </w:rPr>
              <w:t>Metab</w:t>
            </w:r>
            <w:proofErr w:type="spellEnd"/>
            <w:r w:rsidRPr="00C11AAD">
              <w:rPr>
                <w:szCs w:val="18"/>
              </w:rPr>
              <w:t xml:space="preserve"> 2015, 17(1): 42-51. 10.1111/dom.12387</w:t>
            </w:r>
          </w:p>
        </w:tc>
      </w:tr>
      <w:tr w:rsidR="00341C6C" w:rsidRPr="00C11AAD" w:rsidTr="00D16C57">
        <w:tc>
          <w:tcPr>
            <w:tcW w:w="796" w:type="pct"/>
            <w:tcBorders>
              <w:bottom w:val="nil"/>
            </w:tcBorders>
            <w:vAlign w:val="center"/>
          </w:tcPr>
          <w:p w:rsidR="00341C6C" w:rsidRPr="00C11AAD" w:rsidRDefault="00341C6C" w:rsidP="00D16C57">
            <w:pPr>
              <w:pStyle w:val="Tabletext"/>
            </w:pPr>
            <w:r w:rsidRPr="00C11AAD">
              <w:t>CT-012</w:t>
            </w:r>
          </w:p>
        </w:tc>
        <w:tc>
          <w:tcPr>
            <w:tcW w:w="3027" w:type="pct"/>
            <w:tcBorders>
              <w:bottom w:val="nil"/>
            </w:tcBorders>
            <w:vAlign w:val="center"/>
          </w:tcPr>
          <w:p w:rsidR="00341C6C" w:rsidRPr="00C11AAD" w:rsidRDefault="00341C6C" w:rsidP="00D16C57">
            <w:pPr>
              <w:pStyle w:val="Tabletext"/>
              <w:rPr>
                <w:szCs w:val="18"/>
              </w:rPr>
            </w:pPr>
            <w:proofErr w:type="spellStart"/>
            <w:r w:rsidRPr="00C11AAD">
              <w:rPr>
                <w:szCs w:val="18"/>
              </w:rPr>
              <w:t>Bolinder</w:t>
            </w:r>
            <w:proofErr w:type="spellEnd"/>
            <w:r w:rsidRPr="00C11AAD">
              <w:rPr>
                <w:szCs w:val="18"/>
              </w:rPr>
              <w:t xml:space="preserve"> J, </w:t>
            </w:r>
            <w:proofErr w:type="spellStart"/>
            <w:r w:rsidRPr="00C11AAD">
              <w:rPr>
                <w:szCs w:val="18"/>
              </w:rPr>
              <w:t>Ljunggren</w:t>
            </w:r>
            <w:proofErr w:type="spellEnd"/>
            <w:r w:rsidRPr="00C11AAD">
              <w:rPr>
                <w:szCs w:val="18"/>
              </w:rPr>
              <w:t xml:space="preserve"> O, Johansson L, Wilding J, </w:t>
            </w:r>
            <w:proofErr w:type="spellStart"/>
            <w:r w:rsidRPr="00C11AAD">
              <w:rPr>
                <w:szCs w:val="18"/>
              </w:rPr>
              <w:t>Langkilde</w:t>
            </w:r>
            <w:proofErr w:type="spellEnd"/>
            <w:r w:rsidRPr="00C11AAD">
              <w:rPr>
                <w:szCs w:val="18"/>
              </w:rPr>
              <w:t xml:space="preserve"> AM, </w:t>
            </w:r>
            <w:proofErr w:type="spellStart"/>
            <w:r w:rsidRPr="00C11AAD">
              <w:rPr>
                <w:szCs w:val="18"/>
              </w:rPr>
              <w:t>Sjöström</w:t>
            </w:r>
            <w:proofErr w:type="spellEnd"/>
            <w:r w:rsidRPr="00C11AAD">
              <w:rPr>
                <w:szCs w:val="18"/>
              </w:rPr>
              <w:t xml:space="preserve"> CD, </w:t>
            </w:r>
            <w:proofErr w:type="spellStart"/>
            <w:r w:rsidRPr="00C11AAD">
              <w:rPr>
                <w:szCs w:val="18"/>
              </w:rPr>
              <w:t>Sugg</w:t>
            </w:r>
            <w:proofErr w:type="spellEnd"/>
            <w:r w:rsidRPr="00C11AAD">
              <w:rPr>
                <w:szCs w:val="18"/>
              </w:rPr>
              <w:t xml:space="preserve"> J &amp; Parikh S. </w:t>
            </w:r>
            <w:proofErr w:type="spellStart"/>
            <w:r w:rsidRPr="00C11AAD">
              <w:rPr>
                <w:szCs w:val="18"/>
              </w:rPr>
              <w:t>Dapagliflozin</w:t>
            </w:r>
            <w:proofErr w:type="spellEnd"/>
            <w:r w:rsidRPr="00C11AAD">
              <w:rPr>
                <w:szCs w:val="18"/>
              </w:rPr>
              <w:t xml:space="preserve"> maintains glycaemic control while reducing weight and body fat mass over 2 years in patients with type 2 diabetes mellitus inadequately controlled on metformin. NCT00855166</w:t>
            </w:r>
          </w:p>
        </w:tc>
        <w:tc>
          <w:tcPr>
            <w:tcW w:w="1177" w:type="pct"/>
            <w:tcBorders>
              <w:bottom w:val="nil"/>
            </w:tcBorders>
            <w:vAlign w:val="center"/>
          </w:tcPr>
          <w:p w:rsidR="00341C6C" w:rsidRPr="00C11AAD" w:rsidRDefault="00341C6C" w:rsidP="00D16C57">
            <w:pPr>
              <w:pStyle w:val="Tabletext"/>
            </w:pPr>
            <w:r w:rsidRPr="00C11AAD">
              <w:rPr>
                <w:szCs w:val="18"/>
              </w:rPr>
              <w:t xml:space="preserve">Diabetes </w:t>
            </w:r>
            <w:proofErr w:type="spellStart"/>
            <w:r w:rsidRPr="00C11AAD">
              <w:rPr>
                <w:szCs w:val="18"/>
              </w:rPr>
              <w:t>Obes</w:t>
            </w:r>
            <w:proofErr w:type="spellEnd"/>
            <w:r w:rsidRPr="00C11AAD">
              <w:rPr>
                <w:szCs w:val="18"/>
              </w:rPr>
              <w:t xml:space="preserve"> </w:t>
            </w:r>
            <w:proofErr w:type="spellStart"/>
            <w:r w:rsidRPr="00C11AAD">
              <w:rPr>
                <w:szCs w:val="18"/>
              </w:rPr>
              <w:t>Metab</w:t>
            </w:r>
            <w:proofErr w:type="spellEnd"/>
            <w:r w:rsidRPr="00C11AAD">
              <w:rPr>
                <w:szCs w:val="18"/>
              </w:rPr>
              <w:t xml:space="preserve"> 2014, 16(2): 159-169. 10.1111/dom.12189</w:t>
            </w:r>
          </w:p>
        </w:tc>
      </w:tr>
      <w:tr w:rsidR="00341C6C" w:rsidRPr="00C11AAD" w:rsidTr="00D16C57">
        <w:tc>
          <w:tcPr>
            <w:tcW w:w="796" w:type="pct"/>
            <w:vAlign w:val="center"/>
          </w:tcPr>
          <w:p w:rsidR="00341C6C" w:rsidRPr="00C11AAD" w:rsidRDefault="00341C6C" w:rsidP="00D16C57">
            <w:pPr>
              <w:pStyle w:val="Tabletext"/>
            </w:pPr>
            <w:r w:rsidRPr="00C11AAD">
              <w:t>CT-004</w:t>
            </w:r>
          </w:p>
        </w:tc>
        <w:tc>
          <w:tcPr>
            <w:tcW w:w="3027" w:type="pct"/>
            <w:vAlign w:val="center"/>
          </w:tcPr>
          <w:p w:rsidR="00341C6C" w:rsidRPr="00C11AAD" w:rsidRDefault="00341C6C" w:rsidP="00D16C57">
            <w:pPr>
              <w:pStyle w:val="Tabletext"/>
              <w:rPr>
                <w:szCs w:val="18"/>
              </w:rPr>
            </w:pPr>
            <w:proofErr w:type="spellStart"/>
            <w:r w:rsidRPr="00C11AAD">
              <w:rPr>
                <w:szCs w:val="18"/>
              </w:rPr>
              <w:t>Nauck</w:t>
            </w:r>
            <w:proofErr w:type="spellEnd"/>
            <w:r w:rsidRPr="00C11AAD">
              <w:rPr>
                <w:szCs w:val="18"/>
              </w:rPr>
              <w:t xml:space="preserve"> MA, Del Prato S, Meier JJ, </w:t>
            </w:r>
            <w:proofErr w:type="spellStart"/>
            <w:r w:rsidRPr="00C11AAD">
              <w:rPr>
                <w:szCs w:val="18"/>
              </w:rPr>
              <w:t>Durán</w:t>
            </w:r>
            <w:proofErr w:type="spellEnd"/>
            <w:r w:rsidRPr="00C11AAD">
              <w:rPr>
                <w:szCs w:val="18"/>
              </w:rPr>
              <w:t xml:space="preserve"> GS, </w:t>
            </w:r>
            <w:proofErr w:type="spellStart"/>
            <w:r w:rsidRPr="00C11AAD">
              <w:rPr>
                <w:szCs w:val="18"/>
              </w:rPr>
              <w:t>Rohwedder</w:t>
            </w:r>
            <w:proofErr w:type="spellEnd"/>
            <w:r w:rsidRPr="00C11AAD">
              <w:rPr>
                <w:szCs w:val="18"/>
              </w:rPr>
              <w:t xml:space="preserve"> K, </w:t>
            </w:r>
            <w:proofErr w:type="spellStart"/>
            <w:r w:rsidRPr="00C11AAD">
              <w:rPr>
                <w:szCs w:val="18"/>
              </w:rPr>
              <w:t>Elze</w:t>
            </w:r>
            <w:proofErr w:type="spellEnd"/>
            <w:r w:rsidRPr="00C11AAD">
              <w:rPr>
                <w:szCs w:val="18"/>
              </w:rPr>
              <w:t xml:space="preserve"> M &amp; Parikh. </w:t>
            </w:r>
            <w:proofErr w:type="spellStart"/>
            <w:r w:rsidRPr="00C11AAD">
              <w:rPr>
                <w:szCs w:val="18"/>
              </w:rPr>
              <w:t>Dapagliflozin</w:t>
            </w:r>
            <w:proofErr w:type="spellEnd"/>
            <w:r w:rsidRPr="00C11AAD">
              <w:rPr>
                <w:szCs w:val="18"/>
              </w:rPr>
              <w:t xml:space="preserve"> versus glipizide as add-on therapy in patients with type 2 diabetes who have inadequate </w:t>
            </w:r>
            <w:proofErr w:type="spellStart"/>
            <w:r w:rsidRPr="00C11AAD">
              <w:rPr>
                <w:szCs w:val="18"/>
              </w:rPr>
              <w:t>glycemic</w:t>
            </w:r>
            <w:proofErr w:type="spellEnd"/>
            <w:r w:rsidRPr="00C11AAD">
              <w:rPr>
                <w:szCs w:val="18"/>
              </w:rPr>
              <w:t xml:space="preserve"> control with metformin: A randomized, 52-week, double-blind, active-controlled </w:t>
            </w:r>
            <w:proofErr w:type="spellStart"/>
            <w:r w:rsidRPr="00C11AAD">
              <w:rPr>
                <w:szCs w:val="18"/>
              </w:rPr>
              <w:t>noninferiority</w:t>
            </w:r>
            <w:proofErr w:type="spellEnd"/>
            <w:r w:rsidRPr="00C11AAD">
              <w:rPr>
                <w:szCs w:val="18"/>
              </w:rPr>
              <w:t xml:space="preserve"> trial. </w:t>
            </w:r>
          </w:p>
          <w:p w:rsidR="00341C6C" w:rsidRPr="00C11AAD" w:rsidRDefault="00341C6C" w:rsidP="00D16C57">
            <w:pPr>
              <w:pStyle w:val="Tabletext"/>
              <w:rPr>
                <w:szCs w:val="18"/>
              </w:rPr>
            </w:pPr>
            <w:r w:rsidRPr="00C11AAD">
              <w:rPr>
                <w:szCs w:val="18"/>
              </w:rPr>
              <w:t>NCT00660907</w:t>
            </w:r>
          </w:p>
        </w:tc>
        <w:tc>
          <w:tcPr>
            <w:tcW w:w="1177" w:type="pct"/>
            <w:vAlign w:val="center"/>
          </w:tcPr>
          <w:p w:rsidR="00341C6C" w:rsidRPr="00C11AAD" w:rsidRDefault="00341C6C" w:rsidP="00D16C57">
            <w:pPr>
              <w:pStyle w:val="Tabletext"/>
            </w:pPr>
            <w:r w:rsidRPr="00C11AAD">
              <w:rPr>
                <w:szCs w:val="18"/>
              </w:rPr>
              <w:t>Diabetes Care 2011, 34(9): 2015-2022. 10.2337/dc11-0606</w:t>
            </w:r>
          </w:p>
        </w:tc>
      </w:tr>
      <w:tr w:rsidR="00341C6C" w:rsidRPr="00C11AAD" w:rsidTr="00D16C57">
        <w:tc>
          <w:tcPr>
            <w:tcW w:w="796" w:type="pct"/>
            <w:vAlign w:val="center"/>
          </w:tcPr>
          <w:p w:rsidR="00341C6C" w:rsidRPr="00C11AAD" w:rsidRDefault="00341C6C" w:rsidP="00D16C57">
            <w:pPr>
              <w:pStyle w:val="Tabletext"/>
            </w:pPr>
            <w:proofErr w:type="spellStart"/>
            <w:r w:rsidRPr="00C11AAD">
              <w:t>Rosenstock</w:t>
            </w:r>
            <w:proofErr w:type="spellEnd"/>
            <w:r w:rsidRPr="00C11AAD">
              <w:t xml:space="preserve"> 2015</w:t>
            </w:r>
          </w:p>
        </w:tc>
        <w:tc>
          <w:tcPr>
            <w:tcW w:w="3027" w:type="pct"/>
            <w:vAlign w:val="center"/>
          </w:tcPr>
          <w:p w:rsidR="00341C6C" w:rsidRPr="00C11AAD" w:rsidRDefault="00341C6C" w:rsidP="00D16C57">
            <w:pPr>
              <w:pStyle w:val="Tabletext"/>
              <w:rPr>
                <w:szCs w:val="18"/>
              </w:rPr>
            </w:pPr>
            <w:proofErr w:type="spellStart"/>
            <w:r w:rsidRPr="00C11AAD">
              <w:rPr>
                <w:szCs w:val="18"/>
              </w:rPr>
              <w:t>Rosenstock</w:t>
            </w:r>
            <w:proofErr w:type="spellEnd"/>
            <w:r w:rsidRPr="00C11AAD">
              <w:rPr>
                <w:szCs w:val="18"/>
              </w:rPr>
              <w:t xml:space="preserve"> J, Hansen L, Zee P, Li Y, Cook W, </w:t>
            </w:r>
            <w:proofErr w:type="spellStart"/>
            <w:r w:rsidRPr="00C11AAD">
              <w:rPr>
                <w:szCs w:val="18"/>
              </w:rPr>
              <w:t>Hirshberg</w:t>
            </w:r>
            <w:proofErr w:type="spellEnd"/>
            <w:r w:rsidRPr="00C11AAD">
              <w:rPr>
                <w:szCs w:val="18"/>
              </w:rPr>
              <w:t xml:space="preserve"> B &amp; Iqbal N. Dual add-on therapy in type 2 diabetes poorly controlled with metformin monotherapy: A Randomized double-blind trial of </w:t>
            </w:r>
            <w:proofErr w:type="spellStart"/>
            <w:r w:rsidRPr="00C11AAD">
              <w:rPr>
                <w:szCs w:val="18"/>
              </w:rPr>
              <w:t>saxagliptin</w:t>
            </w:r>
            <w:proofErr w:type="spellEnd"/>
            <w:r w:rsidRPr="00C11AAD">
              <w:rPr>
                <w:szCs w:val="18"/>
              </w:rPr>
              <w:t xml:space="preserve"> plus </w:t>
            </w:r>
            <w:proofErr w:type="spellStart"/>
            <w:r w:rsidRPr="00C11AAD">
              <w:rPr>
                <w:szCs w:val="18"/>
              </w:rPr>
              <w:t>dapagliflozin</w:t>
            </w:r>
            <w:proofErr w:type="spellEnd"/>
            <w:r w:rsidRPr="00C11AAD">
              <w:rPr>
                <w:szCs w:val="18"/>
              </w:rPr>
              <w:t xml:space="preserve"> addition versus single addition of </w:t>
            </w:r>
            <w:proofErr w:type="spellStart"/>
            <w:r w:rsidRPr="00C11AAD">
              <w:rPr>
                <w:szCs w:val="18"/>
              </w:rPr>
              <w:t>saxagliptin</w:t>
            </w:r>
            <w:proofErr w:type="spellEnd"/>
            <w:r w:rsidRPr="00C11AAD">
              <w:rPr>
                <w:szCs w:val="18"/>
              </w:rPr>
              <w:t xml:space="preserve"> or </w:t>
            </w:r>
            <w:proofErr w:type="spellStart"/>
            <w:r w:rsidRPr="00C11AAD">
              <w:rPr>
                <w:szCs w:val="18"/>
              </w:rPr>
              <w:t>dapagliflozin</w:t>
            </w:r>
            <w:proofErr w:type="spellEnd"/>
            <w:r w:rsidRPr="00C11AAD">
              <w:rPr>
                <w:szCs w:val="18"/>
              </w:rPr>
              <w:t xml:space="preserve"> to metformin. NCT01606007</w:t>
            </w:r>
          </w:p>
        </w:tc>
        <w:tc>
          <w:tcPr>
            <w:tcW w:w="1177" w:type="pct"/>
            <w:vAlign w:val="center"/>
          </w:tcPr>
          <w:p w:rsidR="00341C6C" w:rsidRPr="00C11AAD" w:rsidRDefault="00341C6C" w:rsidP="00D16C57">
            <w:pPr>
              <w:pStyle w:val="Tabletext"/>
            </w:pPr>
            <w:r w:rsidRPr="00C11AAD">
              <w:rPr>
                <w:szCs w:val="18"/>
              </w:rPr>
              <w:t>Diabetes Care 2015, 38(3): 376-383. 10.2337/dc14-1142</w:t>
            </w:r>
          </w:p>
        </w:tc>
      </w:tr>
      <w:tr w:rsidR="00341C6C" w:rsidRPr="00C11AAD" w:rsidTr="00D16C57">
        <w:tc>
          <w:tcPr>
            <w:tcW w:w="796" w:type="pct"/>
            <w:vAlign w:val="center"/>
          </w:tcPr>
          <w:p w:rsidR="00341C6C" w:rsidRPr="00C11AAD" w:rsidRDefault="00341C6C" w:rsidP="00D16C57">
            <w:pPr>
              <w:pStyle w:val="Tabletext"/>
            </w:pPr>
            <w:r w:rsidRPr="00C11AAD">
              <w:t>Yang 2016</w:t>
            </w:r>
          </w:p>
        </w:tc>
        <w:tc>
          <w:tcPr>
            <w:tcW w:w="3027" w:type="pct"/>
            <w:vAlign w:val="center"/>
          </w:tcPr>
          <w:p w:rsidR="00341C6C" w:rsidRPr="00C11AAD" w:rsidRDefault="00341C6C" w:rsidP="00D16C57">
            <w:pPr>
              <w:pStyle w:val="Tabletext"/>
              <w:rPr>
                <w:szCs w:val="18"/>
              </w:rPr>
            </w:pPr>
            <w:r w:rsidRPr="00C11AAD">
              <w:rPr>
                <w:szCs w:val="18"/>
              </w:rPr>
              <w:t xml:space="preserve">Yang W, Han P, Min KW, Wang B, Mansfield T, </w:t>
            </w:r>
            <w:proofErr w:type="spellStart"/>
            <w:r w:rsidRPr="00C11AAD">
              <w:rPr>
                <w:szCs w:val="18"/>
              </w:rPr>
              <w:t>T'Joen</w:t>
            </w:r>
            <w:proofErr w:type="spellEnd"/>
            <w:r w:rsidRPr="00C11AAD">
              <w:rPr>
                <w:szCs w:val="18"/>
              </w:rPr>
              <w:t xml:space="preserve"> C, Iqbal N, </w:t>
            </w:r>
            <w:proofErr w:type="spellStart"/>
            <w:r w:rsidRPr="00C11AAD">
              <w:rPr>
                <w:szCs w:val="18"/>
              </w:rPr>
              <w:t>Johnsson</w:t>
            </w:r>
            <w:proofErr w:type="spellEnd"/>
            <w:r w:rsidRPr="00C11AAD">
              <w:rPr>
                <w:szCs w:val="18"/>
              </w:rPr>
              <w:t xml:space="preserve"> E &amp; </w:t>
            </w:r>
            <w:proofErr w:type="spellStart"/>
            <w:r w:rsidRPr="00C11AAD">
              <w:rPr>
                <w:szCs w:val="18"/>
              </w:rPr>
              <w:t>Ptaszynska</w:t>
            </w:r>
            <w:proofErr w:type="spellEnd"/>
            <w:r w:rsidRPr="00C11AAD">
              <w:rPr>
                <w:szCs w:val="18"/>
              </w:rPr>
              <w:t xml:space="preserve"> A. Efficacy and safety of </w:t>
            </w:r>
            <w:proofErr w:type="spellStart"/>
            <w:r w:rsidRPr="00C11AAD">
              <w:rPr>
                <w:szCs w:val="18"/>
              </w:rPr>
              <w:t>dapagliflozin</w:t>
            </w:r>
            <w:proofErr w:type="spellEnd"/>
            <w:r w:rsidRPr="00C11AAD">
              <w:rPr>
                <w:szCs w:val="18"/>
              </w:rPr>
              <w:t xml:space="preserve"> in Asian patients with type 2 diabetes after metformin failure: A randomized controlled trial. NCT01095666</w:t>
            </w:r>
          </w:p>
        </w:tc>
        <w:tc>
          <w:tcPr>
            <w:tcW w:w="1177" w:type="pct"/>
            <w:vAlign w:val="center"/>
          </w:tcPr>
          <w:p w:rsidR="00341C6C" w:rsidRPr="00C11AAD" w:rsidRDefault="00341C6C" w:rsidP="00D16C57">
            <w:pPr>
              <w:pStyle w:val="Tabletext"/>
            </w:pPr>
            <w:r w:rsidRPr="00C11AAD">
              <w:rPr>
                <w:szCs w:val="18"/>
              </w:rPr>
              <w:t>Journal of Diabetes 2016, 8(6): 796-808. 10.1111/1753-0407.12357</w:t>
            </w:r>
          </w:p>
        </w:tc>
      </w:tr>
      <w:tr w:rsidR="00341C6C" w:rsidRPr="00C11AAD" w:rsidTr="00D16C57">
        <w:tc>
          <w:tcPr>
            <w:tcW w:w="5000" w:type="pct"/>
            <w:gridSpan w:val="3"/>
            <w:vAlign w:val="center"/>
          </w:tcPr>
          <w:p w:rsidR="00341C6C" w:rsidRPr="00C11AAD" w:rsidRDefault="00341C6C" w:rsidP="00D16C57">
            <w:pPr>
              <w:pStyle w:val="Tabletext"/>
              <w:rPr>
                <w:b/>
              </w:rPr>
            </w:pPr>
            <w:proofErr w:type="spellStart"/>
            <w:r w:rsidRPr="00C11AAD">
              <w:rPr>
                <w:b/>
              </w:rPr>
              <w:lastRenderedPageBreak/>
              <w:t>Empagliflozin</w:t>
            </w:r>
            <w:proofErr w:type="spellEnd"/>
            <w:r w:rsidRPr="00C11AAD">
              <w:rPr>
                <w:b/>
              </w:rPr>
              <w:t xml:space="preserve"> trials</w:t>
            </w:r>
          </w:p>
        </w:tc>
      </w:tr>
      <w:tr w:rsidR="00341C6C" w:rsidRPr="00C11AAD" w:rsidTr="00D16C57">
        <w:tc>
          <w:tcPr>
            <w:tcW w:w="796" w:type="pct"/>
            <w:vAlign w:val="center"/>
          </w:tcPr>
          <w:p w:rsidR="00341C6C" w:rsidRPr="00C11AAD" w:rsidRDefault="00341C6C" w:rsidP="00D16C57">
            <w:pPr>
              <w:pStyle w:val="Tabletext"/>
            </w:pPr>
            <w:r w:rsidRPr="00C11AAD">
              <w:t>1245.10</w:t>
            </w:r>
          </w:p>
        </w:tc>
        <w:tc>
          <w:tcPr>
            <w:tcW w:w="3027" w:type="pct"/>
            <w:vAlign w:val="center"/>
          </w:tcPr>
          <w:p w:rsidR="00341C6C" w:rsidRPr="00C11AAD" w:rsidRDefault="00341C6C" w:rsidP="00D16C57">
            <w:pPr>
              <w:pStyle w:val="Tabletext"/>
              <w:rPr>
                <w:szCs w:val="18"/>
              </w:rPr>
            </w:pPr>
            <w:proofErr w:type="spellStart"/>
            <w:r w:rsidRPr="00C11AAD">
              <w:t>Rosenstock</w:t>
            </w:r>
            <w:proofErr w:type="spellEnd"/>
            <w:r w:rsidRPr="00C11AAD">
              <w:t xml:space="preserve"> J, </w:t>
            </w:r>
            <w:proofErr w:type="spellStart"/>
            <w:r w:rsidRPr="00C11AAD">
              <w:t>Seman</w:t>
            </w:r>
            <w:proofErr w:type="spellEnd"/>
            <w:r w:rsidRPr="00C11AAD">
              <w:t xml:space="preserve"> LJ, </w:t>
            </w:r>
            <w:proofErr w:type="spellStart"/>
            <w:r w:rsidRPr="00C11AAD">
              <w:t>Jelaska</w:t>
            </w:r>
            <w:proofErr w:type="spellEnd"/>
            <w:r w:rsidRPr="00C11AAD">
              <w:t xml:space="preserve"> A, </w:t>
            </w:r>
            <w:proofErr w:type="spellStart"/>
            <w:r w:rsidRPr="00C11AAD">
              <w:t>Hantel</w:t>
            </w:r>
            <w:proofErr w:type="spellEnd"/>
            <w:r w:rsidRPr="00C11AAD">
              <w:t xml:space="preserve"> S, </w:t>
            </w:r>
            <w:proofErr w:type="spellStart"/>
            <w:r w:rsidRPr="00C11AAD">
              <w:t>Pinnetti</w:t>
            </w:r>
            <w:proofErr w:type="spellEnd"/>
            <w:r w:rsidRPr="00C11AAD">
              <w:t xml:space="preserve"> S, </w:t>
            </w:r>
            <w:proofErr w:type="spellStart"/>
            <w:r w:rsidRPr="00C11AAD">
              <w:t>Hach</w:t>
            </w:r>
            <w:proofErr w:type="spellEnd"/>
            <w:r w:rsidRPr="00C11AAD">
              <w:t xml:space="preserve"> T &amp; </w:t>
            </w:r>
            <w:proofErr w:type="spellStart"/>
            <w:r w:rsidRPr="00C11AAD">
              <w:t>Woerle</w:t>
            </w:r>
            <w:proofErr w:type="spellEnd"/>
            <w:r w:rsidRPr="00C11AAD">
              <w:t xml:space="preserve"> HJ. Efficacy and safety of </w:t>
            </w:r>
            <w:proofErr w:type="spellStart"/>
            <w:r w:rsidRPr="00C11AAD">
              <w:t>empagliflozin</w:t>
            </w:r>
            <w:proofErr w:type="spellEnd"/>
            <w:r w:rsidRPr="00C11AAD">
              <w:t xml:space="preserve">, a sodium glucose cotransporter </w:t>
            </w:r>
            <w:proofErr w:type="gramStart"/>
            <w:r w:rsidRPr="00C11AAD">
              <w:t>2 (SGLT2) inhibitor, as add-on to metformin in type 2 diabetes with mild hyperglycaemia</w:t>
            </w:r>
            <w:proofErr w:type="gramEnd"/>
            <w:r w:rsidRPr="00C11AAD">
              <w:t xml:space="preserve">. </w:t>
            </w:r>
            <w:r w:rsidRPr="00C11AAD">
              <w:rPr>
                <w:szCs w:val="18"/>
              </w:rPr>
              <w:t>NCT00749190</w:t>
            </w:r>
          </w:p>
        </w:tc>
        <w:tc>
          <w:tcPr>
            <w:tcW w:w="1177" w:type="pct"/>
            <w:vAlign w:val="center"/>
          </w:tcPr>
          <w:p w:rsidR="00341C6C" w:rsidRPr="00C11AAD" w:rsidRDefault="00341C6C" w:rsidP="00D16C57">
            <w:pPr>
              <w:pStyle w:val="Tabletext"/>
            </w:pPr>
            <w:r w:rsidRPr="00C11AAD">
              <w:t xml:space="preserve">Diabetes </w:t>
            </w:r>
            <w:proofErr w:type="spellStart"/>
            <w:r w:rsidRPr="00C11AAD">
              <w:t>Obes</w:t>
            </w:r>
            <w:proofErr w:type="spellEnd"/>
            <w:r w:rsidRPr="00C11AAD">
              <w:t xml:space="preserve"> </w:t>
            </w:r>
            <w:proofErr w:type="spellStart"/>
            <w:r w:rsidRPr="00C11AAD">
              <w:t>Metab</w:t>
            </w:r>
            <w:proofErr w:type="spellEnd"/>
            <w:r w:rsidRPr="00C11AAD">
              <w:t xml:space="preserve"> 2013, 15(12): 1154-1160. 10.1111/dom.12185</w:t>
            </w:r>
          </w:p>
        </w:tc>
      </w:tr>
      <w:tr w:rsidR="00341C6C" w:rsidRPr="00C11AAD" w:rsidTr="00D16C57">
        <w:tc>
          <w:tcPr>
            <w:tcW w:w="796" w:type="pct"/>
            <w:vAlign w:val="center"/>
          </w:tcPr>
          <w:p w:rsidR="00341C6C" w:rsidRPr="00C11AAD" w:rsidRDefault="00341C6C" w:rsidP="00D16C57">
            <w:pPr>
              <w:pStyle w:val="Tabletext"/>
            </w:pPr>
            <w:r w:rsidRPr="00C11AAD">
              <w:t>1245.24</w:t>
            </w:r>
          </w:p>
        </w:tc>
        <w:tc>
          <w:tcPr>
            <w:tcW w:w="3027" w:type="pct"/>
            <w:vAlign w:val="center"/>
          </w:tcPr>
          <w:p w:rsidR="00341C6C" w:rsidRPr="00C11AAD" w:rsidRDefault="00341C6C" w:rsidP="00D16C57">
            <w:pPr>
              <w:pStyle w:val="Tabletext"/>
              <w:rPr>
                <w:szCs w:val="18"/>
              </w:rPr>
            </w:pPr>
            <w:proofErr w:type="spellStart"/>
            <w:r w:rsidRPr="00C11AAD">
              <w:t>Ferrannini</w:t>
            </w:r>
            <w:proofErr w:type="spellEnd"/>
            <w:r w:rsidRPr="00C11AAD">
              <w:t xml:space="preserve"> E, Berk A, </w:t>
            </w:r>
            <w:proofErr w:type="spellStart"/>
            <w:r w:rsidRPr="00C11AAD">
              <w:t>Hantel</w:t>
            </w:r>
            <w:proofErr w:type="spellEnd"/>
            <w:r w:rsidRPr="00C11AAD">
              <w:t xml:space="preserve"> S, </w:t>
            </w:r>
            <w:proofErr w:type="spellStart"/>
            <w:r w:rsidRPr="00C11AAD">
              <w:t>Pinnetti</w:t>
            </w:r>
            <w:proofErr w:type="spellEnd"/>
            <w:r w:rsidRPr="00C11AAD">
              <w:t xml:space="preserve"> S, </w:t>
            </w:r>
            <w:proofErr w:type="spellStart"/>
            <w:r w:rsidRPr="00C11AAD">
              <w:t>Hach</w:t>
            </w:r>
            <w:proofErr w:type="spellEnd"/>
            <w:r w:rsidRPr="00C11AAD">
              <w:t xml:space="preserve"> T, </w:t>
            </w:r>
            <w:proofErr w:type="spellStart"/>
            <w:r w:rsidRPr="00C11AAD">
              <w:t>Woerle</w:t>
            </w:r>
            <w:proofErr w:type="spellEnd"/>
            <w:r w:rsidRPr="00C11AAD">
              <w:t xml:space="preserve"> HJ &amp; </w:t>
            </w:r>
            <w:proofErr w:type="spellStart"/>
            <w:r w:rsidRPr="00C11AAD">
              <w:t>Broedl</w:t>
            </w:r>
            <w:proofErr w:type="spellEnd"/>
            <w:r w:rsidRPr="00C11AAD">
              <w:t xml:space="preserve"> UC. Long-term safety and efficacy of </w:t>
            </w:r>
            <w:proofErr w:type="spellStart"/>
            <w:r w:rsidRPr="00C11AAD">
              <w:t>empagliflozin</w:t>
            </w:r>
            <w:proofErr w:type="spellEnd"/>
            <w:r w:rsidRPr="00C11AAD">
              <w:t xml:space="preserve">, </w:t>
            </w:r>
            <w:proofErr w:type="spellStart"/>
            <w:r w:rsidRPr="00C11AAD">
              <w:t>sitagliptin</w:t>
            </w:r>
            <w:proofErr w:type="spellEnd"/>
            <w:r w:rsidRPr="00C11AAD">
              <w:t xml:space="preserve">, and metformin: An active-controlled, parallel-group, randomized, 78-week open-label extension study in patients with type 2 diabetes. </w:t>
            </w:r>
            <w:r w:rsidRPr="00C11AAD">
              <w:rPr>
                <w:szCs w:val="18"/>
              </w:rPr>
              <w:t>NCT00881530</w:t>
            </w:r>
          </w:p>
        </w:tc>
        <w:tc>
          <w:tcPr>
            <w:tcW w:w="1177" w:type="pct"/>
            <w:vAlign w:val="center"/>
          </w:tcPr>
          <w:p w:rsidR="00341C6C" w:rsidRPr="00C11AAD" w:rsidRDefault="00341C6C" w:rsidP="00D16C57">
            <w:pPr>
              <w:pStyle w:val="Tabletext"/>
            </w:pPr>
            <w:r w:rsidRPr="00C11AAD">
              <w:t>Diabetes Care 2013, 36(12): 4015-4021. 10.2337/dc13-0663</w:t>
            </w:r>
          </w:p>
        </w:tc>
      </w:tr>
      <w:tr w:rsidR="00341C6C" w:rsidRPr="00C11AAD" w:rsidTr="00D16C57">
        <w:tc>
          <w:tcPr>
            <w:tcW w:w="796" w:type="pct"/>
            <w:vAlign w:val="center"/>
          </w:tcPr>
          <w:p w:rsidR="00341C6C" w:rsidRPr="00C11AAD" w:rsidRDefault="00341C6C" w:rsidP="00D16C57">
            <w:pPr>
              <w:pStyle w:val="Tabletext"/>
            </w:pPr>
            <w:r w:rsidRPr="00C11AAD">
              <w:t>1245.23</w:t>
            </w:r>
          </w:p>
        </w:tc>
        <w:tc>
          <w:tcPr>
            <w:tcW w:w="3027" w:type="pct"/>
            <w:vAlign w:val="center"/>
          </w:tcPr>
          <w:p w:rsidR="00341C6C" w:rsidRPr="00C11AAD" w:rsidRDefault="00341C6C" w:rsidP="008B5A10">
            <w:pPr>
              <w:pStyle w:val="Tabletext"/>
              <w:rPr>
                <w:szCs w:val="18"/>
              </w:rPr>
            </w:pPr>
            <w:proofErr w:type="spellStart"/>
            <w:r w:rsidRPr="00C11AAD">
              <w:t>Häring</w:t>
            </w:r>
            <w:proofErr w:type="spellEnd"/>
            <w:r w:rsidRPr="00C11AAD">
              <w:t xml:space="preserve"> HU, </w:t>
            </w:r>
            <w:proofErr w:type="spellStart"/>
            <w:r w:rsidRPr="00C11AAD">
              <w:t>Merker</w:t>
            </w:r>
            <w:proofErr w:type="spellEnd"/>
            <w:r w:rsidRPr="00C11AAD">
              <w:t xml:space="preserve"> L, </w:t>
            </w:r>
            <w:proofErr w:type="spellStart"/>
            <w:r w:rsidRPr="00C11AAD">
              <w:t>Seewaldt</w:t>
            </w:r>
            <w:proofErr w:type="spellEnd"/>
            <w:r w:rsidRPr="00C11AAD">
              <w:t xml:space="preserve">-Becker E, Weimer M, </w:t>
            </w:r>
            <w:proofErr w:type="spellStart"/>
            <w:r w:rsidRPr="00C11AAD">
              <w:t>Meinicke</w:t>
            </w:r>
            <w:proofErr w:type="spellEnd"/>
            <w:r w:rsidRPr="00C11AAD">
              <w:t xml:space="preserve"> T, </w:t>
            </w:r>
            <w:proofErr w:type="spellStart"/>
            <w:r w:rsidRPr="00C11AAD">
              <w:t>Broedl</w:t>
            </w:r>
            <w:proofErr w:type="spellEnd"/>
            <w:r w:rsidRPr="00C11AAD">
              <w:t xml:space="preserve"> UC &amp; </w:t>
            </w:r>
            <w:proofErr w:type="spellStart"/>
            <w:r w:rsidRPr="00C11AAD">
              <w:t>Woerle</w:t>
            </w:r>
            <w:proofErr w:type="spellEnd"/>
            <w:r w:rsidRPr="00C11AAD">
              <w:t xml:space="preserve"> HJ. </w:t>
            </w:r>
            <w:proofErr w:type="spellStart"/>
            <w:r w:rsidRPr="00C11AAD">
              <w:t>Empagliflozin</w:t>
            </w:r>
            <w:proofErr w:type="spellEnd"/>
            <w:r w:rsidRPr="00C11AAD">
              <w:t xml:space="preserve"> as add-on to metformin in patients with type 2 diabetes: A 24-week, randomized, double-blind, placebo-controlled trial. NCT01159600</w:t>
            </w:r>
          </w:p>
        </w:tc>
        <w:tc>
          <w:tcPr>
            <w:tcW w:w="1177" w:type="pct"/>
            <w:vAlign w:val="center"/>
          </w:tcPr>
          <w:p w:rsidR="00341C6C" w:rsidRPr="00C11AAD" w:rsidRDefault="00341C6C" w:rsidP="00D16C57">
            <w:pPr>
              <w:pStyle w:val="Tabletext"/>
            </w:pPr>
            <w:r w:rsidRPr="00C11AAD">
              <w:t>Diabetes Care 2014, 37(6): 1650-1659. 10.2337/dc13-2105</w:t>
            </w:r>
          </w:p>
        </w:tc>
      </w:tr>
      <w:tr w:rsidR="00341C6C" w:rsidRPr="00C11AAD" w:rsidTr="00D16C57">
        <w:tc>
          <w:tcPr>
            <w:tcW w:w="796" w:type="pct"/>
            <w:vAlign w:val="center"/>
          </w:tcPr>
          <w:p w:rsidR="00341C6C" w:rsidRPr="00C11AAD" w:rsidRDefault="00341C6C" w:rsidP="00D16C57">
            <w:pPr>
              <w:pStyle w:val="Tabletext"/>
            </w:pPr>
            <w:r w:rsidRPr="00C11AAD">
              <w:t>1245.31</w:t>
            </w:r>
          </w:p>
        </w:tc>
        <w:tc>
          <w:tcPr>
            <w:tcW w:w="3027" w:type="pct"/>
            <w:vAlign w:val="center"/>
          </w:tcPr>
          <w:p w:rsidR="00341C6C" w:rsidRPr="00C11AAD" w:rsidRDefault="00341C6C" w:rsidP="00D16C57">
            <w:pPr>
              <w:pStyle w:val="Tabletext"/>
              <w:rPr>
                <w:szCs w:val="18"/>
              </w:rPr>
            </w:pPr>
            <w:proofErr w:type="spellStart"/>
            <w:r w:rsidRPr="00C11AAD">
              <w:t>Merker</w:t>
            </w:r>
            <w:proofErr w:type="spellEnd"/>
            <w:r w:rsidRPr="00C11AAD">
              <w:t xml:space="preserve"> L, </w:t>
            </w:r>
            <w:proofErr w:type="spellStart"/>
            <w:r w:rsidRPr="00C11AAD">
              <w:t>Häring</w:t>
            </w:r>
            <w:proofErr w:type="spellEnd"/>
            <w:r w:rsidRPr="00C11AAD">
              <w:t xml:space="preserve"> HU, Christiansen AV, Roux F, </w:t>
            </w:r>
            <w:proofErr w:type="spellStart"/>
            <w:r w:rsidRPr="00C11AAD">
              <w:t>Salsali</w:t>
            </w:r>
            <w:proofErr w:type="spellEnd"/>
            <w:r w:rsidRPr="00C11AAD">
              <w:t xml:space="preserve"> A, Kim G, </w:t>
            </w:r>
            <w:proofErr w:type="spellStart"/>
            <w:r w:rsidRPr="00C11AAD">
              <w:t>Meinicke</w:t>
            </w:r>
            <w:proofErr w:type="spellEnd"/>
            <w:r w:rsidRPr="00C11AAD">
              <w:t xml:space="preserve"> T, </w:t>
            </w:r>
            <w:proofErr w:type="spellStart"/>
            <w:r w:rsidRPr="00C11AAD">
              <w:t>Woerle</w:t>
            </w:r>
            <w:proofErr w:type="spellEnd"/>
            <w:r w:rsidRPr="00C11AAD">
              <w:t xml:space="preserve"> HJ &amp; </w:t>
            </w:r>
            <w:proofErr w:type="spellStart"/>
            <w:r w:rsidRPr="00C11AAD">
              <w:t>Broedl</w:t>
            </w:r>
            <w:proofErr w:type="spellEnd"/>
            <w:r w:rsidRPr="00C11AAD">
              <w:t xml:space="preserve"> UC. </w:t>
            </w:r>
            <w:proofErr w:type="spellStart"/>
            <w:r w:rsidRPr="00C11AAD">
              <w:t>Empagliflozin</w:t>
            </w:r>
            <w:proofErr w:type="spellEnd"/>
            <w:r w:rsidRPr="00C11AAD">
              <w:t xml:space="preserve"> as add-on to metformin in people with Type 2 diabetes. </w:t>
            </w:r>
            <w:r w:rsidRPr="00C11AAD">
              <w:rPr>
                <w:szCs w:val="18"/>
              </w:rPr>
              <w:t>NCT01289990</w:t>
            </w:r>
          </w:p>
        </w:tc>
        <w:tc>
          <w:tcPr>
            <w:tcW w:w="1177" w:type="pct"/>
            <w:vAlign w:val="center"/>
          </w:tcPr>
          <w:p w:rsidR="00341C6C" w:rsidRPr="00C11AAD" w:rsidRDefault="00341C6C" w:rsidP="00D16C57">
            <w:pPr>
              <w:pStyle w:val="Tabletext"/>
            </w:pPr>
            <w:r w:rsidRPr="00C11AAD">
              <w:t>Diabetic Medicine 2015, 32(12): 1555-1567. 10.1111/dme.12814</w:t>
            </w:r>
          </w:p>
        </w:tc>
      </w:tr>
      <w:tr w:rsidR="00341C6C" w:rsidRPr="00C11AAD" w:rsidTr="00D16C57">
        <w:tc>
          <w:tcPr>
            <w:tcW w:w="796" w:type="pct"/>
            <w:vAlign w:val="center"/>
          </w:tcPr>
          <w:p w:rsidR="00341C6C" w:rsidRPr="00C11AAD" w:rsidRDefault="00341C6C" w:rsidP="00D16C57">
            <w:pPr>
              <w:pStyle w:val="Tabletext"/>
            </w:pPr>
            <w:r w:rsidRPr="00C11AAD">
              <w:t>1245.28</w:t>
            </w:r>
          </w:p>
        </w:tc>
        <w:tc>
          <w:tcPr>
            <w:tcW w:w="3027" w:type="pct"/>
            <w:vAlign w:val="center"/>
          </w:tcPr>
          <w:p w:rsidR="00341C6C" w:rsidRPr="00C11AAD" w:rsidRDefault="00341C6C" w:rsidP="00D16C57">
            <w:pPr>
              <w:pStyle w:val="Tabletext"/>
              <w:rPr>
                <w:szCs w:val="18"/>
              </w:rPr>
            </w:pPr>
            <w:proofErr w:type="spellStart"/>
            <w:r w:rsidRPr="00C11AAD">
              <w:rPr>
                <w:szCs w:val="18"/>
              </w:rPr>
              <w:t>Ridderstråle</w:t>
            </w:r>
            <w:proofErr w:type="spellEnd"/>
            <w:r w:rsidRPr="00C11AAD">
              <w:rPr>
                <w:szCs w:val="18"/>
              </w:rPr>
              <w:t xml:space="preserve"> M, Andersen KR, Zeller C, Kim G, </w:t>
            </w:r>
            <w:proofErr w:type="spellStart"/>
            <w:r w:rsidRPr="00C11AAD">
              <w:rPr>
                <w:szCs w:val="18"/>
              </w:rPr>
              <w:t>Woerle</w:t>
            </w:r>
            <w:proofErr w:type="spellEnd"/>
            <w:r w:rsidRPr="00C11AAD">
              <w:rPr>
                <w:szCs w:val="18"/>
              </w:rPr>
              <w:t xml:space="preserve"> HJ &amp; </w:t>
            </w:r>
            <w:proofErr w:type="spellStart"/>
            <w:r w:rsidRPr="00C11AAD">
              <w:rPr>
                <w:szCs w:val="18"/>
              </w:rPr>
              <w:t>Broedl</w:t>
            </w:r>
            <w:proofErr w:type="spellEnd"/>
            <w:r w:rsidRPr="00C11AAD">
              <w:rPr>
                <w:szCs w:val="18"/>
              </w:rPr>
              <w:t xml:space="preserve"> UC. Comparison of </w:t>
            </w:r>
            <w:proofErr w:type="spellStart"/>
            <w:r w:rsidRPr="00C11AAD">
              <w:rPr>
                <w:szCs w:val="18"/>
              </w:rPr>
              <w:t>empagliflozin</w:t>
            </w:r>
            <w:proofErr w:type="spellEnd"/>
            <w:r w:rsidRPr="00C11AAD">
              <w:rPr>
                <w:szCs w:val="18"/>
              </w:rPr>
              <w:t xml:space="preserve"> and glimepiride as add-on to metformin in patients with type 2 diabetes: A 104-week randomised, active-controlled, double-blind, phase 3 trial. NCT01167881</w:t>
            </w:r>
          </w:p>
        </w:tc>
        <w:tc>
          <w:tcPr>
            <w:tcW w:w="1177" w:type="pct"/>
            <w:vAlign w:val="center"/>
          </w:tcPr>
          <w:p w:rsidR="00341C6C" w:rsidRPr="00C11AAD" w:rsidRDefault="00341C6C" w:rsidP="00D16C57">
            <w:pPr>
              <w:pStyle w:val="Tabletext"/>
            </w:pPr>
            <w:r w:rsidRPr="00C11AAD">
              <w:rPr>
                <w:szCs w:val="18"/>
              </w:rPr>
              <w:t>The Lancet Diabetes and Endocrinology 2014, 2(9): 691-700. 10.1016/S2213-8587(14)70120-2</w:t>
            </w:r>
          </w:p>
        </w:tc>
      </w:tr>
      <w:tr w:rsidR="00341C6C" w:rsidRPr="00C11AAD" w:rsidTr="00D16C57">
        <w:tc>
          <w:tcPr>
            <w:tcW w:w="796" w:type="pct"/>
            <w:vAlign w:val="center"/>
          </w:tcPr>
          <w:p w:rsidR="00341C6C" w:rsidRPr="00C11AAD" w:rsidRDefault="00341C6C" w:rsidP="00D16C57">
            <w:pPr>
              <w:pStyle w:val="Tabletext"/>
            </w:pPr>
            <w:r w:rsidRPr="00C11AAD">
              <w:t>1275.1</w:t>
            </w:r>
          </w:p>
        </w:tc>
        <w:tc>
          <w:tcPr>
            <w:tcW w:w="3027" w:type="pct"/>
            <w:vAlign w:val="center"/>
          </w:tcPr>
          <w:p w:rsidR="00341C6C" w:rsidRPr="00C11AAD" w:rsidRDefault="00341C6C" w:rsidP="00D16C57">
            <w:pPr>
              <w:pStyle w:val="Tabletext"/>
              <w:rPr>
                <w:szCs w:val="18"/>
              </w:rPr>
            </w:pPr>
            <w:proofErr w:type="spellStart"/>
            <w:r w:rsidRPr="00C11AAD">
              <w:rPr>
                <w:szCs w:val="18"/>
              </w:rPr>
              <w:t>DeFronzo</w:t>
            </w:r>
            <w:proofErr w:type="spellEnd"/>
            <w:r w:rsidRPr="00C11AAD">
              <w:rPr>
                <w:szCs w:val="18"/>
              </w:rPr>
              <w:t xml:space="preserve"> RA, Lewin A, Patel S, Liu D, </w:t>
            </w:r>
            <w:proofErr w:type="spellStart"/>
            <w:r w:rsidRPr="00C11AAD">
              <w:rPr>
                <w:szCs w:val="18"/>
              </w:rPr>
              <w:t>Kaste</w:t>
            </w:r>
            <w:proofErr w:type="spellEnd"/>
            <w:r w:rsidRPr="00C11AAD">
              <w:rPr>
                <w:szCs w:val="18"/>
              </w:rPr>
              <w:t xml:space="preserve"> R, </w:t>
            </w:r>
            <w:proofErr w:type="spellStart"/>
            <w:r w:rsidRPr="00C11AAD">
              <w:rPr>
                <w:szCs w:val="18"/>
              </w:rPr>
              <w:t>Woerle</w:t>
            </w:r>
            <w:proofErr w:type="spellEnd"/>
            <w:r w:rsidRPr="00C11AAD">
              <w:rPr>
                <w:szCs w:val="18"/>
              </w:rPr>
              <w:t xml:space="preserve"> HJ &amp; </w:t>
            </w:r>
            <w:proofErr w:type="spellStart"/>
            <w:r w:rsidRPr="00C11AAD">
              <w:rPr>
                <w:szCs w:val="18"/>
              </w:rPr>
              <w:t>Broedl</w:t>
            </w:r>
            <w:proofErr w:type="spellEnd"/>
            <w:r w:rsidRPr="00C11AAD">
              <w:rPr>
                <w:szCs w:val="18"/>
              </w:rPr>
              <w:t xml:space="preserve"> UC. Combination of </w:t>
            </w:r>
            <w:proofErr w:type="spellStart"/>
            <w:r w:rsidRPr="00C11AAD">
              <w:rPr>
                <w:szCs w:val="18"/>
              </w:rPr>
              <w:t>empagliflozin</w:t>
            </w:r>
            <w:proofErr w:type="spellEnd"/>
            <w:r w:rsidRPr="00C11AAD">
              <w:rPr>
                <w:szCs w:val="18"/>
              </w:rPr>
              <w:t xml:space="preserve"> and </w:t>
            </w:r>
            <w:proofErr w:type="spellStart"/>
            <w:r w:rsidRPr="00C11AAD">
              <w:rPr>
                <w:szCs w:val="18"/>
              </w:rPr>
              <w:t>linagliptin</w:t>
            </w:r>
            <w:proofErr w:type="spellEnd"/>
            <w:r w:rsidRPr="00C11AAD">
              <w:rPr>
                <w:szCs w:val="18"/>
              </w:rPr>
              <w:t xml:space="preserve"> as second-line therapy in subjects with type 2 diabetes inadequately controlled on metformin. </w:t>
            </w:r>
          </w:p>
          <w:p w:rsidR="00341C6C" w:rsidRPr="00C11AAD" w:rsidRDefault="00341C6C" w:rsidP="00D16C57">
            <w:pPr>
              <w:pStyle w:val="Tabletext"/>
              <w:rPr>
                <w:szCs w:val="18"/>
              </w:rPr>
            </w:pPr>
            <w:r w:rsidRPr="00C11AAD">
              <w:rPr>
                <w:szCs w:val="18"/>
              </w:rPr>
              <w:t>NCT01422876</w:t>
            </w:r>
          </w:p>
        </w:tc>
        <w:tc>
          <w:tcPr>
            <w:tcW w:w="1177" w:type="pct"/>
            <w:vAlign w:val="center"/>
          </w:tcPr>
          <w:p w:rsidR="00341C6C" w:rsidRPr="00C11AAD" w:rsidRDefault="00341C6C" w:rsidP="00D16C57">
            <w:pPr>
              <w:pStyle w:val="Tabletext"/>
            </w:pPr>
            <w:r w:rsidRPr="00C11AAD">
              <w:rPr>
                <w:szCs w:val="18"/>
              </w:rPr>
              <w:t>Diabetes Care 2015, 38(3): 384-393. 10.2337/dc14-2364</w:t>
            </w:r>
          </w:p>
        </w:tc>
      </w:tr>
      <w:tr w:rsidR="00341C6C" w:rsidRPr="00C11AAD" w:rsidTr="00D16C57">
        <w:tc>
          <w:tcPr>
            <w:tcW w:w="796" w:type="pct"/>
            <w:vAlign w:val="center"/>
          </w:tcPr>
          <w:p w:rsidR="00341C6C" w:rsidRPr="00C11AAD" w:rsidRDefault="00341C6C" w:rsidP="00D16C57">
            <w:pPr>
              <w:pStyle w:val="Tabletext"/>
            </w:pPr>
            <w:r w:rsidRPr="00C11AAD">
              <w:t>1276.10</w:t>
            </w:r>
          </w:p>
        </w:tc>
        <w:tc>
          <w:tcPr>
            <w:tcW w:w="3027" w:type="pct"/>
            <w:vAlign w:val="center"/>
          </w:tcPr>
          <w:p w:rsidR="00341C6C" w:rsidRPr="00C11AAD" w:rsidRDefault="00341C6C" w:rsidP="00D16C57">
            <w:pPr>
              <w:pStyle w:val="Tabletext"/>
              <w:rPr>
                <w:szCs w:val="18"/>
              </w:rPr>
            </w:pPr>
            <w:r w:rsidRPr="00C11AAD">
              <w:rPr>
                <w:szCs w:val="18"/>
              </w:rPr>
              <w:t xml:space="preserve">Ross S, </w:t>
            </w:r>
            <w:proofErr w:type="spellStart"/>
            <w:r w:rsidRPr="00C11AAD">
              <w:rPr>
                <w:szCs w:val="18"/>
              </w:rPr>
              <w:t>Thamer</w:t>
            </w:r>
            <w:proofErr w:type="spellEnd"/>
            <w:r w:rsidRPr="00C11AAD">
              <w:rPr>
                <w:szCs w:val="18"/>
              </w:rPr>
              <w:t xml:space="preserve"> C, </w:t>
            </w:r>
            <w:proofErr w:type="spellStart"/>
            <w:r w:rsidRPr="00C11AAD">
              <w:rPr>
                <w:szCs w:val="18"/>
              </w:rPr>
              <w:t>Cescutti</w:t>
            </w:r>
            <w:proofErr w:type="spellEnd"/>
            <w:r w:rsidRPr="00C11AAD">
              <w:rPr>
                <w:szCs w:val="18"/>
              </w:rPr>
              <w:t xml:space="preserve"> J, </w:t>
            </w:r>
            <w:proofErr w:type="spellStart"/>
            <w:r w:rsidRPr="00C11AAD">
              <w:rPr>
                <w:szCs w:val="18"/>
              </w:rPr>
              <w:t>Meinicke</w:t>
            </w:r>
            <w:proofErr w:type="spellEnd"/>
            <w:r w:rsidRPr="00C11AAD">
              <w:rPr>
                <w:szCs w:val="18"/>
              </w:rPr>
              <w:t xml:space="preserve"> T, </w:t>
            </w:r>
            <w:proofErr w:type="spellStart"/>
            <w:r w:rsidRPr="00C11AAD">
              <w:rPr>
                <w:szCs w:val="18"/>
              </w:rPr>
              <w:t>Woerle</w:t>
            </w:r>
            <w:proofErr w:type="spellEnd"/>
            <w:r w:rsidRPr="00C11AAD">
              <w:rPr>
                <w:szCs w:val="18"/>
              </w:rPr>
              <w:t xml:space="preserve"> HJ &amp; </w:t>
            </w:r>
            <w:proofErr w:type="spellStart"/>
            <w:r w:rsidRPr="00C11AAD">
              <w:rPr>
                <w:szCs w:val="18"/>
              </w:rPr>
              <w:t>Broedl</w:t>
            </w:r>
            <w:proofErr w:type="spellEnd"/>
            <w:r w:rsidRPr="00C11AAD">
              <w:rPr>
                <w:szCs w:val="18"/>
              </w:rPr>
              <w:t xml:space="preserve"> UC. Efficacy and safety of </w:t>
            </w:r>
            <w:proofErr w:type="spellStart"/>
            <w:r w:rsidRPr="00C11AAD">
              <w:rPr>
                <w:szCs w:val="18"/>
              </w:rPr>
              <w:t>empagliflozin</w:t>
            </w:r>
            <w:proofErr w:type="spellEnd"/>
            <w:r w:rsidRPr="00C11AAD">
              <w:rPr>
                <w:szCs w:val="18"/>
              </w:rPr>
              <w:t xml:space="preserve"> twice daily versus once daily in patients with type 2 diabetes inadequately controlled on metformin: A 16-week, randomized, placebo-controlled trial. NCT01649297</w:t>
            </w:r>
          </w:p>
        </w:tc>
        <w:tc>
          <w:tcPr>
            <w:tcW w:w="1177" w:type="pct"/>
            <w:vAlign w:val="center"/>
          </w:tcPr>
          <w:p w:rsidR="00341C6C" w:rsidRPr="00C11AAD" w:rsidRDefault="00341C6C" w:rsidP="00D16C57">
            <w:pPr>
              <w:pStyle w:val="Tabletext"/>
            </w:pPr>
            <w:r w:rsidRPr="00C11AAD">
              <w:rPr>
                <w:szCs w:val="18"/>
              </w:rPr>
              <w:t xml:space="preserve">Diabetes </w:t>
            </w:r>
            <w:proofErr w:type="spellStart"/>
            <w:r w:rsidRPr="00C11AAD">
              <w:rPr>
                <w:szCs w:val="18"/>
              </w:rPr>
              <w:t>Obes</w:t>
            </w:r>
            <w:proofErr w:type="spellEnd"/>
            <w:r w:rsidRPr="00C11AAD">
              <w:rPr>
                <w:szCs w:val="18"/>
              </w:rPr>
              <w:t xml:space="preserve"> </w:t>
            </w:r>
            <w:proofErr w:type="spellStart"/>
            <w:r w:rsidRPr="00C11AAD">
              <w:rPr>
                <w:szCs w:val="18"/>
              </w:rPr>
              <w:t>Metab</w:t>
            </w:r>
            <w:proofErr w:type="spellEnd"/>
            <w:r w:rsidRPr="00C11AAD">
              <w:rPr>
                <w:szCs w:val="18"/>
              </w:rPr>
              <w:t xml:space="preserve"> 2015, 17(7): 699-702. 10.1111/dom.12469</w:t>
            </w:r>
          </w:p>
        </w:tc>
      </w:tr>
      <w:tr w:rsidR="00341C6C" w:rsidRPr="00C11AAD" w:rsidTr="00D16C57">
        <w:tc>
          <w:tcPr>
            <w:tcW w:w="5000" w:type="pct"/>
            <w:gridSpan w:val="3"/>
            <w:vAlign w:val="center"/>
          </w:tcPr>
          <w:p w:rsidR="00341C6C" w:rsidRPr="00C11AAD" w:rsidRDefault="00341C6C" w:rsidP="00D16C57">
            <w:pPr>
              <w:pStyle w:val="Tabletext"/>
              <w:rPr>
                <w:b/>
                <w:szCs w:val="18"/>
              </w:rPr>
            </w:pPr>
            <w:proofErr w:type="spellStart"/>
            <w:r w:rsidRPr="00C11AAD">
              <w:rPr>
                <w:b/>
              </w:rPr>
              <w:t>Ertugliflozin</w:t>
            </w:r>
            <w:proofErr w:type="spellEnd"/>
            <w:r w:rsidRPr="00C11AAD">
              <w:rPr>
                <w:b/>
              </w:rPr>
              <w:t xml:space="preserve"> bioequivalence studies</w:t>
            </w:r>
          </w:p>
        </w:tc>
      </w:tr>
      <w:tr w:rsidR="00341C6C" w:rsidRPr="00C11AAD" w:rsidTr="00D16C57">
        <w:tc>
          <w:tcPr>
            <w:tcW w:w="796" w:type="pct"/>
            <w:vAlign w:val="center"/>
          </w:tcPr>
          <w:p w:rsidR="00341C6C" w:rsidRPr="00C11AAD" w:rsidRDefault="00341C6C" w:rsidP="00D16C57">
            <w:pPr>
              <w:pStyle w:val="Tabletext"/>
            </w:pPr>
            <w:r w:rsidRPr="00C11AAD">
              <w:t>P050</w:t>
            </w:r>
          </w:p>
        </w:tc>
        <w:tc>
          <w:tcPr>
            <w:tcW w:w="3027" w:type="pct"/>
            <w:vAlign w:val="center"/>
          </w:tcPr>
          <w:p w:rsidR="00341C6C" w:rsidRPr="00C11AAD" w:rsidRDefault="00341C6C" w:rsidP="00D16C57">
            <w:pPr>
              <w:pStyle w:val="Tabletext"/>
              <w:rPr>
                <w:szCs w:val="18"/>
              </w:rPr>
            </w:pPr>
            <w:r w:rsidRPr="00C11AAD">
              <w:rPr>
                <w:szCs w:val="18"/>
              </w:rPr>
              <w:t xml:space="preserve">A Phase 1, Single Dose, Open-Label, Randomized, Crossover Bioequivalence Study of an </w:t>
            </w:r>
            <w:proofErr w:type="spellStart"/>
            <w:r w:rsidRPr="00C11AAD">
              <w:rPr>
                <w:szCs w:val="18"/>
              </w:rPr>
              <w:t>Ertugliflozin</w:t>
            </w:r>
            <w:proofErr w:type="spellEnd"/>
            <w:r w:rsidRPr="00C11AAD">
              <w:rPr>
                <w:szCs w:val="18"/>
              </w:rPr>
              <w:t xml:space="preserve"> 2.5 mg/Metformin 500 mg Fixed Dose Combination Tablet vs Co-Administration of the Individual Components (</w:t>
            </w:r>
            <w:proofErr w:type="spellStart"/>
            <w:r w:rsidRPr="00C11AAD">
              <w:rPr>
                <w:szCs w:val="18"/>
              </w:rPr>
              <w:t>Ertugliflozin</w:t>
            </w:r>
            <w:proofErr w:type="spellEnd"/>
            <w:r w:rsidRPr="00C11AAD">
              <w:rPr>
                <w:szCs w:val="18"/>
              </w:rPr>
              <w:t xml:space="preserve"> and US-Sourced Metformin) in Healthy Subjects</w:t>
            </w:r>
          </w:p>
        </w:tc>
        <w:tc>
          <w:tcPr>
            <w:tcW w:w="1177" w:type="pct"/>
            <w:vAlign w:val="center"/>
          </w:tcPr>
          <w:p w:rsidR="00341C6C" w:rsidRPr="00C11AAD" w:rsidRDefault="00341C6C" w:rsidP="00D16C57">
            <w:pPr>
              <w:pStyle w:val="Tabletext"/>
              <w:rPr>
                <w:szCs w:val="18"/>
              </w:rPr>
            </w:pPr>
            <w:r w:rsidRPr="00C11AAD">
              <w:rPr>
                <w:szCs w:val="18"/>
              </w:rPr>
              <w:t>May 2016</w:t>
            </w:r>
          </w:p>
        </w:tc>
      </w:tr>
      <w:tr w:rsidR="00341C6C" w:rsidRPr="00C11AAD" w:rsidTr="00D16C57">
        <w:tc>
          <w:tcPr>
            <w:tcW w:w="796" w:type="pct"/>
            <w:vAlign w:val="center"/>
          </w:tcPr>
          <w:p w:rsidR="00341C6C" w:rsidRPr="00C11AAD" w:rsidRDefault="00341C6C" w:rsidP="00D16C57">
            <w:pPr>
              <w:pStyle w:val="Tabletext"/>
            </w:pPr>
            <w:r w:rsidRPr="00C11AAD">
              <w:t>P052</w:t>
            </w:r>
          </w:p>
        </w:tc>
        <w:tc>
          <w:tcPr>
            <w:tcW w:w="3027" w:type="pct"/>
            <w:vAlign w:val="center"/>
          </w:tcPr>
          <w:p w:rsidR="00341C6C" w:rsidRPr="00C11AAD" w:rsidRDefault="00341C6C" w:rsidP="00D16C57">
            <w:pPr>
              <w:pStyle w:val="Tabletext"/>
              <w:rPr>
                <w:szCs w:val="18"/>
              </w:rPr>
            </w:pPr>
            <w:r w:rsidRPr="00C11AAD">
              <w:rPr>
                <w:szCs w:val="18"/>
              </w:rPr>
              <w:t xml:space="preserve">A Phase 1, Single Dose, Open-Label, Randomized, Crossover Bioequivalence Study of Metformin in </w:t>
            </w:r>
            <w:proofErr w:type="spellStart"/>
            <w:r w:rsidRPr="00C11AAD">
              <w:rPr>
                <w:szCs w:val="18"/>
              </w:rPr>
              <w:t>Ertugliflozin</w:t>
            </w:r>
            <w:proofErr w:type="spellEnd"/>
            <w:r w:rsidRPr="00C11AAD">
              <w:rPr>
                <w:szCs w:val="18"/>
              </w:rPr>
              <w:t xml:space="preserve"> 2.5 mg/Metformin 500 mg Fixed Dose Combination Tablet Versus Canadian-Sourced Glucophage Co–Administered With </w:t>
            </w:r>
            <w:proofErr w:type="spellStart"/>
            <w:r w:rsidRPr="00C11AAD">
              <w:rPr>
                <w:szCs w:val="18"/>
              </w:rPr>
              <w:t>Ertugliflozin</w:t>
            </w:r>
            <w:proofErr w:type="spellEnd"/>
            <w:r w:rsidRPr="00C11AAD">
              <w:rPr>
                <w:szCs w:val="18"/>
              </w:rPr>
              <w:t xml:space="preserve"> in Healthy Subjects in the Fasted and Fed States</w:t>
            </w:r>
          </w:p>
        </w:tc>
        <w:tc>
          <w:tcPr>
            <w:tcW w:w="1177" w:type="pct"/>
            <w:vAlign w:val="center"/>
          </w:tcPr>
          <w:p w:rsidR="00341C6C" w:rsidRPr="00C11AAD" w:rsidRDefault="00341C6C" w:rsidP="00D16C57">
            <w:pPr>
              <w:pStyle w:val="Tabletext"/>
              <w:rPr>
                <w:szCs w:val="18"/>
              </w:rPr>
            </w:pPr>
            <w:r w:rsidRPr="00C11AAD">
              <w:rPr>
                <w:szCs w:val="18"/>
              </w:rPr>
              <w:t>January 2017</w:t>
            </w:r>
          </w:p>
        </w:tc>
      </w:tr>
      <w:tr w:rsidR="00341C6C" w:rsidRPr="00C11AAD" w:rsidTr="00D16C57">
        <w:tc>
          <w:tcPr>
            <w:tcW w:w="796" w:type="pct"/>
            <w:vAlign w:val="center"/>
          </w:tcPr>
          <w:p w:rsidR="00341C6C" w:rsidRPr="00C11AAD" w:rsidRDefault="00341C6C" w:rsidP="00D16C57">
            <w:pPr>
              <w:pStyle w:val="Tabletext"/>
            </w:pPr>
            <w:r w:rsidRPr="00C11AAD">
              <w:t>P027</w:t>
            </w:r>
          </w:p>
        </w:tc>
        <w:tc>
          <w:tcPr>
            <w:tcW w:w="3027" w:type="pct"/>
            <w:vAlign w:val="center"/>
          </w:tcPr>
          <w:p w:rsidR="00341C6C" w:rsidRPr="00C11AAD" w:rsidRDefault="00341C6C" w:rsidP="00D16C57">
            <w:pPr>
              <w:pStyle w:val="Tabletext"/>
              <w:rPr>
                <w:szCs w:val="18"/>
              </w:rPr>
            </w:pPr>
            <w:r w:rsidRPr="00C11AAD">
              <w:rPr>
                <w:szCs w:val="18"/>
              </w:rPr>
              <w:t xml:space="preserve">A Phase 1, Single Dose, Open-Label, Randomized, Crossover Bioequivalence Study of an </w:t>
            </w:r>
            <w:proofErr w:type="spellStart"/>
            <w:r w:rsidRPr="00C11AAD">
              <w:rPr>
                <w:szCs w:val="18"/>
              </w:rPr>
              <w:t>Ertugliflozin</w:t>
            </w:r>
            <w:proofErr w:type="spellEnd"/>
            <w:r w:rsidRPr="00C11AAD">
              <w:rPr>
                <w:szCs w:val="18"/>
              </w:rPr>
              <w:t xml:space="preserve"> 7.5 mg/Metformin 1000 mg Fixed Dose Combination Tablet vs Co-Administration of the Individual Components (</w:t>
            </w:r>
            <w:proofErr w:type="spellStart"/>
            <w:r w:rsidRPr="00C11AAD">
              <w:rPr>
                <w:szCs w:val="18"/>
              </w:rPr>
              <w:t>Ertugliflozin</w:t>
            </w:r>
            <w:proofErr w:type="spellEnd"/>
            <w:r w:rsidRPr="00C11AAD">
              <w:rPr>
                <w:szCs w:val="18"/>
              </w:rPr>
              <w:t xml:space="preserve"> and US-Sourced Metformin) in Healthy Subjects</w:t>
            </w:r>
          </w:p>
        </w:tc>
        <w:tc>
          <w:tcPr>
            <w:tcW w:w="1177" w:type="pct"/>
            <w:vAlign w:val="center"/>
          </w:tcPr>
          <w:p w:rsidR="00341C6C" w:rsidRPr="00C11AAD" w:rsidRDefault="00341C6C" w:rsidP="00D16C57">
            <w:pPr>
              <w:pStyle w:val="Tabletext"/>
              <w:rPr>
                <w:szCs w:val="18"/>
              </w:rPr>
            </w:pPr>
            <w:r w:rsidRPr="00C11AAD">
              <w:rPr>
                <w:szCs w:val="18"/>
              </w:rPr>
              <w:t>February 2016</w:t>
            </w:r>
          </w:p>
        </w:tc>
      </w:tr>
      <w:tr w:rsidR="00341C6C" w:rsidRPr="00C11AAD" w:rsidTr="00D16C57">
        <w:tc>
          <w:tcPr>
            <w:tcW w:w="796" w:type="pct"/>
            <w:vAlign w:val="center"/>
          </w:tcPr>
          <w:p w:rsidR="00341C6C" w:rsidRPr="00C11AAD" w:rsidRDefault="00341C6C" w:rsidP="00D16C57">
            <w:pPr>
              <w:pStyle w:val="Tabletext"/>
            </w:pPr>
            <w:r w:rsidRPr="00C11AAD">
              <w:t>P047</w:t>
            </w:r>
          </w:p>
        </w:tc>
        <w:tc>
          <w:tcPr>
            <w:tcW w:w="3027" w:type="pct"/>
            <w:vAlign w:val="center"/>
          </w:tcPr>
          <w:p w:rsidR="00341C6C" w:rsidRPr="00C11AAD" w:rsidRDefault="00341C6C" w:rsidP="00D16C57">
            <w:pPr>
              <w:pStyle w:val="Tabletext"/>
              <w:rPr>
                <w:szCs w:val="18"/>
              </w:rPr>
            </w:pPr>
            <w:r w:rsidRPr="00C11AAD">
              <w:rPr>
                <w:szCs w:val="18"/>
              </w:rPr>
              <w:t xml:space="preserve">A Phase 1, Single Dose, Open-Label, Randomized, Crossover Bioequivalence Study of an </w:t>
            </w:r>
            <w:proofErr w:type="spellStart"/>
            <w:r w:rsidRPr="00C11AAD">
              <w:rPr>
                <w:szCs w:val="18"/>
              </w:rPr>
              <w:t>Ertugliflozin</w:t>
            </w:r>
            <w:proofErr w:type="spellEnd"/>
            <w:r w:rsidRPr="00C11AAD">
              <w:rPr>
                <w:szCs w:val="18"/>
              </w:rPr>
              <w:t xml:space="preserve"> 7.5 mg/Metformin 1000 mg Fixed Dose Combination Tablet vs Co-Administration of the Individual Components (</w:t>
            </w:r>
            <w:proofErr w:type="spellStart"/>
            <w:r w:rsidRPr="00C11AAD">
              <w:rPr>
                <w:szCs w:val="18"/>
              </w:rPr>
              <w:t>Ertugliflozin</w:t>
            </w:r>
            <w:proofErr w:type="spellEnd"/>
            <w:r w:rsidRPr="00C11AAD">
              <w:rPr>
                <w:szCs w:val="18"/>
              </w:rPr>
              <w:t xml:space="preserve"> and EU-Sourced Metformin) in Healthy Subjects</w:t>
            </w:r>
          </w:p>
        </w:tc>
        <w:tc>
          <w:tcPr>
            <w:tcW w:w="1177" w:type="pct"/>
            <w:vAlign w:val="center"/>
          </w:tcPr>
          <w:p w:rsidR="00341C6C" w:rsidRPr="00C11AAD" w:rsidRDefault="00341C6C" w:rsidP="00D16C57">
            <w:pPr>
              <w:pStyle w:val="Tabletext"/>
              <w:rPr>
                <w:szCs w:val="18"/>
              </w:rPr>
            </w:pPr>
            <w:r w:rsidRPr="00C11AAD">
              <w:rPr>
                <w:szCs w:val="18"/>
              </w:rPr>
              <w:t>June 2016</w:t>
            </w:r>
          </w:p>
        </w:tc>
      </w:tr>
    </w:tbl>
    <w:p w:rsidR="00341C6C" w:rsidRPr="00C11AAD" w:rsidRDefault="00341C6C" w:rsidP="00341C6C">
      <w:pPr>
        <w:pStyle w:val="TableFooter"/>
      </w:pPr>
      <w:r w:rsidRPr="00C11AAD">
        <w:t xml:space="preserve">Note: abstracts </w:t>
      </w:r>
      <w:r w:rsidRPr="00C11AAD">
        <w:rPr>
          <w:szCs w:val="18"/>
        </w:rPr>
        <w:t xml:space="preserve">of studies with full publications are </w:t>
      </w:r>
      <w:r w:rsidRPr="00C11AAD">
        <w:t>not included</w:t>
      </w:r>
    </w:p>
    <w:p w:rsidR="00341C6C" w:rsidRPr="00C11AAD" w:rsidRDefault="00341C6C" w:rsidP="00341C6C">
      <w:pPr>
        <w:pStyle w:val="TableFooter"/>
        <w:rPr>
          <w:sz w:val="20"/>
        </w:rPr>
      </w:pPr>
      <w:r w:rsidRPr="00C11AAD">
        <w:t>Source: Table 2-8, pp30-39; Table 1-1, p2 Attachment 1 of the submission.</w:t>
      </w:r>
    </w:p>
    <w:p w:rsidR="007F1017" w:rsidRPr="00C11AAD" w:rsidRDefault="008F120A" w:rsidP="00985C8D">
      <w:pPr>
        <w:pStyle w:val="ListParagraph"/>
        <w:widowControl/>
        <w:numPr>
          <w:ilvl w:val="1"/>
          <w:numId w:val="2"/>
        </w:numPr>
        <w:spacing w:before="120" w:after="120"/>
      </w:pPr>
      <w:r w:rsidRPr="00C11AAD">
        <w:t xml:space="preserve">The key features of the </w:t>
      </w:r>
      <w:r w:rsidR="002A78AB" w:rsidRPr="00C11AAD">
        <w:t>included</w:t>
      </w:r>
      <w:r w:rsidRPr="00C11AAD">
        <w:t xml:space="preserve"> trials are </w:t>
      </w:r>
      <w:r w:rsidR="002A78AB" w:rsidRPr="00C11AAD">
        <w:t xml:space="preserve">summarised in the table below. </w:t>
      </w:r>
    </w:p>
    <w:p w:rsidR="00712240" w:rsidRDefault="00712240">
      <w:pPr>
        <w:widowControl/>
        <w:jc w:val="left"/>
        <w:rPr>
          <w:rStyle w:val="CommentReference"/>
        </w:rPr>
      </w:pPr>
      <w:r>
        <w:rPr>
          <w:rStyle w:val="CommentReference"/>
        </w:rPr>
        <w:br w:type="page"/>
      </w:r>
    </w:p>
    <w:p w:rsidR="007F1017" w:rsidRPr="00C11AAD" w:rsidRDefault="007F1017" w:rsidP="00DB2EA0">
      <w:pPr>
        <w:rPr>
          <w:rStyle w:val="CommentReference"/>
        </w:rPr>
      </w:pPr>
      <w:r w:rsidRPr="00C11AAD">
        <w:rPr>
          <w:rStyle w:val="CommentReference"/>
        </w:rPr>
        <w:lastRenderedPageBreak/>
        <w:t xml:space="preserve">Table </w:t>
      </w:r>
      <w:r w:rsidR="009548F1" w:rsidRPr="00C11AAD">
        <w:rPr>
          <w:rStyle w:val="CommentReference"/>
        </w:rPr>
        <w:t>3</w:t>
      </w:r>
      <w:r w:rsidRPr="00C11AAD">
        <w:rPr>
          <w:rStyle w:val="CommentReference"/>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8"/>
        <w:gridCol w:w="496"/>
        <w:gridCol w:w="1719"/>
        <w:gridCol w:w="1003"/>
        <w:gridCol w:w="2427"/>
        <w:gridCol w:w="2509"/>
        <w:gridCol w:w="11"/>
      </w:tblGrid>
      <w:tr w:rsidR="0043256C" w:rsidRPr="00C11AAD" w:rsidTr="0043256C">
        <w:trPr>
          <w:gridAfter w:val="1"/>
          <w:wAfter w:w="6" w:type="pct"/>
          <w:tblHeader/>
        </w:trPr>
        <w:tc>
          <w:tcPr>
            <w:tcW w:w="506" w:type="pct"/>
            <w:shd w:val="clear" w:color="auto" w:fill="auto"/>
            <w:vAlign w:val="center"/>
          </w:tcPr>
          <w:p w:rsidR="00AA3FB9" w:rsidRPr="00C11AAD" w:rsidRDefault="00AA3FB9" w:rsidP="00DB2EA0">
            <w:pPr>
              <w:pStyle w:val="Tabletext"/>
              <w:rPr>
                <w:b/>
                <w:lang w:val="en-US"/>
              </w:rPr>
            </w:pPr>
            <w:r w:rsidRPr="00C11AAD">
              <w:rPr>
                <w:b/>
                <w:lang w:val="en-US"/>
              </w:rPr>
              <w:t>Trial</w:t>
            </w:r>
          </w:p>
        </w:tc>
        <w:tc>
          <w:tcPr>
            <w:tcW w:w="273" w:type="pct"/>
            <w:shd w:val="clear" w:color="auto" w:fill="auto"/>
            <w:vAlign w:val="center"/>
          </w:tcPr>
          <w:p w:rsidR="00AA3FB9" w:rsidRPr="00C11AAD" w:rsidRDefault="00AA3FB9" w:rsidP="00DB2EA0">
            <w:pPr>
              <w:pStyle w:val="Tabletext"/>
              <w:jc w:val="center"/>
              <w:rPr>
                <w:b/>
                <w:lang w:val="en-US"/>
              </w:rPr>
            </w:pPr>
            <w:r w:rsidRPr="00C11AAD">
              <w:rPr>
                <w:b/>
                <w:lang w:val="en-US"/>
              </w:rPr>
              <w:t>N</w:t>
            </w:r>
          </w:p>
        </w:tc>
        <w:tc>
          <w:tcPr>
            <w:tcW w:w="946" w:type="pct"/>
            <w:shd w:val="clear" w:color="auto" w:fill="auto"/>
            <w:vAlign w:val="center"/>
          </w:tcPr>
          <w:p w:rsidR="00AA3FB9" w:rsidRPr="00C11AAD" w:rsidRDefault="00AA3FB9" w:rsidP="00DB2EA0">
            <w:pPr>
              <w:pStyle w:val="Tabletext"/>
              <w:jc w:val="center"/>
              <w:rPr>
                <w:b/>
                <w:lang w:val="en-US"/>
              </w:rPr>
            </w:pPr>
            <w:r w:rsidRPr="00C11AAD">
              <w:rPr>
                <w:b/>
                <w:lang w:val="en-US"/>
              </w:rPr>
              <w:t>Design/ duration</w:t>
            </w:r>
          </w:p>
        </w:tc>
        <w:tc>
          <w:tcPr>
            <w:tcW w:w="552" w:type="pct"/>
            <w:shd w:val="clear" w:color="auto" w:fill="auto"/>
            <w:vAlign w:val="center"/>
          </w:tcPr>
          <w:p w:rsidR="00AA3FB9" w:rsidRPr="00C11AAD" w:rsidRDefault="00AA3FB9" w:rsidP="00DB2EA0">
            <w:pPr>
              <w:pStyle w:val="Tabletext"/>
              <w:jc w:val="center"/>
              <w:rPr>
                <w:b/>
                <w:lang w:val="en-US"/>
              </w:rPr>
            </w:pPr>
            <w:r w:rsidRPr="00C11AAD">
              <w:rPr>
                <w:b/>
                <w:lang w:val="en-US"/>
              </w:rPr>
              <w:t>Risk of bias</w:t>
            </w:r>
          </w:p>
        </w:tc>
        <w:tc>
          <w:tcPr>
            <w:tcW w:w="1336" w:type="pct"/>
            <w:shd w:val="clear" w:color="auto" w:fill="auto"/>
            <w:vAlign w:val="center"/>
          </w:tcPr>
          <w:p w:rsidR="00AA3FB9" w:rsidRPr="00C11AAD" w:rsidRDefault="00AA3FB9" w:rsidP="00DB2EA0">
            <w:pPr>
              <w:pStyle w:val="Tabletext"/>
              <w:jc w:val="center"/>
              <w:rPr>
                <w:b/>
                <w:lang w:val="en-US"/>
              </w:rPr>
            </w:pPr>
            <w:r w:rsidRPr="00C11AAD">
              <w:rPr>
                <w:b/>
                <w:lang w:val="en-US"/>
              </w:rPr>
              <w:t>Patient population</w:t>
            </w:r>
          </w:p>
        </w:tc>
        <w:tc>
          <w:tcPr>
            <w:tcW w:w="1381" w:type="pct"/>
            <w:shd w:val="clear" w:color="auto" w:fill="auto"/>
            <w:vAlign w:val="center"/>
          </w:tcPr>
          <w:p w:rsidR="00AA3FB9" w:rsidRPr="00C11AAD" w:rsidRDefault="00AA3FB9" w:rsidP="00DB2EA0">
            <w:pPr>
              <w:pStyle w:val="Tabletext"/>
              <w:jc w:val="center"/>
              <w:rPr>
                <w:b/>
                <w:lang w:val="en-US"/>
              </w:rPr>
            </w:pPr>
            <w:r w:rsidRPr="00C11AAD">
              <w:rPr>
                <w:b/>
                <w:lang w:val="en-US"/>
              </w:rPr>
              <w:t>Outcome(s)</w:t>
            </w:r>
          </w:p>
        </w:tc>
      </w:tr>
      <w:tr w:rsidR="008B0166" w:rsidRPr="00C11AAD" w:rsidTr="0043256C">
        <w:tc>
          <w:tcPr>
            <w:tcW w:w="5000" w:type="pct"/>
            <w:gridSpan w:val="7"/>
            <w:shd w:val="clear" w:color="auto" w:fill="auto"/>
            <w:vAlign w:val="center"/>
          </w:tcPr>
          <w:p w:rsidR="008B0166" w:rsidRPr="00C11AAD" w:rsidRDefault="008B0166" w:rsidP="00DB2EA0">
            <w:pPr>
              <w:pStyle w:val="Tabletext"/>
              <w:rPr>
                <w:b/>
                <w:lang w:val="en-US"/>
              </w:rPr>
            </w:pPr>
            <w:r w:rsidRPr="00C11AAD">
              <w:rPr>
                <w:b/>
                <w:lang w:val="en-US"/>
              </w:rPr>
              <w:t>Primary indirect comparison: placebo + metformin common reference</w:t>
            </w:r>
          </w:p>
        </w:tc>
      </w:tr>
      <w:tr w:rsidR="007F1017" w:rsidRPr="00C11AAD" w:rsidTr="0043256C">
        <w:tc>
          <w:tcPr>
            <w:tcW w:w="5000" w:type="pct"/>
            <w:gridSpan w:val="7"/>
            <w:shd w:val="clear" w:color="auto" w:fill="auto"/>
            <w:vAlign w:val="center"/>
          </w:tcPr>
          <w:p w:rsidR="007F1017" w:rsidRPr="00C11AAD" w:rsidRDefault="008B0166" w:rsidP="00DB2EA0">
            <w:pPr>
              <w:pStyle w:val="Tabletext"/>
              <w:rPr>
                <w:b/>
                <w:lang w:val="en-US"/>
              </w:rPr>
            </w:pPr>
            <w:proofErr w:type="spellStart"/>
            <w:r w:rsidRPr="00C11AAD">
              <w:rPr>
                <w:b/>
                <w:lang w:val="en-US"/>
              </w:rPr>
              <w:t>Ertugliflozin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AA3FB9" w:rsidRPr="00C11AAD" w:rsidRDefault="00AA3FB9" w:rsidP="00DB2EA0">
            <w:pPr>
              <w:pStyle w:val="Tabletext"/>
              <w:rPr>
                <w:lang w:val="en-US"/>
              </w:rPr>
            </w:pPr>
            <w:r w:rsidRPr="00C11AAD">
              <w:rPr>
                <w:lang w:val="en-US"/>
              </w:rPr>
              <w:t>P007</w:t>
            </w:r>
          </w:p>
        </w:tc>
        <w:tc>
          <w:tcPr>
            <w:tcW w:w="273" w:type="pct"/>
            <w:shd w:val="clear" w:color="auto" w:fill="auto"/>
            <w:vAlign w:val="center"/>
          </w:tcPr>
          <w:p w:rsidR="00AA3FB9" w:rsidRPr="00C11AAD" w:rsidRDefault="006020F6" w:rsidP="00DB2EA0">
            <w:pPr>
              <w:pStyle w:val="Tabletext"/>
              <w:jc w:val="center"/>
              <w:rPr>
                <w:lang w:val="en-US"/>
              </w:rPr>
            </w:pPr>
            <w:r w:rsidRPr="00C11AAD">
              <w:rPr>
                <w:lang w:val="en-US"/>
              </w:rPr>
              <w:t>621</w:t>
            </w:r>
          </w:p>
        </w:tc>
        <w:tc>
          <w:tcPr>
            <w:tcW w:w="946" w:type="pct"/>
            <w:shd w:val="clear" w:color="auto" w:fill="auto"/>
            <w:vAlign w:val="center"/>
          </w:tcPr>
          <w:p w:rsidR="00AA3FB9" w:rsidRPr="00C11AAD" w:rsidRDefault="00AA3FB9" w:rsidP="00DB2EA0">
            <w:pPr>
              <w:pStyle w:val="Tabletext"/>
              <w:jc w:val="center"/>
              <w:rPr>
                <w:lang w:val="en-US"/>
              </w:rPr>
            </w:pPr>
            <w:r w:rsidRPr="00C11AAD">
              <w:rPr>
                <w:lang w:val="en-US"/>
              </w:rPr>
              <w:t>MC, R, DB, PC</w:t>
            </w:r>
          </w:p>
          <w:p w:rsidR="00AA3FB9" w:rsidRPr="00C11AAD" w:rsidRDefault="00AA3FB9" w:rsidP="00DB2EA0">
            <w:pPr>
              <w:pStyle w:val="Tabletext"/>
              <w:jc w:val="center"/>
              <w:rPr>
                <w:lang w:val="en-US"/>
              </w:rPr>
            </w:pPr>
            <w:r w:rsidRPr="00C11AAD">
              <w:rPr>
                <w:lang w:val="en-US"/>
              </w:rPr>
              <w:t>26 weeks</w:t>
            </w:r>
          </w:p>
        </w:tc>
        <w:tc>
          <w:tcPr>
            <w:tcW w:w="552" w:type="pct"/>
            <w:shd w:val="clear" w:color="auto" w:fill="auto"/>
            <w:vAlign w:val="center"/>
          </w:tcPr>
          <w:p w:rsidR="00AA3FB9" w:rsidRPr="00C11AAD" w:rsidRDefault="00AA3FB9" w:rsidP="00DB2EA0">
            <w:pPr>
              <w:pStyle w:val="Tabletext"/>
              <w:jc w:val="center"/>
              <w:rPr>
                <w:lang w:val="en-US"/>
              </w:rPr>
            </w:pPr>
            <w:r w:rsidRPr="00C11AAD">
              <w:rPr>
                <w:lang w:val="en-US"/>
              </w:rPr>
              <w:t>Low</w:t>
            </w:r>
          </w:p>
        </w:tc>
        <w:tc>
          <w:tcPr>
            <w:tcW w:w="1336" w:type="pct"/>
            <w:shd w:val="clear" w:color="auto" w:fill="auto"/>
            <w:vAlign w:val="center"/>
          </w:tcPr>
          <w:p w:rsidR="00AA3FB9" w:rsidRPr="00C11AAD" w:rsidRDefault="0099679B" w:rsidP="00CE01F5">
            <w:pPr>
              <w:pStyle w:val="Tabletext"/>
              <w:jc w:val="center"/>
              <w:rPr>
                <w:lang w:val="en-US"/>
              </w:rPr>
            </w:pPr>
            <w:r w:rsidRPr="00C11AAD">
              <w:t>T2D</w:t>
            </w:r>
            <w:r w:rsidR="00145D24" w:rsidRPr="00C11AAD">
              <w:t xml:space="preserve"> with HbA1c 7.0-10.5% on metformin monotherapy </w:t>
            </w:r>
          </w:p>
        </w:tc>
        <w:tc>
          <w:tcPr>
            <w:tcW w:w="1381" w:type="pct"/>
            <w:shd w:val="clear" w:color="auto" w:fill="auto"/>
            <w:vAlign w:val="center"/>
          </w:tcPr>
          <w:p w:rsidR="00AA3FB9" w:rsidRPr="00C11AAD" w:rsidRDefault="00145D24" w:rsidP="00DB2EA0">
            <w:pPr>
              <w:pStyle w:val="Tabletext"/>
              <w:jc w:val="center"/>
              <w:rPr>
                <w:lang w:val="en-US"/>
              </w:rPr>
            </w:pPr>
            <w:r w:rsidRPr="00C11AAD">
              <w:t>Change from baseline in HbA1c at week 26</w:t>
            </w:r>
          </w:p>
        </w:tc>
      </w:tr>
      <w:tr w:rsidR="0043256C" w:rsidRPr="00C11AAD" w:rsidTr="0043256C">
        <w:trPr>
          <w:gridAfter w:val="1"/>
          <w:wAfter w:w="6" w:type="pct"/>
        </w:trPr>
        <w:tc>
          <w:tcPr>
            <w:tcW w:w="506" w:type="pct"/>
            <w:shd w:val="clear" w:color="auto" w:fill="auto"/>
            <w:vAlign w:val="center"/>
          </w:tcPr>
          <w:p w:rsidR="00AA3FB9" w:rsidRPr="00C11AAD" w:rsidRDefault="00887843" w:rsidP="00DB2EA0">
            <w:pPr>
              <w:pStyle w:val="Tabletext"/>
              <w:rPr>
                <w:lang w:val="en-US"/>
              </w:rPr>
            </w:pPr>
            <w:r w:rsidRPr="00C11AAD">
              <w:rPr>
                <w:lang w:val="en-US"/>
              </w:rPr>
              <w:t>P016</w:t>
            </w:r>
          </w:p>
        </w:tc>
        <w:tc>
          <w:tcPr>
            <w:tcW w:w="273" w:type="pct"/>
            <w:shd w:val="clear" w:color="auto" w:fill="auto"/>
            <w:vAlign w:val="center"/>
          </w:tcPr>
          <w:p w:rsidR="00AA3FB9" w:rsidRPr="00C11AAD" w:rsidRDefault="006020F6" w:rsidP="00DB2EA0">
            <w:pPr>
              <w:pStyle w:val="Tabletext"/>
              <w:jc w:val="center"/>
              <w:rPr>
                <w:lang w:val="en-US"/>
              </w:rPr>
            </w:pPr>
            <w:r w:rsidRPr="00C11AAD">
              <w:rPr>
                <w:lang w:val="en-US"/>
              </w:rPr>
              <w:t>328</w:t>
            </w:r>
          </w:p>
        </w:tc>
        <w:tc>
          <w:tcPr>
            <w:tcW w:w="946" w:type="pct"/>
            <w:shd w:val="clear" w:color="auto" w:fill="auto"/>
            <w:vAlign w:val="center"/>
          </w:tcPr>
          <w:p w:rsidR="00AA3FB9" w:rsidRPr="00C11AAD" w:rsidRDefault="00887843" w:rsidP="00DB2EA0">
            <w:pPr>
              <w:pStyle w:val="Tabletext"/>
              <w:jc w:val="center"/>
              <w:rPr>
                <w:lang w:val="en-US"/>
              </w:rPr>
            </w:pPr>
            <w:r w:rsidRPr="00C11AAD">
              <w:rPr>
                <w:lang w:val="en-US"/>
              </w:rPr>
              <w:t>R, DB, PC/AC dose finding phase 2 trial</w:t>
            </w:r>
          </w:p>
          <w:p w:rsidR="00887843" w:rsidRPr="00C11AAD" w:rsidRDefault="00887843" w:rsidP="00DB2EA0">
            <w:pPr>
              <w:pStyle w:val="Tabletext"/>
              <w:jc w:val="center"/>
              <w:rPr>
                <w:lang w:val="en-US"/>
              </w:rPr>
            </w:pPr>
            <w:r w:rsidRPr="00C11AAD">
              <w:rPr>
                <w:lang w:val="en-US"/>
              </w:rPr>
              <w:t>12 weeks</w:t>
            </w:r>
          </w:p>
        </w:tc>
        <w:tc>
          <w:tcPr>
            <w:tcW w:w="552" w:type="pct"/>
            <w:shd w:val="clear" w:color="auto" w:fill="auto"/>
            <w:vAlign w:val="center"/>
          </w:tcPr>
          <w:p w:rsidR="00AA3FB9" w:rsidRPr="00C11AAD" w:rsidRDefault="00887843" w:rsidP="00DB2EA0">
            <w:pPr>
              <w:pStyle w:val="Tabletext"/>
              <w:jc w:val="center"/>
              <w:rPr>
                <w:lang w:val="en-US"/>
              </w:rPr>
            </w:pPr>
            <w:r w:rsidRPr="00C11AAD">
              <w:rPr>
                <w:lang w:val="en-US"/>
              </w:rPr>
              <w:t>Low</w:t>
            </w:r>
          </w:p>
        </w:tc>
        <w:tc>
          <w:tcPr>
            <w:tcW w:w="1336" w:type="pct"/>
            <w:shd w:val="clear" w:color="auto" w:fill="auto"/>
            <w:vAlign w:val="center"/>
          </w:tcPr>
          <w:p w:rsidR="00AA3FB9" w:rsidRPr="00C11AAD" w:rsidRDefault="00CE01F5" w:rsidP="00CE01F5">
            <w:pPr>
              <w:pStyle w:val="Tabletext"/>
              <w:jc w:val="center"/>
              <w:rPr>
                <w:lang w:val="en-US"/>
              </w:rPr>
            </w:pPr>
            <w:r w:rsidRPr="00C11AAD">
              <w:t>T2D with</w:t>
            </w:r>
            <w:r w:rsidR="00145D24" w:rsidRPr="00C11AAD">
              <w:t xml:space="preserve"> HbA1c 7-11% </w:t>
            </w:r>
            <w:r w:rsidRPr="00C11AAD">
              <w:t xml:space="preserve">on </w:t>
            </w:r>
            <w:r w:rsidR="00145D24" w:rsidRPr="00C11AAD">
              <w:t>metformin monotherapy</w:t>
            </w:r>
            <w:r w:rsidRPr="00C11AAD">
              <w:t>, or 6.5</w:t>
            </w:r>
            <w:r w:rsidR="00145D24" w:rsidRPr="00C11AAD">
              <w:t xml:space="preserve">-9.5% </w:t>
            </w:r>
            <w:r w:rsidRPr="00C11AAD">
              <w:t xml:space="preserve">on </w:t>
            </w:r>
            <w:r w:rsidR="00145D24" w:rsidRPr="00C11AAD">
              <w:t>metfor</w:t>
            </w:r>
            <w:r w:rsidRPr="00C11AAD">
              <w:t>min plus oral diabetes medicine</w:t>
            </w:r>
          </w:p>
        </w:tc>
        <w:tc>
          <w:tcPr>
            <w:tcW w:w="1381" w:type="pct"/>
            <w:shd w:val="clear" w:color="auto" w:fill="auto"/>
            <w:vAlign w:val="center"/>
          </w:tcPr>
          <w:p w:rsidR="00AA3FB9" w:rsidRPr="00C11AAD" w:rsidRDefault="00145D24" w:rsidP="00DB2EA0">
            <w:pPr>
              <w:pStyle w:val="Tabletext"/>
              <w:jc w:val="center"/>
              <w:rPr>
                <w:lang w:val="en-US"/>
              </w:rPr>
            </w:pPr>
            <w:r w:rsidRPr="00C11AAD">
              <w:t>Change from baseline in HbA1c at week 12</w:t>
            </w:r>
          </w:p>
        </w:tc>
      </w:tr>
      <w:tr w:rsidR="007F1017" w:rsidRPr="00C11AAD" w:rsidTr="0043256C">
        <w:tc>
          <w:tcPr>
            <w:tcW w:w="5000" w:type="pct"/>
            <w:gridSpan w:val="7"/>
            <w:shd w:val="clear" w:color="auto" w:fill="auto"/>
            <w:vAlign w:val="center"/>
          </w:tcPr>
          <w:p w:rsidR="007F1017" w:rsidRPr="00C11AAD" w:rsidRDefault="00887843" w:rsidP="008B0166">
            <w:pPr>
              <w:pStyle w:val="Tabletext"/>
              <w:rPr>
                <w:b/>
                <w:lang w:val="en-US"/>
              </w:rPr>
            </w:pPr>
            <w:proofErr w:type="spellStart"/>
            <w:r w:rsidRPr="00C11AAD">
              <w:rPr>
                <w:b/>
                <w:lang w:val="en-US"/>
              </w:rPr>
              <w:t>D</w:t>
            </w:r>
            <w:r w:rsidR="008B0166" w:rsidRPr="00C11AAD">
              <w:rPr>
                <w:b/>
                <w:lang w:val="en-US"/>
              </w:rPr>
              <w:t>apagliflozin</w:t>
            </w:r>
            <w:proofErr w:type="spellEnd"/>
            <w:r w:rsidR="008B0166"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AA3FB9" w:rsidRPr="00C11AAD" w:rsidRDefault="008B0166" w:rsidP="00DB2EA0">
            <w:pPr>
              <w:pStyle w:val="Tabletext"/>
              <w:rPr>
                <w:lang w:val="en-US"/>
              </w:rPr>
            </w:pPr>
            <w:r w:rsidRPr="00C11AAD">
              <w:rPr>
                <w:lang w:val="en-US"/>
              </w:rPr>
              <w:t>CT-003</w:t>
            </w:r>
          </w:p>
        </w:tc>
        <w:tc>
          <w:tcPr>
            <w:tcW w:w="273" w:type="pct"/>
            <w:shd w:val="clear" w:color="auto" w:fill="auto"/>
            <w:vAlign w:val="center"/>
          </w:tcPr>
          <w:p w:rsidR="00AA3FB9" w:rsidRPr="00C11AAD" w:rsidRDefault="00D16C57" w:rsidP="00DB2EA0">
            <w:pPr>
              <w:pStyle w:val="Tabletext"/>
              <w:jc w:val="center"/>
              <w:rPr>
                <w:lang w:val="en-US"/>
              </w:rPr>
            </w:pPr>
            <w:r w:rsidRPr="00C11AAD">
              <w:rPr>
                <w:lang w:val="en-US"/>
              </w:rPr>
              <w:t>400</w:t>
            </w:r>
          </w:p>
        </w:tc>
        <w:tc>
          <w:tcPr>
            <w:tcW w:w="946" w:type="pct"/>
            <w:shd w:val="clear" w:color="auto" w:fill="auto"/>
            <w:vAlign w:val="center"/>
          </w:tcPr>
          <w:p w:rsidR="00AA3FB9" w:rsidRPr="00C11AAD" w:rsidRDefault="007C4F56" w:rsidP="00DB2EA0">
            <w:pPr>
              <w:pStyle w:val="Tabletext"/>
              <w:jc w:val="center"/>
              <w:rPr>
                <w:lang w:val="en-US"/>
              </w:rPr>
            </w:pPr>
            <w:r w:rsidRPr="00C11AAD">
              <w:rPr>
                <w:lang w:val="en-US"/>
              </w:rPr>
              <w:t>R, DB, PC</w:t>
            </w:r>
          </w:p>
          <w:p w:rsidR="007C4F56" w:rsidRPr="00C11AAD" w:rsidRDefault="007C4F56" w:rsidP="00DB2EA0">
            <w:pPr>
              <w:pStyle w:val="Tabletext"/>
              <w:jc w:val="center"/>
              <w:rPr>
                <w:lang w:val="en-US"/>
              </w:rPr>
            </w:pPr>
            <w:r w:rsidRPr="00C11AAD">
              <w:rPr>
                <w:lang w:val="en-US"/>
              </w:rPr>
              <w:t>16 weeks</w:t>
            </w:r>
          </w:p>
        </w:tc>
        <w:tc>
          <w:tcPr>
            <w:tcW w:w="552" w:type="pct"/>
            <w:shd w:val="clear" w:color="auto" w:fill="auto"/>
            <w:vAlign w:val="center"/>
          </w:tcPr>
          <w:p w:rsidR="00AA3FB9"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AA3FB9" w:rsidRPr="00C11AAD" w:rsidRDefault="00CE01F5" w:rsidP="00CE01F5">
            <w:pPr>
              <w:pStyle w:val="Tabletext"/>
              <w:jc w:val="center"/>
              <w:rPr>
                <w:lang w:val="en-US"/>
              </w:rPr>
            </w:pPr>
            <w:r w:rsidRPr="00C11AAD">
              <w:t>T2D</w:t>
            </w:r>
            <w:r w:rsidR="002840D8" w:rsidRPr="00C11AAD">
              <w:t xml:space="preserve"> with HbA1c 6.7-10.5%</w:t>
            </w:r>
            <w:r w:rsidRPr="00C11AAD">
              <w:t xml:space="preserve"> on metformin</w:t>
            </w:r>
          </w:p>
        </w:tc>
        <w:tc>
          <w:tcPr>
            <w:tcW w:w="1381" w:type="pct"/>
            <w:shd w:val="clear" w:color="auto" w:fill="auto"/>
            <w:vAlign w:val="center"/>
          </w:tcPr>
          <w:p w:rsidR="00AA3FB9" w:rsidRPr="00C11AAD" w:rsidRDefault="002840D8" w:rsidP="00DB2EA0">
            <w:pPr>
              <w:pStyle w:val="Tabletext"/>
              <w:jc w:val="center"/>
              <w:rPr>
                <w:lang w:val="en-US"/>
              </w:rPr>
            </w:pPr>
            <w:r w:rsidRPr="00C11AAD">
              <w:t>Change from baseline in HbA1c at week 16</w:t>
            </w:r>
          </w:p>
        </w:tc>
      </w:tr>
      <w:tr w:rsidR="0043256C" w:rsidRPr="00C11AAD" w:rsidTr="0043256C">
        <w:trPr>
          <w:gridAfter w:val="1"/>
          <w:wAfter w:w="6" w:type="pct"/>
        </w:trPr>
        <w:tc>
          <w:tcPr>
            <w:tcW w:w="506" w:type="pct"/>
            <w:shd w:val="clear" w:color="auto" w:fill="auto"/>
            <w:vAlign w:val="center"/>
          </w:tcPr>
          <w:p w:rsidR="00951DB2" w:rsidRPr="00C11AAD" w:rsidRDefault="00951DB2" w:rsidP="00951DB2">
            <w:pPr>
              <w:pStyle w:val="Tabletext"/>
              <w:rPr>
                <w:lang w:val="en-US"/>
              </w:rPr>
            </w:pPr>
            <w:r w:rsidRPr="00C11AAD">
              <w:rPr>
                <w:lang w:val="en-US"/>
              </w:rPr>
              <w:t>CT-012</w:t>
            </w:r>
          </w:p>
        </w:tc>
        <w:tc>
          <w:tcPr>
            <w:tcW w:w="273" w:type="pct"/>
            <w:shd w:val="clear" w:color="auto" w:fill="auto"/>
            <w:vAlign w:val="center"/>
          </w:tcPr>
          <w:p w:rsidR="00951DB2" w:rsidRPr="00C11AAD" w:rsidRDefault="00D16C57" w:rsidP="00DB2EA0">
            <w:pPr>
              <w:pStyle w:val="Tabletext"/>
              <w:jc w:val="center"/>
              <w:rPr>
                <w:lang w:val="en-US"/>
              </w:rPr>
            </w:pPr>
            <w:r w:rsidRPr="00C11AAD">
              <w:rPr>
                <w:lang w:val="en-US"/>
              </w:rPr>
              <w:t>182</w:t>
            </w:r>
          </w:p>
        </w:tc>
        <w:tc>
          <w:tcPr>
            <w:tcW w:w="946" w:type="pct"/>
            <w:shd w:val="clear" w:color="auto" w:fill="auto"/>
            <w:vAlign w:val="center"/>
          </w:tcPr>
          <w:p w:rsidR="00951DB2" w:rsidRPr="00C11AAD" w:rsidRDefault="007C4F56" w:rsidP="00DB2EA0">
            <w:pPr>
              <w:pStyle w:val="Tabletext"/>
              <w:jc w:val="center"/>
              <w:rPr>
                <w:lang w:val="en-US"/>
              </w:rPr>
            </w:pPr>
            <w:r w:rsidRPr="00C11AAD">
              <w:rPr>
                <w:lang w:val="en-US"/>
              </w:rPr>
              <w:t>R, DB, PG, PC</w:t>
            </w:r>
          </w:p>
          <w:p w:rsidR="007C4F56" w:rsidRPr="00C11AAD" w:rsidRDefault="007C4F56" w:rsidP="00DB2EA0">
            <w:pPr>
              <w:pStyle w:val="Tabletext"/>
              <w:jc w:val="center"/>
              <w:rPr>
                <w:lang w:val="en-US"/>
              </w:rPr>
            </w:pPr>
            <w:r w:rsidRPr="00C11AAD">
              <w:rPr>
                <w:lang w:val="en-US"/>
              </w:rPr>
              <w:t>24 weeks</w:t>
            </w:r>
          </w:p>
        </w:tc>
        <w:tc>
          <w:tcPr>
            <w:tcW w:w="552" w:type="pct"/>
            <w:shd w:val="clear" w:color="auto" w:fill="auto"/>
            <w:vAlign w:val="center"/>
          </w:tcPr>
          <w:p w:rsidR="00951DB2"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951DB2" w:rsidRPr="00C11AAD" w:rsidRDefault="00CE01F5" w:rsidP="00CE01F5">
            <w:pPr>
              <w:pStyle w:val="Tabletext"/>
              <w:jc w:val="center"/>
              <w:rPr>
                <w:lang w:val="en-US"/>
              </w:rPr>
            </w:pPr>
            <w:r w:rsidRPr="00C11AAD">
              <w:t>T2D</w:t>
            </w:r>
            <w:r w:rsidR="002840D8" w:rsidRPr="00C11AAD">
              <w:t xml:space="preserve"> w</w:t>
            </w:r>
            <w:r w:rsidRPr="00C11AAD">
              <w:t>ith HbA1c 6.5-8.5% on metformin</w:t>
            </w:r>
          </w:p>
        </w:tc>
        <w:tc>
          <w:tcPr>
            <w:tcW w:w="1381" w:type="pct"/>
            <w:shd w:val="clear" w:color="auto" w:fill="auto"/>
            <w:vAlign w:val="center"/>
          </w:tcPr>
          <w:p w:rsidR="00951DB2" w:rsidRPr="00C11AAD" w:rsidRDefault="002840D8" w:rsidP="00DB2EA0">
            <w:pPr>
              <w:pStyle w:val="Tabletext"/>
              <w:jc w:val="center"/>
              <w:rPr>
                <w:lang w:val="en-US"/>
              </w:rPr>
            </w:pPr>
            <w:r w:rsidRPr="00C11AAD">
              <w:t>Total body weight change from baseline at week 24.</w:t>
            </w:r>
          </w:p>
        </w:tc>
      </w:tr>
      <w:tr w:rsidR="0043256C" w:rsidRPr="00C11AAD" w:rsidTr="0043256C">
        <w:trPr>
          <w:gridAfter w:val="1"/>
          <w:wAfter w:w="6" w:type="pct"/>
        </w:trPr>
        <w:tc>
          <w:tcPr>
            <w:tcW w:w="506" w:type="pct"/>
            <w:shd w:val="clear" w:color="auto" w:fill="auto"/>
            <w:vAlign w:val="center"/>
          </w:tcPr>
          <w:p w:rsidR="00951DB2" w:rsidRPr="00C11AAD" w:rsidRDefault="00951DB2" w:rsidP="00DB2EA0">
            <w:pPr>
              <w:pStyle w:val="Tabletext"/>
              <w:rPr>
                <w:lang w:val="en-US"/>
              </w:rPr>
            </w:pPr>
            <w:r w:rsidRPr="00C11AAD">
              <w:rPr>
                <w:lang w:val="en-US"/>
              </w:rPr>
              <w:t>CT-014</w:t>
            </w:r>
          </w:p>
        </w:tc>
        <w:tc>
          <w:tcPr>
            <w:tcW w:w="273" w:type="pct"/>
            <w:shd w:val="clear" w:color="auto" w:fill="auto"/>
            <w:vAlign w:val="center"/>
          </w:tcPr>
          <w:p w:rsidR="00951DB2" w:rsidRPr="00C11AAD" w:rsidRDefault="00D16C57" w:rsidP="00DB2EA0">
            <w:pPr>
              <w:pStyle w:val="Tabletext"/>
              <w:jc w:val="center"/>
              <w:rPr>
                <w:lang w:val="en-US"/>
              </w:rPr>
            </w:pPr>
            <w:r w:rsidRPr="00C11AAD">
              <w:rPr>
                <w:lang w:val="en-US"/>
              </w:rPr>
              <w:t>546</w:t>
            </w:r>
          </w:p>
        </w:tc>
        <w:tc>
          <w:tcPr>
            <w:tcW w:w="946" w:type="pct"/>
            <w:shd w:val="clear" w:color="auto" w:fill="auto"/>
            <w:vAlign w:val="center"/>
          </w:tcPr>
          <w:p w:rsidR="00951DB2" w:rsidRPr="00C11AAD" w:rsidRDefault="001D7290" w:rsidP="00DB2EA0">
            <w:pPr>
              <w:pStyle w:val="Tabletext"/>
              <w:jc w:val="center"/>
              <w:rPr>
                <w:lang w:val="en-US"/>
              </w:rPr>
            </w:pPr>
            <w:r w:rsidRPr="00C11AAD">
              <w:rPr>
                <w:lang w:val="en-US"/>
              </w:rPr>
              <w:t>MC, R, DB, PG, PC</w:t>
            </w:r>
          </w:p>
          <w:p w:rsidR="001D7290" w:rsidRPr="00C11AAD" w:rsidRDefault="001D7290" w:rsidP="00DB2EA0">
            <w:pPr>
              <w:pStyle w:val="Tabletext"/>
              <w:jc w:val="center"/>
              <w:rPr>
                <w:lang w:val="en-US"/>
              </w:rPr>
            </w:pPr>
            <w:r w:rsidRPr="00C11AAD">
              <w:rPr>
                <w:lang w:val="en-US"/>
              </w:rPr>
              <w:t>24 weeks</w:t>
            </w:r>
          </w:p>
        </w:tc>
        <w:tc>
          <w:tcPr>
            <w:tcW w:w="552" w:type="pct"/>
            <w:shd w:val="clear" w:color="auto" w:fill="auto"/>
            <w:vAlign w:val="center"/>
          </w:tcPr>
          <w:p w:rsidR="00951DB2"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951DB2" w:rsidRPr="00C11AAD" w:rsidRDefault="007B57D8" w:rsidP="007B57D8">
            <w:pPr>
              <w:pStyle w:val="TableText0"/>
              <w:spacing w:before="0" w:after="0"/>
              <w:jc w:val="center"/>
            </w:pPr>
            <w:r w:rsidRPr="00C11AAD">
              <w:t>T2D</w:t>
            </w:r>
            <w:r w:rsidR="002840D8" w:rsidRPr="00C11AAD">
              <w:t xml:space="preserve"> </w:t>
            </w:r>
            <w:r w:rsidRPr="00C11AAD">
              <w:t xml:space="preserve">with </w:t>
            </w:r>
            <w:r w:rsidR="00CE01F5" w:rsidRPr="00C11AAD">
              <w:t>HbA1c 7-10% on metformin</w:t>
            </w:r>
          </w:p>
        </w:tc>
        <w:tc>
          <w:tcPr>
            <w:tcW w:w="1381" w:type="pct"/>
            <w:shd w:val="clear" w:color="auto" w:fill="auto"/>
            <w:vAlign w:val="center"/>
          </w:tcPr>
          <w:p w:rsidR="00951DB2" w:rsidRPr="00C11AAD" w:rsidRDefault="002840D8" w:rsidP="00DB2EA0">
            <w:pPr>
              <w:pStyle w:val="Tabletext"/>
              <w:jc w:val="center"/>
              <w:rPr>
                <w:lang w:val="en-US"/>
              </w:rPr>
            </w:pPr>
            <w:r w:rsidRPr="00C11AAD">
              <w:t>Change from baseline in HbA1c at 24 weeks</w:t>
            </w:r>
          </w:p>
        </w:tc>
      </w:tr>
      <w:tr w:rsidR="0043256C" w:rsidRPr="00C11AAD" w:rsidTr="0043256C">
        <w:trPr>
          <w:gridAfter w:val="1"/>
          <w:wAfter w:w="6" w:type="pct"/>
        </w:trPr>
        <w:tc>
          <w:tcPr>
            <w:tcW w:w="506" w:type="pct"/>
            <w:shd w:val="clear" w:color="auto" w:fill="auto"/>
            <w:vAlign w:val="center"/>
          </w:tcPr>
          <w:p w:rsidR="00951DB2" w:rsidRPr="00C11AAD" w:rsidRDefault="00951DB2" w:rsidP="00DB2EA0">
            <w:pPr>
              <w:pStyle w:val="Tabletext"/>
              <w:rPr>
                <w:lang w:val="en-US"/>
              </w:rPr>
            </w:pPr>
            <w:r w:rsidRPr="00C11AAD">
              <w:rPr>
                <w:lang w:val="en-US"/>
              </w:rPr>
              <w:t>Yang 2016</w:t>
            </w:r>
          </w:p>
        </w:tc>
        <w:tc>
          <w:tcPr>
            <w:tcW w:w="273" w:type="pct"/>
            <w:shd w:val="clear" w:color="auto" w:fill="auto"/>
            <w:vAlign w:val="center"/>
          </w:tcPr>
          <w:p w:rsidR="00951DB2" w:rsidRPr="00C11AAD" w:rsidRDefault="00D16C57" w:rsidP="00DB2EA0">
            <w:pPr>
              <w:pStyle w:val="Tabletext"/>
              <w:jc w:val="center"/>
              <w:rPr>
                <w:lang w:val="en-US"/>
              </w:rPr>
            </w:pPr>
            <w:r w:rsidRPr="00C11AAD">
              <w:rPr>
                <w:lang w:val="en-US"/>
              </w:rPr>
              <w:t>444</w:t>
            </w:r>
          </w:p>
        </w:tc>
        <w:tc>
          <w:tcPr>
            <w:tcW w:w="946" w:type="pct"/>
            <w:shd w:val="clear" w:color="auto" w:fill="auto"/>
            <w:vAlign w:val="center"/>
          </w:tcPr>
          <w:p w:rsidR="00951DB2" w:rsidRPr="00C11AAD" w:rsidRDefault="00D16C57" w:rsidP="00DB2EA0">
            <w:pPr>
              <w:pStyle w:val="Tabletext"/>
              <w:jc w:val="center"/>
              <w:rPr>
                <w:lang w:val="en-US"/>
              </w:rPr>
            </w:pPr>
            <w:r w:rsidRPr="00C11AAD">
              <w:rPr>
                <w:lang w:val="en-US"/>
              </w:rPr>
              <w:t>R, DB, PG, PC</w:t>
            </w:r>
          </w:p>
          <w:p w:rsidR="00D16C57" w:rsidRPr="00C11AAD" w:rsidRDefault="00D16C57" w:rsidP="00DB2EA0">
            <w:pPr>
              <w:pStyle w:val="Tabletext"/>
              <w:jc w:val="center"/>
              <w:rPr>
                <w:lang w:val="en-US"/>
              </w:rPr>
            </w:pPr>
            <w:r w:rsidRPr="00C11AAD">
              <w:rPr>
                <w:lang w:val="en-US"/>
              </w:rPr>
              <w:t>24 weeks</w:t>
            </w:r>
          </w:p>
        </w:tc>
        <w:tc>
          <w:tcPr>
            <w:tcW w:w="552" w:type="pct"/>
            <w:shd w:val="clear" w:color="auto" w:fill="auto"/>
            <w:vAlign w:val="center"/>
          </w:tcPr>
          <w:p w:rsidR="00951DB2"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951DB2" w:rsidRPr="00C11AAD" w:rsidRDefault="002840D8" w:rsidP="00CE01F5">
            <w:pPr>
              <w:pStyle w:val="Tabletext"/>
              <w:jc w:val="center"/>
              <w:rPr>
                <w:lang w:val="en-US"/>
              </w:rPr>
            </w:pPr>
            <w:r w:rsidRPr="00C11AAD">
              <w:t xml:space="preserve">Asian patients with </w:t>
            </w:r>
            <w:r w:rsidR="00CE01F5" w:rsidRPr="00C11AAD">
              <w:t xml:space="preserve">T2D with </w:t>
            </w:r>
            <w:r w:rsidRPr="00C11AAD">
              <w:t>HbA1c 7.5-10.5%.</w:t>
            </w:r>
          </w:p>
        </w:tc>
        <w:tc>
          <w:tcPr>
            <w:tcW w:w="1381" w:type="pct"/>
            <w:shd w:val="clear" w:color="auto" w:fill="auto"/>
            <w:vAlign w:val="center"/>
          </w:tcPr>
          <w:p w:rsidR="00951DB2" w:rsidRPr="00C11AAD" w:rsidRDefault="002840D8" w:rsidP="00DB2EA0">
            <w:pPr>
              <w:pStyle w:val="Tabletext"/>
              <w:jc w:val="center"/>
              <w:rPr>
                <w:lang w:val="en-US"/>
              </w:rPr>
            </w:pPr>
            <w:r w:rsidRPr="00C11AAD">
              <w:t>Change from baseline in HbA1c at week 24.</w:t>
            </w:r>
          </w:p>
        </w:tc>
      </w:tr>
      <w:tr w:rsidR="008B0166" w:rsidRPr="00C11AAD" w:rsidTr="0043256C">
        <w:tc>
          <w:tcPr>
            <w:tcW w:w="5000" w:type="pct"/>
            <w:gridSpan w:val="7"/>
            <w:shd w:val="clear" w:color="auto" w:fill="auto"/>
            <w:vAlign w:val="center"/>
          </w:tcPr>
          <w:p w:rsidR="008B0166" w:rsidRPr="00C11AAD" w:rsidRDefault="008B0166" w:rsidP="008B0166">
            <w:pPr>
              <w:pStyle w:val="Tabletext"/>
              <w:rPr>
                <w:b/>
                <w:lang w:val="en-US"/>
              </w:rPr>
            </w:pPr>
            <w:proofErr w:type="spellStart"/>
            <w:r w:rsidRPr="00C11AAD">
              <w:rPr>
                <w:b/>
                <w:lang w:val="en-US"/>
              </w:rPr>
              <w:t>Empagliflozin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CE01F5" w:rsidRPr="00C11AAD" w:rsidRDefault="00CE01F5" w:rsidP="00CE01F5">
            <w:pPr>
              <w:pStyle w:val="Tabletext"/>
              <w:rPr>
                <w:lang w:val="en-US"/>
              </w:rPr>
            </w:pPr>
            <w:r w:rsidRPr="00C11AAD">
              <w:rPr>
                <w:lang w:val="en-US"/>
              </w:rPr>
              <w:t>1245.10</w:t>
            </w:r>
          </w:p>
        </w:tc>
        <w:tc>
          <w:tcPr>
            <w:tcW w:w="273" w:type="pct"/>
            <w:shd w:val="clear" w:color="auto" w:fill="auto"/>
            <w:vAlign w:val="center"/>
          </w:tcPr>
          <w:p w:rsidR="00CE01F5" w:rsidRPr="00C11AAD" w:rsidRDefault="00CE01F5" w:rsidP="00CE01F5">
            <w:pPr>
              <w:pStyle w:val="Tabletext"/>
              <w:jc w:val="center"/>
              <w:rPr>
                <w:lang w:val="en-US"/>
              </w:rPr>
            </w:pPr>
            <w:r w:rsidRPr="00C11AAD">
              <w:rPr>
                <w:lang w:val="en-US"/>
              </w:rPr>
              <w:t>495</w:t>
            </w:r>
          </w:p>
        </w:tc>
        <w:tc>
          <w:tcPr>
            <w:tcW w:w="946" w:type="pct"/>
            <w:shd w:val="clear" w:color="auto" w:fill="auto"/>
            <w:vAlign w:val="center"/>
          </w:tcPr>
          <w:p w:rsidR="00CE01F5" w:rsidRPr="00C11AAD" w:rsidRDefault="00CE01F5" w:rsidP="00CE01F5">
            <w:pPr>
              <w:pStyle w:val="Tabletext"/>
              <w:jc w:val="center"/>
              <w:rPr>
                <w:lang w:val="en-US"/>
              </w:rPr>
            </w:pPr>
            <w:r w:rsidRPr="00C11AAD">
              <w:rPr>
                <w:lang w:val="en-US"/>
              </w:rPr>
              <w:t>R, DB, PC, dose ranging, 12 weeks</w:t>
            </w:r>
          </w:p>
        </w:tc>
        <w:tc>
          <w:tcPr>
            <w:tcW w:w="552" w:type="pct"/>
            <w:shd w:val="clear" w:color="auto" w:fill="auto"/>
            <w:vAlign w:val="center"/>
          </w:tcPr>
          <w:p w:rsidR="00CE01F5" w:rsidRPr="00C11AAD" w:rsidRDefault="00CE01F5" w:rsidP="00CE01F5">
            <w:pPr>
              <w:pStyle w:val="Tabletext"/>
              <w:jc w:val="center"/>
              <w:rPr>
                <w:lang w:val="en-US"/>
              </w:rPr>
            </w:pPr>
            <w:r w:rsidRPr="00C11AAD">
              <w:rPr>
                <w:lang w:val="en-US"/>
              </w:rPr>
              <w:t>Low</w:t>
            </w:r>
          </w:p>
        </w:tc>
        <w:tc>
          <w:tcPr>
            <w:tcW w:w="1336" w:type="pct"/>
            <w:shd w:val="clear" w:color="auto" w:fill="auto"/>
            <w:vAlign w:val="center"/>
          </w:tcPr>
          <w:p w:rsidR="00CE01F5" w:rsidRPr="00C11AAD" w:rsidRDefault="00CE01F5" w:rsidP="00CE01F5">
            <w:pPr>
              <w:pStyle w:val="Tabletext"/>
              <w:jc w:val="center"/>
              <w:rPr>
                <w:lang w:val="en-US"/>
              </w:rPr>
            </w:pPr>
            <w:r w:rsidRPr="00C11AAD">
              <w:t>T2D with HbA1c 7-10% on metformin monotherapy</w:t>
            </w:r>
          </w:p>
        </w:tc>
        <w:tc>
          <w:tcPr>
            <w:tcW w:w="1381" w:type="pct"/>
            <w:shd w:val="clear" w:color="auto" w:fill="auto"/>
            <w:vAlign w:val="center"/>
          </w:tcPr>
          <w:p w:rsidR="00CE01F5" w:rsidRPr="00C11AAD" w:rsidRDefault="00CE01F5" w:rsidP="00CE01F5">
            <w:pPr>
              <w:pStyle w:val="Tabletext"/>
              <w:jc w:val="center"/>
              <w:rPr>
                <w:lang w:val="en-US"/>
              </w:rPr>
            </w:pPr>
            <w:r w:rsidRPr="00C11AAD">
              <w:t>Change from baseline in HbA1c at week 12</w:t>
            </w:r>
          </w:p>
        </w:tc>
      </w:tr>
      <w:tr w:rsidR="0043256C" w:rsidRPr="00C11AAD" w:rsidTr="0043256C">
        <w:trPr>
          <w:gridAfter w:val="1"/>
          <w:wAfter w:w="6" w:type="pct"/>
        </w:trPr>
        <w:tc>
          <w:tcPr>
            <w:tcW w:w="506" w:type="pct"/>
            <w:shd w:val="clear" w:color="auto" w:fill="auto"/>
            <w:vAlign w:val="center"/>
          </w:tcPr>
          <w:p w:rsidR="00887843" w:rsidRPr="00C11AAD" w:rsidRDefault="008B0166" w:rsidP="00DB2EA0">
            <w:pPr>
              <w:pStyle w:val="Tabletext"/>
              <w:rPr>
                <w:lang w:val="en-US"/>
              </w:rPr>
            </w:pPr>
            <w:r w:rsidRPr="00C11AAD">
              <w:rPr>
                <w:lang w:val="en-US"/>
              </w:rPr>
              <w:t>1276.10</w:t>
            </w:r>
          </w:p>
        </w:tc>
        <w:tc>
          <w:tcPr>
            <w:tcW w:w="273" w:type="pct"/>
            <w:shd w:val="clear" w:color="auto" w:fill="auto"/>
            <w:vAlign w:val="center"/>
          </w:tcPr>
          <w:p w:rsidR="00887843" w:rsidRPr="00C11AAD" w:rsidRDefault="00D16C57" w:rsidP="00DB2EA0">
            <w:pPr>
              <w:pStyle w:val="Tabletext"/>
              <w:jc w:val="center"/>
              <w:rPr>
                <w:lang w:val="en-US"/>
              </w:rPr>
            </w:pPr>
            <w:r w:rsidRPr="00C11AAD">
              <w:rPr>
                <w:lang w:val="en-US"/>
              </w:rPr>
              <w:t>983</w:t>
            </w:r>
          </w:p>
        </w:tc>
        <w:tc>
          <w:tcPr>
            <w:tcW w:w="946" w:type="pct"/>
            <w:shd w:val="clear" w:color="auto" w:fill="auto"/>
            <w:vAlign w:val="center"/>
          </w:tcPr>
          <w:p w:rsidR="00887843" w:rsidRPr="00C11AAD" w:rsidRDefault="00D16C57" w:rsidP="00DB2EA0">
            <w:pPr>
              <w:pStyle w:val="Tabletext"/>
              <w:jc w:val="center"/>
              <w:rPr>
                <w:lang w:val="en-US"/>
              </w:rPr>
            </w:pPr>
            <w:r w:rsidRPr="00C11AAD">
              <w:rPr>
                <w:lang w:val="en-US"/>
              </w:rPr>
              <w:t>R, DB, PG, PC</w:t>
            </w:r>
          </w:p>
          <w:p w:rsidR="00D16C57" w:rsidRPr="00C11AAD" w:rsidRDefault="00D16C57" w:rsidP="00DB2EA0">
            <w:pPr>
              <w:pStyle w:val="Tabletext"/>
              <w:jc w:val="center"/>
              <w:rPr>
                <w:lang w:val="en-US"/>
              </w:rPr>
            </w:pPr>
            <w:r w:rsidRPr="00C11AAD">
              <w:rPr>
                <w:lang w:val="en-US"/>
              </w:rPr>
              <w:t>16 weeks</w:t>
            </w:r>
          </w:p>
        </w:tc>
        <w:tc>
          <w:tcPr>
            <w:tcW w:w="552" w:type="pct"/>
            <w:shd w:val="clear" w:color="auto" w:fill="auto"/>
            <w:vAlign w:val="center"/>
          </w:tcPr>
          <w:p w:rsidR="00887843"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87843" w:rsidRPr="00C11AAD" w:rsidRDefault="00CE01F5" w:rsidP="00CE01F5">
            <w:pPr>
              <w:pStyle w:val="Tabletext"/>
              <w:jc w:val="center"/>
              <w:rPr>
                <w:lang w:val="en-US"/>
              </w:rPr>
            </w:pPr>
            <w:r w:rsidRPr="00C11AAD">
              <w:t>T2D</w:t>
            </w:r>
            <w:r w:rsidR="002840D8" w:rsidRPr="00C11AAD">
              <w:t xml:space="preserve"> with H</w:t>
            </w:r>
            <w:r w:rsidRPr="00C11AAD">
              <w:t>bA1c 7-10%</w:t>
            </w:r>
          </w:p>
        </w:tc>
        <w:tc>
          <w:tcPr>
            <w:tcW w:w="1381" w:type="pct"/>
            <w:shd w:val="clear" w:color="auto" w:fill="auto"/>
            <w:vAlign w:val="center"/>
          </w:tcPr>
          <w:p w:rsidR="00887843" w:rsidRPr="00C11AAD" w:rsidRDefault="002840D8" w:rsidP="00DB2EA0">
            <w:pPr>
              <w:pStyle w:val="Tabletext"/>
              <w:jc w:val="center"/>
              <w:rPr>
                <w:lang w:val="en-US"/>
              </w:rPr>
            </w:pPr>
            <w:r w:rsidRPr="00C11AAD">
              <w:t>Change from baseline in HbA1c at week 16</w:t>
            </w:r>
          </w:p>
        </w:tc>
      </w:tr>
      <w:tr w:rsidR="0043256C" w:rsidRPr="00C11AAD" w:rsidTr="0043256C">
        <w:trPr>
          <w:gridAfter w:val="1"/>
          <w:wAfter w:w="6" w:type="pct"/>
        </w:trPr>
        <w:tc>
          <w:tcPr>
            <w:tcW w:w="506" w:type="pct"/>
            <w:shd w:val="clear" w:color="auto" w:fill="auto"/>
            <w:vAlign w:val="center"/>
          </w:tcPr>
          <w:p w:rsidR="00887843" w:rsidRPr="00C11AAD" w:rsidRDefault="00951DB2" w:rsidP="00DB2EA0">
            <w:pPr>
              <w:pStyle w:val="Tabletext"/>
              <w:rPr>
                <w:lang w:val="en-US"/>
              </w:rPr>
            </w:pPr>
            <w:r w:rsidRPr="00C11AAD">
              <w:rPr>
                <w:lang w:val="en-US"/>
              </w:rPr>
              <w:t>1245.23</w:t>
            </w:r>
          </w:p>
        </w:tc>
        <w:tc>
          <w:tcPr>
            <w:tcW w:w="273" w:type="pct"/>
            <w:shd w:val="clear" w:color="auto" w:fill="auto"/>
            <w:vAlign w:val="center"/>
          </w:tcPr>
          <w:p w:rsidR="00887843" w:rsidRPr="00C11AAD" w:rsidRDefault="00D16C57" w:rsidP="00DB2EA0">
            <w:pPr>
              <w:pStyle w:val="Tabletext"/>
              <w:jc w:val="center"/>
              <w:rPr>
                <w:lang w:val="en-US"/>
              </w:rPr>
            </w:pPr>
            <w:r w:rsidRPr="00C11AAD">
              <w:rPr>
                <w:lang w:val="en-US"/>
              </w:rPr>
              <w:t>638</w:t>
            </w:r>
          </w:p>
        </w:tc>
        <w:tc>
          <w:tcPr>
            <w:tcW w:w="946" w:type="pct"/>
            <w:shd w:val="clear" w:color="auto" w:fill="auto"/>
            <w:vAlign w:val="center"/>
          </w:tcPr>
          <w:p w:rsidR="00887843" w:rsidRPr="00C11AAD" w:rsidRDefault="00D16C57" w:rsidP="00DB2EA0">
            <w:pPr>
              <w:pStyle w:val="Tabletext"/>
              <w:jc w:val="center"/>
              <w:rPr>
                <w:lang w:val="en-US"/>
              </w:rPr>
            </w:pPr>
            <w:r w:rsidRPr="00C11AAD">
              <w:rPr>
                <w:lang w:val="en-US"/>
              </w:rPr>
              <w:t>R, DB, PC</w:t>
            </w:r>
          </w:p>
          <w:p w:rsidR="00D16C57" w:rsidRPr="00C11AAD" w:rsidRDefault="00D16C57" w:rsidP="00DB2EA0">
            <w:pPr>
              <w:pStyle w:val="Tabletext"/>
              <w:jc w:val="center"/>
              <w:rPr>
                <w:lang w:val="en-US"/>
              </w:rPr>
            </w:pPr>
            <w:r w:rsidRPr="00C11AAD">
              <w:rPr>
                <w:lang w:val="en-US"/>
              </w:rPr>
              <w:t>24 weeks</w:t>
            </w:r>
          </w:p>
        </w:tc>
        <w:tc>
          <w:tcPr>
            <w:tcW w:w="552" w:type="pct"/>
            <w:shd w:val="clear" w:color="auto" w:fill="auto"/>
            <w:vAlign w:val="center"/>
          </w:tcPr>
          <w:p w:rsidR="00887843"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87843" w:rsidRPr="00C11AAD" w:rsidRDefault="00CE01F5" w:rsidP="00CE01F5">
            <w:pPr>
              <w:pStyle w:val="Tabletext"/>
              <w:jc w:val="center"/>
              <w:rPr>
                <w:lang w:val="en-US"/>
              </w:rPr>
            </w:pPr>
            <w:r w:rsidRPr="00C11AAD">
              <w:t>T2D with HbA1c 7-10%</w:t>
            </w:r>
            <w:r w:rsidR="002840D8" w:rsidRPr="00C11AAD">
              <w:t xml:space="preserve"> </w:t>
            </w:r>
            <w:r w:rsidRPr="00C11AAD">
              <w:t>on metformin</w:t>
            </w:r>
          </w:p>
        </w:tc>
        <w:tc>
          <w:tcPr>
            <w:tcW w:w="1381" w:type="pct"/>
            <w:shd w:val="clear" w:color="auto" w:fill="auto"/>
            <w:vAlign w:val="center"/>
          </w:tcPr>
          <w:p w:rsidR="00887843" w:rsidRPr="00C11AAD" w:rsidRDefault="002840D8" w:rsidP="00DB2EA0">
            <w:pPr>
              <w:pStyle w:val="Tabletext"/>
              <w:jc w:val="center"/>
              <w:rPr>
                <w:lang w:val="en-US"/>
              </w:rPr>
            </w:pPr>
            <w:r w:rsidRPr="00C11AAD">
              <w:t>Change from baseline in HbA1c at week 24</w:t>
            </w:r>
          </w:p>
        </w:tc>
      </w:tr>
      <w:tr w:rsidR="0043256C" w:rsidRPr="00C11AAD" w:rsidTr="0043256C">
        <w:trPr>
          <w:gridAfter w:val="1"/>
          <w:wAfter w:w="6" w:type="pct"/>
        </w:trPr>
        <w:tc>
          <w:tcPr>
            <w:tcW w:w="506" w:type="pct"/>
            <w:shd w:val="clear" w:color="auto" w:fill="auto"/>
            <w:vAlign w:val="center"/>
          </w:tcPr>
          <w:p w:rsidR="00887843" w:rsidRPr="00C11AAD" w:rsidRDefault="00951DB2" w:rsidP="00DB2EA0">
            <w:pPr>
              <w:pStyle w:val="Tabletext"/>
              <w:rPr>
                <w:vertAlign w:val="superscript"/>
                <w:lang w:val="en-US"/>
              </w:rPr>
            </w:pPr>
            <w:r w:rsidRPr="00C11AAD">
              <w:rPr>
                <w:lang w:val="en-US"/>
              </w:rPr>
              <w:t>1245.31</w:t>
            </w:r>
            <w:r w:rsidRPr="00C11AAD">
              <w:rPr>
                <w:vertAlign w:val="superscript"/>
                <w:lang w:val="en-US"/>
              </w:rPr>
              <w:t>a</w:t>
            </w:r>
          </w:p>
        </w:tc>
        <w:tc>
          <w:tcPr>
            <w:tcW w:w="273" w:type="pct"/>
            <w:shd w:val="clear" w:color="auto" w:fill="auto"/>
            <w:vAlign w:val="center"/>
          </w:tcPr>
          <w:p w:rsidR="00887843" w:rsidRPr="00C11AAD" w:rsidRDefault="00D16C57" w:rsidP="00DB2EA0">
            <w:pPr>
              <w:pStyle w:val="Tabletext"/>
              <w:jc w:val="center"/>
              <w:rPr>
                <w:lang w:val="en-US"/>
              </w:rPr>
            </w:pPr>
            <w:r w:rsidRPr="00C11AAD">
              <w:rPr>
                <w:lang w:val="en-US"/>
              </w:rPr>
              <w:t>638</w:t>
            </w:r>
          </w:p>
        </w:tc>
        <w:tc>
          <w:tcPr>
            <w:tcW w:w="946" w:type="pct"/>
            <w:shd w:val="clear" w:color="auto" w:fill="auto"/>
            <w:vAlign w:val="center"/>
          </w:tcPr>
          <w:p w:rsidR="00887843" w:rsidRPr="00C11AAD" w:rsidRDefault="00D16C57" w:rsidP="00DB2EA0">
            <w:pPr>
              <w:pStyle w:val="Tabletext"/>
              <w:jc w:val="center"/>
              <w:rPr>
                <w:lang w:val="en-US"/>
              </w:rPr>
            </w:pPr>
            <w:r w:rsidRPr="00C11AAD">
              <w:rPr>
                <w:lang w:val="en-US"/>
              </w:rPr>
              <w:t>R, DB, PC, extension</w:t>
            </w:r>
          </w:p>
          <w:p w:rsidR="00D16C57" w:rsidRPr="00C11AAD" w:rsidRDefault="00D16C57" w:rsidP="00DB2EA0">
            <w:pPr>
              <w:pStyle w:val="Tabletext"/>
              <w:jc w:val="center"/>
              <w:rPr>
                <w:lang w:val="en-US"/>
              </w:rPr>
            </w:pPr>
            <w:r w:rsidRPr="00C11AAD">
              <w:rPr>
                <w:lang w:val="en-US"/>
              </w:rPr>
              <w:t>76 weeks</w:t>
            </w:r>
          </w:p>
        </w:tc>
        <w:tc>
          <w:tcPr>
            <w:tcW w:w="552" w:type="pct"/>
            <w:shd w:val="clear" w:color="auto" w:fill="auto"/>
            <w:vAlign w:val="center"/>
          </w:tcPr>
          <w:p w:rsidR="00887843"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87843" w:rsidRPr="00C11AAD" w:rsidRDefault="002840D8" w:rsidP="00CE01F5">
            <w:pPr>
              <w:pStyle w:val="Tabletext"/>
              <w:jc w:val="center"/>
              <w:rPr>
                <w:lang w:val="en-US"/>
              </w:rPr>
            </w:pPr>
            <w:r w:rsidRPr="00C11AAD">
              <w:t xml:space="preserve">Patients with </w:t>
            </w:r>
            <w:r w:rsidR="00CE01F5" w:rsidRPr="00C11AAD">
              <w:t>T2D</w:t>
            </w:r>
            <w:r w:rsidRPr="00C11AAD">
              <w:t xml:space="preserve"> who completed 24 weeks treatment in Trial 1245.23</w:t>
            </w:r>
          </w:p>
        </w:tc>
        <w:tc>
          <w:tcPr>
            <w:tcW w:w="1381" w:type="pct"/>
            <w:shd w:val="clear" w:color="auto" w:fill="auto"/>
            <w:vAlign w:val="center"/>
          </w:tcPr>
          <w:p w:rsidR="00887843" w:rsidRPr="00C11AAD" w:rsidRDefault="00CE01F5" w:rsidP="00CE01F5">
            <w:pPr>
              <w:pStyle w:val="Tabletext"/>
              <w:jc w:val="center"/>
              <w:rPr>
                <w:lang w:val="en-US"/>
              </w:rPr>
            </w:pPr>
            <w:r w:rsidRPr="00C11AAD">
              <w:t>C</w:t>
            </w:r>
            <w:r w:rsidR="002840D8" w:rsidRPr="00C11AAD">
              <w:t>hange from baseline in HbA1c, fasting plasm glucose, body weight, blood pressure and use of rescue therapy at week 76</w:t>
            </w:r>
          </w:p>
        </w:tc>
      </w:tr>
      <w:tr w:rsidR="008B45AD" w:rsidRPr="00C11AAD" w:rsidTr="0043256C">
        <w:tc>
          <w:tcPr>
            <w:tcW w:w="5000" w:type="pct"/>
            <w:gridSpan w:val="7"/>
            <w:shd w:val="clear" w:color="auto" w:fill="auto"/>
            <w:vAlign w:val="center"/>
          </w:tcPr>
          <w:p w:rsidR="008B45AD" w:rsidRPr="00C11AAD" w:rsidRDefault="008B45AD" w:rsidP="008B45AD">
            <w:pPr>
              <w:pStyle w:val="Tabletext"/>
              <w:rPr>
                <w:b/>
                <w:lang w:val="en-US"/>
              </w:rPr>
            </w:pPr>
            <w:r w:rsidRPr="00C11AAD">
              <w:rPr>
                <w:b/>
                <w:lang w:val="en-US"/>
              </w:rPr>
              <w:t xml:space="preserve">Supplementary indirect comparison: </w:t>
            </w:r>
            <w:r w:rsidR="00AE315F" w:rsidRPr="00C11AAD">
              <w:rPr>
                <w:b/>
                <w:lang w:val="en-US"/>
              </w:rPr>
              <w:t>DPP4 inhibitor</w:t>
            </w:r>
            <w:r w:rsidRPr="00C11AAD">
              <w:rPr>
                <w:b/>
                <w:lang w:val="en-US"/>
              </w:rPr>
              <w:t xml:space="preserve"> + metformin common reference</w:t>
            </w:r>
          </w:p>
        </w:tc>
      </w:tr>
      <w:tr w:rsidR="008B45AD" w:rsidRPr="00C11AAD" w:rsidTr="0043256C">
        <w:tc>
          <w:tcPr>
            <w:tcW w:w="5000" w:type="pct"/>
            <w:gridSpan w:val="7"/>
            <w:shd w:val="clear" w:color="auto" w:fill="auto"/>
            <w:vAlign w:val="center"/>
          </w:tcPr>
          <w:p w:rsidR="008B45AD" w:rsidRPr="00C11AAD" w:rsidRDefault="008B45AD" w:rsidP="00D16C57">
            <w:pPr>
              <w:pStyle w:val="Tabletext"/>
              <w:rPr>
                <w:b/>
                <w:lang w:val="en-US"/>
              </w:rPr>
            </w:pPr>
            <w:proofErr w:type="spellStart"/>
            <w:r w:rsidRPr="00C11AAD">
              <w:rPr>
                <w:b/>
                <w:lang w:val="en-US"/>
              </w:rPr>
              <w:t>Ertugliflozin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8B45AD" w:rsidRPr="00C11AAD" w:rsidRDefault="008B45AD" w:rsidP="00D16C57">
            <w:pPr>
              <w:pStyle w:val="Tabletext"/>
              <w:rPr>
                <w:lang w:val="en-US"/>
              </w:rPr>
            </w:pPr>
            <w:r w:rsidRPr="00C11AAD">
              <w:rPr>
                <w:lang w:val="en-US"/>
              </w:rPr>
              <w:t>P005</w:t>
            </w:r>
          </w:p>
        </w:tc>
        <w:tc>
          <w:tcPr>
            <w:tcW w:w="273" w:type="pct"/>
            <w:shd w:val="clear" w:color="auto" w:fill="auto"/>
            <w:vAlign w:val="center"/>
          </w:tcPr>
          <w:p w:rsidR="008B45AD" w:rsidRPr="00C11AAD" w:rsidRDefault="00D16C57" w:rsidP="00D16C57">
            <w:pPr>
              <w:pStyle w:val="Tabletext"/>
              <w:jc w:val="center"/>
              <w:rPr>
                <w:lang w:val="en-US"/>
              </w:rPr>
            </w:pPr>
            <w:r w:rsidRPr="00C11AAD">
              <w:rPr>
                <w:lang w:val="en-US"/>
              </w:rPr>
              <w:t>1233</w:t>
            </w:r>
          </w:p>
        </w:tc>
        <w:tc>
          <w:tcPr>
            <w:tcW w:w="946" w:type="pct"/>
            <w:shd w:val="clear" w:color="auto" w:fill="auto"/>
            <w:vAlign w:val="center"/>
          </w:tcPr>
          <w:p w:rsidR="008B45AD" w:rsidRPr="00C11AAD" w:rsidRDefault="00ED76CD" w:rsidP="0029776B">
            <w:pPr>
              <w:pStyle w:val="Tabletext"/>
              <w:jc w:val="center"/>
              <w:rPr>
                <w:lang w:val="en-US"/>
              </w:rPr>
            </w:pPr>
            <w:r w:rsidRPr="00C11AAD">
              <w:rPr>
                <w:lang w:val="en-US"/>
              </w:rPr>
              <w:t xml:space="preserve">R, DB, PG, factorial study, </w:t>
            </w:r>
            <w:r w:rsidR="0029776B" w:rsidRPr="00C11AAD">
              <w:rPr>
                <w:lang w:val="en-US"/>
              </w:rPr>
              <w:t>5</w:t>
            </w:r>
            <w:r w:rsidRPr="00C11AAD">
              <w:rPr>
                <w:lang w:val="en-US"/>
              </w:rPr>
              <w:t>2 weeks</w:t>
            </w:r>
          </w:p>
        </w:tc>
        <w:tc>
          <w:tcPr>
            <w:tcW w:w="552" w:type="pct"/>
            <w:shd w:val="clear" w:color="auto" w:fill="auto"/>
            <w:vAlign w:val="center"/>
          </w:tcPr>
          <w:p w:rsidR="008B45AD" w:rsidRPr="00C11AAD" w:rsidRDefault="00ED76CD" w:rsidP="00D16C57">
            <w:pPr>
              <w:pStyle w:val="Tabletext"/>
              <w:jc w:val="center"/>
              <w:rPr>
                <w:lang w:val="en-US"/>
              </w:rPr>
            </w:pPr>
            <w:r w:rsidRPr="00C11AAD">
              <w:rPr>
                <w:lang w:val="en-US"/>
              </w:rPr>
              <w:t>Low</w:t>
            </w:r>
          </w:p>
        </w:tc>
        <w:tc>
          <w:tcPr>
            <w:tcW w:w="1336" w:type="pct"/>
            <w:shd w:val="clear" w:color="auto" w:fill="auto"/>
            <w:vAlign w:val="center"/>
          </w:tcPr>
          <w:p w:rsidR="008B45AD" w:rsidRPr="00C11AAD" w:rsidRDefault="00CE01F5" w:rsidP="00CE01F5">
            <w:pPr>
              <w:pStyle w:val="Tabletext"/>
              <w:jc w:val="center"/>
              <w:rPr>
                <w:lang w:val="en-US"/>
              </w:rPr>
            </w:pPr>
            <w:r w:rsidRPr="00C11AAD">
              <w:t>T2D</w:t>
            </w:r>
            <w:r w:rsidR="00145D24" w:rsidRPr="00C11AAD">
              <w:t xml:space="preserve"> </w:t>
            </w:r>
            <w:r w:rsidRPr="00C11AAD">
              <w:t xml:space="preserve">with </w:t>
            </w:r>
            <w:r w:rsidR="00145D24" w:rsidRPr="00C11AAD">
              <w:t>HbA1c 7.5</w:t>
            </w:r>
            <w:r w:rsidRPr="00C11AAD">
              <w:t>-</w:t>
            </w:r>
            <w:r w:rsidR="00145D24" w:rsidRPr="00C11AAD">
              <w:t>11%</w:t>
            </w:r>
            <w:r w:rsidRPr="00C11AAD">
              <w:t xml:space="preserve"> on metformin monotherapy</w:t>
            </w:r>
          </w:p>
        </w:tc>
        <w:tc>
          <w:tcPr>
            <w:tcW w:w="1381" w:type="pct"/>
            <w:shd w:val="clear" w:color="auto" w:fill="auto"/>
            <w:vAlign w:val="center"/>
          </w:tcPr>
          <w:p w:rsidR="008B45AD" w:rsidRPr="00C11AAD" w:rsidRDefault="00145D24" w:rsidP="00CE01F5">
            <w:pPr>
              <w:pStyle w:val="Tabletext"/>
              <w:jc w:val="center"/>
              <w:rPr>
                <w:lang w:val="en-US"/>
              </w:rPr>
            </w:pPr>
            <w:r w:rsidRPr="00C11AAD">
              <w:t>Change from baseline in HbA1c at weeks 26 and 52</w:t>
            </w:r>
          </w:p>
        </w:tc>
      </w:tr>
      <w:tr w:rsidR="0043256C" w:rsidRPr="00C11AAD" w:rsidTr="0043256C">
        <w:trPr>
          <w:gridAfter w:val="1"/>
          <w:wAfter w:w="6" w:type="pct"/>
        </w:trPr>
        <w:tc>
          <w:tcPr>
            <w:tcW w:w="506" w:type="pct"/>
            <w:shd w:val="clear" w:color="auto" w:fill="auto"/>
            <w:vAlign w:val="center"/>
          </w:tcPr>
          <w:p w:rsidR="00CE01F5" w:rsidRPr="00C11AAD" w:rsidRDefault="00CE01F5" w:rsidP="00CE01F5">
            <w:pPr>
              <w:pStyle w:val="Tabletext"/>
              <w:rPr>
                <w:lang w:val="en-US"/>
              </w:rPr>
            </w:pPr>
            <w:r w:rsidRPr="00C11AAD">
              <w:rPr>
                <w:lang w:val="en-US"/>
              </w:rPr>
              <w:t>P016</w:t>
            </w:r>
          </w:p>
        </w:tc>
        <w:tc>
          <w:tcPr>
            <w:tcW w:w="273" w:type="pct"/>
            <w:shd w:val="clear" w:color="auto" w:fill="auto"/>
            <w:vAlign w:val="center"/>
          </w:tcPr>
          <w:p w:rsidR="00CE01F5" w:rsidRPr="00C11AAD" w:rsidRDefault="00CE01F5" w:rsidP="00CE01F5">
            <w:pPr>
              <w:pStyle w:val="Tabletext"/>
              <w:jc w:val="center"/>
              <w:rPr>
                <w:lang w:val="en-US"/>
              </w:rPr>
            </w:pPr>
            <w:r w:rsidRPr="00C11AAD">
              <w:rPr>
                <w:lang w:val="en-US"/>
              </w:rPr>
              <w:t>328</w:t>
            </w:r>
          </w:p>
        </w:tc>
        <w:tc>
          <w:tcPr>
            <w:tcW w:w="946" w:type="pct"/>
            <w:shd w:val="clear" w:color="auto" w:fill="auto"/>
            <w:vAlign w:val="center"/>
          </w:tcPr>
          <w:p w:rsidR="00CE01F5" w:rsidRPr="00C11AAD" w:rsidRDefault="00CE01F5" w:rsidP="00CE01F5">
            <w:pPr>
              <w:pStyle w:val="Tabletext"/>
              <w:jc w:val="center"/>
              <w:rPr>
                <w:lang w:val="en-US"/>
              </w:rPr>
            </w:pPr>
            <w:r w:rsidRPr="00C11AAD">
              <w:rPr>
                <w:lang w:val="en-US"/>
              </w:rPr>
              <w:t>R, DB, PC/AC dose finding phase 2 trial</w:t>
            </w:r>
          </w:p>
          <w:p w:rsidR="00CE01F5" w:rsidRPr="00C11AAD" w:rsidRDefault="00CE01F5" w:rsidP="00CE01F5">
            <w:pPr>
              <w:pStyle w:val="Tabletext"/>
              <w:jc w:val="center"/>
              <w:rPr>
                <w:lang w:val="en-US"/>
              </w:rPr>
            </w:pPr>
            <w:r w:rsidRPr="00C11AAD">
              <w:rPr>
                <w:lang w:val="en-US"/>
              </w:rPr>
              <w:t>12 weeks</w:t>
            </w:r>
          </w:p>
        </w:tc>
        <w:tc>
          <w:tcPr>
            <w:tcW w:w="552" w:type="pct"/>
            <w:shd w:val="clear" w:color="auto" w:fill="auto"/>
            <w:vAlign w:val="center"/>
          </w:tcPr>
          <w:p w:rsidR="00CE01F5" w:rsidRPr="00C11AAD" w:rsidRDefault="00CE01F5" w:rsidP="00CE01F5">
            <w:pPr>
              <w:pStyle w:val="Tabletext"/>
              <w:jc w:val="center"/>
              <w:rPr>
                <w:lang w:val="en-US"/>
              </w:rPr>
            </w:pPr>
            <w:r w:rsidRPr="00C11AAD">
              <w:rPr>
                <w:lang w:val="en-US"/>
              </w:rPr>
              <w:t>Low</w:t>
            </w:r>
          </w:p>
        </w:tc>
        <w:tc>
          <w:tcPr>
            <w:tcW w:w="1336" w:type="pct"/>
            <w:shd w:val="clear" w:color="auto" w:fill="auto"/>
            <w:vAlign w:val="center"/>
          </w:tcPr>
          <w:p w:rsidR="00CE01F5" w:rsidRPr="00C11AAD" w:rsidRDefault="00CE01F5" w:rsidP="00CE01F5">
            <w:pPr>
              <w:pStyle w:val="Tabletext"/>
              <w:jc w:val="center"/>
              <w:rPr>
                <w:lang w:val="en-US"/>
              </w:rPr>
            </w:pPr>
            <w:r w:rsidRPr="00C11AAD">
              <w:t>T2D with HbA1c 7-11% on metformin monotherapy, or 6.5-9.5% on metformin plus oral diabetes medicine</w:t>
            </w:r>
          </w:p>
        </w:tc>
        <w:tc>
          <w:tcPr>
            <w:tcW w:w="1381" w:type="pct"/>
            <w:shd w:val="clear" w:color="auto" w:fill="auto"/>
            <w:vAlign w:val="center"/>
          </w:tcPr>
          <w:p w:rsidR="00CE01F5" w:rsidRPr="00C11AAD" w:rsidRDefault="00CE01F5" w:rsidP="00CE01F5">
            <w:pPr>
              <w:pStyle w:val="Tabletext"/>
              <w:jc w:val="center"/>
              <w:rPr>
                <w:lang w:val="en-US"/>
              </w:rPr>
            </w:pPr>
            <w:r w:rsidRPr="00C11AAD">
              <w:t>Change from baseline in HbA1c at week 12</w:t>
            </w:r>
          </w:p>
        </w:tc>
      </w:tr>
      <w:tr w:rsidR="008B45AD" w:rsidRPr="00C11AAD" w:rsidTr="0043256C">
        <w:tc>
          <w:tcPr>
            <w:tcW w:w="5000" w:type="pct"/>
            <w:gridSpan w:val="7"/>
            <w:shd w:val="clear" w:color="auto" w:fill="auto"/>
            <w:vAlign w:val="center"/>
          </w:tcPr>
          <w:p w:rsidR="008B45AD" w:rsidRPr="00C11AAD" w:rsidRDefault="008B45AD" w:rsidP="00D16C57">
            <w:pPr>
              <w:pStyle w:val="Tabletext"/>
              <w:rPr>
                <w:b/>
                <w:lang w:val="en-US"/>
              </w:rPr>
            </w:pPr>
            <w:proofErr w:type="spellStart"/>
            <w:r w:rsidRPr="00C11AAD">
              <w:rPr>
                <w:b/>
                <w:lang w:val="en-US"/>
              </w:rPr>
              <w:t>Dapagliflozin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887843" w:rsidRPr="00C11AAD" w:rsidRDefault="008B45AD" w:rsidP="00DB2EA0">
            <w:pPr>
              <w:pStyle w:val="Tabletext"/>
              <w:rPr>
                <w:lang w:val="en-US"/>
              </w:rPr>
            </w:pPr>
            <w:proofErr w:type="spellStart"/>
            <w:r w:rsidRPr="00C11AAD">
              <w:rPr>
                <w:lang w:val="en-US"/>
              </w:rPr>
              <w:t>Rosenstock</w:t>
            </w:r>
            <w:proofErr w:type="spellEnd"/>
            <w:r w:rsidRPr="00C11AAD">
              <w:rPr>
                <w:lang w:val="en-US"/>
              </w:rPr>
              <w:t xml:space="preserve"> 2015</w:t>
            </w:r>
          </w:p>
        </w:tc>
        <w:tc>
          <w:tcPr>
            <w:tcW w:w="273" w:type="pct"/>
            <w:shd w:val="clear" w:color="auto" w:fill="auto"/>
            <w:vAlign w:val="center"/>
          </w:tcPr>
          <w:p w:rsidR="00887843" w:rsidRPr="00C11AAD" w:rsidRDefault="00D16C57" w:rsidP="00DB2EA0">
            <w:pPr>
              <w:pStyle w:val="Tabletext"/>
              <w:jc w:val="center"/>
              <w:rPr>
                <w:lang w:val="en-US"/>
              </w:rPr>
            </w:pPr>
            <w:r w:rsidRPr="00C11AAD">
              <w:rPr>
                <w:lang w:val="en-US"/>
              </w:rPr>
              <w:t>534</w:t>
            </w:r>
          </w:p>
        </w:tc>
        <w:tc>
          <w:tcPr>
            <w:tcW w:w="946" w:type="pct"/>
            <w:shd w:val="clear" w:color="auto" w:fill="auto"/>
            <w:vAlign w:val="center"/>
          </w:tcPr>
          <w:p w:rsidR="00887843" w:rsidRPr="00C11AAD" w:rsidRDefault="001D7290" w:rsidP="00DB2EA0">
            <w:pPr>
              <w:pStyle w:val="Tabletext"/>
              <w:jc w:val="center"/>
              <w:rPr>
                <w:lang w:val="en-US"/>
              </w:rPr>
            </w:pPr>
            <w:r w:rsidRPr="00C11AAD">
              <w:rPr>
                <w:lang w:val="en-US"/>
              </w:rPr>
              <w:t>MC, R, DB, AC, PG</w:t>
            </w:r>
          </w:p>
          <w:p w:rsidR="001D7290" w:rsidRPr="00C11AAD" w:rsidRDefault="001D7290" w:rsidP="00DB2EA0">
            <w:pPr>
              <w:pStyle w:val="Tabletext"/>
              <w:jc w:val="center"/>
              <w:rPr>
                <w:lang w:val="en-US"/>
              </w:rPr>
            </w:pPr>
            <w:r w:rsidRPr="00C11AAD">
              <w:rPr>
                <w:lang w:val="en-US"/>
              </w:rPr>
              <w:t>24 weeks</w:t>
            </w:r>
          </w:p>
        </w:tc>
        <w:tc>
          <w:tcPr>
            <w:tcW w:w="552" w:type="pct"/>
            <w:shd w:val="clear" w:color="auto" w:fill="auto"/>
            <w:vAlign w:val="center"/>
          </w:tcPr>
          <w:p w:rsidR="00887843"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87843" w:rsidRPr="00C11AAD" w:rsidRDefault="00CE01F5" w:rsidP="00CE01F5">
            <w:pPr>
              <w:pStyle w:val="TableText0"/>
              <w:spacing w:before="0" w:after="0"/>
            </w:pPr>
            <w:r w:rsidRPr="00C11AAD">
              <w:t>T2D</w:t>
            </w:r>
            <w:r w:rsidR="002840D8" w:rsidRPr="00C11AAD">
              <w:t xml:space="preserve"> with HbA1c 8.0-12.0% on </w:t>
            </w:r>
            <w:r w:rsidRPr="00C11AAD">
              <w:t>metformin</w:t>
            </w:r>
          </w:p>
        </w:tc>
        <w:tc>
          <w:tcPr>
            <w:tcW w:w="1381" w:type="pct"/>
            <w:shd w:val="clear" w:color="auto" w:fill="auto"/>
            <w:vAlign w:val="center"/>
          </w:tcPr>
          <w:p w:rsidR="00887843" w:rsidRPr="00C11AAD" w:rsidRDefault="002840D8" w:rsidP="00DB2EA0">
            <w:pPr>
              <w:pStyle w:val="Tabletext"/>
              <w:jc w:val="center"/>
              <w:rPr>
                <w:lang w:val="en-US"/>
              </w:rPr>
            </w:pPr>
            <w:r w:rsidRPr="00C11AAD">
              <w:t>Adjusted mean change from baseline in HbA1c after 24 weeks</w:t>
            </w:r>
          </w:p>
        </w:tc>
      </w:tr>
      <w:tr w:rsidR="008B45AD" w:rsidRPr="00C11AAD" w:rsidTr="0043256C">
        <w:tc>
          <w:tcPr>
            <w:tcW w:w="5000" w:type="pct"/>
            <w:gridSpan w:val="7"/>
            <w:shd w:val="clear" w:color="auto" w:fill="auto"/>
            <w:vAlign w:val="center"/>
          </w:tcPr>
          <w:p w:rsidR="008B45AD" w:rsidRPr="00C11AAD" w:rsidRDefault="008B45AD" w:rsidP="00D16C57">
            <w:pPr>
              <w:pStyle w:val="Tabletext"/>
              <w:rPr>
                <w:b/>
                <w:lang w:val="en-US"/>
              </w:rPr>
            </w:pPr>
            <w:proofErr w:type="spellStart"/>
            <w:r w:rsidRPr="00C11AAD">
              <w:rPr>
                <w:b/>
                <w:lang w:val="en-US"/>
              </w:rPr>
              <w:t>Empagliflozin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8B45AD" w:rsidRPr="00C11AAD" w:rsidRDefault="008B45AD" w:rsidP="00DB2EA0">
            <w:pPr>
              <w:pStyle w:val="Tabletext"/>
              <w:rPr>
                <w:lang w:val="en-US"/>
              </w:rPr>
            </w:pPr>
            <w:r w:rsidRPr="00C11AAD">
              <w:rPr>
                <w:lang w:val="en-US"/>
              </w:rPr>
              <w:t>1245.10</w:t>
            </w:r>
          </w:p>
        </w:tc>
        <w:tc>
          <w:tcPr>
            <w:tcW w:w="273" w:type="pct"/>
            <w:shd w:val="clear" w:color="auto" w:fill="auto"/>
            <w:vAlign w:val="center"/>
          </w:tcPr>
          <w:p w:rsidR="008B45AD" w:rsidRPr="00C11AAD" w:rsidRDefault="00D16C57" w:rsidP="00DB2EA0">
            <w:pPr>
              <w:pStyle w:val="Tabletext"/>
              <w:jc w:val="center"/>
              <w:rPr>
                <w:lang w:val="en-US"/>
              </w:rPr>
            </w:pPr>
            <w:r w:rsidRPr="00C11AAD">
              <w:rPr>
                <w:lang w:val="en-US"/>
              </w:rPr>
              <w:t>495</w:t>
            </w:r>
          </w:p>
        </w:tc>
        <w:tc>
          <w:tcPr>
            <w:tcW w:w="946" w:type="pct"/>
            <w:shd w:val="clear" w:color="auto" w:fill="auto"/>
            <w:vAlign w:val="center"/>
          </w:tcPr>
          <w:p w:rsidR="008B45AD" w:rsidRPr="00C11AAD" w:rsidRDefault="00D16C57" w:rsidP="00DB2EA0">
            <w:pPr>
              <w:pStyle w:val="Tabletext"/>
              <w:jc w:val="center"/>
              <w:rPr>
                <w:lang w:val="en-US"/>
              </w:rPr>
            </w:pPr>
            <w:r w:rsidRPr="00C11AAD">
              <w:rPr>
                <w:lang w:val="en-US"/>
              </w:rPr>
              <w:t>R, DB, PC, dose ranging, 12 weeks</w:t>
            </w:r>
          </w:p>
        </w:tc>
        <w:tc>
          <w:tcPr>
            <w:tcW w:w="552" w:type="pct"/>
            <w:shd w:val="clear" w:color="auto" w:fill="auto"/>
            <w:vAlign w:val="center"/>
          </w:tcPr>
          <w:p w:rsidR="008B45AD"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B45AD" w:rsidRPr="00C11AAD" w:rsidRDefault="00CE01F5" w:rsidP="00CE01F5">
            <w:pPr>
              <w:pStyle w:val="Tabletext"/>
              <w:jc w:val="center"/>
              <w:rPr>
                <w:lang w:val="en-US"/>
              </w:rPr>
            </w:pPr>
            <w:r w:rsidRPr="00C11AAD">
              <w:t>T2D</w:t>
            </w:r>
            <w:r w:rsidR="002840D8" w:rsidRPr="00C11AAD">
              <w:t xml:space="preserve"> with </w:t>
            </w:r>
            <w:r w:rsidRPr="00C11AAD">
              <w:t>HbA1c 7-10%</w:t>
            </w:r>
            <w:r w:rsidR="002840D8" w:rsidRPr="00C11AAD">
              <w:t xml:space="preserve"> on metformin monotherapy</w:t>
            </w:r>
          </w:p>
        </w:tc>
        <w:tc>
          <w:tcPr>
            <w:tcW w:w="1381" w:type="pct"/>
            <w:shd w:val="clear" w:color="auto" w:fill="auto"/>
            <w:vAlign w:val="center"/>
          </w:tcPr>
          <w:p w:rsidR="008B45AD" w:rsidRPr="00C11AAD" w:rsidRDefault="002840D8" w:rsidP="00DB2EA0">
            <w:pPr>
              <w:pStyle w:val="Tabletext"/>
              <w:jc w:val="center"/>
              <w:rPr>
                <w:lang w:val="en-US"/>
              </w:rPr>
            </w:pPr>
            <w:r w:rsidRPr="00C11AAD">
              <w:t>Change from baseline in HbA1c at week 12</w:t>
            </w:r>
          </w:p>
        </w:tc>
      </w:tr>
      <w:tr w:rsidR="0043256C" w:rsidRPr="00C11AAD" w:rsidTr="0043256C">
        <w:trPr>
          <w:gridAfter w:val="1"/>
          <w:wAfter w:w="6" w:type="pct"/>
        </w:trPr>
        <w:tc>
          <w:tcPr>
            <w:tcW w:w="506" w:type="pct"/>
            <w:shd w:val="clear" w:color="auto" w:fill="auto"/>
            <w:vAlign w:val="center"/>
          </w:tcPr>
          <w:p w:rsidR="008B45AD" w:rsidRPr="00C11AAD" w:rsidRDefault="008B45AD" w:rsidP="00DB2EA0">
            <w:pPr>
              <w:pStyle w:val="Tabletext"/>
              <w:rPr>
                <w:lang w:val="en-US"/>
              </w:rPr>
            </w:pPr>
            <w:r w:rsidRPr="00C11AAD">
              <w:rPr>
                <w:lang w:val="en-US"/>
              </w:rPr>
              <w:t>1275.1</w:t>
            </w:r>
          </w:p>
        </w:tc>
        <w:tc>
          <w:tcPr>
            <w:tcW w:w="273" w:type="pct"/>
            <w:shd w:val="clear" w:color="auto" w:fill="auto"/>
            <w:vAlign w:val="center"/>
          </w:tcPr>
          <w:p w:rsidR="008B45AD" w:rsidRPr="00C11AAD" w:rsidRDefault="00D16C57" w:rsidP="00DB2EA0">
            <w:pPr>
              <w:pStyle w:val="Tabletext"/>
              <w:jc w:val="center"/>
              <w:rPr>
                <w:lang w:val="en-US"/>
              </w:rPr>
            </w:pPr>
            <w:r w:rsidRPr="00C11AAD">
              <w:rPr>
                <w:lang w:val="en-US"/>
              </w:rPr>
              <w:t>686</w:t>
            </w:r>
          </w:p>
        </w:tc>
        <w:tc>
          <w:tcPr>
            <w:tcW w:w="946" w:type="pct"/>
            <w:shd w:val="clear" w:color="auto" w:fill="auto"/>
            <w:vAlign w:val="center"/>
          </w:tcPr>
          <w:p w:rsidR="008B45AD" w:rsidRPr="00C11AAD" w:rsidRDefault="00D16C57" w:rsidP="00DB2EA0">
            <w:pPr>
              <w:pStyle w:val="Tabletext"/>
              <w:jc w:val="center"/>
              <w:rPr>
                <w:lang w:val="en-US"/>
              </w:rPr>
            </w:pPr>
            <w:r w:rsidRPr="00C11AAD">
              <w:rPr>
                <w:lang w:val="en-US"/>
              </w:rPr>
              <w:t>R, DB, PG, AC</w:t>
            </w:r>
          </w:p>
          <w:p w:rsidR="00D16C57" w:rsidRPr="00C11AAD" w:rsidRDefault="00D16C57" w:rsidP="00DB2EA0">
            <w:pPr>
              <w:pStyle w:val="Tabletext"/>
              <w:jc w:val="center"/>
              <w:rPr>
                <w:lang w:val="en-US"/>
              </w:rPr>
            </w:pPr>
            <w:r w:rsidRPr="00C11AAD">
              <w:rPr>
                <w:lang w:val="en-US"/>
              </w:rPr>
              <w:t>52 weeks</w:t>
            </w:r>
          </w:p>
        </w:tc>
        <w:tc>
          <w:tcPr>
            <w:tcW w:w="552" w:type="pct"/>
            <w:shd w:val="clear" w:color="auto" w:fill="auto"/>
            <w:vAlign w:val="center"/>
          </w:tcPr>
          <w:p w:rsidR="008B45AD"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B45AD" w:rsidRPr="00C11AAD" w:rsidRDefault="00CE01F5" w:rsidP="00CE01F5">
            <w:pPr>
              <w:pStyle w:val="Tabletext"/>
              <w:jc w:val="center"/>
              <w:rPr>
                <w:lang w:val="en-US"/>
              </w:rPr>
            </w:pPr>
            <w:r w:rsidRPr="00C11AAD">
              <w:t>T2D</w:t>
            </w:r>
            <w:r w:rsidR="002840D8" w:rsidRPr="00C11AAD">
              <w:t xml:space="preserve"> with </w:t>
            </w:r>
            <w:r w:rsidRPr="00C11AAD">
              <w:t>HbA1c 7-10.5% on metformin</w:t>
            </w:r>
          </w:p>
        </w:tc>
        <w:tc>
          <w:tcPr>
            <w:tcW w:w="1381" w:type="pct"/>
            <w:shd w:val="clear" w:color="auto" w:fill="auto"/>
            <w:vAlign w:val="center"/>
          </w:tcPr>
          <w:p w:rsidR="008B45AD" w:rsidRPr="00C11AAD" w:rsidRDefault="002840D8" w:rsidP="00DB2EA0">
            <w:pPr>
              <w:pStyle w:val="Tabletext"/>
              <w:jc w:val="center"/>
              <w:rPr>
                <w:lang w:val="en-US"/>
              </w:rPr>
            </w:pPr>
            <w:r w:rsidRPr="00C11AAD">
              <w:t>Change from baseline in HbA1c at week 24</w:t>
            </w:r>
          </w:p>
        </w:tc>
      </w:tr>
      <w:tr w:rsidR="0043256C" w:rsidRPr="00C11AAD" w:rsidTr="0043256C">
        <w:trPr>
          <w:gridAfter w:val="1"/>
          <w:wAfter w:w="6" w:type="pct"/>
        </w:trPr>
        <w:tc>
          <w:tcPr>
            <w:tcW w:w="506" w:type="pct"/>
            <w:shd w:val="clear" w:color="auto" w:fill="auto"/>
            <w:vAlign w:val="center"/>
          </w:tcPr>
          <w:p w:rsidR="008B45AD" w:rsidRPr="00C11AAD" w:rsidRDefault="008B45AD" w:rsidP="00DB2EA0">
            <w:pPr>
              <w:pStyle w:val="Tabletext"/>
              <w:rPr>
                <w:lang w:val="en-US"/>
              </w:rPr>
            </w:pPr>
            <w:r w:rsidRPr="00C11AAD">
              <w:rPr>
                <w:lang w:val="en-US"/>
              </w:rPr>
              <w:t>1245.24</w:t>
            </w:r>
            <w:r w:rsidRPr="00C11AAD">
              <w:rPr>
                <w:vertAlign w:val="superscript"/>
                <w:lang w:val="en-US"/>
              </w:rPr>
              <w:t>a</w:t>
            </w:r>
          </w:p>
        </w:tc>
        <w:tc>
          <w:tcPr>
            <w:tcW w:w="273" w:type="pct"/>
            <w:shd w:val="clear" w:color="auto" w:fill="auto"/>
            <w:vAlign w:val="center"/>
          </w:tcPr>
          <w:p w:rsidR="008B45AD" w:rsidRPr="00C11AAD" w:rsidRDefault="00D16C57" w:rsidP="00DB2EA0">
            <w:pPr>
              <w:pStyle w:val="Tabletext"/>
              <w:jc w:val="center"/>
              <w:rPr>
                <w:lang w:val="en-US"/>
              </w:rPr>
            </w:pPr>
            <w:r w:rsidRPr="00C11AAD">
              <w:rPr>
                <w:lang w:val="en-US"/>
              </w:rPr>
              <w:t>659</w:t>
            </w:r>
          </w:p>
        </w:tc>
        <w:tc>
          <w:tcPr>
            <w:tcW w:w="946" w:type="pct"/>
            <w:shd w:val="clear" w:color="auto" w:fill="auto"/>
            <w:vAlign w:val="center"/>
          </w:tcPr>
          <w:p w:rsidR="008B45AD" w:rsidRPr="00C11AAD" w:rsidRDefault="00D16C57" w:rsidP="00DB2EA0">
            <w:pPr>
              <w:pStyle w:val="Tabletext"/>
              <w:jc w:val="center"/>
              <w:rPr>
                <w:lang w:val="en-US"/>
              </w:rPr>
            </w:pPr>
            <w:r w:rsidRPr="00C11AAD">
              <w:rPr>
                <w:lang w:val="en-US"/>
              </w:rPr>
              <w:t>R, MC, OL, AC extension, 90 weeks</w:t>
            </w:r>
          </w:p>
        </w:tc>
        <w:tc>
          <w:tcPr>
            <w:tcW w:w="552" w:type="pct"/>
            <w:shd w:val="clear" w:color="auto" w:fill="auto"/>
            <w:vAlign w:val="center"/>
          </w:tcPr>
          <w:p w:rsidR="008B45AD" w:rsidRPr="00C11AAD" w:rsidRDefault="00D16C57" w:rsidP="00DB2EA0">
            <w:pPr>
              <w:pStyle w:val="Tabletext"/>
              <w:jc w:val="center"/>
              <w:rPr>
                <w:lang w:val="en-US"/>
              </w:rPr>
            </w:pPr>
            <w:r w:rsidRPr="00C11AAD">
              <w:rPr>
                <w:lang w:val="en-US"/>
              </w:rPr>
              <w:t>Unclear</w:t>
            </w:r>
          </w:p>
        </w:tc>
        <w:tc>
          <w:tcPr>
            <w:tcW w:w="1336" w:type="pct"/>
            <w:shd w:val="clear" w:color="auto" w:fill="auto"/>
            <w:vAlign w:val="center"/>
          </w:tcPr>
          <w:p w:rsidR="008B45AD" w:rsidRPr="00C11AAD" w:rsidRDefault="007D2511" w:rsidP="007D2511">
            <w:pPr>
              <w:pStyle w:val="Tabletext"/>
              <w:jc w:val="center"/>
              <w:rPr>
                <w:lang w:val="en-US"/>
              </w:rPr>
            </w:pPr>
            <w:r w:rsidRPr="00C11AAD">
              <w:t>T2D,</w:t>
            </w:r>
            <w:r w:rsidR="002840D8" w:rsidRPr="00C11AAD">
              <w:t xml:space="preserve"> successfully completed one of two 12-week trials</w:t>
            </w:r>
          </w:p>
        </w:tc>
        <w:tc>
          <w:tcPr>
            <w:tcW w:w="1381" w:type="pct"/>
            <w:shd w:val="clear" w:color="auto" w:fill="auto"/>
            <w:vAlign w:val="center"/>
          </w:tcPr>
          <w:p w:rsidR="008B45AD" w:rsidRPr="00C11AAD" w:rsidRDefault="002840D8" w:rsidP="00DB2EA0">
            <w:pPr>
              <w:pStyle w:val="Tabletext"/>
              <w:jc w:val="center"/>
              <w:rPr>
                <w:lang w:val="en-US"/>
              </w:rPr>
            </w:pPr>
            <w:r w:rsidRPr="00C11AAD">
              <w:t xml:space="preserve">Safety of long-term treatment with </w:t>
            </w:r>
            <w:proofErr w:type="spellStart"/>
            <w:r w:rsidRPr="00C11AAD">
              <w:t>empagliflozin</w:t>
            </w:r>
            <w:proofErr w:type="spellEnd"/>
            <w:r w:rsidRPr="00C11AAD">
              <w:t>, including adverse events and hypoglycaemia.</w:t>
            </w:r>
          </w:p>
        </w:tc>
      </w:tr>
      <w:tr w:rsidR="00EA1644" w:rsidRPr="00C11AAD" w:rsidTr="0043256C">
        <w:tc>
          <w:tcPr>
            <w:tcW w:w="5000" w:type="pct"/>
            <w:gridSpan w:val="7"/>
            <w:shd w:val="clear" w:color="auto" w:fill="auto"/>
            <w:vAlign w:val="center"/>
          </w:tcPr>
          <w:p w:rsidR="00EA1644" w:rsidRPr="00C11AAD" w:rsidRDefault="00EA1644" w:rsidP="00EA1644">
            <w:pPr>
              <w:pStyle w:val="Tabletext"/>
              <w:rPr>
                <w:b/>
                <w:lang w:val="en-US"/>
              </w:rPr>
            </w:pPr>
            <w:r w:rsidRPr="00C11AAD">
              <w:rPr>
                <w:b/>
                <w:lang w:val="en-US"/>
              </w:rPr>
              <w:t>Supplementary indirect comparison: sulfonylurea + metformin common reference</w:t>
            </w:r>
          </w:p>
        </w:tc>
      </w:tr>
      <w:tr w:rsidR="00EA1644" w:rsidRPr="00C11AAD" w:rsidTr="0043256C">
        <w:tc>
          <w:tcPr>
            <w:tcW w:w="5000" w:type="pct"/>
            <w:gridSpan w:val="7"/>
            <w:shd w:val="clear" w:color="auto" w:fill="auto"/>
            <w:vAlign w:val="center"/>
          </w:tcPr>
          <w:p w:rsidR="00EA1644" w:rsidRPr="00C11AAD" w:rsidRDefault="00EA1644" w:rsidP="00D16C57">
            <w:pPr>
              <w:pStyle w:val="Tabletext"/>
              <w:rPr>
                <w:b/>
                <w:lang w:val="en-US"/>
              </w:rPr>
            </w:pPr>
            <w:proofErr w:type="spellStart"/>
            <w:r w:rsidRPr="00C11AAD">
              <w:rPr>
                <w:b/>
                <w:lang w:val="en-US"/>
              </w:rPr>
              <w:t>Ertugliflozin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8B45AD" w:rsidRPr="00C11AAD" w:rsidRDefault="00EA1644" w:rsidP="00DB2EA0">
            <w:pPr>
              <w:pStyle w:val="Tabletext"/>
              <w:rPr>
                <w:lang w:val="en-US"/>
              </w:rPr>
            </w:pPr>
            <w:r w:rsidRPr="00C11AAD">
              <w:rPr>
                <w:lang w:val="en-US"/>
              </w:rPr>
              <w:t>P002</w:t>
            </w:r>
          </w:p>
        </w:tc>
        <w:tc>
          <w:tcPr>
            <w:tcW w:w="273" w:type="pct"/>
            <w:shd w:val="clear" w:color="auto" w:fill="auto"/>
            <w:vAlign w:val="center"/>
          </w:tcPr>
          <w:p w:rsidR="008B45AD" w:rsidRPr="00C11AAD" w:rsidRDefault="00D16C57" w:rsidP="00DB2EA0">
            <w:pPr>
              <w:pStyle w:val="Tabletext"/>
              <w:jc w:val="center"/>
              <w:rPr>
                <w:lang w:val="en-US"/>
              </w:rPr>
            </w:pPr>
            <w:r w:rsidRPr="00C11AAD">
              <w:rPr>
                <w:lang w:val="en-US"/>
              </w:rPr>
              <w:t>1326</w:t>
            </w:r>
          </w:p>
        </w:tc>
        <w:tc>
          <w:tcPr>
            <w:tcW w:w="946" w:type="pct"/>
            <w:shd w:val="clear" w:color="auto" w:fill="auto"/>
            <w:vAlign w:val="center"/>
          </w:tcPr>
          <w:p w:rsidR="008B45AD" w:rsidRPr="00C11AAD" w:rsidRDefault="00ED76CD" w:rsidP="00DB2EA0">
            <w:pPr>
              <w:pStyle w:val="Tabletext"/>
              <w:jc w:val="center"/>
              <w:rPr>
                <w:lang w:val="en-US"/>
              </w:rPr>
            </w:pPr>
            <w:r w:rsidRPr="00C11AAD">
              <w:rPr>
                <w:lang w:val="en-US"/>
              </w:rPr>
              <w:t>MC, R, DB, AC</w:t>
            </w:r>
          </w:p>
          <w:p w:rsidR="00ED76CD" w:rsidRPr="00C11AAD" w:rsidRDefault="00ED76CD" w:rsidP="00DB2EA0">
            <w:pPr>
              <w:pStyle w:val="Tabletext"/>
              <w:jc w:val="center"/>
              <w:rPr>
                <w:lang w:val="en-US"/>
              </w:rPr>
            </w:pPr>
            <w:r w:rsidRPr="00C11AAD">
              <w:rPr>
                <w:lang w:val="en-US"/>
              </w:rPr>
              <w:t>52 weeks</w:t>
            </w:r>
          </w:p>
        </w:tc>
        <w:tc>
          <w:tcPr>
            <w:tcW w:w="552" w:type="pct"/>
            <w:shd w:val="clear" w:color="auto" w:fill="auto"/>
            <w:vAlign w:val="center"/>
          </w:tcPr>
          <w:p w:rsidR="008B45AD" w:rsidRPr="00C11AAD" w:rsidRDefault="00ED76CD" w:rsidP="00DB2EA0">
            <w:pPr>
              <w:pStyle w:val="Tabletext"/>
              <w:jc w:val="center"/>
              <w:rPr>
                <w:lang w:val="en-US"/>
              </w:rPr>
            </w:pPr>
            <w:r w:rsidRPr="00C11AAD">
              <w:rPr>
                <w:lang w:val="en-US"/>
              </w:rPr>
              <w:t>Low</w:t>
            </w:r>
          </w:p>
        </w:tc>
        <w:tc>
          <w:tcPr>
            <w:tcW w:w="1336" w:type="pct"/>
            <w:shd w:val="clear" w:color="auto" w:fill="auto"/>
            <w:vAlign w:val="center"/>
          </w:tcPr>
          <w:p w:rsidR="008B45AD" w:rsidRPr="00C11AAD" w:rsidRDefault="003D1941" w:rsidP="007D2511">
            <w:pPr>
              <w:pStyle w:val="Tabletext"/>
              <w:jc w:val="center"/>
              <w:rPr>
                <w:lang w:val="en-US"/>
              </w:rPr>
            </w:pPr>
            <w:r w:rsidRPr="00C11AAD">
              <w:t>T2D</w:t>
            </w:r>
            <w:r w:rsidR="00145D24" w:rsidRPr="00C11AAD">
              <w:t xml:space="preserve"> with HbA1c 7</w:t>
            </w:r>
            <w:r w:rsidR="007D2511" w:rsidRPr="00C11AAD">
              <w:t>-</w:t>
            </w:r>
            <w:r w:rsidR="00145D24" w:rsidRPr="00C11AAD">
              <w:t>9%</w:t>
            </w:r>
            <w:r w:rsidR="007D2511" w:rsidRPr="00C11AAD">
              <w:t xml:space="preserve"> on metformin</w:t>
            </w:r>
          </w:p>
        </w:tc>
        <w:tc>
          <w:tcPr>
            <w:tcW w:w="1381" w:type="pct"/>
            <w:shd w:val="clear" w:color="auto" w:fill="auto"/>
            <w:vAlign w:val="center"/>
          </w:tcPr>
          <w:p w:rsidR="008B45AD" w:rsidRPr="00C11AAD" w:rsidRDefault="00145D24" w:rsidP="00DB2EA0">
            <w:pPr>
              <w:pStyle w:val="Tabletext"/>
              <w:jc w:val="center"/>
              <w:rPr>
                <w:lang w:val="en-US"/>
              </w:rPr>
            </w:pPr>
            <w:r w:rsidRPr="00C11AAD">
              <w:t>Change from baseline in HbA1c at week 52</w:t>
            </w:r>
          </w:p>
        </w:tc>
      </w:tr>
      <w:tr w:rsidR="00EA1644" w:rsidRPr="00C11AAD" w:rsidTr="0043256C">
        <w:tc>
          <w:tcPr>
            <w:tcW w:w="5000" w:type="pct"/>
            <w:gridSpan w:val="7"/>
            <w:shd w:val="clear" w:color="auto" w:fill="auto"/>
            <w:vAlign w:val="center"/>
          </w:tcPr>
          <w:p w:rsidR="00EA1644" w:rsidRPr="00C11AAD" w:rsidRDefault="00EA1644" w:rsidP="00D16C57">
            <w:pPr>
              <w:pStyle w:val="Tabletext"/>
              <w:rPr>
                <w:b/>
                <w:lang w:val="en-US"/>
              </w:rPr>
            </w:pPr>
            <w:proofErr w:type="spellStart"/>
            <w:r w:rsidRPr="00C11AAD">
              <w:rPr>
                <w:b/>
                <w:lang w:val="en-US"/>
              </w:rPr>
              <w:lastRenderedPageBreak/>
              <w:t>Dapagliflozin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8B45AD" w:rsidRPr="00C11AAD" w:rsidRDefault="00EA1644" w:rsidP="00DB2EA0">
            <w:pPr>
              <w:pStyle w:val="Tabletext"/>
              <w:rPr>
                <w:lang w:val="en-US"/>
              </w:rPr>
            </w:pPr>
            <w:r w:rsidRPr="00C11AAD">
              <w:rPr>
                <w:lang w:val="en-US"/>
              </w:rPr>
              <w:t>CT-004</w:t>
            </w:r>
          </w:p>
        </w:tc>
        <w:tc>
          <w:tcPr>
            <w:tcW w:w="273" w:type="pct"/>
            <w:shd w:val="clear" w:color="auto" w:fill="auto"/>
            <w:vAlign w:val="center"/>
          </w:tcPr>
          <w:p w:rsidR="008B45AD" w:rsidRPr="00C11AAD" w:rsidRDefault="00D16C57" w:rsidP="00DB2EA0">
            <w:pPr>
              <w:pStyle w:val="Tabletext"/>
              <w:jc w:val="center"/>
              <w:rPr>
                <w:lang w:val="en-US"/>
              </w:rPr>
            </w:pPr>
            <w:r w:rsidRPr="00C11AAD">
              <w:rPr>
                <w:lang w:val="en-US"/>
              </w:rPr>
              <w:t>816</w:t>
            </w:r>
          </w:p>
        </w:tc>
        <w:tc>
          <w:tcPr>
            <w:tcW w:w="946" w:type="pct"/>
            <w:shd w:val="clear" w:color="auto" w:fill="auto"/>
            <w:vAlign w:val="center"/>
          </w:tcPr>
          <w:p w:rsidR="008B45AD" w:rsidRPr="00C11AAD" w:rsidRDefault="00ED76CD" w:rsidP="00DB2EA0">
            <w:pPr>
              <w:pStyle w:val="Tabletext"/>
              <w:jc w:val="center"/>
              <w:rPr>
                <w:lang w:val="en-US"/>
              </w:rPr>
            </w:pPr>
            <w:r w:rsidRPr="00C11AAD">
              <w:rPr>
                <w:lang w:val="en-US"/>
              </w:rPr>
              <w:t>MC, R, DB, PG, AC</w:t>
            </w:r>
          </w:p>
          <w:p w:rsidR="00ED76CD" w:rsidRPr="00C11AAD" w:rsidRDefault="00ED76CD" w:rsidP="00DB2EA0">
            <w:pPr>
              <w:pStyle w:val="Tabletext"/>
              <w:jc w:val="center"/>
              <w:rPr>
                <w:lang w:val="en-US"/>
              </w:rPr>
            </w:pPr>
            <w:r w:rsidRPr="00C11AAD">
              <w:rPr>
                <w:lang w:val="en-US"/>
              </w:rPr>
              <w:t>52 weeks</w:t>
            </w:r>
          </w:p>
        </w:tc>
        <w:tc>
          <w:tcPr>
            <w:tcW w:w="552" w:type="pct"/>
            <w:shd w:val="clear" w:color="auto" w:fill="auto"/>
            <w:vAlign w:val="center"/>
          </w:tcPr>
          <w:p w:rsidR="008B45AD"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B45AD" w:rsidRPr="00C11AAD" w:rsidRDefault="007D2511" w:rsidP="007D2511">
            <w:pPr>
              <w:pStyle w:val="TableText0"/>
              <w:spacing w:before="0" w:after="0"/>
              <w:rPr>
                <w:lang w:val="en-US"/>
              </w:rPr>
            </w:pPr>
            <w:r w:rsidRPr="00C11AAD">
              <w:t xml:space="preserve">T2D with </w:t>
            </w:r>
            <w:r w:rsidR="002840D8" w:rsidRPr="00C11AAD">
              <w:t>HbA1c 6.5-10%</w:t>
            </w:r>
            <w:r w:rsidRPr="00C11AAD">
              <w:t xml:space="preserve"> on metformin</w:t>
            </w:r>
          </w:p>
        </w:tc>
        <w:tc>
          <w:tcPr>
            <w:tcW w:w="1381" w:type="pct"/>
            <w:shd w:val="clear" w:color="auto" w:fill="auto"/>
            <w:vAlign w:val="center"/>
          </w:tcPr>
          <w:p w:rsidR="008B45AD" w:rsidRPr="00C11AAD" w:rsidRDefault="002840D8" w:rsidP="00DB2EA0">
            <w:pPr>
              <w:pStyle w:val="Tabletext"/>
              <w:jc w:val="center"/>
              <w:rPr>
                <w:lang w:val="en-US"/>
              </w:rPr>
            </w:pPr>
            <w:r w:rsidRPr="00C11AAD">
              <w:t>Absolute change in HbA1c from baseline to week 52</w:t>
            </w:r>
          </w:p>
        </w:tc>
      </w:tr>
      <w:tr w:rsidR="00EA1644" w:rsidRPr="00C11AAD" w:rsidTr="0043256C">
        <w:tc>
          <w:tcPr>
            <w:tcW w:w="5000" w:type="pct"/>
            <w:gridSpan w:val="7"/>
            <w:shd w:val="clear" w:color="auto" w:fill="auto"/>
            <w:vAlign w:val="center"/>
          </w:tcPr>
          <w:p w:rsidR="00EA1644" w:rsidRPr="00C11AAD" w:rsidRDefault="00EA1644" w:rsidP="00D16C57">
            <w:pPr>
              <w:pStyle w:val="Tabletext"/>
              <w:rPr>
                <w:b/>
                <w:lang w:val="en-US"/>
              </w:rPr>
            </w:pPr>
            <w:proofErr w:type="spellStart"/>
            <w:r w:rsidRPr="00C11AAD">
              <w:rPr>
                <w:b/>
                <w:lang w:val="en-US"/>
              </w:rPr>
              <w:t>Empagliflozin</w:t>
            </w:r>
            <w:proofErr w:type="spellEnd"/>
            <w:r w:rsidRPr="00C11AAD">
              <w:rPr>
                <w:b/>
                <w:lang w:val="en-US"/>
              </w:rPr>
              <w:t xml:space="preserve"> + metformin</w:t>
            </w:r>
          </w:p>
        </w:tc>
      </w:tr>
      <w:tr w:rsidR="0043256C" w:rsidRPr="00C11AAD" w:rsidTr="0043256C">
        <w:trPr>
          <w:gridAfter w:val="1"/>
          <w:wAfter w:w="6" w:type="pct"/>
        </w:trPr>
        <w:tc>
          <w:tcPr>
            <w:tcW w:w="506" w:type="pct"/>
            <w:shd w:val="clear" w:color="auto" w:fill="auto"/>
            <w:vAlign w:val="center"/>
          </w:tcPr>
          <w:p w:rsidR="008B45AD" w:rsidRPr="00C11AAD" w:rsidRDefault="00EA1644" w:rsidP="00DB2EA0">
            <w:pPr>
              <w:pStyle w:val="Tabletext"/>
              <w:rPr>
                <w:lang w:val="en-US"/>
              </w:rPr>
            </w:pPr>
            <w:r w:rsidRPr="00C11AAD">
              <w:rPr>
                <w:lang w:val="en-US"/>
              </w:rPr>
              <w:t>1245.28</w:t>
            </w:r>
          </w:p>
        </w:tc>
        <w:tc>
          <w:tcPr>
            <w:tcW w:w="273" w:type="pct"/>
            <w:shd w:val="clear" w:color="auto" w:fill="auto"/>
            <w:vAlign w:val="center"/>
          </w:tcPr>
          <w:p w:rsidR="008B45AD" w:rsidRPr="00C11AAD" w:rsidRDefault="00D16C57" w:rsidP="00DB2EA0">
            <w:pPr>
              <w:pStyle w:val="Tabletext"/>
              <w:jc w:val="center"/>
              <w:rPr>
                <w:lang w:val="en-US"/>
              </w:rPr>
            </w:pPr>
            <w:r w:rsidRPr="00C11AAD">
              <w:rPr>
                <w:lang w:val="en-US"/>
              </w:rPr>
              <w:t>1549</w:t>
            </w:r>
          </w:p>
        </w:tc>
        <w:tc>
          <w:tcPr>
            <w:tcW w:w="946" w:type="pct"/>
            <w:shd w:val="clear" w:color="auto" w:fill="auto"/>
            <w:vAlign w:val="center"/>
          </w:tcPr>
          <w:p w:rsidR="008B45AD" w:rsidRPr="00C11AAD" w:rsidRDefault="00D16C57" w:rsidP="00DB2EA0">
            <w:pPr>
              <w:pStyle w:val="Tabletext"/>
              <w:jc w:val="center"/>
              <w:rPr>
                <w:lang w:val="en-US"/>
              </w:rPr>
            </w:pPr>
            <w:r w:rsidRPr="00C11AAD">
              <w:rPr>
                <w:lang w:val="en-US"/>
              </w:rPr>
              <w:t>R, DB, AC</w:t>
            </w:r>
          </w:p>
          <w:p w:rsidR="00D16C57" w:rsidRPr="00C11AAD" w:rsidRDefault="00D16C57" w:rsidP="00DB2EA0">
            <w:pPr>
              <w:pStyle w:val="Tabletext"/>
              <w:jc w:val="center"/>
              <w:rPr>
                <w:lang w:val="en-US"/>
              </w:rPr>
            </w:pPr>
            <w:r w:rsidRPr="00C11AAD">
              <w:rPr>
                <w:lang w:val="en-US"/>
              </w:rPr>
              <w:t>104 weeks</w:t>
            </w:r>
          </w:p>
        </w:tc>
        <w:tc>
          <w:tcPr>
            <w:tcW w:w="552" w:type="pct"/>
            <w:shd w:val="clear" w:color="auto" w:fill="auto"/>
            <w:vAlign w:val="center"/>
          </w:tcPr>
          <w:p w:rsidR="008B45AD" w:rsidRPr="00C11AAD" w:rsidRDefault="00D16C57" w:rsidP="00DB2EA0">
            <w:pPr>
              <w:pStyle w:val="Tabletext"/>
              <w:jc w:val="center"/>
              <w:rPr>
                <w:lang w:val="en-US"/>
              </w:rPr>
            </w:pPr>
            <w:r w:rsidRPr="00C11AAD">
              <w:rPr>
                <w:lang w:val="en-US"/>
              </w:rPr>
              <w:t>Low</w:t>
            </w:r>
          </w:p>
        </w:tc>
        <w:tc>
          <w:tcPr>
            <w:tcW w:w="1336" w:type="pct"/>
            <w:shd w:val="clear" w:color="auto" w:fill="auto"/>
            <w:vAlign w:val="center"/>
          </w:tcPr>
          <w:p w:rsidR="008B45AD" w:rsidRPr="00C11AAD" w:rsidRDefault="00F37A5D" w:rsidP="007D2511">
            <w:pPr>
              <w:pStyle w:val="Tabletext"/>
              <w:jc w:val="center"/>
              <w:rPr>
                <w:lang w:val="en-US"/>
              </w:rPr>
            </w:pPr>
            <w:r w:rsidRPr="00C11AAD">
              <w:t>T2D</w:t>
            </w:r>
            <w:r w:rsidR="002840D8" w:rsidRPr="00C11AAD">
              <w:t xml:space="preserve"> </w:t>
            </w:r>
            <w:r w:rsidRPr="00C11AAD">
              <w:t xml:space="preserve">with </w:t>
            </w:r>
            <w:r w:rsidR="002840D8" w:rsidRPr="00C11AAD">
              <w:t>HbA1c 7-10%</w:t>
            </w:r>
            <w:r w:rsidR="007D2511" w:rsidRPr="00C11AAD">
              <w:t xml:space="preserve"> on metformin</w:t>
            </w:r>
          </w:p>
        </w:tc>
        <w:tc>
          <w:tcPr>
            <w:tcW w:w="1381" w:type="pct"/>
            <w:shd w:val="clear" w:color="auto" w:fill="auto"/>
            <w:vAlign w:val="center"/>
          </w:tcPr>
          <w:p w:rsidR="008B45AD" w:rsidRPr="00C11AAD" w:rsidRDefault="002840D8" w:rsidP="00DB2EA0">
            <w:pPr>
              <w:pStyle w:val="Tabletext"/>
              <w:jc w:val="center"/>
              <w:rPr>
                <w:lang w:val="en-US"/>
              </w:rPr>
            </w:pPr>
            <w:r w:rsidRPr="00C11AAD">
              <w:t>Change from baseline in HbA1c at week 52 and 104</w:t>
            </w:r>
          </w:p>
        </w:tc>
      </w:tr>
      <w:tr w:rsidR="003D1941" w:rsidRPr="00C11AAD" w:rsidTr="0043256C">
        <w:tc>
          <w:tcPr>
            <w:tcW w:w="5000" w:type="pct"/>
            <w:gridSpan w:val="7"/>
            <w:shd w:val="clear" w:color="auto" w:fill="auto"/>
            <w:vAlign w:val="center"/>
          </w:tcPr>
          <w:p w:rsidR="003D1941" w:rsidRPr="00C11AAD" w:rsidRDefault="003D1941" w:rsidP="000F0266">
            <w:pPr>
              <w:pStyle w:val="Tabletext"/>
              <w:rPr>
                <w:b/>
                <w:lang w:val="en-US"/>
              </w:rPr>
            </w:pPr>
            <w:proofErr w:type="spellStart"/>
            <w:r w:rsidRPr="00C11AAD">
              <w:rPr>
                <w:b/>
                <w:lang w:val="en-US"/>
              </w:rPr>
              <w:t>Ertugliflozin</w:t>
            </w:r>
            <w:proofErr w:type="spellEnd"/>
            <w:r w:rsidRPr="00C11AAD">
              <w:rPr>
                <w:b/>
                <w:lang w:val="en-US"/>
              </w:rPr>
              <w:t xml:space="preserve"> with metformin FDC bioequivalence studies</w:t>
            </w:r>
          </w:p>
        </w:tc>
      </w:tr>
      <w:tr w:rsidR="0043256C" w:rsidRPr="00C11AAD" w:rsidTr="0043256C">
        <w:trPr>
          <w:gridAfter w:val="1"/>
          <w:wAfter w:w="6" w:type="pct"/>
        </w:trPr>
        <w:tc>
          <w:tcPr>
            <w:tcW w:w="506" w:type="pct"/>
            <w:shd w:val="clear" w:color="auto" w:fill="auto"/>
            <w:vAlign w:val="center"/>
          </w:tcPr>
          <w:p w:rsidR="003D1941" w:rsidRPr="00C11AAD" w:rsidRDefault="003D1941" w:rsidP="003D1941">
            <w:pPr>
              <w:pStyle w:val="Tabletext"/>
              <w:rPr>
                <w:lang w:val="en-US"/>
              </w:rPr>
            </w:pPr>
            <w:r w:rsidRPr="00C11AAD">
              <w:t>P050</w:t>
            </w:r>
          </w:p>
        </w:tc>
        <w:tc>
          <w:tcPr>
            <w:tcW w:w="273" w:type="pct"/>
            <w:shd w:val="clear" w:color="auto" w:fill="auto"/>
            <w:vAlign w:val="center"/>
          </w:tcPr>
          <w:p w:rsidR="003D1941" w:rsidRPr="00C11AAD" w:rsidRDefault="003D1941" w:rsidP="003D1941">
            <w:pPr>
              <w:pStyle w:val="Tabletext"/>
              <w:jc w:val="center"/>
              <w:rPr>
                <w:lang w:val="en-US"/>
              </w:rPr>
            </w:pPr>
            <w:r w:rsidRPr="00C11AAD">
              <w:rPr>
                <w:lang w:val="en-US"/>
              </w:rPr>
              <w:t>16</w:t>
            </w:r>
          </w:p>
        </w:tc>
        <w:tc>
          <w:tcPr>
            <w:tcW w:w="946" w:type="pct"/>
            <w:shd w:val="clear" w:color="auto" w:fill="auto"/>
            <w:vAlign w:val="center"/>
          </w:tcPr>
          <w:p w:rsidR="003D1941" w:rsidRPr="00C11AAD" w:rsidRDefault="002840D8" w:rsidP="002840D8">
            <w:pPr>
              <w:pStyle w:val="Tabletext"/>
              <w:jc w:val="center"/>
              <w:rPr>
                <w:lang w:val="en-US"/>
              </w:rPr>
            </w:pPr>
            <w:r w:rsidRPr="00C11AAD">
              <w:rPr>
                <w:lang w:val="en-US"/>
              </w:rPr>
              <w:t>R, OL, crossover</w:t>
            </w:r>
          </w:p>
          <w:p w:rsidR="002840D8" w:rsidRPr="00C11AAD" w:rsidRDefault="002840D8" w:rsidP="002840D8">
            <w:pPr>
              <w:pStyle w:val="Tabletext"/>
              <w:jc w:val="center"/>
              <w:rPr>
                <w:lang w:val="en-US"/>
              </w:rPr>
            </w:pPr>
            <w:r w:rsidRPr="00C11AAD">
              <w:rPr>
                <w:lang w:val="en-US"/>
              </w:rPr>
              <w:t>Single dose</w:t>
            </w:r>
          </w:p>
        </w:tc>
        <w:tc>
          <w:tcPr>
            <w:tcW w:w="552" w:type="pct"/>
            <w:shd w:val="clear" w:color="auto" w:fill="auto"/>
            <w:vAlign w:val="center"/>
          </w:tcPr>
          <w:p w:rsidR="003D1941" w:rsidRPr="00C11AAD" w:rsidRDefault="002840D8" w:rsidP="003D1941">
            <w:pPr>
              <w:pStyle w:val="Tabletext"/>
              <w:jc w:val="center"/>
              <w:rPr>
                <w:lang w:val="en-US"/>
              </w:rPr>
            </w:pPr>
            <w:r w:rsidRPr="00C11AAD">
              <w:rPr>
                <w:lang w:val="en-US"/>
              </w:rPr>
              <w:t>Low</w:t>
            </w:r>
          </w:p>
        </w:tc>
        <w:tc>
          <w:tcPr>
            <w:tcW w:w="1336" w:type="pct"/>
            <w:shd w:val="clear" w:color="auto" w:fill="auto"/>
            <w:vAlign w:val="center"/>
          </w:tcPr>
          <w:p w:rsidR="003D1941" w:rsidRPr="00C11AAD" w:rsidRDefault="002840D8" w:rsidP="0043256C">
            <w:pPr>
              <w:pStyle w:val="Tabletext"/>
              <w:jc w:val="center"/>
              <w:rPr>
                <w:lang w:val="en-US"/>
              </w:rPr>
            </w:pPr>
            <w:r w:rsidRPr="00C11AAD">
              <w:rPr>
                <w:lang w:val="en-US"/>
              </w:rPr>
              <w:t>Healthy subjects</w:t>
            </w:r>
          </w:p>
        </w:tc>
        <w:tc>
          <w:tcPr>
            <w:tcW w:w="1381" w:type="pct"/>
            <w:shd w:val="clear" w:color="auto" w:fill="auto"/>
            <w:vAlign w:val="center"/>
          </w:tcPr>
          <w:p w:rsidR="003D1941" w:rsidRPr="00C11AAD" w:rsidRDefault="002840D8" w:rsidP="0043256C">
            <w:pPr>
              <w:pStyle w:val="Tabletext"/>
              <w:jc w:val="center"/>
              <w:rPr>
                <w:lang w:val="en-US"/>
              </w:rPr>
            </w:pPr>
            <w:r w:rsidRPr="00C11AAD">
              <w:rPr>
                <w:lang w:val="en-US"/>
              </w:rPr>
              <w:t>Bioequivalence</w:t>
            </w:r>
          </w:p>
        </w:tc>
      </w:tr>
      <w:tr w:rsidR="0043256C" w:rsidRPr="00C11AAD" w:rsidTr="0043256C">
        <w:trPr>
          <w:gridAfter w:val="1"/>
          <w:wAfter w:w="6" w:type="pct"/>
        </w:trPr>
        <w:tc>
          <w:tcPr>
            <w:tcW w:w="506" w:type="pct"/>
            <w:shd w:val="clear" w:color="auto" w:fill="auto"/>
            <w:vAlign w:val="center"/>
          </w:tcPr>
          <w:p w:rsidR="002840D8" w:rsidRPr="00C11AAD" w:rsidRDefault="002840D8" w:rsidP="002840D8">
            <w:pPr>
              <w:pStyle w:val="Tabletext"/>
              <w:rPr>
                <w:lang w:val="en-US"/>
              </w:rPr>
            </w:pPr>
            <w:r w:rsidRPr="00C11AAD">
              <w:t>P052</w:t>
            </w:r>
          </w:p>
        </w:tc>
        <w:tc>
          <w:tcPr>
            <w:tcW w:w="273" w:type="pct"/>
            <w:shd w:val="clear" w:color="auto" w:fill="auto"/>
            <w:vAlign w:val="center"/>
          </w:tcPr>
          <w:p w:rsidR="002840D8" w:rsidRPr="00C11AAD" w:rsidRDefault="002840D8" w:rsidP="002840D8">
            <w:pPr>
              <w:pStyle w:val="Tabletext"/>
              <w:jc w:val="center"/>
              <w:rPr>
                <w:lang w:val="en-US"/>
              </w:rPr>
            </w:pPr>
            <w:r w:rsidRPr="00C11AAD">
              <w:rPr>
                <w:lang w:val="en-US"/>
              </w:rPr>
              <w:t>16</w:t>
            </w:r>
          </w:p>
        </w:tc>
        <w:tc>
          <w:tcPr>
            <w:tcW w:w="946" w:type="pct"/>
            <w:shd w:val="clear" w:color="auto" w:fill="auto"/>
            <w:vAlign w:val="center"/>
          </w:tcPr>
          <w:p w:rsidR="00BD3569" w:rsidRPr="00C11AAD" w:rsidRDefault="00BD3569" w:rsidP="00BD3569">
            <w:pPr>
              <w:pStyle w:val="Tabletext"/>
              <w:jc w:val="center"/>
              <w:rPr>
                <w:lang w:val="en-US"/>
              </w:rPr>
            </w:pPr>
            <w:r w:rsidRPr="00C11AAD">
              <w:rPr>
                <w:lang w:val="en-US"/>
              </w:rPr>
              <w:t>R, OL, crossover</w:t>
            </w:r>
          </w:p>
          <w:p w:rsidR="002840D8" w:rsidRPr="00C11AAD" w:rsidRDefault="00BD3569" w:rsidP="00BD3569">
            <w:pPr>
              <w:pStyle w:val="Tabletext"/>
              <w:jc w:val="center"/>
              <w:rPr>
                <w:lang w:val="en-US"/>
              </w:rPr>
            </w:pPr>
            <w:r w:rsidRPr="00C11AAD">
              <w:rPr>
                <w:lang w:val="en-US"/>
              </w:rPr>
              <w:t>Single dose</w:t>
            </w:r>
          </w:p>
        </w:tc>
        <w:tc>
          <w:tcPr>
            <w:tcW w:w="552" w:type="pct"/>
            <w:shd w:val="clear" w:color="auto" w:fill="auto"/>
            <w:vAlign w:val="center"/>
          </w:tcPr>
          <w:p w:rsidR="002840D8" w:rsidRPr="00C11AAD" w:rsidRDefault="002840D8" w:rsidP="002840D8">
            <w:pPr>
              <w:pStyle w:val="Tabletext"/>
              <w:jc w:val="center"/>
              <w:rPr>
                <w:lang w:val="en-US"/>
              </w:rPr>
            </w:pPr>
            <w:r w:rsidRPr="00C11AAD">
              <w:rPr>
                <w:lang w:val="en-US"/>
              </w:rPr>
              <w:t>Low</w:t>
            </w:r>
          </w:p>
        </w:tc>
        <w:tc>
          <w:tcPr>
            <w:tcW w:w="1336" w:type="pct"/>
            <w:shd w:val="clear" w:color="auto" w:fill="auto"/>
            <w:vAlign w:val="center"/>
          </w:tcPr>
          <w:p w:rsidR="002840D8" w:rsidRPr="00C11AAD" w:rsidRDefault="002840D8" w:rsidP="0043256C">
            <w:pPr>
              <w:pStyle w:val="Tabletext"/>
              <w:jc w:val="center"/>
              <w:rPr>
                <w:lang w:val="en-US"/>
              </w:rPr>
            </w:pPr>
            <w:r w:rsidRPr="00C11AAD">
              <w:rPr>
                <w:lang w:val="en-US"/>
              </w:rPr>
              <w:t>Healthy subjects</w:t>
            </w:r>
          </w:p>
        </w:tc>
        <w:tc>
          <w:tcPr>
            <w:tcW w:w="1381" w:type="pct"/>
            <w:shd w:val="clear" w:color="auto" w:fill="auto"/>
            <w:vAlign w:val="center"/>
          </w:tcPr>
          <w:p w:rsidR="002840D8" w:rsidRPr="00C11AAD" w:rsidRDefault="002840D8" w:rsidP="0043256C">
            <w:pPr>
              <w:pStyle w:val="Tabletext"/>
              <w:jc w:val="center"/>
              <w:rPr>
                <w:lang w:val="en-US"/>
              </w:rPr>
            </w:pPr>
            <w:r w:rsidRPr="00C11AAD">
              <w:rPr>
                <w:lang w:val="en-US"/>
              </w:rPr>
              <w:t>Bioequivalence</w:t>
            </w:r>
          </w:p>
        </w:tc>
      </w:tr>
      <w:tr w:rsidR="0043256C" w:rsidRPr="00C11AAD" w:rsidTr="0043256C">
        <w:trPr>
          <w:gridAfter w:val="1"/>
          <w:wAfter w:w="6" w:type="pct"/>
        </w:trPr>
        <w:tc>
          <w:tcPr>
            <w:tcW w:w="506" w:type="pct"/>
            <w:shd w:val="clear" w:color="auto" w:fill="auto"/>
            <w:vAlign w:val="center"/>
          </w:tcPr>
          <w:p w:rsidR="002840D8" w:rsidRPr="00C11AAD" w:rsidRDefault="002840D8" w:rsidP="002840D8">
            <w:pPr>
              <w:pStyle w:val="Tabletext"/>
              <w:rPr>
                <w:lang w:val="en-US"/>
              </w:rPr>
            </w:pPr>
            <w:r w:rsidRPr="00C11AAD">
              <w:t>P027</w:t>
            </w:r>
          </w:p>
        </w:tc>
        <w:tc>
          <w:tcPr>
            <w:tcW w:w="273" w:type="pct"/>
            <w:shd w:val="clear" w:color="auto" w:fill="auto"/>
            <w:vAlign w:val="center"/>
          </w:tcPr>
          <w:p w:rsidR="002840D8" w:rsidRPr="00C11AAD" w:rsidRDefault="002840D8" w:rsidP="002840D8">
            <w:pPr>
              <w:pStyle w:val="Tabletext"/>
              <w:jc w:val="center"/>
              <w:rPr>
                <w:lang w:val="en-US"/>
              </w:rPr>
            </w:pPr>
            <w:r w:rsidRPr="00C11AAD">
              <w:rPr>
                <w:lang w:val="en-US"/>
              </w:rPr>
              <w:t>16</w:t>
            </w:r>
          </w:p>
        </w:tc>
        <w:tc>
          <w:tcPr>
            <w:tcW w:w="946" w:type="pct"/>
            <w:shd w:val="clear" w:color="auto" w:fill="auto"/>
            <w:vAlign w:val="center"/>
          </w:tcPr>
          <w:p w:rsidR="002840D8" w:rsidRPr="00C11AAD" w:rsidRDefault="002840D8" w:rsidP="002840D8">
            <w:pPr>
              <w:pStyle w:val="Tabletext"/>
              <w:jc w:val="center"/>
              <w:rPr>
                <w:lang w:val="en-US"/>
              </w:rPr>
            </w:pPr>
            <w:r w:rsidRPr="00C11AAD">
              <w:rPr>
                <w:lang w:val="en-US"/>
              </w:rPr>
              <w:t>R, OL, crossover</w:t>
            </w:r>
          </w:p>
          <w:p w:rsidR="002840D8" w:rsidRPr="00C11AAD" w:rsidRDefault="002840D8" w:rsidP="002840D8">
            <w:pPr>
              <w:pStyle w:val="Tabletext"/>
              <w:jc w:val="center"/>
              <w:rPr>
                <w:lang w:val="en-US"/>
              </w:rPr>
            </w:pPr>
            <w:r w:rsidRPr="00C11AAD">
              <w:rPr>
                <w:lang w:val="en-US"/>
              </w:rPr>
              <w:t>Single dose</w:t>
            </w:r>
          </w:p>
        </w:tc>
        <w:tc>
          <w:tcPr>
            <w:tcW w:w="552" w:type="pct"/>
            <w:shd w:val="clear" w:color="auto" w:fill="auto"/>
            <w:vAlign w:val="center"/>
          </w:tcPr>
          <w:p w:rsidR="002840D8" w:rsidRPr="00C11AAD" w:rsidRDefault="002840D8" w:rsidP="002840D8">
            <w:pPr>
              <w:pStyle w:val="Tabletext"/>
              <w:jc w:val="center"/>
              <w:rPr>
                <w:lang w:val="en-US"/>
              </w:rPr>
            </w:pPr>
            <w:r w:rsidRPr="00C11AAD">
              <w:rPr>
                <w:lang w:val="en-US"/>
              </w:rPr>
              <w:t>Low</w:t>
            </w:r>
          </w:p>
        </w:tc>
        <w:tc>
          <w:tcPr>
            <w:tcW w:w="1336" w:type="pct"/>
            <w:shd w:val="clear" w:color="auto" w:fill="auto"/>
            <w:vAlign w:val="center"/>
          </w:tcPr>
          <w:p w:rsidR="002840D8" w:rsidRPr="00C11AAD" w:rsidRDefault="002840D8" w:rsidP="0043256C">
            <w:pPr>
              <w:pStyle w:val="Tabletext"/>
              <w:jc w:val="center"/>
              <w:rPr>
                <w:lang w:val="en-US"/>
              </w:rPr>
            </w:pPr>
            <w:r w:rsidRPr="00C11AAD">
              <w:rPr>
                <w:lang w:val="en-US"/>
              </w:rPr>
              <w:t>Healthy subjects</w:t>
            </w:r>
          </w:p>
        </w:tc>
        <w:tc>
          <w:tcPr>
            <w:tcW w:w="1381" w:type="pct"/>
            <w:shd w:val="clear" w:color="auto" w:fill="auto"/>
            <w:vAlign w:val="center"/>
          </w:tcPr>
          <w:p w:rsidR="002840D8" w:rsidRPr="00C11AAD" w:rsidRDefault="002840D8" w:rsidP="0043256C">
            <w:pPr>
              <w:pStyle w:val="Tabletext"/>
              <w:jc w:val="center"/>
              <w:rPr>
                <w:lang w:val="en-US"/>
              </w:rPr>
            </w:pPr>
            <w:r w:rsidRPr="00C11AAD">
              <w:rPr>
                <w:lang w:val="en-US"/>
              </w:rPr>
              <w:t>Bioequivalence</w:t>
            </w:r>
          </w:p>
        </w:tc>
      </w:tr>
      <w:tr w:rsidR="0043256C" w:rsidRPr="00C11AAD" w:rsidTr="0043256C">
        <w:trPr>
          <w:gridAfter w:val="1"/>
          <w:wAfter w:w="6" w:type="pct"/>
        </w:trPr>
        <w:tc>
          <w:tcPr>
            <w:tcW w:w="506" w:type="pct"/>
            <w:shd w:val="clear" w:color="auto" w:fill="auto"/>
            <w:vAlign w:val="center"/>
          </w:tcPr>
          <w:p w:rsidR="002840D8" w:rsidRPr="00C11AAD" w:rsidRDefault="002840D8" w:rsidP="002840D8">
            <w:pPr>
              <w:pStyle w:val="Tabletext"/>
              <w:rPr>
                <w:lang w:val="en-US"/>
              </w:rPr>
            </w:pPr>
            <w:r w:rsidRPr="00C11AAD">
              <w:t>P047</w:t>
            </w:r>
          </w:p>
        </w:tc>
        <w:tc>
          <w:tcPr>
            <w:tcW w:w="273" w:type="pct"/>
            <w:shd w:val="clear" w:color="auto" w:fill="auto"/>
            <w:vAlign w:val="center"/>
          </w:tcPr>
          <w:p w:rsidR="002840D8" w:rsidRPr="00C11AAD" w:rsidRDefault="002840D8" w:rsidP="002840D8">
            <w:pPr>
              <w:pStyle w:val="Tabletext"/>
              <w:jc w:val="center"/>
              <w:rPr>
                <w:lang w:val="en-US"/>
              </w:rPr>
            </w:pPr>
            <w:r w:rsidRPr="00C11AAD">
              <w:rPr>
                <w:lang w:val="en-US"/>
              </w:rPr>
              <w:t>16</w:t>
            </w:r>
          </w:p>
        </w:tc>
        <w:tc>
          <w:tcPr>
            <w:tcW w:w="946" w:type="pct"/>
            <w:shd w:val="clear" w:color="auto" w:fill="auto"/>
            <w:vAlign w:val="center"/>
          </w:tcPr>
          <w:p w:rsidR="002840D8" w:rsidRPr="00C11AAD" w:rsidRDefault="002840D8" w:rsidP="002840D8">
            <w:pPr>
              <w:pStyle w:val="Tabletext"/>
              <w:jc w:val="center"/>
              <w:rPr>
                <w:lang w:val="en-US"/>
              </w:rPr>
            </w:pPr>
            <w:r w:rsidRPr="00C11AAD">
              <w:rPr>
                <w:lang w:val="en-US"/>
              </w:rPr>
              <w:t>R, OL, crossover</w:t>
            </w:r>
          </w:p>
          <w:p w:rsidR="002840D8" w:rsidRPr="00C11AAD" w:rsidRDefault="002840D8" w:rsidP="002840D8">
            <w:pPr>
              <w:pStyle w:val="Tabletext"/>
              <w:jc w:val="center"/>
              <w:rPr>
                <w:lang w:val="en-US"/>
              </w:rPr>
            </w:pPr>
            <w:r w:rsidRPr="00C11AAD">
              <w:rPr>
                <w:lang w:val="en-US"/>
              </w:rPr>
              <w:t>Single dose</w:t>
            </w:r>
          </w:p>
        </w:tc>
        <w:tc>
          <w:tcPr>
            <w:tcW w:w="552" w:type="pct"/>
            <w:shd w:val="clear" w:color="auto" w:fill="auto"/>
            <w:vAlign w:val="center"/>
          </w:tcPr>
          <w:p w:rsidR="002840D8" w:rsidRPr="00C11AAD" w:rsidRDefault="002840D8" w:rsidP="002840D8">
            <w:pPr>
              <w:pStyle w:val="Tabletext"/>
              <w:jc w:val="center"/>
              <w:rPr>
                <w:lang w:val="en-US"/>
              </w:rPr>
            </w:pPr>
            <w:r w:rsidRPr="00C11AAD">
              <w:rPr>
                <w:lang w:val="en-US"/>
              </w:rPr>
              <w:t>Low</w:t>
            </w:r>
          </w:p>
        </w:tc>
        <w:tc>
          <w:tcPr>
            <w:tcW w:w="1336" w:type="pct"/>
            <w:shd w:val="clear" w:color="auto" w:fill="auto"/>
            <w:vAlign w:val="center"/>
          </w:tcPr>
          <w:p w:rsidR="002840D8" w:rsidRPr="00C11AAD" w:rsidRDefault="002840D8" w:rsidP="0043256C">
            <w:pPr>
              <w:pStyle w:val="Tabletext"/>
              <w:jc w:val="center"/>
              <w:rPr>
                <w:lang w:val="en-US"/>
              </w:rPr>
            </w:pPr>
            <w:r w:rsidRPr="00C11AAD">
              <w:rPr>
                <w:lang w:val="en-US"/>
              </w:rPr>
              <w:t>Healthy subjects</w:t>
            </w:r>
          </w:p>
        </w:tc>
        <w:tc>
          <w:tcPr>
            <w:tcW w:w="1381" w:type="pct"/>
            <w:shd w:val="clear" w:color="auto" w:fill="auto"/>
            <w:vAlign w:val="center"/>
          </w:tcPr>
          <w:p w:rsidR="002840D8" w:rsidRPr="00C11AAD" w:rsidRDefault="002840D8" w:rsidP="0043256C">
            <w:pPr>
              <w:pStyle w:val="Tabletext"/>
              <w:jc w:val="center"/>
              <w:rPr>
                <w:lang w:val="en-US"/>
              </w:rPr>
            </w:pPr>
            <w:r w:rsidRPr="00C11AAD">
              <w:rPr>
                <w:lang w:val="en-US"/>
              </w:rPr>
              <w:t>Bioequivalence</w:t>
            </w:r>
          </w:p>
        </w:tc>
      </w:tr>
    </w:tbl>
    <w:p w:rsidR="00951DB2" w:rsidRPr="00C11AAD" w:rsidRDefault="00951DB2" w:rsidP="00DB2EA0">
      <w:pPr>
        <w:pStyle w:val="TableFooter"/>
      </w:pPr>
      <w:proofErr w:type="spellStart"/>
      <w:proofErr w:type="gramStart"/>
      <w:r w:rsidRPr="00C11AAD">
        <w:rPr>
          <w:vertAlign w:val="superscript"/>
        </w:rPr>
        <w:t>a</w:t>
      </w:r>
      <w:proofErr w:type="spellEnd"/>
      <w:proofErr w:type="gramEnd"/>
      <w:r w:rsidRPr="00C11AAD">
        <w:t xml:space="preserve"> Included in sensitivity analyses only</w:t>
      </w:r>
    </w:p>
    <w:p w:rsidR="007F1017" w:rsidRPr="00C11AAD" w:rsidRDefault="00ED76CD" w:rsidP="00DB2EA0">
      <w:pPr>
        <w:pStyle w:val="TableFooter"/>
      </w:pPr>
      <w:r w:rsidRPr="00C11AAD">
        <w:t xml:space="preserve">Abbreviations: AC, active controlled; </w:t>
      </w:r>
      <w:r w:rsidR="007F1017" w:rsidRPr="00C11AAD">
        <w:t>DB</w:t>
      </w:r>
      <w:r w:rsidRPr="00C11AAD">
        <w:t xml:space="preserve">, </w:t>
      </w:r>
      <w:r w:rsidR="007F1017" w:rsidRPr="00C11AAD">
        <w:t>double blind; MC</w:t>
      </w:r>
      <w:r w:rsidRPr="00C11AAD">
        <w:t xml:space="preserve">, </w:t>
      </w:r>
      <w:r w:rsidR="007F1017" w:rsidRPr="00C11AAD">
        <w:t>multi-centre; OL</w:t>
      </w:r>
      <w:r w:rsidRPr="00C11AAD">
        <w:t xml:space="preserve">, </w:t>
      </w:r>
      <w:r w:rsidR="007F1017" w:rsidRPr="00C11AAD">
        <w:t>open label;</w:t>
      </w:r>
      <w:r w:rsidRPr="00C11AAD">
        <w:t xml:space="preserve"> PG, parallel group;</w:t>
      </w:r>
      <w:r w:rsidR="007F1017" w:rsidRPr="00C11AAD">
        <w:t xml:space="preserve"> R</w:t>
      </w:r>
      <w:r w:rsidRPr="00C11AAD">
        <w:t xml:space="preserve">, </w:t>
      </w:r>
      <w:r w:rsidR="007F1017" w:rsidRPr="00C11AAD">
        <w:t>randomised</w:t>
      </w:r>
      <w:r w:rsidR="0099679B" w:rsidRPr="00C11AAD">
        <w:t>; T2D, type 2 diabetes</w:t>
      </w:r>
    </w:p>
    <w:p w:rsidR="00B60939" w:rsidRPr="00C11AAD" w:rsidRDefault="00ED76CD" w:rsidP="00DB2EA0">
      <w:pPr>
        <w:pStyle w:val="TableFooter"/>
        <w:rPr>
          <w:szCs w:val="18"/>
        </w:rPr>
      </w:pPr>
      <w:r w:rsidRPr="00C11AAD">
        <w:t>Source: Attachment 4 of the submission, relevant trial publications</w:t>
      </w:r>
    </w:p>
    <w:p w:rsidR="00180CCC" w:rsidRPr="00C11AAD" w:rsidRDefault="00180CCC" w:rsidP="00CF5F42">
      <w:pPr>
        <w:pStyle w:val="ListParagraph"/>
        <w:widowControl/>
        <w:numPr>
          <w:ilvl w:val="1"/>
          <w:numId w:val="2"/>
        </w:numPr>
        <w:spacing w:before="120" w:after="0"/>
      </w:pPr>
      <w:r w:rsidRPr="00C11AAD">
        <w:t xml:space="preserve">The submission supplied details of trial characteristics for the </w:t>
      </w:r>
      <w:proofErr w:type="spellStart"/>
      <w:r w:rsidRPr="00C11AAD">
        <w:t>ertugliflozin</w:t>
      </w:r>
      <w:proofErr w:type="spellEnd"/>
      <w:r w:rsidRPr="00C11AAD">
        <w:t xml:space="preserve"> trials and only the </w:t>
      </w:r>
      <w:proofErr w:type="spellStart"/>
      <w:r w:rsidRPr="00C11AAD">
        <w:t>dapagliflozin</w:t>
      </w:r>
      <w:proofErr w:type="spellEnd"/>
      <w:r w:rsidRPr="00C11AAD">
        <w:t xml:space="preserve"> / </w:t>
      </w:r>
      <w:proofErr w:type="spellStart"/>
      <w:r w:rsidRPr="00C11AAD">
        <w:t>empagliflozin</w:t>
      </w:r>
      <w:proofErr w:type="spellEnd"/>
      <w:r w:rsidRPr="00C11AAD">
        <w:t xml:space="preserve"> trials that contributed to the</w:t>
      </w:r>
      <w:r w:rsidR="00C65172" w:rsidRPr="00C11AAD">
        <w:t xml:space="preserve"> primary</w:t>
      </w:r>
      <w:r w:rsidRPr="00C11AAD">
        <w:t xml:space="preserve"> indirect analysis using placebo + metformin as common reference. The submission argued that the </w:t>
      </w:r>
      <w:proofErr w:type="spellStart"/>
      <w:r w:rsidRPr="00C11AAD">
        <w:t>dapagliflozin</w:t>
      </w:r>
      <w:proofErr w:type="spellEnd"/>
      <w:r w:rsidRPr="00C11AAD">
        <w:t xml:space="preserve"> and </w:t>
      </w:r>
      <w:proofErr w:type="spellStart"/>
      <w:r w:rsidRPr="00C11AAD">
        <w:t>empagliflozin</w:t>
      </w:r>
      <w:proofErr w:type="spellEnd"/>
      <w:r w:rsidRPr="00C11AAD">
        <w:t xml:space="preserve"> trials with either DPP4 inhibitor + metformin or sulfonylurea + metformin as common references have been previously evaluated by the PBAC and that therefore a formal critique and summary of the direct results was not presented. These trials were included in the supplementary indirect comparisons, and it was therefore inappropriate to exclude details of the trial characteristics from the submission. Information regarding these trials was co</w:t>
      </w:r>
      <w:r w:rsidR="008257BF">
        <w:t>mpiled during the evaluation</w:t>
      </w:r>
      <w:r w:rsidRPr="00C11AAD">
        <w:t>.</w:t>
      </w:r>
    </w:p>
    <w:p w:rsidR="00B60939" w:rsidRPr="00211FA2" w:rsidRDefault="00B60939" w:rsidP="00CF5F42">
      <w:pPr>
        <w:pStyle w:val="Heading2"/>
      </w:pPr>
      <w:bookmarkStart w:id="8" w:name="_Toc503874316"/>
      <w:r w:rsidRPr="00211FA2">
        <w:t>Comparative effectiveness</w:t>
      </w:r>
      <w:bookmarkEnd w:id="8"/>
    </w:p>
    <w:p w:rsidR="00D568F5" w:rsidRPr="00C11AAD" w:rsidRDefault="00D568F5" w:rsidP="00985C8D">
      <w:pPr>
        <w:pStyle w:val="ListParagraph"/>
        <w:widowControl/>
        <w:numPr>
          <w:ilvl w:val="1"/>
          <w:numId w:val="2"/>
        </w:numPr>
        <w:spacing w:after="120"/>
      </w:pPr>
      <w:r w:rsidRPr="00C11AAD">
        <w:t xml:space="preserve">Tables </w:t>
      </w:r>
      <w:r w:rsidR="0043256C" w:rsidRPr="00C11AAD">
        <w:t>4</w:t>
      </w:r>
      <w:r w:rsidRPr="00C11AAD">
        <w:t xml:space="preserve"> to </w:t>
      </w:r>
      <w:r w:rsidR="0043256C" w:rsidRPr="00C11AAD">
        <w:t>6</w:t>
      </w:r>
      <w:r w:rsidRPr="00C11AAD">
        <w:t xml:space="preserve"> present the </w:t>
      </w:r>
      <w:r w:rsidR="00475D89" w:rsidRPr="00C11AAD">
        <w:t xml:space="preserve">results of the key efficacy </w:t>
      </w:r>
      <w:proofErr w:type="gramStart"/>
      <w:r w:rsidR="00475D89" w:rsidRPr="00C11AAD">
        <w:t>outcome,</w:t>
      </w:r>
      <w:proofErr w:type="gramEnd"/>
      <w:r w:rsidR="00475D89" w:rsidRPr="00C11AAD">
        <w:t xml:space="preserve"> </w:t>
      </w:r>
      <w:r w:rsidRPr="00C11AAD">
        <w:t>change from baseline in HbA1c</w:t>
      </w:r>
      <w:r w:rsidR="00475D89" w:rsidRPr="00C11AAD">
        <w:t>,</w:t>
      </w:r>
      <w:r w:rsidRPr="00C11AAD">
        <w:t xml:space="preserve"> </w:t>
      </w:r>
      <w:r w:rsidR="00475D89" w:rsidRPr="00C11AAD">
        <w:t>from</w:t>
      </w:r>
      <w:r w:rsidRPr="00C11AAD">
        <w:t xml:space="preserve"> the included </w:t>
      </w:r>
      <w:proofErr w:type="spellStart"/>
      <w:r w:rsidRPr="00C11AAD">
        <w:t>ertugliflozin</w:t>
      </w:r>
      <w:proofErr w:type="spellEnd"/>
      <w:r w:rsidRPr="00C11AAD">
        <w:t xml:space="preserve"> trials at available time points. </w:t>
      </w:r>
    </w:p>
    <w:p w:rsidR="00D568F5" w:rsidRPr="00C11AAD" w:rsidRDefault="00D568F5" w:rsidP="00D568F5">
      <w:pPr>
        <w:ind w:left="993" w:hanging="993"/>
        <w:rPr>
          <w:rStyle w:val="CommentReference"/>
        </w:rPr>
      </w:pPr>
      <w:r w:rsidRPr="00C11AAD">
        <w:rPr>
          <w:rStyle w:val="CommentReference"/>
        </w:rPr>
        <w:t xml:space="preserve">Table </w:t>
      </w:r>
      <w:r w:rsidR="0043256C" w:rsidRPr="00C11AAD">
        <w:rPr>
          <w:rStyle w:val="CommentReference"/>
        </w:rPr>
        <w:t>4</w:t>
      </w:r>
      <w:r w:rsidRPr="00C11AAD">
        <w:rPr>
          <w:rStyle w:val="CommentReference"/>
        </w:rPr>
        <w:t xml:space="preserve">: Results of change from baseline in HbA1c in placebo-controlled </w:t>
      </w:r>
      <w:proofErr w:type="spellStart"/>
      <w:r w:rsidRPr="00C11AAD">
        <w:rPr>
          <w:rStyle w:val="CommentReference"/>
        </w:rPr>
        <w:t>ertugliflozin</w:t>
      </w:r>
      <w:proofErr w:type="spellEnd"/>
      <w:r w:rsidRPr="00C11AAD">
        <w:rPr>
          <w:rStyle w:val="CommentReference"/>
        </w:rPr>
        <w:t xml:space="preserve"> trials</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427"/>
        <w:gridCol w:w="993"/>
        <w:gridCol w:w="991"/>
        <w:gridCol w:w="995"/>
        <w:gridCol w:w="423"/>
        <w:gridCol w:w="1137"/>
        <w:gridCol w:w="991"/>
        <w:gridCol w:w="993"/>
        <w:gridCol w:w="1131"/>
      </w:tblGrid>
      <w:tr w:rsidR="00D568F5" w:rsidRPr="00C11AAD" w:rsidTr="00981645">
        <w:trPr>
          <w:tblHeader/>
        </w:trPr>
        <w:tc>
          <w:tcPr>
            <w:tcW w:w="629" w:type="pct"/>
            <w:vMerge w:val="restart"/>
            <w:vAlign w:val="center"/>
          </w:tcPr>
          <w:p w:rsidR="00D568F5" w:rsidRPr="00C11AAD" w:rsidRDefault="00D568F5" w:rsidP="00981645">
            <w:pPr>
              <w:pStyle w:val="Tabletext"/>
              <w:rPr>
                <w:b/>
              </w:rPr>
            </w:pPr>
            <w:r w:rsidRPr="00C11AAD">
              <w:rPr>
                <w:b/>
              </w:rPr>
              <w:t>Trial ID</w:t>
            </w:r>
          </w:p>
        </w:tc>
        <w:tc>
          <w:tcPr>
            <w:tcW w:w="1842" w:type="pct"/>
            <w:gridSpan w:val="4"/>
          </w:tcPr>
          <w:p w:rsidR="00D568F5" w:rsidRPr="00C11AAD" w:rsidRDefault="00D568F5" w:rsidP="00981645">
            <w:pPr>
              <w:pStyle w:val="Tabletext"/>
              <w:jc w:val="center"/>
              <w:rPr>
                <w:b/>
                <w:iCs/>
                <w:lang w:val="en-US"/>
              </w:rPr>
            </w:pPr>
            <w:proofErr w:type="spellStart"/>
            <w:r w:rsidRPr="00C11AAD">
              <w:rPr>
                <w:b/>
                <w:iCs/>
                <w:lang w:val="en-US"/>
              </w:rPr>
              <w:t>Ertugliflozin</w:t>
            </w:r>
            <w:proofErr w:type="spellEnd"/>
            <w:r w:rsidRPr="00C11AAD">
              <w:rPr>
                <w:b/>
                <w:iCs/>
                <w:lang w:val="en-US"/>
              </w:rPr>
              <w:t xml:space="preserve"> + metformin</w:t>
            </w:r>
          </w:p>
          <w:p w:rsidR="00D568F5" w:rsidRPr="00C11AAD" w:rsidRDefault="00D568F5" w:rsidP="00981645">
            <w:pPr>
              <w:pStyle w:val="Tabletext"/>
              <w:jc w:val="center"/>
              <w:rPr>
                <w:b/>
                <w:lang w:val="en-US"/>
              </w:rPr>
            </w:pPr>
            <w:r w:rsidRPr="00C11AAD">
              <w:rPr>
                <w:b/>
                <w:iCs/>
                <w:lang w:val="en-US"/>
              </w:rPr>
              <w:t>Hba1c, mean (SD)</w:t>
            </w:r>
          </w:p>
        </w:tc>
        <w:tc>
          <w:tcPr>
            <w:tcW w:w="1917" w:type="pct"/>
            <w:gridSpan w:val="4"/>
          </w:tcPr>
          <w:p w:rsidR="00D568F5" w:rsidRPr="00C11AAD" w:rsidRDefault="00D568F5" w:rsidP="00981645">
            <w:pPr>
              <w:pStyle w:val="Tabletext"/>
              <w:jc w:val="center"/>
              <w:rPr>
                <w:b/>
                <w:iCs/>
                <w:lang w:val="en-US"/>
              </w:rPr>
            </w:pPr>
            <w:r w:rsidRPr="00C11AAD">
              <w:rPr>
                <w:b/>
                <w:iCs/>
                <w:lang w:val="en-US"/>
              </w:rPr>
              <w:t>Placebo + metformin</w:t>
            </w:r>
          </w:p>
          <w:p w:rsidR="00D568F5" w:rsidRPr="00C11AAD" w:rsidRDefault="00D568F5" w:rsidP="00981645">
            <w:pPr>
              <w:pStyle w:val="Tabletext"/>
              <w:jc w:val="center"/>
              <w:rPr>
                <w:b/>
                <w:lang w:val="en-US"/>
              </w:rPr>
            </w:pPr>
            <w:r w:rsidRPr="00C11AAD">
              <w:rPr>
                <w:b/>
                <w:iCs/>
                <w:lang w:val="en-US"/>
              </w:rPr>
              <w:t>Hba1c, mean (SD)</w:t>
            </w:r>
          </w:p>
        </w:tc>
        <w:tc>
          <w:tcPr>
            <w:tcW w:w="612" w:type="pct"/>
            <w:vMerge w:val="restart"/>
            <w:vAlign w:val="center"/>
          </w:tcPr>
          <w:p w:rsidR="00D568F5" w:rsidRPr="00C11AAD" w:rsidRDefault="00D568F5" w:rsidP="00981645">
            <w:pPr>
              <w:pStyle w:val="Tabletext"/>
              <w:jc w:val="center"/>
              <w:rPr>
                <w:b/>
                <w:lang w:val="en-US"/>
              </w:rPr>
            </w:pPr>
            <w:r w:rsidRPr="00C11AAD">
              <w:rPr>
                <w:b/>
                <w:iCs/>
                <w:lang w:val="en-US"/>
              </w:rPr>
              <w:t>LS Mean difference (95% CI)</w:t>
            </w:r>
          </w:p>
        </w:tc>
      </w:tr>
      <w:tr w:rsidR="00D568F5" w:rsidRPr="00C11AAD" w:rsidTr="00981645">
        <w:tc>
          <w:tcPr>
            <w:tcW w:w="629" w:type="pct"/>
            <w:vMerge/>
            <w:vAlign w:val="center"/>
          </w:tcPr>
          <w:p w:rsidR="00D568F5" w:rsidRPr="00C11AAD" w:rsidRDefault="00D568F5" w:rsidP="00981645">
            <w:pPr>
              <w:pStyle w:val="Tabletext"/>
            </w:pPr>
          </w:p>
        </w:tc>
        <w:tc>
          <w:tcPr>
            <w:tcW w:w="231" w:type="pct"/>
          </w:tcPr>
          <w:p w:rsidR="00D568F5" w:rsidRPr="00C11AAD" w:rsidRDefault="00D568F5" w:rsidP="00981645">
            <w:pPr>
              <w:pStyle w:val="Tabletext"/>
              <w:jc w:val="center"/>
              <w:rPr>
                <w:b/>
              </w:rPr>
            </w:pPr>
            <w:r w:rsidRPr="00C11AAD">
              <w:rPr>
                <w:b/>
              </w:rPr>
              <w:t>N</w:t>
            </w:r>
          </w:p>
        </w:tc>
        <w:tc>
          <w:tcPr>
            <w:tcW w:w="537" w:type="pct"/>
            <w:vAlign w:val="center"/>
          </w:tcPr>
          <w:p w:rsidR="00D568F5" w:rsidRPr="00C11AAD" w:rsidRDefault="00D568F5" w:rsidP="00981645">
            <w:pPr>
              <w:pStyle w:val="Tabletext"/>
              <w:jc w:val="center"/>
              <w:rPr>
                <w:b/>
              </w:rPr>
            </w:pPr>
            <w:r w:rsidRPr="00C11AAD">
              <w:rPr>
                <w:b/>
              </w:rPr>
              <w:t>Baseline</w:t>
            </w:r>
          </w:p>
        </w:tc>
        <w:tc>
          <w:tcPr>
            <w:tcW w:w="536" w:type="pct"/>
            <w:vAlign w:val="center"/>
          </w:tcPr>
          <w:p w:rsidR="00D568F5" w:rsidRPr="00C11AAD" w:rsidRDefault="00D568F5" w:rsidP="00981645">
            <w:pPr>
              <w:pStyle w:val="Tabletext"/>
              <w:jc w:val="center"/>
              <w:rPr>
                <w:b/>
              </w:rPr>
            </w:pPr>
            <w:r w:rsidRPr="00C11AAD">
              <w:rPr>
                <w:b/>
              </w:rPr>
              <w:t>Endpoint</w:t>
            </w:r>
          </w:p>
        </w:tc>
        <w:tc>
          <w:tcPr>
            <w:tcW w:w="538" w:type="pct"/>
            <w:vAlign w:val="center"/>
          </w:tcPr>
          <w:p w:rsidR="00D568F5" w:rsidRPr="00C11AAD" w:rsidRDefault="00D568F5" w:rsidP="00981645">
            <w:pPr>
              <w:pStyle w:val="Tabletext"/>
              <w:jc w:val="center"/>
              <w:rPr>
                <w:b/>
              </w:rPr>
            </w:pPr>
            <w:r w:rsidRPr="00C11AAD">
              <w:rPr>
                <w:b/>
              </w:rPr>
              <w:t>Change</w:t>
            </w:r>
          </w:p>
        </w:tc>
        <w:tc>
          <w:tcPr>
            <w:tcW w:w="229" w:type="pct"/>
          </w:tcPr>
          <w:p w:rsidR="00D568F5" w:rsidRPr="00C11AAD" w:rsidRDefault="00D568F5" w:rsidP="00981645">
            <w:pPr>
              <w:pStyle w:val="Tabletext"/>
              <w:jc w:val="center"/>
              <w:rPr>
                <w:b/>
              </w:rPr>
            </w:pPr>
            <w:r w:rsidRPr="00C11AAD">
              <w:rPr>
                <w:b/>
              </w:rPr>
              <w:t>N</w:t>
            </w:r>
          </w:p>
        </w:tc>
        <w:tc>
          <w:tcPr>
            <w:tcW w:w="615" w:type="pct"/>
            <w:vAlign w:val="center"/>
          </w:tcPr>
          <w:p w:rsidR="00D568F5" w:rsidRPr="00C11AAD" w:rsidRDefault="00D568F5" w:rsidP="00981645">
            <w:pPr>
              <w:pStyle w:val="Tabletext"/>
              <w:jc w:val="center"/>
              <w:rPr>
                <w:b/>
              </w:rPr>
            </w:pPr>
            <w:r w:rsidRPr="00C11AAD">
              <w:rPr>
                <w:b/>
              </w:rPr>
              <w:t>Baseline</w:t>
            </w:r>
          </w:p>
        </w:tc>
        <w:tc>
          <w:tcPr>
            <w:tcW w:w="536" w:type="pct"/>
            <w:vAlign w:val="center"/>
          </w:tcPr>
          <w:p w:rsidR="00D568F5" w:rsidRPr="00C11AAD" w:rsidRDefault="00D568F5" w:rsidP="00981645">
            <w:pPr>
              <w:pStyle w:val="Tabletext"/>
              <w:jc w:val="center"/>
              <w:rPr>
                <w:b/>
              </w:rPr>
            </w:pPr>
            <w:r w:rsidRPr="00C11AAD">
              <w:rPr>
                <w:b/>
              </w:rPr>
              <w:t>Endpoint</w:t>
            </w:r>
          </w:p>
        </w:tc>
        <w:tc>
          <w:tcPr>
            <w:tcW w:w="537" w:type="pct"/>
            <w:vAlign w:val="center"/>
          </w:tcPr>
          <w:p w:rsidR="00D568F5" w:rsidRPr="00C11AAD" w:rsidRDefault="00D568F5" w:rsidP="00981645">
            <w:pPr>
              <w:pStyle w:val="Tabletext"/>
              <w:jc w:val="center"/>
              <w:rPr>
                <w:b/>
              </w:rPr>
            </w:pPr>
            <w:r w:rsidRPr="00C11AAD">
              <w:rPr>
                <w:b/>
              </w:rPr>
              <w:t>Change</w:t>
            </w:r>
          </w:p>
        </w:tc>
        <w:tc>
          <w:tcPr>
            <w:tcW w:w="612" w:type="pct"/>
            <w:vMerge/>
            <w:vAlign w:val="center"/>
          </w:tcPr>
          <w:p w:rsidR="00D568F5" w:rsidRPr="00C11AAD" w:rsidRDefault="00D568F5" w:rsidP="00981645">
            <w:pPr>
              <w:pStyle w:val="Tabletext"/>
              <w:jc w:val="center"/>
            </w:pPr>
          </w:p>
        </w:tc>
      </w:tr>
      <w:tr w:rsidR="00D568F5" w:rsidRPr="00C11AAD" w:rsidTr="00981645">
        <w:tc>
          <w:tcPr>
            <w:tcW w:w="5000" w:type="pct"/>
            <w:gridSpan w:val="10"/>
          </w:tcPr>
          <w:p w:rsidR="00D568F5" w:rsidRPr="00C11AAD" w:rsidRDefault="00D568F5" w:rsidP="00981645">
            <w:pPr>
              <w:pStyle w:val="Tabletext"/>
              <w:rPr>
                <w:b/>
              </w:rPr>
            </w:pPr>
            <w:r w:rsidRPr="00C11AAD">
              <w:rPr>
                <w:b/>
              </w:rPr>
              <w:t>P016, 12 weeks</w:t>
            </w:r>
          </w:p>
        </w:tc>
      </w:tr>
      <w:tr w:rsidR="00D568F5" w:rsidRPr="00C11AAD" w:rsidTr="00981645">
        <w:tc>
          <w:tcPr>
            <w:tcW w:w="629" w:type="pct"/>
            <w:vAlign w:val="center"/>
          </w:tcPr>
          <w:p w:rsidR="00D568F5" w:rsidRPr="00C11AAD" w:rsidRDefault="00D568F5" w:rsidP="00981645">
            <w:pPr>
              <w:pStyle w:val="Tabletext"/>
            </w:pPr>
            <w:r w:rsidRPr="00C11AAD">
              <w:t>ERTU 5 mg</w:t>
            </w:r>
          </w:p>
        </w:tc>
        <w:tc>
          <w:tcPr>
            <w:tcW w:w="231" w:type="pct"/>
            <w:vAlign w:val="center"/>
          </w:tcPr>
          <w:p w:rsidR="00D568F5" w:rsidRPr="00C11AAD" w:rsidRDefault="00D568F5" w:rsidP="00981645">
            <w:pPr>
              <w:pStyle w:val="Tabletext"/>
              <w:jc w:val="center"/>
            </w:pPr>
            <w:r w:rsidRPr="00C11AAD">
              <w:t>53</w:t>
            </w:r>
          </w:p>
        </w:tc>
        <w:tc>
          <w:tcPr>
            <w:tcW w:w="537" w:type="pct"/>
            <w:vAlign w:val="center"/>
          </w:tcPr>
          <w:p w:rsidR="00D568F5" w:rsidRPr="00C11AAD" w:rsidRDefault="00D568F5" w:rsidP="00981645">
            <w:pPr>
              <w:pStyle w:val="Tabletext"/>
              <w:jc w:val="center"/>
            </w:pPr>
            <w:r w:rsidRPr="00C11AAD">
              <w:t>7.88 (0.13)</w:t>
            </w:r>
          </w:p>
        </w:tc>
        <w:tc>
          <w:tcPr>
            <w:tcW w:w="536" w:type="pct"/>
            <w:vAlign w:val="center"/>
          </w:tcPr>
          <w:p w:rsidR="00D568F5" w:rsidRPr="00C11AAD" w:rsidRDefault="00D568F5" w:rsidP="00981645">
            <w:pPr>
              <w:pStyle w:val="Tabletext"/>
              <w:jc w:val="center"/>
            </w:pPr>
            <w:r w:rsidRPr="00C11AAD">
              <w:t>NR</w:t>
            </w:r>
          </w:p>
        </w:tc>
        <w:tc>
          <w:tcPr>
            <w:tcW w:w="538" w:type="pct"/>
            <w:vAlign w:val="center"/>
          </w:tcPr>
          <w:p w:rsidR="00D568F5" w:rsidRPr="003E6C2E" w:rsidRDefault="003E6C2E" w:rsidP="00981645">
            <w:pPr>
              <w:pStyle w:val="Tabletext"/>
              <w:jc w:val="center"/>
              <w:rPr>
                <w:highlight w:val="black"/>
              </w:rPr>
            </w:pPr>
            <w:r>
              <w:rPr>
                <w:noProof/>
                <w:color w:val="000000"/>
                <w:highlight w:val="black"/>
              </w:rPr>
              <w:t>''''''''''' ''''''''''''''</w:t>
            </w:r>
          </w:p>
        </w:tc>
        <w:tc>
          <w:tcPr>
            <w:tcW w:w="229" w:type="pct"/>
            <w:vAlign w:val="center"/>
          </w:tcPr>
          <w:p w:rsidR="00D568F5" w:rsidRPr="00C11AAD" w:rsidRDefault="00D568F5" w:rsidP="00981645">
            <w:pPr>
              <w:pStyle w:val="Tabletext"/>
              <w:jc w:val="center"/>
            </w:pPr>
            <w:r w:rsidRPr="00C11AAD">
              <w:t>51</w:t>
            </w:r>
          </w:p>
        </w:tc>
        <w:tc>
          <w:tcPr>
            <w:tcW w:w="615" w:type="pct"/>
            <w:vAlign w:val="center"/>
          </w:tcPr>
          <w:p w:rsidR="00D568F5" w:rsidRPr="00C11AAD" w:rsidRDefault="00D568F5" w:rsidP="00981645">
            <w:pPr>
              <w:pStyle w:val="Tabletext"/>
              <w:jc w:val="center"/>
            </w:pPr>
            <w:r w:rsidRPr="00C11AAD">
              <w:t>8.08 (0.14)</w:t>
            </w:r>
          </w:p>
        </w:tc>
        <w:tc>
          <w:tcPr>
            <w:tcW w:w="536" w:type="pct"/>
            <w:vAlign w:val="center"/>
          </w:tcPr>
          <w:p w:rsidR="00D568F5" w:rsidRPr="00C11AAD" w:rsidRDefault="00D568F5" w:rsidP="00981645">
            <w:pPr>
              <w:pStyle w:val="Tabletext"/>
              <w:jc w:val="center"/>
            </w:pPr>
            <w:r w:rsidRPr="00C11AAD">
              <w:t>NR</w:t>
            </w:r>
          </w:p>
        </w:tc>
        <w:tc>
          <w:tcPr>
            <w:tcW w:w="537" w:type="pct"/>
            <w:vAlign w:val="center"/>
          </w:tcPr>
          <w:p w:rsidR="00D568F5" w:rsidRPr="003E6C2E" w:rsidRDefault="003E6C2E" w:rsidP="00981645">
            <w:pPr>
              <w:pStyle w:val="Tabletext"/>
              <w:jc w:val="center"/>
              <w:rPr>
                <w:highlight w:val="black"/>
              </w:rPr>
            </w:pPr>
            <w:r>
              <w:rPr>
                <w:noProof/>
                <w:color w:val="000000"/>
                <w:highlight w:val="black"/>
              </w:rPr>
              <w:t>'''''''''''' '''''''''''''</w:t>
            </w:r>
          </w:p>
        </w:tc>
        <w:tc>
          <w:tcPr>
            <w:tcW w:w="612" w:type="pct"/>
            <w:vAlign w:val="center"/>
          </w:tcPr>
          <w:p w:rsidR="00D568F5" w:rsidRPr="003E6C2E" w:rsidRDefault="003E6C2E" w:rsidP="00981645">
            <w:pPr>
              <w:pStyle w:val="Tabletext"/>
              <w:jc w:val="center"/>
              <w:rPr>
                <w:highlight w:val="black"/>
                <w:vertAlign w:val="superscript"/>
              </w:rPr>
            </w:pPr>
            <w:r>
              <w:rPr>
                <w:noProof/>
                <w:color w:val="000000"/>
                <w:highlight w:val="black"/>
              </w:rPr>
              <w:t>'''''''''''''' '''</w:t>
            </w:r>
          </w:p>
          <w:p w:rsidR="00D568F5" w:rsidRPr="003E6C2E" w:rsidRDefault="003E6C2E" w:rsidP="00981645">
            <w:pPr>
              <w:pStyle w:val="Tabletext"/>
              <w:jc w:val="center"/>
              <w:rPr>
                <w:highlight w:val="black"/>
              </w:rPr>
            </w:pPr>
            <w:r>
              <w:rPr>
                <w:noProof/>
                <w:color w:val="000000"/>
                <w:highlight w:val="black"/>
              </w:rPr>
              <w:t>'''''''''''''''' '''''''''''''</w:t>
            </w:r>
          </w:p>
        </w:tc>
      </w:tr>
      <w:tr w:rsidR="00D568F5" w:rsidRPr="00C11AAD" w:rsidTr="00981645">
        <w:tc>
          <w:tcPr>
            <w:tcW w:w="5000" w:type="pct"/>
            <w:gridSpan w:val="10"/>
          </w:tcPr>
          <w:p w:rsidR="00D568F5" w:rsidRPr="00C11AAD" w:rsidRDefault="00D568F5" w:rsidP="00981645">
            <w:pPr>
              <w:pStyle w:val="Tabletext"/>
              <w:rPr>
                <w:b/>
              </w:rPr>
            </w:pPr>
            <w:r w:rsidRPr="00C11AAD">
              <w:rPr>
                <w:b/>
              </w:rPr>
              <w:t>P007, 26 weeks</w:t>
            </w:r>
          </w:p>
        </w:tc>
      </w:tr>
      <w:tr w:rsidR="00D568F5" w:rsidRPr="00C11AAD" w:rsidTr="00981645">
        <w:tc>
          <w:tcPr>
            <w:tcW w:w="629" w:type="pct"/>
            <w:vAlign w:val="center"/>
          </w:tcPr>
          <w:p w:rsidR="00D568F5" w:rsidRPr="00C11AAD" w:rsidRDefault="00D568F5" w:rsidP="00981645">
            <w:pPr>
              <w:pStyle w:val="Tabletext"/>
            </w:pPr>
            <w:r w:rsidRPr="00C11AAD">
              <w:t>ERTU 5 mg</w:t>
            </w:r>
          </w:p>
        </w:tc>
        <w:tc>
          <w:tcPr>
            <w:tcW w:w="231" w:type="pct"/>
            <w:vAlign w:val="center"/>
          </w:tcPr>
          <w:p w:rsidR="00D568F5" w:rsidRPr="00C11AAD" w:rsidRDefault="00D568F5" w:rsidP="00981645">
            <w:pPr>
              <w:pStyle w:val="Tabletext"/>
              <w:jc w:val="center"/>
            </w:pPr>
            <w:r w:rsidRPr="00C11AAD">
              <w:t>207</w:t>
            </w:r>
          </w:p>
        </w:tc>
        <w:tc>
          <w:tcPr>
            <w:tcW w:w="537" w:type="pct"/>
            <w:vAlign w:val="center"/>
          </w:tcPr>
          <w:p w:rsidR="00D568F5" w:rsidRPr="00C11AAD" w:rsidRDefault="00D568F5" w:rsidP="00981645">
            <w:pPr>
              <w:pStyle w:val="Tabletext"/>
              <w:jc w:val="center"/>
            </w:pPr>
            <w:r w:rsidRPr="00C11AAD">
              <w:t>8.06 (0.89)</w:t>
            </w:r>
          </w:p>
        </w:tc>
        <w:tc>
          <w:tcPr>
            <w:tcW w:w="536" w:type="pct"/>
            <w:vAlign w:val="center"/>
          </w:tcPr>
          <w:p w:rsidR="00D568F5" w:rsidRPr="00C11AAD" w:rsidRDefault="00D568F5" w:rsidP="00981645">
            <w:pPr>
              <w:pStyle w:val="Tabletext"/>
              <w:jc w:val="center"/>
            </w:pPr>
            <w:r w:rsidRPr="00C11AAD">
              <w:t>7.29 (0.82)</w:t>
            </w:r>
          </w:p>
        </w:tc>
        <w:tc>
          <w:tcPr>
            <w:tcW w:w="538" w:type="pct"/>
            <w:vAlign w:val="center"/>
          </w:tcPr>
          <w:p w:rsidR="00D568F5" w:rsidRPr="00C11AAD" w:rsidRDefault="00D568F5" w:rsidP="00981645">
            <w:pPr>
              <w:pStyle w:val="Tabletext"/>
              <w:jc w:val="center"/>
            </w:pPr>
            <w:r w:rsidRPr="00C11AAD">
              <w:t>-0.73 (0.88)</w:t>
            </w:r>
          </w:p>
        </w:tc>
        <w:tc>
          <w:tcPr>
            <w:tcW w:w="229" w:type="pct"/>
            <w:vAlign w:val="center"/>
          </w:tcPr>
          <w:p w:rsidR="00D568F5" w:rsidRPr="00C11AAD" w:rsidRDefault="00D568F5" w:rsidP="00981645">
            <w:pPr>
              <w:pStyle w:val="Tabletext"/>
              <w:jc w:val="center"/>
            </w:pPr>
            <w:r w:rsidRPr="00C11AAD">
              <w:t>209</w:t>
            </w:r>
          </w:p>
        </w:tc>
        <w:tc>
          <w:tcPr>
            <w:tcW w:w="615" w:type="pct"/>
            <w:vAlign w:val="center"/>
          </w:tcPr>
          <w:p w:rsidR="00D568F5" w:rsidRPr="00C11AAD" w:rsidRDefault="00D568F5" w:rsidP="00981645">
            <w:pPr>
              <w:pStyle w:val="Tabletext"/>
              <w:jc w:val="center"/>
            </w:pPr>
            <w:r w:rsidRPr="00C11AAD">
              <w:t>8.17 (0.90)</w:t>
            </w:r>
          </w:p>
        </w:tc>
        <w:tc>
          <w:tcPr>
            <w:tcW w:w="536" w:type="pct"/>
            <w:vAlign w:val="center"/>
          </w:tcPr>
          <w:p w:rsidR="00D568F5" w:rsidRPr="00C11AAD" w:rsidRDefault="00D568F5" w:rsidP="00981645">
            <w:pPr>
              <w:pStyle w:val="Tabletext"/>
              <w:jc w:val="center"/>
            </w:pPr>
            <w:r w:rsidRPr="00C11AAD">
              <w:t>7.84 (1.06)</w:t>
            </w:r>
          </w:p>
        </w:tc>
        <w:tc>
          <w:tcPr>
            <w:tcW w:w="537" w:type="pct"/>
            <w:vAlign w:val="center"/>
          </w:tcPr>
          <w:p w:rsidR="00D568F5" w:rsidRPr="00C11AAD" w:rsidRDefault="00D568F5" w:rsidP="00981645">
            <w:pPr>
              <w:pStyle w:val="Tabletext"/>
              <w:jc w:val="center"/>
            </w:pPr>
            <w:r w:rsidRPr="00C11AAD">
              <w:t>-0.03 (0.92)</w:t>
            </w:r>
          </w:p>
        </w:tc>
        <w:tc>
          <w:tcPr>
            <w:tcW w:w="612" w:type="pct"/>
            <w:vAlign w:val="center"/>
          </w:tcPr>
          <w:p w:rsidR="00D568F5" w:rsidRPr="00C11AAD" w:rsidRDefault="00D568F5" w:rsidP="00981645">
            <w:pPr>
              <w:pStyle w:val="Tabletext"/>
              <w:jc w:val="center"/>
            </w:pPr>
            <w:r w:rsidRPr="00C11AAD">
              <w:t>-0.70</w:t>
            </w:r>
          </w:p>
          <w:p w:rsidR="00D568F5" w:rsidRPr="00C11AAD" w:rsidRDefault="00D568F5" w:rsidP="00981645">
            <w:pPr>
              <w:pStyle w:val="Tabletext"/>
              <w:jc w:val="center"/>
            </w:pPr>
            <w:r w:rsidRPr="00C11AAD">
              <w:t>(-0.87, -0.53)</w:t>
            </w:r>
          </w:p>
        </w:tc>
      </w:tr>
      <w:tr w:rsidR="00D568F5" w:rsidRPr="00C11AAD" w:rsidTr="00981645">
        <w:tc>
          <w:tcPr>
            <w:tcW w:w="629" w:type="pct"/>
            <w:vAlign w:val="center"/>
          </w:tcPr>
          <w:p w:rsidR="00D568F5" w:rsidRPr="00C11AAD" w:rsidRDefault="00D568F5" w:rsidP="00981645">
            <w:pPr>
              <w:pStyle w:val="Tabletext"/>
            </w:pPr>
            <w:r w:rsidRPr="00C11AAD">
              <w:t>ERTU 15 mg</w:t>
            </w:r>
          </w:p>
        </w:tc>
        <w:tc>
          <w:tcPr>
            <w:tcW w:w="231" w:type="pct"/>
            <w:vAlign w:val="center"/>
          </w:tcPr>
          <w:p w:rsidR="00D568F5" w:rsidRPr="00C11AAD" w:rsidRDefault="00D568F5" w:rsidP="00981645">
            <w:pPr>
              <w:pStyle w:val="Tabletext"/>
              <w:jc w:val="center"/>
            </w:pPr>
            <w:r w:rsidRPr="00C11AAD">
              <w:t>205</w:t>
            </w:r>
          </w:p>
        </w:tc>
        <w:tc>
          <w:tcPr>
            <w:tcW w:w="537" w:type="pct"/>
            <w:vAlign w:val="center"/>
          </w:tcPr>
          <w:p w:rsidR="00D568F5" w:rsidRPr="00C11AAD" w:rsidRDefault="00D568F5" w:rsidP="00981645">
            <w:pPr>
              <w:pStyle w:val="Tabletext"/>
              <w:jc w:val="center"/>
            </w:pPr>
            <w:r w:rsidRPr="00C11AAD">
              <w:t>8.13 (0.93)</w:t>
            </w:r>
          </w:p>
        </w:tc>
        <w:tc>
          <w:tcPr>
            <w:tcW w:w="536" w:type="pct"/>
            <w:vAlign w:val="center"/>
          </w:tcPr>
          <w:p w:rsidR="00D568F5" w:rsidRPr="00C11AAD" w:rsidRDefault="00D568F5" w:rsidP="00981645">
            <w:pPr>
              <w:pStyle w:val="Tabletext"/>
              <w:jc w:val="center"/>
            </w:pPr>
            <w:r w:rsidRPr="00C11AAD">
              <w:t>7.20 (0.75)</w:t>
            </w:r>
          </w:p>
        </w:tc>
        <w:tc>
          <w:tcPr>
            <w:tcW w:w="538" w:type="pct"/>
            <w:vAlign w:val="center"/>
          </w:tcPr>
          <w:p w:rsidR="00D568F5" w:rsidRPr="00C11AAD" w:rsidRDefault="00D568F5" w:rsidP="00981645">
            <w:pPr>
              <w:pStyle w:val="Tabletext"/>
              <w:jc w:val="center"/>
            </w:pPr>
            <w:r w:rsidRPr="00C11AAD">
              <w:t>-0.91 (0.91)</w:t>
            </w:r>
          </w:p>
        </w:tc>
        <w:tc>
          <w:tcPr>
            <w:tcW w:w="229" w:type="pct"/>
            <w:vAlign w:val="center"/>
          </w:tcPr>
          <w:p w:rsidR="00D568F5" w:rsidRPr="00C11AAD" w:rsidRDefault="00D568F5" w:rsidP="00981645">
            <w:pPr>
              <w:pStyle w:val="Tabletext"/>
              <w:jc w:val="center"/>
            </w:pPr>
            <w:r w:rsidRPr="00C11AAD">
              <w:t>209</w:t>
            </w:r>
          </w:p>
        </w:tc>
        <w:tc>
          <w:tcPr>
            <w:tcW w:w="615" w:type="pct"/>
            <w:vAlign w:val="center"/>
          </w:tcPr>
          <w:p w:rsidR="00D568F5" w:rsidRPr="00C11AAD" w:rsidRDefault="00D568F5" w:rsidP="00981645">
            <w:pPr>
              <w:pStyle w:val="Tabletext"/>
              <w:jc w:val="center"/>
            </w:pPr>
            <w:r w:rsidRPr="00C11AAD">
              <w:t>8.17 (0.90)</w:t>
            </w:r>
          </w:p>
        </w:tc>
        <w:tc>
          <w:tcPr>
            <w:tcW w:w="536" w:type="pct"/>
            <w:vAlign w:val="center"/>
          </w:tcPr>
          <w:p w:rsidR="00D568F5" w:rsidRPr="00C11AAD" w:rsidRDefault="00D568F5" w:rsidP="00981645">
            <w:pPr>
              <w:pStyle w:val="Tabletext"/>
              <w:jc w:val="center"/>
            </w:pPr>
            <w:r w:rsidRPr="00C11AAD">
              <w:t>7.84 (1.06)</w:t>
            </w:r>
          </w:p>
        </w:tc>
        <w:tc>
          <w:tcPr>
            <w:tcW w:w="537" w:type="pct"/>
            <w:vAlign w:val="center"/>
          </w:tcPr>
          <w:p w:rsidR="00D568F5" w:rsidRPr="00C11AAD" w:rsidRDefault="00D568F5" w:rsidP="00981645">
            <w:pPr>
              <w:pStyle w:val="Tabletext"/>
              <w:jc w:val="center"/>
            </w:pPr>
            <w:r w:rsidRPr="00C11AAD">
              <w:t>-0.03 (0.92)</w:t>
            </w:r>
          </w:p>
        </w:tc>
        <w:tc>
          <w:tcPr>
            <w:tcW w:w="612" w:type="pct"/>
            <w:vAlign w:val="center"/>
          </w:tcPr>
          <w:p w:rsidR="00D568F5" w:rsidRPr="00C11AAD" w:rsidRDefault="00D568F5" w:rsidP="00981645">
            <w:pPr>
              <w:pStyle w:val="Tabletext"/>
              <w:jc w:val="center"/>
            </w:pPr>
            <w:r w:rsidRPr="00C11AAD">
              <w:t>-0.88</w:t>
            </w:r>
          </w:p>
          <w:p w:rsidR="00D568F5" w:rsidRPr="00C11AAD" w:rsidRDefault="00D568F5" w:rsidP="00981645">
            <w:pPr>
              <w:pStyle w:val="Tabletext"/>
              <w:jc w:val="center"/>
            </w:pPr>
            <w:r w:rsidRPr="00C11AAD">
              <w:t>(-1.05, -0.71)</w:t>
            </w:r>
          </w:p>
        </w:tc>
      </w:tr>
    </w:tbl>
    <w:p w:rsidR="00D568F5" w:rsidRPr="00C11AAD" w:rsidRDefault="00D568F5" w:rsidP="00D568F5">
      <w:pPr>
        <w:pStyle w:val="TableFooter"/>
      </w:pPr>
      <w:r w:rsidRPr="00C11AAD">
        <w:rPr>
          <w:vertAlign w:val="superscript"/>
        </w:rPr>
        <w:t xml:space="preserve">a </w:t>
      </w:r>
      <w:r w:rsidRPr="00C11AAD">
        <w:t>95% confidence interval for LS mean difference in Trial P016 was calculated during the submission using Review Manager 5.3 (the Clinical Trial Report included 80% confidence intervals only)</w:t>
      </w:r>
    </w:p>
    <w:p w:rsidR="00D568F5" w:rsidRPr="00C11AAD" w:rsidRDefault="00D568F5" w:rsidP="00D568F5">
      <w:pPr>
        <w:pStyle w:val="TableFooter"/>
        <w:rPr>
          <w:sz w:val="20"/>
        </w:rPr>
      </w:pPr>
      <w:r w:rsidRPr="00C11AAD">
        <w:t>Source: Table 2-17, pp105-106 of the submission, relevant trial reports and publications</w:t>
      </w:r>
    </w:p>
    <w:p w:rsidR="00D568F5" w:rsidRPr="00C11AAD" w:rsidRDefault="00D568F5" w:rsidP="00D568F5">
      <w:pPr>
        <w:pStyle w:val="TableFooter"/>
      </w:pPr>
      <w:r w:rsidRPr="00C11AAD">
        <w:t xml:space="preserve">CI, confidence interval; ERTU, </w:t>
      </w:r>
      <w:proofErr w:type="spellStart"/>
      <w:r w:rsidRPr="00C11AAD">
        <w:t>ertugliflozin</w:t>
      </w:r>
      <w:proofErr w:type="spellEnd"/>
      <w:r w:rsidRPr="00C11AAD">
        <w:t xml:space="preserve">; HbA1c, glycosylated haemoglobin; LS, least squares; </w:t>
      </w:r>
      <w:r w:rsidR="0041534D" w:rsidRPr="00C11AAD">
        <w:t xml:space="preserve">NR, not reported; </w:t>
      </w:r>
      <w:r w:rsidRPr="00832030">
        <w:rPr>
          <w:sz w:val="16"/>
          <w:szCs w:val="16"/>
        </w:rPr>
        <w:t>SD, standard deviation.</w:t>
      </w:r>
    </w:p>
    <w:p w:rsidR="00D568F5" w:rsidRPr="00C11AAD" w:rsidRDefault="00D568F5" w:rsidP="00985C8D">
      <w:pPr>
        <w:pStyle w:val="ListParagraph"/>
        <w:widowControl/>
        <w:numPr>
          <w:ilvl w:val="1"/>
          <w:numId w:val="2"/>
        </w:numPr>
        <w:spacing w:before="120" w:after="120"/>
      </w:pPr>
      <w:r w:rsidRPr="00C11AAD">
        <w:rPr>
          <w:szCs w:val="20"/>
        </w:rPr>
        <w:lastRenderedPageBreak/>
        <w:t xml:space="preserve">Results of the placebo-controlled </w:t>
      </w:r>
      <w:proofErr w:type="spellStart"/>
      <w:r w:rsidRPr="00C11AAD">
        <w:rPr>
          <w:szCs w:val="20"/>
        </w:rPr>
        <w:t>ertugliflozin</w:t>
      </w:r>
      <w:proofErr w:type="spellEnd"/>
      <w:r w:rsidRPr="00C11AAD">
        <w:rPr>
          <w:szCs w:val="20"/>
        </w:rPr>
        <w:t xml:space="preserve"> trials showed statistically significantly greater reductions from baseline in HbA1c compared to placebo at 12 weeks for </w:t>
      </w:r>
      <w:proofErr w:type="spellStart"/>
      <w:r w:rsidRPr="00C11AAD">
        <w:rPr>
          <w:szCs w:val="20"/>
        </w:rPr>
        <w:t>ertugliflozin</w:t>
      </w:r>
      <w:proofErr w:type="spellEnd"/>
      <w:r w:rsidRPr="00C11AAD">
        <w:rPr>
          <w:szCs w:val="20"/>
        </w:rPr>
        <w:t xml:space="preserve"> 5 mg and at 26 weeks for </w:t>
      </w:r>
      <w:proofErr w:type="spellStart"/>
      <w:r w:rsidRPr="00C11AAD">
        <w:rPr>
          <w:szCs w:val="20"/>
        </w:rPr>
        <w:t>ertugliflozin</w:t>
      </w:r>
      <w:proofErr w:type="spellEnd"/>
      <w:r w:rsidRPr="00C11AAD">
        <w:rPr>
          <w:szCs w:val="20"/>
        </w:rPr>
        <w:t xml:space="preserve"> 5 mg and 15 mg dose strengths.</w:t>
      </w:r>
    </w:p>
    <w:p w:rsidR="00CC2EFA" w:rsidRPr="00D51883" w:rsidRDefault="00CC2EFA" w:rsidP="00985C8D">
      <w:pPr>
        <w:pStyle w:val="ListParagraph"/>
        <w:widowControl/>
        <w:numPr>
          <w:ilvl w:val="1"/>
          <w:numId w:val="2"/>
        </w:numPr>
        <w:spacing w:after="120"/>
      </w:pPr>
      <w:r w:rsidRPr="00C11AAD">
        <w:rPr>
          <w:szCs w:val="20"/>
        </w:rPr>
        <w:t xml:space="preserve">Results for change from baseline in fasting plasma glucose </w:t>
      </w:r>
      <w:r w:rsidR="00EE234C" w:rsidRPr="00C11AAD">
        <w:rPr>
          <w:szCs w:val="20"/>
        </w:rPr>
        <w:t xml:space="preserve">(FPG) levels </w:t>
      </w:r>
      <w:r w:rsidRPr="00C11AAD">
        <w:rPr>
          <w:szCs w:val="20"/>
        </w:rPr>
        <w:t xml:space="preserve">and proportions of HbA1c responders (HbA1c &lt;7%) were also statistically significantly in favour of </w:t>
      </w:r>
      <w:proofErr w:type="spellStart"/>
      <w:r w:rsidRPr="00C11AAD">
        <w:rPr>
          <w:szCs w:val="20"/>
        </w:rPr>
        <w:t>ertugliflozin</w:t>
      </w:r>
      <w:proofErr w:type="spellEnd"/>
      <w:r w:rsidRPr="00C11AAD">
        <w:rPr>
          <w:szCs w:val="20"/>
        </w:rPr>
        <w:t xml:space="preserve"> compared to placebo.</w:t>
      </w:r>
    </w:p>
    <w:p w:rsidR="00D51883" w:rsidRPr="00C11AAD" w:rsidRDefault="00D51883" w:rsidP="00AB2BD2">
      <w:pPr>
        <w:widowControl/>
        <w:numPr>
          <w:ilvl w:val="1"/>
          <w:numId w:val="2"/>
        </w:numPr>
        <w:spacing w:after="120"/>
      </w:pPr>
      <w:r w:rsidRPr="00D51883">
        <w:rPr>
          <w:rFonts w:asciiTheme="minorHAnsi" w:hAnsiTheme="minorHAnsi"/>
          <w:bCs/>
          <w:lang w:val="en-GB"/>
        </w:rPr>
        <w:t>The PBAC considered that</w:t>
      </w:r>
      <w:r w:rsidRPr="00543562">
        <w:rPr>
          <w:rFonts w:asciiTheme="minorHAnsi" w:hAnsiTheme="minorHAnsi"/>
          <w:bCs/>
          <w:lang w:val="en-GB"/>
        </w:rPr>
        <w:t>,</w:t>
      </w:r>
      <w:r w:rsidRPr="00A2009D">
        <w:rPr>
          <w:rFonts w:asciiTheme="minorHAnsi" w:hAnsiTheme="minorHAnsi"/>
          <w:bCs/>
          <w:lang w:val="en-GB"/>
        </w:rPr>
        <w:t xml:space="preserve"> </w:t>
      </w:r>
      <w:proofErr w:type="gramStart"/>
      <w:r w:rsidRPr="00A2009D">
        <w:rPr>
          <w:rFonts w:asciiTheme="minorHAnsi" w:hAnsiTheme="minorHAnsi"/>
          <w:bCs/>
          <w:lang w:val="en-GB"/>
        </w:rPr>
        <w:t>overall</w:t>
      </w:r>
      <w:r w:rsidRPr="009A1748">
        <w:rPr>
          <w:rFonts w:asciiTheme="minorHAnsi" w:hAnsiTheme="minorHAnsi"/>
          <w:bCs/>
          <w:lang w:val="en-GB"/>
        </w:rPr>
        <w:t>,</w:t>
      </w:r>
      <w:proofErr w:type="gramEnd"/>
      <w:r w:rsidRPr="009A1748">
        <w:rPr>
          <w:rFonts w:asciiTheme="minorHAnsi" w:hAnsiTheme="minorHAnsi"/>
          <w:bCs/>
          <w:lang w:val="en-GB"/>
        </w:rPr>
        <w:t xml:space="preserve"> </w:t>
      </w:r>
      <w:r w:rsidRPr="002E5756">
        <w:rPr>
          <w:rFonts w:asciiTheme="minorHAnsi" w:hAnsiTheme="minorHAnsi"/>
          <w:bCs/>
          <w:lang w:val="en-GB"/>
        </w:rPr>
        <w:t xml:space="preserve">the results of the placebo-controlled </w:t>
      </w:r>
      <w:proofErr w:type="spellStart"/>
      <w:r w:rsidRPr="002E5756">
        <w:rPr>
          <w:rFonts w:asciiTheme="minorHAnsi" w:hAnsiTheme="minorHAnsi"/>
          <w:bCs/>
          <w:lang w:val="en-GB"/>
        </w:rPr>
        <w:t>ertugliflozin</w:t>
      </w:r>
      <w:proofErr w:type="spellEnd"/>
      <w:r w:rsidRPr="002E5756">
        <w:rPr>
          <w:rFonts w:asciiTheme="minorHAnsi" w:hAnsiTheme="minorHAnsi"/>
          <w:bCs/>
          <w:lang w:val="en-GB"/>
        </w:rPr>
        <w:t xml:space="preserve"> trials suggested a statistically si</w:t>
      </w:r>
      <w:r w:rsidRPr="00D51883">
        <w:rPr>
          <w:rFonts w:asciiTheme="minorHAnsi" w:hAnsiTheme="minorHAnsi"/>
          <w:bCs/>
          <w:lang w:val="en-GB"/>
        </w:rPr>
        <w:t xml:space="preserve">gnificant difference in HbA1c, FPG and body weight outcomes in favour of </w:t>
      </w:r>
      <w:proofErr w:type="spellStart"/>
      <w:r w:rsidRPr="00D51883">
        <w:rPr>
          <w:rFonts w:asciiTheme="minorHAnsi" w:hAnsiTheme="minorHAnsi"/>
          <w:bCs/>
          <w:lang w:val="en-GB"/>
        </w:rPr>
        <w:t>ertugliflozin</w:t>
      </w:r>
      <w:proofErr w:type="spellEnd"/>
      <w:r w:rsidRPr="00D51883">
        <w:rPr>
          <w:rFonts w:asciiTheme="minorHAnsi" w:hAnsiTheme="minorHAnsi"/>
          <w:bCs/>
          <w:lang w:val="en-GB"/>
        </w:rPr>
        <w:t xml:space="preserve">.  </w:t>
      </w:r>
    </w:p>
    <w:p w:rsidR="00D568F5" w:rsidRPr="00C11AAD" w:rsidRDefault="00D568F5" w:rsidP="00985C8D">
      <w:pPr>
        <w:keepNext/>
        <w:ind w:left="992" w:hanging="992"/>
        <w:rPr>
          <w:rStyle w:val="CommentReference"/>
        </w:rPr>
      </w:pPr>
      <w:r w:rsidRPr="00C11AAD">
        <w:rPr>
          <w:rStyle w:val="CommentReference"/>
        </w:rPr>
        <w:t xml:space="preserve">Table </w:t>
      </w:r>
      <w:r w:rsidR="00164F18" w:rsidRPr="00C11AAD">
        <w:rPr>
          <w:rStyle w:val="CommentReference"/>
        </w:rPr>
        <w:t>5</w:t>
      </w:r>
      <w:r w:rsidRPr="00C11AAD">
        <w:rPr>
          <w:rStyle w:val="CommentReference"/>
        </w:rPr>
        <w:t xml:space="preserve">: Results of change from baseline in HbA1c in </w:t>
      </w:r>
      <w:proofErr w:type="spellStart"/>
      <w:r w:rsidRPr="00C11AAD">
        <w:rPr>
          <w:rStyle w:val="CommentReference"/>
        </w:rPr>
        <w:t>ertugliflozin</w:t>
      </w:r>
      <w:proofErr w:type="spellEnd"/>
      <w:r w:rsidRPr="00C11AAD">
        <w:rPr>
          <w:rStyle w:val="CommentReference"/>
        </w:rPr>
        <w:t xml:space="preserve"> trials with </w:t>
      </w:r>
      <w:proofErr w:type="spellStart"/>
      <w:r w:rsidRPr="00C11AAD">
        <w:rPr>
          <w:rStyle w:val="CommentReference"/>
        </w:rPr>
        <w:t>sitagliptin</w:t>
      </w:r>
      <w:proofErr w:type="spellEnd"/>
      <w:r w:rsidRPr="00C11AAD">
        <w:rPr>
          <w:rStyle w:val="CommentReference"/>
        </w:rPr>
        <w:t xml:space="preserve"> arm</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427"/>
        <w:gridCol w:w="993"/>
        <w:gridCol w:w="991"/>
        <w:gridCol w:w="995"/>
        <w:gridCol w:w="423"/>
        <w:gridCol w:w="1137"/>
        <w:gridCol w:w="991"/>
        <w:gridCol w:w="993"/>
        <w:gridCol w:w="1131"/>
      </w:tblGrid>
      <w:tr w:rsidR="00D568F5" w:rsidRPr="00C11AAD" w:rsidTr="00981645">
        <w:trPr>
          <w:tblHeader/>
        </w:trPr>
        <w:tc>
          <w:tcPr>
            <w:tcW w:w="629" w:type="pct"/>
            <w:vMerge w:val="restart"/>
            <w:vAlign w:val="center"/>
          </w:tcPr>
          <w:p w:rsidR="00D568F5" w:rsidRPr="00C11AAD" w:rsidRDefault="00D568F5" w:rsidP="00985C8D">
            <w:pPr>
              <w:pStyle w:val="Tabletext"/>
              <w:keepNext/>
              <w:rPr>
                <w:b/>
              </w:rPr>
            </w:pPr>
            <w:r w:rsidRPr="00C11AAD">
              <w:rPr>
                <w:b/>
              </w:rPr>
              <w:t>Trial ID</w:t>
            </w:r>
          </w:p>
        </w:tc>
        <w:tc>
          <w:tcPr>
            <w:tcW w:w="1842" w:type="pct"/>
            <w:gridSpan w:val="4"/>
          </w:tcPr>
          <w:p w:rsidR="00D568F5" w:rsidRPr="00C11AAD" w:rsidRDefault="00D568F5" w:rsidP="00985C8D">
            <w:pPr>
              <w:pStyle w:val="Tabletext"/>
              <w:keepNext/>
              <w:jc w:val="center"/>
              <w:rPr>
                <w:b/>
                <w:iCs/>
                <w:lang w:val="en-US"/>
              </w:rPr>
            </w:pPr>
            <w:proofErr w:type="spellStart"/>
            <w:r w:rsidRPr="00C11AAD">
              <w:rPr>
                <w:b/>
                <w:iCs/>
                <w:lang w:val="en-US"/>
              </w:rPr>
              <w:t>Ertugliflozin</w:t>
            </w:r>
            <w:proofErr w:type="spellEnd"/>
            <w:r w:rsidRPr="00C11AAD">
              <w:rPr>
                <w:b/>
                <w:iCs/>
                <w:lang w:val="en-US"/>
              </w:rPr>
              <w:t xml:space="preserve"> + metformin</w:t>
            </w:r>
          </w:p>
          <w:p w:rsidR="00D568F5" w:rsidRPr="00C11AAD" w:rsidRDefault="00D568F5" w:rsidP="00985C8D">
            <w:pPr>
              <w:pStyle w:val="Tabletext"/>
              <w:keepNext/>
              <w:jc w:val="center"/>
              <w:rPr>
                <w:b/>
                <w:lang w:val="en-US"/>
              </w:rPr>
            </w:pPr>
            <w:r w:rsidRPr="00C11AAD">
              <w:rPr>
                <w:b/>
                <w:iCs/>
                <w:lang w:val="en-US"/>
              </w:rPr>
              <w:t>Hba1c %, mean (SD)</w:t>
            </w:r>
          </w:p>
        </w:tc>
        <w:tc>
          <w:tcPr>
            <w:tcW w:w="1917" w:type="pct"/>
            <w:gridSpan w:val="4"/>
          </w:tcPr>
          <w:p w:rsidR="00D568F5" w:rsidRPr="00C11AAD" w:rsidRDefault="00D568F5" w:rsidP="00985C8D">
            <w:pPr>
              <w:pStyle w:val="Tabletext"/>
              <w:keepNext/>
              <w:jc w:val="center"/>
              <w:rPr>
                <w:b/>
                <w:iCs/>
                <w:lang w:val="en-US"/>
              </w:rPr>
            </w:pPr>
            <w:proofErr w:type="spellStart"/>
            <w:r w:rsidRPr="00C11AAD">
              <w:rPr>
                <w:b/>
                <w:iCs/>
                <w:lang w:val="en-US"/>
              </w:rPr>
              <w:t>Sitagliptin</w:t>
            </w:r>
            <w:proofErr w:type="spellEnd"/>
            <w:r w:rsidRPr="00C11AAD">
              <w:rPr>
                <w:b/>
                <w:iCs/>
                <w:lang w:val="en-US"/>
              </w:rPr>
              <w:t xml:space="preserve"> + metformin</w:t>
            </w:r>
          </w:p>
          <w:p w:rsidR="00D568F5" w:rsidRPr="00C11AAD" w:rsidRDefault="00D568F5" w:rsidP="00985C8D">
            <w:pPr>
              <w:pStyle w:val="Tabletext"/>
              <w:keepNext/>
              <w:jc w:val="center"/>
              <w:rPr>
                <w:b/>
                <w:lang w:val="en-US"/>
              </w:rPr>
            </w:pPr>
            <w:r w:rsidRPr="00C11AAD">
              <w:rPr>
                <w:b/>
                <w:iCs/>
                <w:lang w:val="en-US"/>
              </w:rPr>
              <w:t>Hba1c %, mean (SD)</w:t>
            </w:r>
          </w:p>
        </w:tc>
        <w:tc>
          <w:tcPr>
            <w:tcW w:w="612" w:type="pct"/>
            <w:vMerge w:val="restart"/>
            <w:vAlign w:val="center"/>
          </w:tcPr>
          <w:p w:rsidR="00D568F5" w:rsidRPr="00C11AAD" w:rsidRDefault="00D568F5" w:rsidP="00985C8D">
            <w:pPr>
              <w:pStyle w:val="Tabletext"/>
              <w:keepNext/>
              <w:jc w:val="center"/>
              <w:rPr>
                <w:b/>
                <w:vertAlign w:val="superscript"/>
                <w:lang w:val="en-US"/>
              </w:rPr>
            </w:pPr>
            <w:r w:rsidRPr="00C11AAD">
              <w:rPr>
                <w:b/>
                <w:iCs/>
                <w:lang w:val="en-US"/>
              </w:rPr>
              <w:t xml:space="preserve">LS Mean difference (95% CI) </w:t>
            </w:r>
            <w:r w:rsidRPr="00C11AAD">
              <w:rPr>
                <w:b/>
                <w:iCs/>
                <w:vertAlign w:val="superscript"/>
                <w:lang w:val="en-US"/>
              </w:rPr>
              <w:t>a</w:t>
            </w:r>
          </w:p>
        </w:tc>
      </w:tr>
      <w:tr w:rsidR="00D568F5" w:rsidRPr="00C11AAD" w:rsidTr="00981645">
        <w:tc>
          <w:tcPr>
            <w:tcW w:w="629" w:type="pct"/>
            <w:vMerge/>
            <w:vAlign w:val="center"/>
          </w:tcPr>
          <w:p w:rsidR="00D568F5" w:rsidRPr="00C11AAD" w:rsidRDefault="00D568F5" w:rsidP="00985C8D">
            <w:pPr>
              <w:pStyle w:val="Tabletext"/>
              <w:keepNext/>
            </w:pPr>
          </w:p>
        </w:tc>
        <w:tc>
          <w:tcPr>
            <w:tcW w:w="231" w:type="pct"/>
          </w:tcPr>
          <w:p w:rsidR="00D568F5" w:rsidRPr="00C11AAD" w:rsidRDefault="00D568F5" w:rsidP="00985C8D">
            <w:pPr>
              <w:pStyle w:val="Tabletext"/>
              <w:keepNext/>
              <w:jc w:val="center"/>
              <w:rPr>
                <w:b/>
              </w:rPr>
            </w:pPr>
            <w:r w:rsidRPr="00C11AAD">
              <w:rPr>
                <w:b/>
              </w:rPr>
              <w:t>N</w:t>
            </w:r>
          </w:p>
        </w:tc>
        <w:tc>
          <w:tcPr>
            <w:tcW w:w="537" w:type="pct"/>
            <w:vAlign w:val="center"/>
          </w:tcPr>
          <w:p w:rsidR="00D568F5" w:rsidRPr="00C11AAD" w:rsidRDefault="00D568F5" w:rsidP="00985C8D">
            <w:pPr>
              <w:pStyle w:val="Tabletext"/>
              <w:keepNext/>
              <w:jc w:val="center"/>
              <w:rPr>
                <w:b/>
              </w:rPr>
            </w:pPr>
            <w:r w:rsidRPr="00C11AAD">
              <w:rPr>
                <w:b/>
              </w:rPr>
              <w:t>Baseline</w:t>
            </w:r>
          </w:p>
        </w:tc>
        <w:tc>
          <w:tcPr>
            <w:tcW w:w="536" w:type="pct"/>
            <w:vAlign w:val="center"/>
          </w:tcPr>
          <w:p w:rsidR="00D568F5" w:rsidRPr="00C11AAD" w:rsidRDefault="00D568F5" w:rsidP="00985C8D">
            <w:pPr>
              <w:pStyle w:val="Tabletext"/>
              <w:keepNext/>
              <w:jc w:val="center"/>
              <w:rPr>
                <w:b/>
              </w:rPr>
            </w:pPr>
            <w:r w:rsidRPr="00C11AAD">
              <w:rPr>
                <w:b/>
              </w:rPr>
              <w:t>Endpoint</w:t>
            </w:r>
          </w:p>
        </w:tc>
        <w:tc>
          <w:tcPr>
            <w:tcW w:w="538" w:type="pct"/>
            <w:vAlign w:val="center"/>
          </w:tcPr>
          <w:p w:rsidR="00D568F5" w:rsidRPr="00C11AAD" w:rsidRDefault="00D568F5" w:rsidP="00985C8D">
            <w:pPr>
              <w:pStyle w:val="Tabletext"/>
              <w:keepNext/>
              <w:jc w:val="center"/>
              <w:rPr>
                <w:b/>
              </w:rPr>
            </w:pPr>
            <w:r w:rsidRPr="00C11AAD">
              <w:rPr>
                <w:b/>
              </w:rPr>
              <w:t>Change</w:t>
            </w:r>
          </w:p>
        </w:tc>
        <w:tc>
          <w:tcPr>
            <w:tcW w:w="229" w:type="pct"/>
          </w:tcPr>
          <w:p w:rsidR="00D568F5" w:rsidRPr="00C11AAD" w:rsidRDefault="00D568F5" w:rsidP="00985C8D">
            <w:pPr>
              <w:pStyle w:val="Tabletext"/>
              <w:keepNext/>
              <w:jc w:val="center"/>
              <w:rPr>
                <w:b/>
              </w:rPr>
            </w:pPr>
            <w:r w:rsidRPr="00C11AAD">
              <w:rPr>
                <w:b/>
              </w:rPr>
              <w:t>N</w:t>
            </w:r>
          </w:p>
        </w:tc>
        <w:tc>
          <w:tcPr>
            <w:tcW w:w="615" w:type="pct"/>
            <w:vAlign w:val="center"/>
          </w:tcPr>
          <w:p w:rsidR="00D568F5" w:rsidRPr="00C11AAD" w:rsidRDefault="00D568F5" w:rsidP="00985C8D">
            <w:pPr>
              <w:pStyle w:val="Tabletext"/>
              <w:keepNext/>
              <w:jc w:val="center"/>
              <w:rPr>
                <w:b/>
              </w:rPr>
            </w:pPr>
            <w:r w:rsidRPr="00C11AAD">
              <w:rPr>
                <w:b/>
              </w:rPr>
              <w:t>Baseline</w:t>
            </w:r>
          </w:p>
        </w:tc>
        <w:tc>
          <w:tcPr>
            <w:tcW w:w="536" w:type="pct"/>
            <w:vAlign w:val="center"/>
          </w:tcPr>
          <w:p w:rsidR="00D568F5" w:rsidRPr="00C11AAD" w:rsidRDefault="00D568F5" w:rsidP="00985C8D">
            <w:pPr>
              <w:pStyle w:val="Tabletext"/>
              <w:keepNext/>
              <w:jc w:val="center"/>
              <w:rPr>
                <w:b/>
              </w:rPr>
            </w:pPr>
            <w:r w:rsidRPr="00C11AAD">
              <w:rPr>
                <w:b/>
              </w:rPr>
              <w:t>Endpoint</w:t>
            </w:r>
          </w:p>
        </w:tc>
        <w:tc>
          <w:tcPr>
            <w:tcW w:w="537" w:type="pct"/>
            <w:vAlign w:val="center"/>
          </w:tcPr>
          <w:p w:rsidR="00D568F5" w:rsidRPr="00C11AAD" w:rsidRDefault="00D568F5" w:rsidP="00985C8D">
            <w:pPr>
              <w:pStyle w:val="Tabletext"/>
              <w:keepNext/>
              <w:jc w:val="center"/>
              <w:rPr>
                <w:b/>
              </w:rPr>
            </w:pPr>
            <w:r w:rsidRPr="00C11AAD">
              <w:rPr>
                <w:b/>
              </w:rPr>
              <w:t>Change</w:t>
            </w:r>
          </w:p>
        </w:tc>
        <w:tc>
          <w:tcPr>
            <w:tcW w:w="612" w:type="pct"/>
            <w:vMerge/>
            <w:vAlign w:val="center"/>
          </w:tcPr>
          <w:p w:rsidR="00D568F5" w:rsidRPr="00C11AAD" w:rsidRDefault="00D568F5" w:rsidP="00985C8D">
            <w:pPr>
              <w:pStyle w:val="Tabletext"/>
              <w:keepNext/>
              <w:jc w:val="center"/>
            </w:pPr>
          </w:p>
        </w:tc>
      </w:tr>
      <w:tr w:rsidR="00D568F5" w:rsidRPr="00C11AAD" w:rsidTr="00981645">
        <w:tc>
          <w:tcPr>
            <w:tcW w:w="5000" w:type="pct"/>
            <w:gridSpan w:val="10"/>
          </w:tcPr>
          <w:p w:rsidR="00D568F5" w:rsidRPr="00C11AAD" w:rsidRDefault="00D568F5" w:rsidP="00985C8D">
            <w:pPr>
              <w:pStyle w:val="Tabletext"/>
              <w:keepNext/>
              <w:rPr>
                <w:b/>
              </w:rPr>
            </w:pPr>
            <w:r w:rsidRPr="00C11AAD">
              <w:rPr>
                <w:b/>
              </w:rPr>
              <w:t>P016, 12 weeks</w:t>
            </w:r>
          </w:p>
        </w:tc>
      </w:tr>
      <w:tr w:rsidR="00D568F5" w:rsidRPr="00C11AAD" w:rsidTr="00981645">
        <w:tc>
          <w:tcPr>
            <w:tcW w:w="629" w:type="pct"/>
            <w:vAlign w:val="center"/>
          </w:tcPr>
          <w:p w:rsidR="00D568F5" w:rsidRPr="00C11AAD" w:rsidRDefault="00D568F5" w:rsidP="00985C8D">
            <w:pPr>
              <w:pStyle w:val="Tabletext"/>
              <w:keepNext/>
            </w:pPr>
            <w:r w:rsidRPr="00C11AAD">
              <w:t>ERTU 5 mg</w:t>
            </w:r>
          </w:p>
        </w:tc>
        <w:tc>
          <w:tcPr>
            <w:tcW w:w="231" w:type="pct"/>
            <w:vAlign w:val="center"/>
          </w:tcPr>
          <w:p w:rsidR="00D568F5" w:rsidRPr="00C11AAD" w:rsidRDefault="00D568F5" w:rsidP="00985C8D">
            <w:pPr>
              <w:pStyle w:val="Tabletext"/>
              <w:keepNext/>
              <w:jc w:val="center"/>
            </w:pPr>
            <w:r w:rsidRPr="00C11AAD">
              <w:t>55</w:t>
            </w:r>
          </w:p>
        </w:tc>
        <w:tc>
          <w:tcPr>
            <w:tcW w:w="537" w:type="pct"/>
            <w:vAlign w:val="center"/>
          </w:tcPr>
          <w:p w:rsidR="00D568F5" w:rsidRPr="00C11AAD" w:rsidRDefault="00D568F5" w:rsidP="00985C8D">
            <w:pPr>
              <w:pStyle w:val="Tabletext"/>
              <w:keepNext/>
              <w:jc w:val="center"/>
            </w:pPr>
            <w:r w:rsidRPr="00C11AAD">
              <w:t>7.88 (0.13)</w:t>
            </w:r>
          </w:p>
        </w:tc>
        <w:tc>
          <w:tcPr>
            <w:tcW w:w="536" w:type="pct"/>
            <w:vAlign w:val="center"/>
          </w:tcPr>
          <w:p w:rsidR="00D568F5" w:rsidRPr="00C11AAD" w:rsidRDefault="00D568F5" w:rsidP="00985C8D">
            <w:pPr>
              <w:pStyle w:val="Tabletext"/>
              <w:keepNext/>
              <w:jc w:val="center"/>
            </w:pPr>
            <w:r w:rsidRPr="00C11AAD">
              <w:t>NR</w:t>
            </w:r>
          </w:p>
        </w:tc>
        <w:tc>
          <w:tcPr>
            <w:tcW w:w="538" w:type="pct"/>
            <w:vAlign w:val="center"/>
          </w:tcPr>
          <w:p w:rsidR="00D568F5" w:rsidRPr="003E6C2E" w:rsidRDefault="003E6C2E" w:rsidP="00985C8D">
            <w:pPr>
              <w:pStyle w:val="Tabletext"/>
              <w:keepNext/>
              <w:jc w:val="center"/>
              <w:rPr>
                <w:highlight w:val="black"/>
              </w:rPr>
            </w:pPr>
            <w:r>
              <w:rPr>
                <w:noProof/>
                <w:color w:val="000000"/>
                <w:highlight w:val="black"/>
              </w:rPr>
              <w:t>''''''''''''' '''''''''''''''</w:t>
            </w:r>
          </w:p>
        </w:tc>
        <w:tc>
          <w:tcPr>
            <w:tcW w:w="229" w:type="pct"/>
            <w:vAlign w:val="center"/>
          </w:tcPr>
          <w:p w:rsidR="00D568F5" w:rsidRPr="00BB3144" w:rsidRDefault="00D568F5" w:rsidP="00985C8D">
            <w:pPr>
              <w:pStyle w:val="Tabletext"/>
              <w:keepNext/>
              <w:jc w:val="center"/>
            </w:pPr>
            <w:r w:rsidRPr="00BB3144">
              <w:t>55</w:t>
            </w:r>
          </w:p>
        </w:tc>
        <w:tc>
          <w:tcPr>
            <w:tcW w:w="615" w:type="pct"/>
            <w:vAlign w:val="center"/>
          </w:tcPr>
          <w:p w:rsidR="00D568F5" w:rsidRPr="00BB3144" w:rsidRDefault="00D568F5" w:rsidP="00985C8D">
            <w:pPr>
              <w:pStyle w:val="Tabletext"/>
              <w:keepNext/>
              <w:jc w:val="center"/>
            </w:pPr>
            <w:r w:rsidRPr="00BB3144">
              <w:t>8.24 (0.15)</w:t>
            </w:r>
          </w:p>
        </w:tc>
        <w:tc>
          <w:tcPr>
            <w:tcW w:w="536" w:type="pct"/>
            <w:vAlign w:val="center"/>
          </w:tcPr>
          <w:p w:rsidR="00D568F5" w:rsidRPr="00BB3144" w:rsidRDefault="00D568F5" w:rsidP="00985C8D">
            <w:pPr>
              <w:pStyle w:val="Tabletext"/>
              <w:keepNext/>
              <w:jc w:val="center"/>
            </w:pPr>
            <w:r w:rsidRPr="00BB3144">
              <w:t>NR</w:t>
            </w:r>
          </w:p>
        </w:tc>
        <w:tc>
          <w:tcPr>
            <w:tcW w:w="537" w:type="pct"/>
            <w:vAlign w:val="center"/>
          </w:tcPr>
          <w:p w:rsidR="00D568F5" w:rsidRPr="003E6C2E" w:rsidRDefault="003E6C2E" w:rsidP="00985C8D">
            <w:pPr>
              <w:pStyle w:val="Tabletext"/>
              <w:keepNext/>
              <w:jc w:val="center"/>
              <w:rPr>
                <w:highlight w:val="black"/>
              </w:rPr>
            </w:pPr>
            <w:r>
              <w:rPr>
                <w:noProof/>
                <w:color w:val="000000"/>
                <w:highlight w:val="black"/>
              </w:rPr>
              <w:t>'''''''''''''' ''''''''''''''</w:t>
            </w:r>
          </w:p>
        </w:tc>
        <w:tc>
          <w:tcPr>
            <w:tcW w:w="612" w:type="pct"/>
            <w:vAlign w:val="center"/>
          </w:tcPr>
          <w:p w:rsidR="00D568F5" w:rsidRPr="003E6C2E" w:rsidRDefault="003E6C2E" w:rsidP="00985C8D">
            <w:pPr>
              <w:pStyle w:val="Tabletext"/>
              <w:keepNext/>
              <w:jc w:val="center"/>
              <w:rPr>
                <w:highlight w:val="black"/>
              </w:rPr>
            </w:pPr>
            <w:r>
              <w:rPr>
                <w:noProof/>
                <w:color w:val="000000"/>
                <w:highlight w:val="black"/>
              </w:rPr>
              <w:t>'''''''''''</w:t>
            </w:r>
          </w:p>
          <w:p w:rsidR="00D568F5" w:rsidRPr="003E6C2E" w:rsidRDefault="003E6C2E" w:rsidP="00985C8D">
            <w:pPr>
              <w:pStyle w:val="Tabletext"/>
              <w:keepNext/>
              <w:jc w:val="center"/>
              <w:rPr>
                <w:highlight w:val="black"/>
              </w:rPr>
            </w:pPr>
            <w:r>
              <w:rPr>
                <w:noProof/>
                <w:color w:val="000000"/>
                <w:highlight w:val="black"/>
              </w:rPr>
              <w:t>''''''''''''''' '''''''''''''</w:t>
            </w:r>
          </w:p>
        </w:tc>
      </w:tr>
      <w:tr w:rsidR="00D568F5" w:rsidRPr="00C11AAD" w:rsidTr="00981645">
        <w:tc>
          <w:tcPr>
            <w:tcW w:w="5000" w:type="pct"/>
            <w:gridSpan w:val="10"/>
          </w:tcPr>
          <w:p w:rsidR="00D568F5" w:rsidRPr="00C11AAD" w:rsidRDefault="00D568F5" w:rsidP="00985C8D">
            <w:pPr>
              <w:pStyle w:val="Tabletext"/>
              <w:keepNext/>
              <w:rPr>
                <w:b/>
                <w:vertAlign w:val="superscript"/>
              </w:rPr>
            </w:pPr>
            <w:r w:rsidRPr="00C11AAD">
              <w:rPr>
                <w:b/>
              </w:rPr>
              <w:t>P005, 26 weeks</w:t>
            </w:r>
          </w:p>
        </w:tc>
      </w:tr>
      <w:tr w:rsidR="00D568F5" w:rsidRPr="00C11AAD" w:rsidTr="00981645">
        <w:tc>
          <w:tcPr>
            <w:tcW w:w="629" w:type="pct"/>
            <w:vAlign w:val="center"/>
          </w:tcPr>
          <w:p w:rsidR="00D568F5" w:rsidRPr="00C11AAD" w:rsidRDefault="00D568F5" w:rsidP="00985C8D">
            <w:pPr>
              <w:pStyle w:val="Tabletext"/>
              <w:keepNext/>
            </w:pPr>
            <w:r w:rsidRPr="00C11AAD">
              <w:t>ERTU 5 mg</w:t>
            </w:r>
          </w:p>
        </w:tc>
        <w:tc>
          <w:tcPr>
            <w:tcW w:w="231" w:type="pct"/>
            <w:vAlign w:val="center"/>
          </w:tcPr>
          <w:p w:rsidR="00D568F5" w:rsidRPr="00C11AAD" w:rsidRDefault="00D568F5" w:rsidP="00985C8D">
            <w:pPr>
              <w:pStyle w:val="Tabletext"/>
              <w:keepNext/>
              <w:jc w:val="center"/>
            </w:pPr>
            <w:r w:rsidRPr="00C11AAD">
              <w:t>250</w:t>
            </w:r>
          </w:p>
        </w:tc>
        <w:tc>
          <w:tcPr>
            <w:tcW w:w="537" w:type="pct"/>
            <w:vAlign w:val="center"/>
          </w:tcPr>
          <w:p w:rsidR="00D568F5" w:rsidRPr="00C11AAD" w:rsidRDefault="00D568F5" w:rsidP="00985C8D">
            <w:pPr>
              <w:pStyle w:val="Tabletext"/>
              <w:keepNext/>
              <w:jc w:val="center"/>
            </w:pPr>
            <w:r w:rsidRPr="00C11AAD">
              <w:t>8.57 (1.05)</w:t>
            </w:r>
          </w:p>
        </w:tc>
        <w:tc>
          <w:tcPr>
            <w:tcW w:w="536" w:type="pct"/>
            <w:vAlign w:val="center"/>
          </w:tcPr>
          <w:p w:rsidR="00D568F5" w:rsidRPr="00C11AAD" w:rsidRDefault="00D568F5" w:rsidP="00985C8D">
            <w:pPr>
              <w:pStyle w:val="Tabletext"/>
              <w:keepNext/>
              <w:jc w:val="center"/>
            </w:pPr>
            <w:r w:rsidRPr="00C11AAD">
              <w:t>7.41 (0.93)</w:t>
            </w:r>
          </w:p>
        </w:tc>
        <w:tc>
          <w:tcPr>
            <w:tcW w:w="538" w:type="pct"/>
            <w:vAlign w:val="center"/>
          </w:tcPr>
          <w:p w:rsidR="00D568F5" w:rsidRPr="00C11AAD" w:rsidRDefault="00D568F5" w:rsidP="00985C8D">
            <w:pPr>
              <w:pStyle w:val="Tabletext"/>
              <w:keepNext/>
              <w:jc w:val="center"/>
            </w:pPr>
            <w:r w:rsidRPr="00C11AAD">
              <w:t>-1.08 (0.98)</w:t>
            </w:r>
          </w:p>
        </w:tc>
        <w:tc>
          <w:tcPr>
            <w:tcW w:w="229" w:type="pct"/>
            <w:vAlign w:val="center"/>
          </w:tcPr>
          <w:p w:rsidR="00D568F5" w:rsidRPr="00C11AAD" w:rsidRDefault="00D568F5" w:rsidP="00985C8D">
            <w:pPr>
              <w:pStyle w:val="Tabletext"/>
              <w:keepNext/>
              <w:jc w:val="center"/>
            </w:pPr>
            <w:r w:rsidRPr="00C11AAD">
              <w:t>247</w:t>
            </w:r>
          </w:p>
        </w:tc>
        <w:tc>
          <w:tcPr>
            <w:tcW w:w="615" w:type="pct"/>
            <w:vAlign w:val="center"/>
          </w:tcPr>
          <w:p w:rsidR="00D568F5" w:rsidRPr="00C11AAD" w:rsidRDefault="00D568F5" w:rsidP="00985C8D">
            <w:pPr>
              <w:pStyle w:val="Tabletext"/>
              <w:keepNext/>
              <w:jc w:val="center"/>
            </w:pPr>
            <w:r w:rsidRPr="00C11AAD">
              <w:t>8.50 (1.03)</w:t>
            </w:r>
          </w:p>
        </w:tc>
        <w:tc>
          <w:tcPr>
            <w:tcW w:w="536" w:type="pct"/>
            <w:vAlign w:val="center"/>
          </w:tcPr>
          <w:p w:rsidR="00D568F5" w:rsidRPr="00C11AAD" w:rsidRDefault="00D568F5" w:rsidP="00985C8D">
            <w:pPr>
              <w:pStyle w:val="Tabletext"/>
              <w:keepNext/>
              <w:jc w:val="center"/>
            </w:pPr>
            <w:r w:rsidRPr="00C11AAD">
              <w:t>7.34 (1.10)</w:t>
            </w:r>
          </w:p>
        </w:tc>
        <w:tc>
          <w:tcPr>
            <w:tcW w:w="537" w:type="pct"/>
            <w:vAlign w:val="center"/>
          </w:tcPr>
          <w:p w:rsidR="00D568F5" w:rsidRPr="00C11AAD" w:rsidRDefault="00D568F5" w:rsidP="00985C8D">
            <w:pPr>
              <w:pStyle w:val="Tabletext"/>
              <w:keepNext/>
              <w:jc w:val="center"/>
            </w:pPr>
            <w:r w:rsidRPr="00C11AAD">
              <w:t>-1.06 (1.04)</w:t>
            </w:r>
          </w:p>
        </w:tc>
        <w:tc>
          <w:tcPr>
            <w:tcW w:w="612" w:type="pct"/>
            <w:vAlign w:val="center"/>
          </w:tcPr>
          <w:p w:rsidR="00D568F5" w:rsidRPr="00C11AAD" w:rsidRDefault="00D568F5" w:rsidP="00985C8D">
            <w:pPr>
              <w:pStyle w:val="Tabletext"/>
              <w:keepNext/>
              <w:jc w:val="center"/>
            </w:pPr>
            <w:r w:rsidRPr="00C11AAD">
              <w:t>0.03</w:t>
            </w:r>
          </w:p>
          <w:p w:rsidR="00D568F5" w:rsidRPr="00C11AAD" w:rsidRDefault="00D568F5" w:rsidP="00985C8D">
            <w:pPr>
              <w:pStyle w:val="Tabletext"/>
              <w:keepNext/>
              <w:jc w:val="center"/>
            </w:pPr>
            <w:r w:rsidRPr="00C11AAD">
              <w:t>(-0.14, 0.20)</w:t>
            </w:r>
          </w:p>
        </w:tc>
      </w:tr>
      <w:tr w:rsidR="00D568F5" w:rsidRPr="00C11AAD" w:rsidTr="00981645">
        <w:tc>
          <w:tcPr>
            <w:tcW w:w="629" w:type="pct"/>
            <w:vAlign w:val="center"/>
          </w:tcPr>
          <w:p w:rsidR="00D568F5" w:rsidRPr="00C11AAD" w:rsidRDefault="00D568F5" w:rsidP="00985C8D">
            <w:pPr>
              <w:pStyle w:val="Tabletext"/>
              <w:keepNext/>
            </w:pPr>
            <w:r w:rsidRPr="00C11AAD">
              <w:t>ERTU 15 mg</w:t>
            </w:r>
          </w:p>
        </w:tc>
        <w:tc>
          <w:tcPr>
            <w:tcW w:w="231" w:type="pct"/>
            <w:vAlign w:val="center"/>
          </w:tcPr>
          <w:p w:rsidR="00D568F5" w:rsidRPr="00C11AAD" w:rsidRDefault="00D568F5" w:rsidP="00985C8D">
            <w:pPr>
              <w:pStyle w:val="Tabletext"/>
              <w:keepNext/>
              <w:jc w:val="center"/>
            </w:pPr>
            <w:r w:rsidRPr="00C11AAD">
              <w:t>248</w:t>
            </w:r>
          </w:p>
        </w:tc>
        <w:tc>
          <w:tcPr>
            <w:tcW w:w="537" w:type="pct"/>
            <w:vAlign w:val="center"/>
          </w:tcPr>
          <w:p w:rsidR="00D568F5" w:rsidRPr="00C11AAD" w:rsidRDefault="00D568F5" w:rsidP="00985C8D">
            <w:pPr>
              <w:pStyle w:val="Tabletext"/>
              <w:keepNext/>
              <w:jc w:val="center"/>
            </w:pPr>
            <w:r w:rsidRPr="00C11AAD">
              <w:t>8.57 (1.01)</w:t>
            </w:r>
          </w:p>
        </w:tc>
        <w:tc>
          <w:tcPr>
            <w:tcW w:w="536" w:type="pct"/>
            <w:vAlign w:val="center"/>
          </w:tcPr>
          <w:p w:rsidR="00D568F5" w:rsidRPr="00C11AAD" w:rsidRDefault="00D568F5" w:rsidP="00985C8D">
            <w:pPr>
              <w:pStyle w:val="Tabletext"/>
              <w:keepNext/>
              <w:jc w:val="center"/>
            </w:pPr>
            <w:r w:rsidRPr="00C11AAD">
              <w:t>7.41 (1.04)</w:t>
            </w:r>
          </w:p>
        </w:tc>
        <w:tc>
          <w:tcPr>
            <w:tcW w:w="538" w:type="pct"/>
            <w:vAlign w:val="center"/>
          </w:tcPr>
          <w:p w:rsidR="00D568F5" w:rsidRPr="00C11AAD" w:rsidRDefault="00D568F5" w:rsidP="00985C8D">
            <w:pPr>
              <w:pStyle w:val="Tabletext"/>
              <w:keepNext/>
              <w:jc w:val="center"/>
            </w:pPr>
            <w:r w:rsidRPr="00C11AAD">
              <w:t>-1.11 (0.95)</w:t>
            </w:r>
          </w:p>
        </w:tc>
        <w:tc>
          <w:tcPr>
            <w:tcW w:w="229" w:type="pct"/>
            <w:vAlign w:val="center"/>
          </w:tcPr>
          <w:p w:rsidR="00D568F5" w:rsidRPr="00C11AAD" w:rsidRDefault="00D568F5" w:rsidP="00985C8D">
            <w:pPr>
              <w:pStyle w:val="Tabletext"/>
              <w:keepNext/>
              <w:jc w:val="center"/>
            </w:pPr>
            <w:r w:rsidRPr="00C11AAD">
              <w:t>247</w:t>
            </w:r>
          </w:p>
        </w:tc>
        <w:tc>
          <w:tcPr>
            <w:tcW w:w="615" w:type="pct"/>
            <w:vAlign w:val="center"/>
          </w:tcPr>
          <w:p w:rsidR="00D568F5" w:rsidRPr="00C11AAD" w:rsidRDefault="00D568F5" w:rsidP="00985C8D">
            <w:pPr>
              <w:pStyle w:val="Tabletext"/>
              <w:keepNext/>
              <w:jc w:val="center"/>
            </w:pPr>
            <w:r w:rsidRPr="00C11AAD">
              <w:t>8.50 (1.03)</w:t>
            </w:r>
          </w:p>
        </w:tc>
        <w:tc>
          <w:tcPr>
            <w:tcW w:w="536" w:type="pct"/>
            <w:vAlign w:val="center"/>
          </w:tcPr>
          <w:p w:rsidR="00D568F5" w:rsidRPr="00C11AAD" w:rsidRDefault="00D568F5" w:rsidP="00985C8D">
            <w:pPr>
              <w:pStyle w:val="Tabletext"/>
              <w:keepNext/>
              <w:jc w:val="center"/>
            </w:pPr>
            <w:r w:rsidRPr="00C11AAD">
              <w:t>7.34 (1.10)</w:t>
            </w:r>
          </w:p>
        </w:tc>
        <w:tc>
          <w:tcPr>
            <w:tcW w:w="537" w:type="pct"/>
            <w:vAlign w:val="center"/>
          </w:tcPr>
          <w:p w:rsidR="00D568F5" w:rsidRPr="00C11AAD" w:rsidRDefault="00D568F5" w:rsidP="00985C8D">
            <w:pPr>
              <w:pStyle w:val="Tabletext"/>
              <w:keepNext/>
              <w:jc w:val="center"/>
            </w:pPr>
            <w:r w:rsidRPr="00C11AAD">
              <w:t>-1.06 (1.04)</w:t>
            </w:r>
          </w:p>
        </w:tc>
        <w:tc>
          <w:tcPr>
            <w:tcW w:w="612" w:type="pct"/>
            <w:vAlign w:val="center"/>
          </w:tcPr>
          <w:p w:rsidR="00D568F5" w:rsidRPr="00C11AAD" w:rsidRDefault="00D568F5" w:rsidP="00985C8D">
            <w:pPr>
              <w:pStyle w:val="Tabletext"/>
              <w:keepNext/>
              <w:jc w:val="center"/>
            </w:pPr>
            <w:r w:rsidRPr="00C11AAD">
              <w:t>-0.03</w:t>
            </w:r>
          </w:p>
          <w:p w:rsidR="00D568F5" w:rsidRPr="00C11AAD" w:rsidRDefault="00D568F5" w:rsidP="00985C8D">
            <w:pPr>
              <w:pStyle w:val="Tabletext"/>
              <w:keepNext/>
              <w:jc w:val="center"/>
            </w:pPr>
            <w:r w:rsidRPr="00C11AAD">
              <w:t>(-0.20, 0.14)</w:t>
            </w:r>
          </w:p>
        </w:tc>
      </w:tr>
      <w:tr w:rsidR="00D568F5" w:rsidRPr="00C11AAD" w:rsidTr="00981645">
        <w:tc>
          <w:tcPr>
            <w:tcW w:w="5000" w:type="pct"/>
            <w:gridSpan w:val="10"/>
          </w:tcPr>
          <w:p w:rsidR="00D568F5" w:rsidRPr="00C11AAD" w:rsidRDefault="00D568F5" w:rsidP="00985C8D">
            <w:pPr>
              <w:pStyle w:val="Tabletext"/>
              <w:keepNext/>
              <w:rPr>
                <w:b/>
                <w:vertAlign w:val="superscript"/>
              </w:rPr>
            </w:pPr>
            <w:r w:rsidRPr="00C11AAD">
              <w:rPr>
                <w:b/>
              </w:rPr>
              <w:t>P005, 52 weeks</w:t>
            </w:r>
          </w:p>
        </w:tc>
      </w:tr>
      <w:tr w:rsidR="00D568F5" w:rsidRPr="00C11AAD" w:rsidTr="00981645">
        <w:tc>
          <w:tcPr>
            <w:tcW w:w="629" w:type="pct"/>
            <w:vAlign w:val="center"/>
          </w:tcPr>
          <w:p w:rsidR="00D568F5" w:rsidRPr="00C11AAD" w:rsidRDefault="00D568F5" w:rsidP="00985C8D">
            <w:pPr>
              <w:pStyle w:val="Tabletext"/>
              <w:keepNext/>
            </w:pPr>
            <w:r w:rsidRPr="00C11AAD">
              <w:t>ERTU 5 mg</w:t>
            </w:r>
          </w:p>
        </w:tc>
        <w:tc>
          <w:tcPr>
            <w:tcW w:w="231" w:type="pct"/>
            <w:vAlign w:val="center"/>
          </w:tcPr>
          <w:p w:rsidR="00D568F5" w:rsidRPr="00C11AAD" w:rsidRDefault="00D568F5" w:rsidP="00985C8D">
            <w:pPr>
              <w:pStyle w:val="Tabletext"/>
              <w:keepNext/>
              <w:jc w:val="center"/>
            </w:pPr>
            <w:r w:rsidRPr="00C11AAD">
              <w:t>250</w:t>
            </w:r>
          </w:p>
        </w:tc>
        <w:tc>
          <w:tcPr>
            <w:tcW w:w="537" w:type="pct"/>
            <w:vAlign w:val="center"/>
          </w:tcPr>
          <w:p w:rsidR="00D568F5" w:rsidRPr="00C11AAD" w:rsidRDefault="00D568F5" w:rsidP="00985C8D">
            <w:pPr>
              <w:pStyle w:val="Tabletext"/>
              <w:keepNext/>
              <w:jc w:val="center"/>
            </w:pPr>
            <w:r w:rsidRPr="00C11AAD">
              <w:t>8.57 (1.05)</w:t>
            </w:r>
          </w:p>
        </w:tc>
        <w:tc>
          <w:tcPr>
            <w:tcW w:w="536" w:type="pct"/>
            <w:vAlign w:val="center"/>
          </w:tcPr>
          <w:p w:rsidR="00D568F5" w:rsidRPr="00C11AAD" w:rsidRDefault="00D568F5" w:rsidP="00985C8D">
            <w:pPr>
              <w:pStyle w:val="Tabletext"/>
              <w:keepNext/>
              <w:jc w:val="center"/>
            </w:pPr>
            <w:r w:rsidRPr="00C11AAD">
              <w:t>7.23 (0.80)</w:t>
            </w:r>
          </w:p>
        </w:tc>
        <w:tc>
          <w:tcPr>
            <w:tcW w:w="538" w:type="pct"/>
            <w:vAlign w:val="center"/>
          </w:tcPr>
          <w:p w:rsidR="00D568F5" w:rsidRPr="00C11AAD" w:rsidRDefault="00D568F5" w:rsidP="00985C8D">
            <w:pPr>
              <w:pStyle w:val="Tabletext"/>
              <w:keepNext/>
              <w:jc w:val="center"/>
            </w:pPr>
            <w:r w:rsidRPr="00C11AAD">
              <w:t>-1.14 (1.01)</w:t>
            </w:r>
          </w:p>
        </w:tc>
        <w:tc>
          <w:tcPr>
            <w:tcW w:w="229" w:type="pct"/>
            <w:vAlign w:val="center"/>
          </w:tcPr>
          <w:p w:rsidR="00D568F5" w:rsidRPr="00C11AAD" w:rsidRDefault="00D568F5" w:rsidP="00985C8D">
            <w:pPr>
              <w:pStyle w:val="Tabletext"/>
              <w:keepNext/>
              <w:jc w:val="center"/>
            </w:pPr>
            <w:r w:rsidRPr="00C11AAD">
              <w:t>247</w:t>
            </w:r>
          </w:p>
        </w:tc>
        <w:tc>
          <w:tcPr>
            <w:tcW w:w="615" w:type="pct"/>
            <w:vAlign w:val="center"/>
          </w:tcPr>
          <w:p w:rsidR="00D568F5" w:rsidRPr="00C11AAD" w:rsidRDefault="00D568F5" w:rsidP="00985C8D">
            <w:pPr>
              <w:pStyle w:val="Tabletext"/>
              <w:keepNext/>
              <w:jc w:val="center"/>
            </w:pPr>
            <w:r w:rsidRPr="00C11AAD">
              <w:t>8.50 (1.03)</w:t>
            </w:r>
          </w:p>
        </w:tc>
        <w:tc>
          <w:tcPr>
            <w:tcW w:w="536" w:type="pct"/>
            <w:vAlign w:val="center"/>
          </w:tcPr>
          <w:p w:rsidR="00D568F5" w:rsidRPr="00C11AAD" w:rsidRDefault="00D568F5" w:rsidP="00985C8D">
            <w:pPr>
              <w:pStyle w:val="Tabletext"/>
              <w:keepNext/>
              <w:jc w:val="center"/>
            </w:pPr>
            <w:r w:rsidRPr="00C11AAD">
              <w:t>7.13 (0.90)</w:t>
            </w:r>
          </w:p>
        </w:tc>
        <w:tc>
          <w:tcPr>
            <w:tcW w:w="537" w:type="pct"/>
            <w:vAlign w:val="center"/>
          </w:tcPr>
          <w:p w:rsidR="00D568F5" w:rsidRPr="00C11AAD" w:rsidRDefault="00D568F5" w:rsidP="00985C8D">
            <w:pPr>
              <w:pStyle w:val="Tabletext"/>
              <w:keepNext/>
              <w:jc w:val="center"/>
            </w:pPr>
            <w:r w:rsidRPr="00C11AAD">
              <w:t>-1.09 (0.96)</w:t>
            </w:r>
          </w:p>
        </w:tc>
        <w:tc>
          <w:tcPr>
            <w:tcW w:w="612" w:type="pct"/>
            <w:vAlign w:val="center"/>
          </w:tcPr>
          <w:p w:rsidR="00D568F5" w:rsidRPr="00C11AAD" w:rsidRDefault="00D568F5" w:rsidP="00985C8D">
            <w:pPr>
              <w:pStyle w:val="Tabletext"/>
              <w:keepNext/>
              <w:jc w:val="center"/>
            </w:pPr>
            <w:r w:rsidRPr="00C11AAD">
              <w:t>-0.14</w:t>
            </w:r>
          </w:p>
          <w:p w:rsidR="00D568F5" w:rsidRPr="00C11AAD" w:rsidRDefault="00D568F5" w:rsidP="00985C8D">
            <w:pPr>
              <w:pStyle w:val="Tabletext"/>
              <w:keepNext/>
              <w:jc w:val="center"/>
            </w:pPr>
            <w:r w:rsidRPr="00C11AAD">
              <w:t>(-0.34, 0.06)</w:t>
            </w:r>
          </w:p>
        </w:tc>
      </w:tr>
      <w:tr w:rsidR="00D568F5" w:rsidRPr="00C11AAD" w:rsidTr="00981645">
        <w:tc>
          <w:tcPr>
            <w:tcW w:w="629" w:type="pct"/>
            <w:vAlign w:val="center"/>
          </w:tcPr>
          <w:p w:rsidR="00D568F5" w:rsidRPr="00C11AAD" w:rsidRDefault="00D568F5" w:rsidP="00985C8D">
            <w:pPr>
              <w:pStyle w:val="Tabletext"/>
              <w:keepNext/>
            </w:pPr>
            <w:r w:rsidRPr="00C11AAD">
              <w:t>ERTU 15 mg</w:t>
            </w:r>
          </w:p>
        </w:tc>
        <w:tc>
          <w:tcPr>
            <w:tcW w:w="231" w:type="pct"/>
            <w:vAlign w:val="center"/>
          </w:tcPr>
          <w:p w:rsidR="00D568F5" w:rsidRPr="00C11AAD" w:rsidRDefault="00D568F5" w:rsidP="00985C8D">
            <w:pPr>
              <w:pStyle w:val="Tabletext"/>
              <w:keepNext/>
              <w:jc w:val="center"/>
            </w:pPr>
            <w:r w:rsidRPr="00C11AAD">
              <w:t>248</w:t>
            </w:r>
          </w:p>
        </w:tc>
        <w:tc>
          <w:tcPr>
            <w:tcW w:w="537" w:type="pct"/>
            <w:vAlign w:val="center"/>
          </w:tcPr>
          <w:p w:rsidR="00D568F5" w:rsidRPr="00C11AAD" w:rsidRDefault="00D568F5" w:rsidP="00985C8D">
            <w:pPr>
              <w:pStyle w:val="Tabletext"/>
              <w:keepNext/>
              <w:jc w:val="center"/>
            </w:pPr>
            <w:r w:rsidRPr="00C11AAD">
              <w:t>8.57 (1.01)</w:t>
            </w:r>
          </w:p>
        </w:tc>
        <w:tc>
          <w:tcPr>
            <w:tcW w:w="536" w:type="pct"/>
            <w:vAlign w:val="center"/>
          </w:tcPr>
          <w:p w:rsidR="00D568F5" w:rsidRPr="00C11AAD" w:rsidRDefault="00D568F5" w:rsidP="00985C8D">
            <w:pPr>
              <w:pStyle w:val="Tabletext"/>
              <w:keepNext/>
              <w:jc w:val="center"/>
            </w:pPr>
            <w:r w:rsidRPr="00C11AAD">
              <w:t>7.16 (0.85)</w:t>
            </w:r>
          </w:p>
        </w:tc>
        <w:tc>
          <w:tcPr>
            <w:tcW w:w="538" w:type="pct"/>
            <w:vAlign w:val="center"/>
          </w:tcPr>
          <w:p w:rsidR="00D568F5" w:rsidRPr="00C11AAD" w:rsidRDefault="00D568F5" w:rsidP="00985C8D">
            <w:pPr>
              <w:pStyle w:val="Tabletext"/>
              <w:keepNext/>
              <w:jc w:val="center"/>
            </w:pPr>
            <w:r w:rsidRPr="00C11AAD">
              <w:t>-1.15 (0.96)</w:t>
            </w:r>
          </w:p>
        </w:tc>
        <w:tc>
          <w:tcPr>
            <w:tcW w:w="229" w:type="pct"/>
            <w:vAlign w:val="center"/>
          </w:tcPr>
          <w:p w:rsidR="00D568F5" w:rsidRPr="00C11AAD" w:rsidRDefault="00D568F5" w:rsidP="00985C8D">
            <w:pPr>
              <w:pStyle w:val="Tabletext"/>
              <w:keepNext/>
              <w:jc w:val="center"/>
            </w:pPr>
            <w:r w:rsidRPr="00C11AAD">
              <w:t>247</w:t>
            </w:r>
          </w:p>
        </w:tc>
        <w:tc>
          <w:tcPr>
            <w:tcW w:w="615" w:type="pct"/>
            <w:vAlign w:val="center"/>
          </w:tcPr>
          <w:p w:rsidR="00D568F5" w:rsidRPr="00C11AAD" w:rsidRDefault="00D568F5" w:rsidP="00985C8D">
            <w:pPr>
              <w:pStyle w:val="Tabletext"/>
              <w:keepNext/>
              <w:jc w:val="center"/>
            </w:pPr>
            <w:r w:rsidRPr="00C11AAD">
              <w:t>8.50 (1.03)</w:t>
            </w:r>
          </w:p>
        </w:tc>
        <w:tc>
          <w:tcPr>
            <w:tcW w:w="536" w:type="pct"/>
            <w:vAlign w:val="center"/>
          </w:tcPr>
          <w:p w:rsidR="00D568F5" w:rsidRPr="00C11AAD" w:rsidRDefault="00D568F5" w:rsidP="00985C8D">
            <w:pPr>
              <w:pStyle w:val="Tabletext"/>
              <w:keepNext/>
              <w:jc w:val="center"/>
            </w:pPr>
            <w:r w:rsidRPr="00C11AAD">
              <w:t>7.13 (0.90)</w:t>
            </w:r>
          </w:p>
        </w:tc>
        <w:tc>
          <w:tcPr>
            <w:tcW w:w="537" w:type="pct"/>
            <w:vAlign w:val="center"/>
          </w:tcPr>
          <w:p w:rsidR="00D568F5" w:rsidRPr="00C11AAD" w:rsidRDefault="00D568F5" w:rsidP="00985C8D">
            <w:pPr>
              <w:pStyle w:val="Tabletext"/>
              <w:keepNext/>
              <w:jc w:val="center"/>
            </w:pPr>
            <w:r w:rsidRPr="00C11AAD">
              <w:t>-1.09 (0.96)</w:t>
            </w:r>
          </w:p>
        </w:tc>
        <w:tc>
          <w:tcPr>
            <w:tcW w:w="612" w:type="pct"/>
            <w:vAlign w:val="center"/>
          </w:tcPr>
          <w:p w:rsidR="00D568F5" w:rsidRPr="00C11AAD" w:rsidRDefault="00D568F5" w:rsidP="00985C8D">
            <w:pPr>
              <w:pStyle w:val="Tabletext"/>
              <w:keepNext/>
              <w:jc w:val="center"/>
            </w:pPr>
            <w:r w:rsidRPr="00C11AAD">
              <w:t>-0.11</w:t>
            </w:r>
          </w:p>
          <w:p w:rsidR="00D568F5" w:rsidRPr="00C11AAD" w:rsidRDefault="00D568F5" w:rsidP="00985C8D">
            <w:pPr>
              <w:pStyle w:val="Tabletext"/>
              <w:keepNext/>
              <w:jc w:val="center"/>
            </w:pPr>
            <w:r w:rsidRPr="00C11AAD">
              <w:t>(-0.31, 0.09)</w:t>
            </w:r>
          </w:p>
        </w:tc>
      </w:tr>
    </w:tbl>
    <w:p w:rsidR="00D568F5" w:rsidRPr="00C11AAD" w:rsidRDefault="00D568F5" w:rsidP="00D568F5">
      <w:pPr>
        <w:pStyle w:val="TableFooter"/>
      </w:pPr>
      <w:proofErr w:type="gramStart"/>
      <w:r w:rsidRPr="00C11AAD">
        <w:rPr>
          <w:vertAlign w:val="superscript"/>
        </w:rPr>
        <w:t>a</w:t>
      </w:r>
      <w:proofErr w:type="gramEnd"/>
      <w:r w:rsidRPr="00C11AAD">
        <w:rPr>
          <w:vertAlign w:val="superscript"/>
        </w:rPr>
        <w:t xml:space="preserve"> </w:t>
      </w:r>
      <w:r w:rsidRPr="00C11AAD">
        <w:t xml:space="preserve">Treatment differences for </w:t>
      </w:r>
      <w:proofErr w:type="spellStart"/>
      <w:r w:rsidRPr="00C11AAD">
        <w:t>ertugliflozin</w:t>
      </w:r>
      <w:proofErr w:type="spellEnd"/>
      <w:r w:rsidRPr="00C11AAD">
        <w:t xml:space="preserve"> vs </w:t>
      </w:r>
      <w:proofErr w:type="spellStart"/>
      <w:r w:rsidRPr="00C11AAD">
        <w:t>sitagliptin</w:t>
      </w:r>
      <w:proofErr w:type="spellEnd"/>
      <w:r w:rsidRPr="00C11AAD">
        <w:t xml:space="preserve"> were not performed in Trial P005 or Trial P016, these were calculated post hoc in the submission using Review Manager 5.3</w:t>
      </w:r>
    </w:p>
    <w:p w:rsidR="00D568F5" w:rsidRPr="00C11AAD" w:rsidRDefault="00D568F5" w:rsidP="00D568F5">
      <w:pPr>
        <w:pStyle w:val="TableFooter"/>
      </w:pPr>
      <w:r w:rsidRPr="00C11AAD">
        <w:t>Source: Table 2-17, pp105-106 of the submission, relevant trial reports and publications</w:t>
      </w:r>
    </w:p>
    <w:p w:rsidR="00D568F5" w:rsidRPr="00C11AAD" w:rsidRDefault="00D568F5" w:rsidP="00D568F5">
      <w:pPr>
        <w:pStyle w:val="TableFooter"/>
      </w:pPr>
      <w:r w:rsidRPr="00C11AAD">
        <w:t xml:space="preserve">CI, confidence interval; ERTU, </w:t>
      </w:r>
      <w:proofErr w:type="spellStart"/>
      <w:r w:rsidRPr="00C11AAD">
        <w:t>ertugliflozin</w:t>
      </w:r>
      <w:proofErr w:type="spellEnd"/>
      <w:r w:rsidRPr="00C11AAD">
        <w:t xml:space="preserve">; HbA1c, glycosylated haemoglobin; LS, least squares; </w:t>
      </w:r>
      <w:r w:rsidR="0041534D" w:rsidRPr="00C11AAD">
        <w:t xml:space="preserve">NR, not reported; </w:t>
      </w:r>
      <w:r w:rsidRPr="00C11AAD">
        <w:t>SD, standard deviation.</w:t>
      </w:r>
    </w:p>
    <w:p w:rsidR="00D568F5" w:rsidRPr="00C11AAD" w:rsidRDefault="00164F18" w:rsidP="00985C8D">
      <w:pPr>
        <w:pStyle w:val="ListParagraph"/>
        <w:widowControl/>
        <w:numPr>
          <w:ilvl w:val="1"/>
          <w:numId w:val="2"/>
        </w:numPr>
        <w:spacing w:before="120" w:after="120"/>
        <w:rPr>
          <w:rFonts w:cs="Calibri"/>
          <w:snapToGrid/>
          <w:szCs w:val="24"/>
          <w:lang w:val="en-US" w:eastAsia="en-AU"/>
        </w:rPr>
      </w:pPr>
      <w:r w:rsidRPr="00C11AAD">
        <w:rPr>
          <w:rFonts w:cs="Calibri"/>
          <w:snapToGrid/>
          <w:szCs w:val="24"/>
          <w:lang w:val="en-US" w:eastAsia="en-AU"/>
        </w:rPr>
        <w:t xml:space="preserve">The included trials were not designed to compare the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and </w:t>
      </w:r>
      <w:proofErr w:type="spellStart"/>
      <w:r w:rsidRPr="00C11AAD">
        <w:rPr>
          <w:rFonts w:cs="Calibri"/>
          <w:snapToGrid/>
          <w:szCs w:val="24"/>
          <w:lang w:val="en-US" w:eastAsia="en-AU"/>
        </w:rPr>
        <w:t>sitagliptin</w:t>
      </w:r>
      <w:proofErr w:type="spellEnd"/>
      <w:r w:rsidRPr="00C11AAD">
        <w:rPr>
          <w:rFonts w:cs="Calibri"/>
          <w:snapToGrid/>
          <w:szCs w:val="24"/>
          <w:lang w:val="en-US" w:eastAsia="en-AU"/>
        </w:rPr>
        <w:t xml:space="preserve"> treatment arms, so the difference </w:t>
      </w:r>
      <w:r w:rsidR="00475D89" w:rsidRPr="00C11AAD">
        <w:rPr>
          <w:rFonts w:cs="Calibri"/>
          <w:snapToGrid/>
          <w:szCs w:val="24"/>
          <w:lang w:val="en-US" w:eastAsia="en-AU"/>
        </w:rPr>
        <w:t xml:space="preserve">between treatment groups </w:t>
      </w:r>
      <w:r w:rsidRPr="00C11AAD">
        <w:rPr>
          <w:rFonts w:cs="Calibri"/>
          <w:snapToGrid/>
          <w:szCs w:val="24"/>
          <w:lang w:val="en-US" w:eastAsia="en-AU"/>
        </w:rPr>
        <w:t xml:space="preserve">was calculated </w:t>
      </w:r>
      <w:r w:rsidRPr="00BA57B7">
        <w:rPr>
          <w:rFonts w:cs="Calibri"/>
          <w:i/>
          <w:snapToGrid/>
          <w:szCs w:val="24"/>
          <w:lang w:val="en-US" w:eastAsia="en-AU"/>
        </w:rPr>
        <w:t>post hoc</w:t>
      </w:r>
      <w:r w:rsidRPr="00C11AAD">
        <w:rPr>
          <w:rFonts w:cs="Calibri"/>
          <w:snapToGrid/>
          <w:szCs w:val="24"/>
          <w:lang w:val="en-US" w:eastAsia="en-AU"/>
        </w:rPr>
        <w:t xml:space="preserve"> in the submission. </w:t>
      </w:r>
      <w:r w:rsidR="00D568F5" w:rsidRPr="00C11AAD">
        <w:rPr>
          <w:rFonts w:cs="Calibri"/>
          <w:snapToGrid/>
          <w:szCs w:val="24"/>
          <w:lang w:val="en-US" w:eastAsia="en-AU"/>
        </w:rPr>
        <w:t xml:space="preserve">Results for </w:t>
      </w:r>
      <w:proofErr w:type="spellStart"/>
      <w:r w:rsidR="00D568F5" w:rsidRPr="00C11AAD">
        <w:rPr>
          <w:rFonts w:cs="Calibri"/>
          <w:snapToGrid/>
          <w:szCs w:val="24"/>
          <w:lang w:val="en-US" w:eastAsia="en-AU"/>
        </w:rPr>
        <w:t>ertugliflozin</w:t>
      </w:r>
      <w:proofErr w:type="spellEnd"/>
      <w:r w:rsidR="00D568F5" w:rsidRPr="00C11AAD">
        <w:rPr>
          <w:rFonts w:cs="Calibri"/>
          <w:snapToGrid/>
          <w:szCs w:val="24"/>
          <w:lang w:val="en-US" w:eastAsia="en-AU"/>
        </w:rPr>
        <w:t xml:space="preserve"> 5 mg showed no statistically significant difference in change from baseline in Hb</w:t>
      </w:r>
      <w:r w:rsidR="00BA57B7">
        <w:rPr>
          <w:rFonts w:cs="Calibri"/>
          <w:snapToGrid/>
          <w:szCs w:val="24"/>
          <w:lang w:val="en-US" w:eastAsia="en-AU"/>
        </w:rPr>
        <w:t xml:space="preserve">A1c compared to </w:t>
      </w:r>
      <w:proofErr w:type="spellStart"/>
      <w:r w:rsidR="00BA57B7">
        <w:rPr>
          <w:rFonts w:cs="Calibri"/>
          <w:snapToGrid/>
          <w:szCs w:val="24"/>
          <w:lang w:val="en-US" w:eastAsia="en-AU"/>
        </w:rPr>
        <w:t>sitagliptin</w:t>
      </w:r>
      <w:proofErr w:type="spellEnd"/>
      <w:r w:rsidR="00BA57B7">
        <w:rPr>
          <w:rFonts w:cs="Calibri"/>
          <w:snapToGrid/>
          <w:szCs w:val="24"/>
          <w:lang w:val="en-US" w:eastAsia="en-AU"/>
        </w:rPr>
        <w:t xml:space="preserve"> 100</w:t>
      </w:r>
      <w:r w:rsidR="00BA57B7">
        <w:t> </w:t>
      </w:r>
      <w:r w:rsidR="00D568F5" w:rsidRPr="00C11AAD">
        <w:rPr>
          <w:rFonts w:cs="Calibri"/>
          <w:snapToGrid/>
          <w:szCs w:val="24"/>
          <w:lang w:val="en-US" w:eastAsia="en-AU"/>
        </w:rPr>
        <w:t xml:space="preserve">mg at 12, 26 and 52 weeks, </w:t>
      </w:r>
      <w:r w:rsidR="00EE234C" w:rsidRPr="00C11AAD">
        <w:rPr>
          <w:rFonts w:cs="Calibri"/>
          <w:snapToGrid/>
          <w:szCs w:val="24"/>
          <w:lang w:val="en-US" w:eastAsia="en-AU"/>
        </w:rPr>
        <w:t xml:space="preserve">nor </w:t>
      </w:r>
      <w:r w:rsidR="00D568F5" w:rsidRPr="00C11AAD">
        <w:rPr>
          <w:rFonts w:cs="Calibri"/>
          <w:snapToGrid/>
          <w:szCs w:val="24"/>
          <w:lang w:val="en-US" w:eastAsia="en-AU"/>
        </w:rPr>
        <w:t xml:space="preserve">for </w:t>
      </w:r>
      <w:proofErr w:type="spellStart"/>
      <w:r w:rsidR="00D568F5" w:rsidRPr="00C11AAD">
        <w:rPr>
          <w:rFonts w:cs="Calibri"/>
          <w:snapToGrid/>
          <w:szCs w:val="24"/>
          <w:lang w:val="en-US" w:eastAsia="en-AU"/>
        </w:rPr>
        <w:t>ertugliflozin</w:t>
      </w:r>
      <w:proofErr w:type="spellEnd"/>
      <w:r w:rsidR="00D568F5" w:rsidRPr="00C11AAD">
        <w:rPr>
          <w:rFonts w:cs="Calibri"/>
          <w:snapToGrid/>
          <w:szCs w:val="24"/>
          <w:lang w:val="en-US" w:eastAsia="en-AU"/>
        </w:rPr>
        <w:t xml:space="preserve"> 15 mg compared to </w:t>
      </w:r>
      <w:proofErr w:type="spellStart"/>
      <w:r w:rsidR="00D568F5" w:rsidRPr="00C11AAD">
        <w:rPr>
          <w:rFonts w:cs="Calibri"/>
          <w:snapToGrid/>
          <w:szCs w:val="24"/>
          <w:lang w:val="en-US" w:eastAsia="en-AU"/>
        </w:rPr>
        <w:t>sitagliptin</w:t>
      </w:r>
      <w:proofErr w:type="spellEnd"/>
      <w:r w:rsidR="00D568F5" w:rsidRPr="00C11AAD">
        <w:rPr>
          <w:rFonts w:cs="Calibri"/>
          <w:snapToGrid/>
          <w:szCs w:val="24"/>
          <w:lang w:val="en-US" w:eastAsia="en-AU"/>
        </w:rPr>
        <w:t xml:space="preserve"> 100 mg at 26 and 52 weeks. Results of the comparisons </w:t>
      </w:r>
      <w:r w:rsidR="00EE234C" w:rsidRPr="00C11AAD">
        <w:rPr>
          <w:rFonts w:cs="Calibri"/>
          <w:snapToGrid/>
          <w:szCs w:val="24"/>
          <w:lang w:val="en-US" w:eastAsia="en-AU"/>
        </w:rPr>
        <w:t xml:space="preserve">between </w:t>
      </w:r>
      <w:proofErr w:type="spellStart"/>
      <w:r w:rsidR="00D568F5" w:rsidRPr="00C11AAD">
        <w:rPr>
          <w:rFonts w:cs="Calibri"/>
          <w:snapToGrid/>
          <w:szCs w:val="24"/>
          <w:lang w:val="en-US" w:eastAsia="en-AU"/>
        </w:rPr>
        <w:t>ertugliflozin</w:t>
      </w:r>
      <w:proofErr w:type="spellEnd"/>
      <w:r w:rsidR="00D568F5" w:rsidRPr="00C11AAD">
        <w:rPr>
          <w:rFonts w:cs="Calibri"/>
          <w:snapToGrid/>
          <w:szCs w:val="24"/>
          <w:lang w:val="en-US" w:eastAsia="en-AU"/>
        </w:rPr>
        <w:t xml:space="preserve"> and </w:t>
      </w:r>
      <w:proofErr w:type="spellStart"/>
      <w:r w:rsidR="00D568F5" w:rsidRPr="00C11AAD">
        <w:rPr>
          <w:rFonts w:cs="Calibri"/>
          <w:snapToGrid/>
          <w:szCs w:val="24"/>
          <w:lang w:val="en-US" w:eastAsia="en-AU"/>
        </w:rPr>
        <w:t>sitagliptin</w:t>
      </w:r>
      <w:proofErr w:type="spellEnd"/>
      <w:r w:rsidR="00D568F5" w:rsidRPr="00C11AAD">
        <w:rPr>
          <w:rFonts w:cs="Calibri"/>
          <w:snapToGrid/>
          <w:szCs w:val="24"/>
          <w:lang w:val="en-US" w:eastAsia="en-AU"/>
        </w:rPr>
        <w:t xml:space="preserve"> were within the non-inferiority margin specified in the submission (the upper bound of the 95% confidence interval was less than 0.4%).</w:t>
      </w:r>
      <w:r w:rsidRPr="00C11AAD">
        <w:rPr>
          <w:rFonts w:cs="Calibri"/>
          <w:snapToGrid/>
          <w:szCs w:val="24"/>
          <w:lang w:val="en-US" w:eastAsia="en-AU"/>
        </w:rPr>
        <w:t xml:space="preserve"> </w:t>
      </w:r>
      <w:r w:rsidR="00EE234C" w:rsidRPr="00C11AAD">
        <w:rPr>
          <w:rFonts w:cs="Calibri"/>
          <w:snapToGrid/>
          <w:szCs w:val="24"/>
          <w:lang w:val="en-US" w:eastAsia="en-AU"/>
        </w:rPr>
        <w:t>This non-inferiority margin has previously been accepted by the PBAC.</w:t>
      </w:r>
    </w:p>
    <w:p w:rsidR="00CC2EFA" w:rsidRDefault="00CC2EFA"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There were no statistically significant differences between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and </w:t>
      </w:r>
      <w:proofErr w:type="spellStart"/>
      <w:r w:rsidRPr="00C11AAD">
        <w:rPr>
          <w:rFonts w:cs="Calibri"/>
          <w:snapToGrid/>
          <w:szCs w:val="24"/>
          <w:lang w:val="en-US" w:eastAsia="en-AU"/>
        </w:rPr>
        <w:t>sitagliptin</w:t>
      </w:r>
      <w:proofErr w:type="spellEnd"/>
      <w:r w:rsidRPr="00C11AAD">
        <w:rPr>
          <w:rFonts w:cs="Calibri"/>
          <w:snapToGrid/>
          <w:szCs w:val="24"/>
          <w:lang w:val="en-US" w:eastAsia="en-AU"/>
        </w:rPr>
        <w:t xml:space="preserve"> treatment arms in proportion of HbA1c responders. There was a statistically significant difference in mean change from baseline in fasting plasma glucose in </w:t>
      </w:r>
      <w:proofErr w:type="spellStart"/>
      <w:r w:rsidRPr="00C11AAD">
        <w:rPr>
          <w:rFonts w:cs="Calibri"/>
          <w:snapToGrid/>
          <w:szCs w:val="24"/>
          <w:lang w:val="en-US" w:eastAsia="en-AU"/>
        </w:rPr>
        <w:t>favour</w:t>
      </w:r>
      <w:proofErr w:type="spellEnd"/>
      <w:r w:rsidRPr="00C11AAD">
        <w:rPr>
          <w:rFonts w:cs="Calibri"/>
          <w:snapToGrid/>
          <w:szCs w:val="24"/>
          <w:lang w:val="en-US" w:eastAsia="en-AU"/>
        </w:rPr>
        <w:t xml:space="preserve"> of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after 26 and 52 weeks of treatment, but no difference at 12 weeks.</w:t>
      </w:r>
    </w:p>
    <w:p w:rsidR="00D51883" w:rsidRPr="00C11AAD" w:rsidRDefault="00D51883" w:rsidP="00D51883">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lastRenderedPageBreak/>
        <w:t>The</w:t>
      </w:r>
      <w:r>
        <w:rPr>
          <w:rFonts w:cs="Calibri"/>
          <w:snapToGrid/>
          <w:szCs w:val="24"/>
          <w:lang w:val="en-US" w:eastAsia="en-AU"/>
        </w:rPr>
        <w:t xml:space="preserve"> PBAC noted</w:t>
      </w:r>
      <w:r w:rsidRPr="00C11AAD">
        <w:rPr>
          <w:rFonts w:cs="Calibri"/>
          <w:snapToGrid/>
          <w:szCs w:val="24"/>
          <w:lang w:val="en-US" w:eastAsia="en-AU"/>
        </w:rPr>
        <w:t xml:space="preserve"> </w:t>
      </w:r>
      <w:r>
        <w:rPr>
          <w:rFonts w:cs="Calibri"/>
          <w:snapToGrid/>
          <w:szCs w:val="24"/>
          <w:lang w:val="en-US" w:eastAsia="en-AU"/>
        </w:rPr>
        <w:t>t</w:t>
      </w:r>
      <w:r w:rsidRPr="00C11AAD">
        <w:rPr>
          <w:rFonts w:cs="Calibri"/>
          <w:snapToGrid/>
          <w:szCs w:val="24"/>
          <w:lang w:val="en-US" w:eastAsia="en-AU"/>
        </w:rPr>
        <w:t xml:space="preserve">here was a statistically significant difference between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and </w:t>
      </w:r>
      <w:proofErr w:type="spellStart"/>
      <w:r w:rsidRPr="00C11AAD">
        <w:rPr>
          <w:rFonts w:cs="Calibri"/>
          <w:snapToGrid/>
          <w:szCs w:val="24"/>
          <w:lang w:val="en-US" w:eastAsia="en-AU"/>
        </w:rPr>
        <w:t>sitagliptin</w:t>
      </w:r>
      <w:proofErr w:type="spellEnd"/>
      <w:r w:rsidRPr="00C11AAD">
        <w:rPr>
          <w:rFonts w:cs="Calibri"/>
          <w:snapToGrid/>
          <w:szCs w:val="24"/>
          <w:lang w:val="en-US" w:eastAsia="en-AU"/>
        </w:rPr>
        <w:t xml:space="preserve"> treatment arms in </w:t>
      </w:r>
      <w:r>
        <w:rPr>
          <w:rFonts w:cs="Calibri"/>
          <w:snapToGrid/>
          <w:szCs w:val="24"/>
          <w:lang w:val="en-US" w:eastAsia="en-AU"/>
        </w:rPr>
        <w:t>FPG</w:t>
      </w:r>
      <w:r w:rsidRPr="00C11AAD">
        <w:rPr>
          <w:rFonts w:cs="Calibri"/>
          <w:snapToGrid/>
          <w:szCs w:val="24"/>
          <w:lang w:val="en-US" w:eastAsia="en-AU"/>
        </w:rPr>
        <w:t xml:space="preserve"> </w:t>
      </w:r>
      <w:r>
        <w:rPr>
          <w:rFonts w:cs="Calibri"/>
          <w:snapToGrid/>
          <w:szCs w:val="24"/>
          <w:lang w:val="en-US" w:eastAsia="en-AU"/>
        </w:rPr>
        <w:t xml:space="preserve">and body weight </w:t>
      </w:r>
      <w:r w:rsidRPr="00C11AAD">
        <w:rPr>
          <w:rFonts w:cs="Calibri"/>
          <w:snapToGrid/>
          <w:szCs w:val="24"/>
          <w:lang w:val="en-US" w:eastAsia="en-AU"/>
        </w:rPr>
        <w:t xml:space="preserve">in </w:t>
      </w:r>
      <w:proofErr w:type="spellStart"/>
      <w:r w:rsidRPr="00C11AAD">
        <w:rPr>
          <w:rFonts w:cs="Calibri"/>
          <w:snapToGrid/>
          <w:szCs w:val="24"/>
          <w:lang w:val="en-US" w:eastAsia="en-AU"/>
        </w:rPr>
        <w:t>favour</w:t>
      </w:r>
      <w:proofErr w:type="spellEnd"/>
      <w:r w:rsidRPr="00C11AAD">
        <w:rPr>
          <w:rFonts w:cs="Calibri"/>
          <w:snapToGrid/>
          <w:szCs w:val="24"/>
          <w:lang w:val="en-US" w:eastAsia="en-AU"/>
        </w:rPr>
        <w:t xml:space="preserve"> of </w:t>
      </w:r>
      <w:proofErr w:type="spellStart"/>
      <w:r w:rsidRPr="00C11AAD">
        <w:rPr>
          <w:rFonts w:cs="Calibri"/>
          <w:snapToGrid/>
          <w:szCs w:val="24"/>
          <w:lang w:val="en-US" w:eastAsia="en-AU"/>
        </w:rPr>
        <w:t>ertugliflozin</w:t>
      </w:r>
      <w:proofErr w:type="spellEnd"/>
      <w:r>
        <w:rPr>
          <w:rFonts w:cs="Calibri"/>
          <w:snapToGrid/>
          <w:szCs w:val="24"/>
          <w:lang w:val="en-US" w:eastAsia="en-AU"/>
        </w:rPr>
        <w:t>,</w:t>
      </w:r>
      <w:r w:rsidRPr="00C11AAD">
        <w:rPr>
          <w:rFonts w:cs="Calibri"/>
          <w:snapToGrid/>
          <w:szCs w:val="24"/>
          <w:lang w:val="en-US" w:eastAsia="en-AU"/>
        </w:rPr>
        <w:t xml:space="preserve"> </w:t>
      </w:r>
      <w:r>
        <w:rPr>
          <w:rFonts w:cs="Calibri"/>
          <w:snapToGrid/>
          <w:szCs w:val="24"/>
          <w:lang w:val="en-US" w:eastAsia="en-AU"/>
        </w:rPr>
        <w:t xml:space="preserve">but considered that these trials were not designed to compare the </w:t>
      </w:r>
      <w:proofErr w:type="spellStart"/>
      <w:r>
        <w:rPr>
          <w:rFonts w:cs="Calibri"/>
          <w:snapToGrid/>
          <w:szCs w:val="24"/>
          <w:lang w:val="en-US" w:eastAsia="en-AU"/>
        </w:rPr>
        <w:t>ertugliflozin</w:t>
      </w:r>
      <w:proofErr w:type="spellEnd"/>
      <w:r>
        <w:rPr>
          <w:rFonts w:cs="Calibri"/>
          <w:snapToGrid/>
          <w:szCs w:val="24"/>
          <w:lang w:val="en-US" w:eastAsia="en-AU"/>
        </w:rPr>
        <w:t xml:space="preserve"> and </w:t>
      </w:r>
      <w:proofErr w:type="spellStart"/>
      <w:r>
        <w:rPr>
          <w:rFonts w:cs="Calibri"/>
          <w:snapToGrid/>
          <w:szCs w:val="24"/>
          <w:lang w:val="en-US" w:eastAsia="en-AU"/>
        </w:rPr>
        <w:t>sitagliptin</w:t>
      </w:r>
      <w:proofErr w:type="spellEnd"/>
      <w:r>
        <w:rPr>
          <w:rFonts w:cs="Calibri"/>
          <w:snapToGrid/>
          <w:szCs w:val="24"/>
          <w:lang w:val="en-US" w:eastAsia="en-AU"/>
        </w:rPr>
        <w:t xml:space="preserve"> treatment arms, and results must therefore be interpreted with caution</w:t>
      </w:r>
      <w:r w:rsidRPr="00C11AAD">
        <w:rPr>
          <w:rFonts w:cs="Calibri"/>
          <w:snapToGrid/>
          <w:szCs w:val="24"/>
          <w:lang w:val="en-US" w:eastAsia="en-AU"/>
        </w:rPr>
        <w:t>.</w:t>
      </w:r>
    </w:p>
    <w:p w:rsidR="00D568F5" w:rsidRPr="00C11AAD" w:rsidRDefault="00D568F5" w:rsidP="004D1A29">
      <w:pPr>
        <w:keepNext/>
        <w:ind w:left="992" w:hanging="992"/>
        <w:rPr>
          <w:rStyle w:val="CommentReference"/>
        </w:rPr>
      </w:pPr>
      <w:r w:rsidRPr="00C11AAD">
        <w:rPr>
          <w:rStyle w:val="CommentReference"/>
        </w:rPr>
        <w:t xml:space="preserve">Table </w:t>
      </w:r>
      <w:r w:rsidR="006921C5" w:rsidRPr="00C11AAD">
        <w:rPr>
          <w:rStyle w:val="CommentReference"/>
        </w:rPr>
        <w:t>6</w:t>
      </w:r>
      <w:r w:rsidRPr="00C11AAD">
        <w:rPr>
          <w:rStyle w:val="CommentReference"/>
        </w:rPr>
        <w:t xml:space="preserve">: Results of change from baseline in HbA1c in sulfonylurea-controlled </w:t>
      </w:r>
      <w:proofErr w:type="spellStart"/>
      <w:r w:rsidRPr="00C11AAD">
        <w:rPr>
          <w:rStyle w:val="CommentReference"/>
        </w:rPr>
        <w:t>ertugliflozin</w:t>
      </w:r>
      <w:proofErr w:type="spellEnd"/>
      <w:r w:rsidRPr="00C11AAD">
        <w:rPr>
          <w:rStyle w:val="CommentReference"/>
        </w:rPr>
        <w:t xml:space="preserve"> trial</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2"/>
        <w:gridCol w:w="427"/>
        <w:gridCol w:w="993"/>
        <w:gridCol w:w="991"/>
        <w:gridCol w:w="995"/>
        <w:gridCol w:w="423"/>
        <w:gridCol w:w="1137"/>
        <w:gridCol w:w="991"/>
        <w:gridCol w:w="993"/>
        <w:gridCol w:w="1131"/>
      </w:tblGrid>
      <w:tr w:rsidR="00D568F5" w:rsidRPr="00C11AAD" w:rsidTr="00981645">
        <w:trPr>
          <w:tblHeader/>
        </w:trPr>
        <w:tc>
          <w:tcPr>
            <w:tcW w:w="629" w:type="pct"/>
            <w:vMerge w:val="restart"/>
            <w:vAlign w:val="center"/>
          </w:tcPr>
          <w:p w:rsidR="00D568F5" w:rsidRPr="00C11AAD" w:rsidRDefault="00D568F5" w:rsidP="00981645">
            <w:pPr>
              <w:pStyle w:val="Tabletext"/>
              <w:rPr>
                <w:b/>
              </w:rPr>
            </w:pPr>
            <w:r w:rsidRPr="00C11AAD">
              <w:rPr>
                <w:b/>
              </w:rPr>
              <w:t>Trial ID</w:t>
            </w:r>
          </w:p>
        </w:tc>
        <w:tc>
          <w:tcPr>
            <w:tcW w:w="1842" w:type="pct"/>
            <w:gridSpan w:val="4"/>
          </w:tcPr>
          <w:p w:rsidR="00D568F5" w:rsidRPr="00C11AAD" w:rsidRDefault="00D568F5" w:rsidP="00981645">
            <w:pPr>
              <w:pStyle w:val="Tabletext"/>
              <w:jc w:val="center"/>
              <w:rPr>
                <w:b/>
                <w:iCs/>
                <w:lang w:val="en-US"/>
              </w:rPr>
            </w:pPr>
            <w:proofErr w:type="spellStart"/>
            <w:r w:rsidRPr="00C11AAD">
              <w:rPr>
                <w:b/>
                <w:iCs/>
                <w:lang w:val="en-US"/>
              </w:rPr>
              <w:t>Ertugliflozin</w:t>
            </w:r>
            <w:proofErr w:type="spellEnd"/>
            <w:r w:rsidRPr="00C11AAD">
              <w:rPr>
                <w:b/>
                <w:iCs/>
                <w:lang w:val="en-US"/>
              </w:rPr>
              <w:t xml:space="preserve"> + metformin</w:t>
            </w:r>
          </w:p>
          <w:p w:rsidR="00D568F5" w:rsidRPr="00C11AAD" w:rsidRDefault="00D568F5" w:rsidP="00981645">
            <w:pPr>
              <w:pStyle w:val="Tabletext"/>
              <w:jc w:val="center"/>
              <w:rPr>
                <w:b/>
                <w:lang w:val="en-US"/>
              </w:rPr>
            </w:pPr>
            <w:r w:rsidRPr="00C11AAD">
              <w:rPr>
                <w:b/>
                <w:iCs/>
                <w:lang w:val="en-US"/>
              </w:rPr>
              <w:t>Hba1c %, mean (SD)</w:t>
            </w:r>
          </w:p>
        </w:tc>
        <w:tc>
          <w:tcPr>
            <w:tcW w:w="1917" w:type="pct"/>
            <w:gridSpan w:val="4"/>
          </w:tcPr>
          <w:p w:rsidR="00D568F5" w:rsidRPr="00C11AAD" w:rsidRDefault="00D568F5" w:rsidP="00981645">
            <w:pPr>
              <w:pStyle w:val="Tabletext"/>
              <w:jc w:val="center"/>
              <w:rPr>
                <w:b/>
                <w:iCs/>
                <w:lang w:val="en-US"/>
              </w:rPr>
            </w:pPr>
            <w:r w:rsidRPr="00C11AAD">
              <w:rPr>
                <w:b/>
                <w:iCs/>
                <w:lang w:val="en-US"/>
              </w:rPr>
              <w:t>Glimepiride + metformin</w:t>
            </w:r>
          </w:p>
          <w:p w:rsidR="00D568F5" w:rsidRPr="00C11AAD" w:rsidRDefault="00D568F5" w:rsidP="00981645">
            <w:pPr>
              <w:pStyle w:val="Tabletext"/>
              <w:jc w:val="center"/>
              <w:rPr>
                <w:b/>
                <w:lang w:val="en-US"/>
              </w:rPr>
            </w:pPr>
            <w:r w:rsidRPr="00C11AAD">
              <w:rPr>
                <w:b/>
                <w:iCs/>
                <w:lang w:val="en-US"/>
              </w:rPr>
              <w:t>Hba1c %, mean (SD)</w:t>
            </w:r>
          </w:p>
        </w:tc>
        <w:tc>
          <w:tcPr>
            <w:tcW w:w="612" w:type="pct"/>
            <w:vMerge w:val="restart"/>
            <w:vAlign w:val="center"/>
          </w:tcPr>
          <w:p w:rsidR="00D568F5" w:rsidRPr="00C11AAD" w:rsidRDefault="00D568F5" w:rsidP="00981645">
            <w:pPr>
              <w:pStyle w:val="Tabletext"/>
              <w:jc w:val="center"/>
              <w:rPr>
                <w:b/>
                <w:vertAlign w:val="superscript"/>
                <w:lang w:val="en-US"/>
              </w:rPr>
            </w:pPr>
            <w:r w:rsidRPr="00C11AAD">
              <w:rPr>
                <w:b/>
                <w:iCs/>
                <w:lang w:val="en-US"/>
              </w:rPr>
              <w:t xml:space="preserve">LS Mean difference (95% CI) </w:t>
            </w:r>
            <w:r w:rsidRPr="00C11AAD">
              <w:rPr>
                <w:b/>
                <w:iCs/>
                <w:vertAlign w:val="superscript"/>
                <w:lang w:val="en-US"/>
              </w:rPr>
              <w:t>a</w:t>
            </w:r>
          </w:p>
        </w:tc>
      </w:tr>
      <w:tr w:rsidR="00D568F5" w:rsidRPr="00C11AAD" w:rsidTr="00981645">
        <w:tc>
          <w:tcPr>
            <w:tcW w:w="629" w:type="pct"/>
            <w:vMerge/>
            <w:vAlign w:val="center"/>
          </w:tcPr>
          <w:p w:rsidR="00D568F5" w:rsidRPr="00C11AAD" w:rsidRDefault="00D568F5" w:rsidP="00981645">
            <w:pPr>
              <w:pStyle w:val="Tabletext"/>
            </w:pPr>
          </w:p>
        </w:tc>
        <w:tc>
          <w:tcPr>
            <w:tcW w:w="231" w:type="pct"/>
          </w:tcPr>
          <w:p w:rsidR="00D568F5" w:rsidRPr="00C11AAD" w:rsidRDefault="00D568F5" w:rsidP="00981645">
            <w:pPr>
              <w:pStyle w:val="Tabletext"/>
              <w:jc w:val="center"/>
              <w:rPr>
                <w:b/>
              </w:rPr>
            </w:pPr>
            <w:r w:rsidRPr="00C11AAD">
              <w:rPr>
                <w:b/>
              </w:rPr>
              <w:t>N</w:t>
            </w:r>
          </w:p>
        </w:tc>
        <w:tc>
          <w:tcPr>
            <w:tcW w:w="537" w:type="pct"/>
            <w:vAlign w:val="center"/>
          </w:tcPr>
          <w:p w:rsidR="00D568F5" w:rsidRPr="00C11AAD" w:rsidRDefault="00D568F5" w:rsidP="00981645">
            <w:pPr>
              <w:pStyle w:val="Tabletext"/>
              <w:jc w:val="center"/>
              <w:rPr>
                <w:b/>
              </w:rPr>
            </w:pPr>
            <w:r w:rsidRPr="00C11AAD">
              <w:rPr>
                <w:b/>
              </w:rPr>
              <w:t>Baseline</w:t>
            </w:r>
          </w:p>
        </w:tc>
        <w:tc>
          <w:tcPr>
            <w:tcW w:w="536" w:type="pct"/>
            <w:vAlign w:val="center"/>
          </w:tcPr>
          <w:p w:rsidR="00D568F5" w:rsidRPr="00C11AAD" w:rsidRDefault="00D568F5" w:rsidP="00981645">
            <w:pPr>
              <w:pStyle w:val="Tabletext"/>
              <w:jc w:val="center"/>
              <w:rPr>
                <w:b/>
              </w:rPr>
            </w:pPr>
            <w:r w:rsidRPr="00C11AAD">
              <w:rPr>
                <w:b/>
              </w:rPr>
              <w:t>Endpoint</w:t>
            </w:r>
          </w:p>
        </w:tc>
        <w:tc>
          <w:tcPr>
            <w:tcW w:w="538" w:type="pct"/>
            <w:vAlign w:val="center"/>
          </w:tcPr>
          <w:p w:rsidR="00D568F5" w:rsidRPr="00C11AAD" w:rsidRDefault="00D568F5" w:rsidP="00981645">
            <w:pPr>
              <w:pStyle w:val="Tabletext"/>
              <w:jc w:val="center"/>
              <w:rPr>
                <w:b/>
              </w:rPr>
            </w:pPr>
            <w:r w:rsidRPr="00C11AAD">
              <w:rPr>
                <w:b/>
              </w:rPr>
              <w:t>Change</w:t>
            </w:r>
          </w:p>
        </w:tc>
        <w:tc>
          <w:tcPr>
            <w:tcW w:w="229" w:type="pct"/>
          </w:tcPr>
          <w:p w:rsidR="00D568F5" w:rsidRPr="00C11AAD" w:rsidRDefault="00D568F5" w:rsidP="00981645">
            <w:pPr>
              <w:pStyle w:val="Tabletext"/>
              <w:jc w:val="center"/>
              <w:rPr>
                <w:b/>
              </w:rPr>
            </w:pPr>
            <w:r w:rsidRPr="00C11AAD">
              <w:rPr>
                <w:b/>
              </w:rPr>
              <w:t>N</w:t>
            </w:r>
          </w:p>
        </w:tc>
        <w:tc>
          <w:tcPr>
            <w:tcW w:w="615" w:type="pct"/>
            <w:vAlign w:val="center"/>
          </w:tcPr>
          <w:p w:rsidR="00D568F5" w:rsidRPr="00C11AAD" w:rsidRDefault="00D568F5" w:rsidP="00981645">
            <w:pPr>
              <w:pStyle w:val="Tabletext"/>
              <w:jc w:val="center"/>
              <w:rPr>
                <w:b/>
              </w:rPr>
            </w:pPr>
            <w:r w:rsidRPr="00C11AAD">
              <w:rPr>
                <w:b/>
              </w:rPr>
              <w:t>Baseline</w:t>
            </w:r>
          </w:p>
        </w:tc>
        <w:tc>
          <w:tcPr>
            <w:tcW w:w="536" w:type="pct"/>
            <w:vAlign w:val="center"/>
          </w:tcPr>
          <w:p w:rsidR="00D568F5" w:rsidRPr="00C11AAD" w:rsidRDefault="00D568F5" w:rsidP="00981645">
            <w:pPr>
              <w:pStyle w:val="Tabletext"/>
              <w:jc w:val="center"/>
              <w:rPr>
                <w:b/>
              </w:rPr>
            </w:pPr>
            <w:r w:rsidRPr="00C11AAD">
              <w:rPr>
                <w:b/>
              </w:rPr>
              <w:t>Endpoint</w:t>
            </w:r>
          </w:p>
        </w:tc>
        <w:tc>
          <w:tcPr>
            <w:tcW w:w="537" w:type="pct"/>
            <w:vAlign w:val="center"/>
          </w:tcPr>
          <w:p w:rsidR="00D568F5" w:rsidRPr="00C11AAD" w:rsidRDefault="00D568F5" w:rsidP="00981645">
            <w:pPr>
              <w:pStyle w:val="Tabletext"/>
              <w:jc w:val="center"/>
              <w:rPr>
                <w:b/>
              </w:rPr>
            </w:pPr>
            <w:r w:rsidRPr="00C11AAD">
              <w:rPr>
                <w:b/>
              </w:rPr>
              <w:t>Change</w:t>
            </w:r>
          </w:p>
        </w:tc>
        <w:tc>
          <w:tcPr>
            <w:tcW w:w="612" w:type="pct"/>
            <w:vMerge/>
            <w:vAlign w:val="center"/>
          </w:tcPr>
          <w:p w:rsidR="00D568F5" w:rsidRPr="00C11AAD" w:rsidRDefault="00D568F5" w:rsidP="00981645">
            <w:pPr>
              <w:pStyle w:val="Tabletext"/>
              <w:jc w:val="center"/>
            </w:pPr>
          </w:p>
        </w:tc>
      </w:tr>
      <w:tr w:rsidR="00D568F5" w:rsidRPr="00C11AAD" w:rsidTr="00981645">
        <w:tc>
          <w:tcPr>
            <w:tcW w:w="5000" w:type="pct"/>
            <w:gridSpan w:val="10"/>
          </w:tcPr>
          <w:p w:rsidR="00D568F5" w:rsidRPr="00C11AAD" w:rsidRDefault="00D568F5" w:rsidP="00981645">
            <w:pPr>
              <w:pStyle w:val="Tabletext"/>
              <w:rPr>
                <w:b/>
              </w:rPr>
            </w:pPr>
            <w:r w:rsidRPr="00C11AAD">
              <w:rPr>
                <w:b/>
              </w:rPr>
              <w:t>P002, 52 weeks</w:t>
            </w:r>
          </w:p>
        </w:tc>
      </w:tr>
      <w:tr w:rsidR="00D568F5" w:rsidRPr="00C11AAD" w:rsidTr="00981645">
        <w:tc>
          <w:tcPr>
            <w:tcW w:w="629" w:type="pct"/>
            <w:vAlign w:val="center"/>
          </w:tcPr>
          <w:p w:rsidR="00D568F5" w:rsidRPr="00C11AAD" w:rsidRDefault="00D568F5" w:rsidP="00981645">
            <w:pPr>
              <w:pStyle w:val="Tabletext"/>
            </w:pPr>
            <w:r w:rsidRPr="00C11AAD">
              <w:t>ERTU 5 mg</w:t>
            </w:r>
          </w:p>
        </w:tc>
        <w:tc>
          <w:tcPr>
            <w:tcW w:w="231" w:type="pct"/>
            <w:vAlign w:val="center"/>
          </w:tcPr>
          <w:p w:rsidR="00D568F5" w:rsidRPr="00C11AAD" w:rsidRDefault="00D568F5" w:rsidP="00981645">
            <w:pPr>
              <w:pStyle w:val="Tabletext"/>
              <w:jc w:val="center"/>
            </w:pPr>
            <w:r w:rsidRPr="00C11AAD">
              <w:t>448</w:t>
            </w:r>
          </w:p>
        </w:tc>
        <w:tc>
          <w:tcPr>
            <w:tcW w:w="537" w:type="pct"/>
            <w:vAlign w:val="center"/>
          </w:tcPr>
          <w:p w:rsidR="00D568F5" w:rsidRPr="00C11AAD" w:rsidRDefault="00D568F5" w:rsidP="00981645">
            <w:pPr>
              <w:pStyle w:val="Tabletext"/>
              <w:jc w:val="center"/>
            </w:pPr>
            <w:r w:rsidRPr="00C11AAD">
              <w:t>7.81 (0.60)</w:t>
            </w:r>
          </w:p>
        </w:tc>
        <w:tc>
          <w:tcPr>
            <w:tcW w:w="536" w:type="pct"/>
            <w:vAlign w:val="center"/>
          </w:tcPr>
          <w:p w:rsidR="00D568F5" w:rsidRPr="00C11AAD" w:rsidRDefault="00D568F5" w:rsidP="00981645">
            <w:pPr>
              <w:pStyle w:val="Tabletext"/>
              <w:jc w:val="center"/>
            </w:pPr>
            <w:r w:rsidRPr="00C11AAD">
              <w:t>7.13 (0.88)</w:t>
            </w:r>
          </w:p>
        </w:tc>
        <w:tc>
          <w:tcPr>
            <w:tcW w:w="538" w:type="pct"/>
            <w:vAlign w:val="center"/>
          </w:tcPr>
          <w:p w:rsidR="00D568F5" w:rsidRPr="00C11AAD" w:rsidRDefault="00D568F5" w:rsidP="00981645">
            <w:pPr>
              <w:pStyle w:val="Tabletext"/>
              <w:jc w:val="center"/>
            </w:pPr>
            <w:r w:rsidRPr="00C11AAD">
              <w:t>-0.56 (0.97)</w:t>
            </w:r>
          </w:p>
        </w:tc>
        <w:tc>
          <w:tcPr>
            <w:tcW w:w="229" w:type="pct"/>
            <w:vAlign w:val="center"/>
          </w:tcPr>
          <w:p w:rsidR="00D568F5" w:rsidRPr="00C11AAD" w:rsidRDefault="00D568F5" w:rsidP="00981645">
            <w:pPr>
              <w:pStyle w:val="Tabletext"/>
              <w:jc w:val="center"/>
            </w:pPr>
            <w:r w:rsidRPr="00C11AAD">
              <w:t>437</w:t>
            </w:r>
          </w:p>
        </w:tc>
        <w:tc>
          <w:tcPr>
            <w:tcW w:w="615" w:type="pct"/>
            <w:vAlign w:val="center"/>
          </w:tcPr>
          <w:p w:rsidR="00D568F5" w:rsidRPr="00C11AAD" w:rsidRDefault="00D568F5" w:rsidP="00981645">
            <w:pPr>
              <w:pStyle w:val="Tabletext"/>
              <w:jc w:val="center"/>
            </w:pPr>
            <w:r w:rsidRPr="00C11AAD">
              <w:t>7.8 (0.6)</w:t>
            </w:r>
          </w:p>
        </w:tc>
        <w:tc>
          <w:tcPr>
            <w:tcW w:w="536" w:type="pct"/>
            <w:vAlign w:val="center"/>
          </w:tcPr>
          <w:p w:rsidR="00D568F5" w:rsidRPr="00C11AAD" w:rsidRDefault="00D568F5" w:rsidP="00981645">
            <w:pPr>
              <w:pStyle w:val="Tabletext"/>
              <w:jc w:val="center"/>
            </w:pPr>
            <w:r w:rsidRPr="00C11AAD">
              <w:t>6.97 (0.93)</w:t>
            </w:r>
          </w:p>
        </w:tc>
        <w:tc>
          <w:tcPr>
            <w:tcW w:w="537" w:type="pct"/>
            <w:vAlign w:val="center"/>
          </w:tcPr>
          <w:p w:rsidR="00D568F5" w:rsidRPr="00C11AAD" w:rsidRDefault="00D568F5" w:rsidP="00981645">
            <w:pPr>
              <w:pStyle w:val="Tabletext"/>
              <w:jc w:val="center"/>
            </w:pPr>
            <w:r w:rsidRPr="00C11AAD">
              <w:t>-0.74 (0.96)</w:t>
            </w:r>
          </w:p>
        </w:tc>
        <w:tc>
          <w:tcPr>
            <w:tcW w:w="612" w:type="pct"/>
            <w:vAlign w:val="center"/>
          </w:tcPr>
          <w:p w:rsidR="00D568F5" w:rsidRPr="00C11AAD" w:rsidRDefault="00D568F5" w:rsidP="00981645">
            <w:pPr>
              <w:pStyle w:val="Tabletext"/>
              <w:jc w:val="center"/>
            </w:pPr>
            <w:r w:rsidRPr="00C11AAD">
              <w:t xml:space="preserve">0.18 </w:t>
            </w:r>
          </w:p>
          <w:p w:rsidR="00D568F5" w:rsidRPr="00C11AAD" w:rsidRDefault="00D568F5" w:rsidP="00981645">
            <w:pPr>
              <w:pStyle w:val="Tabletext"/>
              <w:jc w:val="center"/>
            </w:pPr>
            <w:r w:rsidRPr="00C11AAD">
              <w:t>(0.06, 0.30)</w:t>
            </w:r>
          </w:p>
        </w:tc>
      </w:tr>
      <w:tr w:rsidR="00D568F5" w:rsidRPr="00C11AAD" w:rsidTr="00981645">
        <w:tc>
          <w:tcPr>
            <w:tcW w:w="629" w:type="pct"/>
            <w:vAlign w:val="center"/>
          </w:tcPr>
          <w:p w:rsidR="00D568F5" w:rsidRPr="00C11AAD" w:rsidRDefault="00D568F5" w:rsidP="00981645">
            <w:pPr>
              <w:pStyle w:val="Tabletext"/>
            </w:pPr>
            <w:r w:rsidRPr="00C11AAD">
              <w:t>ERTU 15 mg</w:t>
            </w:r>
          </w:p>
        </w:tc>
        <w:tc>
          <w:tcPr>
            <w:tcW w:w="231" w:type="pct"/>
            <w:vAlign w:val="center"/>
          </w:tcPr>
          <w:p w:rsidR="00D568F5" w:rsidRPr="00C11AAD" w:rsidRDefault="00D568F5" w:rsidP="00981645">
            <w:pPr>
              <w:pStyle w:val="Tabletext"/>
              <w:jc w:val="center"/>
            </w:pPr>
            <w:r w:rsidRPr="00C11AAD">
              <w:t>440</w:t>
            </w:r>
          </w:p>
        </w:tc>
        <w:tc>
          <w:tcPr>
            <w:tcW w:w="537" w:type="pct"/>
            <w:vAlign w:val="center"/>
          </w:tcPr>
          <w:p w:rsidR="00D568F5" w:rsidRPr="00C11AAD" w:rsidRDefault="00D568F5" w:rsidP="00981645">
            <w:pPr>
              <w:pStyle w:val="Tabletext"/>
              <w:jc w:val="center"/>
            </w:pPr>
            <w:r w:rsidRPr="00C11AAD">
              <w:t>7.80 (0.60)</w:t>
            </w:r>
          </w:p>
        </w:tc>
        <w:tc>
          <w:tcPr>
            <w:tcW w:w="536" w:type="pct"/>
            <w:vAlign w:val="center"/>
          </w:tcPr>
          <w:p w:rsidR="00D568F5" w:rsidRPr="00C11AAD" w:rsidRDefault="00D568F5" w:rsidP="00981645">
            <w:pPr>
              <w:pStyle w:val="Tabletext"/>
              <w:jc w:val="center"/>
            </w:pPr>
            <w:r w:rsidRPr="00C11AAD">
              <w:t>7.09 (0.81)</w:t>
            </w:r>
          </w:p>
        </w:tc>
        <w:tc>
          <w:tcPr>
            <w:tcW w:w="538" w:type="pct"/>
            <w:vAlign w:val="center"/>
          </w:tcPr>
          <w:p w:rsidR="00D568F5" w:rsidRPr="00C11AAD" w:rsidRDefault="00D568F5" w:rsidP="00981645">
            <w:pPr>
              <w:pStyle w:val="Tabletext"/>
              <w:jc w:val="center"/>
            </w:pPr>
            <w:r w:rsidRPr="00C11AAD">
              <w:t>-0.64 (0.96)</w:t>
            </w:r>
          </w:p>
        </w:tc>
        <w:tc>
          <w:tcPr>
            <w:tcW w:w="229" w:type="pct"/>
            <w:vAlign w:val="center"/>
          </w:tcPr>
          <w:p w:rsidR="00D568F5" w:rsidRPr="00C11AAD" w:rsidRDefault="00D568F5" w:rsidP="00981645">
            <w:pPr>
              <w:pStyle w:val="Tabletext"/>
              <w:jc w:val="center"/>
            </w:pPr>
            <w:r w:rsidRPr="00C11AAD">
              <w:t>437</w:t>
            </w:r>
          </w:p>
        </w:tc>
        <w:tc>
          <w:tcPr>
            <w:tcW w:w="615" w:type="pct"/>
            <w:vAlign w:val="center"/>
          </w:tcPr>
          <w:p w:rsidR="00D568F5" w:rsidRPr="00C11AAD" w:rsidRDefault="00D568F5" w:rsidP="00981645">
            <w:pPr>
              <w:pStyle w:val="Tabletext"/>
              <w:jc w:val="center"/>
            </w:pPr>
            <w:r w:rsidRPr="00C11AAD">
              <w:t>7.8 (0.6)</w:t>
            </w:r>
          </w:p>
        </w:tc>
        <w:tc>
          <w:tcPr>
            <w:tcW w:w="536" w:type="pct"/>
            <w:vAlign w:val="center"/>
          </w:tcPr>
          <w:p w:rsidR="00D568F5" w:rsidRPr="00C11AAD" w:rsidRDefault="00D568F5" w:rsidP="00981645">
            <w:pPr>
              <w:pStyle w:val="Tabletext"/>
              <w:jc w:val="center"/>
            </w:pPr>
            <w:r w:rsidRPr="00C11AAD">
              <w:t>6.97 (0.93)</w:t>
            </w:r>
          </w:p>
        </w:tc>
        <w:tc>
          <w:tcPr>
            <w:tcW w:w="537" w:type="pct"/>
            <w:vAlign w:val="center"/>
          </w:tcPr>
          <w:p w:rsidR="00D568F5" w:rsidRPr="00C11AAD" w:rsidRDefault="00D568F5" w:rsidP="00981645">
            <w:pPr>
              <w:pStyle w:val="Tabletext"/>
              <w:jc w:val="center"/>
            </w:pPr>
            <w:r w:rsidRPr="00C11AAD">
              <w:t>-0.74 (0.96)</w:t>
            </w:r>
          </w:p>
        </w:tc>
        <w:tc>
          <w:tcPr>
            <w:tcW w:w="612" w:type="pct"/>
            <w:vAlign w:val="center"/>
          </w:tcPr>
          <w:p w:rsidR="00D568F5" w:rsidRPr="00C11AAD" w:rsidRDefault="00D568F5" w:rsidP="00981645">
            <w:pPr>
              <w:pStyle w:val="Tabletext"/>
              <w:jc w:val="center"/>
            </w:pPr>
            <w:r w:rsidRPr="00C11AAD">
              <w:t>0.10</w:t>
            </w:r>
          </w:p>
          <w:p w:rsidR="00D568F5" w:rsidRPr="00C11AAD" w:rsidRDefault="00D568F5" w:rsidP="00981645">
            <w:pPr>
              <w:pStyle w:val="Tabletext"/>
              <w:jc w:val="center"/>
            </w:pPr>
            <w:r w:rsidRPr="00C11AAD">
              <w:t>(-0.02, 0.22)</w:t>
            </w:r>
          </w:p>
        </w:tc>
      </w:tr>
    </w:tbl>
    <w:p w:rsidR="00D568F5" w:rsidRPr="00C11AAD" w:rsidRDefault="00D568F5" w:rsidP="00D568F5">
      <w:pPr>
        <w:pStyle w:val="TableFooter"/>
      </w:pPr>
      <w:proofErr w:type="gramStart"/>
      <w:r w:rsidRPr="00C11AAD">
        <w:rPr>
          <w:vertAlign w:val="superscript"/>
        </w:rPr>
        <w:t>a</w:t>
      </w:r>
      <w:proofErr w:type="gramEnd"/>
      <w:r w:rsidRPr="00C11AAD">
        <w:t xml:space="preserve"> Treatment differences for </w:t>
      </w:r>
      <w:proofErr w:type="spellStart"/>
      <w:r w:rsidRPr="00C11AAD">
        <w:t>ertugliflozin</w:t>
      </w:r>
      <w:proofErr w:type="spellEnd"/>
      <w:r w:rsidRPr="00C11AAD">
        <w:t xml:space="preserve"> vs </w:t>
      </w:r>
      <w:proofErr w:type="spellStart"/>
      <w:r w:rsidRPr="00C11AAD">
        <w:t>sitagliptin</w:t>
      </w:r>
      <w:proofErr w:type="spellEnd"/>
      <w:r w:rsidRPr="00C11AAD">
        <w:t xml:space="preserve"> were not performed in Trial P005 or Trial P016, these were calculated post hoc in the submission using Review Manager 5.3</w:t>
      </w:r>
    </w:p>
    <w:p w:rsidR="00D568F5" w:rsidRPr="00C11AAD" w:rsidRDefault="00D568F5" w:rsidP="00D568F5">
      <w:pPr>
        <w:pStyle w:val="TableFooter"/>
      </w:pPr>
      <w:r w:rsidRPr="00C11AAD">
        <w:t xml:space="preserve">Abbreviations: CI, confidence interval; ERTU, </w:t>
      </w:r>
      <w:proofErr w:type="spellStart"/>
      <w:r w:rsidRPr="00C11AAD">
        <w:t>ertugliflozin</w:t>
      </w:r>
      <w:proofErr w:type="spellEnd"/>
      <w:r w:rsidRPr="00C11AAD">
        <w:t>; HbA1c, glycosylated haemoglobin; LS, least squares; SD, standard deviation.</w:t>
      </w:r>
    </w:p>
    <w:p w:rsidR="00D568F5" w:rsidRPr="00C11AAD" w:rsidRDefault="00D568F5" w:rsidP="00D568F5">
      <w:pPr>
        <w:pStyle w:val="TableFooter"/>
      </w:pPr>
      <w:r w:rsidRPr="00C11AAD">
        <w:t>Source: Table 2-17, pp105-106 of the submission, relevant trial reports and publications</w:t>
      </w:r>
    </w:p>
    <w:p w:rsidR="00CC2EFA" w:rsidRPr="00C11AAD" w:rsidRDefault="00D568F5" w:rsidP="00985C8D">
      <w:pPr>
        <w:pStyle w:val="ListParagraph"/>
        <w:widowControl/>
        <w:numPr>
          <w:ilvl w:val="1"/>
          <w:numId w:val="2"/>
        </w:numPr>
        <w:spacing w:before="120" w:after="120"/>
        <w:rPr>
          <w:rFonts w:cs="Calibri"/>
          <w:snapToGrid/>
          <w:szCs w:val="24"/>
          <w:lang w:val="en-US" w:eastAsia="en-AU"/>
        </w:rPr>
      </w:pPr>
      <w:r w:rsidRPr="00C11AAD">
        <w:rPr>
          <w:rFonts w:cs="Calibri"/>
          <w:snapToGrid/>
          <w:szCs w:val="24"/>
          <w:lang w:val="en-US" w:eastAsia="en-AU"/>
        </w:rPr>
        <w:t xml:space="preserve">Results of a comparison </w:t>
      </w:r>
      <w:r w:rsidR="00533A18" w:rsidRPr="00C11AAD">
        <w:rPr>
          <w:rFonts w:cs="Calibri"/>
          <w:snapToGrid/>
          <w:szCs w:val="24"/>
          <w:lang w:val="en-US" w:eastAsia="en-AU"/>
        </w:rPr>
        <w:t xml:space="preserve">between </w:t>
      </w:r>
      <w:proofErr w:type="spellStart"/>
      <w:r w:rsidR="00533A18" w:rsidRPr="00C11AAD">
        <w:rPr>
          <w:rFonts w:cs="Calibri"/>
          <w:snapToGrid/>
          <w:szCs w:val="24"/>
          <w:lang w:val="en-US" w:eastAsia="en-AU"/>
        </w:rPr>
        <w:t>ertugliflozin</w:t>
      </w:r>
      <w:proofErr w:type="spellEnd"/>
      <w:r w:rsidR="00533A18" w:rsidRPr="00C11AAD">
        <w:rPr>
          <w:rFonts w:cs="Calibri"/>
          <w:snapToGrid/>
          <w:szCs w:val="24"/>
          <w:lang w:val="en-US" w:eastAsia="en-AU"/>
        </w:rPr>
        <w:t xml:space="preserve"> and</w:t>
      </w:r>
      <w:r w:rsidRPr="00C11AAD">
        <w:rPr>
          <w:rFonts w:cs="Calibri"/>
          <w:snapToGrid/>
          <w:szCs w:val="24"/>
          <w:lang w:val="en-US" w:eastAsia="en-AU"/>
        </w:rPr>
        <w:t xml:space="preserve"> glimepiride showed no statistically significant difference in change from baseline to week 52 in HbA1c for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15 mg, but a statistically significant difference in </w:t>
      </w:r>
      <w:proofErr w:type="spellStart"/>
      <w:r w:rsidRPr="00C11AAD">
        <w:rPr>
          <w:rFonts w:cs="Calibri"/>
          <w:snapToGrid/>
          <w:szCs w:val="24"/>
          <w:lang w:val="en-US" w:eastAsia="en-AU"/>
        </w:rPr>
        <w:t>favour</w:t>
      </w:r>
      <w:proofErr w:type="spellEnd"/>
      <w:r w:rsidRPr="00C11AAD">
        <w:rPr>
          <w:rFonts w:cs="Calibri"/>
          <w:snapToGrid/>
          <w:szCs w:val="24"/>
          <w:lang w:val="en-US" w:eastAsia="en-AU"/>
        </w:rPr>
        <w:t xml:space="preserve"> of glimepiride for the comparison with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5 mg. The comparison of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15mg and glimepiride were within the non-inferiority margin specified in the submission (the upper bound of the 95% confidence interval was less than 0.4%), but glimepiride therapy demonstrated a statistically significantly superior reduction in HbA1c compared to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5 mg. The submission suggested that the relatively lower baseline HbA1c for patients in trial P002 may have contributed to the lesser treatment effect in this trial compared to the other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trials. Further, dosing of glimepiride in trial P002 exceeded the maximum TGA-recommended dose of 4 mg/day, which the submission suggested could result in an overestimation of the HbA1c reduction from ba</w:t>
      </w:r>
      <w:r w:rsidR="00011FE0" w:rsidRPr="00C11AAD">
        <w:rPr>
          <w:rFonts w:cs="Calibri"/>
          <w:snapToGrid/>
          <w:szCs w:val="24"/>
          <w:lang w:val="en-US" w:eastAsia="en-AU"/>
        </w:rPr>
        <w:t>seline in the glimepiride group.</w:t>
      </w:r>
    </w:p>
    <w:p w:rsidR="00CC2EFA" w:rsidRPr="00C11AAD" w:rsidRDefault="00CC2EFA" w:rsidP="00985C8D">
      <w:pPr>
        <w:pStyle w:val="ListParagraph"/>
        <w:widowControl/>
        <w:numPr>
          <w:ilvl w:val="1"/>
          <w:numId w:val="2"/>
        </w:numPr>
        <w:spacing w:after="120"/>
        <w:rPr>
          <w:rFonts w:cs="Calibri"/>
          <w:snapToGrid/>
          <w:szCs w:val="24"/>
          <w:lang w:val="en-US" w:eastAsia="en-AU"/>
        </w:rPr>
      </w:pPr>
      <w:r w:rsidRPr="00C11AAD">
        <w:t xml:space="preserve">A statistically significantly greater proportion of glimepiride treated patients </w:t>
      </w:r>
      <w:r w:rsidR="00B14038" w:rsidRPr="00C11AAD">
        <w:t>were treatment responders</w:t>
      </w:r>
      <w:r w:rsidRPr="00C11AAD">
        <w:t xml:space="preserve"> at 52 weeks compared with </w:t>
      </w:r>
      <w:proofErr w:type="spellStart"/>
      <w:r w:rsidRPr="00C11AAD">
        <w:t>ertugliflozin</w:t>
      </w:r>
      <w:proofErr w:type="spellEnd"/>
      <w:r w:rsidRPr="00C11AAD">
        <w:t xml:space="preserve"> treated patients. The submission noted that the administration of glimepiride at doses above the recommended maximum of 4 mg/day, and lower baseline HbA1c levels in this trial, may have contributed to this outcome.</w:t>
      </w:r>
    </w:p>
    <w:p w:rsidR="00CC2EFA" w:rsidRPr="00AB2BD2" w:rsidRDefault="00CC2EFA" w:rsidP="00985C8D">
      <w:pPr>
        <w:pStyle w:val="ListParagraph"/>
        <w:widowControl/>
        <w:numPr>
          <w:ilvl w:val="1"/>
          <w:numId w:val="2"/>
        </w:numPr>
        <w:spacing w:after="120"/>
        <w:rPr>
          <w:rFonts w:cs="Calibri"/>
          <w:snapToGrid/>
          <w:szCs w:val="24"/>
          <w:lang w:val="en-US" w:eastAsia="en-AU"/>
        </w:rPr>
      </w:pPr>
      <w:r w:rsidRPr="00C11AAD">
        <w:t xml:space="preserve">In contrast, there was a statistically significant difference in change from baseline for FPG in favour of </w:t>
      </w:r>
      <w:proofErr w:type="spellStart"/>
      <w:r w:rsidRPr="00C11AAD">
        <w:t>ertugliflozin</w:t>
      </w:r>
      <w:proofErr w:type="spellEnd"/>
      <w:r w:rsidRPr="00C11AAD">
        <w:t xml:space="preserve"> 15 mg when compared with glimepiride after 52 weeks of treatment, but not for the 5 mg dose.</w:t>
      </w:r>
    </w:p>
    <w:p w:rsidR="00543562" w:rsidRPr="00543562" w:rsidRDefault="00543562" w:rsidP="00AB2BD2">
      <w:pPr>
        <w:widowControl/>
        <w:numPr>
          <w:ilvl w:val="1"/>
          <w:numId w:val="2"/>
        </w:numPr>
        <w:spacing w:after="120"/>
        <w:rPr>
          <w:rFonts w:cs="Calibri"/>
          <w:snapToGrid/>
          <w:szCs w:val="24"/>
          <w:lang w:val="en-US" w:eastAsia="en-AU"/>
        </w:rPr>
      </w:pPr>
      <w:r w:rsidRPr="00543562">
        <w:rPr>
          <w:rFonts w:asciiTheme="minorHAnsi" w:hAnsiTheme="minorHAnsi"/>
          <w:bCs/>
          <w:lang w:val="en-GB"/>
        </w:rPr>
        <w:t>The PBAC noted</w:t>
      </w:r>
      <w:r w:rsidRPr="00A2009D">
        <w:rPr>
          <w:rFonts w:asciiTheme="minorHAnsi" w:hAnsiTheme="minorHAnsi"/>
          <w:bCs/>
          <w:lang w:val="en-GB"/>
        </w:rPr>
        <w:t xml:space="preserve"> that the glimepiride-controlled </w:t>
      </w:r>
      <w:proofErr w:type="spellStart"/>
      <w:r w:rsidRPr="00A2009D">
        <w:rPr>
          <w:rFonts w:asciiTheme="minorHAnsi" w:hAnsiTheme="minorHAnsi"/>
          <w:bCs/>
          <w:lang w:val="en-GB"/>
        </w:rPr>
        <w:t>ertugliflozin</w:t>
      </w:r>
      <w:proofErr w:type="spellEnd"/>
      <w:r w:rsidRPr="00A2009D">
        <w:rPr>
          <w:rFonts w:asciiTheme="minorHAnsi" w:hAnsiTheme="minorHAnsi"/>
          <w:bCs/>
          <w:lang w:val="en-GB"/>
        </w:rPr>
        <w:t xml:space="preserve"> trial</w:t>
      </w:r>
      <w:r w:rsidRPr="009A1748">
        <w:rPr>
          <w:rFonts w:asciiTheme="minorHAnsi" w:hAnsiTheme="minorHAnsi"/>
          <w:bCs/>
          <w:lang w:val="en-GB"/>
        </w:rPr>
        <w:t xml:space="preserve"> </w:t>
      </w:r>
      <w:r w:rsidRPr="00543562">
        <w:rPr>
          <w:rFonts w:asciiTheme="minorHAnsi" w:hAnsiTheme="minorHAnsi"/>
          <w:bCs/>
          <w:lang w:val="en-GB"/>
        </w:rPr>
        <w:t>suggested a stat</w:t>
      </w:r>
      <w:r w:rsidRPr="009A1748">
        <w:rPr>
          <w:rFonts w:asciiTheme="minorHAnsi" w:hAnsiTheme="minorHAnsi"/>
          <w:bCs/>
          <w:lang w:val="en-GB"/>
        </w:rPr>
        <w:t>istically superior reduction in HbA1c in favour of</w:t>
      </w:r>
      <w:r w:rsidRPr="002E5756">
        <w:rPr>
          <w:rFonts w:asciiTheme="minorHAnsi" w:hAnsiTheme="minorHAnsi"/>
          <w:bCs/>
          <w:lang w:val="en-GB"/>
        </w:rPr>
        <w:t xml:space="preserve"> glimepirid</w:t>
      </w:r>
      <w:r w:rsidRPr="00543562">
        <w:rPr>
          <w:rFonts w:asciiTheme="minorHAnsi" w:hAnsiTheme="minorHAnsi"/>
          <w:bCs/>
          <w:lang w:val="en-GB"/>
        </w:rPr>
        <w:t xml:space="preserve">e compared with </w:t>
      </w:r>
      <w:proofErr w:type="spellStart"/>
      <w:r w:rsidRPr="00543562">
        <w:rPr>
          <w:rFonts w:asciiTheme="minorHAnsi" w:hAnsiTheme="minorHAnsi"/>
          <w:bCs/>
          <w:lang w:val="en-GB"/>
        </w:rPr>
        <w:t>ertugliflozin</w:t>
      </w:r>
      <w:proofErr w:type="spellEnd"/>
      <w:r w:rsidRPr="00543562">
        <w:rPr>
          <w:rFonts w:asciiTheme="minorHAnsi" w:hAnsiTheme="minorHAnsi"/>
          <w:bCs/>
          <w:lang w:val="en-GB"/>
        </w:rPr>
        <w:t xml:space="preserve"> 5 mg, and no statistically significant difference between glimepiride compared with </w:t>
      </w:r>
      <w:proofErr w:type="spellStart"/>
      <w:r w:rsidRPr="00543562">
        <w:rPr>
          <w:rFonts w:asciiTheme="minorHAnsi" w:hAnsiTheme="minorHAnsi"/>
          <w:bCs/>
          <w:lang w:val="en-GB"/>
        </w:rPr>
        <w:t>ertugliflozin</w:t>
      </w:r>
      <w:proofErr w:type="spellEnd"/>
      <w:r w:rsidRPr="00543562">
        <w:rPr>
          <w:rFonts w:asciiTheme="minorHAnsi" w:hAnsiTheme="minorHAnsi"/>
          <w:bCs/>
          <w:lang w:val="en-GB"/>
        </w:rPr>
        <w:t xml:space="preserve"> 15 mg. However the PBAC considered the greater than maximum recommended doses of glimepiride administered in this trial may have influenced the outcome of this comparison. </w:t>
      </w:r>
    </w:p>
    <w:p w:rsidR="00CC2EFA" w:rsidRDefault="00CC2EFA"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lastRenderedPageBreak/>
        <w:t xml:space="preserve">In all trials,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treatment was associated with a consistent reduction in total body weight. These results were consistent with the known effects of SGLT2 inhibitors.</w:t>
      </w:r>
    </w:p>
    <w:p w:rsidR="00D568F5" w:rsidRPr="00C11AAD" w:rsidRDefault="00011FE0"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Table </w:t>
      </w:r>
      <w:r w:rsidR="006921C5" w:rsidRPr="00C11AAD">
        <w:rPr>
          <w:rFonts w:cs="Calibri"/>
          <w:snapToGrid/>
          <w:szCs w:val="24"/>
          <w:lang w:val="en-US" w:eastAsia="en-AU"/>
        </w:rPr>
        <w:t>7</w:t>
      </w:r>
      <w:r w:rsidRPr="00C11AAD">
        <w:rPr>
          <w:rFonts w:cs="Calibri"/>
          <w:snapToGrid/>
          <w:szCs w:val="24"/>
          <w:lang w:val="en-US" w:eastAsia="en-AU"/>
        </w:rPr>
        <w:t xml:space="preserve"> presents a summary of the</w:t>
      </w:r>
      <w:r w:rsidR="00475D89" w:rsidRPr="00C11AAD">
        <w:rPr>
          <w:rFonts w:cs="Calibri"/>
          <w:snapToGrid/>
          <w:szCs w:val="24"/>
          <w:lang w:val="en-US" w:eastAsia="en-AU"/>
        </w:rPr>
        <w:t xml:space="preserve"> primary and supplementary</w:t>
      </w:r>
      <w:r w:rsidRPr="00C11AAD">
        <w:rPr>
          <w:rFonts w:cs="Calibri"/>
          <w:snapToGrid/>
          <w:szCs w:val="24"/>
          <w:lang w:val="en-US" w:eastAsia="en-AU"/>
        </w:rPr>
        <w:t xml:space="preserve"> indirect comparison</w:t>
      </w:r>
      <w:r w:rsidR="00475D89" w:rsidRPr="00C11AAD">
        <w:rPr>
          <w:rFonts w:cs="Calibri"/>
          <w:snapToGrid/>
          <w:szCs w:val="24"/>
          <w:lang w:val="en-US" w:eastAsia="en-AU"/>
        </w:rPr>
        <w:t>s</w:t>
      </w:r>
      <w:r w:rsidRPr="00C11AAD">
        <w:rPr>
          <w:rFonts w:cs="Calibri"/>
          <w:snapToGrid/>
          <w:szCs w:val="24"/>
          <w:lang w:val="en-US" w:eastAsia="en-AU"/>
        </w:rPr>
        <w:t xml:space="preserve"> of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t>
      </w:r>
      <w:proofErr w:type="spellStart"/>
      <w:r w:rsidRPr="00C11AAD">
        <w:rPr>
          <w:rFonts w:cs="Calibri"/>
          <w:snapToGrid/>
          <w:szCs w:val="24"/>
          <w:lang w:val="en-US" w:eastAsia="en-AU"/>
        </w:rPr>
        <w:t>dapagliflozin</w:t>
      </w:r>
      <w:proofErr w:type="spellEnd"/>
      <w:r w:rsidRPr="00C11AAD">
        <w:rPr>
          <w:rFonts w:cs="Calibri"/>
          <w:snapToGrid/>
          <w:szCs w:val="24"/>
          <w:lang w:val="en-US" w:eastAsia="en-AU"/>
        </w:rPr>
        <w:t xml:space="preserve"> and </w:t>
      </w:r>
      <w:proofErr w:type="spellStart"/>
      <w:r w:rsidRPr="00C11AAD">
        <w:rPr>
          <w:rFonts w:cs="Calibri"/>
          <w:snapToGrid/>
          <w:szCs w:val="24"/>
          <w:lang w:val="en-US" w:eastAsia="en-AU"/>
        </w:rPr>
        <w:t>empagliflozin</w:t>
      </w:r>
      <w:proofErr w:type="spellEnd"/>
      <w:r w:rsidRPr="00C11AAD">
        <w:rPr>
          <w:rFonts w:cs="Calibri"/>
          <w:snapToGrid/>
          <w:szCs w:val="24"/>
          <w:lang w:val="en-US" w:eastAsia="en-AU"/>
        </w:rPr>
        <w:t xml:space="preserve"> in change from baseline in HbA1c</w:t>
      </w:r>
      <w:r w:rsidR="00475D89" w:rsidRPr="00C11AAD">
        <w:rPr>
          <w:rFonts w:cs="Calibri"/>
          <w:snapToGrid/>
          <w:szCs w:val="24"/>
          <w:lang w:val="en-US" w:eastAsia="en-AU"/>
        </w:rPr>
        <w:t>, with placebo, DPP4 inhibitors or a sulfonylurea as common reference</w:t>
      </w:r>
      <w:r w:rsidRPr="00C11AAD">
        <w:rPr>
          <w:rFonts w:cs="Calibri"/>
          <w:snapToGrid/>
          <w:szCs w:val="24"/>
          <w:lang w:val="en-US" w:eastAsia="en-AU"/>
        </w:rPr>
        <w:t>.</w:t>
      </w:r>
      <w:r w:rsidR="00D568F5" w:rsidRPr="00C11AAD">
        <w:rPr>
          <w:snapToGrid/>
          <w:lang w:val="en-US" w:eastAsia="en-AU"/>
        </w:rPr>
        <w:t xml:space="preserve"> </w:t>
      </w:r>
    </w:p>
    <w:p w:rsidR="00011FE0" w:rsidRPr="00C11AAD" w:rsidRDefault="00011FE0" w:rsidP="00985C8D">
      <w:pPr>
        <w:pStyle w:val="TableHeading0"/>
        <w:widowControl w:val="0"/>
        <w:spacing w:after="0"/>
        <w:jc w:val="both"/>
      </w:pPr>
      <w:r w:rsidRPr="00C11AAD">
        <w:t xml:space="preserve">Table </w:t>
      </w:r>
      <w:r w:rsidR="006921C5" w:rsidRPr="00C11AAD">
        <w:t>7</w:t>
      </w:r>
      <w:r w:rsidRPr="00C11AAD">
        <w:t xml:space="preserve">: Summary results of the indirect comparison of change in HbA1c from baseline with </w:t>
      </w:r>
      <w:proofErr w:type="spellStart"/>
      <w:r w:rsidRPr="00C11AAD">
        <w:t>ertugliflozin</w:t>
      </w:r>
      <w:proofErr w:type="spellEnd"/>
      <w:r w:rsidRPr="00C11AAD">
        <w:t xml:space="preserve">, </w:t>
      </w:r>
      <w:proofErr w:type="spellStart"/>
      <w:r w:rsidRPr="00C11AAD">
        <w:t>dapagliflozin</w:t>
      </w:r>
      <w:proofErr w:type="spellEnd"/>
      <w:r w:rsidRPr="00C11AAD">
        <w:t xml:space="preserve"> and </w:t>
      </w:r>
      <w:proofErr w:type="spellStart"/>
      <w:r w:rsidRPr="00C11AAD">
        <w:t>empagliflozin</w:t>
      </w:r>
      <w:proofErr w:type="spellEnd"/>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8"/>
        <w:gridCol w:w="2033"/>
        <w:gridCol w:w="2022"/>
        <w:gridCol w:w="2470"/>
      </w:tblGrid>
      <w:tr w:rsidR="00011FE0" w:rsidRPr="00C11AAD" w:rsidTr="00981645">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rPr>
                <w:b/>
              </w:rPr>
            </w:pPr>
            <w:r w:rsidRPr="00C11AAD">
              <w:rPr>
                <w:b/>
              </w:rPr>
              <w:t xml:space="preserve">Change in HbA1c from baseline (mean difference 95% CI, negative results favour </w:t>
            </w:r>
            <w:proofErr w:type="spellStart"/>
            <w:r w:rsidRPr="00C11AAD">
              <w:rPr>
                <w:b/>
              </w:rPr>
              <w:t>ertugliflozin</w:t>
            </w:r>
            <w:proofErr w:type="spellEnd"/>
            <w:r w:rsidRPr="00C11AAD">
              <w:rPr>
                <w:b/>
              </w:rPr>
              <w:t>)</w:t>
            </w:r>
          </w:p>
        </w:tc>
      </w:tr>
      <w:tr w:rsidR="00011FE0" w:rsidRPr="00C11AAD" w:rsidTr="00981645">
        <w:trPr>
          <w:tblHeader/>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rPr>
                <w:b/>
              </w:rPr>
            </w:pPr>
            <w:r w:rsidRPr="00C11AAD">
              <w:rPr>
                <w:b/>
              </w:rPr>
              <w:t>Comparison</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rPr>
                <w:b/>
              </w:rPr>
            </w:pPr>
            <w:r w:rsidRPr="00C11AAD">
              <w:rPr>
                <w:b/>
              </w:rPr>
              <w:t>Placebo reference</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rPr>
                <w:b/>
              </w:rPr>
            </w:pPr>
            <w:r w:rsidRPr="00C11AAD">
              <w:rPr>
                <w:b/>
              </w:rPr>
              <w:t xml:space="preserve">DPP4-I reference </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rPr>
                <w:b/>
              </w:rPr>
            </w:pPr>
            <w:r w:rsidRPr="00C11AAD">
              <w:rPr>
                <w:b/>
              </w:rPr>
              <w:t>Sulfonylurea reference</w:t>
            </w:r>
          </w:p>
        </w:tc>
      </w:tr>
      <w:tr w:rsidR="00011FE0" w:rsidRPr="00C11AAD" w:rsidTr="00981645">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rPr>
                <w:b/>
              </w:rPr>
            </w:pPr>
            <w:r w:rsidRPr="00C11AAD">
              <w:rPr>
                <w:b/>
              </w:rPr>
              <w:t>12/16 week results</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DAPA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3E6C2E" w:rsidRDefault="003E6C2E" w:rsidP="00985C8D">
            <w:pPr>
              <w:pStyle w:val="TableText0"/>
              <w:widowControl w:val="0"/>
              <w:spacing w:before="0" w:after="0"/>
              <w:jc w:val="center"/>
              <w:rPr>
                <w:b/>
                <w:highlight w:val="black"/>
              </w:rPr>
            </w:pPr>
            <w:r>
              <w:rPr>
                <w:b/>
                <w:noProof/>
                <w:color w:val="000000"/>
                <w:highlight w:val="black"/>
              </w:rPr>
              <w:t>'''''''''  '''''''''''' ''''''''''''</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EMPA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3E6C2E" w:rsidRDefault="003E6C2E" w:rsidP="00985C8D">
            <w:pPr>
              <w:pStyle w:val="TableText0"/>
              <w:widowControl w:val="0"/>
              <w:spacing w:before="0" w:after="0"/>
              <w:jc w:val="center"/>
              <w:rPr>
                <w:highlight w:val="black"/>
              </w:rPr>
            </w:pPr>
            <w:r>
              <w:rPr>
                <w:noProof/>
                <w:color w:val="000000"/>
                <w:highlight w:val="black"/>
              </w:rPr>
              <w:t>'''''''''''' '''''''''''''' '''''''''''</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3E6C2E" w:rsidRDefault="003E6C2E" w:rsidP="00985C8D">
            <w:pPr>
              <w:pStyle w:val="TableText0"/>
              <w:widowControl w:val="0"/>
              <w:spacing w:before="0" w:after="0"/>
              <w:jc w:val="center"/>
              <w:rPr>
                <w:highlight w:val="black"/>
              </w:rPr>
            </w:pPr>
            <w:r>
              <w:rPr>
                <w:noProof/>
                <w:color w:val="000000"/>
                <w:highlight w:val="black"/>
              </w:rPr>
              <w:t>'''''''''' ''''''''''''''''' ''''''''''''</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EMPA 25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3E6C2E" w:rsidRDefault="003E6C2E" w:rsidP="00985C8D">
            <w:pPr>
              <w:pStyle w:val="TableText0"/>
              <w:widowControl w:val="0"/>
              <w:spacing w:before="0" w:after="0"/>
              <w:jc w:val="center"/>
              <w:rPr>
                <w:highlight w:val="black"/>
              </w:rPr>
            </w:pPr>
            <w:r>
              <w:rPr>
                <w:noProof/>
                <w:color w:val="000000"/>
                <w:highlight w:val="black"/>
              </w:rPr>
              <w:t>'''''''''''' '''''''''''''''' '''''''''''</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3E6C2E" w:rsidRDefault="003E6C2E" w:rsidP="00985C8D">
            <w:pPr>
              <w:pStyle w:val="TableText0"/>
              <w:widowControl w:val="0"/>
              <w:spacing w:before="0" w:after="0"/>
              <w:jc w:val="center"/>
              <w:rPr>
                <w:highlight w:val="black"/>
              </w:rPr>
            </w:pPr>
            <w:r>
              <w:rPr>
                <w:noProof/>
                <w:color w:val="000000"/>
                <w:highlight w:val="black"/>
              </w:rPr>
              <w:t>''''''''''' '''''''''''''' '''''''''''''</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DAPA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EMPA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EMPA 25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rPr>
                <w:b/>
              </w:rPr>
            </w:pPr>
            <w:r w:rsidRPr="00C11AAD">
              <w:rPr>
                <w:b/>
              </w:rPr>
              <w:t>24/26 week results</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DAPA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-0.21 (-0.47, 0.05)</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rPr>
                <w:b/>
              </w:rPr>
              <w:t>0.35 (0.07, 0.63)</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EMPA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-0.13 (-0.35, 0.09)</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-0.01 (-0.25, 0.23)</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EMPA 25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-0.06 (-0.28, 0.16)</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-0.05 (-0.29, 0.19)</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DAPA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-0.39 (-0.65, -0.13)</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rPr>
                <w:b/>
              </w:rPr>
            </w:pPr>
            <w:r w:rsidRPr="00C11AAD">
              <w:rPr>
                <w:b/>
              </w:rPr>
              <w:t>0.29 (0.01, 0.57)</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EMPA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rPr>
                <w:b/>
              </w:rPr>
            </w:pPr>
            <w:r w:rsidRPr="00C11AAD">
              <w:rPr>
                <w:b/>
              </w:rPr>
              <w:t>-0.31 (-0.54, -0.08)</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-0.07 (-0.31, 0.17)</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EMPA 25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w:t>
            </w:r>
            <w:r w:rsidRPr="00C11AAD">
              <w:rPr>
                <w:b/>
              </w:rPr>
              <w:t>0.24 (-0.47, -0.01)</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-0.11 (-0.35, 0.13)</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rPr>
                <w:b/>
              </w:rPr>
              <w:t>52 week results</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DAPA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EMPA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0.07 (-0.18, 0.32)</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5 mg vs. EMPA 25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0.02 (-0.24, 0.28)</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rPr>
                <w:b/>
              </w:rPr>
              <w:t>0.25 (0.11, 0.39)</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DAPA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EMPA 10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0.10 (-0.15, 0.35)</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r>
      <w:tr w:rsidR="00011FE0" w:rsidRPr="00C11AAD" w:rsidTr="00981645">
        <w:trPr>
          <w:trHeight w:val="70"/>
        </w:trPr>
        <w:tc>
          <w:tcPr>
            <w:tcW w:w="143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pPr>
            <w:r w:rsidRPr="00C11AAD">
              <w:t>ERTU 15 mg vs. EMPA 25 mg</w:t>
            </w:r>
          </w:p>
        </w:tc>
        <w:tc>
          <w:tcPr>
            <w:tcW w:w="1112"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NR</w:t>
            </w:r>
          </w:p>
        </w:tc>
        <w:tc>
          <w:tcPr>
            <w:tcW w:w="1106"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t>0.05 (-0.21, 0.31)</w:t>
            </w:r>
          </w:p>
        </w:tc>
        <w:tc>
          <w:tcPr>
            <w:tcW w:w="1351" w:type="pct"/>
            <w:tcBorders>
              <w:top w:val="single" w:sz="4" w:space="0" w:color="auto"/>
              <w:left w:val="single" w:sz="4" w:space="0" w:color="auto"/>
              <w:bottom w:val="single" w:sz="4" w:space="0" w:color="auto"/>
              <w:right w:val="single" w:sz="4" w:space="0" w:color="auto"/>
            </w:tcBorders>
            <w:vAlign w:val="center"/>
          </w:tcPr>
          <w:p w:rsidR="00011FE0" w:rsidRPr="00C11AAD" w:rsidRDefault="00011FE0" w:rsidP="00985C8D">
            <w:pPr>
              <w:pStyle w:val="TableText0"/>
              <w:widowControl w:val="0"/>
              <w:spacing w:before="0" w:after="0"/>
              <w:jc w:val="center"/>
            </w:pPr>
            <w:r w:rsidRPr="00C11AAD">
              <w:rPr>
                <w:b/>
              </w:rPr>
              <w:t>0.17 (0.03, 0.31)</w:t>
            </w:r>
          </w:p>
        </w:tc>
      </w:tr>
    </w:tbl>
    <w:p w:rsidR="00642B11" w:rsidRPr="00C11AAD" w:rsidRDefault="00642B11" w:rsidP="00011FE0">
      <w:pPr>
        <w:pStyle w:val="TableFooter"/>
      </w:pPr>
      <w:r w:rsidRPr="00C11AAD">
        <w:t>Note: bolded numbers indicate statistically significant differences between treatment groups.</w:t>
      </w:r>
    </w:p>
    <w:p w:rsidR="00011FE0" w:rsidRPr="00C11AAD" w:rsidRDefault="00011FE0" w:rsidP="00011FE0">
      <w:pPr>
        <w:pStyle w:val="TableFooter"/>
      </w:pPr>
      <w:r w:rsidRPr="00C11AAD">
        <w:t xml:space="preserve">Abbreviations: CI, confidence interval; DAPA, </w:t>
      </w:r>
      <w:proofErr w:type="spellStart"/>
      <w:r w:rsidRPr="00C11AAD">
        <w:t>dapagliflozin</w:t>
      </w:r>
      <w:proofErr w:type="spellEnd"/>
      <w:r w:rsidRPr="00C11AAD">
        <w:t xml:space="preserve">; DPP4-I, dipeptidyl peptidase 4 inhibitor; EMPA, </w:t>
      </w:r>
      <w:proofErr w:type="spellStart"/>
      <w:r w:rsidRPr="00C11AAD">
        <w:t>empagliflozin</w:t>
      </w:r>
      <w:proofErr w:type="spellEnd"/>
      <w:r w:rsidRPr="00C11AAD">
        <w:t xml:space="preserve">; ERTU, </w:t>
      </w:r>
      <w:proofErr w:type="spellStart"/>
      <w:r w:rsidRPr="00C11AAD">
        <w:t>ertugliflozin</w:t>
      </w:r>
      <w:proofErr w:type="spellEnd"/>
      <w:r w:rsidRPr="00C11AAD">
        <w:t>; NR, not reported</w:t>
      </w:r>
    </w:p>
    <w:p w:rsidR="00676D2A" w:rsidRPr="00C11AAD" w:rsidRDefault="00011FE0" w:rsidP="0071668D">
      <w:pPr>
        <w:pStyle w:val="TableFooter"/>
      </w:pPr>
      <w:r w:rsidRPr="00C11AAD">
        <w:t>Source: Figure 2-5, p5; Figure 2.6, p7; Table 2-23, pp5-6; Table 2-24, p7 of the submission; Table 3, pp12-14; Table 4, pp16-17; Table 8, p27; Table 9, p29, Attachment 2 of the submission</w:t>
      </w:r>
    </w:p>
    <w:p w:rsidR="0039198F" w:rsidRPr="00C11AAD" w:rsidRDefault="0039198F" w:rsidP="00985C8D">
      <w:pPr>
        <w:pStyle w:val="ListParagraph"/>
        <w:widowControl/>
        <w:numPr>
          <w:ilvl w:val="1"/>
          <w:numId w:val="2"/>
        </w:numPr>
        <w:spacing w:before="120" w:after="120"/>
        <w:rPr>
          <w:rFonts w:cs="Calibri"/>
          <w:snapToGrid/>
          <w:szCs w:val="24"/>
          <w:lang w:val="en-US" w:eastAsia="en-AU"/>
        </w:rPr>
      </w:pPr>
      <w:r w:rsidRPr="00C11AAD">
        <w:rPr>
          <w:rFonts w:cs="Calibri"/>
          <w:snapToGrid/>
          <w:szCs w:val="24"/>
          <w:lang w:val="en-US" w:eastAsia="en-AU"/>
        </w:rPr>
        <w:t xml:space="preserve">The results of change from baseline in HbA1c in the primary indirect analysis (with placebo as common reference) generally </w:t>
      </w:r>
      <w:proofErr w:type="spellStart"/>
      <w:r w:rsidRPr="00C11AAD">
        <w:rPr>
          <w:rFonts w:cs="Calibri"/>
          <w:snapToGrid/>
          <w:szCs w:val="24"/>
          <w:lang w:val="en-US" w:eastAsia="en-AU"/>
        </w:rPr>
        <w:t>favoured</w:t>
      </w:r>
      <w:proofErr w:type="spellEnd"/>
      <w:r w:rsidRPr="00C11AAD">
        <w:rPr>
          <w:rFonts w:cs="Calibri"/>
          <w:snapToGrid/>
          <w:szCs w:val="24"/>
          <w:lang w:val="en-US" w:eastAsia="en-AU"/>
        </w:rPr>
        <w:t xml:space="preserve">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over </w:t>
      </w:r>
      <w:proofErr w:type="spellStart"/>
      <w:r w:rsidRPr="00C11AAD">
        <w:rPr>
          <w:rFonts w:cs="Calibri"/>
          <w:snapToGrid/>
          <w:szCs w:val="24"/>
          <w:lang w:val="en-US" w:eastAsia="en-AU"/>
        </w:rPr>
        <w:t>dapagliflozin</w:t>
      </w:r>
      <w:proofErr w:type="spellEnd"/>
      <w:r w:rsidRPr="00C11AAD">
        <w:rPr>
          <w:rFonts w:cs="Calibri"/>
          <w:snapToGrid/>
          <w:szCs w:val="24"/>
          <w:lang w:val="en-US" w:eastAsia="en-AU"/>
        </w:rPr>
        <w:t xml:space="preserve"> and </w:t>
      </w:r>
      <w:proofErr w:type="spellStart"/>
      <w:r w:rsidRPr="00C11AAD">
        <w:rPr>
          <w:rFonts w:cs="Calibri"/>
          <w:snapToGrid/>
          <w:szCs w:val="24"/>
          <w:lang w:val="en-US" w:eastAsia="en-AU"/>
        </w:rPr>
        <w:t>empagliflozin</w:t>
      </w:r>
      <w:proofErr w:type="spellEnd"/>
      <w:r w:rsidRPr="00C11AAD">
        <w:rPr>
          <w:rFonts w:cs="Calibri"/>
          <w:snapToGrid/>
          <w:szCs w:val="24"/>
          <w:lang w:val="en-US" w:eastAsia="en-AU"/>
        </w:rPr>
        <w:t>. Differences between treatments did not exceed the nominated non-inferiority margin.</w:t>
      </w:r>
    </w:p>
    <w:p w:rsidR="0039198F" w:rsidRPr="00C11AAD" w:rsidRDefault="0039198F"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The results of the supportive indirect analysis using DPP4 inhibitors as common reference generally </w:t>
      </w:r>
      <w:proofErr w:type="spellStart"/>
      <w:r w:rsidRPr="00C11AAD">
        <w:rPr>
          <w:rFonts w:cs="Calibri"/>
          <w:snapToGrid/>
          <w:szCs w:val="24"/>
          <w:lang w:val="en-US" w:eastAsia="en-AU"/>
        </w:rPr>
        <w:t>favoured</w:t>
      </w:r>
      <w:proofErr w:type="spellEnd"/>
      <w:r w:rsidRPr="00C11AAD">
        <w:rPr>
          <w:rFonts w:cs="Calibri"/>
          <w:snapToGrid/>
          <w:szCs w:val="24"/>
          <w:lang w:val="en-US" w:eastAsia="en-AU"/>
        </w:rPr>
        <w:t xml:space="preserve"> </w:t>
      </w:r>
      <w:proofErr w:type="spellStart"/>
      <w:r w:rsidRPr="00C11AAD">
        <w:rPr>
          <w:rFonts w:cs="Calibri"/>
          <w:snapToGrid/>
          <w:szCs w:val="24"/>
          <w:lang w:val="en-US" w:eastAsia="en-AU"/>
        </w:rPr>
        <w:t>dapagliflozin</w:t>
      </w:r>
      <w:proofErr w:type="spellEnd"/>
      <w:r w:rsidRPr="00C11AAD">
        <w:rPr>
          <w:rFonts w:cs="Calibri"/>
          <w:snapToGrid/>
          <w:szCs w:val="24"/>
          <w:lang w:val="en-US" w:eastAsia="en-AU"/>
        </w:rPr>
        <w:t xml:space="preserve"> over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with statistically significant differences between treatments. The results also tended to </w:t>
      </w:r>
      <w:proofErr w:type="spellStart"/>
      <w:r w:rsidRPr="00C11AAD">
        <w:rPr>
          <w:rFonts w:cs="Calibri"/>
          <w:snapToGrid/>
          <w:szCs w:val="24"/>
          <w:lang w:val="en-US" w:eastAsia="en-AU"/>
        </w:rPr>
        <w:t>favour</w:t>
      </w:r>
      <w:proofErr w:type="spellEnd"/>
      <w:r w:rsidRPr="00C11AAD">
        <w:rPr>
          <w:rFonts w:cs="Calibri"/>
          <w:snapToGrid/>
          <w:szCs w:val="24"/>
          <w:lang w:val="en-US" w:eastAsia="en-AU"/>
        </w:rPr>
        <w:t xml:space="preserve"> </w:t>
      </w:r>
      <w:proofErr w:type="spellStart"/>
      <w:r w:rsidRPr="00C11AAD">
        <w:rPr>
          <w:rFonts w:cs="Calibri"/>
          <w:snapToGrid/>
          <w:szCs w:val="24"/>
          <w:lang w:val="en-US" w:eastAsia="en-AU"/>
        </w:rPr>
        <w:t>empagliflozin</w:t>
      </w:r>
      <w:proofErr w:type="spellEnd"/>
      <w:r w:rsidRPr="00C11AAD">
        <w:rPr>
          <w:rFonts w:cs="Calibri"/>
          <w:snapToGrid/>
          <w:szCs w:val="24"/>
          <w:lang w:val="en-US" w:eastAsia="en-AU"/>
        </w:rPr>
        <w:t xml:space="preserve"> over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although these differences were generally small.</w:t>
      </w:r>
    </w:p>
    <w:p w:rsidR="0039198F" w:rsidRPr="00C11AAD" w:rsidRDefault="0039198F"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The results of the </w:t>
      </w:r>
      <w:r w:rsidR="00FE2275" w:rsidRPr="00C11AAD">
        <w:rPr>
          <w:rFonts w:cs="Calibri"/>
          <w:snapToGrid/>
          <w:szCs w:val="24"/>
          <w:lang w:val="en-US" w:eastAsia="en-AU"/>
        </w:rPr>
        <w:t xml:space="preserve">supportive </w:t>
      </w:r>
      <w:r w:rsidRPr="00C11AAD">
        <w:rPr>
          <w:rFonts w:cs="Calibri"/>
          <w:snapToGrid/>
          <w:szCs w:val="24"/>
          <w:lang w:val="en-US" w:eastAsia="en-AU"/>
        </w:rPr>
        <w:t>indirect analys</w:t>
      </w:r>
      <w:r w:rsidR="00FE2275" w:rsidRPr="00C11AAD">
        <w:rPr>
          <w:rFonts w:cs="Calibri"/>
          <w:snapToGrid/>
          <w:szCs w:val="24"/>
          <w:lang w:val="en-US" w:eastAsia="en-AU"/>
        </w:rPr>
        <w:t>i</w:t>
      </w:r>
      <w:r w:rsidRPr="00C11AAD">
        <w:rPr>
          <w:rFonts w:cs="Calibri"/>
          <w:snapToGrid/>
          <w:szCs w:val="24"/>
          <w:lang w:val="en-US" w:eastAsia="en-AU"/>
        </w:rPr>
        <w:t>s</w:t>
      </w:r>
      <w:r w:rsidR="00FE2275" w:rsidRPr="00C11AAD">
        <w:rPr>
          <w:rFonts w:cs="Calibri"/>
          <w:snapToGrid/>
          <w:szCs w:val="24"/>
          <w:lang w:val="en-US" w:eastAsia="en-AU"/>
        </w:rPr>
        <w:t xml:space="preserve"> using sulfonylureas as common reference</w:t>
      </w:r>
      <w:r w:rsidRPr="00C11AAD">
        <w:rPr>
          <w:rFonts w:cs="Calibri"/>
          <w:snapToGrid/>
          <w:szCs w:val="24"/>
          <w:lang w:val="en-US" w:eastAsia="en-AU"/>
        </w:rPr>
        <w:t xml:space="preserve"> generally </w:t>
      </w:r>
      <w:proofErr w:type="spellStart"/>
      <w:r w:rsidRPr="00C11AAD">
        <w:rPr>
          <w:rFonts w:cs="Calibri"/>
          <w:snapToGrid/>
          <w:szCs w:val="24"/>
          <w:lang w:val="en-US" w:eastAsia="en-AU"/>
        </w:rPr>
        <w:t>favoured</w:t>
      </w:r>
      <w:proofErr w:type="spellEnd"/>
      <w:r w:rsidRPr="00C11AAD">
        <w:rPr>
          <w:rFonts w:cs="Calibri"/>
          <w:snapToGrid/>
          <w:szCs w:val="24"/>
          <w:lang w:val="en-US" w:eastAsia="en-AU"/>
        </w:rPr>
        <w:t xml:space="preserve"> </w:t>
      </w:r>
      <w:proofErr w:type="spellStart"/>
      <w:r w:rsidRPr="00C11AAD">
        <w:rPr>
          <w:rFonts w:cs="Calibri"/>
          <w:snapToGrid/>
          <w:szCs w:val="24"/>
          <w:lang w:val="en-US" w:eastAsia="en-AU"/>
        </w:rPr>
        <w:t>empagliflozin</w:t>
      </w:r>
      <w:proofErr w:type="spellEnd"/>
      <w:r w:rsidRPr="00C11AAD">
        <w:rPr>
          <w:rFonts w:cs="Calibri"/>
          <w:snapToGrid/>
          <w:szCs w:val="24"/>
          <w:lang w:val="en-US" w:eastAsia="en-AU"/>
        </w:rPr>
        <w:t xml:space="preserve"> over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with some statistically </w:t>
      </w:r>
      <w:r w:rsidRPr="00C11AAD">
        <w:rPr>
          <w:rFonts w:cs="Calibri"/>
          <w:snapToGrid/>
          <w:szCs w:val="24"/>
          <w:lang w:val="en-US" w:eastAsia="en-AU"/>
        </w:rPr>
        <w:lastRenderedPageBreak/>
        <w:t xml:space="preserve">significant differences between high dose </w:t>
      </w:r>
      <w:proofErr w:type="spellStart"/>
      <w:r w:rsidRPr="00C11AAD">
        <w:rPr>
          <w:rFonts w:cs="Calibri"/>
          <w:snapToGrid/>
          <w:szCs w:val="24"/>
          <w:lang w:val="en-US" w:eastAsia="en-AU"/>
        </w:rPr>
        <w:t>empagliflo</w:t>
      </w:r>
      <w:r w:rsidR="00BA57B7">
        <w:rPr>
          <w:rFonts w:cs="Calibri"/>
          <w:snapToGrid/>
          <w:szCs w:val="24"/>
          <w:lang w:val="en-US" w:eastAsia="en-AU"/>
        </w:rPr>
        <w:t>zin</w:t>
      </w:r>
      <w:proofErr w:type="spellEnd"/>
      <w:r w:rsidR="00BA57B7">
        <w:rPr>
          <w:rFonts w:cs="Calibri"/>
          <w:snapToGrid/>
          <w:szCs w:val="24"/>
          <w:lang w:val="en-US" w:eastAsia="en-AU"/>
        </w:rPr>
        <w:t xml:space="preserve"> (25 mg) and </w:t>
      </w:r>
      <w:proofErr w:type="spellStart"/>
      <w:r w:rsidR="00BA57B7">
        <w:rPr>
          <w:rFonts w:cs="Calibri"/>
          <w:snapToGrid/>
          <w:szCs w:val="24"/>
          <w:lang w:val="en-US" w:eastAsia="en-AU"/>
        </w:rPr>
        <w:t>ertugliflozin</w:t>
      </w:r>
      <w:proofErr w:type="spellEnd"/>
      <w:r w:rsidR="00BA57B7">
        <w:rPr>
          <w:rFonts w:cs="Calibri"/>
          <w:snapToGrid/>
          <w:szCs w:val="24"/>
          <w:lang w:val="en-US" w:eastAsia="en-AU"/>
        </w:rPr>
        <w:t xml:space="preserve"> 5 </w:t>
      </w:r>
      <w:r w:rsidRPr="00C11AAD">
        <w:rPr>
          <w:rFonts w:cs="Calibri"/>
          <w:snapToGrid/>
          <w:szCs w:val="24"/>
          <w:lang w:val="en-US" w:eastAsia="en-AU"/>
        </w:rPr>
        <w:t>mg</w:t>
      </w:r>
      <w:r w:rsidR="004C3B05" w:rsidRPr="00C11AAD">
        <w:rPr>
          <w:rFonts w:cs="Calibri"/>
          <w:snapToGrid/>
          <w:szCs w:val="24"/>
          <w:lang w:val="en-US" w:eastAsia="en-AU"/>
        </w:rPr>
        <w:t xml:space="preserve"> and 15 mg</w:t>
      </w:r>
      <w:r w:rsidRPr="00C11AAD">
        <w:rPr>
          <w:rFonts w:cs="Calibri"/>
          <w:snapToGrid/>
          <w:szCs w:val="24"/>
          <w:lang w:val="en-US" w:eastAsia="en-AU"/>
        </w:rPr>
        <w:t>.</w:t>
      </w:r>
    </w:p>
    <w:p w:rsidR="0039198F" w:rsidRPr="00C11AAD" w:rsidRDefault="0039198F"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The r</w:t>
      </w:r>
      <w:r w:rsidR="00FE2275" w:rsidRPr="00C11AAD">
        <w:rPr>
          <w:rFonts w:cs="Calibri"/>
          <w:snapToGrid/>
          <w:szCs w:val="24"/>
          <w:lang w:val="en-US" w:eastAsia="en-AU"/>
        </w:rPr>
        <w:t>eliability</w:t>
      </w:r>
      <w:r w:rsidRPr="00C11AAD">
        <w:rPr>
          <w:rFonts w:cs="Calibri"/>
          <w:snapToGrid/>
          <w:szCs w:val="24"/>
          <w:lang w:val="en-US" w:eastAsia="en-AU"/>
        </w:rPr>
        <w:t xml:space="preserve"> of</w:t>
      </w:r>
      <w:r w:rsidR="00FE2275" w:rsidRPr="00C11AAD">
        <w:rPr>
          <w:rFonts w:cs="Calibri"/>
          <w:snapToGrid/>
          <w:szCs w:val="24"/>
          <w:lang w:val="en-US" w:eastAsia="en-AU"/>
        </w:rPr>
        <w:t xml:space="preserve"> results from</w:t>
      </w:r>
      <w:r w:rsidRPr="00C11AAD">
        <w:rPr>
          <w:rFonts w:cs="Calibri"/>
          <w:snapToGrid/>
          <w:szCs w:val="24"/>
          <w:lang w:val="en-US" w:eastAsia="en-AU"/>
        </w:rPr>
        <w:t xml:space="preserve"> the </w:t>
      </w:r>
      <w:r w:rsidR="00FE2275" w:rsidRPr="00C11AAD">
        <w:rPr>
          <w:rFonts w:cs="Calibri"/>
          <w:snapToGrid/>
          <w:szCs w:val="24"/>
          <w:lang w:val="en-US" w:eastAsia="en-AU"/>
        </w:rPr>
        <w:t xml:space="preserve">primary </w:t>
      </w:r>
      <w:r w:rsidRPr="00C11AAD">
        <w:rPr>
          <w:rFonts w:cs="Calibri"/>
          <w:snapToGrid/>
          <w:szCs w:val="24"/>
          <w:lang w:val="en-US" w:eastAsia="en-AU"/>
        </w:rPr>
        <w:t>indirect analys</w:t>
      </w:r>
      <w:r w:rsidR="00FE2275" w:rsidRPr="00C11AAD">
        <w:rPr>
          <w:rFonts w:cs="Calibri"/>
          <w:snapToGrid/>
          <w:szCs w:val="24"/>
          <w:lang w:val="en-US" w:eastAsia="en-AU"/>
        </w:rPr>
        <w:t>i</w:t>
      </w:r>
      <w:r w:rsidRPr="00C11AAD">
        <w:rPr>
          <w:rFonts w:cs="Calibri"/>
          <w:snapToGrid/>
          <w:szCs w:val="24"/>
          <w:lang w:val="en-US" w:eastAsia="en-AU"/>
        </w:rPr>
        <w:t>s</w:t>
      </w:r>
      <w:r w:rsidR="00FE2275" w:rsidRPr="00C11AAD">
        <w:rPr>
          <w:rFonts w:cs="Calibri"/>
          <w:snapToGrid/>
          <w:szCs w:val="24"/>
          <w:lang w:val="en-US" w:eastAsia="en-AU"/>
        </w:rPr>
        <w:t xml:space="preserve"> is uncertain</w:t>
      </w:r>
      <w:r w:rsidRPr="00C11AAD">
        <w:rPr>
          <w:rFonts w:cs="Calibri"/>
          <w:snapToGrid/>
          <w:szCs w:val="24"/>
          <w:lang w:val="en-US" w:eastAsia="en-AU"/>
        </w:rPr>
        <w:t>, given the limitations of the available evidence (uncertain comparability of trials, inappropriate handling of multi-arm trials, potentially relevant data from additional time points excluded from some analyses, pooling treatment effect estimates from different drugs).</w:t>
      </w:r>
    </w:p>
    <w:p w:rsidR="00676D2A" w:rsidRPr="00C11AAD" w:rsidRDefault="00676D2A"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The results of the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with metformin </w:t>
      </w:r>
      <w:r w:rsidR="00981645" w:rsidRPr="00C11AAD">
        <w:rPr>
          <w:rFonts w:cs="Calibri"/>
          <w:snapToGrid/>
          <w:szCs w:val="24"/>
          <w:lang w:val="en-US" w:eastAsia="en-AU"/>
        </w:rPr>
        <w:t xml:space="preserve">FDC </w:t>
      </w:r>
      <w:r w:rsidRPr="00C11AAD">
        <w:rPr>
          <w:rFonts w:cs="Calibri"/>
          <w:snapToGrid/>
          <w:szCs w:val="24"/>
          <w:lang w:val="en-US" w:eastAsia="en-AU"/>
        </w:rPr>
        <w:t xml:space="preserve">bioequivalence studies are presented in Table </w:t>
      </w:r>
      <w:r w:rsidR="0071668D" w:rsidRPr="00C11AAD">
        <w:rPr>
          <w:rFonts w:cs="Calibri"/>
          <w:snapToGrid/>
          <w:szCs w:val="24"/>
          <w:lang w:val="en-US" w:eastAsia="en-AU"/>
        </w:rPr>
        <w:t>8</w:t>
      </w:r>
      <w:r w:rsidRPr="00C11AAD">
        <w:rPr>
          <w:rFonts w:cs="Calibri"/>
          <w:snapToGrid/>
          <w:szCs w:val="24"/>
          <w:lang w:val="en-US" w:eastAsia="en-AU"/>
        </w:rPr>
        <w:t>.</w:t>
      </w:r>
    </w:p>
    <w:p w:rsidR="00676D2A" w:rsidRPr="00C11AAD" w:rsidRDefault="00676D2A" w:rsidP="0071668D">
      <w:pPr>
        <w:keepNext/>
        <w:rPr>
          <w:rStyle w:val="CommentReference"/>
        </w:rPr>
      </w:pPr>
      <w:r w:rsidRPr="00C11AAD">
        <w:rPr>
          <w:rStyle w:val="CommentReference"/>
        </w:rPr>
        <w:t xml:space="preserve">Table </w:t>
      </w:r>
      <w:r w:rsidR="0071668D" w:rsidRPr="00C11AAD">
        <w:rPr>
          <w:rStyle w:val="CommentReference"/>
        </w:rPr>
        <w:t>8</w:t>
      </w:r>
      <w:r w:rsidRPr="00C11AAD">
        <w:rPr>
          <w:rStyle w:val="CommentReference"/>
        </w:rPr>
        <w:t xml:space="preserve">: Bioequivalence of </w:t>
      </w:r>
      <w:proofErr w:type="spellStart"/>
      <w:r w:rsidRPr="00C11AAD">
        <w:rPr>
          <w:rStyle w:val="CommentReference"/>
        </w:rPr>
        <w:t>ertugliflozin</w:t>
      </w:r>
      <w:proofErr w:type="spellEnd"/>
      <w:r w:rsidRPr="00C11AAD">
        <w:rPr>
          <w:rStyle w:val="CommentReference"/>
        </w:rPr>
        <w:t xml:space="preserve"> with metformin FDC to individual components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276"/>
        <w:gridCol w:w="2272"/>
        <w:gridCol w:w="2276"/>
      </w:tblGrid>
      <w:tr w:rsidR="00676D2A" w:rsidRPr="00C11AAD" w:rsidTr="00981645">
        <w:trPr>
          <w:trHeight w:val="64"/>
        </w:trPr>
        <w:tc>
          <w:tcPr>
            <w:tcW w:w="2198" w:type="dxa"/>
            <w:vMerge w:val="restart"/>
            <w:vAlign w:val="center"/>
          </w:tcPr>
          <w:p w:rsidR="00676D2A" w:rsidRPr="00C11AAD" w:rsidRDefault="00676D2A" w:rsidP="00981645">
            <w:pPr>
              <w:pStyle w:val="COMtbl-HEADLeftAligned"/>
              <w:keepNext/>
            </w:pPr>
            <w:r w:rsidRPr="00C11AAD">
              <w:t>Trial</w:t>
            </w:r>
          </w:p>
        </w:tc>
        <w:tc>
          <w:tcPr>
            <w:tcW w:w="6824" w:type="dxa"/>
            <w:gridSpan w:val="3"/>
            <w:vAlign w:val="center"/>
          </w:tcPr>
          <w:p w:rsidR="00676D2A" w:rsidRPr="00C11AAD" w:rsidRDefault="00676D2A" w:rsidP="00981645">
            <w:pPr>
              <w:pStyle w:val="COMtbl-HEADCentred"/>
              <w:keepNext/>
            </w:pPr>
            <w:r w:rsidRPr="00C11AAD">
              <w:t>Adjusted Geometric Mean Ratio (90% CI)</w:t>
            </w:r>
          </w:p>
        </w:tc>
      </w:tr>
      <w:tr w:rsidR="00676D2A" w:rsidRPr="00C11AAD" w:rsidTr="00981645">
        <w:trPr>
          <w:trHeight w:val="67"/>
        </w:trPr>
        <w:tc>
          <w:tcPr>
            <w:tcW w:w="2198" w:type="dxa"/>
            <w:vMerge/>
            <w:vAlign w:val="center"/>
          </w:tcPr>
          <w:p w:rsidR="00676D2A" w:rsidRPr="00C11AAD" w:rsidRDefault="00676D2A" w:rsidP="00981645">
            <w:pPr>
              <w:keepNext/>
              <w:jc w:val="left"/>
              <w:rPr>
                <w:sz w:val="20"/>
              </w:rPr>
            </w:pPr>
          </w:p>
        </w:tc>
        <w:tc>
          <w:tcPr>
            <w:tcW w:w="2276" w:type="dxa"/>
            <w:vAlign w:val="center"/>
          </w:tcPr>
          <w:p w:rsidR="00676D2A" w:rsidRPr="00C11AAD" w:rsidRDefault="00676D2A" w:rsidP="00981645">
            <w:pPr>
              <w:pStyle w:val="COMtbl-HEADCentred"/>
              <w:keepNext/>
            </w:pPr>
            <w:r w:rsidRPr="00C11AAD">
              <w:t>AUC</w:t>
            </w:r>
            <w:r w:rsidRPr="00C11AAD">
              <w:rPr>
                <w:vertAlign w:val="subscript"/>
              </w:rPr>
              <w:t>INF</w:t>
            </w:r>
            <w:r w:rsidRPr="00C11AAD">
              <w:t xml:space="preserve"> (</w:t>
            </w:r>
            <w:proofErr w:type="spellStart"/>
            <w:r w:rsidRPr="00C11AAD">
              <w:t>ng.h</w:t>
            </w:r>
            <w:proofErr w:type="spellEnd"/>
            <w:r w:rsidRPr="00C11AAD">
              <w:t>/mL)</w:t>
            </w:r>
          </w:p>
        </w:tc>
        <w:tc>
          <w:tcPr>
            <w:tcW w:w="2272" w:type="dxa"/>
            <w:vAlign w:val="center"/>
          </w:tcPr>
          <w:p w:rsidR="00676D2A" w:rsidRPr="00C11AAD" w:rsidRDefault="00676D2A" w:rsidP="00981645">
            <w:pPr>
              <w:pStyle w:val="COMtbl-HEADCentred"/>
              <w:keepNext/>
              <w:rPr>
                <w:highlight w:val="yellow"/>
              </w:rPr>
            </w:pPr>
            <w:proofErr w:type="spellStart"/>
            <w:r w:rsidRPr="00C11AAD">
              <w:t>C</w:t>
            </w:r>
            <w:r w:rsidRPr="00C11AAD">
              <w:rPr>
                <w:vertAlign w:val="subscript"/>
              </w:rPr>
              <w:t>max</w:t>
            </w:r>
            <w:proofErr w:type="spellEnd"/>
            <w:r w:rsidRPr="00C11AAD">
              <w:t xml:space="preserve"> (ng/mL)</w:t>
            </w:r>
          </w:p>
        </w:tc>
        <w:tc>
          <w:tcPr>
            <w:tcW w:w="2276" w:type="dxa"/>
            <w:vAlign w:val="center"/>
          </w:tcPr>
          <w:p w:rsidR="00676D2A" w:rsidRPr="00C11AAD" w:rsidRDefault="00676D2A" w:rsidP="00981645">
            <w:pPr>
              <w:pStyle w:val="COMtbl-HEADCentred"/>
              <w:keepNext/>
            </w:pPr>
            <w:proofErr w:type="spellStart"/>
            <w:r w:rsidRPr="00C11AAD">
              <w:t>AUC</w:t>
            </w:r>
            <w:r w:rsidRPr="00C11AAD">
              <w:rPr>
                <w:vertAlign w:val="subscript"/>
              </w:rPr>
              <w:t>last</w:t>
            </w:r>
            <w:proofErr w:type="spellEnd"/>
            <w:r w:rsidRPr="00C11AAD">
              <w:t xml:space="preserve"> (</w:t>
            </w:r>
            <w:proofErr w:type="spellStart"/>
            <w:r w:rsidRPr="00C11AAD">
              <w:t>ng.h</w:t>
            </w:r>
            <w:proofErr w:type="spellEnd"/>
            <w:r w:rsidRPr="00C11AAD">
              <w:t>/mL)</w:t>
            </w:r>
          </w:p>
        </w:tc>
      </w:tr>
      <w:tr w:rsidR="00676D2A" w:rsidRPr="00C11AAD" w:rsidTr="00981645">
        <w:tc>
          <w:tcPr>
            <w:tcW w:w="9022" w:type="dxa"/>
            <w:gridSpan w:val="4"/>
            <w:vAlign w:val="center"/>
          </w:tcPr>
          <w:p w:rsidR="00676D2A" w:rsidRPr="00C11AAD" w:rsidRDefault="00676D2A" w:rsidP="00981645">
            <w:pPr>
              <w:pStyle w:val="COMtbl-HEADLeftAligned"/>
              <w:keepNext/>
            </w:pPr>
            <w:r w:rsidRPr="00C11AAD">
              <w:t>Study P027 (n=16)</w:t>
            </w:r>
          </w:p>
        </w:tc>
      </w:tr>
      <w:tr w:rsidR="00676D2A" w:rsidRPr="00C11AAD" w:rsidTr="00981645">
        <w:tc>
          <w:tcPr>
            <w:tcW w:w="2198" w:type="dxa"/>
            <w:vAlign w:val="center"/>
          </w:tcPr>
          <w:p w:rsidR="00676D2A" w:rsidRPr="00C11AAD" w:rsidRDefault="00676D2A" w:rsidP="00981645">
            <w:pPr>
              <w:pStyle w:val="COMtbl-textLeftAligned"/>
            </w:pPr>
            <w:r w:rsidRPr="00C11AAD">
              <w:t>ERTU 7.5 mg</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c>
          <w:tcPr>
            <w:tcW w:w="2272" w:type="dxa"/>
            <w:vAlign w:val="center"/>
          </w:tcPr>
          <w:p w:rsidR="00676D2A" w:rsidRPr="003E6C2E" w:rsidRDefault="003E6C2E" w:rsidP="00981645">
            <w:pPr>
              <w:pStyle w:val="COMtbl-textCentred"/>
              <w:rPr>
                <w:highlight w:val="black"/>
              </w:rPr>
            </w:pPr>
            <w:r>
              <w:rPr>
                <w:noProof/>
                <w:color w:val="000000"/>
                <w:highlight w:val="black"/>
              </w:rPr>
              <w:t>''''''''''''''' ''''''''''''''' '''''''''''''''''</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r>
      <w:tr w:rsidR="00676D2A" w:rsidRPr="00C11AAD" w:rsidTr="00981645">
        <w:tc>
          <w:tcPr>
            <w:tcW w:w="2198" w:type="dxa"/>
            <w:shd w:val="clear" w:color="auto" w:fill="auto"/>
            <w:vAlign w:val="center"/>
          </w:tcPr>
          <w:p w:rsidR="00676D2A" w:rsidRPr="00C11AAD" w:rsidRDefault="00676D2A" w:rsidP="00981645">
            <w:pPr>
              <w:pStyle w:val="COMtbl-textLeftAligned"/>
            </w:pPr>
            <w:r w:rsidRPr="00C11AAD">
              <w:t xml:space="preserve">MET 1000 </w:t>
            </w:r>
            <w:r w:rsidR="00BD0610" w:rsidRPr="00C11AAD">
              <w:t>m</w:t>
            </w:r>
            <w:r w:rsidRPr="00C11AAD">
              <w:t>g</w:t>
            </w:r>
          </w:p>
        </w:tc>
        <w:tc>
          <w:tcPr>
            <w:tcW w:w="2276" w:type="dxa"/>
            <w:shd w:val="clear" w:color="auto" w:fill="auto"/>
            <w:vAlign w:val="center"/>
          </w:tcPr>
          <w:p w:rsidR="00676D2A" w:rsidRPr="003E6C2E" w:rsidRDefault="003E6C2E" w:rsidP="00981645">
            <w:pPr>
              <w:pStyle w:val="COMtbl-textCentred"/>
              <w:rPr>
                <w:highlight w:val="black"/>
              </w:rPr>
            </w:pPr>
            <w:r>
              <w:rPr>
                <w:noProof/>
                <w:color w:val="000000"/>
                <w:highlight w:val="black"/>
              </w:rPr>
              <w:t>'''''''''''''' '''''''''''''''' ''''''''''''''''''</w:t>
            </w:r>
          </w:p>
        </w:tc>
        <w:tc>
          <w:tcPr>
            <w:tcW w:w="2272" w:type="dxa"/>
            <w:shd w:val="clear" w:color="auto" w:fill="auto"/>
            <w:vAlign w:val="center"/>
          </w:tcPr>
          <w:p w:rsidR="00676D2A" w:rsidRPr="003E6C2E" w:rsidRDefault="003E6C2E" w:rsidP="00981645">
            <w:pPr>
              <w:pStyle w:val="COMtbl-textCentred"/>
              <w:rPr>
                <w:highlight w:val="black"/>
              </w:rPr>
            </w:pPr>
            <w:r>
              <w:rPr>
                <w:noProof/>
                <w:color w:val="000000"/>
                <w:highlight w:val="black"/>
              </w:rPr>
              <w:t>'''''''''''''' '''''''''''''''''' ''''''''''''''''''''</w:t>
            </w:r>
          </w:p>
        </w:tc>
        <w:tc>
          <w:tcPr>
            <w:tcW w:w="2276" w:type="dxa"/>
            <w:shd w:val="clear" w:color="auto" w:fill="auto"/>
            <w:vAlign w:val="center"/>
          </w:tcPr>
          <w:p w:rsidR="00676D2A" w:rsidRPr="003E6C2E" w:rsidRDefault="003E6C2E" w:rsidP="00981645">
            <w:pPr>
              <w:pStyle w:val="COMtbl-textCentred"/>
              <w:rPr>
                <w:highlight w:val="black"/>
              </w:rPr>
            </w:pPr>
            <w:r>
              <w:rPr>
                <w:noProof/>
                <w:color w:val="000000"/>
                <w:highlight w:val="black"/>
              </w:rPr>
              <w:t>''''''''''''' ''''''''''''''' '''''''''''''''''''</w:t>
            </w:r>
          </w:p>
        </w:tc>
      </w:tr>
      <w:tr w:rsidR="00676D2A" w:rsidRPr="00C11AAD" w:rsidTr="00981645">
        <w:tc>
          <w:tcPr>
            <w:tcW w:w="9022" w:type="dxa"/>
            <w:gridSpan w:val="4"/>
            <w:vAlign w:val="center"/>
          </w:tcPr>
          <w:p w:rsidR="00676D2A" w:rsidRPr="00C11AAD" w:rsidRDefault="00676D2A" w:rsidP="00981645">
            <w:pPr>
              <w:pStyle w:val="COMtbl-HEADLeftAligned"/>
              <w:keepNext/>
            </w:pPr>
            <w:r w:rsidRPr="00C11AAD">
              <w:t>Study P047 (n=16)</w:t>
            </w:r>
          </w:p>
        </w:tc>
      </w:tr>
      <w:tr w:rsidR="00676D2A" w:rsidRPr="00C11AAD" w:rsidTr="00981645">
        <w:tc>
          <w:tcPr>
            <w:tcW w:w="2198" w:type="dxa"/>
            <w:vAlign w:val="center"/>
          </w:tcPr>
          <w:p w:rsidR="00676D2A" w:rsidRPr="00C11AAD" w:rsidRDefault="00676D2A" w:rsidP="00981645">
            <w:pPr>
              <w:pStyle w:val="COMtbl-textLeftAligned"/>
            </w:pPr>
            <w:r w:rsidRPr="00C11AAD">
              <w:t>ERTU 7.5 mg</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c>
          <w:tcPr>
            <w:tcW w:w="2272" w:type="dxa"/>
            <w:vAlign w:val="center"/>
          </w:tcPr>
          <w:p w:rsidR="00676D2A" w:rsidRPr="003E6C2E" w:rsidRDefault="003E6C2E" w:rsidP="00981645">
            <w:pPr>
              <w:pStyle w:val="COMtbl-textCentred"/>
              <w:rPr>
                <w:highlight w:val="black"/>
              </w:rPr>
            </w:pPr>
            <w:r>
              <w:rPr>
                <w:noProof/>
                <w:color w:val="000000"/>
                <w:highlight w:val="black"/>
              </w:rPr>
              <w:t>''''''''''''''' '''''''''''''''' ''''''''''''''''''''</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r>
      <w:tr w:rsidR="00676D2A" w:rsidRPr="00C11AAD" w:rsidTr="00981645">
        <w:trPr>
          <w:trHeight w:val="64"/>
        </w:trPr>
        <w:tc>
          <w:tcPr>
            <w:tcW w:w="2198" w:type="dxa"/>
            <w:vAlign w:val="center"/>
          </w:tcPr>
          <w:p w:rsidR="00676D2A" w:rsidRPr="00C11AAD" w:rsidRDefault="00676D2A" w:rsidP="00981645">
            <w:pPr>
              <w:pStyle w:val="COMtbl-textLeftAligned"/>
            </w:pPr>
            <w:r w:rsidRPr="00C11AAD">
              <w:t xml:space="preserve">MET 1000 </w:t>
            </w:r>
            <w:r w:rsidR="00BD0610" w:rsidRPr="00C11AAD">
              <w:t>m</w:t>
            </w:r>
            <w:r w:rsidRPr="00C11AAD">
              <w:t>g</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c>
          <w:tcPr>
            <w:tcW w:w="2272" w:type="dxa"/>
            <w:vAlign w:val="center"/>
          </w:tcPr>
          <w:p w:rsidR="00676D2A" w:rsidRPr="003E6C2E" w:rsidRDefault="003E6C2E" w:rsidP="00981645">
            <w:pPr>
              <w:pStyle w:val="COMtbl-textCentred"/>
              <w:rPr>
                <w:highlight w:val="black"/>
              </w:rPr>
            </w:pPr>
            <w:r>
              <w:rPr>
                <w:noProof/>
                <w:color w:val="000000"/>
                <w:highlight w:val="black"/>
              </w:rPr>
              <w:t>'''''''''''''''' '''''''''''''''''' ''''''''''''''''''</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r>
      <w:tr w:rsidR="00676D2A" w:rsidRPr="00C11AAD" w:rsidTr="00981645">
        <w:trPr>
          <w:trHeight w:val="64"/>
        </w:trPr>
        <w:tc>
          <w:tcPr>
            <w:tcW w:w="9022" w:type="dxa"/>
            <w:gridSpan w:val="4"/>
            <w:vAlign w:val="center"/>
          </w:tcPr>
          <w:p w:rsidR="00676D2A" w:rsidRPr="00C11AAD" w:rsidRDefault="00676D2A" w:rsidP="00981645">
            <w:pPr>
              <w:pStyle w:val="COMtbl-textCentred"/>
              <w:jc w:val="left"/>
              <w:rPr>
                <w:b/>
              </w:rPr>
            </w:pPr>
            <w:r w:rsidRPr="00C11AAD">
              <w:rPr>
                <w:b/>
              </w:rPr>
              <w:t>Study P050 (n=16)</w:t>
            </w:r>
          </w:p>
        </w:tc>
      </w:tr>
      <w:tr w:rsidR="00676D2A" w:rsidRPr="00C11AAD" w:rsidTr="00981645">
        <w:tc>
          <w:tcPr>
            <w:tcW w:w="2198" w:type="dxa"/>
            <w:vAlign w:val="center"/>
          </w:tcPr>
          <w:p w:rsidR="00676D2A" w:rsidRPr="00C11AAD" w:rsidRDefault="00676D2A" w:rsidP="00981645">
            <w:pPr>
              <w:pStyle w:val="COMtbl-textLeftAligned"/>
            </w:pPr>
            <w:r w:rsidRPr="00C11AAD">
              <w:t>ERTU 2.5 mg</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c>
          <w:tcPr>
            <w:tcW w:w="2272" w:type="dxa"/>
            <w:vAlign w:val="center"/>
          </w:tcPr>
          <w:p w:rsidR="00676D2A" w:rsidRPr="003E6C2E" w:rsidRDefault="003E6C2E" w:rsidP="00981645">
            <w:pPr>
              <w:pStyle w:val="COMtbl-textCentred"/>
              <w:rPr>
                <w:highlight w:val="black"/>
              </w:rPr>
            </w:pPr>
            <w:r>
              <w:rPr>
                <w:noProof/>
                <w:color w:val="000000"/>
                <w:highlight w:val="black"/>
              </w:rPr>
              <w:t>''''''''''''''''' '''''''''''''''' ''''''''''''''''</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r>
      <w:tr w:rsidR="00676D2A" w:rsidRPr="00C11AAD" w:rsidTr="00981645">
        <w:tc>
          <w:tcPr>
            <w:tcW w:w="2198" w:type="dxa"/>
            <w:vAlign w:val="center"/>
          </w:tcPr>
          <w:p w:rsidR="00676D2A" w:rsidRPr="00C11AAD" w:rsidRDefault="00676D2A" w:rsidP="00981645">
            <w:pPr>
              <w:pStyle w:val="COMtbl-textLeftAligned"/>
            </w:pPr>
            <w:r w:rsidRPr="00C11AAD">
              <w:t xml:space="preserve">MET 500 </w:t>
            </w:r>
            <w:r w:rsidR="00BD0610" w:rsidRPr="00C11AAD">
              <w:t>m</w:t>
            </w:r>
            <w:r w:rsidRPr="00C11AAD">
              <w:t>g</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c>
          <w:tcPr>
            <w:tcW w:w="2272" w:type="dxa"/>
            <w:vAlign w:val="center"/>
          </w:tcPr>
          <w:p w:rsidR="00676D2A" w:rsidRPr="003E6C2E" w:rsidRDefault="003E6C2E" w:rsidP="00981645">
            <w:pPr>
              <w:pStyle w:val="COMtbl-textCentred"/>
              <w:rPr>
                <w:highlight w:val="black"/>
              </w:rPr>
            </w:pPr>
            <w:r>
              <w:rPr>
                <w:noProof/>
                <w:color w:val="000000"/>
                <w:highlight w:val="black"/>
              </w:rPr>
              <w:t>''''''''''''''' '''''''''''''''' '''''''''''''''''</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r>
      <w:tr w:rsidR="00676D2A" w:rsidRPr="00C11AAD" w:rsidTr="00981645">
        <w:tc>
          <w:tcPr>
            <w:tcW w:w="9022" w:type="dxa"/>
            <w:gridSpan w:val="4"/>
            <w:vAlign w:val="center"/>
          </w:tcPr>
          <w:p w:rsidR="00676D2A" w:rsidRPr="00C11AAD" w:rsidRDefault="00676D2A" w:rsidP="00981645">
            <w:pPr>
              <w:pStyle w:val="COMtbl-textCentred"/>
              <w:jc w:val="left"/>
            </w:pPr>
            <w:r w:rsidRPr="00C11AAD">
              <w:rPr>
                <w:b/>
              </w:rPr>
              <w:t>Study P052 (n=16)</w:t>
            </w:r>
          </w:p>
        </w:tc>
      </w:tr>
      <w:tr w:rsidR="00676D2A" w:rsidRPr="00C11AAD" w:rsidTr="00981645">
        <w:tc>
          <w:tcPr>
            <w:tcW w:w="2198" w:type="dxa"/>
            <w:vAlign w:val="center"/>
          </w:tcPr>
          <w:p w:rsidR="00676D2A" w:rsidRPr="00C11AAD" w:rsidRDefault="00676D2A" w:rsidP="00981645">
            <w:pPr>
              <w:pStyle w:val="COMtbl-textLeftAligned"/>
            </w:pPr>
            <w:r w:rsidRPr="00C11AAD">
              <w:t>MET 500 mg fed, n=7</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c>
          <w:tcPr>
            <w:tcW w:w="2272" w:type="dxa"/>
            <w:vAlign w:val="center"/>
          </w:tcPr>
          <w:p w:rsidR="00676D2A" w:rsidRPr="003E6C2E" w:rsidRDefault="003E6C2E" w:rsidP="00981645">
            <w:pPr>
              <w:pStyle w:val="COMtbl-textCentred"/>
              <w:rPr>
                <w:highlight w:val="black"/>
              </w:rPr>
            </w:pPr>
            <w:r>
              <w:rPr>
                <w:noProof/>
                <w:color w:val="000000"/>
                <w:highlight w:val="black"/>
              </w:rPr>
              <w:t>'''''''''''''''' ''''''''''''''''' '''''''''''''''''''</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r>
      <w:tr w:rsidR="00676D2A" w:rsidRPr="00C11AAD" w:rsidTr="00981645">
        <w:tc>
          <w:tcPr>
            <w:tcW w:w="2198" w:type="dxa"/>
            <w:vAlign w:val="center"/>
          </w:tcPr>
          <w:p w:rsidR="00676D2A" w:rsidRPr="00C11AAD" w:rsidRDefault="00676D2A" w:rsidP="00981645">
            <w:pPr>
              <w:pStyle w:val="COMtbl-textLeftAligned"/>
            </w:pPr>
            <w:r w:rsidRPr="00C11AAD">
              <w:t>MET 500 mg fasted, n=9</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c>
          <w:tcPr>
            <w:tcW w:w="2272" w:type="dxa"/>
            <w:vAlign w:val="center"/>
          </w:tcPr>
          <w:p w:rsidR="00676D2A" w:rsidRPr="003E6C2E" w:rsidRDefault="003E6C2E" w:rsidP="00981645">
            <w:pPr>
              <w:pStyle w:val="COMtbl-textCentred"/>
              <w:rPr>
                <w:highlight w:val="black"/>
              </w:rPr>
            </w:pPr>
            <w:r>
              <w:rPr>
                <w:noProof/>
                <w:color w:val="000000"/>
                <w:highlight w:val="black"/>
              </w:rPr>
              <w:t>''''''''''''''' '''''''''''''''' '''''''''''''''''</w:t>
            </w:r>
          </w:p>
        </w:tc>
        <w:tc>
          <w:tcPr>
            <w:tcW w:w="2276" w:type="dxa"/>
            <w:vAlign w:val="center"/>
          </w:tcPr>
          <w:p w:rsidR="00676D2A" w:rsidRPr="003E6C2E" w:rsidRDefault="003E6C2E" w:rsidP="00981645">
            <w:pPr>
              <w:pStyle w:val="COMtbl-textCentred"/>
              <w:rPr>
                <w:highlight w:val="black"/>
              </w:rPr>
            </w:pPr>
            <w:r>
              <w:rPr>
                <w:noProof/>
                <w:color w:val="000000"/>
                <w:highlight w:val="black"/>
              </w:rPr>
              <w:t>''''''''''''''''' ''''''''''''''''' '''''''''''''''''</w:t>
            </w:r>
          </w:p>
        </w:tc>
      </w:tr>
    </w:tbl>
    <w:p w:rsidR="00676D2A" w:rsidRPr="00C11AAD" w:rsidRDefault="00676D2A" w:rsidP="00676D2A">
      <w:pPr>
        <w:rPr>
          <w:rFonts w:ascii="Arial Narrow" w:hAnsi="Arial Narrow"/>
          <w:sz w:val="18"/>
          <w:szCs w:val="18"/>
        </w:rPr>
      </w:pPr>
      <w:r w:rsidRPr="00C11AAD">
        <w:rPr>
          <w:rFonts w:ascii="Arial Narrow" w:hAnsi="Arial Narrow"/>
          <w:sz w:val="18"/>
          <w:szCs w:val="18"/>
        </w:rPr>
        <w:t xml:space="preserve">Abbreviations: AUC, area under the curve; CI, confidence intervals; </w:t>
      </w:r>
      <w:proofErr w:type="spellStart"/>
      <w:r w:rsidRPr="00C11AAD">
        <w:rPr>
          <w:rFonts w:ascii="Arial Narrow" w:hAnsi="Arial Narrow"/>
          <w:sz w:val="18"/>
          <w:szCs w:val="18"/>
        </w:rPr>
        <w:t>C</w:t>
      </w:r>
      <w:r w:rsidRPr="00C11AAD">
        <w:rPr>
          <w:rFonts w:ascii="Arial Narrow" w:hAnsi="Arial Narrow"/>
          <w:sz w:val="18"/>
          <w:szCs w:val="18"/>
          <w:vertAlign w:val="subscript"/>
        </w:rPr>
        <w:t>max</w:t>
      </w:r>
      <w:proofErr w:type="spellEnd"/>
      <w:r w:rsidRPr="00C11AAD">
        <w:rPr>
          <w:rFonts w:ascii="Arial Narrow" w:hAnsi="Arial Narrow"/>
          <w:sz w:val="18"/>
          <w:szCs w:val="18"/>
        </w:rPr>
        <w:t xml:space="preserve">, peak serum concentration; ERTU, </w:t>
      </w:r>
      <w:proofErr w:type="spellStart"/>
      <w:r w:rsidRPr="00C11AAD">
        <w:rPr>
          <w:rFonts w:ascii="Arial Narrow" w:hAnsi="Arial Narrow"/>
          <w:sz w:val="18"/>
          <w:szCs w:val="18"/>
        </w:rPr>
        <w:t>ertugliflozin</w:t>
      </w:r>
      <w:proofErr w:type="spellEnd"/>
      <w:r w:rsidRPr="00C11AAD">
        <w:rPr>
          <w:rFonts w:ascii="Arial Narrow" w:hAnsi="Arial Narrow"/>
          <w:sz w:val="18"/>
          <w:szCs w:val="18"/>
        </w:rPr>
        <w:t>; FDC, fixed dose combination; MET, metformin</w:t>
      </w:r>
    </w:p>
    <w:p w:rsidR="00320A3B" w:rsidRPr="00C11AAD" w:rsidRDefault="00676D2A" w:rsidP="00676D2A">
      <w:pPr>
        <w:rPr>
          <w:rFonts w:ascii="Arial Narrow" w:hAnsi="Arial Narrow"/>
          <w:sz w:val="18"/>
          <w:szCs w:val="18"/>
        </w:rPr>
      </w:pPr>
      <w:r w:rsidRPr="00C11AAD">
        <w:rPr>
          <w:rFonts w:ascii="Arial Narrow" w:hAnsi="Arial Narrow"/>
          <w:sz w:val="18"/>
          <w:szCs w:val="18"/>
        </w:rPr>
        <w:t>Source: Table 1-17, p16; Table 1-19, p17; Table 1-21, p18; Table 1-23, p19; Table 1-25, p20; Table 1-27, p21; Table 1-29, p22; Table 1-31, p23, Attachment 1 of the submission</w:t>
      </w:r>
      <w:r w:rsidR="00320A3B">
        <w:rPr>
          <w:rFonts w:ascii="Arial Narrow" w:hAnsi="Arial Narrow"/>
          <w:sz w:val="18"/>
          <w:szCs w:val="18"/>
        </w:rPr>
        <w:t>.</w:t>
      </w:r>
    </w:p>
    <w:p w:rsidR="00676D2A" w:rsidRPr="00C11AAD" w:rsidRDefault="00676D2A" w:rsidP="00DC5F1C">
      <w:pPr>
        <w:pStyle w:val="ListParagraph"/>
        <w:widowControl/>
        <w:numPr>
          <w:ilvl w:val="1"/>
          <w:numId w:val="2"/>
        </w:numPr>
        <w:spacing w:before="120" w:after="120"/>
      </w:pPr>
      <w:r w:rsidRPr="00320A3B">
        <w:rPr>
          <w:szCs w:val="24"/>
        </w:rPr>
        <w:t xml:space="preserve">The fixed dose combinations in the included </w:t>
      </w:r>
      <w:proofErr w:type="spellStart"/>
      <w:r w:rsidRPr="00320A3B">
        <w:rPr>
          <w:szCs w:val="24"/>
        </w:rPr>
        <w:t>er</w:t>
      </w:r>
      <w:r w:rsidR="00BA57B7">
        <w:rPr>
          <w:szCs w:val="24"/>
        </w:rPr>
        <w:t>tugliflozin</w:t>
      </w:r>
      <w:proofErr w:type="spellEnd"/>
      <w:r w:rsidR="00BA57B7">
        <w:rPr>
          <w:szCs w:val="24"/>
        </w:rPr>
        <w:t xml:space="preserve"> studies met the pre</w:t>
      </w:r>
      <w:r w:rsidR="00BA57B7">
        <w:rPr>
          <w:szCs w:val="24"/>
        </w:rPr>
        <w:noBreakHyphen/>
      </w:r>
      <w:r w:rsidRPr="00320A3B">
        <w:rPr>
          <w:szCs w:val="24"/>
        </w:rPr>
        <w:t xml:space="preserve">specified bioequivalence margins against the individual components, with </w:t>
      </w:r>
      <w:r w:rsidRPr="00C11AAD">
        <w:t>90% confidence intervals of the geometric mean ratios for the FDC compared to individual components contained within the criterion interval of (80%, 125%). The TGA delegate will assess bioequivalence. At the time of the evaluation</w:t>
      </w:r>
      <w:r w:rsidR="00D352BE">
        <w:t xml:space="preserve"> and consideration by ESC</w:t>
      </w:r>
      <w:r w:rsidRPr="00C11AAD">
        <w:t xml:space="preserve"> the TGA delegate’s report was not available.</w:t>
      </w:r>
      <w:r w:rsidR="00D352BE">
        <w:t xml:space="preserve"> </w:t>
      </w:r>
      <w:r w:rsidR="00DC5F1C">
        <w:t>The PBAC noted that the Delegate</w:t>
      </w:r>
      <w:r w:rsidR="00AB2BD2">
        <w:t>’</w:t>
      </w:r>
      <w:r w:rsidR="00DC5F1C">
        <w:t>s report was silent on bioequivalence</w:t>
      </w:r>
      <w:r w:rsidR="009B4098">
        <w:t>,</w:t>
      </w:r>
      <w:r w:rsidR="00DC5F1C">
        <w:t xml:space="preserve"> b</w:t>
      </w:r>
      <w:r w:rsidR="00AB2BD2">
        <w:t>ut</w:t>
      </w:r>
      <w:r w:rsidR="00DC5F1C">
        <w:t xml:space="preserve"> saw no reason</w:t>
      </w:r>
      <w:r w:rsidR="009B4098">
        <w:t xml:space="preserve"> not</w:t>
      </w:r>
      <w:r w:rsidR="00DC5F1C">
        <w:t xml:space="preserve"> to recommend approval of the </w:t>
      </w:r>
      <w:proofErr w:type="spellStart"/>
      <w:r w:rsidR="00DC5F1C" w:rsidRPr="00DC5F1C">
        <w:t>ertugliflozin</w:t>
      </w:r>
      <w:proofErr w:type="spellEnd"/>
      <w:r w:rsidR="009B4098">
        <w:t xml:space="preserve"> 2.5 mg</w:t>
      </w:r>
      <w:r w:rsidR="00DC5F1C" w:rsidRPr="00DC5F1C">
        <w:t>/</w:t>
      </w:r>
      <w:r w:rsidR="00BA57B7">
        <w:t>metformin</w:t>
      </w:r>
      <w:r w:rsidR="009B4098">
        <w:t xml:space="preserve"> 500 mg</w:t>
      </w:r>
      <w:r w:rsidR="00DC5F1C" w:rsidRPr="00DC5F1C">
        <w:t xml:space="preserve"> or </w:t>
      </w:r>
      <w:proofErr w:type="spellStart"/>
      <w:r w:rsidR="00AB2BD2">
        <w:t>ertugliflozin</w:t>
      </w:r>
      <w:proofErr w:type="spellEnd"/>
      <w:r w:rsidR="00AB2BD2">
        <w:t xml:space="preserve"> </w:t>
      </w:r>
      <w:r w:rsidR="00DC5F1C">
        <w:t>2.5mg/</w:t>
      </w:r>
      <w:r w:rsidR="009B4098">
        <w:t xml:space="preserve">metformin </w:t>
      </w:r>
      <w:r w:rsidR="00DC5F1C" w:rsidRPr="00DC5F1C">
        <w:t>1</w:t>
      </w:r>
      <w:r w:rsidR="003E169F">
        <w:t xml:space="preserve"> </w:t>
      </w:r>
      <w:r w:rsidR="00DC5F1C" w:rsidRPr="00DC5F1C">
        <w:t>g</w:t>
      </w:r>
      <w:r w:rsidR="00DC5F1C">
        <w:t xml:space="preserve"> strengths.</w:t>
      </w:r>
    </w:p>
    <w:p w:rsidR="00B60939" w:rsidRPr="009B4098" w:rsidRDefault="00B60939" w:rsidP="00CF5F42">
      <w:pPr>
        <w:pStyle w:val="Heading2"/>
      </w:pPr>
      <w:bookmarkStart w:id="9" w:name="_Toc503874317"/>
      <w:r w:rsidRPr="009B4098">
        <w:t>Comparative harms</w:t>
      </w:r>
      <w:bookmarkEnd w:id="9"/>
    </w:p>
    <w:p w:rsidR="008F0A6C" w:rsidRPr="00C11AAD" w:rsidRDefault="008F0A6C" w:rsidP="00985C8D">
      <w:pPr>
        <w:pStyle w:val="ListParagraph"/>
        <w:widowControl/>
        <w:numPr>
          <w:ilvl w:val="1"/>
          <w:numId w:val="2"/>
        </w:numPr>
        <w:spacing w:before="120" w:after="120"/>
        <w:rPr>
          <w:szCs w:val="24"/>
        </w:rPr>
      </w:pPr>
      <w:r w:rsidRPr="00C11AAD">
        <w:rPr>
          <w:szCs w:val="24"/>
        </w:rPr>
        <w:t xml:space="preserve">Rates of specific adverse events and treatment related adverse events for the </w:t>
      </w:r>
      <w:proofErr w:type="spellStart"/>
      <w:r w:rsidRPr="00C11AAD">
        <w:rPr>
          <w:szCs w:val="24"/>
        </w:rPr>
        <w:t>ertugliflozin</w:t>
      </w:r>
      <w:proofErr w:type="spellEnd"/>
      <w:r w:rsidRPr="00C11AAD">
        <w:rPr>
          <w:szCs w:val="24"/>
        </w:rPr>
        <w:t xml:space="preserve"> trials are presented in Table 9. Genital infections and urinary tract infections are adverse event</w:t>
      </w:r>
      <w:r w:rsidR="00981645" w:rsidRPr="00C11AAD">
        <w:rPr>
          <w:szCs w:val="24"/>
        </w:rPr>
        <w:t xml:space="preserve">s of special interest for SGLT2 </w:t>
      </w:r>
      <w:r w:rsidRPr="00C11AAD">
        <w:rPr>
          <w:szCs w:val="24"/>
        </w:rPr>
        <w:t>inhibitors.</w:t>
      </w:r>
    </w:p>
    <w:p w:rsidR="008F0A6C" w:rsidRPr="00C11AAD" w:rsidRDefault="008F0A6C" w:rsidP="00BD4C28">
      <w:pPr>
        <w:pStyle w:val="Tabletext"/>
        <w:keepNext/>
        <w:rPr>
          <w:b/>
        </w:rPr>
      </w:pPr>
      <w:r w:rsidRPr="00C11AAD">
        <w:rPr>
          <w:b/>
        </w:rPr>
        <w:lastRenderedPageBreak/>
        <w:t xml:space="preserve">Table 9:  Summary of key adverse events in the randomised </w:t>
      </w:r>
      <w:proofErr w:type="spellStart"/>
      <w:r w:rsidRPr="00C11AAD">
        <w:rPr>
          <w:b/>
        </w:rPr>
        <w:t>ertugliflozin</w:t>
      </w:r>
      <w:proofErr w:type="spellEnd"/>
      <w:r w:rsidRPr="00C11AAD">
        <w:rPr>
          <w:b/>
        </w:rPr>
        <w:t xml:space="preserve"> trials</w:t>
      </w: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89"/>
        <w:gridCol w:w="1843"/>
        <w:gridCol w:w="1417"/>
        <w:gridCol w:w="1402"/>
        <w:gridCol w:w="1641"/>
        <w:gridCol w:w="1556"/>
      </w:tblGrid>
      <w:tr w:rsidR="008F0A6C" w:rsidRPr="00C11AAD" w:rsidTr="00981645">
        <w:trPr>
          <w:tblHeader/>
        </w:trPr>
        <w:tc>
          <w:tcPr>
            <w:tcW w:w="1389" w:type="dxa"/>
            <w:vAlign w:val="center"/>
          </w:tcPr>
          <w:p w:rsidR="008F0A6C" w:rsidRPr="00C11AAD" w:rsidRDefault="008F0A6C" w:rsidP="00BD4C28">
            <w:pPr>
              <w:pStyle w:val="Tabletext"/>
              <w:keepNext/>
              <w:rPr>
                <w:b/>
              </w:rPr>
            </w:pPr>
            <w:r w:rsidRPr="00C11AAD">
              <w:rPr>
                <w:b/>
              </w:rPr>
              <w:t>Trial ID and time point</w:t>
            </w:r>
          </w:p>
        </w:tc>
        <w:tc>
          <w:tcPr>
            <w:tcW w:w="1843" w:type="dxa"/>
            <w:vAlign w:val="center"/>
          </w:tcPr>
          <w:p w:rsidR="008F0A6C" w:rsidRPr="00C11AAD" w:rsidRDefault="008F0A6C" w:rsidP="00BD4C28">
            <w:pPr>
              <w:pStyle w:val="Tabletext"/>
              <w:keepNext/>
              <w:jc w:val="center"/>
              <w:rPr>
                <w:b/>
              </w:rPr>
            </w:pPr>
            <w:r w:rsidRPr="00C11AAD">
              <w:rPr>
                <w:b/>
              </w:rPr>
              <w:t>Treatment arm</w:t>
            </w:r>
          </w:p>
        </w:tc>
        <w:tc>
          <w:tcPr>
            <w:tcW w:w="1417" w:type="dxa"/>
            <w:vAlign w:val="center"/>
          </w:tcPr>
          <w:p w:rsidR="008F0A6C" w:rsidRPr="00C11AAD" w:rsidRDefault="008F0A6C" w:rsidP="00BD4C28">
            <w:pPr>
              <w:pStyle w:val="Tabletext"/>
              <w:keepNext/>
              <w:jc w:val="center"/>
              <w:rPr>
                <w:b/>
              </w:rPr>
            </w:pPr>
            <w:r w:rsidRPr="00C11AAD">
              <w:rPr>
                <w:b/>
              </w:rPr>
              <w:t>Treatment-related AEs</w:t>
            </w:r>
          </w:p>
        </w:tc>
        <w:tc>
          <w:tcPr>
            <w:tcW w:w="1402" w:type="dxa"/>
            <w:vAlign w:val="center"/>
          </w:tcPr>
          <w:p w:rsidR="008F0A6C" w:rsidRPr="00C11AAD" w:rsidRDefault="008F0A6C" w:rsidP="00BD4C28">
            <w:pPr>
              <w:pStyle w:val="Tabletext"/>
              <w:keepNext/>
              <w:jc w:val="center"/>
              <w:rPr>
                <w:b/>
              </w:rPr>
            </w:pPr>
            <w:r w:rsidRPr="00C11AAD">
              <w:rPr>
                <w:b/>
              </w:rPr>
              <w:t>Hypoglycaemia</w:t>
            </w:r>
          </w:p>
        </w:tc>
        <w:tc>
          <w:tcPr>
            <w:tcW w:w="1641" w:type="dxa"/>
            <w:vAlign w:val="center"/>
          </w:tcPr>
          <w:p w:rsidR="008F0A6C" w:rsidRPr="00C11AAD" w:rsidRDefault="008F0A6C" w:rsidP="00BD4C28">
            <w:pPr>
              <w:pStyle w:val="Tabletext"/>
              <w:keepNext/>
              <w:jc w:val="center"/>
              <w:rPr>
                <w:b/>
              </w:rPr>
            </w:pPr>
            <w:r w:rsidRPr="00C11AAD">
              <w:rPr>
                <w:b/>
              </w:rPr>
              <w:t>UTIs</w:t>
            </w:r>
          </w:p>
        </w:tc>
        <w:tc>
          <w:tcPr>
            <w:tcW w:w="1556" w:type="dxa"/>
            <w:vAlign w:val="center"/>
          </w:tcPr>
          <w:p w:rsidR="008F0A6C" w:rsidRPr="00C11AAD" w:rsidRDefault="008F0A6C" w:rsidP="00BD4C28">
            <w:pPr>
              <w:pStyle w:val="Tabletext"/>
              <w:keepNext/>
              <w:jc w:val="center"/>
              <w:rPr>
                <w:b/>
              </w:rPr>
            </w:pPr>
            <w:r w:rsidRPr="00C11AAD">
              <w:rPr>
                <w:b/>
              </w:rPr>
              <w:t>Genital infections</w:t>
            </w:r>
          </w:p>
        </w:tc>
      </w:tr>
      <w:tr w:rsidR="008F0A6C" w:rsidRPr="00C11AAD" w:rsidTr="00981645">
        <w:tc>
          <w:tcPr>
            <w:tcW w:w="9248" w:type="dxa"/>
            <w:gridSpan w:val="6"/>
            <w:vAlign w:val="center"/>
          </w:tcPr>
          <w:p w:rsidR="008F0A6C" w:rsidRPr="00C11AAD" w:rsidRDefault="008F0A6C" w:rsidP="00BD4C28">
            <w:pPr>
              <w:pStyle w:val="Tabletext"/>
              <w:keepNext/>
              <w:rPr>
                <w:b/>
              </w:rPr>
            </w:pPr>
            <w:proofErr w:type="spellStart"/>
            <w:r w:rsidRPr="00C11AAD">
              <w:rPr>
                <w:b/>
              </w:rPr>
              <w:t>Ertugliflozin</w:t>
            </w:r>
            <w:proofErr w:type="spellEnd"/>
            <w:r w:rsidRPr="00C11AAD">
              <w:rPr>
                <w:b/>
              </w:rPr>
              <w:t xml:space="preserve"> + metformin vs placebo + metformin</w:t>
            </w:r>
          </w:p>
        </w:tc>
      </w:tr>
      <w:tr w:rsidR="008F0A6C" w:rsidRPr="00C11AAD" w:rsidTr="00981645">
        <w:tc>
          <w:tcPr>
            <w:tcW w:w="1389" w:type="dxa"/>
            <w:vMerge w:val="restart"/>
            <w:vAlign w:val="center"/>
          </w:tcPr>
          <w:p w:rsidR="008F0A6C" w:rsidRPr="00C11AAD" w:rsidRDefault="008F0A6C" w:rsidP="00BD4C28">
            <w:pPr>
              <w:pStyle w:val="Tabletext"/>
              <w:keepNext/>
            </w:pPr>
            <w:r w:rsidRPr="00C11AAD">
              <w:t>P016 12 weeks</w:t>
            </w:r>
          </w:p>
        </w:tc>
        <w:tc>
          <w:tcPr>
            <w:tcW w:w="1843" w:type="dxa"/>
            <w:vAlign w:val="center"/>
          </w:tcPr>
          <w:p w:rsidR="008F0A6C" w:rsidRPr="00C11AAD" w:rsidRDefault="008F0A6C" w:rsidP="00BD4C28">
            <w:pPr>
              <w:pStyle w:val="Tabletext"/>
              <w:keepNext/>
            </w:pPr>
            <w:r w:rsidRPr="00C11AAD">
              <w:t>ERTU 5 mg + MET</w:t>
            </w:r>
          </w:p>
        </w:tc>
        <w:tc>
          <w:tcPr>
            <w:tcW w:w="1417" w:type="dxa"/>
          </w:tcPr>
          <w:p w:rsidR="008F0A6C" w:rsidRPr="003E6C2E" w:rsidRDefault="003E6C2E" w:rsidP="00BD4C28">
            <w:pPr>
              <w:pStyle w:val="Tabletext"/>
              <w:keepNext/>
              <w:jc w:val="center"/>
              <w:rPr>
                <w:highlight w:val="black"/>
              </w:rPr>
            </w:pPr>
            <w:r>
              <w:rPr>
                <w:noProof/>
                <w:color w:val="000000"/>
                <w:highlight w:val="black"/>
              </w:rPr>
              <w:t>'''''''''' ''''''''''''''</w:t>
            </w:r>
          </w:p>
        </w:tc>
        <w:tc>
          <w:tcPr>
            <w:tcW w:w="1402" w:type="dxa"/>
          </w:tcPr>
          <w:p w:rsidR="008F0A6C" w:rsidRPr="003E6C2E" w:rsidRDefault="003E6C2E" w:rsidP="00BD4C28">
            <w:pPr>
              <w:pStyle w:val="Tabletext"/>
              <w:keepNext/>
              <w:jc w:val="center"/>
              <w:rPr>
                <w:highlight w:val="black"/>
              </w:rPr>
            </w:pPr>
            <w:r>
              <w:rPr>
                <w:noProof/>
                <w:color w:val="000000"/>
                <w:highlight w:val="black"/>
              </w:rPr>
              <w:t>'''''''''''' ''''''''''''</w:t>
            </w:r>
          </w:p>
        </w:tc>
        <w:tc>
          <w:tcPr>
            <w:tcW w:w="1641" w:type="dxa"/>
          </w:tcPr>
          <w:p w:rsidR="008F0A6C" w:rsidRPr="003E6C2E" w:rsidRDefault="003E6C2E" w:rsidP="00BD4C28">
            <w:pPr>
              <w:pStyle w:val="Tabletext"/>
              <w:keepNext/>
              <w:jc w:val="center"/>
              <w:rPr>
                <w:highlight w:val="black"/>
              </w:rPr>
            </w:pPr>
            <w:r>
              <w:rPr>
                <w:noProof/>
                <w:color w:val="000000"/>
                <w:highlight w:val="black"/>
              </w:rPr>
              <w:t>''''''''''' ''''''''''</w:t>
            </w:r>
          </w:p>
        </w:tc>
        <w:tc>
          <w:tcPr>
            <w:tcW w:w="1556" w:type="dxa"/>
          </w:tcPr>
          <w:p w:rsidR="008F0A6C" w:rsidRPr="003E6C2E" w:rsidRDefault="003E6C2E" w:rsidP="00BD4C28">
            <w:pPr>
              <w:pStyle w:val="Tabletext"/>
              <w:keepNext/>
              <w:jc w:val="center"/>
              <w:rPr>
                <w:highlight w:val="black"/>
              </w:rPr>
            </w:pPr>
            <w:r>
              <w:rPr>
                <w:noProof/>
                <w:color w:val="000000"/>
                <w:highlight w:val="black"/>
              </w:rPr>
              <w:t>'''''''''' ''''''''''</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PBO + MET</w:t>
            </w:r>
          </w:p>
        </w:tc>
        <w:tc>
          <w:tcPr>
            <w:tcW w:w="1417" w:type="dxa"/>
          </w:tcPr>
          <w:p w:rsidR="008F0A6C" w:rsidRPr="003E6C2E" w:rsidRDefault="003E6C2E" w:rsidP="00BD4C28">
            <w:pPr>
              <w:pStyle w:val="Tabletext"/>
              <w:keepNext/>
              <w:jc w:val="center"/>
              <w:rPr>
                <w:highlight w:val="black"/>
              </w:rPr>
            </w:pPr>
            <w:r>
              <w:rPr>
                <w:noProof/>
                <w:color w:val="000000"/>
                <w:highlight w:val="black"/>
              </w:rPr>
              <w:t>'''''''''' ''''''''''''''</w:t>
            </w:r>
          </w:p>
        </w:tc>
        <w:tc>
          <w:tcPr>
            <w:tcW w:w="1402" w:type="dxa"/>
          </w:tcPr>
          <w:p w:rsidR="008F0A6C" w:rsidRPr="003E6C2E" w:rsidRDefault="003E6C2E" w:rsidP="00BD4C28">
            <w:pPr>
              <w:pStyle w:val="Tabletext"/>
              <w:keepNext/>
              <w:jc w:val="center"/>
              <w:rPr>
                <w:highlight w:val="black"/>
              </w:rPr>
            </w:pPr>
            <w:r>
              <w:rPr>
                <w:noProof/>
                <w:color w:val="000000"/>
                <w:highlight w:val="black"/>
              </w:rPr>
              <w:t>'''''''''' ''''''''''''</w:t>
            </w:r>
          </w:p>
        </w:tc>
        <w:tc>
          <w:tcPr>
            <w:tcW w:w="1641" w:type="dxa"/>
          </w:tcPr>
          <w:p w:rsidR="008F0A6C" w:rsidRPr="003E6C2E" w:rsidRDefault="003E6C2E" w:rsidP="00BD4C28">
            <w:pPr>
              <w:pStyle w:val="Tabletext"/>
              <w:keepNext/>
              <w:jc w:val="center"/>
              <w:rPr>
                <w:highlight w:val="black"/>
              </w:rPr>
            </w:pPr>
            <w:r>
              <w:rPr>
                <w:noProof/>
                <w:color w:val="000000"/>
                <w:highlight w:val="black"/>
              </w:rPr>
              <w:t>''''''''''' ''''''''''</w:t>
            </w:r>
          </w:p>
        </w:tc>
        <w:tc>
          <w:tcPr>
            <w:tcW w:w="1556" w:type="dxa"/>
          </w:tcPr>
          <w:p w:rsidR="008F0A6C" w:rsidRPr="003E6C2E" w:rsidRDefault="003E6C2E" w:rsidP="00BD4C28">
            <w:pPr>
              <w:pStyle w:val="Tabletext"/>
              <w:keepNext/>
              <w:jc w:val="center"/>
              <w:rPr>
                <w:highlight w:val="black"/>
              </w:rPr>
            </w:pPr>
            <w:r>
              <w:rPr>
                <w:noProof/>
                <w:color w:val="000000"/>
                <w:highlight w:val="black"/>
              </w:rPr>
              <w:t>'''''''''''' ''''''''''''</w:t>
            </w:r>
          </w:p>
        </w:tc>
      </w:tr>
      <w:tr w:rsidR="008F0A6C" w:rsidRPr="00C11AAD" w:rsidTr="00981645">
        <w:tc>
          <w:tcPr>
            <w:tcW w:w="1389" w:type="dxa"/>
            <w:vMerge w:val="restart"/>
            <w:vAlign w:val="center"/>
          </w:tcPr>
          <w:p w:rsidR="008F0A6C" w:rsidRPr="00C11AAD" w:rsidRDefault="008F0A6C" w:rsidP="00BD4C28">
            <w:pPr>
              <w:pStyle w:val="Tabletext"/>
              <w:keepNext/>
            </w:pPr>
            <w:r w:rsidRPr="00C11AAD">
              <w:t>P007 26 weeks</w:t>
            </w:r>
          </w:p>
        </w:tc>
        <w:tc>
          <w:tcPr>
            <w:tcW w:w="1843" w:type="dxa"/>
            <w:vAlign w:val="center"/>
          </w:tcPr>
          <w:p w:rsidR="008F0A6C" w:rsidRPr="00C11AAD" w:rsidRDefault="008F0A6C" w:rsidP="00BD4C28">
            <w:pPr>
              <w:pStyle w:val="Tabletext"/>
              <w:keepNext/>
            </w:pPr>
            <w:r w:rsidRPr="00C11AAD">
              <w:t>ERTU 5 mg + MET</w:t>
            </w:r>
          </w:p>
        </w:tc>
        <w:tc>
          <w:tcPr>
            <w:tcW w:w="1417" w:type="dxa"/>
          </w:tcPr>
          <w:p w:rsidR="008F0A6C" w:rsidRPr="00C11AAD" w:rsidRDefault="008F0A6C" w:rsidP="00BD4C28">
            <w:pPr>
              <w:pStyle w:val="Tabletext"/>
              <w:keepNext/>
              <w:jc w:val="center"/>
            </w:pPr>
            <w:r w:rsidRPr="00C11AAD">
              <w:t>24/207 (11.6)</w:t>
            </w:r>
          </w:p>
        </w:tc>
        <w:tc>
          <w:tcPr>
            <w:tcW w:w="1402" w:type="dxa"/>
          </w:tcPr>
          <w:p w:rsidR="008F0A6C" w:rsidRPr="00C11AAD" w:rsidRDefault="008F0A6C" w:rsidP="00BD4C28">
            <w:pPr>
              <w:pStyle w:val="Tabletext"/>
              <w:keepNext/>
              <w:jc w:val="center"/>
            </w:pPr>
            <w:r w:rsidRPr="00C11AAD">
              <w:t>8/207 (3.9)</w:t>
            </w:r>
          </w:p>
        </w:tc>
        <w:tc>
          <w:tcPr>
            <w:tcW w:w="1641" w:type="dxa"/>
          </w:tcPr>
          <w:p w:rsidR="008F0A6C" w:rsidRPr="00C11AAD" w:rsidRDefault="008F0A6C" w:rsidP="00BD4C28">
            <w:pPr>
              <w:pStyle w:val="Tabletext"/>
              <w:keepNext/>
              <w:jc w:val="center"/>
            </w:pPr>
            <w:r w:rsidRPr="00C11AAD">
              <w:t>5/207 (2.4)</w:t>
            </w:r>
          </w:p>
        </w:tc>
        <w:tc>
          <w:tcPr>
            <w:tcW w:w="1556" w:type="dxa"/>
          </w:tcPr>
          <w:p w:rsidR="008F0A6C" w:rsidRPr="00C11AAD" w:rsidRDefault="008F0A6C" w:rsidP="00BD4C28">
            <w:pPr>
              <w:pStyle w:val="Tabletext"/>
              <w:keepNext/>
              <w:jc w:val="center"/>
            </w:pPr>
            <w:r w:rsidRPr="00C11AAD">
              <w:t>7/207 (3.4)</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ERTU 15 mg + MET</w:t>
            </w:r>
          </w:p>
        </w:tc>
        <w:tc>
          <w:tcPr>
            <w:tcW w:w="1417" w:type="dxa"/>
          </w:tcPr>
          <w:p w:rsidR="008F0A6C" w:rsidRPr="00C11AAD" w:rsidRDefault="008F0A6C" w:rsidP="00BD4C28">
            <w:pPr>
              <w:pStyle w:val="Tabletext"/>
              <w:keepNext/>
              <w:jc w:val="center"/>
            </w:pPr>
            <w:r w:rsidRPr="00C11AAD">
              <w:t>25/205 (12.2)</w:t>
            </w:r>
          </w:p>
        </w:tc>
        <w:tc>
          <w:tcPr>
            <w:tcW w:w="1402" w:type="dxa"/>
          </w:tcPr>
          <w:p w:rsidR="008F0A6C" w:rsidRPr="00C11AAD" w:rsidRDefault="008F0A6C" w:rsidP="00BD4C28">
            <w:pPr>
              <w:pStyle w:val="Tabletext"/>
              <w:keepNext/>
              <w:jc w:val="center"/>
            </w:pPr>
            <w:r w:rsidRPr="00C11AAD">
              <w:t>10/205 (4.9)</w:t>
            </w:r>
          </w:p>
        </w:tc>
        <w:tc>
          <w:tcPr>
            <w:tcW w:w="1641" w:type="dxa"/>
          </w:tcPr>
          <w:p w:rsidR="008F0A6C" w:rsidRPr="00C11AAD" w:rsidRDefault="008F0A6C" w:rsidP="00BD4C28">
            <w:pPr>
              <w:pStyle w:val="Tabletext"/>
              <w:keepNext/>
              <w:jc w:val="center"/>
            </w:pPr>
            <w:r w:rsidRPr="00C11AAD">
              <w:t>5/205 (2.4)</w:t>
            </w:r>
          </w:p>
        </w:tc>
        <w:tc>
          <w:tcPr>
            <w:tcW w:w="1556" w:type="dxa"/>
          </w:tcPr>
          <w:p w:rsidR="008F0A6C" w:rsidRPr="00C11AAD" w:rsidRDefault="008F0A6C" w:rsidP="00BD4C28">
            <w:pPr>
              <w:pStyle w:val="Tabletext"/>
              <w:keepNext/>
              <w:jc w:val="center"/>
            </w:pPr>
            <w:r w:rsidRPr="00C11AAD">
              <w:t>8/205 (3.9)</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PBO + MET</w:t>
            </w:r>
          </w:p>
        </w:tc>
        <w:tc>
          <w:tcPr>
            <w:tcW w:w="1417" w:type="dxa"/>
          </w:tcPr>
          <w:p w:rsidR="008F0A6C" w:rsidRPr="00C11AAD" w:rsidRDefault="008F0A6C" w:rsidP="00BD4C28">
            <w:pPr>
              <w:pStyle w:val="Tabletext"/>
              <w:keepNext/>
              <w:jc w:val="center"/>
            </w:pPr>
            <w:r w:rsidRPr="00C11AAD">
              <w:t>13/209 (6.2)</w:t>
            </w:r>
          </w:p>
        </w:tc>
        <w:tc>
          <w:tcPr>
            <w:tcW w:w="1402" w:type="dxa"/>
          </w:tcPr>
          <w:p w:rsidR="008F0A6C" w:rsidRPr="00C11AAD" w:rsidRDefault="008F0A6C" w:rsidP="00BD4C28">
            <w:pPr>
              <w:pStyle w:val="Tabletext"/>
              <w:keepNext/>
              <w:jc w:val="center"/>
            </w:pPr>
            <w:r w:rsidRPr="00C11AAD">
              <w:t>6/209 (2.9)</w:t>
            </w:r>
          </w:p>
        </w:tc>
        <w:tc>
          <w:tcPr>
            <w:tcW w:w="1641" w:type="dxa"/>
          </w:tcPr>
          <w:p w:rsidR="008F0A6C" w:rsidRPr="00C11AAD" w:rsidRDefault="008F0A6C" w:rsidP="00BD4C28">
            <w:pPr>
              <w:pStyle w:val="Tabletext"/>
              <w:keepNext/>
              <w:jc w:val="center"/>
            </w:pPr>
            <w:r w:rsidRPr="00C11AAD">
              <w:t>2/209 (1.0)</w:t>
            </w:r>
          </w:p>
        </w:tc>
        <w:tc>
          <w:tcPr>
            <w:tcW w:w="1556" w:type="dxa"/>
          </w:tcPr>
          <w:p w:rsidR="008F0A6C" w:rsidRPr="00C11AAD" w:rsidRDefault="008F0A6C" w:rsidP="00BD4C28">
            <w:pPr>
              <w:pStyle w:val="Tabletext"/>
              <w:keepNext/>
              <w:jc w:val="center"/>
            </w:pPr>
            <w:r w:rsidRPr="00C11AAD">
              <w:t>1/209 (0.5)</w:t>
            </w:r>
          </w:p>
        </w:tc>
      </w:tr>
      <w:tr w:rsidR="008F0A6C" w:rsidRPr="00C11AAD" w:rsidTr="00981645">
        <w:tc>
          <w:tcPr>
            <w:tcW w:w="9248" w:type="dxa"/>
            <w:gridSpan w:val="6"/>
            <w:vAlign w:val="center"/>
          </w:tcPr>
          <w:p w:rsidR="008F0A6C" w:rsidRPr="00C11AAD" w:rsidRDefault="008F0A6C" w:rsidP="00BD4C28">
            <w:pPr>
              <w:pStyle w:val="Tabletext"/>
              <w:keepNext/>
              <w:rPr>
                <w:b/>
              </w:rPr>
            </w:pPr>
            <w:proofErr w:type="spellStart"/>
            <w:r w:rsidRPr="00C11AAD">
              <w:rPr>
                <w:b/>
              </w:rPr>
              <w:t>Ertugliflozin</w:t>
            </w:r>
            <w:proofErr w:type="spellEnd"/>
            <w:r w:rsidRPr="00C11AAD">
              <w:rPr>
                <w:b/>
              </w:rPr>
              <w:t xml:space="preserve"> + metformin vs </w:t>
            </w:r>
            <w:proofErr w:type="spellStart"/>
            <w:r w:rsidRPr="00C11AAD">
              <w:rPr>
                <w:b/>
              </w:rPr>
              <w:t>sitagliptin</w:t>
            </w:r>
            <w:proofErr w:type="spellEnd"/>
            <w:r w:rsidRPr="00C11AAD">
              <w:rPr>
                <w:b/>
              </w:rPr>
              <w:t xml:space="preserve"> + metformin</w:t>
            </w:r>
          </w:p>
        </w:tc>
      </w:tr>
      <w:tr w:rsidR="008F0A6C" w:rsidRPr="00C11AAD" w:rsidTr="00981645">
        <w:tc>
          <w:tcPr>
            <w:tcW w:w="1389" w:type="dxa"/>
            <w:vMerge w:val="restart"/>
            <w:vAlign w:val="center"/>
          </w:tcPr>
          <w:p w:rsidR="008F0A6C" w:rsidRPr="00C11AAD" w:rsidRDefault="008F0A6C" w:rsidP="00BD4C28">
            <w:pPr>
              <w:pStyle w:val="Tabletext"/>
              <w:keepNext/>
            </w:pPr>
            <w:r w:rsidRPr="00C11AAD">
              <w:t>P016 12 weeks</w:t>
            </w:r>
          </w:p>
        </w:tc>
        <w:tc>
          <w:tcPr>
            <w:tcW w:w="1843" w:type="dxa"/>
            <w:vAlign w:val="center"/>
          </w:tcPr>
          <w:p w:rsidR="008F0A6C" w:rsidRPr="00C11AAD" w:rsidRDefault="008F0A6C" w:rsidP="00BD4C28">
            <w:pPr>
              <w:pStyle w:val="Tabletext"/>
              <w:keepNext/>
            </w:pPr>
            <w:r w:rsidRPr="00C11AAD">
              <w:t>ERTU 5 mg + MET</w:t>
            </w:r>
          </w:p>
        </w:tc>
        <w:tc>
          <w:tcPr>
            <w:tcW w:w="1417" w:type="dxa"/>
          </w:tcPr>
          <w:p w:rsidR="008F0A6C" w:rsidRPr="003E6C2E" w:rsidRDefault="003E6C2E" w:rsidP="00BD4C28">
            <w:pPr>
              <w:pStyle w:val="Tabletext"/>
              <w:keepNext/>
              <w:jc w:val="center"/>
              <w:rPr>
                <w:highlight w:val="black"/>
              </w:rPr>
            </w:pPr>
            <w:r>
              <w:rPr>
                <w:noProof/>
                <w:color w:val="000000"/>
                <w:highlight w:val="black"/>
              </w:rPr>
              <w:t>''''''''''' '''''''''''''''</w:t>
            </w:r>
          </w:p>
        </w:tc>
        <w:tc>
          <w:tcPr>
            <w:tcW w:w="1402" w:type="dxa"/>
          </w:tcPr>
          <w:p w:rsidR="008F0A6C" w:rsidRPr="003E6C2E" w:rsidRDefault="003E6C2E" w:rsidP="00BD4C28">
            <w:pPr>
              <w:pStyle w:val="Tabletext"/>
              <w:keepNext/>
              <w:jc w:val="center"/>
              <w:rPr>
                <w:highlight w:val="black"/>
              </w:rPr>
            </w:pPr>
            <w:r>
              <w:rPr>
                <w:noProof/>
                <w:color w:val="000000"/>
                <w:highlight w:val="black"/>
              </w:rPr>
              <w:t>'''''''''' ''''''''''</w:t>
            </w:r>
          </w:p>
        </w:tc>
        <w:tc>
          <w:tcPr>
            <w:tcW w:w="1641" w:type="dxa"/>
          </w:tcPr>
          <w:p w:rsidR="008F0A6C" w:rsidRPr="003E6C2E" w:rsidRDefault="003E6C2E" w:rsidP="00BD4C28">
            <w:pPr>
              <w:pStyle w:val="Tabletext"/>
              <w:keepNext/>
              <w:jc w:val="center"/>
              <w:rPr>
                <w:highlight w:val="black"/>
              </w:rPr>
            </w:pPr>
            <w:r>
              <w:rPr>
                <w:noProof/>
                <w:color w:val="000000"/>
                <w:highlight w:val="black"/>
              </w:rPr>
              <w:t>'''''''''' ''''''''''''</w:t>
            </w:r>
          </w:p>
        </w:tc>
        <w:tc>
          <w:tcPr>
            <w:tcW w:w="1556" w:type="dxa"/>
          </w:tcPr>
          <w:p w:rsidR="008F0A6C" w:rsidRPr="003E6C2E" w:rsidRDefault="003E6C2E" w:rsidP="00BD4C28">
            <w:pPr>
              <w:pStyle w:val="Tabletext"/>
              <w:keepNext/>
              <w:jc w:val="center"/>
              <w:rPr>
                <w:highlight w:val="black"/>
              </w:rPr>
            </w:pPr>
            <w:r>
              <w:rPr>
                <w:noProof/>
                <w:color w:val="000000"/>
                <w:highlight w:val="black"/>
              </w:rPr>
              <w:t>''''''''''' ''''''''''</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SITA 100 mg + MET</w:t>
            </w:r>
          </w:p>
        </w:tc>
        <w:tc>
          <w:tcPr>
            <w:tcW w:w="1417" w:type="dxa"/>
          </w:tcPr>
          <w:p w:rsidR="008F0A6C" w:rsidRPr="003E6C2E" w:rsidRDefault="003E6C2E" w:rsidP="00BD4C28">
            <w:pPr>
              <w:pStyle w:val="Tabletext"/>
              <w:keepNext/>
              <w:jc w:val="center"/>
              <w:rPr>
                <w:highlight w:val="black"/>
              </w:rPr>
            </w:pPr>
            <w:r>
              <w:rPr>
                <w:noProof/>
                <w:color w:val="000000"/>
                <w:highlight w:val="black"/>
              </w:rPr>
              <w:t>'''''''''' '''''''''''''''</w:t>
            </w:r>
          </w:p>
        </w:tc>
        <w:tc>
          <w:tcPr>
            <w:tcW w:w="1402" w:type="dxa"/>
          </w:tcPr>
          <w:p w:rsidR="008F0A6C" w:rsidRPr="003E6C2E" w:rsidRDefault="003E6C2E" w:rsidP="00BD4C28">
            <w:pPr>
              <w:pStyle w:val="Tabletext"/>
              <w:keepNext/>
              <w:jc w:val="center"/>
              <w:rPr>
                <w:highlight w:val="black"/>
              </w:rPr>
            </w:pPr>
            <w:r>
              <w:rPr>
                <w:noProof/>
                <w:color w:val="000000"/>
                <w:highlight w:val="black"/>
              </w:rPr>
              <w:t>''''''''''' ''''''''''</w:t>
            </w:r>
          </w:p>
        </w:tc>
        <w:tc>
          <w:tcPr>
            <w:tcW w:w="1641" w:type="dxa"/>
          </w:tcPr>
          <w:p w:rsidR="008F0A6C" w:rsidRPr="003E6C2E" w:rsidRDefault="003E6C2E" w:rsidP="00BD4C28">
            <w:pPr>
              <w:pStyle w:val="Tabletext"/>
              <w:keepNext/>
              <w:jc w:val="center"/>
              <w:rPr>
                <w:highlight w:val="black"/>
              </w:rPr>
            </w:pPr>
            <w:r>
              <w:rPr>
                <w:noProof/>
                <w:color w:val="000000"/>
                <w:highlight w:val="black"/>
              </w:rPr>
              <w:t>'''''''''' '''''''''''</w:t>
            </w:r>
          </w:p>
        </w:tc>
        <w:tc>
          <w:tcPr>
            <w:tcW w:w="1556" w:type="dxa"/>
          </w:tcPr>
          <w:p w:rsidR="008F0A6C" w:rsidRPr="003E6C2E" w:rsidRDefault="003E6C2E" w:rsidP="00BD4C28">
            <w:pPr>
              <w:pStyle w:val="Tabletext"/>
              <w:keepNext/>
              <w:jc w:val="center"/>
              <w:rPr>
                <w:highlight w:val="black"/>
              </w:rPr>
            </w:pPr>
            <w:r>
              <w:rPr>
                <w:noProof/>
                <w:color w:val="000000"/>
                <w:highlight w:val="black"/>
              </w:rPr>
              <w:t>'''''''''' ''''''''''</w:t>
            </w:r>
          </w:p>
        </w:tc>
      </w:tr>
      <w:tr w:rsidR="008F0A6C" w:rsidRPr="00C11AAD" w:rsidTr="00981645">
        <w:tc>
          <w:tcPr>
            <w:tcW w:w="1389" w:type="dxa"/>
            <w:vMerge w:val="restart"/>
            <w:vAlign w:val="center"/>
          </w:tcPr>
          <w:p w:rsidR="008F0A6C" w:rsidRPr="00C11AAD" w:rsidRDefault="008F0A6C" w:rsidP="00BD4C28">
            <w:pPr>
              <w:pStyle w:val="Tabletext"/>
              <w:keepNext/>
            </w:pPr>
            <w:r w:rsidRPr="00C11AAD">
              <w:t>P005 26 weeks</w:t>
            </w:r>
          </w:p>
        </w:tc>
        <w:tc>
          <w:tcPr>
            <w:tcW w:w="1843" w:type="dxa"/>
            <w:vAlign w:val="center"/>
          </w:tcPr>
          <w:p w:rsidR="008F0A6C" w:rsidRPr="00C11AAD" w:rsidRDefault="008F0A6C" w:rsidP="00BD4C28">
            <w:pPr>
              <w:pStyle w:val="Tabletext"/>
              <w:keepNext/>
            </w:pPr>
            <w:r w:rsidRPr="00C11AAD">
              <w:t>ERTU 5 mg + MET</w:t>
            </w:r>
          </w:p>
        </w:tc>
        <w:tc>
          <w:tcPr>
            <w:tcW w:w="1417" w:type="dxa"/>
          </w:tcPr>
          <w:p w:rsidR="008F0A6C" w:rsidRPr="00C11AAD" w:rsidRDefault="008F0A6C" w:rsidP="00BD4C28">
            <w:pPr>
              <w:pStyle w:val="Tabletext"/>
              <w:keepNext/>
              <w:jc w:val="center"/>
            </w:pPr>
            <w:r w:rsidRPr="00C11AAD">
              <w:t>42/250 (16.8)</w:t>
            </w:r>
          </w:p>
        </w:tc>
        <w:tc>
          <w:tcPr>
            <w:tcW w:w="1402" w:type="dxa"/>
          </w:tcPr>
          <w:p w:rsidR="008F0A6C" w:rsidRPr="00C11AAD" w:rsidRDefault="008F0A6C" w:rsidP="00BD4C28">
            <w:pPr>
              <w:pStyle w:val="Tabletext"/>
              <w:keepNext/>
              <w:jc w:val="center"/>
            </w:pPr>
            <w:r w:rsidRPr="00C11AAD">
              <w:t>8/250 (3.2)</w:t>
            </w:r>
          </w:p>
        </w:tc>
        <w:tc>
          <w:tcPr>
            <w:tcW w:w="1641" w:type="dxa"/>
          </w:tcPr>
          <w:p w:rsidR="008F0A6C" w:rsidRPr="00C11AAD" w:rsidRDefault="008F0A6C" w:rsidP="00BD4C28">
            <w:pPr>
              <w:pStyle w:val="Tabletext"/>
              <w:keepNext/>
              <w:jc w:val="center"/>
            </w:pPr>
            <w:r w:rsidRPr="00C11AAD">
              <w:t>11/250 (4.4)</w:t>
            </w:r>
          </w:p>
        </w:tc>
        <w:tc>
          <w:tcPr>
            <w:tcW w:w="1556" w:type="dxa"/>
          </w:tcPr>
          <w:p w:rsidR="008F0A6C" w:rsidRPr="00C11AAD" w:rsidRDefault="008F0A6C" w:rsidP="00BD4C28">
            <w:pPr>
              <w:pStyle w:val="Tabletext"/>
              <w:keepNext/>
              <w:jc w:val="center"/>
            </w:pPr>
            <w:r w:rsidRPr="00C11AAD">
              <w:t>7/250 (2.8)</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ERTU 15 mg + MET</w:t>
            </w:r>
          </w:p>
        </w:tc>
        <w:tc>
          <w:tcPr>
            <w:tcW w:w="1417" w:type="dxa"/>
          </w:tcPr>
          <w:p w:rsidR="008F0A6C" w:rsidRPr="00C11AAD" w:rsidRDefault="008F0A6C" w:rsidP="00BD4C28">
            <w:pPr>
              <w:pStyle w:val="Tabletext"/>
              <w:keepNext/>
              <w:jc w:val="center"/>
            </w:pPr>
            <w:r w:rsidRPr="00C11AAD">
              <w:t>30/248 (12.1)</w:t>
            </w:r>
          </w:p>
        </w:tc>
        <w:tc>
          <w:tcPr>
            <w:tcW w:w="1402" w:type="dxa"/>
          </w:tcPr>
          <w:p w:rsidR="008F0A6C" w:rsidRPr="00C11AAD" w:rsidRDefault="008F0A6C" w:rsidP="00BD4C28">
            <w:pPr>
              <w:pStyle w:val="Tabletext"/>
              <w:keepNext/>
              <w:jc w:val="center"/>
            </w:pPr>
            <w:r w:rsidRPr="00C11AAD">
              <w:t>9/248 (3.6)</w:t>
            </w:r>
          </w:p>
        </w:tc>
        <w:tc>
          <w:tcPr>
            <w:tcW w:w="1641" w:type="dxa"/>
          </w:tcPr>
          <w:p w:rsidR="008F0A6C" w:rsidRPr="00C11AAD" w:rsidRDefault="008F0A6C" w:rsidP="00BD4C28">
            <w:pPr>
              <w:pStyle w:val="Tabletext"/>
              <w:keepNext/>
              <w:jc w:val="center"/>
            </w:pPr>
            <w:r w:rsidRPr="00C11AAD">
              <w:t>11/248 (4.4)</w:t>
            </w:r>
          </w:p>
        </w:tc>
        <w:tc>
          <w:tcPr>
            <w:tcW w:w="1556" w:type="dxa"/>
          </w:tcPr>
          <w:p w:rsidR="008F0A6C" w:rsidRPr="00C11AAD" w:rsidRDefault="008F0A6C" w:rsidP="00BD4C28">
            <w:pPr>
              <w:pStyle w:val="Tabletext"/>
              <w:keepNext/>
              <w:jc w:val="center"/>
            </w:pPr>
            <w:r w:rsidRPr="00C11AAD">
              <w:t>11/248 (4.4)</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SITA 100 mg + MET</w:t>
            </w:r>
          </w:p>
        </w:tc>
        <w:tc>
          <w:tcPr>
            <w:tcW w:w="1417" w:type="dxa"/>
          </w:tcPr>
          <w:p w:rsidR="008F0A6C" w:rsidRPr="00C11AAD" w:rsidRDefault="008F0A6C" w:rsidP="00BD4C28">
            <w:pPr>
              <w:pStyle w:val="Tabletext"/>
              <w:keepNext/>
              <w:jc w:val="center"/>
            </w:pPr>
            <w:r w:rsidRPr="00C11AAD">
              <w:t>12/247 (4.9)</w:t>
            </w:r>
          </w:p>
        </w:tc>
        <w:tc>
          <w:tcPr>
            <w:tcW w:w="1402" w:type="dxa"/>
          </w:tcPr>
          <w:p w:rsidR="008F0A6C" w:rsidRPr="00C11AAD" w:rsidRDefault="008F0A6C" w:rsidP="00BD4C28">
            <w:pPr>
              <w:pStyle w:val="Tabletext"/>
              <w:keepNext/>
              <w:jc w:val="center"/>
            </w:pPr>
            <w:r w:rsidRPr="00C11AAD">
              <w:t>6/247 (2.4)</w:t>
            </w:r>
          </w:p>
        </w:tc>
        <w:tc>
          <w:tcPr>
            <w:tcW w:w="1641" w:type="dxa"/>
          </w:tcPr>
          <w:p w:rsidR="008F0A6C" w:rsidRPr="00C11AAD" w:rsidRDefault="008F0A6C" w:rsidP="00BD4C28">
            <w:pPr>
              <w:pStyle w:val="Tabletext"/>
              <w:keepNext/>
              <w:jc w:val="center"/>
            </w:pPr>
            <w:r w:rsidRPr="00C11AAD">
              <w:t>8/247 (3.2)</w:t>
            </w:r>
          </w:p>
        </w:tc>
        <w:tc>
          <w:tcPr>
            <w:tcW w:w="1556" w:type="dxa"/>
          </w:tcPr>
          <w:p w:rsidR="008F0A6C" w:rsidRPr="00C11AAD" w:rsidRDefault="008F0A6C" w:rsidP="00BD4C28">
            <w:pPr>
              <w:pStyle w:val="Tabletext"/>
              <w:keepNext/>
              <w:jc w:val="center"/>
            </w:pPr>
            <w:r w:rsidRPr="00C11AAD">
              <w:t>1/247 (0.4)</w:t>
            </w:r>
          </w:p>
        </w:tc>
      </w:tr>
      <w:tr w:rsidR="008F0A6C" w:rsidRPr="00C11AAD" w:rsidTr="00981645">
        <w:tc>
          <w:tcPr>
            <w:tcW w:w="1389" w:type="dxa"/>
            <w:vMerge w:val="restart"/>
            <w:vAlign w:val="center"/>
          </w:tcPr>
          <w:p w:rsidR="008F0A6C" w:rsidRPr="00C11AAD" w:rsidRDefault="008F0A6C" w:rsidP="00BD4C28">
            <w:pPr>
              <w:pStyle w:val="Tabletext"/>
              <w:keepNext/>
            </w:pPr>
            <w:r w:rsidRPr="00C11AAD">
              <w:t>P005 52 weeks</w:t>
            </w:r>
          </w:p>
        </w:tc>
        <w:tc>
          <w:tcPr>
            <w:tcW w:w="1843" w:type="dxa"/>
            <w:vAlign w:val="center"/>
          </w:tcPr>
          <w:p w:rsidR="008F0A6C" w:rsidRPr="00C11AAD" w:rsidRDefault="008F0A6C" w:rsidP="00BD4C28">
            <w:pPr>
              <w:pStyle w:val="Tabletext"/>
              <w:keepNext/>
            </w:pPr>
            <w:r w:rsidRPr="00C11AAD">
              <w:t>ERTU 5 mg + MET</w:t>
            </w:r>
          </w:p>
        </w:tc>
        <w:tc>
          <w:tcPr>
            <w:tcW w:w="1417" w:type="dxa"/>
          </w:tcPr>
          <w:p w:rsidR="008F0A6C" w:rsidRPr="00C11AAD" w:rsidRDefault="008F0A6C" w:rsidP="00BD4C28">
            <w:pPr>
              <w:pStyle w:val="Tabletext"/>
              <w:keepNext/>
              <w:jc w:val="center"/>
            </w:pPr>
            <w:r w:rsidRPr="00C11AAD">
              <w:t>49/250 (19.6)</w:t>
            </w:r>
          </w:p>
        </w:tc>
        <w:tc>
          <w:tcPr>
            <w:tcW w:w="1402" w:type="dxa"/>
          </w:tcPr>
          <w:p w:rsidR="008F0A6C" w:rsidRPr="00C11AAD" w:rsidRDefault="008F0A6C" w:rsidP="00BD4C28">
            <w:pPr>
              <w:pStyle w:val="Tabletext"/>
              <w:keepNext/>
              <w:jc w:val="center"/>
            </w:pPr>
            <w:r w:rsidRPr="00C11AAD">
              <w:t>12/250 (4.8)</w:t>
            </w:r>
          </w:p>
        </w:tc>
        <w:tc>
          <w:tcPr>
            <w:tcW w:w="1641" w:type="dxa"/>
          </w:tcPr>
          <w:p w:rsidR="008F0A6C" w:rsidRPr="00C11AAD" w:rsidRDefault="008F0A6C" w:rsidP="00BD4C28">
            <w:pPr>
              <w:pStyle w:val="Tabletext"/>
              <w:keepNext/>
              <w:jc w:val="center"/>
            </w:pPr>
            <w:r w:rsidRPr="00C11AAD">
              <w:t>20/250 (8.0)</w:t>
            </w:r>
          </w:p>
        </w:tc>
        <w:tc>
          <w:tcPr>
            <w:tcW w:w="1556" w:type="dxa"/>
          </w:tcPr>
          <w:p w:rsidR="008F0A6C" w:rsidRPr="00C11AAD" w:rsidRDefault="008F0A6C" w:rsidP="00BD4C28">
            <w:pPr>
              <w:pStyle w:val="Tabletext"/>
              <w:keepNext/>
              <w:jc w:val="center"/>
            </w:pPr>
            <w:r w:rsidRPr="00C11AAD">
              <w:t>8/250 (3.2)</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ERTU 15 mg + MET</w:t>
            </w:r>
          </w:p>
        </w:tc>
        <w:tc>
          <w:tcPr>
            <w:tcW w:w="1417" w:type="dxa"/>
          </w:tcPr>
          <w:p w:rsidR="008F0A6C" w:rsidRPr="00C11AAD" w:rsidRDefault="008F0A6C" w:rsidP="00BD4C28">
            <w:pPr>
              <w:pStyle w:val="Tabletext"/>
              <w:keepNext/>
              <w:jc w:val="center"/>
            </w:pPr>
            <w:r w:rsidRPr="00C11AAD">
              <w:t>40/248 (16.1)</w:t>
            </w:r>
          </w:p>
        </w:tc>
        <w:tc>
          <w:tcPr>
            <w:tcW w:w="1402" w:type="dxa"/>
          </w:tcPr>
          <w:p w:rsidR="008F0A6C" w:rsidRPr="00C11AAD" w:rsidRDefault="008F0A6C" w:rsidP="00BD4C28">
            <w:pPr>
              <w:pStyle w:val="Tabletext"/>
              <w:keepNext/>
              <w:jc w:val="center"/>
            </w:pPr>
            <w:r w:rsidRPr="00C11AAD">
              <w:t>13/248 (5.2)</w:t>
            </w:r>
          </w:p>
        </w:tc>
        <w:tc>
          <w:tcPr>
            <w:tcW w:w="1641" w:type="dxa"/>
          </w:tcPr>
          <w:p w:rsidR="008F0A6C" w:rsidRPr="00C11AAD" w:rsidRDefault="008F0A6C" w:rsidP="00BD4C28">
            <w:pPr>
              <w:pStyle w:val="Tabletext"/>
              <w:keepNext/>
              <w:jc w:val="center"/>
            </w:pPr>
            <w:r w:rsidRPr="00C11AAD">
              <w:t>19/248 (7.7)</w:t>
            </w:r>
          </w:p>
        </w:tc>
        <w:tc>
          <w:tcPr>
            <w:tcW w:w="1556" w:type="dxa"/>
          </w:tcPr>
          <w:p w:rsidR="008F0A6C" w:rsidRPr="00C11AAD" w:rsidRDefault="008F0A6C" w:rsidP="00BD4C28">
            <w:pPr>
              <w:pStyle w:val="Tabletext"/>
              <w:keepNext/>
              <w:jc w:val="center"/>
            </w:pPr>
            <w:r w:rsidRPr="00C11AAD">
              <w:t>12/248 (4.8)</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SITA 100 mg + MET</w:t>
            </w:r>
          </w:p>
        </w:tc>
        <w:tc>
          <w:tcPr>
            <w:tcW w:w="1417" w:type="dxa"/>
          </w:tcPr>
          <w:p w:rsidR="008F0A6C" w:rsidRPr="00C11AAD" w:rsidRDefault="008F0A6C" w:rsidP="00BD4C28">
            <w:pPr>
              <w:pStyle w:val="Tabletext"/>
              <w:keepNext/>
              <w:jc w:val="center"/>
            </w:pPr>
            <w:r w:rsidRPr="00C11AAD">
              <w:t>21/247 (8.5)</w:t>
            </w:r>
          </w:p>
        </w:tc>
        <w:tc>
          <w:tcPr>
            <w:tcW w:w="1402" w:type="dxa"/>
          </w:tcPr>
          <w:p w:rsidR="008F0A6C" w:rsidRPr="00C11AAD" w:rsidRDefault="008F0A6C" w:rsidP="00BD4C28">
            <w:pPr>
              <w:pStyle w:val="Tabletext"/>
              <w:keepNext/>
              <w:jc w:val="center"/>
            </w:pPr>
            <w:r w:rsidRPr="00C11AAD">
              <w:t>11/247 (4.5)</w:t>
            </w:r>
          </w:p>
        </w:tc>
        <w:tc>
          <w:tcPr>
            <w:tcW w:w="1641" w:type="dxa"/>
          </w:tcPr>
          <w:p w:rsidR="008F0A6C" w:rsidRPr="00C11AAD" w:rsidRDefault="008F0A6C" w:rsidP="00BD4C28">
            <w:pPr>
              <w:pStyle w:val="Tabletext"/>
              <w:keepNext/>
              <w:jc w:val="center"/>
            </w:pPr>
            <w:r w:rsidRPr="00C11AAD">
              <w:t>13/247 (5.3)</w:t>
            </w:r>
          </w:p>
        </w:tc>
        <w:tc>
          <w:tcPr>
            <w:tcW w:w="1556" w:type="dxa"/>
          </w:tcPr>
          <w:p w:rsidR="008F0A6C" w:rsidRPr="00C11AAD" w:rsidRDefault="008F0A6C" w:rsidP="00BD4C28">
            <w:pPr>
              <w:pStyle w:val="Tabletext"/>
              <w:keepNext/>
              <w:jc w:val="center"/>
            </w:pPr>
            <w:r w:rsidRPr="00C11AAD">
              <w:t>2/247 (0.8)</w:t>
            </w:r>
          </w:p>
        </w:tc>
      </w:tr>
      <w:tr w:rsidR="008F0A6C" w:rsidRPr="00C11AAD" w:rsidTr="00981645">
        <w:tc>
          <w:tcPr>
            <w:tcW w:w="9248" w:type="dxa"/>
            <w:gridSpan w:val="6"/>
            <w:vAlign w:val="center"/>
          </w:tcPr>
          <w:p w:rsidR="008F0A6C" w:rsidRPr="00C11AAD" w:rsidRDefault="008F0A6C" w:rsidP="00BD4C28">
            <w:pPr>
              <w:pStyle w:val="Tabletext"/>
              <w:keepNext/>
              <w:rPr>
                <w:b/>
              </w:rPr>
            </w:pPr>
            <w:proofErr w:type="spellStart"/>
            <w:r w:rsidRPr="00C11AAD">
              <w:rPr>
                <w:b/>
              </w:rPr>
              <w:t>Ertugliflozin</w:t>
            </w:r>
            <w:proofErr w:type="spellEnd"/>
            <w:r w:rsidRPr="00C11AAD">
              <w:rPr>
                <w:b/>
              </w:rPr>
              <w:t xml:space="preserve"> + metformin vs glimepiride + metformin</w:t>
            </w:r>
          </w:p>
        </w:tc>
      </w:tr>
      <w:tr w:rsidR="008F0A6C" w:rsidRPr="00C11AAD" w:rsidTr="00981645">
        <w:tc>
          <w:tcPr>
            <w:tcW w:w="1389" w:type="dxa"/>
            <w:vMerge w:val="restart"/>
            <w:vAlign w:val="center"/>
          </w:tcPr>
          <w:p w:rsidR="008F0A6C" w:rsidRPr="00C11AAD" w:rsidRDefault="008F0A6C" w:rsidP="00BD4C28">
            <w:pPr>
              <w:pStyle w:val="Tabletext"/>
              <w:keepNext/>
            </w:pPr>
            <w:r w:rsidRPr="00C11AAD">
              <w:t>P002 52 weeks</w:t>
            </w:r>
          </w:p>
        </w:tc>
        <w:tc>
          <w:tcPr>
            <w:tcW w:w="1843" w:type="dxa"/>
            <w:vAlign w:val="center"/>
          </w:tcPr>
          <w:p w:rsidR="008F0A6C" w:rsidRPr="00C11AAD" w:rsidRDefault="008F0A6C" w:rsidP="00BD4C28">
            <w:pPr>
              <w:pStyle w:val="Tabletext"/>
              <w:keepNext/>
            </w:pPr>
            <w:r w:rsidRPr="00C11AAD">
              <w:t>ERTU 5 mg + MET</w:t>
            </w:r>
          </w:p>
        </w:tc>
        <w:tc>
          <w:tcPr>
            <w:tcW w:w="1417" w:type="dxa"/>
          </w:tcPr>
          <w:p w:rsidR="008F0A6C" w:rsidRPr="00C11AAD" w:rsidRDefault="008F0A6C" w:rsidP="00BD4C28">
            <w:pPr>
              <w:pStyle w:val="Tabletext"/>
              <w:keepNext/>
              <w:jc w:val="center"/>
            </w:pPr>
            <w:r w:rsidRPr="00C11AAD">
              <w:t>82/448 (18.3)</w:t>
            </w:r>
          </w:p>
        </w:tc>
        <w:tc>
          <w:tcPr>
            <w:tcW w:w="1402" w:type="dxa"/>
          </w:tcPr>
          <w:p w:rsidR="008F0A6C" w:rsidRPr="00C11AAD" w:rsidRDefault="008F0A6C" w:rsidP="00BD4C28">
            <w:pPr>
              <w:pStyle w:val="Tabletext"/>
              <w:keepNext/>
              <w:jc w:val="center"/>
            </w:pPr>
            <w:r w:rsidRPr="00C11AAD">
              <w:t>17/448 (3.8)</w:t>
            </w:r>
          </w:p>
        </w:tc>
        <w:tc>
          <w:tcPr>
            <w:tcW w:w="1641" w:type="dxa"/>
          </w:tcPr>
          <w:p w:rsidR="008F0A6C" w:rsidRPr="00C11AAD" w:rsidRDefault="008F0A6C" w:rsidP="00BD4C28">
            <w:pPr>
              <w:pStyle w:val="Tabletext"/>
              <w:keepNext/>
              <w:jc w:val="center"/>
            </w:pPr>
            <w:r w:rsidRPr="00C11AAD">
              <w:t>23/448 (5.1)</w:t>
            </w:r>
          </w:p>
        </w:tc>
        <w:tc>
          <w:tcPr>
            <w:tcW w:w="1556" w:type="dxa"/>
          </w:tcPr>
          <w:p w:rsidR="008F0A6C" w:rsidRPr="00C11AAD" w:rsidRDefault="008F0A6C" w:rsidP="00BD4C28">
            <w:pPr>
              <w:pStyle w:val="Tabletext"/>
              <w:keepNext/>
              <w:jc w:val="center"/>
            </w:pPr>
            <w:r w:rsidRPr="00C11AAD">
              <w:t>2/448 (0.5)</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ERTU 15 mg + MET</w:t>
            </w:r>
          </w:p>
        </w:tc>
        <w:tc>
          <w:tcPr>
            <w:tcW w:w="1417" w:type="dxa"/>
          </w:tcPr>
          <w:p w:rsidR="008F0A6C" w:rsidRPr="00C11AAD" w:rsidRDefault="008F0A6C" w:rsidP="00BD4C28">
            <w:pPr>
              <w:pStyle w:val="Tabletext"/>
              <w:keepNext/>
              <w:jc w:val="center"/>
            </w:pPr>
            <w:r w:rsidRPr="00C11AAD">
              <w:t>95/440 (21.6)</w:t>
            </w:r>
          </w:p>
        </w:tc>
        <w:tc>
          <w:tcPr>
            <w:tcW w:w="1402" w:type="dxa"/>
          </w:tcPr>
          <w:p w:rsidR="008F0A6C" w:rsidRPr="00C11AAD" w:rsidRDefault="008F0A6C" w:rsidP="00BD4C28">
            <w:pPr>
              <w:pStyle w:val="Tabletext"/>
              <w:keepNext/>
              <w:jc w:val="center"/>
            </w:pPr>
            <w:r w:rsidRPr="00C11AAD">
              <w:t>25/440 (5.7)</w:t>
            </w:r>
          </w:p>
        </w:tc>
        <w:tc>
          <w:tcPr>
            <w:tcW w:w="1641" w:type="dxa"/>
          </w:tcPr>
          <w:p w:rsidR="008F0A6C" w:rsidRPr="00C11AAD" w:rsidRDefault="008F0A6C" w:rsidP="00BD4C28">
            <w:pPr>
              <w:pStyle w:val="Tabletext"/>
              <w:keepNext/>
              <w:jc w:val="center"/>
            </w:pPr>
            <w:r w:rsidRPr="00C11AAD">
              <w:t>20/440 (4.6)</w:t>
            </w:r>
          </w:p>
        </w:tc>
        <w:tc>
          <w:tcPr>
            <w:tcW w:w="1556" w:type="dxa"/>
          </w:tcPr>
          <w:p w:rsidR="008F0A6C" w:rsidRPr="00C11AAD" w:rsidRDefault="008F0A6C" w:rsidP="00BD4C28">
            <w:pPr>
              <w:pStyle w:val="Tabletext"/>
              <w:keepNext/>
              <w:jc w:val="center"/>
            </w:pPr>
            <w:r w:rsidRPr="00C11AAD">
              <w:t>4/440 (0.9)</w:t>
            </w:r>
          </w:p>
        </w:tc>
      </w:tr>
      <w:tr w:rsidR="008F0A6C" w:rsidRPr="00C11AAD" w:rsidTr="00981645">
        <w:tc>
          <w:tcPr>
            <w:tcW w:w="1389" w:type="dxa"/>
            <w:vMerge/>
            <w:vAlign w:val="center"/>
          </w:tcPr>
          <w:p w:rsidR="008F0A6C" w:rsidRPr="00C11AAD" w:rsidRDefault="008F0A6C" w:rsidP="00BD4C28">
            <w:pPr>
              <w:pStyle w:val="Tabletext"/>
              <w:keepNext/>
            </w:pPr>
          </w:p>
        </w:tc>
        <w:tc>
          <w:tcPr>
            <w:tcW w:w="1843" w:type="dxa"/>
            <w:vAlign w:val="center"/>
          </w:tcPr>
          <w:p w:rsidR="008F0A6C" w:rsidRPr="00C11AAD" w:rsidRDefault="008F0A6C" w:rsidP="00BD4C28">
            <w:pPr>
              <w:pStyle w:val="Tabletext"/>
              <w:keepNext/>
            </w:pPr>
            <w:r w:rsidRPr="00C11AAD">
              <w:t>GLIM + MET</w:t>
            </w:r>
          </w:p>
        </w:tc>
        <w:tc>
          <w:tcPr>
            <w:tcW w:w="1417" w:type="dxa"/>
          </w:tcPr>
          <w:p w:rsidR="008F0A6C" w:rsidRPr="00C11AAD" w:rsidRDefault="008F0A6C" w:rsidP="00BD4C28">
            <w:pPr>
              <w:pStyle w:val="Tabletext"/>
              <w:keepNext/>
              <w:jc w:val="center"/>
            </w:pPr>
            <w:r w:rsidRPr="00C11AAD">
              <w:t>78/437 (17.8)</w:t>
            </w:r>
          </w:p>
        </w:tc>
        <w:tc>
          <w:tcPr>
            <w:tcW w:w="1402" w:type="dxa"/>
          </w:tcPr>
          <w:p w:rsidR="008F0A6C" w:rsidRPr="00C11AAD" w:rsidRDefault="008F0A6C" w:rsidP="00BD4C28">
            <w:pPr>
              <w:pStyle w:val="Tabletext"/>
              <w:keepNext/>
              <w:jc w:val="center"/>
            </w:pPr>
            <w:r w:rsidRPr="00C11AAD">
              <w:t>96/437 (22.0)</w:t>
            </w:r>
          </w:p>
        </w:tc>
        <w:tc>
          <w:tcPr>
            <w:tcW w:w="1641" w:type="dxa"/>
          </w:tcPr>
          <w:p w:rsidR="008F0A6C" w:rsidRPr="00C11AAD" w:rsidRDefault="008F0A6C" w:rsidP="00BD4C28">
            <w:pPr>
              <w:pStyle w:val="Tabletext"/>
              <w:keepNext/>
              <w:jc w:val="center"/>
            </w:pPr>
            <w:r w:rsidRPr="00C11AAD">
              <w:t>24/437 (5.5)</w:t>
            </w:r>
          </w:p>
        </w:tc>
        <w:tc>
          <w:tcPr>
            <w:tcW w:w="1556" w:type="dxa"/>
          </w:tcPr>
          <w:p w:rsidR="008F0A6C" w:rsidRPr="00C11AAD" w:rsidRDefault="008F0A6C" w:rsidP="00BD4C28">
            <w:pPr>
              <w:pStyle w:val="Tabletext"/>
              <w:keepNext/>
              <w:jc w:val="center"/>
            </w:pPr>
            <w:r w:rsidRPr="00C11AAD">
              <w:t>0/437 (0.0)</w:t>
            </w:r>
          </w:p>
        </w:tc>
      </w:tr>
    </w:tbl>
    <w:p w:rsidR="008F0A6C" w:rsidRPr="00C11AAD" w:rsidRDefault="008F0A6C" w:rsidP="008F0A6C">
      <w:pPr>
        <w:pStyle w:val="TableFooter"/>
      </w:pPr>
      <w:r w:rsidRPr="00C11AAD">
        <w:t>Note: Trials P007, P002 and P005 26 week analysis excluded safety data after initiation of glycaemic rescue therapy, while P005 52 week analysis included this safety data. Rescue medicine was not offered in trial P016</w:t>
      </w:r>
    </w:p>
    <w:p w:rsidR="008F0A6C" w:rsidRPr="00C11AAD" w:rsidRDefault="008F0A6C" w:rsidP="008F0A6C">
      <w:pPr>
        <w:pStyle w:val="TableFooter"/>
      </w:pPr>
      <w:r w:rsidRPr="00C11AAD">
        <w:t xml:space="preserve">Abbreviations: AE, adverse event; ERTU, </w:t>
      </w:r>
      <w:proofErr w:type="spellStart"/>
      <w:r w:rsidRPr="00C11AAD">
        <w:t>ertugliflozin</w:t>
      </w:r>
      <w:proofErr w:type="spellEnd"/>
      <w:r w:rsidRPr="00C11AAD">
        <w:t xml:space="preserve">; GLIM, glimepiride; MET, metformin; PBO, placebo; SITA, </w:t>
      </w:r>
      <w:proofErr w:type="spellStart"/>
      <w:r w:rsidRPr="00C11AAD">
        <w:t>sitagliptin</w:t>
      </w:r>
      <w:proofErr w:type="spellEnd"/>
      <w:r w:rsidRPr="00C11AAD">
        <w:t>; UTI, urinary tract infection</w:t>
      </w:r>
    </w:p>
    <w:p w:rsidR="008F0A6C" w:rsidRPr="00C11AAD" w:rsidRDefault="008F0A6C" w:rsidP="008F0A6C">
      <w:pPr>
        <w:pStyle w:val="TableFooter"/>
        <w:rPr>
          <w:sz w:val="20"/>
        </w:rPr>
      </w:pPr>
      <w:r w:rsidRPr="00C11AAD">
        <w:t>Source: Table 2-21, Section 2.5.2.1 of the submission</w:t>
      </w:r>
    </w:p>
    <w:p w:rsidR="008F0A6C" w:rsidRPr="00C11AAD" w:rsidRDefault="008F0A6C" w:rsidP="00985C8D">
      <w:pPr>
        <w:pStyle w:val="ListParagraph"/>
        <w:widowControl/>
        <w:numPr>
          <w:ilvl w:val="1"/>
          <w:numId w:val="2"/>
        </w:numPr>
        <w:spacing w:before="120" w:after="120"/>
        <w:rPr>
          <w:szCs w:val="24"/>
        </w:rPr>
      </w:pPr>
      <w:r w:rsidRPr="00C11AAD">
        <w:t xml:space="preserve">Treatment related adverse events were higher in the </w:t>
      </w:r>
      <w:proofErr w:type="spellStart"/>
      <w:r w:rsidRPr="00C11AAD">
        <w:t>ertugliflozin</w:t>
      </w:r>
      <w:proofErr w:type="spellEnd"/>
      <w:r w:rsidRPr="00C11AAD">
        <w:t xml:space="preserve"> arms than in the comparator arms of the included trials, mainly due to the higher number of adverse events in the categories of gastrointestinal disorders, infections and infestations (e.g. urinary tract infections), and reproductive system and breast disorders (genital infections). Overall, the adverse events observed in the included </w:t>
      </w:r>
      <w:proofErr w:type="spellStart"/>
      <w:r w:rsidRPr="00C11AAD">
        <w:t>ertugliflozin</w:t>
      </w:r>
      <w:proofErr w:type="spellEnd"/>
      <w:r w:rsidRPr="00C11AAD">
        <w:t xml:space="preserve"> trials occurred in relatively few patients and were consistent with the known safety profile of SGLT2 inhibitors.</w:t>
      </w:r>
    </w:p>
    <w:p w:rsidR="009063A8" w:rsidRPr="00C11AAD" w:rsidRDefault="009063A8" w:rsidP="00985C8D">
      <w:pPr>
        <w:pStyle w:val="ListParagraph"/>
        <w:widowControl/>
        <w:numPr>
          <w:ilvl w:val="1"/>
          <w:numId w:val="2"/>
        </w:numPr>
        <w:spacing w:after="120"/>
        <w:rPr>
          <w:rFonts w:cs="Calibri"/>
          <w:snapToGrid/>
          <w:szCs w:val="24"/>
          <w:lang w:val="en-US" w:eastAsia="en-AU"/>
        </w:rPr>
      </w:pPr>
      <w:r w:rsidRPr="00C11AAD">
        <w:rPr>
          <w:rFonts w:cs="Calibri"/>
          <w:snapToGrid/>
          <w:szCs w:val="24"/>
          <w:lang w:val="en-US" w:eastAsia="en-AU"/>
        </w:rPr>
        <w:t xml:space="preserve">The submission </w:t>
      </w:r>
      <w:proofErr w:type="spellStart"/>
      <w:r w:rsidRPr="00C11AAD">
        <w:rPr>
          <w:rFonts w:cs="Calibri"/>
          <w:snapToGrid/>
          <w:szCs w:val="24"/>
          <w:lang w:val="en-US" w:eastAsia="en-AU"/>
        </w:rPr>
        <w:t>summarised</w:t>
      </w:r>
      <w:proofErr w:type="spellEnd"/>
      <w:r w:rsidRPr="00C11AAD">
        <w:rPr>
          <w:rFonts w:cs="Calibri"/>
          <w:snapToGrid/>
          <w:szCs w:val="24"/>
          <w:lang w:val="en-US" w:eastAsia="en-AU"/>
        </w:rPr>
        <w:t xml:space="preserve"> the indirect analyses of any adverse event, serious adverse events, </w:t>
      </w:r>
      <w:proofErr w:type="gramStart"/>
      <w:r w:rsidRPr="00C11AAD">
        <w:rPr>
          <w:rFonts w:cs="Calibri"/>
          <w:snapToGrid/>
          <w:szCs w:val="24"/>
          <w:lang w:val="en-US" w:eastAsia="en-AU"/>
        </w:rPr>
        <w:t>adverse</w:t>
      </w:r>
      <w:proofErr w:type="gramEnd"/>
      <w:r w:rsidRPr="00C11AAD">
        <w:rPr>
          <w:rFonts w:cs="Calibri"/>
          <w:snapToGrid/>
          <w:szCs w:val="24"/>
          <w:lang w:val="en-US" w:eastAsia="en-AU"/>
        </w:rPr>
        <w:t xml:space="preserve"> events leading to discontinuation, </w:t>
      </w:r>
      <w:proofErr w:type="spellStart"/>
      <w:r w:rsidRPr="00C11AAD">
        <w:rPr>
          <w:rFonts w:cs="Calibri"/>
          <w:snapToGrid/>
          <w:szCs w:val="24"/>
          <w:lang w:val="en-US" w:eastAsia="en-AU"/>
        </w:rPr>
        <w:t>hypoglycaemia</w:t>
      </w:r>
      <w:proofErr w:type="spellEnd"/>
      <w:r w:rsidRPr="00C11AAD">
        <w:rPr>
          <w:rFonts w:cs="Calibri"/>
          <w:snapToGrid/>
          <w:szCs w:val="24"/>
          <w:lang w:val="en-US" w:eastAsia="en-AU"/>
        </w:rPr>
        <w:t xml:space="preserve"> events, urinary tract infections or genital infections. There were no statistically significant differences in adverse events between </w:t>
      </w: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w:t>
      </w:r>
      <w:proofErr w:type="spellStart"/>
      <w:r w:rsidRPr="00C11AAD">
        <w:rPr>
          <w:rFonts w:cs="Calibri"/>
          <w:snapToGrid/>
          <w:szCs w:val="24"/>
          <w:lang w:val="en-US" w:eastAsia="en-AU"/>
        </w:rPr>
        <w:t>dapagliflozin</w:t>
      </w:r>
      <w:proofErr w:type="spellEnd"/>
      <w:r w:rsidRPr="00C11AAD">
        <w:rPr>
          <w:rFonts w:cs="Calibri"/>
          <w:snapToGrid/>
          <w:szCs w:val="24"/>
          <w:lang w:val="en-US" w:eastAsia="en-AU"/>
        </w:rPr>
        <w:t xml:space="preserve"> and </w:t>
      </w:r>
      <w:proofErr w:type="spellStart"/>
      <w:r w:rsidRPr="00C11AAD">
        <w:rPr>
          <w:rFonts w:cs="Calibri"/>
          <w:snapToGrid/>
          <w:szCs w:val="24"/>
          <w:lang w:val="en-US" w:eastAsia="en-AU"/>
        </w:rPr>
        <w:t>empagliflozin</w:t>
      </w:r>
      <w:proofErr w:type="spellEnd"/>
      <w:r w:rsidRPr="00C11AAD">
        <w:rPr>
          <w:rFonts w:cs="Calibri"/>
          <w:snapToGrid/>
          <w:szCs w:val="24"/>
          <w:lang w:val="en-US" w:eastAsia="en-AU"/>
        </w:rPr>
        <w:t>. These analyses were largely uninformative given the methodological limitations of the indirect analyses and the lack of statistical power to detect differences in adverse event incidence.</w:t>
      </w:r>
    </w:p>
    <w:p w:rsidR="00B60939" w:rsidRPr="009B4098" w:rsidRDefault="00B60939" w:rsidP="00CF5F42">
      <w:pPr>
        <w:pStyle w:val="Heading2"/>
      </w:pPr>
      <w:bookmarkStart w:id="10" w:name="_Toc503874318"/>
      <w:r w:rsidRPr="009B4098">
        <w:t>Clinical claim</w:t>
      </w:r>
      <w:bookmarkEnd w:id="10"/>
    </w:p>
    <w:p w:rsidR="00FE2275" w:rsidRDefault="00A52637" w:rsidP="00985C8D">
      <w:pPr>
        <w:pStyle w:val="ListParagraph"/>
        <w:widowControl/>
        <w:numPr>
          <w:ilvl w:val="1"/>
          <w:numId w:val="2"/>
        </w:numPr>
        <w:spacing w:after="120"/>
      </w:pPr>
      <w:r w:rsidRPr="00C11AAD">
        <w:t xml:space="preserve">The submission described </w:t>
      </w:r>
      <w:proofErr w:type="spellStart"/>
      <w:r w:rsidRPr="00C11AAD">
        <w:t>ertugliflozin</w:t>
      </w:r>
      <w:proofErr w:type="spellEnd"/>
      <w:r w:rsidRPr="00C11AAD">
        <w:t xml:space="preserve"> 5 mg and 15 mg as non-inferior in terms of effectiveness compared with </w:t>
      </w:r>
      <w:proofErr w:type="spellStart"/>
      <w:r w:rsidRPr="00C11AAD">
        <w:t>dapagliflozin</w:t>
      </w:r>
      <w:proofErr w:type="spellEnd"/>
      <w:r w:rsidRPr="00C11AAD">
        <w:t xml:space="preserve"> 10 mg or </w:t>
      </w:r>
      <w:proofErr w:type="spellStart"/>
      <w:r w:rsidRPr="00C11AAD">
        <w:t>empagliflozin</w:t>
      </w:r>
      <w:proofErr w:type="spellEnd"/>
      <w:r w:rsidRPr="00C11AAD">
        <w:t xml:space="preserve"> 10 mg or 25 mg, when used in dual oral combination with metformin for the treatment of patients with type 2 diabetes. The submission described </w:t>
      </w:r>
      <w:proofErr w:type="spellStart"/>
      <w:r w:rsidRPr="00C11AAD">
        <w:t>ertugliflozin</w:t>
      </w:r>
      <w:proofErr w:type="spellEnd"/>
      <w:r w:rsidRPr="00C11AAD">
        <w:t xml:space="preserve"> 5 mg and 15 mg as non</w:t>
      </w:r>
      <w:r w:rsidR="00BA57B7">
        <w:noBreakHyphen/>
      </w:r>
      <w:r w:rsidRPr="00C11AAD">
        <w:t xml:space="preserve">inferior in terms of safety compared to </w:t>
      </w:r>
      <w:proofErr w:type="spellStart"/>
      <w:r w:rsidRPr="00C11AAD">
        <w:t>dapagliflozin</w:t>
      </w:r>
      <w:proofErr w:type="spellEnd"/>
      <w:r w:rsidRPr="00C11AAD">
        <w:t xml:space="preserve"> or </w:t>
      </w:r>
      <w:proofErr w:type="spellStart"/>
      <w:r w:rsidRPr="00C11AAD">
        <w:t>empagliflozin</w:t>
      </w:r>
      <w:proofErr w:type="spellEnd"/>
      <w:r w:rsidRPr="00C11AAD">
        <w:t xml:space="preserve">, when </w:t>
      </w:r>
      <w:r w:rsidRPr="00C11AAD">
        <w:lastRenderedPageBreak/>
        <w:t>used in dual oral combination with metformin in patients with type 2 diabetes.</w:t>
      </w:r>
      <w:r w:rsidR="00E6183E" w:rsidRPr="00C11AAD">
        <w:t xml:space="preserve"> </w:t>
      </w:r>
      <w:r w:rsidR="002720EA">
        <w:t>The PBAC considered that t</w:t>
      </w:r>
      <w:r w:rsidR="00E6183E" w:rsidRPr="00C11AAD">
        <w:t>his claim was supported by the evidence presented in the submission</w:t>
      </w:r>
      <w:r w:rsidR="00FE2275" w:rsidRPr="00C11AAD">
        <w:t>.</w:t>
      </w:r>
    </w:p>
    <w:p w:rsidR="00901937" w:rsidRPr="00C11AAD" w:rsidRDefault="00901937" w:rsidP="00985C8D">
      <w:pPr>
        <w:pStyle w:val="ListParagraph"/>
        <w:widowControl/>
        <w:numPr>
          <w:ilvl w:val="1"/>
          <w:numId w:val="2"/>
        </w:numPr>
        <w:spacing w:after="120"/>
      </w:pPr>
      <w:r>
        <w:rPr>
          <w:rFonts w:asciiTheme="minorHAnsi" w:hAnsiTheme="minorHAnsi"/>
          <w:bCs/>
          <w:lang w:val="en-GB"/>
        </w:rPr>
        <w:t xml:space="preserve">The PBAC considered that the evidence provided in the submission did not support the clinical need for the 15 mg </w:t>
      </w:r>
      <w:proofErr w:type="spellStart"/>
      <w:r w:rsidRPr="003E169F">
        <w:rPr>
          <w:rFonts w:asciiTheme="minorHAnsi" w:hAnsiTheme="minorHAnsi"/>
          <w:bCs/>
          <w:lang w:val="en-GB"/>
        </w:rPr>
        <w:t>ertugliflozin</w:t>
      </w:r>
      <w:proofErr w:type="spellEnd"/>
      <w:r w:rsidRPr="003E169F">
        <w:rPr>
          <w:rFonts w:asciiTheme="minorHAnsi" w:hAnsiTheme="minorHAnsi"/>
          <w:bCs/>
          <w:lang w:val="en-GB"/>
        </w:rPr>
        <w:t xml:space="preserve"> </w:t>
      </w:r>
      <w:r>
        <w:rPr>
          <w:rFonts w:asciiTheme="minorHAnsi" w:hAnsiTheme="minorHAnsi"/>
          <w:bCs/>
          <w:lang w:val="en-GB"/>
        </w:rPr>
        <w:t>or 7</w:t>
      </w:r>
      <w:r w:rsidRPr="003E169F">
        <w:rPr>
          <w:rFonts w:asciiTheme="minorHAnsi" w:hAnsiTheme="minorHAnsi"/>
          <w:bCs/>
          <w:lang w:val="en-GB"/>
        </w:rPr>
        <w:t xml:space="preserve">.5 mg </w:t>
      </w:r>
      <w:proofErr w:type="spellStart"/>
      <w:r w:rsidRPr="003E169F">
        <w:rPr>
          <w:rFonts w:asciiTheme="minorHAnsi" w:hAnsiTheme="minorHAnsi"/>
          <w:bCs/>
          <w:lang w:val="en-GB"/>
        </w:rPr>
        <w:t>ertugliflozin</w:t>
      </w:r>
      <w:proofErr w:type="spellEnd"/>
      <w:r w:rsidRPr="003E169F">
        <w:rPr>
          <w:rFonts w:asciiTheme="minorHAnsi" w:hAnsiTheme="minorHAnsi"/>
          <w:bCs/>
          <w:lang w:val="en-GB"/>
        </w:rPr>
        <w:t xml:space="preserve"> with 500 mg/1 g metformin fixed dose combination</w:t>
      </w:r>
      <w:r>
        <w:rPr>
          <w:rFonts w:asciiTheme="minorHAnsi" w:hAnsiTheme="minorHAnsi"/>
          <w:bCs/>
          <w:lang w:val="en-GB"/>
        </w:rPr>
        <w:t>s for listing, especially given the doubt as to the non-inferior safety profile compared to their respective comparators.</w:t>
      </w:r>
    </w:p>
    <w:p w:rsidR="00755D7D" w:rsidRDefault="00FE2275" w:rsidP="009B4098">
      <w:pPr>
        <w:pStyle w:val="ListParagraph"/>
        <w:widowControl/>
        <w:numPr>
          <w:ilvl w:val="1"/>
          <w:numId w:val="2"/>
        </w:numPr>
        <w:spacing w:after="120"/>
        <w:ind w:left="709" w:hanging="709"/>
        <w:rPr>
          <w:rFonts w:cs="Calibri"/>
          <w:snapToGrid/>
          <w:szCs w:val="24"/>
          <w:lang w:val="en-US" w:eastAsia="en-AU"/>
        </w:rPr>
      </w:pPr>
      <w:r w:rsidRPr="00755D7D">
        <w:rPr>
          <w:rFonts w:cs="Calibri"/>
          <w:snapToGrid/>
          <w:szCs w:val="24"/>
          <w:lang w:val="en-US" w:eastAsia="en-AU"/>
        </w:rPr>
        <w:t xml:space="preserve">The </w:t>
      </w:r>
      <w:r w:rsidR="00336B23" w:rsidRPr="00755D7D">
        <w:rPr>
          <w:rFonts w:cs="Calibri"/>
          <w:snapToGrid/>
          <w:szCs w:val="24"/>
          <w:lang w:val="en-US" w:eastAsia="en-AU"/>
        </w:rPr>
        <w:t xml:space="preserve">PBAC </w:t>
      </w:r>
      <w:r w:rsidR="0027321D" w:rsidRPr="00755D7D">
        <w:rPr>
          <w:rFonts w:cs="Calibri"/>
          <w:snapToGrid/>
          <w:szCs w:val="24"/>
          <w:lang w:val="en-US" w:eastAsia="en-AU"/>
        </w:rPr>
        <w:t>noted</w:t>
      </w:r>
      <w:r w:rsidRPr="00755D7D">
        <w:rPr>
          <w:rFonts w:cs="Calibri"/>
          <w:snapToGrid/>
          <w:szCs w:val="24"/>
          <w:lang w:val="en-US" w:eastAsia="en-AU"/>
        </w:rPr>
        <w:t xml:space="preserve"> the limitations of the available evidence </w:t>
      </w:r>
      <w:r w:rsidR="00E65341">
        <w:rPr>
          <w:rFonts w:cs="Calibri"/>
          <w:snapToGrid/>
          <w:szCs w:val="24"/>
          <w:lang w:val="en-US" w:eastAsia="en-AU"/>
        </w:rPr>
        <w:t xml:space="preserve">from indirect analyses </w:t>
      </w:r>
      <w:r w:rsidRPr="00755D7D">
        <w:rPr>
          <w:rFonts w:cs="Calibri"/>
          <w:snapToGrid/>
          <w:szCs w:val="24"/>
          <w:lang w:val="en-US" w:eastAsia="en-AU"/>
        </w:rPr>
        <w:t xml:space="preserve">(uncertain comparability of trials, inappropriate handling of multi-arm trials, potentially relevant data from additional time points </w:t>
      </w:r>
      <w:r w:rsidR="00BD0610" w:rsidRPr="001A05C8">
        <w:rPr>
          <w:rFonts w:cs="Calibri"/>
          <w:snapToGrid/>
          <w:szCs w:val="24"/>
          <w:lang w:val="en-US" w:eastAsia="en-AU"/>
        </w:rPr>
        <w:t xml:space="preserve">being </w:t>
      </w:r>
      <w:r w:rsidRPr="001A05C8">
        <w:rPr>
          <w:rFonts w:cs="Calibri"/>
          <w:snapToGrid/>
          <w:szCs w:val="24"/>
          <w:lang w:val="en-US" w:eastAsia="en-AU"/>
        </w:rPr>
        <w:t>excluded from some analyses, pooling treatment effect estimates from</w:t>
      </w:r>
      <w:r w:rsidRPr="00A15824">
        <w:rPr>
          <w:rFonts w:cs="Calibri"/>
          <w:snapToGrid/>
          <w:szCs w:val="24"/>
          <w:lang w:val="en-US" w:eastAsia="en-AU"/>
        </w:rPr>
        <w:t xml:space="preserve"> different drugs)</w:t>
      </w:r>
      <w:r w:rsidR="0027321D" w:rsidRPr="00A15824">
        <w:rPr>
          <w:rFonts w:cs="Calibri"/>
          <w:snapToGrid/>
          <w:szCs w:val="24"/>
          <w:lang w:val="en-US" w:eastAsia="en-AU"/>
        </w:rPr>
        <w:t xml:space="preserve">, but considered the data submitted was acceptable despite a </w:t>
      </w:r>
      <w:r w:rsidR="00BA57B7">
        <w:rPr>
          <w:rFonts w:cs="Calibri"/>
          <w:snapToGrid/>
          <w:szCs w:val="24"/>
          <w:lang w:val="en-US" w:eastAsia="en-AU"/>
        </w:rPr>
        <w:t xml:space="preserve">potential </w:t>
      </w:r>
      <w:r w:rsidR="0027321D" w:rsidRPr="00A15824">
        <w:rPr>
          <w:rFonts w:cs="Calibri"/>
          <w:snapToGrid/>
          <w:szCs w:val="24"/>
          <w:lang w:val="en-US" w:eastAsia="en-AU"/>
        </w:rPr>
        <w:t>lack</w:t>
      </w:r>
      <w:r w:rsidR="00BA57B7">
        <w:rPr>
          <w:rFonts w:cs="Calibri"/>
          <w:snapToGrid/>
          <w:szCs w:val="24"/>
          <w:lang w:val="en-US" w:eastAsia="en-AU"/>
        </w:rPr>
        <w:t xml:space="preserve"> of</w:t>
      </w:r>
      <w:r w:rsidR="0027321D" w:rsidRPr="00A15824">
        <w:rPr>
          <w:rFonts w:cs="Calibri"/>
          <w:snapToGrid/>
          <w:szCs w:val="24"/>
          <w:lang w:val="en-US" w:eastAsia="en-AU"/>
        </w:rPr>
        <w:t xml:space="preserve"> transitivity</w:t>
      </w:r>
      <w:r w:rsidR="00336B23" w:rsidRPr="00726BA9">
        <w:rPr>
          <w:rFonts w:cs="Calibri"/>
          <w:snapToGrid/>
          <w:szCs w:val="24"/>
          <w:lang w:val="en-US" w:eastAsia="en-AU"/>
        </w:rPr>
        <w:t>.</w:t>
      </w:r>
      <w:r w:rsidRPr="00726BA9">
        <w:rPr>
          <w:rFonts w:cs="Calibri"/>
          <w:snapToGrid/>
          <w:szCs w:val="24"/>
          <w:lang w:val="en-US" w:eastAsia="en-AU"/>
        </w:rPr>
        <w:t xml:space="preserve"> </w:t>
      </w:r>
    </w:p>
    <w:p w:rsidR="00755D7D" w:rsidRDefault="00015668" w:rsidP="009B4098">
      <w:pPr>
        <w:pStyle w:val="ListParagraph"/>
        <w:widowControl/>
        <w:numPr>
          <w:ilvl w:val="1"/>
          <w:numId w:val="2"/>
        </w:numPr>
        <w:spacing w:after="120"/>
        <w:ind w:left="709" w:hanging="709"/>
        <w:rPr>
          <w:rFonts w:cs="Calibri"/>
          <w:snapToGrid/>
          <w:szCs w:val="24"/>
          <w:lang w:val="en-US" w:eastAsia="en-AU"/>
        </w:rPr>
      </w:pPr>
      <w:r w:rsidRPr="00755D7D">
        <w:rPr>
          <w:rFonts w:cs="Calibri"/>
          <w:snapToGrid/>
          <w:szCs w:val="24"/>
          <w:lang w:val="en-US" w:eastAsia="en-AU"/>
        </w:rPr>
        <w:t xml:space="preserve">The PBAC noted that there was no direct </w:t>
      </w:r>
      <w:r w:rsidR="00FE2275" w:rsidRPr="00755D7D">
        <w:rPr>
          <w:rFonts w:cs="Calibri"/>
          <w:snapToGrid/>
          <w:szCs w:val="24"/>
          <w:lang w:val="en-US" w:eastAsia="en-AU"/>
        </w:rPr>
        <w:t xml:space="preserve">evidence </w:t>
      </w:r>
      <w:r w:rsidR="00E65341">
        <w:rPr>
          <w:rFonts w:cs="Calibri"/>
          <w:snapToGrid/>
          <w:szCs w:val="24"/>
          <w:lang w:val="en-US" w:eastAsia="en-AU"/>
        </w:rPr>
        <w:t>supporting</w:t>
      </w:r>
      <w:r w:rsidR="00E65341" w:rsidRPr="00755D7D">
        <w:rPr>
          <w:rFonts w:cs="Calibri"/>
          <w:snapToGrid/>
          <w:szCs w:val="24"/>
          <w:lang w:val="en-US" w:eastAsia="en-AU"/>
        </w:rPr>
        <w:t xml:space="preserve"> </w:t>
      </w:r>
      <w:proofErr w:type="spellStart"/>
      <w:r w:rsidR="00FE2275" w:rsidRPr="00755D7D">
        <w:rPr>
          <w:rFonts w:cs="Calibri"/>
          <w:snapToGrid/>
          <w:szCs w:val="24"/>
          <w:lang w:val="en-US" w:eastAsia="en-AU"/>
        </w:rPr>
        <w:t>ertugliflozin</w:t>
      </w:r>
      <w:proofErr w:type="spellEnd"/>
      <w:r w:rsidR="00FE2275" w:rsidRPr="00755D7D">
        <w:rPr>
          <w:rFonts w:cs="Calibri"/>
          <w:snapToGrid/>
          <w:szCs w:val="24"/>
          <w:lang w:val="en-US" w:eastAsia="en-AU"/>
        </w:rPr>
        <w:t xml:space="preserve"> </w:t>
      </w:r>
      <w:r w:rsidRPr="00755D7D">
        <w:rPr>
          <w:rFonts w:cs="Calibri"/>
          <w:snapToGrid/>
          <w:szCs w:val="24"/>
          <w:lang w:val="en-US" w:eastAsia="en-AU"/>
        </w:rPr>
        <w:t>dual therapy</w:t>
      </w:r>
      <w:r w:rsidR="00BA57B7">
        <w:rPr>
          <w:rFonts w:cs="Calibri"/>
          <w:snapToGrid/>
          <w:szCs w:val="24"/>
          <w:lang w:val="en-US" w:eastAsia="en-AU"/>
        </w:rPr>
        <w:t xml:space="preserve"> in combination</w:t>
      </w:r>
      <w:r w:rsidR="00FE2275" w:rsidRPr="00755D7D">
        <w:rPr>
          <w:rFonts w:cs="Calibri"/>
          <w:snapToGrid/>
          <w:szCs w:val="24"/>
          <w:lang w:val="en-US" w:eastAsia="en-AU"/>
        </w:rPr>
        <w:t xml:space="preserve"> with a sulfonylurea</w:t>
      </w:r>
      <w:r w:rsidRPr="00755D7D">
        <w:rPr>
          <w:rFonts w:cs="Calibri"/>
          <w:snapToGrid/>
          <w:szCs w:val="24"/>
          <w:lang w:val="en-US" w:eastAsia="en-AU"/>
        </w:rPr>
        <w:t xml:space="preserve">, although the proposed PBS listing would allow use of </w:t>
      </w:r>
      <w:proofErr w:type="spellStart"/>
      <w:r w:rsidRPr="00755D7D">
        <w:rPr>
          <w:rFonts w:cs="Calibri"/>
          <w:snapToGrid/>
          <w:szCs w:val="24"/>
          <w:lang w:val="en-US" w:eastAsia="en-AU"/>
        </w:rPr>
        <w:t>ertugliflozin</w:t>
      </w:r>
      <w:proofErr w:type="spellEnd"/>
      <w:r w:rsidRPr="00755D7D">
        <w:rPr>
          <w:rFonts w:cs="Calibri"/>
          <w:snapToGrid/>
          <w:szCs w:val="24"/>
          <w:lang w:val="en-US" w:eastAsia="en-AU"/>
        </w:rPr>
        <w:t xml:space="preserve"> with either metformin or a sulfonylurea. </w:t>
      </w:r>
      <w:r w:rsidR="00140FE9">
        <w:rPr>
          <w:rFonts w:cs="Calibri"/>
          <w:snapToGrid/>
          <w:szCs w:val="24"/>
          <w:lang w:val="en-US" w:eastAsia="en-AU"/>
        </w:rPr>
        <w:t>T</w:t>
      </w:r>
      <w:r w:rsidR="00566518" w:rsidRPr="00755D7D">
        <w:rPr>
          <w:rFonts w:cs="Calibri"/>
          <w:snapToGrid/>
          <w:szCs w:val="24"/>
          <w:lang w:val="en-US" w:eastAsia="en-AU"/>
        </w:rPr>
        <w:t>he PBAC</w:t>
      </w:r>
      <w:r w:rsidRPr="00755D7D">
        <w:rPr>
          <w:rFonts w:cs="Calibri"/>
          <w:snapToGrid/>
          <w:szCs w:val="24"/>
          <w:lang w:val="en-US" w:eastAsia="en-AU"/>
        </w:rPr>
        <w:t xml:space="preserve"> </w:t>
      </w:r>
      <w:r w:rsidR="00E65341">
        <w:rPr>
          <w:rFonts w:cs="Calibri"/>
          <w:snapToGrid/>
          <w:szCs w:val="24"/>
          <w:lang w:val="en-US" w:eastAsia="en-AU"/>
        </w:rPr>
        <w:t>recalled</w:t>
      </w:r>
      <w:r w:rsidRPr="00755D7D">
        <w:rPr>
          <w:rFonts w:cs="Calibri"/>
          <w:snapToGrid/>
          <w:szCs w:val="24"/>
          <w:lang w:val="en-US" w:eastAsia="en-AU"/>
        </w:rPr>
        <w:t xml:space="preserve"> </w:t>
      </w:r>
      <w:r w:rsidR="00566518" w:rsidRPr="00755D7D">
        <w:rPr>
          <w:rFonts w:cs="Calibri"/>
          <w:snapToGrid/>
          <w:szCs w:val="24"/>
          <w:lang w:val="en-US" w:eastAsia="en-AU"/>
        </w:rPr>
        <w:t xml:space="preserve">that </w:t>
      </w:r>
      <w:r w:rsidRPr="00755D7D">
        <w:rPr>
          <w:rFonts w:cs="Calibri"/>
          <w:snapToGrid/>
          <w:szCs w:val="24"/>
          <w:lang w:val="en-US" w:eastAsia="en-AU"/>
        </w:rPr>
        <w:t xml:space="preserve">this was consistent with the </w:t>
      </w:r>
      <w:r w:rsidR="00566518" w:rsidRPr="00755D7D">
        <w:rPr>
          <w:rFonts w:cs="Calibri"/>
          <w:snapToGrid/>
          <w:szCs w:val="24"/>
          <w:lang w:val="en-US" w:eastAsia="en-AU"/>
        </w:rPr>
        <w:t>dual oral therapy listing for the comparator</w:t>
      </w:r>
      <w:r w:rsidRPr="00755D7D">
        <w:rPr>
          <w:rFonts w:cs="Calibri"/>
          <w:snapToGrid/>
          <w:szCs w:val="24"/>
          <w:lang w:val="en-US" w:eastAsia="en-AU"/>
        </w:rPr>
        <w:t xml:space="preserve"> </w:t>
      </w:r>
      <w:proofErr w:type="spellStart"/>
      <w:r w:rsidRPr="00755D7D">
        <w:rPr>
          <w:rFonts w:cs="Calibri"/>
          <w:snapToGrid/>
          <w:szCs w:val="24"/>
          <w:lang w:val="en-US" w:eastAsia="en-AU"/>
        </w:rPr>
        <w:t>empagliflozin</w:t>
      </w:r>
      <w:proofErr w:type="spellEnd"/>
      <w:r w:rsidR="00566518" w:rsidRPr="00755D7D">
        <w:rPr>
          <w:rFonts w:cs="Calibri"/>
          <w:snapToGrid/>
          <w:szCs w:val="24"/>
          <w:lang w:val="en-US" w:eastAsia="en-AU"/>
        </w:rPr>
        <w:t>, which was recommended on the basis of evidence with metformin only.</w:t>
      </w:r>
    </w:p>
    <w:p w:rsidR="00E6183E" w:rsidRPr="00755D7D" w:rsidRDefault="001A05C8" w:rsidP="00DC127E">
      <w:pPr>
        <w:pStyle w:val="ListParagraph"/>
        <w:widowControl/>
        <w:numPr>
          <w:ilvl w:val="1"/>
          <w:numId w:val="2"/>
        </w:numPr>
        <w:spacing w:after="120"/>
        <w:ind w:left="709"/>
        <w:rPr>
          <w:rFonts w:cs="Calibri"/>
          <w:snapToGrid/>
          <w:szCs w:val="24"/>
          <w:lang w:val="en-US" w:eastAsia="en-AU"/>
        </w:rPr>
      </w:pPr>
      <w:r>
        <w:rPr>
          <w:rFonts w:cs="Calibri"/>
          <w:snapToGrid/>
          <w:szCs w:val="24"/>
          <w:lang w:val="en-US" w:eastAsia="en-AU"/>
        </w:rPr>
        <w:t xml:space="preserve">The PBAC </w:t>
      </w:r>
      <w:r w:rsidR="00140FE9">
        <w:rPr>
          <w:rFonts w:cs="Calibri"/>
          <w:snapToGrid/>
          <w:szCs w:val="24"/>
          <w:lang w:val="en-US" w:eastAsia="en-AU"/>
        </w:rPr>
        <w:t>considere</w:t>
      </w:r>
      <w:r>
        <w:rPr>
          <w:rFonts w:cs="Calibri"/>
          <w:snapToGrid/>
          <w:szCs w:val="24"/>
          <w:lang w:val="en-US" w:eastAsia="en-AU"/>
        </w:rPr>
        <w:t xml:space="preserve">d </w:t>
      </w:r>
      <w:r w:rsidR="00140FE9">
        <w:rPr>
          <w:rFonts w:cs="Calibri"/>
          <w:snapToGrid/>
          <w:szCs w:val="24"/>
          <w:lang w:val="en-US" w:eastAsia="en-AU"/>
        </w:rPr>
        <w:t xml:space="preserve">that </w:t>
      </w:r>
      <w:r>
        <w:rPr>
          <w:rFonts w:cs="Calibri"/>
          <w:snapToGrid/>
          <w:szCs w:val="24"/>
          <w:lang w:val="en-US" w:eastAsia="en-AU"/>
        </w:rPr>
        <w:t>the l</w:t>
      </w:r>
      <w:r w:rsidR="00FE2275" w:rsidRPr="00755D7D">
        <w:rPr>
          <w:rFonts w:cs="Calibri"/>
          <w:snapToGrid/>
          <w:szCs w:val="24"/>
          <w:lang w:val="en-US" w:eastAsia="en-AU"/>
        </w:rPr>
        <w:t xml:space="preserve">imited availability of long-term efficacy and safety data for </w:t>
      </w:r>
      <w:proofErr w:type="spellStart"/>
      <w:r w:rsidR="00FE2275" w:rsidRPr="00755D7D">
        <w:rPr>
          <w:rFonts w:cs="Calibri"/>
          <w:snapToGrid/>
          <w:szCs w:val="24"/>
          <w:lang w:val="en-US" w:eastAsia="en-AU"/>
        </w:rPr>
        <w:t>ertugliflozin</w:t>
      </w:r>
      <w:proofErr w:type="spellEnd"/>
      <w:r>
        <w:rPr>
          <w:rFonts w:cs="Calibri"/>
          <w:snapToGrid/>
          <w:szCs w:val="24"/>
          <w:lang w:val="en-US" w:eastAsia="en-AU"/>
        </w:rPr>
        <w:t xml:space="preserve"> was </w:t>
      </w:r>
      <w:r w:rsidR="00BC2166">
        <w:rPr>
          <w:rFonts w:cs="Calibri"/>
          <w:snapToGrid/>
          <w:szCs w:val="24"/>
          <w:lang w:val="en-US" w:eastAsia="en-AU"/>
        </w:rPr>
        <w:t>consistent with</w:t>
      </w:r>
      <w:r>
        <w:rPr>
          <w:rFonts w:cs="Calibri"/>
          <w:snapToGrid/>
          <w:szCs w:val="24"/>
          <w:lang w:val="en-US" w:eastAsia="en-AU"/>
        </w:rPr>
        <w:t xml:space="preserve"> other SGLT2 inhibitors and some DPP4 inhibitors</w:t>
      </w:r>
      <w:r w:rsidR="00140FE9">
        <w:rPr>
          <w:rFonts w:cs="Calibri"/>
          <w:snapToGrid/>
          <w:szCs w:val="24"/>
          <w:lang w:val="en-US" w:eastAsia="en-AU"/>
        </w:rPr>
        <w:t xml:space="preserve"> and was not an impediment to listing</w:t>
      </w:r>
      <w:r w:rsidR="00FE2275" w:rsidRPr="00755D7D">
        <w:rPr>
          <w:rFonts w:cs="Calibri"/>
          <w:snapToGrid/>
          <w:szCs w:val="24"/>
          <w:lang w:val="en-US" w:eastAsia="en-AU"/>
        </w:rPr>
        <w:t>.</w:t>
      </w:r>
    </w:p>
    <w:p w:rsidR="00972F10" w:rsidRDefault="00972F10" w:rsidP="00972F10">
      <w:pPr>
        <w:pStyle w:val="ListParagraph"/>
        <w:widowControl/>
        <w:numPr>
          <w:ilvl w:val="1"/>
          <w:numId w:val="2"/>
        </w:numPr>
        <w:spacing w:after="120"/>
      </w:pPr>
      <w:r>
        <w:t>The PBAC considered that the claim of non-inferior comparative effectiveness was reasonable.</w:t>
      </w:r>
    </w:p>
    <w:p w:rsidR="00972F10" w:rsidRPr="00C11AAD" w:rsidRDefault="00972F10" w:rsidP="00972F10">
      <w:pPr>
        <w:pStyle w:val="ListParagraph"/>
        <w:widowControl/>
        <w:numPr>
          <w:ilvl w:val="1"/>
          <w:numId w:val="2"/>
        </w:numPr>
        <w:spacing w:after="120"/>
      </w:pPr>
      <w:r>
        <w:t>The PBAC considered that the claim of non-inferior comparative safety was reasonable.</w:t>
      </w:r>
    </w:p>
    <w:p w:rsidR="00B60939" w:rsidRPr="00DC127E" w:rsidRDefault="00B60939" w:rsidP="00CF5F42">
      <w:pPr>
        <w:pStyle w:val="Heading2"/>
      </w:pPr>
      <w:bookmarkStart w:id="11" w:name="_Toc503874319"/>
      <w:r w:rsidRPr="00DC127E">
        <w:t>Economic analysis</w:t>
      </w:r>
      <w:bookmarkEnd w:id="11"/>
      <w:r w:rsidR="00491B3A" w:rsidRPr="00DC127E">
        <w:t xml:space="preserve"> </w:t>
      </w:r>
    </w:p>
    <w:p w:rsidR="00A86E8B" w:rsidRPr="00C11AAD" w:rsidRDefault="00A86E8B" w:rsidP="00972F10">
      <w:pPr>
        <w:pStyle w:val="ListParagraph"/>
        <w:widowControl/>
        <w:numPr>
          <w:ilvl w:val="1"/>
          <w:numId w:val="2"/>
        </w:numPr>
        <w:spacing w:after="120"/>
      </w:pPr>
      <w:r w:rsidRPr="00C11AAD">
        <w:t xml:space="preserve">The </w:t>
      </w:r>
      <w:proofErr w:type="spellStart"/>
      <w:r w:rsidRPr="00C11AAD">
        <w:t>equi</w:t>
      </w:r>
      <w:proofErr w:type="spellEnd"/>
      <w:r w:rsidRPr="00C11AAD">
        <w:t xml:space="preserve">-effective doses </w:t>
      </w:r>
      <w:r w:rsidR="00E6183E" w:rsidRPr="00C11AAD">
        <w:t>we</w:t>
      </w:r>
      <w:r w:rsidRPr="00C11AAD">
        <w:t xml:space="preserve">re estimated as </w:t>
      </w:r>
      <w:proofErr w:type="spellStart"/>
      <w:r w:rsidR="00E6183E" w:rsidRPr="00C11AAD">
        <w:t>ertugliflozin</w:t>
      </w:r>
      <w:proofErr w:type="spellEnd"/>
      <w:r w:rsidR="00E6183E" w:rsidRPr="00C11AAD">
        <w:t xml:space="preserve"> 5 mg or 15 mg, once daily and </w:t>
      </w:r>
      <w:proofErr w:type="spellStart"/>
      <w:r w:rsidR="00E6183E" w:rsidRPr="00C11AAD">
        <w:t>dapagliflozin</w:t>
      </w:r>
      <w:proofErr w:type="spellEnd"/>
      <w:r w:rsidR="00E6183E" w:rsidRPr="00C11AAD">
        <w:t xml:space="preserve"> 10 mg or </w:t>
      </w:r>
      <w:proofErr w:type="spellStart"/>
      <w:r w:rsidR="00E6183E" w:rsidRPr="00C11AAD">
        <w:t>empagliflozin</w:t>
      </w:r>
      <w:proofErr w:type="spellEnd"/>
      <w:r w:rsidR="00E6183E" w:rsidRPr="00C11AAD">
        <w:t xml:space="preserve"> 10 mg or 25 mg, once daily. Estimates of </w:t>
      </w:r>
      <w:proofErr w:type="spellStart"/>
      <w:r w:rsidR="00E6183E" w:rsidRPr="00C11AAD">
        <w:t>equi</w:t>
      </w:r>
      <w:proofErr w:type="spellEnd"/>
      <w:r w:rsidR="00E6183E" w:rsidRPr="00C11AAD">
        <w:t xml:space="preserve">-effectiveness were trial based. </w:t>
      </w:r>
      <w:proofErr w:type="spellStart"/>
      <w:r w:rsidR="00E6183E" w:rsidRPr="00C11AAD">
        <w:t>Equi</w:t>
      </w:r>
      <w:proofErr w:type="spellEnd"/>
      <w:r w:rsidR="00E6183E" w:rsidRPr="00C11AAD">
        <w:t>-effectiveness of the comparators was derived from Therapeutic Relativity Sheets.</w:t>
      </w:r>
      <w:r w:rsidR="00972F10">
        <w:t xml:space="preserve"> The PBAC considered that </w:t>
      </w:r>
      <w:r w:rsidR="007C5A87">
        <w:t xml:space="preserve">as the TGA delegate was </w:t>
      </w:r>
      <w:r w:rsidR="00972F10">
        <w:t>only</w:t>
      </w:r>
      <w:r w:rsidR="007C5A87">
        <w:t xml:space="preserve"> inclined to list</w:t>
      </w:r>
      <w:r w:rsidR="00972F10">
        <w:t xml:space="preserve"> the 5 mg</w:t>
      </w:r>
      <w:r w:rsidR="007C5A87">
        <w:t xml:space="preserve"> strength of</w:t>
      </w:r>
      <w:r w:rsidR="00972F10">
        <w:t xml:space="preserve"> </w:t>
      </w:r>
      <w:proofErr w:type="spellStart"/>
      <w:r w:rsidR="007C5A87">
        <w:t>ertugliflozin</w:t>
      </w:r>
      <w:proofErr w:type="spellEnd"/>
      <w:r w:rsidR="007C5A87">
        <w:t>, this was the only strength</w:t>
      </w:r>
      <w:r w:rsidR="00972F10">
        <w:t xml:space="preserve"> </w:t>
      </w:r>
      <w:r w:rsidR="007C5A87">
        <w:t>that could be recommended for PBS listing</w:t>
      </w:r>
      <w:r w:rsidR="00972F10">
        <w:t xml:space="preserve"> at th</w:t>
      </w:r>
      <w:r w:rsidR="00211FA2">
        <w:t>i</w:t>
      </w:r>
      <w:r w:rsidR="00972F10">
        <w:t>s time</w:t>
      </w:r>
      <w:r w:rsidR="007C5A87">
        <w:t>,</w:t>
      </w:r>
      <w:r w:rsidR="00972F10">
        <w:t xml:space="preserve"> and therefore considered that the</w:t>
      </w:r>
      <w:r w:rsidR="007C5A87">
        <w:t xml:space="preserve"> </w:t>
      </w:r>
      <w:proofErr w:type="spellStart"/>
      <w:r w:rsidR="007C5A87">
        <w:t>equi</w:t>
      </w:r>
      <w:proofErr w:type="spellEnd"/>
      <w:r w:rsidR="007C5A87">
        <w:noBreakHyphen/>
      </w:r>
      <w:r w:rsidR="00972F10" w:rsidRPr="00972F10">
        <w:t xml:space="preserve">effective doses were </w:t>
      </w:r>
      <w:proofErr w:type="spellStart"/>
      <w:r w:rsidR="00972F10" w:rsidRPr="00972F10">
        <w:t>ertugliflozin</w:t>
      </w:r>
      <w:proofErr w:type="spellEnd"/>
      <w:r w:rsidR="00972F10" w:rsidRPr="00972F10">
        <w:t xml:space="preserve"> 5 mg </w:t>
      </w:r>
      <w:r w:rsidR="00DC127E">
        <w:t>(</w:t>
      </w:r>
      <w:r w:rsidR="00972F10" w:rsidRPr="00972F10">
        <w:t>once daily</w:t>
      </w:r>
      <w:r w:rsidR="00DC127E">
        <w:t>)</w:t>
      </w:r>
      <w:r w:rsidR="00AB2BD2">
        <w:t>,</w:t>
      </w:r>
      <w:r w:rsidR="00972F10" w:rsidRPr="00972F10">
        <w:t xml:space="preserve"> and </w:t>
      </w:r>
      <w:proofErr w:type="spellStart"/>
      <w:r w:rsidR="00972F10" w:rsidRPr="00972F10">
        <w:t>dapagliflozin</w:t>
      </w:r>
      <w:proofErr w:type="spellEnd"/>
      <w:r w:rsidR="00972F10" w:rsidRPr="00972F10">
        <w:t xml:space="preserve"> 10 mg or </w:t>
      </w:r>
      <w:proofErr w:type="spellStart"/>
      <w:r w:rsidR="00972F10" w:rsidRPr="00972F10">
        <w:t>empagliflozin</w:t>
      </w:r>
      <w:proofErr w:type="spellEnd"/>
      <w:r w:rsidR="00972F10" w:rsidRPr="00972F10">
        <w:t xml:space="preserve"> 10 mg or 25 mg </w:t>
      </w:r>
      <w:r w:rsidR="00DC127E">
        <w:t>(</w:t>
      </w:r>
      <w:r w:rsidR="00972F10" w:rsidRPr="00972F10">
        <w:t>once daily</w:t>
      </w:r>
      <w:r w:rsidR="00DC127E">
        <w:t>)</w:t>
      </w:r>
      <w:r w:rsidR="00972F10" w:rsidRPr="00972F10">
        <w:t>.</w:t>
      </w:r>
    </w:p>
    <w:p w:rsidR="00676D2A" w:rsidRPr="00C11AAD" w:rsidRDefault="00676D2A" w:rsidP="00D26AC3">
      <w:pPr>
        <w:pStyle w:val="ListParagraph"/>
        <w:widowControl/>
        <w:numPr>
          <w:ilvl w:val="1"/>
          <w:numId w:val="2"/>
        </w:numPr>
        <w:spacing w:after="120"/>
      </w:pPr>
      <w:r w:rsidRPr="00C11AAD">
        <w:t xml:space="preserve">Results of the cost-minimisation analysis for </w:t>
      </w:r>
      <w:proofErr w:type="spellStart"/>
      <w:r w:rsidRPr="00C11AAD">
        <w:t>ertugliflozin</w:t>
      </w:r>
      <w:proofErr w:type="spellEnd"/>
      <w:r w:rsidRPr="00C11AAD">
        <w:t xml:space="preserve"> are presented in Table </w:t>
      </w:r>
      <w:r w:rsidR="0071668D" w:rsidRPr="00C11AAD">
        <w:t>10</w:t>
      </w:r>
      <w:r w:rsidRPr="00C11AAD">
        <w:t>.</w:t>
      </w:r>
    </w:p>
    <w:p w:rsidR="00676D2A" w:rsidRPr="00C11AAD" w:rsidRDefault="00676D2A" w:rsidP="00B87C0E">
      <w:pPr>
        <w:keepNext/>
        <w:rPr>
          <w:rStyle w:val="CommentReference"/>
        </w:rPr>
      </w:pPr>
      <w:r w:rsidRPr="00C11AAD">
        <w:rPr>
          <w:rStyle w:val="CommentReference"/>
        </w:rPr>
        <w:lastRenderedPageBreak/>
        <w:t xml:space="preserve">Table </w:t>
      </w:r>
      <w:r w:rsidR="0071668D" w:rsidRPr="00C11AAD">
        <w:rPr>
          <w:rStyle w:val="CommentReference"/>
        </w:rPr>
        <w:t>10</w:t>
      </w:r>
      <w:r w:rsidRPr="00C11AAD">
        <w:rPr>
          <w:rStyle w:val="CommentReference"/>
        </w:rPr>
        <w:t xml:space="preserve">:  Results of the cost-minimisation analysis, </w:t>
      </w:r>
      <w:proofErr w:type="spellStart"/>
      <w:r w:rsidRPr="00C11AAD">
        <w:rPr>
          <w:rStyle w:val="CommentReference"/>
        </w:rPr>
        <w:t>ertugliflozin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53"/>
        <w:gridCol w:w="1418"/>
        <w:gridCol w:w="1422"/>
        <w:gridCol w:w="1422"/>
        <w:gridCol w:w="1422"/>
      </w:tblGrid>
      <w:tr w:rsidR="00676D2A" w:rsidRPr="00C11AAD" w:rsidTr="002D563E">
        <w:trPr>
          <w:tblHeader/>
        </w:trPr>
        <w:tc>
          <w:tcPr>
            <w:tcW w:w="1980" w:type="dxa"/>
          </w:tcPr>
          <w:p w:rsidR="00676D2A" w:rsidRPr="00C11AAD" w:rsidRDefault="00676D2A" w:rsidP="00B87C0E">
            <w:pPr>
              <w:pStyle w:val="Tabletext"/>
              <w:keepNext/>
              <w:rPr>
                <w:b/>
              </w:rPr>
            </w:pPr>
            <w:r w:rsidRPr="00C11AAD">
              <w:rPr>
                <w:b/>
              </w:rPr>
              <w:t>Component</w:t>
            </w:r>
          </w:p>
        </w:tc>
        <w:tc>
          <w:tcPr>
            <w:tcW w:w="1353" w:type="dxa"/>
          </w:tcPr>
          <w:p w:rsidR="00676D2A" w:rsidRPr="00C11AAD" w:rsidRDefault="00676D2A" w:rsidP="00B87C0E">
            <w:pPr>
              <w:pStyle w:val="Tabletext"/>
              <w:keepNext/>
              <w:jc w:val="center"/>
              <w:rPr>
                <w:b/>
              </w:rPr>
            </w:pPr>
            <w:r w:rsidRPr="00C11AAD">
              <w:rPr>
                <w:b/>
              </w:rPr>
              <w:t>ERTU 5 mg</w:t>
            </w:r>
          </w:p>
        </w:tc>
        <w:tc>
          <w:tcPr>
            <w:tcW w:w="1418" w:type="dxa"/>
          </w:tcPr>
          <w:p w:rsidR="00676D2A" w:rsidRPr="00C11AAD" w:rsidRDefault="00676D2A" w:rsidP="00B87C0E">
            <w:pPr>
              <w:pStyle w:val="Tabletext"/>
              <w:keepNext/>
              <w:jc w:val="center"/>
              <w:rPr>
                <w:b/>
              </w:rPr>
            </w:pPr>
            <w:r w:rsidRPr="00C11AAD">
              <w:rPr>
                <w:b/>
              </w:rPr>
              <w:t>ERTU 15 mg</w:t>
            </w:r>
          </w:p>
        </w:tc>
        <w:tc>
          <w:tcPr>
            <w:tcW w:w="1422" w:type="dxa"/>
          </w:tcPr>
          <w:p w:rsidR="00676D2A" w:rsidRPr="00C11AAD" w:rsidRDefault="00676D2A" w:rsidP="00B87C0E">
            <w:pPr>
              <w:pStyle w:val="Tabletext"/>
              <w:keepNext/>
              <w:jc w:val="center"/>
              <w:rPr>
                <w:b/>
              </w:rPr>
            </w:pPr>
            <w:r w:rsidRPr="00C11AAD">
              <w:rPr>
                <w:b/>
              </w:rPr>
              <w:t>DAPA 10 mg</w:t>
            </w:r>
          </w:p>
        </w:tc>
        <w:tc>
          <w:tcPr>
            <w:tcW w:w="1422" w:type="dxa"/>
          </w:tcPr>
          <w:p w:rsidR="00676D2A" w:rsidRPr="00C11AAD" w:rsidRDefault="00676D2A" w:rsidP="00B87C0E">
            <w:pPr>
              <w:pStyle w:val="Tabletext"/>
              <w:keepNext/>
              <w:jc w:val="center"/>
              <w:rPr>
                <w:b/>
              </w:rPr>
            </w:pPr>
            <w:r w:rsidRPr="00C11AAD">
              <w:rPr>
                <w:b/>
              </w:rPr>
              <w:t>EMPA 10 mg</w:t>
            </w:r>
          </w:p>
        </w:tc>
        <w:tc>
          <w:tcPr>
            <w:tcW w:w="1422" w:type="dxa"/>
          </w:tcPr>
          <w:p w:rsidR="00676D2A" w:rsidRPr="00C11AAD" w:rsidRDefault="00676D2A" w:rsidP="00B87C0E">
            <w:pPr>
              <w:pStyle w:val="Tabletext"/>
              <w:keepNext/>
              <w:jc w:val="center"/>
              <w:rPr>
                <w:b/>
              </w:rPr>
            </w:pPr>
            <w:r w:rsidRPr="00C11AAD">
              <w:rPr>
                <w:b/>
              </w:rPr>
              <w:t>EMPA 25 mg</w:t>
            </w:r>
          </w:p>
        </w:tc>
      </w:tr>
      <w:tr w:rsidR="00676D2A" w:rsidRPr="00C11AAD" w:rsidTr="002D563E">
        <w:tc>
          <w:tcPr>
            <w:tcW w:w="1980" w:type="dxa"/>
          </w:tcPr>
          <w:p w:rsidR="00676D2A" w:rsidRPr="00C11AAD" w:rsidRDefault="00676D2A" w:rsidP="00B87C0E">
            <w:pPr>
              <w:pStyle w:val="Tabletext"/>
              <w:keepNext/>
            </w:pPr>
            <w:r w:rsidRPr="00C11AAD">
              <w:t>PBS item code</w:t>
            </w:r>
          </w:p>
        </w:tc>
        <w:tc>
          <w:tcPr>
            <w:tcW w:w="1353" w:type="dxa"/>
          </w:tcPr>
          <w:p w:rsidR="00676D2A" w:rsidRPr="00C11AAD" w:rsidRDefault="00676D2A" w:rsidP="00B87C0E">
            <w:pPr>
              <w:pStyle w:val="Tabletext"/>
              <w:keepNext/>
              <w:jc w:val="center"/>
            </w:pPr>
            <w:r w:rsidRPr="00C11AAD">
              <w:t>-</w:t>
            </w:r>
          </w:p>
        </w:tc>
        <w:tc>
          <w:tcPr>
            <w:tcW w:w="1418" w:type="dxa"/>
          </w:tcPr>
          <w:p w:rsidR="00676D2A" w:rsidRPr="00C11AAD" w:rsidRDefault="00676D2A" w:rsidP="00B87C0E">
            <w:pPr>
              <w:pStyle w:val="Tabletext"/>
              <w:keepNext/>
              <w:jc w:val="center"/>
            </w:pPr>
            <w:r w:rsidRPr="00C11AAD">
              <w:t>-</w:t>
            </w:r>
          </w:p>
        </w:tc>
        <w:tc>
          <w:tcPr>
            <w:tcW w:w="1422" w:type="dxa"/>
          </w:tcPr>
          <w:p w:rsidR="00676D2A" w:rsidRPr="00C11AAD" w:rsidRDefault="00676D2A" w:rsidP="00B87C0E">
            <w:pPr>
              <w:pStyle w:val="Tabletext"/>
              <w:keepNext/>
              <w:jc w:val="center"/>
            </w:pPr>
            <w:r w:rsidRPr="00C11AAD">
              <w:t>10011X</w:t>
            </w:r>
          </w:p>
        </w:tc>
        <w:tc>
          <w:tcPr>
            <w:tcW w:w="1422" w:type="dxa"/>
          </w:tcPr>
          <w:p w:rsidR="00676D2A" w:rsidRPr="00C11AAD" w:rsidRDefault="00676D2A" w:rsidP="00B87C0E">
            <w:pPr>
              <w:pStyle w:val="Tabletext"/>
              <w:keepNext/>
              <w:jc w:val="center"/>
            </w:pPr>
            <w:r w:rsidRPr="00C11AAD">
              <w:t>10206E</w:t>
            </w:r>
          </w:p>
        </w:tc>
        <w:tc>
          <w:tcPr>
            <w:tcW w:w="1422" w:type="dxa"/>
          </w:tcPr>
          <w:p w:rsidR="00676D2A" w:rsidRPr="00C11AAD" w:rsidRDefault="00676D2A" w:rsidP="00B87C0E">
            <w:pPr>
              <w:pStyle w:val="Tabletext"/>
              <w:keepNext/>
              <w:jc w:val="center"/>
            </w:pPr>
            <w:r w:rsidRPr="00C11AAD">
              <w:t>10202Y</w:t>
            </w:r>
          </w:p>
        </w:tc>
      </w:tr>
      <w:tr w:rsidR="00676D2A" w:rsidRPr="00C11AAD" w:rsidTr="002D563E">
        <w:tc>
          <w:tcPr>
            <w:tcW w:w="1980" w:type="dxa"/>
          </w:tcPr>
          <w:p w:rsidR="00676D2A" w:rsidRPr="00C11AAD" w:rsidRDefault="00676D2A" w:rsidP="00B87C0E">
            <w:pPr>
              <w:pStyle w:val="Tabletext"/>
              <w:keepNext/>
            </w:pPr>
            <w:r w:rsidRPr="00C11AAD">
              <w:t>Maximum quantity</w:t>
            </w:r>
          </w:p>
        </w:tc>
        <w:tc>
          <w:tcPr>
            <w:tcW w:w="1353" w:type="dxa"/>
          </w:tcPr>
          <w:p w:rsidR="00676D2A" w:rsidRPr="00C11AAD" w:rsidRDefault="00676D2A" w:rsidP="00B87C0E">
            <w:pPr>
              <w:pStyle w:val="Tabletext"/>
              <w:keepNext/>
              <w:jc w:val="center"/>
            </w:pPr>
            <w:r w:rsidRPr="00C11AAD">
              <w:t>28</w:t>
            </w:r>
          </w:p>
        </w:tc>
        <w:tc>
          <w:tcPr>
            <w:tcW w:w="1418" w:type="dxa"/>
          </w:tcPr>
          <w:p w:rsidR="00676D2A" w:rsidRPr="00C11AAD" w:rsidRDefault="00676D2A" w:rsidP="00B87C0E">
            <w:pPr>
              <w:pStyle w:val="Tabletext"/>
              <w:keepNext/>
              <w:jc w:val="center"/>
            </w:pPr>
            <w:r w:rsidRPr="00C11AAD">
              <w:t>28</w:t>
            </w:r>
          </w:p>
        </w:tc>
        <w:tc>
          <w:tcPr>
            <w:tcW w:w="1422" w:type="dxa"/>
          </w:tcPr>
          <w:p w:rsidR="00676D2A" w:rsidRPr="00C11AAD" w:rsidRDefault="00676D2A" w:rsidP="00B87C0E">
            <w:pPr>
              <w:pStyle w:val="Tabletext"/>
              <w:keepNext/>
              <w:jc w:val="center"/>
            </w:pPr>
            <w:r w:rsidRPr="00C11AAD">
              <w:t>28</w:t>
            </w:r>
          </w:p>
        </w:tc>
        <w:tc>
          <w:tcPr>
            <w:tcW w:w="1422" w:type="dxa"/>
          </w:tcPr>
          <w:p w:rsidR="00676D2A" w:rsidRPr="00C11AAD" w:rsidRDefault="00676D2A" w:rsidP="00B87C0E">
            <w:pPr>
              <w:pStyle w:val="Tabletext"/>
              <w:keepNext/>
              <w:jc w:val="center"/>
            </w:pPr>
            <w:r w:rsidRPr="00C11AAD">
              <w:t>30</w:t>
            </w:r>
          </w:p>
        </w:tc>
        <w:tc>
          <w:tcPr>
            <w:tcW w:w="1422" w:type="dxa"/>
          </w:tcPr>
          <w:p w:rsidR="00676D2A" w:rsidRPr="00C11AAD" w:rsidRDefault="00676D2A" w:rsidP="00B87C0E">
            <w:pPr>
              <w:pStyle w:val="Tabletext"/>
              <w:keepNext/>
              <w:jc w:val="center"/>
            </w:pPr>
            <w:r w:rsidRPr="00C11AAD">
              <w:t>30</w:t>
            </w:r>
          </w:p>
        </w:tc>
      </w:tr>
      <w:tr w:rsidR="00676D2A" w:rsidRPr="00C11AAD" w:rsidTr="002D563E">
        <w:tc>
          <w:tcPr>
            <w:tcW w:w="1980" w:type="dxa"/>
          </w:tcPr>
          <w:p w:rsidR="00676D2A" w:rsidRPr="00C11AAD" w:rsidRDefault="00676D2A" w:rsidP="00B87C0E">
            <w:pPr>
              <w:pStyle w:val="Tabletext"/>
              <w:keepNext/>
            </w:pPr>
            <w:r w:rsidRPr="00C11AAD">
              <w:t>AEMP per max quantity</w:t>
            </w:r>
          </w:p>
        </w:tc>
        <w:tc>
          <w:tcPr>
            <w:tcW w:w="1353" w:type="dxa"/>
          </w:tcPr>
          <w:p w:rsidR="00676D2A" w:rsidRPr="00C11AAD" w:rsidRDefault="00676D2A" w:rsidP="00B87C0E">
            <w:pPr>
              <w:pStyle w:val="Tabletext"/>
              <w:keepNext/>
              <w:jc w:val="center"/>
            </w:pPr>
            <w:r w:rsidRPr="00C11AAD">
              <w:t>$</w:t>
            </w:r>
            <w:r w:rsidRPr="0059706A">
              <w:t>43.88</w:t>
            </w:r>
          </w:p>
        </w:tc>
        <w:tc>
          <w:tcPr>
            <w:tcW w:w="1418" w:type="dxa"/>
          </w:tcPr>
          <w:p w:rsidR="00676D2A" w:rsidRPr="00C11AAD" w:rsidRDefault="00676D2A" w:rsidP="00B87C0E">
            <w:pPr>
              <w:pStyle w:val="Tabletext"/>
              <w:keepNext/>
              <w:jc w:val="center"/>
            </w:pPr>
            <w:r w:rsidRPr="00C11AAD">
              <w:t>$</w:t>
            </w:r>
            <w:r w:rsidRPr="0059706A">
              <w:t>43.88</w:t>
            </w:r>
          </w:p>
        </w:tc>
        <w:tc>
          <w:tcPr>
            <w:tcW w:w="1422" w:type="dxa"/>
          </w:tcPr>
          <w:p w:rsidR="00676D2A" w:rsidRPr="00C11AAD" w:rsidRDefault="00676D2A" w:rsidP="00B87C0E">
            <w:pPr>
              <w:pStyle w:val="Tabletext"/>
              <w:keepNext/>
              <w:jc w:val="center"/>
            </w:pPr>
            <w:r w:rsidRPr="00C11AAD">
              <w:t>$43.88</w:t>
            </w:r>
          </w:p>
        </w:tc>
        <w:tc>
          <w:tcPr>
            <w:tcW w:w="1422" w:type="dxa"/>
          </w:tcPr>
          <w:p w:rsidR="00676D2A" w:rsidRPr="00C11AAD" w:rsidRDefault="00676D2A" w:rsidP="00B87C0E">
            <w:pPr>
              <w:pStyle w:val="Tabletext"/>
              <w:keepNext/>
              <w:jc w:val="center"/>
            </w:pPr>
            <w:r w:rsidRPr="00C11AAD">
              <w:t>$47.01</w:t>
            </w:r>
          </w:p>
        </w:tc>
        <w:tc>
          <w:tcPr>
            <w:tcW w:w="1422" w:type="dxa"/>
          </w:tcPr>
          <w:p w:rsidR="00676D2A" w:rsidRPr="00C11AAD" w:rsidRDefault="00676D2A" w:rsidP="00B87C0E">
            <w:pPr>
              <w:pStyle w:val="Tabletext"/>
              <w:keepNext/>
              <w:jc w:val="center"/>
            </w:pPr>
            <w:r w:rsidRPr="00C11AAD">
              <w:t>$47.01</w:t>
            </w:r>
          </w:p>
        </w:tc>
      </w:tr>
      <w:tr w:rsidR="00676D2A" w:rsidRPr="00C11AAD" w:rsidTr="002D563E">
        <w:tc>
          <w:tcPr>
            <w:tcW w:w="1980" w:type="dxa"/>
          </w:tcPr>
          <w:p w:rsidR="00676D2A" w:rsidRPr="00C11AAD" w:rsidRDefault="00676D2A" w:rsidP="00B87C0E">
            <w:pPr>
              <w:pStyle w:val="Tabletext"/>
              <w:keepNext/>
            </w:pPr>
            <w:r w:rsidRPr="00C11AAD">
              <w:t>AEMP per day</w:t>
            </w:r>
          </w:p>
        </w:tc>
        <w:tc>
          <w:tcPr>
            <w:tcW w:w="1353" w:type="dxa"/>
          </w:tcPr>
          <w:p w:rsidR="00676D2A" w:rsidRPr="00C11AAD" w:rsidRDefault="00676D2A" w:rsidP="00B87C0E">
            <w:pPr>
              <w:pStyle w:val="Tabletext"/>
              <w:keepNext/>
              <w:jc w:val="center"/>
            </w:pPr>
            <w:r w:rsidRPr="00C11AAD">
              <w:t>$</w:t>
            </w:r>
            <w:r w:rsidRPr="0059706A">
              <w:t>1.57</w:t>
            </w:r>
          </w:p>
        </w:tc>
        <w:tc>
          <w:tcPr>
            <w:tcW w:w="1418" w:type="dxa"/>
          </w:tcPr>
          <w:p w:rsidR="00676D2A" w:rsidRPr="00C11AAD" w:rsidRDefault="00676D2A" w:rsidP="00B87C0E">
            <w:pPr>
              <w:pStyle w:val="Tabletext"/>
              <w:keepNext/>
              <w:jc w:val="center"/>
            </w:pPr>
            <w:r w:rsidRPr="00C11AAD">
              <w:t>$</w:t>
            </w:r>
            <w:r w:rsidRPr="0059706A">
              <w:t>1.57</w:t>
            </w:r>
          </w:p>
        </w:tc>
        <w:tc>
          <w:tcPr>
            <w:tcW w:w="1422" w:type="dxa"/>
          </w:tcPr>
          <w:p w:rsidR="00676D2A" w:rsidRPr="00C11AAD" w:rsidRDefault="00676D2A" w:rsidP="00B87C0E">
            <w:pPr>
              <w:pStyle w:val="Tabletext"/>
              <w:keepNext/>
              <w:jc w:val="center"/>
            </w:pPr>
            <w:r w:rsidRPr="00C11AAD">
              <w:t>$1.57</w:t>
            </w:r>
          </w:p>
        </w:tc>
        <w:tc>
          <w:tcPr>
            <w:tcW w:w="1422" w:type="dxa"/>
          </w:tcPr>
          <w:p w:rsidR="00676D2A" w:rsidRPr="00C11AAD" w:rsidRDefault="00676D2A" w:rsidP="00B87C0E">
            <w:pPr>
              <w:pStyle w:val="Tabletext"/>
              <w:keepNext/>
              <w:jc w:val="center"/>
            </w:pPr>
            <w:r w:rsidRPr="00C11AAD">
              <w:t>$1.57</w:t>
            </w:r>
          </w:p>
        </w:tc>
        <w:tc>
          <w:tcPr>
            <w:tcW w:w="1422" w:type="dxa"/>
          </w:tcPr>
          <w:p w:rsidR="00676D2A" w:rsidRPr="00C11AAD" w:rsidRDefault="00676D2A" w:rsidP="00B87C0E">
            <w:pPr>
              <w:pStyle w:val="Tabletext"/>
              <w:keepNext/>
              <w:jc w:val="center"/>
            </w:pPr>
            <w:r w:rsidRPr="00C11AAD">
              <w:t>$1.57</w:t>
            </w:r>
          </w:p>
        </w:tc>
      </w:tr>
      <w:tr w:rsidR="00676D2A" w:rsidRPr="00C11AAD" w:rsidTr="002D563E">
        <w:tc>
          <w:tcPr>
            <w:tcW w:w="1980" w:type="dxa"/>
          </w:tcPr>
          <w:p w:rsidR="00676D2A" w:rsidRPr="00C11AAD" w:rsidRDefault="00676D2A" w:rsidP="00B87C0E">
            <w:pPr>
              <w:pStyle w:val="Tabletext"/>
              <w:keepNext/>
            </w:pPr>
            <w:r w:rsidRPr="00C11AAD">
              <w:t>DPMQ</w:t>
            </w:r>
          </w:p>
        </w:tc>
        <w:tc>
          <w:tcPr>
            <w:tcW w:w="1353" w:type="dxa"/>
          </w:tcPr>
          <w:p w:rsidR="00676D2A" w:rsidRPr="00C11AAD" w:rsidRDefault="00676D2A" w:rsidP="00B87C0E">
            <w:pPr>
              <w:pStyle w:val="Tabletext"/>
              <w:keepNext/>
              <w:jc w:val="center"/>
            </w:pPr>
            <w:r w:rsidRPr="00C11AAD">
              <w:t>$</w:t>
            </w:r>
            <w:r w:rsidRPr="0059706A">
              <w:t>58.27</w:t>
            </w:r>
          </w:p>
        </w:tc>
        <w:tc>
          <w:tcPr>
            <w:tcW w:w="1418" w:type="dxa"/>
          </w:tcPr>
          <w:p w:rsidR="00676D2A" w:rsidRPr="00C11AAD" w:rsidRDefault="00676D2A" w:rsidP="00B87C0E">
            <w:pPr>
              <w:pStyle w:val="Tabletext"/>
              <w:keepNext/>
              <w:jc w:val="center"/>
            </w:pPr>
            <w:r w:rsidRPr="00C11AAD">
              <w:t>$</w:t>
            </w:r>
            <w:r w:rsidRPr="0059706A">
              <w:t>58.27</w:t>
            </w:r>
          </w:p>
        </w:tc>
        <w:tc>
          <w:tcPr>
            <w:tcW w:w="1422" w:type="dxa"/>
          </w:tcPr>
          <w:p w:rsidR="00676D2A" w:rsidRPr="00C11AAD" w:rsidRDefault="00676D2A" w:rsidP="00B87C0E">
            <w:pPr>
              <w:pStyle w:val="Tabletext"/>
              <w:keepNext/>
              <w:jc w:val="center"/>
            </w:pPr>
            <w:r w:rsidRPr="00C11AAD">
              <w:t>$58.27</w:t>
            </w:r>
          </w:p>
        </w:tc>
        <w:tc>
          <w:tcPr>
            <w:tcW w:w="1422" w:type="dxa"/>
          </w:tcPr>
          <w:p w:rsidR="00676D2A" w:rsidRPr="00C11AAD" w:rsidRDefault="00676D2A" w:rsidP="00B87C0E">
            <w:pPr>
              <w:pStyle w:val="Tabletext"/>
              <w:keepNext/>
              <w:jc w:val="center"/>
            </w:pPr>
            <w:r w:rsidRPr="00C11AAD">
              <w:t>$61.64</w:t>
            </w:r>
          </w:p>
        </w:tc>
        <w:tc>
          <w:tcPr>
            <w:tcW w:w="1422" w:type="dxa"/>
          </w:tcPr>
          <w:p w:rsidR="00676D2A" w:rsidRPr="00C11AAD" w:rsidRDefault="00676D2A" w:rsidP="00B87C0E">
            <w:pPr>
              <w:pStyle w:val="Tabletext"/>
              <w:keepNext/>
              <w:jc w:val="center"/>
            </w:pPr>
            <w:r w:rsidRPr="00C11AAD">
              <w:t>$61.64</w:t>
            </w:r>
          </w:p>
        </w:tc>
      </w:tr>
    </w:tbl>
    <w:p w:rsidR="00676D2A" w:rsidRPr="00C11AAD" w:rsidRDefault="00676D2A" w:rsidP="00676D2A">
      <w:pPr>
        <w:pStyle w:val="TableFooter"/>
      </w:pPr>
      <w:r w:rsidRPr="00C11AAD">
        <w:t xml:space="preserve">Abbreviations: AEMP, approved ex-manufacturer price; DAPA, </w:t>
      </w:r>
      <w:proofErr w:type="spellStart"/>
      <w:r w:rsidRPr="00C11AAD">
        <w:t>dapagliflozin</w:t>
      </w:r>
      <w:proofErr w:type="spellEnd"/>
      <w:r w:rsidRPr="00C11AAD">
        <w:t xml:space="preserve">; DPMQ, dispensed price for maximum quantity; EMPA, </w:t>
      </w:r>
      <w:proofErr w:type="spellStart"/>
      <w:r w:rsidRPr="00C11AAD">
        <w:t>empagliflozin</w:t>
      </w:r>
      <w:proofErr w:type="spellEnd"/>
      <w:r w:rsidRPr="00C11AAD">
        <w:t xml:space="preserve">; ERTU, </w:t>
      </w:r>
      <w:proofErr w:type="spellStart"/>
      <w:r w:rsidRPr="00C11AAD">
        <w:t>ertugliflozin</w:t>
      </w:r>
      <w:proofErr w:type="spellEnd"/>
      <w:r w:rsidR="002D563E" w:rsidRPr="00C11AAD">
        <w:t>; max, maximum</w:t>
      </w:r>
    </w:p>
    <w:p w:rsidR="00676D2A" w:rsidRPr="00C11AAD" w:rsidRDefault="00676D2A" w:rsidP="00676D2A">
      <w:pPr>
        <w:pStyle w:val="TableFooter"/>
        <w:rPr>
          <w:sz w:val="20"/>
        </w:rPr>
      </w:pPr>
      <w:r w:rsidRPr="00C11AAD">
        <w:t>Source: Table 3.4.1-1, Section 3.4.1 of the submission</w:t>
      </w:r>
    </w:p>
    <w:p w:rsidR="00676D2A" w:rsidRPr="00C11AAD" w:rsidRDefault="00676D2A" w:rsidP="00D26AC3">
      <w:pPr>
        <w:pStyle w:val="ListParagraph"/>
        <w:widowControl/>
        <w:numPr>
          <w:ilvl w:val="1"/>
          <w:numId w:val="2"/>
        </w:numPr>
        <w:spacing w:before="120" w:after="120"/>
      </w:pPr>
      <w:r w:rsidRPr="00C11AAD">
        <w:t xml:space="preserve">The AEMP per day for </w:t>
      </w:r>
      <w:proofErr w:type="spellStart"/>
      <w:r w:rsidRPr="00C11AAD">
        <w:t>ertugliflozin</w:t>
      </w:r>
      <w:proofErr w:type="spellEnd"/>
      <w:r w:rsidRPr="00C11AAD">
        <w:t xml:space="preserve"> is the same as for all doses of the comparators, </w:t>
      </w:r>
      <w:proofErr w:type="spellStart"/>
      <w:r w:rsidRPr="00C11AAD">
        <w:t>dapagliflozin</w:t>
      </w:r>
      <w:proofErr w:type="spellEnd"/>
      <w:r w:rsidRPr="00C11AAD">
        <w:t xml:space="preserve"> and </w:t>
      </w:r>
      <w:proofErr w:type="spellStart"/>
      <w:r w:rsidRPr="00C11AAD">
        <w:t>empagliflozin</w:t>
      </w:r>
      <w:proofErr w:type="spellEnd"/>
      <w:r w:rsidRPr="00C11AAD">
        <w:t xml:space="preserve">. The DPMQ for both dose strengths of </w:t>
      </w:r>
      <w:proofErr w:type="spellStart"/>
      <w:r w:rsidRPr="00C11AAD">
        <w:t>empagliflozin</w:t>
      </w:r>
      <w:proofErr w:type="spellEnd"/>
      <w:r w:rsidRPr="00C11AAD">
        <w:t xml:space="preserve"> is slightly higher than the other SGLT2 inhibitors due </w:t>
      </w:r>
      <w:r w:rsidR="007C5A87">
        <w:t>to differences in pack size (30 </w:t>
      </w:r>
      <w:r w:rsidRPr="00C11AAD">
        <w:t xml:space="preserve">days of therapy compared to 28). </w:t>
      </w:r>
    </w:p>
    <w:p w:rsidR="008F0A6C" w:rsidRPr="00C11AAD" w:rsidRDefault="008F0A6C" w:rsidP="00D26AC3">
      <w:pPr>
        <w:pStyle w:val="ListParagraph"/>
        <w:widowControl/>
        <w:numPr>
          <w:ilvl w:val="1"/>
          <w:numId w:val="2"/>
        </w:numPr>
        <w:spacing w:after="120"/>
      </w:pPr>
      <w:r w:rsidRPr="00C11AAD">
        <w:t xml:space="preserve">The </w:t>
      </w:r>
      <w:r w:rsidR="008A537A">
        <w:t>estimated</w:t>
      </w:r>
      <w:r w:rsidR="00BC2166">
        <w:t xml:space="preserve"> </w:t>
      </w:r>
      <w:proofErr w:type="spellStart"/>
      <w:r w:rsidRPr="00C11AAD">
        <w:t>equi</w:t>
      </w:r>
      <w:proofErr w:type="spellEnd"/>
      <w:r w:rsidRPr="00C11AAD">
        <w:t xml:space="preserve">-effective doses for </w:t>
      </w:r>
      <w:proofErr w:type="spellStart"/>
      <w:r w:rsidRPr="00C11AAD">
        <w:t>ertugliflozin</w:t>
      </w:r>
      <w:proofErr w:type="spellEnd"/>
      <w:r w:rsidRPr="00C11AAD">
        <w:t xml:space="preserve"> with metformin FDC</w:t>
      </w:r>
      <w:r w:rsidR="003E169F">
        <w:t xml:space="preserve">, noting that the </w:t>
      </w:r>
      <w:r w:rsidR="00901937">
        <w:t xml:space="preserve">based on the TGA delegates report the </w:t>
      </w:r>
      <w:r w:rsidR="003E169F">
        <w:t>P</w:t>
      </w:r>
      <w:r w:rsidR="00972F10">
        <w:t xml:space="preserve">BAC </w:t>
      </w:r>
      <w:r w:rsidR="00901937">
        <w:t xml:space="preserve">has </w:t>
      </w:r>
      <w:r w:rsidR="00972F10">
        <w:t xml:space="preserve">only supported listing of the 2.5 </w:t>
      </w:r>
      <w:r w:rsidR="00AB2BD2">
        <w:t xml:space="preserve">mg </w:t>
      </w:r>
      <w:proofErr w:type="spellStart"/>
      <w:r w:rsidR="00712240">
        <w:t>ertugliflozin</w:t>
      </w:r>
      <w:proofErr w:type="spellEnd"/>
      <w:r w:rsidR="00972F10">
        <w:t xml:space="preserve"> FDCs,</w:t>
      </w:r>
      <w:r w:rsidRPr="00C11AAD">
        <w:t xml:space="preserve"> and the individual components </w:t>
      </w:r>
      <w:r w:rsidR="00BC2166">
        <w:t>are</w:t>
      </w:r>
      <w:r w:rsidR="00BC2166" w:rsidRPr="00C11AAD">
        <w:t xml:space="preserve"> </w:t>
      </w:r>
      <w:r w:rsidRPr="00C11AAD">
        <w:t>as follows:</w:t>
      </w:r>
    </w:p>
    <w:p w:rsidR="008F0A6C" w:rsidRPr="00C11AAD" w:rsidRDefault="008F0A6C" w:rsidP="00D26AC3">
      <w:pPr>
        <w:pStyle w:val="ListParagraph"/>
        <w:numPr>
          <w:ilvl w:val="0"/>
          <w:numId w:val="5"/>
        </w:numPr>
        <w:spacing w:after="120"/>
        <w:ind w:left="993" w:hanging="284"/>
      </w:pPr>
      <w:proofErr w:type="spellStart"/>
      <w:r w:rsidRPr="00C11AAD">
        <w:t>Ertugliflozin</w:t>
      </w:r>
      <w:proofErr w:type="spellEnd"/>
      <w:r w:rsidRPr="00C11AAD">
        <w:t xml:space="preserve"> with metformin 2.5 mg/500 mg FDC </w:t>
      </w:r>
      <w:r w:rsidR="00BD0610" w:rsidRPr="00C11AAD">
        <w:t xml:space="preserve">(twice daily) </w:t>
      </w:r>
      <w:r w:rsidRPr="00C11AAD">
        <w:t xml:space="preserve">is equivalent to </w:t>
      </w:r>
      <w:proofErr w:type="spellStart"/>
      <w:r w:rsidRPr="00C11AAD">
        <w:t>ertugliflozin</w:t>
      </w:r>
      <w:proofErr w:type="spellEnd"/>
      <w:r w:rsidRPr="00C11AAD">
        <w:t xml:space="preserve"> 5 mg once daily and metformin 500 mg twice daily;</w:t>
      </w:r>
    </w:p>
    <w:p w:rsidR="008F0A6C" w:rsidRPr="00C11AAD" w:rsidRDefault="008F0A6C" w:rsidP="00D26AC3">
      <w:pPr>
        <w:pStyle w:val="ListParagraph"/>
        <w:numPr>
          <w:ilvl w:val="0"/>
          <w:numId w:val="5"/>
        </w:numPr>
        <w:spacing w:after="120"/>
        <w:ind w:left="993" w:hanging="284"/>
      </w:pPr>
      <w:proofErr w:type="spellStart"/>
      <w:r w:rsidRPr="00C11AAD">
        <w:t>Ertugliflozin</w:t>
      </w:r>
      <w:proofErr w:type="spellEnd"/>
      <w:r w:rsidRPr="00C11AAD">
        <w:t xml:space="preserve"> with metformin 2.5 mg/1 g FDC</w:t>
      </w:r>
      <w:r w:rsidR="00BD0610" w:rsidRPr="00C11AAD">
        <w:t xml:space="preserve"> (twice daily)</w:t>
      </w:r>
      <w:r w:rsidRPr="00C11AAD">
        <w:t xml:space="preserve"> is equivalent to </w:t>
      </w:r>
      <w:proofErr w:type="spellStart"/>
      <w:r w:rsidRPr="00C11AAD">
        <w:t>ertugliflozin</w:t>
      </w:r>
      <w:proofErr w:type="spellEnd"/>
      <w:r w:rsidRPr="00C11AAD">
        <w:t xml:space="preserve"> 5 mg once daily and metformin 1 g twice daily;</w:t>
      </w:r>
    </w:p>
    <w:p w:rsidR="00676D2A" w:rsidRPr="00C11AAD" w:rsidRDefault="00676D2A" w:rsidP="00D26AC3">
      <w:pPr>
        <w:pStyle w:val="ListParagraph"/>
        <w:widowControl/>
        <w:numPr>
          <w:ilvl w:val="1"/>
          <w:numId w:val="2"/>
        </w:numPr>
        <w:spacing w:after="120"/>
      </w:pPr>
      <w:r w:rsidRPr="00C11AAD">
        <w:t xml:space="preserve">Results of the cost-minimisation analysis for </w:t>
      </w:r>
      <w:proofErr w:type="spellStart"/>
      <w:r w:rsidRPr="00C11AAD">
        <w:t>ertugliflozin</w:t>
      </w:r>
      <w:proofErr w:type="spellEnd"/>
      <w:r w:rsidRPr="00C11AAD">
        <w:t xml:space="preserve"> with metformin FDC are presented in Table </w:t>
      </w:r>
      <w:r w:rsidR="002D563E" w:rsidRPr="00C11AAD">
        <w:t>11</w:t>
      </w:r>
      <w:r w:rsidRPr="00C11AAD">
        <w:t xml:space="preserve">. </w:t>
      </w:r>
      <w:r w:rsidR="00A5378A" w:rsidRPr="00C11AAD">
        <w:t>T</w:t>
      </w:r>
      <w:r w:rsidRPr="00C11AAD">
        <w:t xml:space="preserve">he AEMP per day for </w:t>
      </w:r>
      <w:proofErr w:type="spellStart"/>
      <w:r w:rsidR="00A5378A" w:rsidRPr="00C11AAD">
        <w:t>ertugliflozin</w:t>
      </w:r>
      <w:proofErr w:type="spellEnd"/>
      <w:r w:rsidR="00A5378A" w:rsidRPr="00C11AAD">
        <w:t xml:space="preserve"> and the relevant strength of metformin were</w:t>
      </w:r>
      <w:r w:rsidRPr="00C11AAD">
        <w:t xml:space="preserve"> added</w:t>
      </w:r>
      <w:r w:rsidR="00A5378A" w:rsidRPr="00C11AAD">
        <w:t xml:space="preserve"> to give the AEMP per day for the corresponding FDC dose strength</w:t>
      </w:r>
      <w:r w:rsidRPr="00C11AAD">
        <w:t>. The submission noted that the AEMP proposed in this submission is equivalent to other SGLT2 inhibitor with metformin FDCs, when adjusted for pack size.</w:t>
      </w:r>
    </w:p>
    <w:p w:rsidR="00676D2A" w:rsidRPr="00C11AAD" w:rsidRDefault="002D563E" w:rsidP="00B87C0E">
      <w:pPr>
        <w:keepNext/>
        <w:rPr>
          <w:rStyle w:val="CommentReference"/>
        </w:rPr>
      </w:pPr>
      <w:r w:rsidRPr="00C11AAD">
        <w:rPr>
          <w:rStyle w:val="CommentReference"/>
        </w:rPr>
        <w:t>Table 1</w:t>
      </w:r>
      <w:r w:rsidR="00676D2A" w:rsidRPr="00C11AAD">
        <w:rPr>
          <w:rStyle w:val="CommentReference"/>
        </w:rPr>
        <w:t xml:space="preserve">1:  Results of the cost-minimisation analysis, </w:t>
      </w:r>
      <w:proofErr w:type="spellStart"/>
      <w:r w:rsidR="00676D2A" w:rsidRPr="00C11AAD">
        <w:rPr>
          <w:rStyle w:val="CommentReference"/>
        </w:rPr>
        <w:t>ertugliflozin</w:t>
      </w:r>
      <w:proofErr w:type="spellEnd"/>
      <w:r w:rsidR="00676D2A" w:rsidRPr="00C11AAD">
        <w:rPr>
          <w:rStyle w:val="CommentReference"/>
        </w:rPr>
        <w:t xml:space="preserve"> with metformin FDC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357"/>
        <w:gridCol w:w="1420"/>
        <w:gridCol w:w="1420"/>
        <w:gridCol w:w="1420"/>
        <w:gridCol w:w="1420"/>
      </w:tblGrid>
      <w:tr w:rsidR="00676D2A" w:rsidRPr="00C11AAD" w:rsidTr="00607AAD">
        <w:tc>
          <w:tcPr>
            <w:tcW w:w="1980" w:type="dxa"/>
          </w:tcPr>
          <w:p w:rsidR="00676D2A" w:rsidRPr="00C11AAD" w:rsidRDefault="00676D2A" w:rsidP="00B87C0E">
            <w:pPr>
              <w:pStyle w:val="Tabletext"/>
              <w:keepNext/>
              <w:rPr>
                <w:b/>
              </w:rPr>
            </w:pPr>
            <w:r w:rsidRPr="00C11AAD">
              <w:rPr>
                <w:b/>
              </w:rPr>
              <w:t>Component</w:t>
            </w:r>
          </w:p>
        </w:tc>
        <w:tc>
          <w:tcPr>
            <w:tcW w:w="1357" w:type="dxa"/>
          </w:tcPr>
          <w:p w:rsidR="00676D2A" w:rsidRPr="00C11AAD" w:rsidRDefault="00676D2A" w:rsidP="00B87C0E">
            <w:pPr>
              <w:pStyle w:val="Tabletext"/>
              <w:keepNext/>
              <w:jc w:val="center"/>
              <w:rPr>
                <w:b/>
              </w:rPr>
            </w:pPr>
            <w:r w:rsidRPr="00C11AAD">
              <w:rPr>
                <w:b/>
              </w:rPr>
              <w:t>ERTU 5 mg or 15 mg</w:t>
            </w:r>
          </w:p>
        </w:tc>
        <w:tc>
          <w:tcPr>
            <w:tcW w:w="1420" w:type="dxa"/>
          </w:tcPr>
          <w:p w:rsidR="00676D2A" w:rsidRPr="00C11AAD" w:rsidRDefault="00676D2A" w:rsidP="00B87C0E">
            <w:pPr>
              <w:pStyle w:val="Tabletext"/>
              <w:keepNext/>
              <w:jc w:val="center"/>
              <w:rPr>
                <w:b/>
              </w:rPr>
            </w:pPr>
            <w:r w:rsidRPr="00C11AAD">
              <w:rPr>
                <w:b/>
              </w:rPr>
              <w:t>MET 500 mg</w:t>
            </w:r>
          </w:p>
        </w:tc>
        <w:tc>
          <w:tcPr>
            <w:tcW w:w="1420" w:type="dxa"/>
          </w:tcPr>
          <w:p w:rsidR="00676D2A" w:rsidRPr="00C11AAD" w:rsidRDefault="00676D2A" w:rsidP="00B87C0E">
            <w:pPr>
              <w:pStyle w:val="Tabletext"/>
              <w:keepNext/>
              <w:jc w:val="center"/>
              <w:rPr>
                <w:b/>
              </w:rPr>
            </w:pPr>
            <w:r w:rsidRPr="00C11AAD">
              <w:rPr>
                <w:b/>
              </w:rPr>
              <w:t>MET 1000 mg</w:t>
            </w:r>
          </w:p>
        </w:tc>
        <w:tc>
          <w:tcPr>
            <w:tcW w:w="1420" w:type="dxa"/>
          </w:tcPr>
          <w:p w:rsidR="00676D2A" w:rsidRPr="00C11AAD" w:rsidRDefault="00676D2A" w:rsidP="00B87C0E">
            <w:pPr>
              <w:pStyle w:val="Tabletext"/>
              <w:keepNext/>
              <w:jc w:val="center"/>
              <w:rPr>
                <w:b/>
              </w:rPr>
            </w:pPr>
            <w:r w:rsidRPr="00C11AAD">
              <w:rPr>
                <w:b/>
              </w:rPr>
              <w:t xml:space="preserve">FDC with MET 500 </w:t>
            </w:r>
            <w:r w:rsidR="00BD0610" w:rsidRPr="00C11AAD">
              <w:rPr>
                <w:b/>
              </w:rPr>
              <w:t>m</w:t>
            </w:r>
            <w:r w:rsidRPr="00C11AAD">
              <w:rPr>
                <w:b/>
              </w:rPr>
              <w:t>g</w:t>
            </w:r>
          </w:p>
        </w:tc>
        <w:tc>
          <w:tcPr>
            <w:tcW w:w="1420" w:type="dxa"/>
          </w:tcPr>
          <w:p w:rsidR="00676D2A" w:rsidRPr="00C11AAD" w:rsidRDefault="00676D2A" w:rsidP="00B87C0E">
            <w:pPr>
              <w:pStyle w:val="Tabletext"/>
              <w:keepNext/>
              <w:jc w:val="center"/>
              <w:rPr>
                <w:b/>
              </w:rPr>
            </w:pPr>
            <w:r w:rsidRPr="00C11AAD">
              <w:rPr>
                <w:b/>
              </w:rPr>
              <w:t xml:space="preserve">FDC with MET 1000 </w:t>
            </w:r>
            <w:r w:rsidR="00BD0610" w:rsidRPr="00C11AAD">
              <w:rPr>
                <w:b/>
              </w:rPr>
              <w:t>m</w:t>
            </w:r>
            <w:r w:rsidRPr="00C11AAD">
              <w:rPr>
                <w:b/>
              </w:rPr>
              <w:t>g</w:t>
            </w:r>
          </w:p>
        </w:tc>
      </w:tr>
      <w:tr w:rsidR="00676D2A" w:rsidRPr="00C11AAD" w:rsidTr="00607AAD">
        <w:tc>
          <w:tcPr>
            <w:tcW w:w="1980" w:type="dxa"/>
          </w:tcPr>
          <w:p w:rsidR="00676D2A" w:rsidRPr="00C11AAD" w:rsidRDefault="00676D2A" w:rsidP="00B87C0E">
            <w:pPr>
              <w:pStyle w:val="Tabletext"/>
              <w:keepNext/>
            </w:pPr>
            <w:r w:rsidRPr="00C11AAD">
              <w:t>PBS item code</w:t>
            </w:r>
          </w:p>
        </w:tc>
        <w:tc>
          <w:tcPr>
            <w:tcW w:w="1357" w:type="dxa"/>
          </w:tcPr>
          <w:p w:rsidR="00676D2A" w:rsidRPr="00C11AAD" w:rsidRDefault="00676D2A" w:rsidP="00B87C0E">
            <w:pPr>
              <w:pStyle w:val="Tabletext"/>
              <w:keepNext/>
              <w:jc w:val="center"/>
            </w:pPr>
            <w:r w:rsidRPr="00C11AAD">
              <w:t>-</w:t>
            </w:r>
          </w:p>
        </w:tc>
        <w:tc>
          <w:tcPr>
            <w:tcW w:w="1420" w:type="dxa"/>
          </w:tcPr>
          <w:p w:rsidR="00676D2A" w:rsidRPr="00C11AAD" w:rsidRDefault="00676D2A" w:rsidP="00B87C0E">
            <w:pPr>
              <w:pStyle w:val="Tabletext"/>
              <w:keepNext/>
              <w:jc w:val="center"/>
            </w:pPr>
            <w:r w:rsidRPr="00C11AAD">
              <w:t>2430X</w:t>
            </w:r>
          </w:p>
        </w:tc>
        <w:tc>
          <w:tcPr>
            <w:tcW w:w="1420" w:type="dxa"/>
          </w:tcPr>
          <w:p w:rsidR="00676D2A" w:rsidRPr="00C11AAD" w:rsidRDefault="00676D2A" w:rsidP="00B87C0E">
            <w:pPr>
              <w:pStyle w:val="Tabletext"/>
              <w:keepNext/>
              <w:jc w:val="center"/>
            </w:pPr>
            <w:r w:rsidRPr="00C11AAD">
              <w:t>8607B</w:t>
            </w:r>
          </w:p>
        </w:tc>
        <w:tc>
          <w:tcPr>
            <w:tcW w:w="1420" w:type="dxa"/>
          </w:tcPr>
          <w:p w:rsidR="00676D2A" w:rsidRPr="00C11AAD" w:rsidRDefault="00676D2A" w:rsidP="00B87C0E">
            <w:pPr>
              <w:pStyle w:val="Tabletext"/>
              <w:keepNext/>
              <w:jc w:val="center"/>
            </w:pPr>
            <w:r w:rsidRPr="00C11AAD">
              <w:t>-</w:t>
            </w:r>
          </w:p>
        </w:tc>
        <w:tc>
          <w:tcPr>
            <w:tcW w:w="1420" w:type="dxa"/>
          </w:tcPr>
          <w:p w:rsidR="00676D2A" w:rsidRPr="00C11AAD" w:rsidRDefault="00676D2A" w:rsidP="00B87C0E">
            <w:pPr>
              <w:pStyle w:val="Tabletext"/>
              <w:keepNext/>
              <w:jc w:val="center"/>
            </w:pPr>
            <w:r w:rsidRPr="00C11AAD">
              <w:t>-</w:t>
            </w:r>
          </w:p>
        </w:tc>
      </w:tr>
      <w:tr w:rsidR="00676D2A" w:rsidRPr="00C11AAD" w:rsidTr="00607AAD">
        <w:tc>
          <w:tcPr>
            <w:tcW w:w="1980" w:type="dxa"/>
          </w:tcPr>
          <w:p w:rsidR="00676D2A" w:rsidRPr="00C11AAD" w:rsidRDefault="00676D2A" w:rsidP="00B87C0E">
            <w:pPr>
              <w:pStyle w:val="Tabletext"/>
              <w:keepNext/>
            </w:pPr>
            <w:r w:rsidRPr="00C11AAD">
              <w:t>Maximum quantity</w:t>
            </w:r>
          </w:p>
        </w:tc>
        <w:tc>
          <w:tcPr>
            <w:tcW w:w="1357" w:type="dxa"/>
          </w:tcPr>
          <w:p w:rsidR="00676D2A" w:rsidRPr="00C11AAD" w:rsidRDefault="00676D2A" w:rsidP="00B87C0E">
            <w:pPr>
              <w:pStyle w:val="Tabletext"/>
              <w:keepNext/>
              <w:jc w:val="center"/>
            </w:pPr>
            <w:r w:rsidRPr="00C11AAD">
              <w:t>28</w:t>
            </w:r>
          </w:p>
        </w:tc>
        <w:tc>
          <w:tcPr>
            <w:tcW w:w="1420" w:type="dxa"/>
          </w:tcPr>
          <w:p w:rsidR="00676D2A" w:rsidRPr="00C11AAD" w:rsidRDefault="00676D2A" w:rsidP="00B87C0E">
            <w:pPr>
              <w:pStyle w:val="Tabletext"/>
              <w:keepNext/>
              <w:jc w:val="center"/>
            </w:pPr>
            <w:r w:rsidRPr="00C11AAD">
              <w:t>100</w:t>
            </w:r>
          </w:p>
        </w:tc>
        <w:tc>
          <w:tcPr>
            <w:tcW w:w="1420" w:type="dxa"/>
          </w:tcPr>
          <w:p w:rsidR="00676D2A" w:rsidRPr="00C11AAD" w:rsidRDefault="00676D2A" w:rsidP="00B87C0E">
            <w:pPr>
              <w:pStyle w:val="Tabletext"/>
              <w:keepNext/>
              <w:jc w:val="center"/>
            </w:pPr>
            <w:r w:rsidRPr="00C11AAD">
              <w:t>90</w:t>
            </w:r>
          </w:p>
        </w:tc>
        <w:tc>
          <w:tcPr>
            <w:tcW w:w="1420" w:type="dxa"/>
          </w:tcPr>
          <w:p w:rsidR="00676D2A" w:rsidRPr="00C11AAD" w:rsidRDefault="00676D2A" w:rsidP="00B87C0E">
            <w:pPr>
              <w:pStyle w:val="Tabletext"/>
              <w:keepNext/>
              <w:jc w:val="center"/>
            </w:pPr>
            <w:r w:rsidRPr="00C11AAD">
              <w:t>56</w:t>
            </w:r>
          </w:p>
        </w:tc>
        <w:tc>
          <w:tcPr>
            <w:tcW w:w="1420" w:type="dxa"/>
          </w:tcPr>
          <w:p w:rsidR="00676D2A" w:rsidRPr="00C11AAD" w:rsidRDefault="00676D2A" w:rsidP="00B87C0E">
            <w:pPr>
              <w:pStyle w:val="Tabletext"/>
              <w:keepNext/>
              <w:jc w:val="center"/>
            </w:pPr>
            <w:r w:rsidRPr="00C11AAD">
              <w:t>56</w:t>
            </w:r>
          </w:p>
        </w:tc>
      </w:tr>
      <w:tr w:rsidR="00676D2A" w:rsidRPr="00C11AAD" w:rsidTr="00607AAD">
        <w:tc>
          <w:tcPr>
            <w:tcW w:w="1980" w:type="dxa"/>
          </w:tcPr>
          <w:p w:rsidR="00676D2A" w:rsidRPr="00C11AAD" w:rsidRDefault="00676D2A" w:rsidP="00B87C0E">
            <w:pPr>
              <w:pStyle w:val="Tabletext"/>
              <w:keepNext/>
            </w:pPr>
            <w:r w:rsidRPr="00C11AAD">
              <w:t>AEMP per max quantity</w:t>
            </w:r>
          </w:p>
        </w:tc>
        <w:tc>
          <w:tcPr>
            <w:tcW w:w="1357" w:type="dxa"/>
          </w:tcPr>
          <w:p w:rsidR="00676D2A" w:rsidRPr="00C11AAD" w:rsidRDefault="00676D2A" w:rsidP="00B87C0E">
            <w:pPr>
              <w:pStyle w:val="Tabletext"/>
              <w:keepNext/>
              <w:jc w:val="center"/>
            </w:pPr>
            <w:r w:rsidRPr="00C11AAD">
              <w:t>$</w:t>
            </w:r>
            <w:r w:rsidRPr="0059706A">
              <w:t>43.88</w:t>
            </w:r>
          </w:p>
        </w:tc>
        <w:tc>
          <w:tcPr>
            <w:tcW w:w="1420" w:type="dxa"/>
          </w:tcPr>
          <w:p w:rsidR="00676D2A" w:rsidRPr="00C11AAD" w:rsidRDefault="00676D2A" w:rsidP="00B87C0E">
            <w:pPr>
              <w:pStyle w:val="Tabletext"/>
              <w:keepNext/>
              <w:jc w:val="center"/>
            </w:pPr>
            <w:r w:rsidRPr="00C11AAD">
              <w:t>$2.50</w:t>
            </w:r>
          </w:p>
        </w:tc>
        <w:tc>
          <w:tcPr>
            <w:tcW w:w="1420" w:type="dxa"/>
          </w:tcPr>
          <w:p w:rsidR="00676D2A" w:rsidRPr="00C11AAD" w:rsidRDefault="00676D2A" w:rsidP="00B87C0E">
            <w:pPr>
              <w:pStyle w:val="Tabletext"/>
              <w:keepNext/>
              <w:jc w:val="center"/>
            </w:pPr>
            <w:r w:rsidRPr="00C11AAD">
              <w:t>$4.36</w:t>
            </w:r>
          </w:p>
        </w:tc>
        <w:tc>
          <w:tcPr>
            <w:tcW w:w="1420" w:type="dxa"/>
          </w:tcPr>
          <w:p w:rsidR="00676D2A" w:rsidRPr="00C11AAD" w:rsidRDefault="00676D2A" w:rsidP="00B87C0E">
            <w:pPr>
              <w:pStyle w:val="Tabletext"/>
              <w:keepNext/>
              <w:jc w:val="center"/>
            </w:pPr>
            <w:r w:rsidRPr="00C11AAD">
              <w:t>$</w:t>
            </w:r>
            <w:r w:rsidRPr="0059706A">
              <w:t>45.28</w:t>
            </w:r>
          </w:p>
        </w:tc>
        <w:tc>
          <w:tcPr>
            <w:tcW w:w="1420" w:type="dxa"/>
          </w:tcPr>
          <w:p w:rsidR="00676D2A" w:rsidRPr="00C11AAD" w:rsidRDefault="00676D2A" w:rsidP="00B87C0E">
            <w:pPr>
              <w:pStyle w:val="Tabletext"/>
              <w:keepNext/>
              <w:jc w:val="center"/>
            </w:pPr>
            <w:r w:rsidRPr="00C11AAD">
              <w:t>$</w:t>
            </w:r>
            <w:r w:rsidRPr="0059706A">
              <w:t>46.59</w:t>
            </w:r>
          </w:p>
        </w:tc>
      </w:tr>
      <w:tr w:rsidR="00676D2A" w:rsidRPr="00C11AAD" w:rsidTr="00607AAD">
        <w:tc>
          <w:tcPr>
            <w:tcW w:w="1980" w:type="dxa"/>
          </w:tcPr>
          <w:p w:rsidR="00676D2A" w:rsidRPr="00C11AAD" w:rsidRDefault="00676D2A" w:rsidP="00B87C0E">
            <w:pPr>
              <w:pStyle w:val="Tabletext"/>
              <w:keepNext/>
            </w:pPr>
            <w:r w:rsidRPr="00C11AAD">
              <w:t>AEMP per day</w:t>
            </w:r>
          </w:p>
        </w:tc>
        <w:tc>
          <w:tcPr>
            <w:tcW w:w="1357" w:type="dxa"/>
          </w:tcPr>
          <w:p w:rsidR="00676D2A" w:rsidRPr="00C11AAD" w:rsidRDefault="00676D2A" w:rsidP="00B87C0E">
            <w:pPr>
              <w:pStyle w:val="Tabletext"/>
              <w:keepNext/>
              <w:jc w:val="center"/>
            </w:pPr>
            <w:r w:rsidRPr="00C11AAD">
              <w:t>$</w:t>
            </w:r>
            <w:r w:rsidRPr="0059706A">
              <w:t>1.57</w:t>
            </w:r>
          </w:p>
        </w:tc>
        <w:tc>
          <w:tcPr>
            <w:tcW w:w="1420" w:type="dxa"/>
          </w:tcPr>
          <w:p w:rsidR="00676D2A" w:rsidRPr="00C11AAD" w:rsidRDefault="00676D2A" w:rsidP="00B87C0E">
            <w:pPr>
              <w:pStyle w:val="Tabletext"/>
              <w:keepNext/>
              <w:jc w:val="center"/>
            </w:pPr>
            <w:r w:rsidRPr="00C11AAD">
              <w:t xml:space="preserve">$0.05 </w:t>
            </w:r>
            <w:r w:rsidRPr="00C11AAD">
              <w:rPr>
                <w:vertAlign w:val="superscript"/>
              </w:rPr>
              <w:t>a</w:t>
            </w:r>
          </w:p>
        </w:tc>
        <w:tc>
          <w:tcPr>
            <w:tcW w:w="1420" w:type="dxa"/>
          </w:tcPr>
          <w:p w:rsidR="00676D2A" w:rsidRPr="00C11AAD" w:rsidRDefault="00676D2A" w:rsidP="00B87C0E">
            <w:pPr>
              <w:pStyle w:val="Tabletext"/>
              <w:keepNext/>
              <w:jc w:val="center"/>
            </w:pPr>
            <w:r w:rsidRPr="00C11AAD">
              <w:t xml:space="preserve">$0.10 </w:t>
            </w:r>
            <w:r w:rsidRPr="00C11AAD">
              <w:rPr>
                <w:vertAlign w:val="superscript"/>
              </w:rPr>
              <w:t>a</w:t>
            </w:r>
          </w:p>
        </w:tc>
        <w:tc>
          <w:tcPr>
            <w:tcW w:w="1420" w:type="dxa"/>
          </w:tcPr>
          <w:p w:rsidR="00676D2A" w:rsidRPr="00C11AAD" w:rsidRDefault="00676D2A" w:rsidP="00B87C0E">
            <w:pPr>
              <w:pStyle w:val="Tabletext"/>
              <w:keepNext/>
              <w:jc w:val="center"/>
            </w:pPr>
            <w:r w:rsidRPr="00C11AAD">
              <w:t>$</w:t>
            </w:r>
            <w:r w:rsidRPr="0059706A">
              <w:t>1.62</w:t>
            </w:r>
          </w:p>
        </w:tc>
        <w:tc>
          <w:tcPr>
            <w:tcW w:w="1420" w:type="dxa"/>
          </w:tcPr>
          <w:p w:rsidR="00676D2A" w:rsidRPr="00C11AAD" w:rsidRDefault="00676D2A" w:rsidP="00B87C0E">
            <w:pPr>
              <w:pStyle w:val="Tabletext"/>
              <w:keepNext/>
              <w:jc w:val="center"/>
            </w:pPr>
            <w:r w:rsidRPr="00C11AAD">
              <w:t>$</w:t>
            </w:r>
            <w:r w:rsidRPr="0059706A">
              <w:t>1.67</w:t>
            </w:r>
          </w:p>
        </w:tc>
      </w:tr>
      <w:tr w:rsidR="00676D2A" w:rsidRPr="00C11AAD" w:rsidTr="00607AAD">
        <w:tc>
          <w:tcPr>
            <w:tcW w:w="1980" w:type="dxa"/>
          </w:tcPr>
          <w:p w:rsidR="00676D2A" w:rsidRPr="00C11AAD" w:rsidRDefault="00676D2A" w:rsidP="00B87C0E">
            <w:pPr>
              <w:pStyle w:val="Tabletext"/>
              <w:keepNext/>
            </w:pPr>
            <w:r w:rsidRPr="00C11AAD">
              <w:t>DPMQ</w:t>
            </w:r>
          </w:p>
        </w:tc>
        <w:tc>
          <w:tcPr>
            <w:tcW w:w="1357" w:type="dxa"/>
          </w:tcPr>
          <w:p w:rsidR="00676D2A" w:rsidRPr="00C11AAD" w:rsidRDefault="00676D2A" w:rsidP="00B87C0E">
            <w:pPr>
              <w:pStyle w:val="Tabletext"/>
              <w:keepNext/>
              <w:jc w:val="center"/>
            </w:pPr>
            <w:r w:rsidRPr="00C11AAD">
              <w:t>$</w:t>
            </w:r>
            <w:r w:rsidRPr="0059706A">
              <w:t>58.27</w:t>
            </w:r>
          </w:p>
        </w:tc>
        <w:tc>
          <w:tcPr>
            <w:tcW w:w="1420" w:type="dxa"/>
          </w:tcPr>
          <w:p w:rsidR="00676D2A" w:rsidRPr="00C11AAD" w:rsidRDefault="00676D2A" w:rsidP="00B87C0E">
            <w:pPr>
              <w:pStyle w:val="Tabletext"/>
              <w:keepNext/>
              <w:jc w:val="center"/>
            </w:pPr>
            <w:r w:rsidRPr="00C11AAD">
              <w:t>$13.78</w:t>
            </w:r>
          </w:p>
        </w:tc>
        <w:tc>
          <w:tcPr>
            <w:tcW w:w="1420" w:type="dxa"/>
          </w:tcPr>
          <w:p w:rsidR="00676D2A" w:rsidRPr="00C11AAD" w:rsidRDefault="00676D2A" w:rsidP="00B87C0E">
            <w:pPr>
              <w:pStyle w:val="Tabletext"/>
              <w:keepNext/>
              <w:jc w:val="center"/>
            </w:pPr>
            <w:r w:rsidRPr="00C11AAD">
              <w:t>$15.78</w:t>
            </w:r>
          </w:p>
        </w:tc>
        <w:tc>
          <w:tcPr>
            <w:tcW w:w="1420" w:type="dxa"/>
          </w:tcPr>
          <w:p w:rsidR="00676D2A" w:rsidRPr="00C11AAD" w:rsidRDefault="00676D2A" w:rsidP="00B87C0E">
            <w:pPr>
              <w:pStyle w:val="Tabletext"/>
              <w:keepNext/>
              <w:jc w:val="center"/>
            </w:pPr>
            <w:r w:rsidRPr="00C11AAD">
              <w:t>$</w:t>
            </w:r>
            <w:r w:rsidRPr="0059706A">
              <w:t>59.78</w:t>
            </w:r>
          </w:p>
        </w:tc>
        <w:tc>
          <w:tcPr>
            <w:tcW w:w="1420" w:type="dxa"/>
          </w:tcPr>
          <w:p w:rsidR="00676D2A" w:rsidRPr="00C11AAD" w:rsidRDefault="00676D2A" w:rsidP="00B87C0E">
            <w:pPr>
              <w:pStyle w:val="Tabletext"/>
              <w:keepNext/>
              <w:jc w:val="center"/>
            </w:pPr>
            <w:r w:rsidRPr="00C11AAD">
              <w:t>$</w:t>
            </w:r>
            <w:r w:rsidRPr="0059706A">
              <w:t>61.18</w:t>
            </w:r>
          </w:p>
        </w:tc>
      </w:tr>
    </w:tbl>
    <w:p w:rsidR="00676D2A" w:rsidRPr="00C11AAD" w:rsidRDefault="00676D2A" w:rsidP="00676D2A">
      <w:pPr>
        <w:pStyle w:val="TableFooter"/>
      </w:pPr>
      <w:proofErr w:type="spellStart"/>
      <w:proofErr w:type="gramStart"/>
      <w:r w:rsidRPr="00C11AAD">
        <w:rPr>
          <w:vertAlign w:val="superscript"/>
        </w:rPr>
        <w:t>a</w:t>
      </w:r>
      <w:proofErr w:type="spellEnd"/>
      <w:r w:rsidRPr="00C11AAD">
        <w:rPr>
          <w:vertAlign w:val="superscript"/>
        </w:rPr>
        <w:t xml:space="preserve"> </w:t>
      </w:r>
      <w:r w:rsidRPr="00C11AAD">
        <w:t xml:space="preserve"> assuming</w:t>
      </w:r>
      <w:proofErr w:type="gramEnd"/>
      <w:r w:rsidRPr="00C11AAD">
        <w:t xml:space="preserve"> twice-daily regimen</w:t>
      </w:r>
    </w:p>
    <w:p w:rsidR="00676D2A" w:rsidRPr="00C11AAD" w:rsidRDefault="00676D2A" w:rsidP="00676D2A">
      <w:pPr>
        <w:pStyle w:val="TableFooter"/>
      </w:pPr>
      <w:r w:rsidRPr="00C11AAD">
        <w:t xml:space="preserve">Abbreviations: AEMP, approved ex-manufacturer price; DPMQ, dispensed price for maximum quantity; ERTU, </w:t>
      </w:r>
      <w:proofErr w:type="spellStart"/>
      <w:r w:rsidRPr="00C11AAD">
        <w:t>ertugliflozin</w:t>
      </w:r>
      <w:proofErr w:type="spellEnd"/>
      <w:r w:rsidRPr="00C11AAD">
        <w:t>; FDC, fixed dose combination; MET, metformin</w:t>
      </w:r>
    </w:p>
    <w:p w:rsidR="00C25D9C" w:rsidRPr="00C11AAD" w:rsidRDefault="00676D2A" w:rsidP="00676D2A">
      <w:pPr>
        <w:widowControl/>
        <w:rPr>
          <w:rFonts w:ascii="Arial Narrow" w:hAnsi="Arial Narrow"/>
          <w:sz w:val="18"/>
        </w:rPr>
      </w:pPr>
      <w:r w:rsidRPr="00C11AAD">
        <w:rPr>
          <w:rFonts w:ascii="Arial Narrow" w:hAnsi="Arial Narrow"/>
          <w:sz w:val="18"/>
        </w:rPr>
        <w:t>Source: Table 3.4.1-2, Table 3.4.1-3 Section 3.4.1 of the submission</w:t>
      </w:r>
    </w:p>
    <w:p w:rsidR="006D1ED4" w:rsidRPr="002A4026" w:rsidRDefault="00C25D9C" w:rsidP="00CF5F42">
      <w:pPr>
        <w:pStyle w:val="Heading2"/>
      </w:pPr>
      <w:bookmarkStart w:id="12" w:name="_Toc503874320"/>
      <w:r w:rsidRPr="002A4026">
        <w:t>D</w:t>
      </w:r>
      <w:r w:rsidR="00E6183E" w:rsidRPr="002A4026">
        <w:t>rug cost/patient/</w:t>
      </w:r>
      <w:r w:rsidRPr="002A4026">
        <w:t>year</w:t>
      </w:r>
      <w:bookmarkEnd w:id="12"/>
    </w:p>
    <w:p w:rsidR="00B60939" w:rsidRPr="00C11AAD" w:rsidRDefault="00115FE6" w:rsidP="001A05C8">
      <w:pPr>
        <w:pStyle w:val="ListParagraph"/>
        <w:keepNext/>
        <w:widowControl/>
        <w:numPr>
          <w:ilvl w:val="1"/>
          <w:numId w:val="2"/>
        </w:numPr>
        <w:spacing w:before="120" w:after="120"/>
      </w:pPr>
      <w:r w:rsidRPr="00C11AAD">
        <w:t xml:space="preserve">The cost of </w:t>
      </w:r>
      <w:proofErr w:type="spellStart"/>
      <w:r w:rsidRPr="00C11AAD">
        <w:t>ertugliflozin</w:t>
      </w:r>
      <w:proofErr w:type="spellEnd"/>
      <w:r w:rsidRPr="00C11AAD">
        <w:t xml:space="preserve"> 5 mg or 15 mg per patient per year is $</w:t>
      </w:r>
      <w:r w:rsidRPr="0059706A">
        <w:t>759.84</w:t>
      </w:r>
      <w:r w:rsidRPr="00C11AAD">
        <w:t xml:space="preserve"> (DPMQ $</w:t>
      </w:r>
      <w:r w:rsidRPr="0059706A">
        <w:t>58.27</w:t>
      </w:r>
      <w:r w:rsidRPr="00C11AAD">
        <w:t xml:space="preserve"> for 28 days treatment x 13.04), </w:t>
      </w:r>
      <w:r w:rsidRPr="0059706A">
        <w:t xml:space="preserve">which is the same as the cost per patient per year for </w:t>
      </w:r>
      <w:proofErr w:type="spellStart"/>
      <w:r w:rsidRPr="0059706A">
        <w:t>dapagliflozin</w:t>
      </w:r>
      <w:proofErr w:type="spellEnd"/>
      <w:r w:rsidRPr="0059706A">
        <w:t xml:space="preserve"> 10 mg</w:t>
      </w:r>
      <w:r w:rsidRPr="00C11AAD">
        <w:t xml:space="preserve">. The cost of </w:t>
      </w:r>
      <w:proofErr w:type="spellStart"/>
      <w:r w:rsidRPr="00C11AAD">
        <w:t>empagliflozin</w:t>
      </w:r>
      <w:proofErr w:type="spellEnd"/>
      <w:r w:rsidRPr="00C11AAD">
        <w:t xml:space="preserve"> 10 mg and 25 mg per patient per year is $</w:t>
      </w:r>
      <w:r w:rsidRPr="000D075A">
        <w:t>749.95</w:t>
      </w:r>
      <w:r w:rsidRPr="00C11AAD">
        <w:t xml:space="preserve"> (DPMQ $</w:t>
      </w:r>
      <w:r w:rsidRPr="000D075A">
        <w:t>61.64</w:t>
      </w:r>
      <w:r w:rsidRPr="00C11AAD">
        <w:t xml:space="preserve"> for 30 days treatment x 12.17). The </w:t>
      </w:r>
      <w:r w:rsidRPr="0059706A">
        <w:t>small</w:t>
      </w:r>
      <w:r w:rsidRPr="00C11AAD">
        <w:t xml:space="preserve"> difference in </w:t>
      </w:r>
      <w:r w:rsidRPr="00C11AAD">
        <w:lastRenderedPageBreak/>
        <w:t xml:space="preserve">costs per year for </w:t>
      </w:r>
      <w:proofErr w:type="spellStart"/>
      <w:r w:rsidRPr="00C11AAD">
        <w:t>empagliflozin</w:t>
      </w:r>
      <w:proofErr w:type="spellEnd"/>
      <w:r w:rsidRPr="00C11AAD">
        <w:t xml:space="preserve"> is due</w:t>
      </w:r>
      <w:r w:rsidR="00A73A8C" w:rsidRPr="00C11AAD">
        <w:t xml:space="preserve"> the larger pack size which requires</w:t>
      </w:r>
      <w:r w:rsidRPr="00C11AAD">
        <w:t xml:space="preserve"> fewer prescription</w:t>
      </w:r>
      <w:r w:rsidR="00A73A8C" w:rsidRPr="00C11AAD">
        <w:t>s</w:t>
      </w:r>
      <w:r w:rsidRPr="00C11AAD">
        <w:t xml:space="preserve"> per year. Treatment is ongoing.</w:t>
      </w:r>
    </w:p>
    <w:p w:rsidR="00115FE6" w:rsidRPr="00C11AAD" w:rsidRDefault="00115FE6" w:rsidP="001A05C8">
      <w:pPr>
        <w:pStyle w:val="ListParagraph"/>
        <w:keepNext/>
        <w:widowControl/>
        <w:numPr>
          <w:ilvl w:val="1"/>
          <w:numId w:val="2"/>
        </w:numPr>
        <w:spacing w:after="120"/>
      </w:pPr>
      <w:r w:rsidRPr="00C11AAD">
        <w:t xml:space="preserve">The cost of </w:t>
      </w:r>
      <w:proofErr w:type="spellStart"/>
      <w:r w:rsidRPr="00C11AAD">
        <w:t>ertugliflozin</w:t>
      </w:r>
      <w:proofErr w:type="spellEnd"/>
      <w:r w:rsidRPr="00C11AAD">
        <w:t xml:space="preserve"> with metformin FDC per patient per year varies depending on metformin dose:</w:t>
      </w:r>
    </w:p>
    <w:p w:rsidR="00115FE6" w:rsidRPr="00C11AAD" w:rsidRDefault="00115FE6" w:rsidP="001A05C8">
      <w:pPr>
        <w:pStyle w:val="ListParagraph"/>
        <w:widowControl/>
        <w:numPr>
          <w:ilvl w:val="0"/>
          <w:numId w:val="7"/>
        </w:numPr>
        <w:spacing w:after="120"/>
        <w:ind w:left="1077" w:hanging="357"/>
        <w:rPr>
          <w:rFonts w:cs="Calibri"/>
          <w:snapToGrid/>
          <w:szCs w:val="24"/>
          <w:lang w:val="en-US" w:eastAsia="en-AU"/>
        </w:rPr>
      </w:pP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2.5 mg or 7.5 mg with metformin 500 mg:</w:t>
      </w:r>
      <w:r w:rsidR="00EB2D9F" w:rsidRPr="00C11AAD">
        <w:rPr>
          <w:rFonts w:cs="Calibri"/>
          <w:snapToGrid/>
          <w:szCs w:val="24"/>
          <w:lang w:val="en-US" w:eastAsia="en-AU"/>
        </w:rPr>
        <w:t xml:space="preserve"> $</w:t>
      </w:r>
      <w:r w:rsidR="00EB2D9F" w:rsidRPr="0059706A">
        <w:rPr>
          <w:rFonts w:cs="Calibri"/>
          <w:snapToGrid/>
          <w:szCs w:val="24"/>
          <w:lang w:val="en-US" w:eastAsia="en-AU"/>
        </w:rPr>
        <w:t>779.53</w:t>
      </w:r>
      <w:r w:rsidRPr="00C11AAD">
        <w:rPr>
          <w:rFonts w:cs="Calibri"/>
          <w:snapToGrid/>
          <w:szCs w:val="24"/>
          <w:lang w:val="en-US" w:eastAsia="en-AU"/>
        </w:rPr>
        <w:t xml:space="preserve"> </w:t>
      </w:r>
      <w:r w:rsidR="00402170" w:rsidRPr="00C11AAD">
        <w:rPr>
          <w:rFonts w:cs="Calibri"/>
          <w:snapToGrid/>
          <w:szCs w:val="24"/>
          <w:lang w:val="en-US" w:eastAsia="en-AU"/>
        </w:rPr>
        <w:t>(DMPQ $</w:t>
      </w:r>
      <w:r w:rsidR="00402170" w:rsidRPr="0059706A">
        <w:rPr>
          <w:rFonts w:cs="Calibri"/>
          <w:snapToGrid/>
          <w:szCs w:val="24"/>
          <w:lang w:val="en-US" w:eastAsia="en-AU"/>
        </w:rPr>
        <w:t>59.78</w:t>
      </w:r>
      <w:r w:rsidR="00402170" w:rsidRPr="00C11AAD">
        <w:rPr>
          <w:rFonts w:cs="Calibri"/>
          <w:snapToGrid/>
          <w:szCs w:val="24"/>
          <w:lang w:val="en-US" w:eastAsia="en-AU"/>
        </w:rPr>
        <w:t xml:space="preserve"> for 28 days treatment x 13.04)</w:t>
      </w:r>
    </w:p>
    <w:p w:rsidR="00115FE6" w:rsidRDefault="00115FE6" w:rsidP="001A05C8">
      <w:pPr>
        <w:pStyle w:val="ListParagraph"/>
        <w:widowControl/>
        <w:numPr>
          <w:ilvl w:val="0"/>
          <w:numId w:val="7"/>
        </w:numPr>
        <w:spacing w:after="120"/>
        <w:ind w:left="1077" w:hanging="357"/>
        <w:rPr>
          <w:rFonts w:cs="Calibri"/>
          <w:snapToGrid/>
          <w:szCs w:val="24"/>
          <w:lang w:val="en-US" w:eastAsia="en-AU"/>
        </w:rPr>
      </w:pPr>
      <w:proofErr w:type="spellStart"/>
      <w:r w:rsidRPr="00C11AAD">
        <w:rPr>
          <w:rFonts w:cs="Calibri"/>
          <w:snapToGrid/>
          <w:szCs w:val="24"/>
          <w:lang w:val="en-US" w:eastAsia="en-AU"/>
        </w:rPr>
        <w:t>Ertugliflozin</w:t>
      </w:r>
      <w:proofErr w:type="spellEnd"/>
      <w:r w:rsidRPr="00C11AAD">
        <w:rPr>
          <w:rFonts w:cs="Calibri"/>
          <w:snapToGrid/>
          <w:szCs w:val="24"/>
          <w:lang w:val="en-US" w:eastAsia="en-AU"/>
        </w:rPr>
        <w:t xml:space="preserve"> 2.5 mg or 7.5 mg with metformin 1 g:</w:t>
      </w:r>
      <w:r w:rsidR="00402170" w:rsidRPr="00C11AAD">
        <w:rPr>
          <w:rFonts w:cs="Calibri"/>
          <w:snapToGrid/>
          <w:szCs w:val="24"/>
          <w:lang w:val="en-US" w:eastAsia="en-AU"/>
        </w:rPr>
        <w:t xml:space="preserve"> $</w:t>
      </w:r>
      <w:r w:rsidR="00402170" w:rsidRPr="0059706A">
        <w:rPr>
          <w:rFonts w:cs="Calibri"/>
          <w:snapToGrid/>
          <w:szCs w:val="24"/>
          <w:lang w:val="en-US" w:eastAsia="en-AU"/>
        </w:rPr>
        <w:t>797.79</w:t>
      </w:r>
      <w:r w:rsidR="00402170" w:rsidRPr="00C11AAD">
        <w:rPr>
          <w:rFonts w:cs="Calibri"/>
          <w:snapToGrid/>
          <w:szCs w:val="24"/>
          <w:lang w:val="en-US" w:eastAsia="en-AU"/>
        </w:rPr>
        <w:t xml:space="preserve"> (DPMQ $</w:t>
      </w:r>
      <w:r w:rsidR="00402170" w:rsidRPr="0059706A">
        <w:rPr>
          <w:rFonts w:cs="Calibri"/>
          <w:snapToGrid/>
          <w:szCs w:val="24"/>
          <w:lang w:val="en-US" w:eastAsia="en-AU"/>
        </w:rPr>
        <w:t>61.18</w:t>
      </w:r>
      <w:r w:rsidR="00402170" w:rsidRPr="00C11AAD">
        <w:rPr>
          <w:rFonts w:cs="Calibri"/>
          <w:snapToGrid/>
          <w:szCs w:val="24"/>
          <w:lang w:val="en-US" w:eastAsia="en-AU"/>
        </w:rPr>
        <w:t xml:space="preserve"> for 28 days treatment x 13.04)</w:t>
      </w:r>
      <w:r w:rsidR="00EB2D9F" w:rsidRPr="00C11AAD">
        <w:rPr>
          <w:rFonts w:cs="Calibri"/>
          <w:snapToGrid/>
          <w:szCs w:val="24"/>
          <w:lang w:val="en-US" w:eastAsia="en-AU"/>
        </w:rPr>
        <w:t>.</w:t>
      </w:r>
    </w:p>
    <w:p w:rsidR="00B60939" w:rsidRPr="0042325D" w:rsidRDefault="00B60939" w:rsidP="00CF5F42">
      <w:pPr>
        <w:pStyle w:val="Heading2"/>
      </w:pPr>
      <w:bookmarkStart w:id="13" w:name="_Toc503874321"/>
      <w:r w:rsidRPr="0042325D">
        <w:t>Estimated PBS usage &amp; financial implications</w:t>
      </w:r>
      <w:bookmarkEnd w:id="13"/>
    </w:p>
    <w:p w:rsidR="00E6183E" w:rsidRPr="00C11AAD" w:rsidRDefault="00E6183E" w:rsidP="001A05C8">
      <w:pPr>
        <w:pStyle w:val="ListParagraph"/>
        <w:widowControl/>
        <w:numPr>
          <w:ilvl w:val="1"/>
          <w:numId w:val="2"/>
        </w:numPr>
        <w:spacing w:before="120" w:after="120"/>
      </w:pPr>
      <w:r w:rsidRPr="00C11AAD">
        <w:t xml:space="preserve">This submission </w:t>
      </w:r>
      <w:r w:rsidR="00734500" w:rsidRPr="00C11AAD">
        <w:t>was not</w:t>
      </w:r>
      <w:r w:rsidR="00340CEB" w:rsidRPr="00C11AAD">
        <w:t xml:space="preserve"> </w:t>
      </w:r>
      <w:r w:rsidR="00C25D9C" w:rsidRPr="00C11AAD">
        <w:t xml:space="preserve">considered by DUSC. </w:t>
      </w:r>
      <w:r w:rsidRPr="00C11AAD">
        <w:t>A market share approach was used to estimate utilisation and fin</w:t>
      </w:r>
      <w:r w:rsidR="000A72BE" w:rsidRPr="00C11AAD">
        <w:t xml:space="preserve">ancial impact of </w:t>
      </w:r>
      <w:proofErr w:type="spellStart"/>
      <w:r w:rsidR="000A72BE" w:rsidRPr="00C11AAD">
        <w:t>ertugliflozin</w:t>
      </w:r>
      <w:proofErr w:type="spellEnd"/>
      <w:r w:rsidR="00F66A30" w:rsidRPr="00C11AAD">
        <w:t xml:space="preserve"> and </w:t>
      </w:r>
      <w:proofErr w:type="spellStart"/>
      <w:r w:rsidR="00F66A30" w:rsidRPr="00C11AAD">
        <w:t>ertugliflozin</w:t>
      </w:r>
      <w:proofErr w:type="spellEnd"/>
      <w:r w:rsidR="00F66A30" w:rsidRPr="00C11AAD">
        <w:t xml:space="preserve"> with metformin FDC</w:t>
      </w:r>
      <w:r w:rsidR="000A72BE" w:rsidRPr="00C11AAD">
        <w:t>.</w:t>
      </w:r>
    </w:p>
    <w:p w:rsidR="000D075A" w:rsidRDefault="006C3893" w:rsidP="000D075A">
      <w:pPr>
        <w:pStyle w:val="ListParagraph"/>
        <w:widowControl/>
        <w:numPr>
          <w:ilvl w:val="1"/>
          <w:numId w:val="2"/>
        </w:numPr>
        <w:spacing w:after="120"/>
      </w:pPr>
      <w:r w:rsidRPr="00C11AAD">
        <w:t xml:space="preserve">Table </w:t>
      </w:r>
      <w:r w:rsidR="002D563E" w:rsidRPr="00C11AAD">
        <w:t>12</w:t>
      </w:r>
      <w:r w:rsidRPr="00C11AAD">
        <w:t xml:space="preserve"> presents the estimated use and financial impact of a PBS listing for </w:t>
      </w:r>
      <w:proofErr w:type="spellStart"/>
      <w:r w:rsidRPr="00C11AAD">
        <w:t>ertugliflozin</w:t>
      </w:r>
      <w:proofErr w:type="spellEnd"/>
      <w:r w:rsidRPr="00C11AAD">
        <w:t xml:space="preserve">, and </w:t>
      </w:r>
      <w:proofErr w:type="spellStart"/>
      <w:r w:rsidRPr="00C11AAD">
        <w:t>ertugliflozin</w:t>
      </w:r>
      <w:proofErr w:type="spellEnd"/>
      <w:r w:rsidRPr="00C11AAD">
        <w:t xml:space="preserve"> with metformin FDC.</w:t>
      </w:r>
    </w:p>
    <w:p w:rsidR="00C25D9C" w:rsidRPr="000D075A" w:rsidRDefault="006C3893" w:rsidP="000D075A">
      <w:pPr>
        <w:widowControl/>
        <w:spacing w:after="120"/>
        <w:rPr>
          <w:rStyle w:val="CommentReference"/>
          <w:rFonts w:ascii="Calibri" w:hAnsi="Calibri"/>
          <w:b w:val="0"/>
          <w:sz w:val="24"/>
          <w:szCs w:val="22"/>
        </w:rPr>
      </w:pPr>
      <w:r w:rsidRPr="00C11AAD">
        <w:rPr>
          <w:rStyle w:val="CommentReference"/>
        </w:rPr>
        <w:t>T</w:t>
      </w:r>
      <w:r w:rsidR="002A2F50" w:rsidRPr="00C11AAD">
        <w:rPr>
          <w:rStyle w:val="CommentReference"/>
        </w:rPr>
        <w:t xml:space="preserve">able </w:t>
      </w:r>
      <w:r w:rsidR="002D563E" w:rsidRPr="00C11AAD">
        <w:rPr>
          <w:rStyle w:val="CommentReference"/>
        </w:rPr>
        <w:t>12</w:t>
      </w:r>
      <w:r w:rsidR="002A2F50" w:rsidRPr="00C11AAD">
        <w:rPr>
          <w:rStyle w:val="CommentReference"/>
        </w:rPr>
        <w:t>: Estimated use and financial implications</w:t>
      </w:r>
    </w:p>
    <w:tbl>
      <w:tblPr>
        <w:tblW w:w="5002"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1169"/>
        <w:gridCol w:w="1170"/>
        <w:gridCol w:w="1169"/>
        <w:gridCol w:w="1170"/>
        <w:gridCol w:w="1169"/>
        <w:gridCol w:w="1085"/>
      </w:tblGrid>
      <w:tr w:rsidR="006C3893" w:rsidRPr="00C11AAD" w:rsidTr="000A72BE">
        <w:trPr>
          <w:tblHeader/>
        </w:trPr>
        <w:tc>
          <w:tcPr>
            <w:tcW w:w="1186" w:type="pct"/>
            <w:tcBorders>
              <w:left w:val="single" w:sz="4" w:space="0" w:color="auto"/>
              <w:bottom w:val="single" w:sz="4" w:space="0" w:color="auto"/>
            </w:tcBorders>
            <w:shd w:val="clear" w:color="auto" w:fill="auto"/>
            <w:vAlign w:val="center"/>
          </w:tcPr>
          <w:p w:rsidR="006C3893" w:rsidRPr="00C11AAD" w:rsidRDefault="006C3893" w:rsidP="000D075A">
            <w:pPr>
              <w:rPr>
                <w:rFonts w:ascii="Arial Narrow" w:eastAsia="Calibri" w:hAnsi="Arial Narrow" w:cs="Times New Roman"/>
                <w:sz w:val="20"/>
                <w:szCs w:val="20"/>
                <w:lang w:eastAsia="en-AU"/>
              </w:rPr>
            </w:pPr>
          </w:p>
        </w:tc>
        <w:tc>
          <w:tcPr>
            <w:tcW w:w="643" w:type="pct"/>
            <w:tcBorders>
              <w:bottom w:val="single" w:sz="4" w:space="0" w:color="auto"/>
            </w:tcBorders>
            <w:shd w:val="clear" w:color="auto" w:fill="auto"/>
            <w:vAlign w:val="center"/>
          </w:tcPr>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Year 1</w:t>
            </w:r>
          </w:p>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(2018)</w:t>
            </w:r>
          </w:p>
        </w:tc>
        <w:tc>
          <w:tcPr>
            <w:tcW w:w="644" w:type="pct"/>
            <w:tcBorders>
              <w:bottom w:val="single" w:sz="4" w:space="0" w:color="auto"/>
            </w:tcBorders>
            <w:shd w:val="clear" w:color="auto" w:fill="auto"/>
            <w:vAlign w:val="center"/>
          </w:tcPr>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Year 2</w:t>
            </w:r>
          </w:p>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(2019)</w:t>
            </w:r>
          </w:p>
        </w:tc>
        <w:tc>
          <w:tcPr>
            <w:tcW w:w="643" w:type="pct"/>
            <w:tcBorders>
              <w:bottom w:val="single" w:sz="4" w:space="0" w:color="auto"/>
            </w:tcBorders>
            <w:shd w:val="clear" w:color="auto" w:fill="auto"/>
            <w:vAlign w:val="center"/>
          </w:tcPr>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Year 3</w:t>
            </w:r>
          </w:p>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(2020)</w:t>
            </w:r>
          </w:p>
        </w:tc>
        <w:tc>
          <w:tcPr>
            <w:tcW w:w="644" w:type="pct"/>
            <w:tcBorders>
              <w:bottom w:val="single" w:sz="4" w:space="0" w:color="auto"/>
            </w:tcBorders>
            <w:shd w:val="clear" w:color="auto" w:fill="auto"/>
            <w:vAlign w:val="center"/>
          </w:tcPr>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Year 4</w:t>
            </w:r>
          </w:p>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(2021)</w:t>
            </w:r>
          </w:p>
        </w:tc>
        <w:tc>
          <w:tcPr>
            <w:tcW w:w="643" w:type="pct"/>
            <w:tcBorders>
              <w:bottom w:val="single" w:sz="4" w:space="0" w:color="auto"/>
              <w:right w:val="single" w:sz="4" w:space="0" w:color="auto"/>
            </w:tcBorders>
            <w:shd w:val="clear" w:color="auto" w:fill="auto"/>
            <w:vAlign w:val="center"/>
          </w:tcPr>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 xml:space="preserve">Year 5 </w:t>
            </w:r>
          </w:p>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(2022)</w:t>
            </w:r>
          </w:p>
        </w:tc>
        <w:tc>
          <w:tcPr>
            <w:tcW w:w="597" w:type="pct"/>
            <w:tcBorders>
              <w:bottom w:val="single" w:sz="4" w:space="0" w:color="auto"/>
              <w:right w:val="single" w:sz="4" w:space="0" w:color="auto"/>
            </w:tcBorders>
            <w:vAlign w:val="center"/>
          </w:tcPr>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 xml:space="preserve">Year 6 </w:t>
            </w:r>
          </w:p>
          <w:p w:rsidR="006C3893" w:rsidRPr="00C11AAD" w:rsidRDefault="006C3893" w:rsidP="000D075A">
            <w:pPr>
              <w:jc w:val="center"/>
              <w:rPr>
                <w:rFonts w:ascii="Arial Narrow" w:eastAsia="Calibri" w:hAnsi="Arial Narrow" w:cs="Times New Roman"/>
                <w:b/>
                <w:bCs/>
                <w:sz w:val="20"/>
                <w:szCs w:val="20"/>
                <w:lang w:eastAsia="en-AU"/>
              </w:rPr>
            </w:pPr>
            <w:r w:rsidRPr="00C11AAD">
              <w:rPr>
                <w:rFonts w:ascii="Arial Narrow" w:eastAsia="Calibri" w:hAnsi="Arial Narrow" w:cs="Times New Roman"/>
                <w:b/>
                <w:bCs/>
                <w:sz w:val="20"/>
                <w:szCs w:val="20"/>
                <w:lang w:eastAsia="en-AU"/>
              </w:rPr>
              <w:t>(2023)</w:t>
            </w:r>
          </w:p>
        </w:tc>
      </w:tr>
      <w:tr w:rsidR="006C3893" w:rsidRPr="00C11AAD" w:rsidTr="000A72BE">
        <w:tc>
          <w:tcPr>
            <w:tcW w:w="1186" w:type="pct"/>
            <w:tcBorders>
              <w:left w:val="single" w:sz="4" w:space="0" w:color="auto"/>
              <w:bottom w:val="single" w:sz="4" w:space="0" w:color="auto"/>
            </w:tcBorders>
            <w:shd w:val="clear" w:color="auto" w:fill="auto"/>
            <w:vAlign w:val="center"/>
          </w:tcPr>
          <w:p w:rsidR="006C3893" w:rsidRPr="00C11AAD" w:rsidRDefault="006C3893" w:rsidP="000D075A">
            <w:pPr>
              <w:jc w:val="left"/>
              <w:rPr>
                <w:rFonts w:ascii="Arial Narrow" w:hAnsi="Arial Narrow"/>
                <w:sz w:val="20"/>
                <w:szCs w:val="20"/>
              </w:rPr>
            </w:pPr>
            <w:r w:rsidRPr="00C11AAD">
              <w:rPr>
                <w:rFonts w:ascii="Arial Narrow" w:hAnsi="Arial Narrow"/>
                <w:sz w:val="20"/>
                <w:szCs w:val="20"/>
              </w:rPr>
              <w:t xml:space="preserve">Extrapolated </w:t>
            </w:r>
            <w:proofErr w:type="spellStart"/>
            <w:r w:rsidRPr="00C11AAD">
              <w:rPr>
                <w:rFonts w:ascii="Arial Narrow" w:hAnsi="Arial Narrow"/>
                <w:sz w:val="20"/>
                <w:szCs w:val="20"/>
              </w:rPr>
              <w:t>dapagliflozin</w:t>
            </w:r>
            <w:proofErr w:type="spellEnd"/>
            <w:r w:rsidRPr="00C11AAD">
              <w:rPr>
                <w:rFonts w:ascii="Arial Narrow" w:hAnsi="Arial Narrow"/>
                <w:sz w:val="20"/>
                <w:szCs w:val="20"/>
              </w:rPr>
              <w:t xml:space="preserve"> single agent scripts</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bottom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Extrapolated </w:t>
            </w:r>
            <w:proofErr w:type="spellStart"/>
            <w:r w:rsidRPr="00C11AAD">
              <w:rPr>
                <w:rFonts w:ascii="Arial Narrow" w:eastAsia="Calibri" w:hAnsi="Arial Narrow" w:cs="Times New Roman"/>
                <w:sz w:val="20"/>
                <w:szCs w:val="20"/>
                <w:lang w:eastAsia="en-AU"/>
              </w:rPr>
              <w:t>empagliflozin</w:t>
            </w:r>
            <w:proofErr w:type="spellEnd"/>
            <w:r w:rsidRPr="00C11AAD">
              <w:rPr>
                <w:rFonts w:ascii="Arial Narrow" w:eastAsia="Calibri" w:hAnsi="Arial Narrow" w:cs="Times New Roman"/>
                <w:sz w:val="20"/>
                <w:szCs w:val="20"/>
                <w:lang w:eastAsia="en-AU"/>
              </w:rPr>
              <w:t xml:space="preserve"> single agent </w:t>
            </w:r>
            <w:proofErr w:type="spellStart"/>
            <w:r w:rsidRPr="00C11AAD">
              <w:rPr>
                <w:rFonts w:ascii="Arial Narrow" w:eastAsia="Calibri" w:hAnsi="Arial Narrow" w:cs="Times New Roman"/>
                <w:sz w:val="20"/>
                <w:szCs w:val="20"/>
                <w:lang w:eastAsia="en-AU"/>
              </w:rPr>
              <w:t>scripts</w:t>
            </w:r>
            <w:r w:rsidRPr="00C11AAD">
              <w:rPr>
                <w:rFonts w:ascii="Arial Narrow" w:eastAsia="Calibri" w:hAnsi="Arial Narrow" w:cs="Times New Roman"/>
                <w:sz w:val="20"/>
                <w:szCs w:val="20"/>
                <w:vertAlign w:val="superscript"/>
                <w:lang w:eastAsia="en-AU"/>
              </w:rPr>
              <w:t>a</w:t>
            </w:r>
            <w:proofErr w:type="spellEnd"/>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bottom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Extrapolated </w:t>
            </w:r>
            <w:proofErr w:type="spellStart"/>
            <w:r w:rsidRPr="00C11AAD">
              <w:rPr>
                <w:rFonts w:ascii="Arial Narrow" w:eastAsia="Calibri" w:hAnsi="Arial Narrow" w:cs="Times New Roman"/>
                <w:sz w:val="20"/>
                <w:szCs w:val="20"/>
                <w:lang w:eastAsia="en-AU"/>
              </w:rPr>
              <w:t>empagliflozin</w:t>
            </w:r>
            <w:proofErr w:type="spellEnd"/>
            <w:r w:rsidRPr="00C11AAD">
              <w:rPr>
                <w:rFonts w:ascii="Arial Narrow" w:eastAsia="Calibri" w:hAnsi="Arial Narrow" w:cs="Times New Roman"/>
                <w:sz w:val="20"/>
                <w:szCs w:val="20"/>
                <w:lang w:eastAsia="en-AU"/>
              </w:rPr>
              <w:t xml:space="preserve"> with metformin FDC </w:t>
            </w:r>
            <w:proofErr w:type="spellStart"/>
            <w:r w:rsidRPr="00C11AAD">
              <w:rPr>
                <w:rFonts w:ascii="Arial Narrow" w:eastAsia="Calibri" w:hAnsi="Arial Narrow" w:cs="Times New Roman"/>
                <w:sz w:val="20"/>
                <w:szCs w:val="20"/>
                <w:lang w:eastAsia="en-AU"/>
              </w:rPr>
              <w:t>scripts</w:t>
            </w:r>
            <w:r w:rsidRPr="00C11AAD">
              <w:rPr>
                <w:rFonts w:ascii="Arial Narrow" w:eastAsia="Calibri" w:hAnsi="Arial Narrow" w:cs="Times New Roman"/>
                <w:sz w:val="20"/>
                <w:szCs w:val="20"/>
                <w:vertAlign w:val="superscript"/>
                <w:lang w:eastAsia="en-AU"/>
              </w:rPr>
              <w:t>a</w:t>
            </w:r>
            <w:proofErr w:type="spellEnd"/>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bottom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Total </w:t>
            </w:r>
            <w:proofErr w:type="spellStart"/>
            <w:r w:rsidRPr="00C11AAD">
              <w:rPr>
                <w:rFonts w:ascii="Arial Narrow" w:eastAsia="Calibri" w:hAnsi="Arial Narrow" w:cs="Times New Roman"/>
                <w:sz w:val="20"/>
                <w:szCs w:val="20"/>
                <w:lang w:eastAsia="en-AU"/>
              </w:rPr>
              <w:t>gliflozin</w:t>
            </w:r>
            <w:proofErr w:type="spellEnd"/>
            <w:r w:rsidRPr="00C11AAD">
              <w:rPr>
                <w:rFonts w:ascii="Arial Narrow" w:eastAsia="Calibri" w:hAnsi="Arial Narrow" w:cs="Times New Roman"/>
                <w:sz w:val="20"/>
                <w:szCs w:val="20"/>
                <w:lang w:eastAsia="en-AU"/>
              </w:rPr>
              <w:t xml:space="preserve"> scripts</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bottom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Proportion of </w:t>
            </w:r>
            <w:proofErr w:type="spellStart"/>
            <w:r w:rsidRPr="00C11AAD">
              <w:rPr>
                <w:rFonts w:ascii="Arial Narrow" w:eastAsia="Calibri" w:hAnsi="Arial Narrow" w:cs="Times New Roman"/>
                <w:sz w:val="20"/>
                <w:szCs w:val="20"/>
                <w:lang w:eastAsia="en-AU"/>
              </w:rPr>
              <w:t>gliflozin</w:t>
            </w:r>
            <w:proofErr w:type="spellEnd"/>
            <w:r w:rsidRPr="00C11AAD">
              <w:rPr>
                <w:rFonts w:ascii="Arial Narrow" w:eastAsia="Calibri" w:hAnsi="Arial Narrow" w:cs="Times New Roman"/>
                <w:sz w:val="20"/>
                <w:szCs w:val="20"/>
                <w:lang w:eastAsia="en-AU"/>
              </w:rPr>
              <w:t xml:space="preserve"> scripts for dual </w:t>
            </w:r>
            <w:proofErr w:type="spellStart"/>
            <w:r w:rsidRPr="00C11AAD">
              <w:rPr>
                <w:rFonts w:ascii="Arial Narrow" w:eastAsia="Calibri" w:hAnsi="Arial Narrow" w:cs="Times New Roman"/>
                <w:sz w:val="20"/>
                <w:szCs w:val="20"/>
                <w:lang w:eastAsia="en-AU"/>
              </w:rPr>
              <w:t>therapy</w:t>
            </w:r>
            <w:r w:rsidRPr="00C11AAD">
              <w:rPr>
                <w:rFonts w:ascii="Arial Narrow" w:eastAsia="Calibri" w:hAnsi="Arial Narrow" w:cs="Times New Roman"/>
                <w:sz w:val="20"/>
                <w:szCs w:val="20"/>
                <w:vertAlign w:val="superscript"/>
                <w:lang w:eastAsia="en-AU"/>
              </w:rPr>
              <w:t>b</w:t>
            </w:r>
            <w:proofErr w:type="spellEnd"/>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33.2%</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33.7%</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34.1%</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34.4%</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34.7%</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34.8%</w:t>
            </w:r>
          </w:p>
        </w:tc>
      </w:tr>
      <w:tr w:rsidR="006C3893" w:rsidRPr="00C11AAD" w:rsidTr="000A72BE">
        <w:tc>
          <w:tcPr>
            <w:tcW w:w="1186" w:type="pct"/>
            <w:tcBorders>
              <w:left w:val="single" w:sz="4" w:space="0" w:color="auto"/>
              <w:bottom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Dual therapy </w:t>
            </w:r>
            <w:proofErr w:type="spellStart"/>
            <w:r w:rsidRPr="00C11AAD">
              <w:rPr>
                <w:rFonts w:ascii="Arial Narrow" w:eastAsia="Calibri" w:hAnsi="Arial Narrow" w:cs="Times New Roman"/>
                <w:sz w:val="20"/>
                <w:szCs w:val="20"/>
                <w:lang w:eastAsia="en-AU"/>
              </w:rPr>
              <w:t>gliflozin</w:t>
            </w:r>
            <w:proofErr w:type="spellEnd"/>
            <w:r w:rsidRPr="00C11AAD">
              <w:rPr>
                <w:rFonts w:ascii="Arial Narrow" w:eastAsia="Calibri" w:hAnsi="Arial Narrow" w:cs="Times New Roman"/>
                <w:sz w:val="20"/>
                <w:szCs w:val="20"/>
                <w:lang w:eastAsia="en-AU"/>
              </w:rPr>
              <w:t xml:space="preserve"> scripts</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Estimated uptake rate of </w:t>
            </w:r>
            <w:proofErr w:type="spellStart"/>
            <w:r w:rsidRPr="00C11AAD">
              <w:rPr>
                <w:rFonts w:ascii="Arial Narrow" w:eastAsia="Calibri" w:hAnsi="Arial Narrow" w:cs="Times New Roman"/>
                <w:sz w:val="20"/>
                <w:szCs w:val="20"/>
                <w:lang w:eastAsia="en-AU"/>
              </w:rPr>
              <w:t>ertugliflozin</w:t>
            </w:r>
            <w:proofErr w:type="spellEnd"/>
            <w:r w:rsidRPr="00C11AAD">
              <w:rPr>
                <w:rFonts w:ascii="Arial Narrow" w:eastAsia="Calibri" w:hAnsi="Arial Narrow" w:cs="Times New Roman"/>
                <w:sz w:val="20"/>
                <w:szCs w:val="20"/>
                <w:lang w:eastAsia="en-AU"/>
              </w:rPr>
              <w:t xml:space="preserve"> </w:t>
            </w:r>
          </w:p>
        </w:tc>
        <w:tc>
          <w:tcPr>
            <w:tcW w:w="643" w:type="pct"/>
            <w:shd w:val="clear" w:color="auto" w:fill="auto"/>
            <w:vAlign w:val="center"/>
          </w:tcPr>
          <w:p w:rsidR="006C3893" w:rsidRPr="00EF74A0" w:rsidRDefault="003E6C2E" w:rsidP="000D075A">
            <w:pPr>
              <w:jc w:val="center"/>
              <w:rPr>
                <w:rFonts w:ascii="Arial Narrow" w:hAnsi="Arial Narrow"/>
                <w:sz w:val="20"/>
                <w:szCs w:val="20"/>
              </w:rPr>
            </w:pPr>
            <w:r>
              <w:rPr>
                <w:rFonts w:ascii="Arial Narrow" w:hAnsi="Arial Narrow"/>
                <w:noProof/>
                <w:color w:val="000000"/>
                <w:sz w:val="20"/>
                <w:szCs w:val="20"/>
                <w:highlight w:val="black"/>
              </w:rPr>
              <w:t>'''</w:t>
            </w:r>
            <w:r w:rsidR="006C3893" w:rsidRPr="00EF74A0">
              <w:rPr>
                <w:rFonts w:ascii="Arial Narrow" w:hAnsi="Arial Narrow"/>
                <w:sz w:val="20"/>
                <w:szCs w:val="20"/>
              </w:rPr>
              <w:t>%</w:t>
            </w:r>
          </w:p>
        </w:tc>
        <w:tc>
          <w:tcPr>
            <w:tcW w:w="644" w:type="pct"/>
            <w:shd w:val="clear" w:color="auto" w:fill="auto"/>
            <w:vAlign w:val="center"/>
          </w:tcPr>
          <w:p w:rsidR="006C3893" w:rsidRPr="00EF74A0" w:rsidRDefault="003E6C2E" w:rsidP="000D075A">
            <w:pPr>
              <w:jc w:val="center"/>
              <w:rPr>
                <w:rFonts w:ascii="Arial Narrow" w:hAnsi="Arial Narrow"/>
                <w:sz w:val="20"/>
                <w:szCs w:val="20"/>
              </w:rPr>
            </w:pPr>
            <w:r>
              <w:rPr>
                <w:rFonts w:ascii="Arial Narrow" w:hAnsi="Arial Narrow"/>
                <w:noProof/>
                <w:color w:val="000000"/>
                <w:sz w:val="20"/>
                <w:szCs w:val="20"/>
                <w:highlight w:val="black"/>
              </w:rPr>
              <w:t>'''</w:t>
            </w:r>
            <w:r w:rsidR="006C3893" w:rsidRPr="00EF74A0">
              <w:rPr>
                <w:rFonts w:ascii="Arial Narrow" w:hAnsi="Arial Narrow"/>
                <w:sz w:val="20"/>
                <w:szCs w:val="20"/>
              </w:rPr>
              <w:t>%</w:t>
            </w:r>
          </w:p>
        </w:tc>
        <w:tc>
          <w:tcPr>
            <w:tcW w:w="643" w:type="pct"/>
            <w:shd w:val="clear" w:color="auto" w:fill="auto"/>
            <w:vAlign w:val="center"/>
          </w:tcPr>
          <w:p w:rsidR="006C3893" w:rsidRPr="00EF74A0" w:rsidRDefault="003E6C2E" w:rsidP="000D075A">
            <w:pPr>
              <w:jc w:val="center"/>
              <w:rPr>
                <w:rFonts w:ascii="Arial Narrow" w:hAnsi="Arial Narrow"/>
                <w:sz w:val="20"/>
                <w:szCs w:val="20"/>
              </w:rPr>
            </w:pPr>
            <w:r>
              <w:rPr>
                <w:rFonts w:ascii="Arial Narrow" w:hAnsi="Arial Narrow"/>
                <w:noProof/>
                <w:color w:val="000000"/>
                <w:sz w:val="20"/>
                <w:szCs w:val="20"/>
                <w:highlight w:val="black"/>
              </w:rPr>
              <w:t>'''</w:t>
            </w:r>
            <w:r w:rsidR="006C3893" w:rsidRPr="00EF74A0">
              <w:rPr>
                <w:rFonts w:ascii="Arial Narrow" w:hAnsi="Arial Narrow"/>
                <w:sz w:val="20"/>
                <w:szCs w:val="20"/>
              </w:rPr>
              <w:t>%</w:t>
            </w:r>
          </w:p>
        </w:tc>
        <w:tc>
          <w:tcPr>
            <w:tcW w:w="644" w:type="pct"/>
            <w:shd w:val="clear" w:color="auto" w:fill="auto"/>
            <w:vAlign w:val="center"/>
          </w:tcPr>
          <w:p w:rsidR="006C3893" w:rsidRPr="00EF74A0" w:rsidRDefault="003E6C2E" w:rsidP="000D075A">
            <w:pPr>
              <w:jc w:val="center"/>
              <w:rPr>
                <w:rFonts w:ascii="Arial Narrow" w:hAnsi="Arial Narrow"/>
                <w:sz w:val="20"/>
                <w:szCs w:val="20"/>
              </w:rPr>
            </w:pPr>
            <w:r>
              <w:rPr>
                <w:rFonts w:ascii="Arial Narrow" w:hAnsi="Arial Narrow"/>
                <w:noProof/>
                <w:color w:val="000000"/>
                <w:sz w:val="20"/>
                <w:szCs w:val="20"/>
                <w:highlight w:val="black"/>
              </w:rPr>
              <w:t>'''''''</w:t>
            </w:r>
            <w:r w:rsidR="006C3893" w:rsidRPr="00EF74A0">
              <w:rPr>
                <w:rFonts w:ascii="Arial Narrow" w:hAnsi="Arial Narrow"/>
                <w:sz w:val="20"/>
                <w:szCs w:val="20"/>
              </w:rPr>
              <w:t>%</w:t>
            </w:r>
          </w:p>
        </w:tc>
        <w:tc>
          <w:tcPr>
            <w:tcW w:w="643" w:type="pct"/>
            <w:tcBorders>
              <w:right w:val="single" w:sz="4" w:space="0" w:color="auto"/>
            </w:tcBorders>
            <w:shd w:val="clear" w:color="auto" w:fill="auto"/>
            <w:vAlign w:val="center"/>
          </w:tcPr>
          <w:p w:rsidR="006C3893" w:rsidRPr="00EF74A0" w:rsidRDefault="003E6C2E" w:rsidP="000D075A">
            <w:pPr>
              <w:jc w:val="center"/>
              <w:rPr>
                <w:rFonts w:ascii="Arial Narrow" w:hAnsi="Arial Narrow"/>
                <w:sz w:val="20"/>
                <w:szCs w:val="20"/>
              </w:rPr>
            </w:pPr>
            <w:r>
              <w:rPr>
                <w:rFonts w:ascii="Arial Narrow" w:hAnsi="Arial Narrow"/>
                <w:noProof/>
                <w:color w:val="000000"/>
                <w:sz w:val="20"/>
                <w:szCs w:val="20"/>
                <w:highlight w:val="black"/>
              </w:rPr>
              <w:t>''''''</w:t>
            </w:r>
            <w:r w:rsidR="006C3893" w:rsidRPr="00EF74A0">
              <w:rPr>
                <w:rFonts w:ascii="Arial Narrow" w:hAnsi="Arial Narrow"/>
                <w:sz w:val="20"/>
                <w:szCs w:val="20"/>
              </w:rPr>
              <w:t>%</w:t>
            </w:r>
          </w:p>
        </w:tc>
        <w:tc>
          <w:tcPr>
            <w:tcW w:w="597" w:type="pct"/>
            <w:tcBorders>
              <w:right w:val="single" w:sz="4" w:space="0" w:color="auto"/>
            </w:tcBorders>
            <w:vAlign w:val="center"/>
          </w:tcPr>
          <w:p w:rsidR="006C3893" w:rsidRPr="00EF74A0" w:rsidRDefault="003E6C2E" w:rsidP="000D075A">
            <w:pPr>
              <w:jc w:val="center"/>
              <w:rPr>
                <w:rFonts w:ascii="Arial Narrow" w:hAnsi="Arial Narrow"/>
                <w:sz w:val="20"/>
                <w:szCs w:val="20"/>
              </w:rPr>
            </w:pPr>
            <w:r>
              <w:rPr>
                <w:rFonts w:ascii="Arial Narrow" w:hAnsi="Arial Narrow"/>
                <w:noProof/>
                <w:color w:val="000000"/>
                <w:sz w:val="20"/>
                <w:szCs w:val="20"/>
                <w:highlight w:val="black"/>
              </w:rPr>
              <w:t>''''''</w:t>
            </w:r>
            <w:r w:rsidR="006C3893" w:rsidRPr="00EF74A0">
              <w:rPr>
                <w:rFonts w:ascii="Arial Narrow" w:hAnsi="Arial Narrow"/>
                <w:sz w:val="20"/>
                <w:szCs w:val="20"/>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b/>
                <w:sz w:val="20"/>
                <w:szCs w:val="20"/>
                <w:lang w:eastAsia="en-AU"/>
              </w:rPr>
            </w:pPr>
            <w:r w:rsidRPr="00C11AAD">
              <w:rPr>
                <w:rFonts w:ascii="Arial Narrow" w:eastAsia="Calibri" w:hAnsi="Arial Narrow" w:cs="Times New Roman"/>
                <w:b/>
                <w:sz w:val="20"/>
                <w:szCs w:val="20"/>
                <w:lang w:eastAsia="en-AU"/>
              </w:rPr>
              <w:t xml:space="preserve">Total </w:t>
            </w:r>
            <w:proofErr w:type="spellStart"/>
            <w:r w:rsidRPr="00C11AAD">
              <w:rPr>
                <w:rFonts w:ascii="Arial Narrow" w:eastAsia="Calibri" w:hAnsi="Arial Narrow" w:cs="Times New Roman"/>
                <w:b/>
                <w:sz w:val="20"/>
                <w:szCs w:val="20"/>
                <w:lang w:eastAsia="en-AU"/>
              </w:rPr>
              <w:t>ertugliflozin</w:t>
            </w:r>
            <w:proofErr w:type="spellEnd"/>
            <w:r w:rsidRPr="00C11AAD">
              <w:rPr>
                <w:rFonts w:ascii="Arial Narrow" w:eastAsia="Calibri" w:hAnsi="Arial Narrow" w:cs="Times New Roman"/>
                <w:b/>
                <w:sz w:val="20"/>
                <w:szCs w:val="20"/>
                <w:lang w:eastAsia="en-AU"/>
              </w:rPr>
              <w:t xml:space="preserve"> scripts</w:t>
            </w:r>
          </w:p>
        </w:tc>
        <w:tc>
          <w:tcPr>
            <w:tcW w:w="643" w:type="pct"/>
            <w:shd w:val="clear" w:color="auto" w:fill="auto"/>
            <w:vAlign w:val="center"/>
          </w:tcPr>
          <w:p w:rsidR="006C3893" w:rsidRPr="003E6C2E" w:rsidRDefault="003E6C2E" w:rsidP="000D075A">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Estimated </w:t>
            </w:r>
            <w:proofErr w:type="spellStart"/>
            <w:r w:rsidRPr="00C11AAD">
              <w:rPr>
                <w:rFonts w:ascii="Arial Narrow" w:eastAsia="Calibri" w:hAnsi="Arial Narrow" w:cs="Times New Roman"/>
                <w:sz w:val="20"/>
                <w:szCs w:val="20"/>
                <w:lang w:eastAsia="en-AU"/>
              </w:rPr>
              <w:t>ertugliflozin</w:t>
            </w:r>
            <w:proofErr w:type="spellEnd"/>
            <w:r w:rsidRPr="00C11AAD">
              <w:rPr>
                <w:rFonts w:ascii="Arial Narrow" w:eastAsia="Calibri" w:hAnsi="Arial Narrow" w:cs="Times New Roman"/>
                <w:sz w:val="20"/>
                <w:szCs w:val="20"/>
                <w:lang w:eastAsia="en-AU"/>
              </w:rPr>
              <w:t xml:space="preserve"> single agent scripts (78%)</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Cost of </w:t>
            </w:r>
            <w:proofErr w:type="spellStart"/>
            <w:r w:rsidRPr="00C11AAD">
              <w:rPr>
                <w:rFonts w:ascii="Arial Narrow" w:eastAsia="Calibri" w:hAnsi="Arial Narrow" w:cs="Times New Roman"/>
                <w:sz w:val="20"/>
                <w:szCs w:val="20"/>
                <w:lang w:eastAsia="en-AU"/>
              </w:rPr>
              <w:t>ertugliflozin</w:t>
            </w:r>
            <w:proofErr w:type="spellEnd"/>
            <w:r w:rsidRPr="00C11AAD">
              <w:rPr>
                <w:rFonts w:ascii="Arial Narrow" w:eastAsia="Calibri" w:hAnsi="Arial Narrow" w:cs="Times New Roman"/>
                <w:sz w:val="20"/>
                <w:szCs w:val="20"/>
                <w:lang w:eastAsia="en-AU"/>
              </w:rPr>
              <w:t xml:space="preserve"> single agent (DPMQ $</w:t>
            </w:r>
            <w:r w:rsidRPr="0059706A">
              <w:rPr>
                <w:rFonts w:ascii="Arial Narrow" w:eastAsia="Calibri" w:hAnsi="Arial Narrow" w:cs="Times New Roman"/>
                <w:sz w:val="20"/>
                <w:szCs w:val="20"/>
                <w:lang w:eastAsia="en-AU"/>
              </w:rPr>
              <w:t>58.27</w:t>
            </w:r>
            <w:r w:rsidRPr="00C11AAD">
              <w:rPr>
                <w:rFonts w:ascii="Arial Narrow" w:eastAsia="Calibri" w:hAnsi="Arial Narrow" w:cs="Times New Roman"/>
                <w:sz w:val="20"/>
                <w:szCs w:val="20"/>
                <w:lang w:eastAsia="en-AU"/>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Estimated </w:t>
            </w:r>
            <w:proofErr w:type="spellStart"/>
            <w:r w:rsidRPr="00C11AAD">
              <w:rPr>
                <w:rFonts w:ascii="Arial Narrow" w:eastAsia="Calibri" w:hAnsi="Arial Narrow" w:cs="Times New Roman"/>
                <w:sz w:val="20"/>
                <w:szCs w:val="20"/>
                <w:lang w:eastAsia="en-AU"/>
              </w:rPr>
              <w:t>ertugliflozin</w:t>
            </w:r>
            <w:proofErr w:type="spellEnd"/>
            <w:r w:rsidRPr="00C11AAD">
              <w:rPr>
                <w:rFonts w:ascii="Arial Narrow" w:eastAsia="Calibri" w:hAnsi="Arial Narrow" w:cs="Times New Roman"/>
                <w:sz w:val="20"/>
                <w:szCs w:val="20"/>
                <w:lang w:eastAsia="en-AU"/>
              </w:rPr>
              <w:t xml:space="preserve"> with metformin 500 mg FDC scripts (4%)</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Cost of </w:t>
            </w:r>
            <w:proofErr w:type="spellStart"/>
            <w:r w:rsidRPr="00C11AAD">
              <w:rPr>
                <w:rFonts w:ascii="Arial Narrow" w:eastAsia="Calibri" w:hAnsi="Arial Narrow" w:cs="Times New Roman"/>
                <w:sz w:val="20"/>
                <w:szCs w:val="20"/>
                <w:lang w:eastAsia="en-AU"/>
              </w:rPr>
              <w:t>ertugliflozin</w:t>
            </w:r>
            <w:proofErr w:type="spellEnd"/>
            <w:r w:rsidRPr="00C11AAD">
              <w:rPr>
                <w:rFonts w:ascii="Arial Narrow" w:eastAsia="Calibri" w:hAnsi="Arial Narrow" w:cs="Times New Roman"/>
                <w:sz w:val="20"/>
                <w:szCs w:val="20"/>
                <w:lang w:eastAsia="en-AU"/>
              </w:rPr>
              <w:t xml:space="preserve"> with metformin 500 mg FDC scripts (DPMQ $</w:t>
            </w:r>
            <w:r w:rsidRPr="0059706A">
              <w:rPr>
                <w:rFonts w:ascii="Arial Narrow" w:eastAsia="Calibri" w:hAnsi="Arial Narrow" w:cs="Times New Roman"/>
                <w:sz w:val="20"/>
                <w:szCs w:val="20"/>
                <w:lang w:eastAsia="en-AU"/>
              </w:rPr>
              <w:t>59.78</w:t>
            </w:r>
            <w:r w:rsidRPr="00C11AAD">
              <w:rPr>
                <w:rFonts w:ascii="Arial Narrow" w:eastAsia="Calibri" w:hAnsi="Arial Narrow" w:cs="Times New Roman"/>
                <w:sz w:val="20"/>
                <w:szCs w:val="20"/>
                <w:lang w:eastAsia="en-AU"/>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Estimated </w:t>
            </w:r>
            <w:proofErr w:type="spellStart"/>
            <w:r w:rsidRPr="00C11AAD">
              <w:rPr>
                <w:rFonts w:ascii="Arial Narrow" w:eastAsia="Calibri" w:hAnsi="Arial Narrow" w:cs="Times New Roman"/>
                <w:sz w:val="20"/>
                <w:szCs w:val="20"/>
                <w:lang w:eastAsia="en-AU"/>
              </w:rPr>
              <w:t>ertugliflozin</w:t>
            </w:r>
            <w:proofErr w:type="spellEnd"/>
            <w:r w:rsidRPr="00C11AAD">
              <w:rPr>
                <w:rFonts w:ascii="Arial Narrow" w:eastAsia="Calibri" w:hAnsi="Arial Narrow" w:cs="Times New Roman"/>
                <w:sz w:val="20"/>
                <w:szCs w:val="20"/>
                <w:lang w:eastAsia="en-AU"/>
              </w:rPr>
              <w:t xml:space="preserve"> with metformin 1000 mg FDC scripts (18%)</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Cost of </w:t>
            </w:r>
            <w:proofErr w:type="spellStart"/>
            <w:r w:rsidRPr="00C11AAD">
              <w:rPr>
                <w:rFonts w:ascii="Arial Narrow" w:eastAsia="Calibri" w:hAnsi="Arial Narrow" w:cs="Times New Roman"/>
                <w:sz w:val="20"/>
                <w:szCs w:val="20"/>
                <w:lang w:eastAsia="en-AU"/>
              </w:rPr>
              <w:t>ertugliflozin</w:t>
            </w:r>
            <w:proofErr w:type="spellEnd"/>
            <w:r w:rsidRPr="00C11AAD">
              <w:rPr>
                <w:rFonts w:ascii="Arial Narrow" w:eastAsia="Calibri" w:hAnsi="Arial Narrow" w:cs="Times New Roman"/>
                <w:sz w:val="20"/>
                <w:szCs w:val="20"/>
                <w:lang w:eastAsia="en-AU"/>
              </w:rPr>
              <w:t xml:space="preserve"> with metformin 1000 mg FDC scripts (DPMQ $</w:t>
            </w:r>
            <w:r w:rsidRPr="0059706A">
              <w:rPr>
                <w:rFonts w:ascii="Arial Narrow" w:eastAsia="Calibri" w:hAnsi="Arial Narrow" w:cs="Times New Roman"/>
                <w:sz w:val="20"/>
                <w:szCs w:val="20"/>
                <w:lang w:eastAsia="en-AU"/>
              </w:rPr>
              <w:t>61.19</w:t>
            </w:r>
            <w:r w:rsidRPr="00C11AAD">
              <w:rPr>
                <w:rFonts w:ascii="Arial Narrow" w:eastAsia="Calibri" w:hAnsi="Arial Narrow" w:cs="Times New Roman"/>
                <w:sz w:val="20"/>
                <w:szCs w:val="20"/>
                <w:lang w:eastAsia="en-AU"/>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lastRenderedPageBreak/>
              <w:t xml:space="preserve">Patient </w:t>
            </w:r>
            <w:proofErr w:type="spellStart"/>
            <w:r w:rsidRPr="00C11AAD">
              <w:rPr>
                <w:rFonts w:ascii="Arial Narrow" w:eastAsia="Calibri" w:hAnsi="Arial Narrow" w:cs="Times New Roman"/>
                <w:sz w:val="20"/>
                <w:szCs w:val="20"/>
                <w:lang w:eastAsia="en-AU"/>
              </w:rPr>
              <w:t>copayments</w:t>
            </w:r>
            <w:proofErr w:type="spellEnd"/>
            <w:r w:rsidRPr="00C11AAD">
              <w:rPr>
                <w:rFonts w:ascii="Arial Narrow" w:eastAsia="Calibri" w:hAnsi="Arial Narrow" w:cs="Times New Roman"/>
                <w:sz w:val="20"/>
                <w:szCs w:val="20"/>
                <w:lang w:eastAsia="en-AU"/>
              </w:rPr>
              <w:t xml:space="preserve"> (average $</w:t>
            </w:r>
            <w:r w:rsidRPr="0059706A">
              <w:rPr>
                <w:rFonts w:ascii="Arial Narrow" w:eastAsia="Calibri" w:hAnsi="Arial Narrow" w:cs="Times New Roman"/>
                <w:sz w:val="20"/>
                <w:szCs w:val="20"/>
                <w:lang w:eastAsia="en-AU"/>
              </w:rPr>
              <w:t>16.79</w:t>
            </w:r>
            <w:r w:rsidRPr="00C11AAD">
              <w:rPr>
                <w:rFonts w:ascii="Arial Narrow" w:eastAsia="Calibri" w:hAnsi="Arial Narrow" w:cs="Times New Roman"/>
                <w:sz w:val="20"/>
                <w:szCs w:val="20"/>
                <w:lang w:eastAsia="en-AU"/>
              </w:rPr>
              <w:t xml:space="preserve"> per script)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b/>
                <w:sz w:val="20"/>
                <w:szCs w:val="20"/>
                <w:lang w:eastAsia="en-AU"/>
              </w:rPr>
            </w:pPr>
            <w:r w:rsidRPr="00C11AAD">
              <w:rPr>
                <w:rFonts w:ascii="Arial Narrow" w:eastAsia="Calibri" w:hAnsi="Arial Narrow" w:cs="Times New Roman"/>
                <w:b/>
                <w:sz w:val="20"/>
                <w:szCs w:val="20"/>
                <w:lang w:eastAsia="en-AU"/>
              </w:rPr>
              <w:t>Total cost</w:t>
            </w:r>
          </w:p>
        </w:tc>
        <w:tc>
          <w:tcPr>
            <w:tcW w:w="643"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eastAsia="Calibri" w:hAnsi="Arial Narrow" w:cs="Times New Roman"/>
                <w:sz w:val="20"/>
                <w:szCs w:val="20"/>
                <w:lang w:eastAsia="en-AU"/>
              </w:rPr>
            </w:pPr>
            <w:r w:rsidRPr="00C11AAD">
              <w:rPr>
                <w:rFonts w:ascii="Arial Narrow" w:eastAsia="Calibri" w:hAnsi="Arial Narrow" w:cs="Times New Roman"/>
                <w:sz w:val="20"/>
                <w:szCs w:val="20"/>
                <w:lang w:eastAsia="en-AU"/>
              </w:rPr>
              <w:t xml:space="preserve">Change in </w:t>
            </w:r>
            <w:proofErr w:type="spellStart"/>
            <w:r w:rsidRPr="00C11AAD">
              <w:rPr>
                <w:rFonts w:ascii="Arial Narrow" w:eastAsia="Calibri" w:hAnsi="Arial Narrow" w:cs="Times New Roman"/>
                <w:sz w:val="20"/>
                <w:szCs w:val="20"/>
                <w:lang w:eastAsia="en-AU"/>
              </w:rPr>
              <w:t>dapagliflozin</w:t>
            </w:r>
            <w:proofErr w:type="spellEnd"/>
            <w:r w:rsidRPr="00C11AAD">
              <w:rPr>
                <w:rFonts w:ascii="Arial Narrow" w:eastAsia="Calibri" w:hAnsi="Arial Narrow" w:cs="Times New Roman"/>
                <w:sz w:val="20"/>
                <w:szCs w:val="20"/>
                <w:lang w:eastAsia="en-AU"/>
              </w:rPr>
              <w:t xml:space="preserve"> single agent scripts</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hAnsi="Arial Narrow"/>
                <w:sz w:val="20"/>
                <w:szCs w:val="20"/>
                <w:lang w:eastAsia="en-AU"/>
              </w:rPr>
            </w:pPr>
            <w:r w:rsidRPr="00C11AAD">
              <w:rPr>
                <w:rFonts w:ascii="Arial Narrow" w:hAnsi="Arial Narrow"/>
                <w:sz w:val="20"/>
                <w:szCs w:val="20"/>
                <w:lang w:eastAsia="en-AU"/>
              </w:rPr>
              <w:t xml:space="preserve">Cost of substituted single agent </w:t>
            </w:r>
            <w:proofErr w:type="spellStart"/>
            <w:r w:rsidRPr="00C11AAD">
              <w:rPr>
                <w:rFonts w:ascii="Arial Narrow" w:hAnsi="Arial Narrow"/>
                <w:sz w:val="20"/>
                <w:szCs w:val="20"/>
                <w:lang w:eastAsia="en-AU"/>
              </w:rPr>
              <w:t>dapagliflozin</w:t>
            </w:r>
            <w:proofErr w:type="spellEnd"/>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hAnsi="Arial Narrow"/>
                <w:sz w:val="20"/>
                <w:szCs w:val="20"/>
                <w:vertAlign w:val="superscript"/>
                <w:lang w:eastAsia="en-AU"/>
              </w:rPr>
            </w:pPr>
            <w:r w:rsidRPr="00C11AAD">
              <w:rPr>
                <w:rFonts w:ascii="Arial Narrow" w:eastAsia="Calibri" w:hAnsi="Arial Narrow" w:cs="Times New Roman"/>
                <w:sz w:val="20"/>
                <w:szCs w:val="20"/>
                <w:lang w:eastAsia="en-AU"/>
              </w:rPr>
              <w:t xml:space="preserve">Change in </w:t>
            </w:r>
            <w:proofErr w:type="spellStart"/>
            <w:r w:rsidRPr="00C11AAD">
              <w:rPr>
                <w:rFonts w:ascii="Arial Narrow" w:eastAsia="Calibri" w:hAnsi="Arial Narrow" w:cs="Times New Roman"/>
                <w:sz w:val="20"/>
                <w:szCs w:val="20"/>
                <w:lang w:eastAsia="en-AU"/>
              </w:rPr>
              <w:t>empagliflozin</w:t>
            </w:r>
            <w:proofErr w:type="spellEnd"/>
            <w:r w:rsidRPr="00C11AAD">
              <w:rPr>
                <w:rFonts w:ascii="Arial Narrow" w:eastAsia="Calibri" w:hAnsi="Arial Narrow" w:cs="Times New Roman"/>
                <w:sz w:val="20"/>
                <w:szCs w:val="20"/>
                <w:lang w:eastAsia="en-AU"/>
              </w:rPr>
              <w:t xml:space="preserve"> single agent </w:t>
            </w:r>
            <w:proofErr w:type="spellStart"/>
            <w:r w:rsidRPr="00C11AAD">
              <w:rPr>
                <w:rFonts w:ascii="Arial Narrow" w:eastAsia="Calibri" w:hAnsi="Arial Narrow" w:cs="Times New Roman"/>
                <w:sz w:val="20"/>
                <w:szCs w:val="20"/>
                <w:lang w:eastAsia="en-AU"/>
              </w:rPr>
              <w:t>scripts</w:t>
            </w:r>
            <w:r w:rsidRPr="00C11AAD">
              <w:rPr>
                <w:rFonts w:ascii="Arial Narrow" w:eastAsia="Calibri" w:hAnsi="Arial Narrow" w:cs="Times New Roman"/>
                <w:sz w:val="20"/>
                <w:szCs w:val="20"/>
                <w:vertAlign w:val="superscript"/>
                <w:lang w:eastAsia="en-AU"/>
              </w:rPr>
              <w:t>a</w:t>
            </w:r>
            <w:proofErr w:type="spellEnd"/>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hAnsi="Arial Narrow"/>
                <w:b/>
                <w:sz w:val="20"/>
                <w:szCs w:val="20"/>
                <w:lang w:eastAsia="en-AU"/>
              </w:rPr>
            </w:pPr>
            <w:r w:rsidRPr="00C11AAD">
              <w:rPr>
                <w:rFonts w:ascii="Arial Narrow" w:hAnsi="Arial Narrow"/>
                <w:sz w:val="20"/>
                <w:szCs w:val="20"/>
                <w:lang w:eastAsia="en-AU"/>
              </w:rPr>
              <w:t xml:space="preserve">Cost of substituted single agent </w:t>
            </w:r>
            <w:proofErr w:type="spellStart"/>
            <w:r w:rsidRPr="00C11AAD">
              <w:rPr>
                <w:rFonts w:ascii="Arial Narrow" w:hAnsi="Arial Narrow"/>
                <w:sz w:val="20"/>
                <w:szCs w:val="20"/>
                <w:lang w:eastAsia="en-AU"/>
              </w:rPr>
              <w:t>empagliflozin</w:t>
            </w:r>
            <w:proofErr w:type="spellEnd"/>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hAnsi="Arial Narrow"/>
                <w:sz w:val="20"/>
                <w:szCs w:val="20"/>
                <w:vertAlign w:val="superscript"/>
                <w:lang w:eastAsia="en-AU"/>
              </w:rPr>
            </w:pPr>
            <w:r w:rsidRPr="00C11AAD">
              <w:rPr>
                <w:rFonts w:ascii="Arial Narrow" w:eastAsia="Calibri" w:hAnsi="Arial Narrow" w:cs="Times New Roman"/>
                <w:sz w:val="20"/>
                <w:szCs w:val="20"/>
                <w:lang w:eastAsia="en-AU"/>
              </w:rPr>
              <w:t xml:space="preserve">Change in </w:t>
            </w:r>
            <w:proofErr w:type="spellStart"/>
            <w:r w:rsidRPr="00C11AAD">
              <w:rPr>
                <w:rFonts w:ascii="Arial Narrow" w:eastAsia="Calibri" w:hAnsi="Arial Narrow" w:cs="Times New Roman"/>
                <w:sz w:val="20"/>
                <w:szCs w:val="20"/>
                <w:lang w:eastAsia="en-AU"/>
              </w:rPr>
              <w:t>empagliflozin</w:t>
            </w:r>
            <w:proofErr w:type="spellEnd"/>
            <w:r w:rsidRPr="00C11AAD">
              <w:rPr>
                <w:rFonts w:ascii="Arial Narrow" w:eastAsia="Calibri" w:hAnsi="Arial Narrow" w:cs="Times New Roman"/>
                <w:sz w:val="20"/>
                <w:szCs w:val="20"/>
                <w:lang w:eastAsia="en-AU"/>
              </w:rPr>
              <w:t xml:space="preserve"> with metformin 500 mg FDC </w:t>
            </w:r>
            <w:proofErr w:type="spellStart"/>
            <w:r w:rsidRPr="00C11AAD">
              <w:rPr>
                <w:rFonts w:ascii="Arial Narrow" w:eastAsia="Calibri" w:hAnsi="Arial Narrow" w:cs="Times New Roman"/>
                <w:sz w:val="20"/>
                <w:szCs w:val="20"/>
                <w:lang w:eastAsia="en-AU"/>
              </w:rPr>
              <w:t>scripts</w:t>
            </w:r>
            <w:r w:rsidRPr="00C11AAD">
              <w:rPr>
                <w:rFonts w:ascii="Arial Narrow" w:eastAsia="Calibri" w:hAnsi="Arial Narrow" w:cs="Times New Roman"/>
                <w:sz w:val="20"/>
                <w:szCs w:val="20"/>
                <w:vertAlign w:val="superscript"/>
                <w:lang w:eastAsia="en-AU"/>
              </w:rPr>
              <w:t>a</w:t>
            </w:r>
            <w:proofErr w:type="spellEnd"/>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hAnsi="Arial Narrow"/>
                <w:sz w:val="20"/>
                <w:lang w:eastAsia="en-AU"/>
              </w:rPr>
            </w:pPr>
            <w:r w:rsidRPr="00C11AAD">
              <w:rPr>
                <w:rFonts w:ascii="Arial Narrow" w:hAnsi="Arial Narrow"/>
                <w:sz w:val="20"/>
                <w:szCs w:val="20"/>
                <w:lang w:eastAsia="en-AU"/>
              </w:rPr>
              <w:t xml:space="preserve">Cost of substituted </w:t>
            </w:r>
            <w:proofErr w:type="spellStart"/>
            <w:r w:rsidRPr="00C11AAD">
              <w:rPr>
                <w:rFonts w:ascii="Arial Narrow" w:hAnsi="Arial Narrow"/>
                <w:sz w:val="20"/>
                <w:szCs w:val="20"/>
                <w:lang w:eastAsia="en-AU"/>
              </w:rPr>
              <w:t>empagliflozin</w:t>
            </w:r>
            <w:proofErr w:type="spellEnd"/>
            <w:r w:rsidRPr="00C11AAD">
              <w:rPr>
                <w:rFonts w:ascii="Arial Narrow" w:hAnsi="Arial Narrow"/>
                <w:sz w:val="20"/>
                <w:szCs w:val="20"/>
                <w:lang w:eastAsia="en-AU"/>
              </w:rPr>
              <w:t xml:space="preserve"> with metformin 500 mg FDC scripts</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hAnsi="Arial Narrow"/>
                <w:sz w:val="20"/>
                <w:vertAlign w:val="superscript"/>
                <w:lang w:eastAsia="en-AU"/>
              </w:rPr>
            </w:pPr>
            <w:r w:rsidRPr="00C11AAD">
              <w:rPr>
                <w:rFonts w:ascii="Arial Narrow" w:eastAsia="Calibri" w:hAnsi="Arial Narrow" w:cs="Times New Roman"/>
                <w:sz w:val="20"/>
                <w:szCs w:val="20"/>
                <w:lang w:eastAsia="en-AU"/>
              </w:rPr>
              <w:t xml:space="preserve">Change in </w:t>
            </w:r>
            <w:proofErr w:type="spellStart"/>
            <w:r w:rsidRPr="00C11AAD">
              <w:rPr>
                <w:rFonts w:ascii="Arial Narrow" w:eastAsia="Calibri" w:hAnsi="Arial Narrow" w:cs="Times New Roman"/>
                <w:sz w:val="20"/>
                <w:szCs w:val="20"/>
                <w:lang w:eastAsia="en-AU"/>
              </w:rPr>
              <w:t>empagliflozin</w:t>
            </w:r>
            <w:proofErr w:type="spellEnd"/>
            <w:r w:rsidRPr="00C11AAD">
              <w:rPr>
                <w:rFonts w:ascii="Arial Narrow" w:eastAsia="Calibri" w:hAnsi="Arial Narrow" w:cs="Times New Roman"/>
                <w:sz w:val="20"/>
                <w:szCs w:val="20"/>
                <w:lang w:eastAsia="en-AU"/>
              </w:rPr>
              <w:t xml:space="preserve"> with metformin 1000 mg FDC </w:t>
            </w:r>
            <w:proofErr w:type="spellStart"/>
            <w:r w:rsidRPr="00C11AAD">
              <w:rPr>
                <w:rFonts w:ascii="Arial Narrow" w:eastAsia="Calibri" w:hAnsi="Arial Narrow" w:cs="Times New Roman"/>
                <w:sz w:val="20"/>
                <w:szCs w:val="20"/>
                <w:lang w:eastAsia="en-AU"/>
              </w:rPr>
              <w:t>scripts</w:t>
            </w:r>
            <w:r w:rsidRPr="00C11AAD">
              <w:rPr>
                <w:rFonts w:ascii="Arial Narrow" w:eastAsia="Calibri" w:hAnsi="Arial Narrow" w:cs="Times New Roman"/>
                <w:sz w:val="20"/>
                <w:szCs w:val="20"/>
                <w:vertAlign w:val="superscript"/>
                <w:lang w:eastAsia="en-AU"/>
              </w:rPr>
              <w:t>a</w:t>
            </w:r>
            <w:proofErr w:type="spellEnd"/>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4" w:type="pct"/>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3E6C2E" w:rsidRDefault="003E6C2E" w:rsidP="000D075A">
            <w:pPr>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tcBorders>
            <w:shd w:val="clear" w:color="auto" w:fill="auto"/>
            <w:vAlign w:val="center"/>
          </w:tcPr>
          <w:p w:rsidR="006C3893" w:rsidRPr="00C11AAD" w:rsidRDefault="006C3893" w:rsidP="000D075A">
            <w:pPr>
              <w:jc w:val="left"/>
              <w:rPr>
                <w:rFonts w:ascii="Arial Narrow" w:hAnsi="Arial Narrow"/>
                <w:sz w:val="20"/>
                <w:lang w:eastAsia="en-AU"/>
              </w:rPr>
            </w:pPr>
            <w:r w:rsidRPr="00C11AAD">
              <w:rPr>
                <w:rFonts w:ascii="Arial Narrow" w:hAnsi="Arial Narrow"/>
                <w:sz w:val="20"/>
                <w:szCs w:val="20"/>
                <w:lang w:eastAsia="en-AU"/>
              </w:rPr>
              <w:t xml:space="preserve">Cost of substituted </w:t>
            </w:r>
            <w:proofErr w:type="spellStart"/>
            <w:r w:rsidRPr="00C11AAD">
              <w:rPr>
                <w:rFonts w:ascii="Arial Narrow" w:hAnsi="Arial Narrow"/>
                <w:sz w:val="20"/>
                <w:szCs w:val="20"/>
                <w:lang w:eastAsia="en-AU"/>
              </w:rPr>
              <w:t>empagliflozin</w:t>
            </w:r>
            <w:proofErr w:type="spellEnd"/>
            <w:r w:rsidRPr="00C11AAD">
              <w:rPr>
                <w:rFonts w:ascii="Arial Narrow" w:hAnsi="Arial Narrow"/>
                <w:sz w:val="20"/>
                <w:szCs w:val="20"/>
                <w:lang w:eastAsia="en-AU"/>
              </w:rPr>
              <w:t xml:space="preserve"> with metformin 1000 mg FDC scripts</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sz w:val="20"/>
                <w:szCs w:val="20"/>
              </w:rPr>
            </w:pPr>
            <w:r w:rsidRPr="00C11AAD">
              <w:rPr>
                <w:rFonts w:ascii="Arial Narrow" w:hAnsi="Arial Narrow"/>
                <w:sz w:val="20"/>
                <w:szCs w:val="20"/>
              </w:rPr>
              <w:t>-$</w:t>
            </w:r>
            <w:r w:rsidR="003E6C2E">
              <w:rPr>
                <w:rFonts w:ascii="Arial Narrow" w:hAnsi="Arial Narrow"/>
                <w:noProof/>
                <w:color w:val="000000"/>
                <w:sz w:val="20"/>
                <w:szCs w:val="20"/>
                <w:highlight w:val="black"/>
              </w:rPr>
              <w:t>''''''''''''''''''''</w:t>
            </w:r>
          </w:p>
        </w:tc>
      </w:tr>
      <w:tr w:rsidR="006C3893" w:rsidRPr="00C11AAD" w:rsidTr="000A72BE">
        <w:tc>
          <w:tcPr>
            <w:tcW w:w="1186" w:type="pct"/>
            <w:tcBorders>
              <w:left w:val="single" w:sz="4" w:space="0" w:color="auto"/>
              <w:bottom w:val="single" w:sz="4" w:space="0" w:color="auto"/>
            </w:tcBorders>
            <w:shd w:val="clear" w:color="auto" w:fill="auto"/>
            <w:vAlign w:val="center"/>
          </w:tcPr>
          <w:p w:rsidR="006C3893" w:rsidRPr="00C11AAD" w:rsidRDefault="006C3893" w:rsidP="000D075A">
            <w:pPr>
              <w:jc w:val="left"/>
              <w:rPr>
                <w:rFonts w:ascii="Arial Narrow" w:hAnsi="Arial Narrow"/>
                <w:b/>
                <w:sz w:val="20"/>
                <w:lang w:eastAsia="en-AU"/>
              </w:rPr>
            </w:pPr>
            <w:r w:rsidRPr="00C11AAD">
              <w:rPr>
                <w:rFonts w:ascii="Arial Narrow" w:hAnsi="Arial Narrow"/>
                <w:b/>
                <w:sz w:val="20"/>
                <w:lang w:eastAsia="en-AU"/>
              </w:rPr>
              <w:t>Net cost to the PBS/RPBS</w:t>
            </w:r>
          </w:p>
        </w:tc>
        <w:tc>
          <w:tcPr>
            <w:tcW w:w="643"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3"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4" w:type="pct"/>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643" w:type="pct"/>
            <w:tcBorders>
              <w:right w:val="single" w:sz="4" w:space="0" w:color="auto"/>
            </w:tcBorders>
            <w:shd w:val="clear" w:color="auto" w:fill="auto"/>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c>
          <w:tcPr>
            <w:tcW w:w="597" w:type="pct"/>
            <w:tcBorders>
              <w:right w:val="single" w:sz="4" w:space="0" w:color="auto"/>
            </w:tcBorders>
            <w:vAlign w:val="center"/>
          </w:tcPr>
          <w:p w:rsidR="006C3893" w:rsidRPr="00C11AAD" w:rsidRDefault="006C3893" w:rsidP="000D075A">
            <w:pPr>
              <w:jc w:val="center"/>
              <w:rPr>
                <w:rFonts w:ascii="Arial Narrow" w:hAnsi="Arial Narrow"/>
                <w:b/>
                <w:sz w:val="20"/>
                <w:szCs w:val="20"/>
              </w:rPr>
            </w:pPr>
            <w:r w:rsidRPr="00C11AAD">
              <w:rPr>
                <w:rFonts w:ascii="Arial Narrow" w:hAnsi="Arial Narrow"/>
                <w:b/>
                <w:sz w:val="20"/>
                <w:szCs w:val="20"/>
              </w:rPr>
              <w:t>$</w:t>
            </w:r>
            <w:r w:rsidR="003E6C2E">
              <w:rPr>
                <w:rFonts w:ascii="Arial Narrow" w:hAnsi="Arial Narrow"/>
                <w:b/>
                <w:noProof/>
                <w:color w:val="000000"/>
                <w:sz w:val="20"/>
                <w:szCs w:val="20"/>
                <w:highlight w:val="black"/>
              </w:rPr>
              <w:t>''''''''''''''</w:t>
            </w:r>
          </w:p>
        </w:tc>
      </w:tr>
    </w:tbl>
    <w:p w:rsidR="006C3893" w:rsidRPr="00C11AAD" w:rsidRDefault="006C3893" w:rsidP="006C3893">
      <w:pPr>
        <w:pStyle w:val="TableFooter"/>
      </w:pPr>
      <w:r w:rsidRPr="00C11AAD">
        <w:t xml:space="preserve">Source: Constructed during the evaluation based on </w:t>
      </w:r>
      <w:proofErr w:type="spellStart"/>
      <w:r w:rsidRPr="00C11AAD">
        <w:t>Att</w:t>
      </w:r>
      <w:proofErr w:type="spellEnd"/>
      <w:r w:rsidRPr="00C11AAD">
        <w:t xml:space="preserve"> 8 Excel workbook</w:t>
      </w:r>
    </w:p>
    <w:p w:rsidR="006C3893" w:rsidRPr="00C11AAD" w:rsidRDefault="006C3893" w:rsidP="006C3893">
      <w:pPr>
        <w:pStyle w:val="TableFooter"/>
      </w:pPr>
      <w:r w:rsidRPr="00C11AAD">
        <w:t>Abbreviations: DPMQ, dispensed price for maximum quantity; FDC, fixed dose combination; PBS, Pharmaceutical Benefits Scheme; RPBS, Repatriation Pharmaceutical Benefits Scheme</w:t>
      </w:r>
    </w:p>
    <w:p w:rsidR="006C3893" w:rsidRPr="00C11AAD" w:rsidRDefault="006C3893" w:rsidP="006C3893">
      <w:pPr>
        <w:pStyle w:val="TableFooter"/>
      </w:pPr>
      <w:proofErr w:type="spellStart"/>
      <w:proofErr w:type="gramStart"/>
      <w:r w:rsidRPr="00C11AAD">
        <w:rPr>
          <w:vertAlign w:val="superscript"/>
        </w:rPr>
        <w:t>a</w:t>
      </w:r>
      <w:proofErr w:type="spellEnd"/>
      <w:proofErr w:type="gramEnd"/>
      <w:r w:rsidRPr="00C11AAD">
        <w:t xml:space="preserve"> The PBS script duration for </w:t>
      </w:r>
      <w:proofErr w:type="spellStart"/>
      <w:r w:rsidRPr="00C11AAD">
        <w:t>empagliflozin</w:t>
      </w:r>
      <w:proofErr w:type="spellEnd"/>
      <w:r w:rsidRPr="00C11AAD">
        <w:t xml:space="preserve"> covers 30 days of therapy. Estimates were adjusted to 28-day equivalents (consistent with </w:t>
      </w:r>
      <w:proofErr w:type="spellStart"/>
      <w:r w:rsidRPr="00C11AAD">
        <w:t>dapagliflozin</w:t>
      </w:r>
      <w:proofErr w:type="spellEnd"/>
      <w:r w:rsidRPr="00C11AAD">
        <w:t xml:space="preserve"> and </w:t>
      </w:r>
      <w:proofErr w:type="spellStart"/>
      <w:r w:rsidRPr="00C11AAD">
        <w:t>ertugliflozin</w:t>
      </w:r>
      <w:proofErr w:type="spellEnd"/>
      <w:r w:rsidRPr="00C11AAD">
        <w:t xml:space="preserve"> script duration) to estimate the market size. Estimates were then converted back to 30-day equivalents when estimating the change in use of substituted therapies </w:t>
      </w:r>
    </w:p>
    <w:p w:rsidR="006C3893" w:rsidRDefault="006C3893" w:rsidP="006C3893">
      <w:pPr>
        <w:pStyle w:val="TableFooter"/>
      </w:pPr>
      <w:r w:rsidRPr="00C11AAD">
        <w:rPr>
          <w:vertAlign w:val="superscript"/>
        </w:rPr>
        <w:t>b</w:t>
      </w:r>
      <w:r w:rsidRPr="00C11AAD">
        <w:t xml:space="preserve"> Based on 30% dual therapy use for PBS item 10011X, 10206E, 10202Y, 10626G, 10627H, 10633P, 10677Y and 100% dual therapy use for PBS item 10650M, 10649L, 10639Y, 10640B </w:t>
      </w:r>
    </w:p>
    <w:p w:rsidR="00EE0B1B" w:rsidRPr="00832030" w:rsidRDefault="00EE0B1B" w:rsidP="00EE0B1B">
      <w:pPr>
        <w:pStyle w:val="TableFooter"/>
        <w:spacing w:after="120"/>
        <w:rPr>
          <w:rFonts w:asciiTheme="minorHAnsi" w:hAnsiTheme="minorHAnsi"/>
          <w:sz w:val="24"/>
          <w:szCs w:val="24"/>
        </w:rPr>
      </w:pPr>
      <w:r w:rsidRPr="00832030">
        <w:rPr>
          <w:rFonts w:asciiTheme="minorHAnsi" w:hAnsiTheme="minorHAnsi"/>
          <w:sz w:val="24"/>
          <w:szCs w:val="24"/>
        </w:rPr>
        <w:t xml:space="preserve">The redacted table shows that the estimated </w:t>
      </w:r>
      <w:r w:rsidR="00774C68" w:rsidRPr="00832030">
        <w:rPr>
          <w:rFonts w:asciiTheme="minorHAnsi" w:hAnsiTheme="minorHAnsi"/>
          <w:sz w:val="24"/>
          <w:szCs w:val="24"/>
        </w:rPr>
        <w:t xml:space="preserve">total </w:t>
      </w:r>
      <w:r w:rsidRPr="00832030">
        <w:rPr>
          <w:rFonts w:asciiTheme="minorHAnsi" w:hAnsiTheme="minorHAnsi"/>
          <w:sz w:val="24"/>
          <w:szCs w:val="24"/>
        </w:rPr>
        <w:t xml:space="preserve">number of </w:t>
      </w:r>
      <w:proofErr w:type="spellStart"/>
      <w:r w:rsidRPr="00832030">
        <w:rPr>
          <w:rFonts w:asciiTheme="minorHAnsi" w:hAnsiTheme="minorHAnsi"/>
          <w:sz w:val="24"/>
          <w:szCs w:val="24"/>
        </w:rPr>
        <w:t>ertugliflozin</w:t>
      </w:r>
      <w:proofErr w:type="spellEnd"/>
      <w:r w:rsidRPr="00832030">
        <w:rPr>
          <w:rFonts w:asciiTheme="minorHAnsi" w:hAnsiTheme="minorHAnsi"/>
          <w:sz w:val="24"/>
          <w:szCs w:val="24"/>
        </w:rPr>
        <w:t xml:space="preserve"> scripts dispensed </w:t>
      </w:r>
      <w:r w:rsidR="00774C68" w:rsidRPr="00832030">
        <w:rPr>
          <w:rFonts w:asciiTheme="minorHAnsi" w:hAnsiTheme="minorHAnsi"/>
          <w:sz w:val="24"/>
          <w:szCs w:val="24"/>
        </w:rPr>
        <w:t xml:space="preserve">in Year 1 </w:t>
      </w:r>
      <w:r w:rsidRPr="00832030">
        <w:rPr>
          <w:rFonts w:asciiTheme="minorHAnsi" w:hAnsiTheme="minorHAnsi"/>
          <w:sz w:val="24"/>
          <w:szCs w:val="24"/>
        </w:rPr>
        <w:t xml:space="preserve">was in the range of </w:t>
      </w:r>
      <w:r w:rsidR="00774C68" w:rsidRPr="00832030">
        <w:rPr>
          <w:rFonts w:asciiTheme="minorHAnsi" w:hAnsiTheme="minorHAnsi"/>
          <w:sz w:val="24"/>
          <w:szCs w:val="24"/>
        </w:rPr>
        <w:t xml:space="preserve">10,000 – 50,000 per year, increasing to </w:t>
      </w:r>
      <w:r w:rsidRPr="00832030">
        <w:rPr>
          <w:rFonts w:asciiTheme="minorHAnsi" w:hAnsiTheme="minorHAnsi"/>
          <w:sz w:val="24"/>
          <w:szCs w:val="24"/>
        </w:rPr>
        <w:t xml:space="preserve">50,000 – 100,000 per year </w:t>
      </w:r>
      <w:r w:rsidR="00774C68" w:rsidRPr="00832030">
        <w:rPr>
          <w:rFonts w:asciiTheme="minorHAnsi" w:hAnsiTheme="minorHAnsi"/>
          <w:sz w:val="24"/>
          <w:szCs w:val="24"/>
        </w:rPr>
        <w:t>in Year 6. The redacted table also shows</w:t>
      </w:r>
      <w:r w:rsidR="002612F9" w:rsidRPr="00832030">
        <w:rPr>
          <w:rFonts w:asciiTheme="minorHAnsi" w:hAnsiTheme="minorHAnsi"/>
          <w:sz w:val="24"/>
          <w:szCs w:val="24"/>
        </w:rPr>
        <w:t xml:space="preserve"> that the estimated cumulative net </w:t>
      </w:r>
      <w:r w:rsidRPr="00832030">
        <w:rPr>
          <w:rFonts w:asciiTheme="minorHAnsi" w:hAnsiTheme="minorHAnsi"/>
          <w:sz w:val="24"/>
          <w:szCs w:val="24"/>
        </w:rPr>
        <w:t>cost to the PBS</w:t>
      </w:r>
      <w:r w:rsidR="002612F9" w:rsidRPr="00832030">
        <w:rPr>
          <w:rFonts w:asciiTheme="minorHAnsi" w:hAnsiTheme="minorHAnsi"/>
          <w:sz w:val="24"/>
          <w:szCs w:val="24"/>
        </w:rPr>
        <w:t xml:space="preserve"> over 6 years</w:t>
      </w:r>
      <w:r w:rsidRPr="00832030">
        <w:rPr>
          <w:rFonts w:asciiTheme="minorHAnsi" w:hAnsiTheme="minorHAnsi"/>
          <w:sz w:val="24"/>
          <w:szCs w:val="24"/>
        </w:rPr>
        <w:t xml:space="preserve"> would be substantially less than $10 million. </w:t>
      </w:r>
    </w:p>
    <w:p w:rsidR="002D563E" w:rsidRDefault="002D563E" w:rsidP="001A05C8">
      <w:pPr>
        <w:pStyle w:val="ListParagraph"/>
        <w:widowControl/>
        <w:numPr>
          <w:ilvl w:val="1"/>
          <w:numId w:val="2"/>
        </w:numPr>
        <w:spacing w:before="120" w:after="120"/>
      </w:pPr>
      <w:r w:rsidRPr="00C11AAD">
        <w:t>Overall, the budget impact estimates appear to be reasonable given that the reques</w:t>
      </w:r>
      <w:r w:rsidR="007C5A87">
        <w:t>ted listing was based on a cost-</w:t>
      </w:r>
      <w:r w:rsidRPr="00C11AAD">
        <w:t xml:space="preserve">minimisation analysis of similar products using drug costs only with no obvious expectation of market growth. However, the expected utilisation patterns of </w:t>
      </w:r>
      <w:proofErr w:type="spellStart"/>
      <w:r w:rsidRPr="00C11AAD">
        <w:t>ertugliflozin</w:t>
      </w:r>
      <w:proofErr w:type="spellEnd"/>
      <w:r w:rsidRPr="00C11AAD">
        <w:t xml:space="preserve">, </w:t>
      </w:r>
      <w:proofErr w:type="spellStart"/>
      <w:r w:rsidRPr="00C11AAD">
        <w:t>dapagliflozin</w:t>
      </w:r>
      <w:proofErr w:type="spellEnd"/>
      <w:r w:rsidRPr="00C11AAD">
        <w:t xml:space="preserve"> and </w:t>
      </w:r>
      <w:proofErr w:type="spellStart"/>
      <w:r w:rsidRPr="00C11AAD">
        <w:t>empagliflozin</w:t>
      </w:r>
      <w:proofErr w:type="spellEnd"/>
      <w:r w:rsidRPr="00C11AAD">
        <w:t xml:space="preserve"> are uncertain</w:t>
      </w:r>
      <w:r w:rsidR="00F66A30" w:rsidRPr="00C11AAD">
        <w:t>,</w:t>
      </w:r>
      <w:r w:rsidRPr="00C11AAD">
        <w:t xml:space="preserve"> given the dynamics of the SGLT2 inhibitor market are rapidly changing with the recent listings of </w:t>
      </w:r>
      <w:proofErr w:type="spellStart"/>
      <w:r w:rsidRPr="00C11AAD">
        <w:t>dapagliflozin</w:t>
      </w:r>
      <w:proofErr w:type="spellEnd"/>
      <w:r w:rsidRPr="00C11AAD">
        <w:t xml:space="preserve"> with metformin and </w:t>
      </w:r>
      <w:proofErr w:type="spellStart"/>
      <w:r w:rsidRPr="00C11AAD">
        <w:t>empagliflozin</w:t>
      </w:r>
      <w:proofErr w:type="spellEnd"/>
      <w:r w:rsidRPr="00C11AAD">
        <w:t xml:space="preserve"> with metformin FDCs as well as the potential introduction of </w:t>
      </w:r>
      <w:proofErr w:type="spellStart"/>
      <w:r w:rsidRPr="00C11AAD">
        <w:t>dapagliflozin</w:t>
      </w:r>
      <w:proofErr w:type="spellEnd"/>
      <w:r w:rsidRPr="00C11AAD">
        <w:t xml:space="preserve"> with </w:t>
      </w:r>
      <w:proofErr w:type="spellStart"/>
      <w:r w:rsidRPr="00C11AAD">
        <w:t>saxagliptin</w:t>
      </w:r>
      <w:proofErr w:type="spellEnd"/>
      <w:r w:rsidRPr="00C11AAD">
        <w:t xml:space="preserve"> FDC (considered at the July 2017 PBAC meeting) and </w:t>
      </w:r>
      <w:proofErr w:type="spellStart"/>
      <w:r w:rsidRPr="00C11AAD">
        <w:t>empagliflozin</w:t>
      </w:r>
      <w:proofErr w:type="spellEnd"/>
      <w:r w:rsidRPr="00C11AAD">
        <w:t xml:space="preserve"> with </w:t>
      </w:r>
      <w:proofErr w:type="spellStart"/>
      <w:r w:rsidRPr="00C11AAD">
        <w:t>linagliptin</w:t>
      </w:r>
      <w:proofErr w:type="spellEnd"/>
      <w:r w:rsidRPr="00C11AAD">
        <w:t xml:space="preserve"> FDC (considered at the November 2017 PBAC meeting). The potential future availability of </w:t>
      </w:r>
      <w:proofErr w:type="spellStart"/>
      <w:r w:rsidRPr="00C11AAD">
        <w:t>ertugliflozin</w:t>
      </w:r>
      <w:proofErr w:type="spellEnd"/>
      <w:r w:rsidRPr="00C11AAD">
        <w:t xml:space="preserve"> with </w:t>
      </w:r>
      <w:proofErr w:type="spellStart"/>
      <w:r w:rsidRPr="00C11AAD">
        <w:t>sitagliptin</w:t>
      </w:r>
      <w:proofErr w:type="spellEnd"/>
      <w:r w:rsidRPr="00C11AAD">
        <w:t xml:space="preserve"> FDC (the most widely used DPP4 inhibitor therapy) may</w:t>
      </w:r>
      <w:r w:rsidR="00F66A30" w:rsidRPr="00C11AAD">
        <w:t xml:space="preserve"> also</w:t>
      </w:r>
      <w:r w:rsidRPr="00C11AAD">
        <w:t xml:space="preserve"> affect uptake rates of other </w:t>
      </w:r>
      <w:proofErr w:type="spellStart"/>
      <w:r w:rsidRPr="00C11AAD">
        <w:t>ertugliflozin</w:t>
      </w:r>
      <w:proofErr w:type="spellEnd"/>
      <w:r w:rsidRPr="00C11AAD">
        <w:t xml:space="preserve"> products.</w:t>
      </w:r>
    </w:p>
    <w:p w:rsidR="00DD67DF" w:rsidRPr="00C11AAD" w:rsidRDefault="00DD67DF" w:rsidP="00AB2BD2">
      <w:pPr>
        <w:widowControl/>
        <w:numPr>
          <w:ilvl w:val="1"/>
          <w:numId w:val="2"/>
        </w:numPr>
        <w:spacing w:before="120" w:after="120"/>
      </w:pPr>
      <w:r w:rsidRPr="00DD67DF">
        <w:rPr>
          <w:rFonts w:asciiTheme="minorHAnsi" w:hAnsiTheme="minorHAnsi"/>
          <w:bCs/>
          <w:lang w:val="en-GB"/>
        </w:rPr>
        <w:lastRenderedPageBreak/>
        <w:t xml:space="preserve">The PBAC considered that the growth rate assumption regarding SGLT2 inhibitors </w:t>
      </w:r>
      <w:r w:rsidRPr="009A1748">
        <w:rPr>
          <w:rFonts w:asciiTheme="minorHAnsi" w:hAnsiTheme="minorHAnsi"/>
          <w:bCs/>
          <w:lang w:val="en-GB"/>
        </w:rPr>
        <w:t xml:space="preserve">in the financial estimates was uncertain given the changes to the dynamics of </w:t>
      </w:r>
      <w:r w:rsidRPr="00DD67DF">
        <w:rPr>
          <w:rFonts w:asciiTheme="minorHAnsi" w:hAnsiTheme="minorHAnsi"/>
          <w:bCs/>
          <w:lang w:val="en-GB"/>
        </w:rPr>
        <w:t xml:space="preserve">the </w:t>
      </w:r>
      <w:r w:rsidR="00872604">
        <w:rPr>
          <w:rFonts w:asciiTheme="minorHAnsi" w:hAnsiTheme="minorHAnsi"/>
          <w:bCs/>
          <w:lang w:val="en-GB"/>
        </w:rPr>
        <w:t>SGLT2</w:t>
      </w:r>
      <w:r w:rsidRPr="00DD67DF">
        <w:rPr>
          <w:rFonts w:asciiTheme="minorHAnsi" w:hAnsiTheme="minorHAnsi"/>
          <w:bCs/>
          <w:lang w:val="en-GB"/>
        </w:rPr>
        <w:t xml:space="preserve"> market.</w:t>
      </w:r>
    </w:p>
    <w:p w:rsidR="002D563E" w:rsidRPr="00C11AAD" w:rsidRDefault="002D563E" w:rsidP="001A05C8">
      <w:pPr>
        <w:pStyle w:val="ListParagraph"/>
        <w:widowControl/>
        <w:numPr>
          <w:ilvl w:val="1"/>
          <w:numId w:val="2"/>
        </w:numPr>
        <w:spacing w:after="120"/>
      </w:pPr>
      <w:r w:rsidRPr="00C11AAD">
        <w:t xml:space="preserve">The proposed restriction for </w:t>
      </w:r>
      <w:proofErr w:type="spellStart"/>
      <w:r w:rsidRPr="00C11AAD">
        <w:t>ertugliflozin</w:t>
      </w:r>
      <w:proofErr w:type="spellEnd"/>
      <w:r w:rsidRPr="00C11AAD">
        <w:t xml:space="preserve"> (dual therapy only) is narrower than other available PBS listed </w:t>
      </w:r>
      <w:r w:rsidR="00872604">
        <w:t>SGLT2</w:t>
      </w:r>
      <w:r w:rsidRPr="00C11AAD">
        <w:t xml:space="preserve"> therapies (dual, triple and combination with insulin) which may cause confusion amongst physicians and lead to potential leakage outside the proposed restriction.</w:t>
      </w:r>
    </w:p>
    <w:p w:rsidR="00576972" w:rsidRPr="0042325D" w:rsidRDefault="00576972" w:rsidP="00CF5F42">
      <w:pPr>
        <w:pStyle w:val="Heading2"/>
      </w:pPr>
      <w:bookmarkStart w:id="14" w:name="_Toc503874322"/>
      <w:r w:rsidRPr="0042325D">
        <w:t>Quality Use of Medicines</w:t>
      </w:r>
      <w:bookmarkEnd w:id="14"/>
    </w:p>
    <w:p w:rsidR="00576972" w:rsidRDefault="00E6183E" w:rsidP="001A05C8">
      <w:pPr>
        <w:pStyle w:val="ListParagraph"/>
        <w:widowControl/>
        <w:numPr>
          <w:ilvl w:val="1"/>
          <w:numId w:val="2"/>
        </w:numPr>
        <w:spacing w:before="120" w:after="120"/>
      </w:pPr>
      <w:r w:rsidRPr="00C11AAD">
        <w:t xml:space="preserve">The submission detailed educational material for health care professionals to ensure the appropriate use of </w:t>
      </w:r>
      <w:proofErr w:type="spellStart"/>
      <w:r w:rsidRPr="00C11AAD">
        <w:t>ertugliflozin</w:t>
      </w:r>
      <w:proofErr w:type="spellEnd"/>
      <w:r w:rsidRPr="00C11AAD">
        <w:t>.</w:t>
      </w:r>
    </w:p>
    <w:p w:rsidR="002E49B7" w:rsidRDefault="002E49B7" w:rsidP="001A05C8">
      <w:pPr>
        <w:pStyle w:val="ListParagraph"/>
        <w:spacing w:after="120"/>
        <w:ind w:left="709"/>
        <w:rPr>
          <w:rFonts w:asciiTheme="minorHAnsi" w:hAnsiTheme="minorHAnsi"/>
          <w:i/>
        </w:rPr>
      </w:pPr>
      <w:r w:rsidRPr="00726BA9">
        <w:rPr>
          <w:rFonts w:asciiTheme="minorHAnsi" w:hAnsiTheme="minorHAnsi"/>
          <w:i/>
        </w:rPr>
        <w:t>For more detail on PBAC’s view, see section 7 PBAC outcome.</w:t>
      </w:r>
    </w:p>
    <w:p w:rsidR="007B1A65" w:rsidRPr="00726BA9" w:rsidRDefault="007B1A65" w:rsidP="00CF5F42">
      <w:pPr>
        <w:pStyle w:val="PBACHeading1"/>
        <w:rPr>
          <w:rFonts w:cs="Times New Roman"/>
          <w:snapToGrid/>
          <w:color w:val="000000" w:themeColor="text1"/>
          <w:sz w:val="24"/>
        </w:rPr>
      </w:pPr>
      <w:r w:rsidRPr="00726BA9">
        <w:t>PBAC Outcome</w:t>
      </w:r>
    </w:p>
    <w:p w:rsidR="008A537A" w:rsidRDefault="00BC2166" w:rsidP="00690EFE">
      <w:pPr>
        <w:widowControl/>
        <w:numPr>
          <w:ilvl w:val="1"/>
          <w:numId w:val="2"/>
        </w:numPr>
        <w:spacing w:after="120"/>
      </w:pPr>
      <w:r w:rsidRPr="008A537A">
        <w:rPr>
          <w:rFonts w:asciiTheme="minorHAnsi" w:hAnsiTheme="minorHAnsi"/>
          <w:bCs/>
          <w:lang w:val="en-GB"/>
        </w:rPr>
        <w:t>The PBAC recommended the</w:t>
      </w:r>
      <w:r w:rsidR="00A44618">
        <w:rPr>
          <w:rFonts w:asciiTheme="minorHAnsi" w:hAnsiTheme="minorHAnsi"/>
          <w:bCs/>
          <w:lang w:val="en-GB"/>
        </w:rPr>
        <w:t xml:space="preserve"> Authority Required (STREAMLINED)</w:t>
      </w:r>
      <w:r w:rsidRPr="008A537A">
        <w:rPr>
          <w:rFonts w:asciiTheme="minorHAnsi" w:hAnsiTheme="minorHAnsi"/>
          <w:bCs/>
          <w:lang w:val="en-GB"/>
        </w:rPr>
        <w:t xml:space="preserve"> listing of </w:t>
      </w:r>
      <w:r w:rsidR="003F15A8">
        <w:rPr>
          <w:rFonts w:asciiTheme="minorHAnsi" w:hAnsiTheme="minorHAnsi"/>
          <w:bCs/>
          <w:lang w:val="en-GB"/>
        </w:rPr>
        <w:t xml:space="preserve">the 5 mg dose strength </w:t>
      </w:r>
      <w:proofErr w:type="spellStart"/>
      <w:r w:rsidR="008A537A" w:rsidRPr="00C11AAD">
        <w:t>ertugliflozin</w:t>
      </w:r>
      <w:proofErr w:type="spellEnd"/>
      <w:r w:rsidR="008A537A" w:rsidRPr="00C11AAD">
        <w:t xml:space="preserve"> for dual oral therapy with metformin or a sulfonylurea, and</w:t>
      </w:r>
      <w:r w:rsidR="003F15A8">
        <w:t xml:space="preserve"> </w:t>
      </w:r>
      <w:r w:rsidR="00DC127E">
        <w:t xml:space="preserve">the </w:t>
      </w:r>
      <w:r w:rsidR="003F15A8">
        <w:t>2.5 mg</w:t>
      </w:r>
      <w:r w:rsidR="00E338E4">
        <w:t xml:space="preserve"> </w:t>
      </w:r>
      <w:proofErr w:type="spellStart"/>
      <w:r w:rsidR="008A537A" w:rsidRPr="00C11AAD">
        <w:t>ertugliflozin</w:t>
      </w:r>
      <w:proofErr w:type="spellEnd"/>
      <w:r w:rsidR="008A537A" w:rsidRPr="00C11AAD">
        <w:t xml:space="preserve"> with </w:t>
      </w:r>
      <w:r w:rsidR="00823CDE">
        <w:t>500 mg</w:t>
      </w:r>
      <w:r w:rsidR="009B4098">
        <w:t xml:space="preserve"> </w:t>
      </w:r>
      <w:r w:rsidR="008126EE">
        <w:t>metformin</w:t>
      </w:r>
      <w:r w:rsidR="00872604">
        <w:t>,</w:t>
      </w:r>
      <w:r w:rsidR="008126EE">
        <w:t xml:space="preserve"> </w:t>
      </w:r>
      <w:r w:rsidR="009B4098">
        <w:t xml:space="preserve">and 2.5 mg </w:t>
      </w:r>
      <w:proofErr w:type="spellStart"/>
      <w:r w:rsidR="009B4098">
        <w:t>ertugliflozin</w:t>
      </w:r>
      <w:proofErr w:type="spellEnd"/>
      <w:r w:rsidR="009B4098">
        <w:t xml:space="preserve"> with </w:t>
      </w:r>
      <w:r w:rsidR="003F15A8">
        <w:t>1 g</w:t>
      </w:r>
      <w:r w:rsidR="00823CDE">
        <w:t xml:space="preserve"> </w:t>
      </w:r>
      <w:r w:rsidR="008A537A" w:rsidRPr="00C11AAD">
        <w:t>metformin fixed dose combination</w:t>
      </w:r>
      <w:r w:rsidR="00DC127E">
        <w:t>s</w:t>
      </w:r>
      <w:r w:rsidR="008A537A" w:rsidRPr="00C11AAD">
        <w:t xml:space="preserve">, for the treatment of type 2 diabetes in patients inadequately controlled with metformin or a sulfonylurea. </w:t>
      </w:r>
    </w:p>
    <w:p w:rsidR="001774D1" w:rsidRDefault="001774D1" w:rsidP="003E169F">
      <w:pPr>
        <w:numPr>
          <w:ilvl w:val="1"/>
          <w:numId w:val="2"/>
        </w:numPr>
        <w:spacing w:after="120"/>
        <w:rPr>
          <w:rFonts w:asciiTheme="minorHAnsi" w:hAnsiTheme="minorHAnsi"/>
          <w:bCs/>
          <w:lang w:val="en-GB"/>
        </w:rPr>
      </w:pPr>
      <w:r>
        <w:rPr>
          <w:rFonts w:asciiTheme="minorHAnsi" w:hAnsiTheme="minorHAnsi"/>
          <w:bCs/>
          <w:lang w:val="en-GB"/>
        </w:rPr>
        <w:t xml:space="preserve">The PBAC advised that given a positive TGA Delegate’s Overview was not received for the </w:t>
      </w:r>
      <w:proofErr w:type="spellStart"/>
      <w:r>
        <w:rPr>
          <w:rFonts w:asciiTheme="minorHAnsi" w:hAnsiTheme="minorHAnsi"/>
          <w:bCs/>
          <w:lang w:val="en-GB"/>
        </w:rPr>
        <w:t>ertugliflozin</w:t>
      </w:r>
      <w:proofErr w:type="spellEnd"/>
      <w:r>
        <w:rPr>
          <w:rFonts w:asciiTheme="minorHAnsi" w:hAnsiTheme="minorHAnsi"/>
          <w:bCs/>
          <w:lang w:val="en-GB"/>
        </w:rPr>
        <w:t xml:space="preserve"> 15 mg dose strength, a recommendation for listing of the 15 mg dose strength could not be made. </w:t>
      </w:r>
      <w:r w:rsidR="003E169F">
        <w:rPr>
          <w:rFonts w:asciiTheme="minorHAnsi" w:hAnsiTheme="minorHAnsi"/>
          <w:bCs/>
          <w:lang w:val="en-GB"/>
        </w:rPr>
        <w:t>However, the PBAC considered that the evidence provided in the submission did not support the clinical</w:t>
      </w:r>
      <w:r w:rsidR="00DC127E">
        <w:rPr>
          <w:rFonts w:asciiTheme="minorHAnsi" w:hAnsiTheme="minorHAnsi"/>
          <w:bCs/>
          <w:lang w:val="en-GB"/>
        </w:rPr>
        <w:t xml:space="preserve"> need for the 15 mg </w:t>
      </w:r>
      <w:proofErr w:type="spellStart"/>
      <w:r w:rsidR="003E169F" w:rsidRPr="003E169F">
        <w:rPr>
          <w:rFonts w:asciiTheme="minorHAnsi" w:hAnsiTheme="minorHAnsi"/>
          <w:bCs/>
          <w:lang w:val="en-GB"/>
        </w:rPr>
        <w:t>ertugliflozin</w:t>
      </w:r>
      <w:proofErr w:type="spellEnd"/>
      <w:r w:rsidR="003E169F" w:rsidRPr="003E169F">
        <w:rPr>
          <w:rFonts w:asciiTheme="minorHAnsi" w:hAnsiTheme="minorHAnsi"/>
          <w:bCs/>
          <w:lang w:val="en-GB"/>
        </w:rPr>
        <w:t xml:space="preserve"> </w:t>
      </w:r>
      <w:r w:rsidR="00DC127E">
        <w:rPr>
          <w:rFonts w:asciiTheme="minorHAnsi" w:hAnsiTheme="minorHAnsi"/>
          <w:bCs/>
          <w:lang w:val="en-GB"/>
        </w:rPr>
        <w:t>or</w:t>
      </w:r>
      <w:r w:rsidR="003E169F">
        <w:rPr>
          <w:rFonts w:asciiTheme="minorHAnsi" w:hAnsiTheme="minorHAnsi"/>
          <w:bCs/>
          <w:lang w:val="en-GB"/>
        </w:rPr>
        <w:t xml:space="preserve"> 7</w:t>
      </w:r>
      <w:r w:rsidR="003E169F" w:rsidRPr="003E169F">
        <w:rPr>
          <w:rFonts w:asciiTheme="minorHAnsi" w:hAnsiTheme="minorHAnsi"/>
          <w:bCs/>
          <w:lang w:val="en-GB"/>
        </w:rPr>
        <w:t xml:space="preserve">.5 mg </w:t>
      </w:r>
      <w:proofErr w:type="spellStart"/>
      <w:r w:rsidR="003E169F" w:rsidRPr="003E169F">
        <w:rPr>
          <w:rFonts w:asciiTheme="minorHAnsi" w:hAnsiTheme="minorHAnsi"/>
          <w:bCs/>
          <w:lang w:val="en-GB"/>
        </w:rPr>
        <w:t>ertugliflozin</w:t>
      </w:r>
      <w:proofErr w:type="spellEnd"/>
      <w:r w:rsidR="003E169F" w:rsidRPr="003E169F">
        <w:rPr>
          <w:rFonts w:asciiTheme="minorHAnsi" w:hAnsiTheme="minorHAnsi"/>
          <w:bCs/>
          <w:lang w:val="en-GB"/>
        </w:rPr>
        <w:t xml:space="preserve"> with 500 mg/1 g metformin fixed dose combination</w:t>
      </w:r>
      <w:r w:rsidR="00DC127E">
        <w:rPr>
          <w:rFonts w:asciiTheme="minorHAnsi" w:hAnsiTheme="minorHAnsi"/>
          <w:bCs/>
          <w:lang w:val="en-GB"/>
        </w:rPr>
        <w:t>s</w:t>
      </w:r>
      <w:r w:rsidR="003E169F">
        <w:rPr>
          <w:rFonts w:asciiTheme="minorHAnsi" w:hAnsiTheme="minorHAnsi"/>
          <w:bCs/>
          <w:lang w:val="en-GB"/>
        </w:rPr>
        <w:t xml:space="preserve"> for listing, especially given the doubt as to the non-inferior safety profile compared to their respective comparators.</w:t>
      </w:r>
    </w:p>
    <w:p w:rsidR="00B90BF6" w:rsidRDefault="00B90BF6" w:rsidP="001774D1">
      <w:pPr>
        <w:numPr>
          <w:ilvl w:val="1"/>
          <w:numId w:val="2"/>
        </w:numPr>
        <w:spacing w:after="120"/>
        <w:rPr>
          <w:rFonts w:asciiTheme="minorHAnsi" w:hAnsiTheme="minorHAnsi"/>
          <w:bCs/>
          <w:lang w:val="en-GB"/>
        </w:rPr>
      </w:pPr>
      <w:r>
        <w:rPr>
          <w:rFonts w:asciiTheme="minorHAnsi" w:hAnsiTheme="minorHAnsi"/>
          <w:bCs/>
          <w:lang w:val="en-GB"/>
        </w:rPr>
        <w:t xml:space="preserve">The PBAC </w:t>
      </w:r>
      <w:r w:rsidR="003E169F">
        <w:rPr>
          <w:rFonts w:asciiTheme="minorHAnsi" w:hAnsiTheme="minorHAnsi"/>
          <w:bCs/>
          <w:lang w:val="en-GB"/>
        </w:rPr>
        <w:t>cons</w:t>
      </w:r>
      <w:r w:rsidR="00AE10FD">
        <w:rPr>
          <w:rFonts w:asciiTheme="minorHAnsi" w:hAnsiTheme="minorHAnsi"/>
          <w:bCs/>
          <w:lang w:val="en-GB"/>
        </w:rPr>
        <w:t>i</w:t>
      </w:r>
      <w:r w:rsidR="003E169F">
        <w:rPr>
          <w:rFonts w:asciiTheme="minorHAnsi" w:hAnsiTheme="minorHAnsi"/>
          <w:bCs/>
          <w:lang w:val="en-GB"/>
        </w:rPr>
        <w:t>dered that</w:t>
      </w:r>
      <w:r>
        <w:rPr>
          <w:rFonts w:asciiTheme="minorHAnsi" w:hAnsiTheme="minorHAnsi"/>
          <w:bCs/>
          <w:lang w:val="en-GB"/>
        </w:rPr>
        <w:t xml:space="preserve"> the nominated primary comparators </w:t>
      </w:r>
      <w:proofErr w:type="spellStart"/>
      <w:r>
        <w:rPr>
          <w:rFonts w:asciiTheme="minorHAnsi" w:hAnsiTheme="minorHAnsi"/>
          <w:bCs/>
          <w:lang w:val="en-GB"/>
        </w:rPr>
        <w:t>dapagliflozin</w:t>
      </w:r>
      <w:proofErr w:type="spellEnd"/>
      <w:r>
        <w:rPr>
          <w:rFonts w:asciiTheme="minorHAnsi" w:hAnsiTheme="minorHAnsi"/>
          <w:bCs/>
          <w:lang w:val="en-GB"/>
        </w:rPr>
        <w:t xml:space="preserve"> and </w:t>
      </w:r>
      <w:proofErr w:type="spellStart"/>
      <w:r>
        <w:rPr>
          <w:rFonts w:asciiTheme="minorHAnsi" w:hAnsiTheme="minorHAnsi"/>
          <w:bCs/>
          <w:lang w:val="en-GB"/>
        </w:rPr>
        <w:t>empagliflozin</w:t>
      </w:r>
      <w:proofErr w:type="spellEnd"/>
      <w:r w:rsidR="003E169F">
        <w:rPr>
          <w:rFonts w:asciiTheme="minorHAnsi" w:hAnsiTheme="minorHAnsi"/>
          <w:bCs/>
          <w:lang w:val="en-GB"/>
        </w:rPr>
        <w:t xml:space="preserve"> were acceptable</w:t>
      </w:r>
      <w:r>
        <w:rPr>
          <w:rFonts w:asciiTheme="minorHAnsi" w:hAnsiTheme="minorHAnsi"/>
          <w:bCs/>
          <w:lang w:val="en-GB"/>
        </w:rPr>
        <w:t>.</w:t>
      </w:r>
    </w:p>
    <w:p w:rsidR="008A537A" w:rsidRDefault="008A537A" w:rsidP="001774D1">
      <w:pPr>
        <w:pStyle w:val="ListParagraph"/>
        <w:widowControl/>
        <w:numPr>
          <w:ilvl w:val="1"/>
          <w:numId w:val="2"/>
        </w:numPr>
        <w:spacing w:after="120"/>
      </w:pPr>
      <w:r w:rsidRPr="008A537A">
        <w:rPr>
          <w:bCs/>
        </w:rPr>
        <w:t>The PBAC considered that the evidence presented in the submission supported a claim of non-inferior efficacy and safety for</w:t>
      </w:r>
      <w:r w:rsidRPr="00C1007F">
        <w:rPr>
          <w:bCs/>
        </w:rPr>
        <w:t xml:space="preserve"> </w:t>
      </w:r>
      <w:proofErr w:type="spellStart"/>
      <w:r w:rsidRPr="00C1007F">
        <w:rPr>
          <w:bCs/>
        </w:rPr>
        <w:t>ertugliflozin</w:t>
      </w:r>
      <w:proofErr w:type="spellEnd"/>
      <w:r w:rsidRPr="00C1007F">
        <w:rPr>
          <w:bCs/>
        </w:rPr>
        <w:t xml:space="preserve"> compared to </w:t>
      </w:r>
      <w:proofErr w:type="spellStart"/>
      <w:r w:rsidRPr="00C11AAD">
        <w:t>dapagliflozin</w:t>
      </w:r>
      <w:proofErr w:type="spellEnd"/>
      <w:r w:rsidRPr="00C11AAD">
        <w:t xml:space="preserve"> </w:t>
      </w:r>
      <w:r>
        <w:t>or</w:t>
      </w:r>
      <w:r w:rsidRPr="00C11AAD">
        <w:t xml:space="preserve"> </w:t>
      </w:r>
      <w:proofErr w:type="spellStart"/>
      <w:r w:rsidRPr="00C11AAD">
        <w:t>empagliflozin</w:t>
      </w:r>
      <w:proofErr w:type="spellEnd"/>
      <w:r>
        <w:t xml:space="preserve">. </w:t>
      </w:r>
      <w:r w:rsidRPr="00C11AAD">
        <w:t xml:space="preserve">The </w:t>
      </w:r>
      <w:proofErr w:type="spellStart"/>
      <w:r w:rsidRPr="00C11AAD">
        <w:t>equi</w:t>
      </w:r>
      <w:proofErr w:type="spellEnd"/>
      <w:r w:rsidRPr="00C11AAD">
        <w:t xml:space="preserve">-effective doses </w:t>
      </w:r>
      <w:r>
        <w:t>a</w:t>
      </w:r>
      <w:r w:rsidRPr="00C11AAD">
        <w:t xml:space="preserve">re </w:t>
      </w:r>
      <w:proofErr w:type="spellStart"/>
      <w:r w:rsidRPr="00C11AAD">
        <w:t>ertugliflozin</w:t>
      </w:r>
      <w:proofErr w:type="spellEnd"/>
      <w:r w:rsidRPr="00C11AAD">
        <w:t xml:space="preserve"> 5 mg </w:t>
      </w:r>
      <w:r>
        <w:t>(</w:t>
      </w:r>
      <w:r w:rsidRPr="00C11AAD">
        <w:t>once daily</w:t>
      </w:r>
      <w:r>
        <w:t>)</w:t>
      </w:r>
      <w:r w:rsidRPr="00C11AAD">
        <w:t xml:space="preserve"> and </w:t>
      </w:r>
      <w:proofErr w:type="spellStart"/>
      <w:r w:rsidRPr="00C11AAD">
        <w:t>dapagliflozin</w:t>
      </w:r>
      <w:proofErr w:type="spellEnd"/>
      <w:r w:rsidRPr="00C11AAD">
        <w:t xml:space="preserve"> 10 mg or </w:t>
      </w:r>
      <w:proofErr w:type="spellStart"/>
      <w:r w:rsidRPr="00C11AAD">
        <w:t>empagliflozin</w:t>
      </w:r>
      <w:proofErr w:type="spellEnd"/>
      <w:r w:rsidRPr="00C11AAD">
        <w:t xml:space="preserve"> 10 mg or 25 mg</w:t>
      </w:r>
      <w:r>
        <w:t xml:space="preserve"> (</w:t>
      </w:r>
      <w:r w:rsidRPr="00C11AAD">
        <w:t>once daily</w:t>
      </w:r>
      <w:r>
        <w:t>)</w:t>
      </w:r>
      <w:r w:rsidRPr="00C11AAD">
        <w:t xml:space="preserve">. </w:t>
      </w:r>
    </w:p>
    <w:p w:rsidR="008A537A" w:rsidRDefault="003F15A8" w:rsidP="001774D1">
      <w:pPr>
        <w:pStyle w:val="ListParagraph"/>
        <w:widowControl/>
        <w:numPr>
          <w:ilvl w:val="1"/>
          <w:numId w:val="2"/>
        </w:numPr>
        <w:spacing w:after="120"/>
      </w:pPr>
      <w:r w:rsidRPr="008A537A">
        <w:rPr>
          <w:bCs/>
        </w:rPr>
        <w:t>The PBAC considered that the evidence presented in the submission supported a claim of non-inferior efficacy and safety for</w:t>
      </w:r>
      <w:r w:rsidRPr="00311479">
        <w:rPr>
          <w:bCs/>
        </w:rPr>
        <w:t xml:space="preserve"> </w:t>
      </w:r>
      <w:proofErr w:type="spellStart"/>
      <w:r w:rsidR="008A537A" w:rsidRPr="00C11AAD">
        <w:t>ertugliflozin</w:t>
      </w:r>
      <w:proofErr w:type="spellEnd"/>
      <w:r w:rsidR="008A537A" w:rsidRPr="00C11AAD">
        <w:t xml:space="preserve"> with metformin FDC</w:t>
      </w:r>
      <w:r w:rsidR="00872604">
        <w:t xml:space="preserve"> (2.5 mg </w:t>
      </w:r>
      <w:proofErr w:type="spellStart"/>
      <w:r w:rsidR="00872604" w:rsidRPr="00C11AAD">
        <w:t>ertugliflozin</w:t>
      </w:r>
      <w:proofErr w:type="spellEnd"/>
      <w:r w:rsidR="00872604" w:rsidRPr="00C11AAD">
        <w:t xml:space="preserve"> with </w:t>
      </w:r>
      <w:r w:rsidR="00872604">
        <w:t xml:space="preserve">500 mg metformin, and 2.5 mg </w:t>
      </w:r>
      <w:proofErr w:type="spellStart"/>
      <w:r w:rsidR="00872604">
        <w:t>ertugliflozin</w:t>
      </w:r>
      <w:proofErr w:type="spellEnd"/>
      <w:r w:rsidR="00872604">
        <w:t xml:space="preserve"> with 1 g </w:t>
      </w:r>
      <w:r w:rsidR="00872604" w:rsidRPr="00C11AAD">
        <w:t>metformin</w:t>
      </w:r>
      <w:r w:rsidR="00872604">
        <w:t>)</w:t>
      </w:r>
      <w:r w:rsidR="008A537A" w:rsidRPr="00C11AAD">
        <w:t xml:space="preserve"> </w:t>
      </w:r>
      <w:r>
        <w:t xml:space="preserve">compared to </w:t>
      </w:r>
      <w:r w:rsidR="008A537A" w:rsidRPr="00C11AAD">
        <w:t xml:space="preserve">the individual components. </w:t>
      </w:r>
      <w:r w:rsidR="002720EA">
        <w:t>The PBAC considered that the fixed do</w:t>
      </w:r>
      <w:r w:rsidR="006E3E85">
        <w:t>se</w:t>
      </w:r>
      <w:r w:rsidR="002720EA">
        <w:t xml:space="preserve"> combinations in the included </w:t>
      </w:r>
      <w:proofErr w:type="spellStart"/>
      <w:r w:rsidR="002720EA">
        <w:t>ertugliflozin</w:t>
      </w:r>
      <w:proofErr w:type="spellEnd"/>
      <w:r w:rsidR="002720EA">
        <w:t xml:space="preserve"> studies met the pre-specified bioequivalence margins against the individual components. </w:t>
      </w:r>
      <w:r>
        <w:t xml:space="preserve">The </w:t>
      </w:r>
      <w:proofErr w:type="spellStart"/>
      <w:r>
        <w:t>equi</w:t>
      </w:r>
      <w:proofErr w:type="spellEnd"/>
      <w:r>
        <w:t xml:space="preserve">-effective doses for the FDC </w:t>
      </w:r>
      <w:r w:rsidR="006E3E85">
        <w:t>were considered to be equivalent to the</w:t>
      </w:r>
      <w:r w:rsidR="00D51883">
        <w:t xml:space="preserve"> same dose of</w:t>
      </w:r>
      <w:r w:rsidR="006E3E85">
        <w:t xml:space="preserve"> individual components taken concomitantly</w:t>
      </w:r>
      <w:r w:rsidR="006E427E">
        <w:t>.</w:t>
      </w:r>
    </w:p>
    <w:p w:rsidR="006E427E" w:rsidRDefault="006E427E" w:rsidP="001774D1">
      <w:pPr>
        <w:pStyle w:val="ListParagraph"/>
        <w:widowControl/>
        <w:numPr>
          <w:ilvl w:val="1"/>
          <w:numId w:val="2"/>
        </w:numPr>
        <w:spacing w:after="120"/>
      </w:pPr>
      <w:r>
        <w:lastRenderedPageBreak/>
        <w:t xml:space="preserve">The PBAC considered that there was no statistically significant difference in HbA1c change from baseline between treatment with </w:t>
      </w:r>
      <w:proofErr w:type="spellStart"/>
      <w:r>
        <w:t>ertugliflozin</w:t>
      </w:r>
      <w:proofErr w:type="spellEnd"/>
      <w:r>
        <w:t xml:space="preserve"> 5 mg and </w:t>
      </w:r>
      <w:proofErr w:type="spellStart"/>
      <w:r w:rsidR="007B3234">
        <w:t>dapagliflozin</w:t>
      </w:r>
      <w:proofErr w:type="spellEnd"/>
      <w:r w:rsidR="007B3234">
        <w:t xml:space="preserve"> or </w:t>
      </w:r>
      <w:proofErr w:type="spellStart"/>
      <w:r w:rsidR="007B3234">
        <w:t>empagliflozin</w:t>
      </w:r>
      <w:proofErr w:type="spellEnd"/>
      <w:r>
        <w:t>, with the difference between treat</w:t>
      </w:r>
      <w:r w:rsidR="007B3234">
        <w:t>ments meeting the nominated non</w:t>
      </w:r>
      <w:r w:rsidR="007B3234">
        <w:noBreakHyphen/>
      </w:r>
      <w:r>
        <w:t>inferiority margin (upper 95% CI &lt; 0.40%).</w:t>
      </w:r>
    </w:p>
    <w:p w:rsidR="006E427E" w:rsidRPr="00C11AAD" w:rsidRDefault="006E427E" w:rsidP="001774D1">
      <w:pPr>
        <w:pStyle w:val="ListParagraph"/>
        <w:widowControl/>
        <w:numPr>
          <w:ilvl w:val="1"/>
          <w:numId w:val="2"/>
        </w:numPr>
        <w:spacing w:after="120"/>
      </w:pPr>
      <w:r>
        <w:t xml:space="preserve">The PBAC </w:t>
      </w:r>
      <w:r w:rsidR="00872604">
        <w:t>noted</w:t>
      </w:r>
      <w:r>
        <w:t xml:space="preserve"> that there was no statistically significant difference in HbA1c responders at </w:t>
      </w:r>
      <w:r w:rsidR="00B90BF6">
        <w:t xml:space="preserve">Week 24/26 between </w:t>
      </w:r>
      <w:proofErr w:type="spellStart"/>
      <w:r w:rsidR="00B90BF6">
        <w:t>ertugliflozin</w:t>
      </w:r>
      <w:proofErr w:type="spellEnd"/>
      <w:r w:rsidR="00B90BF6">
        <w:t xml:space="preserve">, </w:t>
      </w:r>
      <w:proofErr w:type="spellStart"/>
      <w:r w:rsidR="00B90BF6">
        <w:t>dapagliflozin</w:t>
      </w:r>
      <w:proofErr w:type="spellEnd"/>
      <w:r w:rsidR="00B90BF6">
        <w:t xml:space="preserve"> and </w:t>
      </w:r>
      <w:proofErr w:type="spellStart"/>
      <w:r w:rsidR="00B90BF6">
        <w:t>empagliflozin</w:t>
      </w:r>
      <w:proofErr w:type="spellEnd"/>
      <w:r w:rsidR="00B90BF6">
        <w:t xml:space="preserve"> treatment groups.</w:t>
      </w:r>
    </w:p>
    <w:p w:rsidR="00B90BF6" w:rsidRDefault="00B90BF6" w:rsidP="00543562">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overall, the adverse events observed in the included </w:t>
      </w:r>
      <w:proofErr w:type="spellStart"/>
      <w:r>
        <w:rPr>
          <w:rFonts w:asciiTheme="minorHAnsi" w:hAnsiTheme="minorHAnsi"/>
          <w:bCs/>
          <w:lang w:val="en-GB"/>
        </w:rPr>
        <w:t>ertugliflozin</w:t>
      </w:r>
      <w:proofErr w:type="spellEnd"/>
      <w:r w:rsidR="0015649C">
        <w:rPr>
          <w:rFonts w:asciiTheme="minorHAnsi" w:hAnsiTheme="minorHAnsi"/>
          <w:bCs/>
          <w:lang w:val="en-GB"/>
        </w:rPr>
        <w:t xml:space="preserve"> 5 mg</w:t>
      </w:r>
      <w:r>
        <w:rPr>
          <w:rFonts w:asciiTheme="minorHAnsi" w:hAnsiTheme="minorHAnsi"/>
          <w:bCs/>
          <w:lang w:val="en-GB"/>
        </w:rPr>
        <w:t xml:space="preserve"> trials occurred in relatively few patients and were consistent with the known safety profile of SGLT2 inhibitors.</w:t>
      </w:r>
      <w:r w:rsidR="00543562">
        <w:rPr>
          <w:rFonts w:asciiTheme="minorHAnsi" w:hAnsiTheme="minorHAnsi"/>
          <w:bCs/>
          <w:lang w:val="en-GB"/>
        </w:rPr>
        <w:t xml:space="preserve"> The PBAC noted that the TGA delegate considered that the </w:t>
      </w:r>
      <w:r w:rsidR="00543562" w:rsidRPr="00543562">
        <w:rPr>
          <w:rFonts w:asciiTheme="minorHAnsi" w:hAnsiTheme="minorHAnsi"/>
          <w:bCs/>
          <w:lang w:val="en-GB"/>
        </w:rPr>
        <w:t xml:space="preserve">rate of </w:t>
      </w:r>
      <w:r w:rsidR="00543562">
        <w:rPr>
          <w:rFonts w:asciiTheme="minorHAnsi" w:hAnsiTheme="minorHAnsi"/>
          <w:bCs/>
          <w:lang w:val="en-GB"/>
        </w:rPr>
        <w:t>adverse events</w:t>
      </w:r>
      <w:r w:rsidR="00543562" w:rsidRPr="00543562">
        <w:rPr>
          <w:rFonts w:asciiTheme="minorHAnsi" w:hAnsiTheme="minorHAnsi"/>
          <w:bCs/>
          <w:lang w:val="en-GB"/>
        </w:rPr>
        <w:t xml:space="preserve"> was higher for the patients taking a 15</w:t>
      </w:r>
      <w:r w:rsidR="009B4098">
        <w:rPr>
          <w:rFonts w:asciiTheme="minorHAnsi" w:hAnsiTheme="minorHAnsi"/>
          <w:bCs/>
          <w:lang w:val="en-GB"/>
        </w:rPr>
        <w:t xml:space="preserve"> </w:t>
      </w:r>
      <w:r w:rsidR="00543562" w:rsidRPr="00543562">
        <w:rPr>
          <w:rFonts w:asciiTheme="minorHAnsi" w:hAnsiTheme="minorHAnsi"/>
          <w:bCs/>
          <w:lang w:val="en-GB"/>
        </w:rPr>
        <w:t>mg dose.</w:t>
      </w:r>
      <w:r w:rsidR="00543562">
        <w:rPr>
          <w:rFonts w:asciiTheme="minorHAnsi" w:hAnsiTheme="minorHAnsi"/>
          <w:bCs/>
          <w:lang w:val="en-GB"/>
        </w:rPr>
        <w:t xml:space="preserve"> </w:t>
      </w:r>
    </w:p>
    <w:p w:rsidR="00C1007F" w:rsidRDefault="00527738" w:rsidP="007B1A65">
      <w:pPr>
        <w:numPr>
          <w:ilvl w:val="1"/>
          <w:numId w:val="2"/>
        </w:numPr>
        <w:spacing w:after="120"/>
        <w:rPr>
          <w:rFonts w:asciiTheme="minorHAnsi" w:hAnsiTheme="minorHAnsi"/>
          <w:bCs/>
          <w:lang w:val="en-GB"/>
        </w:rPr>
      </w:pPr>
      <w:r>
        <w:rPr>
          <w:rFonts w:asciiTheme="minorHAnsi" w:hAnsiTheme="minorHAnsi"/>
          <w:bCs/>
          <w:lang w:val="en-GB"/>
        </w:rPr>
        <w:t>In making their recommendation for listing</w:t>
      </w:r>
      <w:r w:rsidR="00B90BF6">
        <w:rPr>
          <w:rFonts w:asciiTheme="minorHAnsi" w:hAnsiTheme="minorHAnsi"/>
          <w:bCs/>
          <w:lang w:val="en-GB"/>
        </w:rPr>
        <w:t>,</w:t>
      </w:r>
      <w:r>
        <w:rPr>
          <w:rFonts w:asciiTheme="minorHAnsi" w:hAnsiTheme="minorHAnsi"/>
          <w:bCs/>
          <w:lang w:val="en-GB"/>
        </w:rPr>
        <w:t xml:space="preserve"> the</w:t>
      </w:r>
      <w:r w:rsidR="001774D1">
        <w:rPr>
          <w:rFonts w:asciiTheme="minorHAnsi" w:hAnsiTheme="minorHAnsi"/>
          <w:bCs/>
          <w:lang w:val="en-GB"/>
        </w:rPr>
        <w:t xml:space="preserve"> PBAC</w:t>
      </w:r>
      <w:r w:rsidR="00B20C0C">
        <w:rPr>
          <w:rFonts w:asciiTheme="minorHAnsi" w:hAnsiTheme="minorHAnsi"/>
          <w:bCs/>
          <w:lang w:val="en-GB"/>
        </w:rPr>
        <w:t xml:space="preserve"> noted that the 15 mg </w:t>
      </w:r>
      <w:r w:rsidR="0015649C">
        <w:rPr>
          <w:rFonts w:asciiTheme="minorHAnsi" w:hAnsiTheme="minorHAnsi"/>
          <w:bCs/>
          <w:lang w:val="en-GB"/>
        </w:rPr>
        <w:t xml:space="preserve">dose </w:t>
      </w:r>
      <w:r w:rsidR="00B20C0C">
        <w:rPr>
          <w:rFonts w:asciiTheme="minorHAnsi" w:hAnsiTheme="minorHAnsi"/>
          <w:bCs/>
          <w:lang w:val="en-GB"/>
        </w:rPr>
        <w:t xml:space="preserve">strength of </w:t>
      </w:r>
      <w:proofErr w:type="spellStart"/>
      <w:r w:rsidR="00B20C0C">
        <w:rPr>
          <w:rFonts w:asciiTheme="minorHAnsi" w:hAnsiTheme="minorHAnsi"/>
          <w:bCs/>
          <w:lang w:val="en-GB"/>
        </w:rPr>
        <w:t>ertugliflozin</w:t>
      </w:r>
      <w:proofErr w:type="spellEnd"/>
      <w:r w:rsidR="00B20C0C">
        <w:rPr>
          <w:rFonts w:asciiTheme="minorHAnsi" w:hAnsiTheme="minorHAnsi"/>
          <w:bCs/>
          <w:lang w:val="en-GB"/>
        </w:rPr>
        <w:t xml:space="preserve"> did not receive a positive recommendation in the TGA Delegate’s O</w:t>
      </w:r>
      <w:r w:rsidR="00B90BF6">
        <w:rPr>
          <w:rFonts w:asciiTheme="minorHAnsi" w:hAnsiTheme="minorHAnsi"/>
          <w:bCs/>
          <w:lang w:val="en-GB"/>
        </w:rPr>
        <w:t>verview</w:t>
      </w:r>
      <w:r w:rsidR="007B3234">
        <w:rPr>
          <w:rFonts w:asciiTheme="minorHAnsi" w:hAnsiTheme="minorHAnsi"/>
          <w:bCs/>
          <w:lang w:val="en-GB"/>
        </w:rPr>
        <w:t>,</w:t>
      </w:r>
      <w:r w:rsidR="00B90BF6">
        <w:rPr>
          <w:rFonts w:asciiTheme="minorHAnsi" w:hAnsiTheme="minorHAnsi"/>
          <w:bCs/>
          <w:lang w:val="en-GB"/>
        </w:rPr>
        <w:t xml:space="preserve"> </w:t>
      </w:r>
      <w:r w:rsidR="003E6C2E">
        <w:rPr>
          <w:rFonts w:asciiTheme="minorHAnsi" w:hAnsiTheme="minorHAnsi"/>
          <w:bCs/>
          <w:noProof/>
          <w:color w:val="000000"/>
          <w:highlight w:val="black"/>
          <w:lang w:val="en-GB"/>
        </w:rPr>
        <w:t>''''''''''''' '''''''''''''''''''' '''''''' ''''''''''''' ''''''''''''''''''' '''''''' '''''''''''''''''''''''''' ''''''''' ''''''''''' '''''' '''''''''''''''''''' '''' '''''''''''''''''''''''' ''''''' '''''''''''''''''''''''' ''''''''''''' ''''' ''''''' '''''''''' '''''''''''''''</w:t>
      </w:r>
      <w:r w:rsidR="003A6EB6">
        <w:rPr>
          <w:rFonts w:asciiTheme="minorHAnsi" w:hAnsiTheme="minorHAnsi"/>
          <w:bCs/>
          <w:lang w:val="en-GB"/>
        </w:rPr>
        <w:t>. The PBAC also advised that</w:t>
      </w:r>
      <w:r w:rsidR="00543562">
        <w:rPr>
          <w:rFonts w:asciiTheme="minorHAnsi" w:hAnsiTheme="minorHAnsi"/>
          <w:bCs/>
          <w:lang w:val="en-GB"/>
        </w:rPr>
        <w:t xml:space="preserve"> no direct evidence was provided to indicate that there w</w:t>
      </w:r>
      <w:r w:rsidR="0015649C">
        <w:rPr>
          <w:rFonts w:asciiTheme="minorHAnsi" w:hAnsiTheme="minorHAnsi"/>
          <w:bCs/>
          <w:lang w:val="en-GB"/>
        </w:rPr>
        <w:t>ere</w:t>
      </w:r>
      <w:r w:rsidR="00543562">
        <w:rPr>
          <w:rFonts w:asciiTheme="minorHAnsi" w:hAnsiTheme="minorHAnsi"/>
          <w:bCs/>
          <w:lang w:val="en-GB"/>
        </w:rPr>
        <w:t xml:space="preserve"> improved outcomes from an increase </w:t>
      </w:r>
      <w:r w:rsidR="0015649C">
        <w:rPr>
          <w:rFonts w:asciiTheme="minorHAnsi" w:hAnsiTheme="minorHAnsi"/>
          <w:bCs/>
          <w:lang w:val="en-GB"/>
        </w:rPr>
        <w:t>in</w:t>
      </w:r>
      <w:r w:rsidR="00543562">
        <w:rPr>
          <w:rFonts w:asciiTheme="minorHAnsi" w:hAnsiTheme="minorHAnsi"/>
          <w:bCs/>
          <w:lang w:val="en-GB"/>
        </w:rPr>
        <w:t xml:space="preserve"> dose f</w:t>
      </w:r>
      <w:r w:rsidR="0015649C">
        <w:rPr>
          <w:rFonts w:asciiTheme="minorHAnsi" w:hAnsiTheme="minorHAnsi"/>
          <w:bCs/>
          <w:lang w:val="en-GB"/>
        </w:rPr>
        <w:t>rom</w:t>
      </w:r>
      <w:r w:rsidR="00543562">
        <w:rPr>
          <w:rFonts w:asciiTheme="minorHAnsi" w:hAnsiTheme="minorHAnsi"/>
          <w:bCs/>
          <w:lang w:val="en-GB"/>
        </w:rPr>
        <w:t xml:space="preserve"> 5 to 15 mg</w:t>
      </w:r>
      <w:r w:rsidR="008126EE">
        <w:rPr>
          <w:rFonts w:asciiTheme="minorHAnsi" w:hAnsiTheme="minorHAnsi"/>
          <w:bCs/>
          <w:lang w:val="en-GB"/>
        </w:rPr>
        <w:t xml:space="preserve"> </w:t>
      </w:r>
      <w:r w:rsidR="00543562">
        <w:rPr>
          <w:rFonts w:asciiTheme="minorHAnsi" w:hAnsiTheme="minorHAnsi"/>
          <w:bCs/>
          <w:lang w:val="en-GB"/>
        </w:rPr>
        <w:t xml:space="preserve">in patients with poor glycaemic control on the 5 mg </w:t>
      </w:r>
      <w:proofErr w:type="spellStart"/>
      <w:r w:rsidR="008126EE">
        <w:rPr>
          <w:rFonts w:asciiTheme="minorHAnsi" w:hAnsiTheme="minorHAnsi"/>
          <w:bCs/>
          <w:lang w:val="en-GB"/>
        </w:rPr>
        <w:t>ertugliflozin</w:t>
      </w:r>
      <w:proofErr w:type="spellEnd"/>
      <w:r w:rsidR="008126EE">
        <w:rPr>
          <w:rFonts w:asciiTheme="minorHAnsi" w:hAnsiTheme="minorHAnsi"/>
          <w:bCs/>
          <w:lang w:val="en-GB"/>
        </w:rPr>
        <w:t xml:space="preserve"> </w:t>
      </w:r>
      <w:r w:rsidR="00543562">
        <w:rPr>
          <w:rFonts w:asciiTheme="minorHAnsi" w:hAnsiTheme="minorHAnsi"/>
          <w:bCs/>
          <w:lang w:val="en-GB"/>
        </w:rPr>
        <w:t>dose</w:t>
      </w:r>
      <w:r w:rsidR="003A6EB6">
        <w:rPr>
          <w:rFonts w:asciiTheme="minorHAnsi" w:hAnsiTheme="minorHAnsi"/>
          <w:bCs/>
          <w:lang w:val="en-GB"/>
        </w:rPr>
        <w:t>,</w:t>
      </w:r>
      <w:r w:rsidR="00872604" w:rsidRPr="00872604">
        <w:rPr>
          <w:rFonts w:asciiTheme="minorHAnsi" w:hAnsiTheme="minorHAnsi"/>
          <w:bCs/>
          <w:lang w:val="en-GB"/>
        </w:rPr>
        <w:t xml:space="preserve"> </w:t>
      </w:r>
      <w:r w:rsidR="00872604">
        <w:rPr>
          <w:rFonts w:asciiTheme="minorHAnsi" w:hAnsiTheme="minorHAnsi"/>
          <w:bCs/>
          <w:lang w:val="en-GB"/>
        </w:rPr>
        <w:t xml:space="preserve">and therefore the clinical need for availability of the 15 mg dose strength of </w:t>
      </w:r>
      <w:proofErr w:type="spellStart"/>
      <w:r w:rsidR="00872604">
        <w:rPr>
          <w:rFonts w:asciiTheme="minorHAnsi" w:hAnsiTheme="minorHAnsi"/>
          <w:bCs/>
          <w:lang w:val="en-GB"/>
        </w:rPr>
        <w:t>ertugliflozin</w:t>
      </w:r>
      <w:proofErr w:type="spellEnd"/>
      <w:r w:rsidR="00872604">
        <w:rPr>
          <w:rFonts w:asciiTheme="minorHAnsi" w:hAnsiTheme="minorHAnsi"/>
          <w:bCs/>
          <w:lang w:val="en-GB"/>
        </w:rPr>
        <w:t xml:space="preserve"> to the market had not been established</w:t>
      </w:r>
      <w:r w:rsidR="001774D1">
        <w:rPr>
          <w:rFonts w:asciiTheme="minorHAnsi" w:hAnsiTheme="minorHAnsi"/>
          <w:bCs/>
          <w:lang w:val="en-GB"/>
        </w:rPr>
        <w:t xml:space="preserve">. </w:t>
      </w:r>
    </w:p>
    <w:p w:rsidR="006B6B1E" w:rsidRDefault="006B6B1E" w:rsidP="007B1A65">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the proposed restriction for </w:t>
      </w:r>
      <w:proofErr w:type="spellStart"/>
      <w:r>
        <w:rPr>
          <w:rFonts w:asciiTheme="minorHAnsi" w:hAnsiTheme="minorHAnsi"/>
          <w:bCs/>
          <w:lang w:val="en-GB"/>
        </w:rPr>
        <w:t>ertugliflozin</w:t>
      </w:r>
      <w:proofErr w:type="spellEnd"/>
      <w:r>
        <w:rPr>
          <w:rFonts w:asciiTheme="minorHAnsi" w:hAnsiTheme="minorHAnsi"/>
          <w:bCs/>
          <w:lang w:val="en-GB"/>
        </w:rPr>
        <w:t xml:space="preserve"> (dual therapy only) being narrower than other available PBS listed </w:t>
      </w:r>
      <w:r w:rsidR="003A6EB6">
        <w:rPr>
          <w:rFonts w:asciiTheme="minorHAnsi" w:hAnsiTheme="minorHAnsi"/>
          <w:bCs/>
          <w:lang w:val="en-GB"/>
        </w:rPr>
        <w:t>SGLT2</w:t>
      </w:r>
      <w:r>
        <w:rPr>
          <w:rFonts w:asciiTheme="minorHAnsi" w:hAnsiTheme="minorHAnsi"/>
          <w:bCs/>
          <w:lang w:val="en-GB"/>
        </w:rPr>
        <w:t xml:space="preserve"> therapies may </w:t>
      </w:r>
      <w:r w:rsidR="00604ACB">
        <w:rPr>
          <w:rFonts w:asciiTheme="minorHAnsi" w:hAnsiTheme="minorHAnsi"/>
          <w:bCs/>
          <w:lang w:val="en-GB"/>
        </w:rPr>
        <w:t>cause confusion amongst physicians and lead to</w:t>
      </w:r>
      <w:r>
        <w:rPr>
          <w:rFonts w:asciiTheme="minorHAnsi" w:hAnsiTheme="minorHAnsi"/>
          <w:bCs/>
          <w:lang w:val="en-GB"/>
        </w:rPr>
        <w:t xml:space="preserve"> potential leakage outside the proposed restriction.</w:t>
      </w:r>
      <w:r w:rsidR="00DD67DF">
        <w:rPr>
          <w:rFonts w:asciiTheme="minorHAnsi" w:hAnsiTheme="minorHAnsi"/>
          <w:bCs/>
          <w:lang w:val="en-GB"/>
        </w:rPr>
        <w:t xml:space="preserve"> It therefore recommended the addition of appropriate wording in the administrative advice to preclude the use of </w:t>
      </w:r>
      <w:proofErr w:type="spellStart"/>
      <w:r w:rsidR="00DD67DF">
        <w:rPr>
          <w:rFonts w:asciiTheme="minorHAnsi" w:hAnsiTheme="minorHAnsi"/>
          <w:bCs/>
          <w:lang w:val="en-GB"/>
        </w:rPr>
        <w:t>ert</w:t>
      </w:r>
      <w:r w:rsidR="003548E7">
        <w:rPr>
          <w:rFonts w:asciiTheme="minorHAnsi" w:hAnsiTheme="minorHAnsi"/>
          <w:bCs/>
          <w:lang w:val="en-GB"/>
        </w:rPr>
        <w:t>u</w:t>
      </w:r>
      <w:r w:rsidR="00DD67DF">
        <w:rPr>
          <w:rFonts w:asciiTheme="minorHAnsi" w:hAnsiTheme="minorHAnsi"/>
          <w:bCs/>
          <w:lang w:val="en-GB"/>
        </w:rPr>
        <w:t>gliflozin</w:t>
      </w:r>
      <w:proofErr w:type="spellEnd"/>
      <w:r w:rsidR="00DD67DF">
        <w:rPr>
          <w:rFonts w:asciiTheme="minorHAnsi" w:hAnsiTheme="minorHAnsi"/>
          <w:bCs/>
          <w:lang w:val="en-GB"/>
        </w:rPr>
        <w:t xml:space="preserve"> in triple therapy.</w:t>
      </w:r>
      <w:r>
        <w:rPr>
          <w:rFonts w:asciiTheme="minorHAnsi" w:hAnsiTheme="minorHAnsi"/>
          <w:bCs/>
          <w:lang w:val="en-GB"/>
        </w:rPr>
        <w:t xml:space="preserve"> </w:t>
      </w:r>
    </w:p>
    <w:p w:rsidR="006B6B1E" w:rsidRDefault="00604ACB" w:rsidP="007B1A65">
      <w:pPr>
        <w:numPr>
          <w:ilvl w:val="1"/>
          <w:numId w:val="2"/>
        </w:numPr>
        <w:spacing w:after="120"/>
        <w:rPr>
          <w:rFonts w:asciiTheme="minorHAnsi" w:hAnsiTheme="minorHAnsi"/>
          <w:bCs/>
          <w:lang w:val="en-GB"/>
        </w:rPr>
      </w:pPr>
      <w:r>
        <w:rPr>
          <w:rFonts w:asciiTheme="minorHAnsi" w:hAnsiTheme="minorHAnsi"/>
          <w:bCs/>
          <w:lang w:val="en-GB"/>
        </w:rPr>
        <w:t xml:space="preserve">The PBAC considered that the growth rate assumption regarding SGLT2 inhibitors </w:t>
      </w:r>
      <w:r w:rsidR="00DD67DF">
        <w:rPr>
          <w:rFonts w:asciiTheme="minorHAnsi" w:hAnsiTheme="minorHAnsi"/>
          <w:bCs/>
          <w:lang w:val="en-GB"/>
        </w:rPr>
        <w:t xml:space="preserve">in the financial estimates </w:t>
      </w:r>
      <w:r>
        <w:rPr>
          <w:rFonts w:asciiTheme="minorHAnsi" w:hAnsiTheme="minorHAnsi"/>
          <w:bCs/>
          <w:lang w:val="en-GB"/>
        </w:rPr>
        <w:t xml:space="preserve">was uncertain given the changes to the dynamics of the </w:t>
      </w:r>
      <w:r w:rsidR="003A6EB6">
        <w:rPr>
          <w:rFonts w:asciiTheme="minorHAnsi" w:hAnsiTheme="minorHAnsi"/>
          <w:bCs/>
          <w:lang w:val="en-GB"/>
        </w:rPr>
        <w:t>SGLT2</w:t>
      </w:r>
      <w:r>
        <w:rPr>
          <w:rFonts w:asciiTheme="minorHAnsi" w:hAnsiTheme="minorHAnsi"/>
          <w:bCs/>
          <w:lang w:val="en-GB"/>
        </w:rPr>
        <w:t xml:space="preserve"> market.</w:t>
      </w:r>
    </w:p>
    <w:p w:rsidR="00C1007F" w:rsidRDefault="00C1007F" w:rsidP="00A57319">
      <w:pPr>
        <w:pStyle w:val="ListParagraph"/>
        <w:numPr>
          <w:ilvl w:val="1"/>
          <w:numId w:val="2"/>
        </w:numPr>
        <w:spacing w:after="120"/>
        <w:rPr>
          <w:rFonts w:asciiTheme="minorHAnsi" w:eastAsiaTheme="minorHAnsi" w:hAnsiTheme="minorHAnsi" w:cstheme="minorBidi"/>
          <w:snapToGrid/>
        </w:rPr>
      </w:pPr>
      <w:r w:rsidRPr="00BA29CC">
        <w:rPr>
          <w:rFonts w:asciiTheme="minorHAnsi" w:eastAsiaTheme="minorHAnsi" w:hAnsiTheme="minorHAnsi" w:cstheme="minorBidi"/>
          <w:snapToGrid/>
        </w:rPr>
        <w:t xml:space="preserve">The PBAC advised that, under subsection 101(3BA) of the </w:t>
      </w:r>
      <w:r w:rsidR="0015649C">
        <w:rPr>
          <w:rFonts w:asciiTheme="minorHAnsi" w:eastAsiaTheme="minorHAnsi" w:hAnsiTheme="minorHAnsi" w:cstheme="minorBidi"/>
          <w:i/>
          <w:snapToGrid/>
        </w:rPr>
        <w:t>National Health Act</w:t>
      </w:r>
      <w:r w:rsidRPr="0015649C">
        <w:rPr>
          <w:rFonts w:asciiTheme="minorHAnsi" w:eastAsiaTheme="minorHAnsi" w:hAnsiTheme="minorHAnsi" w:cstheme="minorBidi"/>
          <w:i/>
          <w:snapToGrid/>
        </w:rPr>
        <w:t xml:space="preserve"> 1953</w:t>
      </w:r>
      <w:r w:rsidRPr="00BA29CC">
        <w:rPr>
          <w:rFonts w:asciiTheme="minorHAnsi" w:eastAsiaTheme="minorHAnsi" w:hAnsiTheme="minorHAnsi" w:cstheme="minorBidi"/>
          <w:snapToGrid/>
        </w:rPr>
        <w:t xml:space="preserve"> </w:t>
      </w:r>
      <w:proofErr w:type="spellStart"/>
      <w:r w:rsidR="003A6EB6">
        <w:rPr>
          <w:rFonts w:asciiTheme="minorHAnsi" w:eastAsiaTheme="minorHAnsi" w:hAnsiTheme="minorHAnsi" w:cstheme="minorBidi"/>
          <w:snapToGrid/>
        </w:rPr>
        <w:t>ertugliflozin</w:t>
      </w:r>
      <w:proofErr w:type="spellEnd"/>
      <w:r w:rsidR="003A6EB6">
        <w:rPr>
          <w:rFonts w:asciiTheme="minorHAnsi" w:eastAsiaTheme="minorHAnsi" w:hAnsiTheme="minorHAnsi" w:cstheme="minorBidi"/>
          <w:snapToGrid/>
        </w:rPr>
        <w:t xml:space="preserve">  and</w:t>
      </w:r>
      <w:r w:rsidR="00A57319">
        <w:rPr>
          <w:rFonts w:asciiTheme="minorHAnsi" w:eastAsiaTheme="minorHAnsi" w:hAnsiTheme="minorHAnsi" w:cstheme="minorBidi"/>
          <w:snapToGrid/>
        </w:rPr>
        <w:t xml:space="preserve"> </w:t>
      </w:r>
      <w:proofErr w:type="spellStart"/>
      <w:r w:rsidR="00A57319">
        <w:rPr>
          <w:rFonts w:asciiTheme="minorHAnsi" w:eastAsiaTheme="minorHAnsi" w:hAnsiTheme="minorHAnsi" w:cstheme="minorBidi"/>
          <w:snapToGrid/>
        </w:rPr>
        <w:t>ertugliflozin</w:t>
      </w:r>
      <w:proofErr w:type="spellEnd"/>
      <w:r w:rsidRPr="00BA29CC">
        <w:rPr>
          <w:rFonts w:asciiTheme="minorHAnsi" w:eastAsiaTheme="minorHAnsi" w:hAnsiTheme="minorHAnsi" w:cstheme="minorBidi"/>
          <w:snapToGrid/>
        </w:rPr>
        <w:t xml:space="preserve"> with </w:t>
      </w:r>
      <w:r w:rsidR="00A57319">
        <w:rPr>
          <w:rFonts w:asciiTheme="minorHAnsi" w:eastAsiaTheme="minorHAnsi" w:hAnsiTheme="minorHAnsi" w:cstheme="minorBidi"/>
          <w:snapToGrid/>
        </w:rPr>
        <w:t>metformin</w:t>
      </w:r>
      <w:r w:rsidRPr="00BA29CC">
        <w:rPr>
          <w:rFonts w:asciiTheme="minorHAnsi" w:eastAsiaTheme="minorHAnsi" w:hAnsiTheme="minorHAnsi" w:cstheme="minorBidi"/>
          <w:snapToGrid/>
        </w:rPr>
        <w:t xml:space="preserve"> should be treated as interchangeable on an individual patient basis with </w:t>
      </w:r>
      <w:proofErr w:type="spellStart"/>
      <w:r w:rsidR="00A57319">
        <w:rPr>
          <w:rFonts w:asciiTheme="minorHAnsi" w:eastAsiaTheme="minorHAnsi" w:hAnsiTheme="minorHAnsi" w:cstheme="minorBidi"/>
          <w:snapToGrid/>
        </w:rPr>
        <w:t>dapagliflozin</w:t>
      </w:r>
      <w:proofErr w:type="spellEnd"/>
      <w:r w:rsidR="00A57319">
        <w:rPr>
          <w:rFonts w:asciiTheme="minorHAnsi" w:eastAsiaTheme="minorHAnsi" w:hAnsiTheme="minorHAnsi" w:cstheme="minorBidi"/>
          <w:snapToGrid/>
        </w:rPr>
        <w:t xml:space="preserve"> and </w:t>
      </w:r>
      <w:proofErr w:type="spellStart"/>
      <w:r w:rsidRPr="00BA29CC">
        <w:rPr>
          <w:rFonts w:asciiTheme="minorHAnsi" w:eastAsiaTheme="minorHAnsi" w:hAnsiTheme="minorHAnsi" w:cstheme="minorBidi"/>
          <w:snapToGrid/>
        </w:rPr>
        <w:t>empagliflozin</w:t>
      </w:r>
      <w:proofErr w:type="spellEnd"/>
      <w:r w:rsidR="00A57319">
        <w:rPr>
          <w:rFonts w:asciiTheme="minorHAnsi" w:eastAsiaTheme="minorHAnsi" w:hAnsiTheme="minorHAnsi" w:cstheme="minorBidi"/>
          <w:snapToGrid/>
        </w:rPr>
        <w:t>, and their corresponding fixed dose combinations with metformin</w:t>
      </w:r>
      <w:r w:rsidR="003A6EB6">
        <w:rPr>
          <w:rFonts w:asciiTheme="minorHAnsi" w:eastAsiaTheme="minorHAnsi" w:hAnsiTheme="minorHAnsi" w:cstheme="minorBidi"/>
          <w:snapToGrid/>
        </w:rPr>
        <w:t>,</w:t>
      </w:r>
      <w:r w:rsidR="00A57319">
        <w:rPr>
          <w:rFonts w:asciiTheme="minorHAnsi" w:eastAsiaTheme="minorHAnsi" w:hAnsiTheme="minorHAnsi" w:cstheme="minorBidi"/>
          <w:snapToGrid/>
        </w:rPr>
        <w:t xml:space="preserve"> respectively</w:t>
      </w:r>
      <w:r w:rsidRPr="00BA29CC">
        <w:rPr>
          <w:rFonts w:asciiTheme="minorHAnsi" w:eastAsiaTheme="minorHAnsi" w:hAnsiTheme="minorHAnsi" w:cstheme="minorBidi"/>
          <w:snapToGrid/>
        </w:rPr>
        <w:t xml:space="preserve">. </w:t>
      </w:r>
    </w:p>
    <w:p w:rsidR="00A57319" w:rsidRPr="00E850A7" w:rsidRDefault="00A57319" w:rsidP="00A57319">
      <w:pPr>
        <w:numPr>
          <w:ilvl w:val="1"/>
          <w:numId w:val="2"/>
        </w:numPr>
        <w:spacing w:after="120"/>
        <w:rPr>
          <w:bCs/>
        </w:rPr>
      </w:pPr>
      <w:r w:rsidRPr="00BC0FE9">
        <w:rPr>
          <w:bCs/>
          <w:szCs w:val="24"/>
        </w:rPr>
        <w:t>The PBAC advised</w:t>
      </w:r>
      <w:r w:rsidRPr="00E850A7">
        <w:rPr>
          <w:bCs/>
        </w:rPr>
        <w:t xml:space="preserve"> that </w:t>
      </w:r>
      <w:proofErr w:type="spellStart"/>
      <w:r w:rsidR="003A6EB6">
        <w:rPr>
          <w:bCs/>
        </w:rPr>
        <w:t>ertugliflozin</w:t>
      </w:r>
      <w:proofErr w:type="spellEnd"/>
      <w:r w:rsidR="003A6EB6">
        <w:rPr>
          <w:bCs/>
        </w:rPr>
        <w:t xml:space="preserve"> and</w:t>
      </w:r>
      <w:r w:rsidR="00C362CE">
        <w:rPr>
          <w:bCs/>
        </w:rPr>
        <w:t xml:space="preserve"> </w:t>
      </w:r>
      <w:proofErr w:type="spellStart"/>
      <w:r w:rsidR="00C362CE">
        <w:rPr>
          <w:bCs/>
        </w:rPr>
        <w:t>ertugliflozin</w:t>
      </w:r>
      <w:proofErr w:type="spellEnd"/>
      <w:r w:rsidR="00C362CE">
        <w:rPr>
          <w:bCs/>
        </w:rPr>
        <w:t xml:space="preserve"> with metformin</w:t>
      </w:r>
      <w:r w:rsidRPr="00E850A7">
        <w:rPr>
          <w:bCs/>
        </w:rPr>
        <w:t xml:space="preserve"> is suitable for prescribing by nurse practitioners for continuing therapy only</w:t>
      </w:r>
      <w:r w:rsidR="00C362CE">
        <w:rPr>
          <w:bCs/>
        </w:rPr>
        <w:t>, consistent with the current PBS listings for other SGLT2 inhibitors</w:t>
      </w:r>
      <w:r w:rsidRPr="00E850A7">
        <w:rPr>
          <w:bCs/>
        </w:rPr>
        <w:t xml:space="preserve">. </w:t>
      </w:r>
    </w:p>
    <w:p w:rsidR="00A57319" w:rsidRDefault="00A57319" w:rsidP="00A57319">
      <w:pPr>
        <w:numPr>
          <w:ilvl w:val="1"/>
          <w:numId w:val="2"/>
        </w:numPr>
        <w:spacing w:after="120"/>
        <w:rPr>
          <w:bCs/>
        </w:rPr>
      </w:pPr>
      <w:r w:rsidRPr="00E850A7">
        <w:rPr>
          <w:bCs/>
        </w:rPr>
        <w:t>The PBAC recommended that the Early Supply Rule should apply</w:t>
      </w:r>
      <w:r w:rsidR="00C362CE">
        <w:rPr>
          <w:bCs/>
        </w:rPr>
        <w:t xml:space="preserve"> to </w:t>
      </w:r>
      <w:proofErr w:type="spellStart"/>
      <w:r w:rsidR="00C362CE">
        <w:rPr>
          <w:bCs/>
        </w:rPr>
        <w:t>ertugliflozin</w:t>
      </w:r>
      <w:proofErr w:type="spellEnd"/>
      <w:r w:rsidR="00C362CE">
        <w:rPr>
          <w:bCs/>
        </w:rPr>
        <w:t xml:space="preserve"> </w:t>
      </w:r>
      <w:r w:rsidR="003A6EB6">
        <w:rPr>
          <w:bCs/>
        </w:rPr>
        <w:t>and</w:t>
      </w:r>
      <w:r w:rsidR="00C362CE">
        <w:rPr>
          <w:bCs/>
        </w:rPr>
        <w:t xml:space="preserve"> </w:t>
      </w:r>
      <w:proofErr w:type="spellStart"/>
      <w:r w:rsidR="00C362CE">
        <w:rPr>
          <w:bCs/>
        </w:rPr>
        <w:t>ertuglif</w:t>
      </w:r>
      <w:r w:rsidR="00712240">
        <w:rPr>
          <w:bCs/>
        </w:rPr>
        <w:t>l</w:t>
      </w:r>
      <w:r w:rsidR="00C362CE">
        <w:rPr>
          <w:bCs/>
        </w:rPr>
        <w:t>ozin</w:t>
      </w:r>
      <w:proofErr w:type="spellEnd"/>
      <w:r w:rsidR="00C362CE">
        <w:rPr>
          <w:bCs/>
        </w:rPr>
        <w:t xml:space="preserve"> with metformin as the Early Supply Rule applies to the current PBS listings for other SGLT2 inhibitors</w:t>
      </w:r>
      <w:r w:rsidRPr="00E850A7">
        <w:rPr>
          <w:bCs/>
        </w:rPr>
        <w:t xml:space="preserve">. </w:t>
      </w:r>
    </w:p>
    <w:p w:rsidR="00C362CE" w:rsidRPr="0075757F" w:rsidRDefault="00C362CE" w:rsidP="00C362CE">
      <w:pPr>
        <w:pStyle w:val="ListParagraph"/>
        <w:widowControl/>
        <w:numPr>
          <w:ilvl w:val="1"/>
          <w:numId w:val="2"/>
        </w:numPr>
        <w:spacing w:after="120"/>
        <w:rPr>
          <w:rFonts w:asciiTheme="minorHAnsi" w:eastAsiaTheme="minorHAnsi" w:hAnsiTheme="minorHAnsi" w:cstheme="minorBidi"/>
          <w:snapToGrid/>
        </w:rPr>
      </w:pPr>
      <w:r w:rsidRPr="0075757F">
        <w:rPr>
          <w:rFonts w:asciiTheme="minorHAnsi" w:eastAsiaTheme="minorHAnsi" w:hAnsiTheme="minorHAnsi" w:cstheme="minorBidi"/>
          <w:snapToGrid/>
        </w:rPr>
        <w:lastRenderedPageBreak/>
        <w:t xml:space="preserve">The PBAC noted that this submission is not eligible for an Independent Review as it has received a positive recommendation. </w:t>
      </w:r>
    </w:p>
    <w:p w:rsidR="007B1A65" w:rsidRPr="00C362CE" w:rsidRDefault="007B1A65" w:rsidP="007B1A65">
      <w:pPr>
        <w:spacing w:before="240"/>
        <w:rPr>
          <w:rFonts w:asciiTheme="minorHAnsi" w:hAnsiTheme="minorHAnsi"/>
          <w:b/>
          <w:bCs/>
          <w:lang w:val="en-GB"/>
        </w:rPr>
      </w:pPr>
      <w:r w:rsidRPr="00C362CE">
        <w:rPr>
          <w:rFonts w:asciiTheme="minorHAnsi" w:hAnsiTheme="minorHAnsi"/>
          <w:b/>
          <w:bCs/>
          <w:lang w:val="en-GB"/>
        </w:rPr>
        <w:t>Outcome:</w:t>
      </w:r>
    </w:p>
    <w:p w:rsidR="00E338E4" w:rsidRPr="003C5172" w:rsidRDefault="00C362CE" w:rsidP="003C5172">
      <w:pPr>
        <w:rPr>
          <w:bCs/>
        </w:rPr>
      </w:pPr>
      <w:r w:rsidRPr="00E850A7">
        <w:rPr>
          <w:bCs/>
        </w:rPr>
        <w:t xml:space="preserve">Recommended </w:t>
      </w:r>
    </w:p>
    <w:p w:rsidR="007B1A65" w:rsidRPr="00604ACB" w:rsidRDefault="007B1A65" w:rsidP="00CF5F42">
      <w:pPr>
        <w:pStyle w:val="PBACHeading1"/>
        <w:rPr>
          <w:i/>
          <w:lang w:val="en-GB"/>
        </w:rPr>
      </w:pPr>
      <w:r w:rsidRPr="00604ACB">
        <w:rPr>
          <w:lang w:val="en-GB"/>
        </w:rPr>
        <w:t>Recommended listing</w:t>
      </w:r>
    </w:p>
    <w:p w:rsidR="00604ACB" w:rsidRPr="00E850A7" w:rsidRDefault="00604ACB" w:rsidP="00604ACB">
      <w:pPr>
        <w:numPr>
          <w:ilvl w:val="1"/>
          <w:numId w:val="2"/>
        </w:numPr>
        <w:spacing w:after="120"/>
        <w:rPr>
          <w:b/>
          <w:bCs/>
        </w:rPr>
      </w:pPr>
      <w:r w:rsidRPr="00E850A7">
        <w:rPr>
          <w:bCs/>
        </w:rPr>
        <w:t>Add new item:</w:t>
      </w:r>
    </w:p>
    <w:tbl>
      <w:tblPr>
        <w:tblW w:w="5000" w:type="pct"/>
        <w:jc w:val="center"/>
        <w:tblLook w:val="0000" w:firstRow="0" w:lastRow="0" w:firstColumn="0" w:lastColumn="0" w:noHBand="0" w:noVBand="0"/>
      </w:tblPr>
      <w:tblGrid>
        <w:gridCol w:w="2623"/>
        <w:gridCol w:w="292"/>
        <w:gridCol w:w="590"/>
        <w:gridCol w:w="590"/>
        <w:gridCol w:w="1176"/>
        <w:gridCol w:w="2351"/>
        <w:gridCol w:w="1621"/>
      </w:tblGrid>
      <w:tr w:rsidR="007E7A7B" w:rsidRPr="007E7A7B" w:rsidTr="001C0F98">
        <w:trPr>
          <w:gridAfter w:val="1"/>
          <w:wAfter w:w="877" w:type="pct"/>
          <w:cantSplit/>
          <w:trHeight w:val="471"/>
          <w:jc w:val="center"/>
        </w:trPr>
        <w:tc>
          <w:tcPr>
            <w:tcW w:w="1577" w:type="pct"/>
            <w:gridSpan w:val="2"/>
            <w:tcBorders>
              <w:bottom w:val="single" w:sz="4" w:space="0" w:color="auto"/>
            </w:tcBorders>
          </w:tcPr>
          <w:p w:rsidR="007E7A7B" w:rsidRPr="007E7A7B" w:rsidRDefault="007E7A7B"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Name, Restriction,</w:t>
            </w:r>
          </w:p>
          <w:p w:rsidR="007E7A7B" w:rsidRPr="007E7A7B" w:rsidRDefault="007E7A7B"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Manner of administration and form</w:t>
            </w:r>
          </w:p>
        </w:tc>
        <w:tc>
          <w:tcPr>
            <w:tcW w:w="319" w:type="pct"/>
            <w:tcBorders>
              <w:bottom w:val="single" w:sz="4" w:space="0" w:color="auto"/>
            </w:tcBorders>
          </w:tcPr>
          <w:p w:rsidR="007E7A7B" w:rsidRPr="007E7A7B" w:rsidRDefault="007E7A7B"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Max.</w:t>
            </w:r>
          </w:p>
          <w:p w:rsidR="007E7A7B" w:rsidRPr="007E7A7B" w:rsidRDefault="007E7A7B" w:rsidP="007E7A7B">
            <w:pPr>
              <w:keepNext/>
              <w:widowControl/>
              <w:ind w:left="-108"/>
              <w:rPr>
                <w:rFonts w:ascii="Arial Narrow" w:hAnsi="Arial Narrow"/>
                <w:snapToGrid/>
                <w:sz w:val="20"/>
                <w:szCs w:val="20"/>
                <w:lang w:eastAsia="en-AU"/>
              </w:rPr>
            </w:pPr>
            <w:proofErr w:type="spellStart"/>
            <w:r w:rsidRPr="007E7A7B">
              <w:rPr>
                <w:rFonts w:ascii="Arial Narrow" w:hAnsi="Arial Narrow"/>
                <w:snapToGrid/>
                <w:sz w:val="20"/>
                <w:szCs w:val="20"/>
                <w:lang w:eastAsia="en-AU"/>
              </w:rPr>
              <w:t>Qty</w:t>
            </w:r>
            <w:proofErr w:type="spellEnd"/>
            <w:r w:rsidRPr="007E7A7B">
              <w:rPr>
                <w:rFonts w:ascii="Arial Narrow" w:hAnsi="Arial Narrow"/>
                <w:snapToGrid/>
                <w:sz w:val="20"/>
                <w:szCs w:val="20"/>
                <w:lang w:eastAsia="en-AU"/>
              </w:rPr>
              <w:t xml:space="preserve"> </w:t>
            </w:r>
          </w:p>
        </w:tc>
        <w:tc>
          <w:tcPr>
            <w:tcW w:w="319" w:type="pct"/>
            <w:tcBorders>
              <w:bottom w:val="single" w:sz="4" w:space="0" w:color="auto"/>
            </w:tcBorders>
          </w:tcPr>
          <w:p w:rsidR="007E7A7B" w:rsidRPr="007E7A7B" w:rsidRDefault="007E7A7B"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№.of</w:t>
            </w:r>
          </w:p>
          <w:p w:rsidR="007E7A7B" w:rsidRPr="007E7A7B" w:rsidRDefault="007E7A7B" w:rsidP="007E7A7B">
            <w:pPr>
              <w:keepNext/>
              <w:widowControl/>
              <w:ind w:left="-108"/>
              <w:rPr>
                <w:rFonts w:ascii="Arial Narrow" w:hAnsi="Arial Narrow"/>
                <w:snapToGrid/>
                <w:sz w:val="20"/>
                <w:szCs w:val="20"/>
                <w:lang w:eastAsia="en-AU"/>
              </w:rPr>
            </w:pPr>
            <w:proofErr w:type="spellStart"/>
            <w:r w:rsidRPr="007E7A7B">
              <w:rPr>
                <w:rFonts w:ascii="Arial Narrow" w:hAnsi="Arial Narrow"/>
                <w:snapToGrid/>
                <w:sz w:val="20"/>
                <w:szCs w:val="20"/>
                <w:lang w:eastAsia="en-AU"/>
              </w:rPr>
              <w:t>Rpts</w:t>
            </w:r>
            <w:proofErr w:type="spellEnd"/>
          </w:p>
        </w:tc>
        <w:tc>
          <w:tcPr>
            <w:tcW w:w="1908" w:type="pct"/>
            <w:gridSpan w:val="2"/>
            <w:tcBorders>
              <w:bottom w:val="single" w:sz="4" w:space="0" w:color="auto"/>
            </w:tcBorders>
          </w:tcPr>
          <w:p w:rsidR="007E7A7B" w:rsidRPr="007E7A7B" w:rsidRDefault="007E7A7B" w:rsidP="007E7A7B">
            <w:pPr>
              <w:keepNext/>
              <w:widowControl/>
              <w:rPr>
                <w:rFonts w:ascii="Arial Narrow" w:hAnsi="Arial Narrow"/>
                <w:snapToGrid/>
                <w:sz w:val="20"/>
                <w:szCs w:val="20"/>
                <w:lang w:val="fr-FR" w:eastAsia="en-AU"/>
              </w:rPr>
            </w:pPr>
            <w:r w:rsidRPr="007E7A7B">
              <w:rPr>
                <w:rFonts w:ascii="Arial Narrow" w:hAnsi="Arial Narrow"/>
                <w:snapToGrid/>
                <w:sz w:val="20"/>
                <w:szCs w:val="20"/>
                <w:lang w:eastAsia="en-AU"/>
              </w:rPr>
              <w:t>Proprietary Name and Manufacturer</w:t>
            </w:r>
          </w:p>
        </w:tc>
      </w:tr>
      <w:tr w:rsidR="007E7A7B" w:rsidRPr="007E7A7B" w:rsidTr="001C0F98">
        <w:trPr>
          <w:gridAfter w:val="1"/>
          <w:wAfter w:w="877" w:type="pct"/>
          <w:cantSplit/>
          <w:trHeight w:val="577"/>
          <w:jc w:val="center"/>
        </w:trPr>
        <w:tc>
          <w:tcPr>
            <w:tcW w:w="1577" w:type="pct"/>
            <w:gridSpan w:val="2"/>
          </w:tcPr>
          <w:p w:rsidR="007E7A7B" w:rsidRPr="007E7A7B" w:rsidRDefault="007E7A7B" w:rsidP="007E7A7B">
            <w:pPr>
              <w:widowControl/>
              <w:spacing w:after="40"/>
              <w:ind w:left="-108"/>
              <w:rPr>
                <w:rFonts w:ascii="Arial Narrow" w:hAnsi="Arial Narrow"/>
                <w:smallCaps/>
                <w:snapToGrid/>
                <w:sz w:val="20"/>
                <w:szCs w:val="20"/>
                <w:lang w:eastAsia="en-AU"/>
              </w:rPr>
            </w:pPr>
            <w:proofErr w:type="spellStart"/>
            <w:r w:rsidRPr="007E7A7B">
              <w:rPr>
                <w:rFonts w:ascii="Arial Narrow" w:hAnsi="Arial Narrow"/>
                <w:smallCaps/>
                <w:snapToGrid/>
                <w:sz w:val="20"/>
                <w:szCs w:val="20"/>
                <w:lang w:eastAsia="en-AU"/>
              </w:rPr>
              <w:t>ertugliflozin</w:t>
            </w:r>
            <w:proofErr w:type="spellEnd"/>
          </w:p>
          <w:p w:rsidR="007E7A7B" w:rsidRPr="007E7A7B" w:rsidRDefault="007E7A7B" w:rsidP="007E7A7B">
            <w:pPr>
              <w:widowControl/>
              <w:spacing w:after="40"/>
              <w:ind w:left="-108"/>
              <w:rPr>
                <w:rFonts w:ascii="Arial Narrow" w:hAnsi="Arial Narrow"/>
                <w:i/>
                <w:snapToGrid/>
                <w:sz w:val="20"/>
                <w:szCs w:val="20"/>
                <w:lang w:eastAsia="en-AU"/>
              </w:rPr>
            </w:pPr>
            <w:proofErr w:type="spellStart"/>
            <w:r w:rsidRPr="007E7A7B">
              <w:rPr>
                <w:rFonts w:ascii="Arial Narrow" w:hAnsi="Arial Narrow"/>
                <w:i/>
                <w:snapToGrid/>
                <w:sz w:val="20"/>
                <w:szCs w:val="20"/>
                <w:lang w:eastAsia="en-AU"/>
              </w:rPr>
              <w:t>ertugliflozin</w:t>
            </w:r>
            <w:proofErr w:type="spellEnd"/>
            <w:r w:rsidRPr="007E7A7B">
              <w:rPr>
                <w:rFonts w:ascii="Arial Narrow" w:hAnsi="Arial Narrow"/>
                <w:i/>
                <w:snapToGrid/>
                <w:sz w:val="20"/>
                <w:szCs w:val="20"/>
                <w:lang w:eastAsia="en-AU"/>
              </w:rPr>
              <w:t xml:space="preserve"> 5 mg tablet, 28</w:t>
            </w:r>
          </w:p>
          <w:p w:rsidR="007E7A7B" w:rsidRPr="007E7A7B" w:rsidRDefault="007E7A7B" w:rsidP="004E50C8">
            <w:pPr>
              <w:widowControl/>
              <w:spacing w:after="40"/>
              <w:ind w:left="-108"/>
              <w:rPr>
                <w:rFonts w:ascii="Arial Narrow" w:hAnsi="Arial Narrow"/>
                <w:i/>
                <w:snapToGrid/>
                <w:sz w:val="20"/>
                <w:szCs w:val="20"/>
                <w:lang w:eastAsia="en-AU"/>
              </w:rPr>
            </w:pPr>
          </w:p>
        </w:tc>
        <w:tc>
          <w:tcPr>
            <w:tcW w:w="319" w:type="pct"/>
          </w:tcPr>
          <w:p w:rsidR="007E7A7B" w:rsidRPr="007E7A7B" w:rsidRDefault="007E7A7B" w:rsidP="007E7A7B">
            <w:pPr>
              <w:keepNext/>
              <w:widowControl/>
              <w:spacing w:after="40"/>
              <w:jc w:val="left"/>
              <w:rPr>
                <w:rFonts w:ascii="Arial Narrow" w:hAnsi="Arial Narrow"/>
                <w:snapToGrid/>
                <w:sz w:val="20"/>
                <w:szCs w:val="20"/>
                <w:lang w:eastAsia="en-AU"/>
              </w:rPr>
            </w:pPr>
          </w:p>
          <w:p w:rsidR="007E7A7B" w:rsidRPr="007E7A7B" w:rsidRDefault="007E7A7B" w:rsidP="007E7A7B">
            <w:pPr>
              <w:keepNext/>
              <w:widowControl/>
              <w:spacing w:after="40"/>
              <w:jc w:val="left"/>
              <w:rPr>
                <w:rFonts w:ascii="Arial Narrow" w:hAnsi="Arial Narrow"/>
                <w:snapToGrid/>
                <w:sz w:val="20"/>
                <w:szCs w:val="20"/>
                <w:lang w:eastAsia="en-AU"/>
              </w:rPr>
            </w:pPr>
            <w:r w:rsidRPr="007E7A7B">
              <w:rPr>
                <w:rFonts w:ascii="Arial Narrow" w:hAnsi="Arial Narrow"/>
                <w:snapToGrid/>
                <w:sz w:val="20"/>
                <w:szCs w:val="20"/>
                <w:lang w:eastAsia="en-AU"/>
              </w:rPr>
              <w:t>1</w:t>
            </w:r>
          </w:p>
          <w:p w:rsidR="007E7A7B" w:rsidRPr="007E7A7B" w:rsidRDefault="007E7A7B" w:rsidP="007E7A7B">
            <w:pPr>
              <w:keepNext/>
              <w:widowControl/>
              <w:spacing w:after="40"/>
              <w:jc w:val="left"/>
              <w:rPr>
                <w:rFonts w:ascii="Arial Narrow" w:hAnsi="Arial Narrow"/>
                <w:snapToGrid/>
                <w:sz w:val="20"/>
                <w:szCs w:val="20"/>
                <w:lang w:eastAsia="en-AU"/>
              </w:rPr>
            </w:pPr>
          </w:p>
        </w:tc>
        <w:tc>
          <w:tcPr>
            <w:tcW w:w="319" w:type="pct"/>
          </w:tcPr>
          <w:p w:rsidR="007E7A7B" w:rsidRPr="007E7A7B" w:rsidRDefault="007E7A7B" w:rsidP="007E7A7B">
            <w:pPr>
              <w:keepNext/>
              <w:widowControl/>
              <w:spacing w:after="40"/>
              <w:ind w:left="-108"/>
              <w:jc w:val="left"/>
              <w:rPr>
                <w:rFonts w:ascii="Arial Narrow" w:hAnsi="Arial Narrow"/>
                <w:snapToGrid/>
                <w:sz w:val="20"/>
                <w:szCs w:val="20"/>
                <w:lang w:eastAsia="en-AU"/>
              </w:rPr>
            </w:pPr>
          </w:p>
          <w:p w:rsidR="007E7A7B" w:rsidRPr="007E7A7B" w:rsidRDefault="007E7A7B" w:rsidP="007E7A7B">
            <w:pPr>
              <w:keepNext/>
              <w:widowControl/>
              <w:spacing w:after="40"/>
              <w:ind w:left="-108"/>
              <w:jc w:val="left"/>
              <w:rPr>
                <w:rFonts w:ascii="Arial Narrow" w:hAnsi="Arial Narrow"/>
                <w:snapToGrid/>
                <w:sz w:val="20"/>
                <w:szCs w:val="20"/>
                <w:lang w:eastAsia="en-AU"/>
              </w:rPr>
            </w:pPr>
            <w:r w:rsidRPr="007E7A7B">
              <w:rPr>
                <w:rFonts w:ascii="Arial Narrow" w:hAnsi="Arial Narrow"/>
                <w:snapToGrid/>
                <w:sz w:val="20"/>
                <w:szCs w:val="20"/>
                <w:lang w:eastAsia="en-AU"/>
              </w:rPr>
              <w:t>5</w:t>
            </w:r>
          </w:p>
          <w:p w:rsidR="007E7A7B" w:rsidRPr="007E7A7B" w:rsidRDefault="007E7A7B" w:rsidP="007E7A7B">
            <w:pPr>
              <w:keepNext/>
              <w:widowControl/>
              <w:spacing w:after="40"/>
              <w:ind w:left="-108"/>
              <w:jc w:val="left"/>
              <w:rPr>
                <w:rFonts w:ascii="Arial Narrow" w:hAnsi="Arial Narrow"/>
                <w:snapToGrid/>
                <w:sz w:val="20"/>
                <w:szCs w:val="20"/>
                <w:lang w:eastAsia="en-AU"/>
              </w:rPr>
            </w:pPr>
          </w:p>
        </w:tc>
        <w:tc>
          <w:tcPr>
            <w:tcW w:w="636" w:type="pct"/>
          </w:tcPr>
          <w:p w:rsidR="007E7A7B" w:rsidRPr="007E7A7B" w:rsidRDefault="007E7A7B" w:rsidP="007E7A7B">
            <w:pPr>
              <w:keepNext/>
              <w:widowControl/>
              <w:spacing w:after="40"/>
              <w:jc w:val="left"/>
              <w:rPr>
                <w:rFonts w:ascii="Arial Narrow" w:hAnsi="Arial Narrow"/>
                <w:snapToGrid/>
                <w:sz w:val="20"/>
                <w:szCs w:val="20"/>
                <w:lang w:eastAsia="en-AU"/>
              </w:rPr>
            </w:pPr>
          </w:p>
          <w:p w:rsidR="007E7A7B" w:rsidRPr="007E7A7B" w:rsidRDefault="007E7A7B" w:rsidP="00E719AB">
            <w:pPr>
              <w:keepNext/>
              <w:widowControl/>
              <w:spacing w:after="40"/>
              <w:jc w:val="left"/>
              <w:rPr>
                <w:rFonts w:ascii="Arial Narrow" w:hAnsi="Arial Narrow"/>
                <w:snapToGrid/>
                <w:sz w:val="20"/>
                <w:szCs w:val="20"/>
                <w:lang w:eastAsia="en-AU"/>
              </w:rPr>
            </w:pPr>
            <w:proofErr w:type="spellStart"/>
            <w:r w:rsidRPr="007E7A7B">
              <w:rPr>
                <w:rFonts w:ascii="Arial Narrow" w:hAnsi="Arial Narrow"/>
                <w:snapToGrid/>
                <w:sz w:val="20"/>
                <w:szCs w:val="20"/>
                <w:lang w:eastAsia="en-AU"/>
              </w:rPr>
              <w:t>Steglatr</w:t>
            </w:r>
            <w:r w:rsidR="00E719AB">
              <w:rPr>
                <w:rFonts w:ascii="Arial Narrow" w:hAnsi="Arial Narrow"/>
                <w:snapToGrid/>
                <w:sz w:val="20"/>
                <w:szCs w:val="20"/>
                <w:lang w:eastAsia="en-AU"/>
              </w:rPr>
              <w:t>o</w:t>
            </w:r>
            <w:proofErr w:type="spellEnd"/>
            <w:r w:rsidRPr="007E7A7B">
              <w:rPr>
                <w:rFonts w:ascii="Arial Narrow" w:hAnsi="Arial Narrow"/>
                <w:snapToGrid/>
                <w:sz w:val="20"/>
                <w:szCs w:val="20"/>
                <w:vertAlign w:val="superscript"/>
                <w:lang w:eastAsia="en-AU"/>
              </w:rPr>
              <w:t>®</w:t>
            </w:r>
            <w:r w:rsidRPr="007E7A7B">
              <w:rPr>
                <w:rFonts w:ascii="Arial Narrow" w:hAnsi="Arial Narrow"/>
                <w:snapToGrid/>
                <w:sz w:val="20"/>
                <w:szCs w:val="20"/>
                <w:lang w:eastAsia="en-AU"/>
              </w:rPr>
              <w:t xml:space="preserve">  </w:t>
            </w:r>
          </w:p>
        </w:tc>
        <w:tc>
          <w:tcPr>
            <w:tcW w:w="1272" w:type="pct"/>
          </w:tcPr>
          <w:p w:rsidR="007E7A7B" w:rsidRPr="007E7A7B" w:rsidRDefault="007E7A7B" w:rsidP="007E7A7B">
            <w:pPr>
              <w:keepNext/>
              <w:widowControl/>
              <w:spacing w:after="40"/>
              <w:jc w:val="left"/>
              <w:rPr>
                <w:rFonts w:ascii="Arial Narrow" w:hAnsi="Arial Narrow"/>
                <w:snapToGrid/>
                <w:sz w:val="20"/>
                <w:szCs w:val="20"/>
                <w:lang w:eastAsia="en-AU"/>
              </w:rPr>
            </w:pPr>
          </w:p>
          <w:p w:rsidR="007E7A7B" w:rsidRPr="007E7A7B" w:rsidRDefault="007E7A7B" w:rsidP="007E7A7B">
            <w:pPr>
              <w:keepNext/>
              <w:widowControl/>
              <w:spacing w:after="40"/>
              <w:jc w:val="left"/>
              <w:rPr>
                <w:rFonts w:ascii="Arial Narrow" w:hAnsi="Arial Narrow"/>
                <w:snapToGrid/>
                <w:sz w:val="20"/>
                <w:szCs w:val="20"/>
                <w:lang w:eastAsia="en-AU"/>
              </w:rPr>
            </w:pPr>
            <w:r w:rsidRPr="007E7A7B">
              <w:rPr>
                <w:rFonts w:ascii="Arial Narrow" w:hAnsi="Arial Narrow"/>
                <w:snapToGrid/>
                <w:sz w:val="20"/>
                <w:szCs w:val="20"/>
                <w:lang w:eastAsia="en-AU"/>
              </w:rPr>
              <w:t>Merck Sharp &amp; Dohme</w:t>
            </w:r>
            <w:r w:rsidRPr="007E7A7B" w:rsidDel="0092057C">
              <w:rPr>
                <w:rFonts w:ascii="Arial Narrow" w:hAnsi="Arial Narrow"/>
                <w:snapToGrid/>
                <w:sz w:val="20"/>
                <w:szCs w:val="20"/>
                <w:lang w:eastAsia="en-AU"/>
              </w:rPr>
              <w:t xml:space="preserve"> </w:t>
            </w:r>
            <w:r w:rsidRPr="007E7A7B">
              <w:rPr>
                <w:rFonts w:ascii="Arial Narrow" w:hAnsi="Arial Narrow"/>
                <w:snapToGrid/>
                <w:sz w:val="20"/>
                <w:szCs w:val="20"/>
                <w:lang w:eastAsia="en-AU"/>
              </w:rPr>
              <w:t>(Australia) Pty Ltd</w:t>
            </w:r>
          </w:p>
          <w:p w:rsidR="007E7A7B" w:rsidRPr="007E7A7B" w:rsidRDefault="007E7A7B" w:rsidP="007E7A7B">
            <w:pPr>
              <w:keepNext/>
              <w:widowControl/>
              <w:spacing w:after="40"/>
              <w:jc w:val="left"/>
              <w:rPr>
                <w:rFonts w:ascii="Arial Narrow" w:hAnsi="Arial Narrow"/>
                <w:snapToGrid/>
                <w:sz w:val="20"/>
                <w:szCs w:val="20"/>
                <w:lang w:eastAsia="en-AU"/>
              </w:rPr>
            </w:pPr>
          </w:p>
          <w:p w:rsidR="007E7A7B" w:rsidRPr="007E7A7B" w:rsidRDefault="007E7A7B" w:rsidP="007E7A7B">
            <w:pPr>
              <w:keepNext/>
              <w:widowControl/>
              <w:spacing w:after="40"/>
              <w:jc w:val="left"/>
              <w:rPr>
                <w:rFonts w:ascii="Arial Narrow" w:hAnsi="Arial Narrow"/>
                <w:snapToGrid/>
                <w:sz w:val="20"/>
                <w:szCs w:val="20"/>
                <w:lang w:eastAsia="en-AU"/>
              </w:rPr>
            </w:pP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Category / Program</w:t>
            </w:r>
          </w:p>
        </w:tc>
        <w:tc>
          <w:tcPr>
            <w:tcW w:w="3581"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i/>
                <w:snapToGrid/>
                <w:sz w:val="20"/>
                <w:szCs w:val="20"/>
                <w:lang w:eastAsia="en-AU"/>
              </w:rPr>
            </w:pPr>
            <w:r w:rsidRPr="007E7A7B">
              <w:rPr>
                <w:rFonts w:ascii="Arial Narrow" w:hAnsi="Arial Narrow"/>
                <w:i/>
                <w:snapToGrid/>
                <w:sz w:val="20"/>
                <w:szCs w:val="20"/>
                <w:lang w:eastAsia="en-AU"/>
              </w:rPr>
              <w:t>GENERAL – General Schedule (Code GE)</w:t>
            </w: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Prescriber type:</w:t>
            </w:r>
          </w:p>
        </w:tc>
        <w:tc>
          <w:tcPr>
            <w:tcW w:w="3581"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1"/>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Dental  </w:t>
            </w:r>
            <w:r w:rsidRPr="007E7A7B">
              <w:rPr>
                <w:rFonts w:ascii="Arial Narrow" w:hAnsi="Arial Narrow"/>
                <w:snapToGrid/>
                <w:sz w:val="20"/>
                <w:szCs w:val="20"/>
                <w:lang w:eastAsia="en-AU"/>
              </w:rPr>
              <w:fldChar w:fldCharType="begin">
                <w:ffData>
                  <w:name w:val=""/>
                  <w:enabled/>
                  <w:calcOnExit w:val="0"/>
                  <w:checkBox>
                    <w:sizeAuto/>
                    <w:default w:val="1"/>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Medical Practitioners  </w:t>
            </w:r>
            <w:r w:rsidRPr="007E7A7B">
              <w:rPr>
                <w:rFonts w:ascii="Arial Narrow" w:hAnsi="Arial Narrow"/>
                <w:snapToGrid/>
                <w:sz w:val="20"/>
                <w:szCs w:val="20"/>
                <w:lang w:eastAsia="en-AU"/>
              </w:rPr>
              <w:fldChar w:fldCharType="begin">
                <w:ffData>
                  <w:name w:val="Check3"/>
                  <w:enabled/>
                  <w:calcOnExit w:val="0"/>
                  <w:checkBox>
                    <w:sizeAuto/>
                    <w:default w:val="1"/>
                  </w:checkBox>
                </w:ffData>
              </w:fldChar>
            </w:r>
            <w:bookmarkStart w:id="15" w:name="Check3"/>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bookmarkEnd w:id="15"/>
            <w:r w:rsidRPr="007E7A7B">
              <w:rPr>
                <w:rFonts w:ascii="Arial Narrow" w:hAnsi="Arial Narrow"/>
                <w:snapToGrid/>
                <w:sz w:val="20"/>
                <w:szCs w:val="20"/>
                <w:lang w:eastAsia="en-AU"/>
              </w:rPr>
              <w:t xml:space="preserve">Nurse practitioners  </w:t>
            </w:r>
            <w:r w:rsidRPr="007E7A7B">
              <w:rPr>
                <w:rFonts w:ascii="Arial Narrow" w:hAnsi="Arial Narrow"/>
                <w:snapToGrid/>
                <w:sz w:val="20"/>
                <w:szCs w:val="20"/>
                <w:lang w:eastAsia="en-AU"/>
              </w:rPr>
              <w:fldChar w:fldCharType="begin">
                <w:ffData>
                  <w:name w:val=""/>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Optometrists</w:t>
            </w:r>
          </w:p>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5"/>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Midwives</w:t>
            </w: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Condition:</w:t>
            </w:r>
          </w:p>
        </w:tc>
        <w:tc>
          <w:tcPr>
            <w:tcW w:w="3581"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t>Diabetes mellitus type 2</w:t>
            </w: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PBS Indication:</w:t>
            </w:r>
          </w:p>
        </w:tc>
        <w:tc>
          <w:tcPr>
            <w:tcW w:w="3581"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t>Diabetes mellitus type 2</w:t>
            </w: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i/>
                <w:snapToGrid/>
                <w:sz w:val="20"/>
                <w:szCs w:val="20"/>
                <w:lang w:eastAsia="en-AU"/>
              </w:rPr>
            </w:pPr>
            <w:r w:rsidRPr="007E7A7B">
              <w:rPr>
                <w:rFonts w:ascii="Arial Narrow" w:hAnsi="Arial Narrow"/>
                <w:b/>
                <w:snapToGrid/>
                <w:sz w:val="20"/>
                <w:szCs w:val="20"/>
                <w:lang w:eastAsia="en-AU"/>
              </w:rPr>
              <w:t>Restriction Level / Method:</w:t>
            </w:r>
          </w:p>
        </w:tc>
        <w:tc>
          <w:tcPr>
            <w:tcW w:w="3581"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5"/>
                  <w:enabled/>
                  <w:calcOnExit w:val="0"/>
                  <w:checkBox>
                    <w:sizeAuto/>
                    <w:default w:val="1"/>
                  </w:checkBox>
                </w:ffData>
              </w:fldChar>
            </w:r>
            <w:r w:rsidRPr="007E7A7B">
              <w:rPr>
                <w:rFonts w:ascii="Arial Narrow" w:hAnsi="Arial Narrow"/>
                <w:snapToGrid/>
                <w:sz w:val="20"/>
                <w:szCs w:val="20"/>
                <w:lang w:eastAsia="en-AU"/>
              </w:rPr>
              <w:instrText xml:space="preserve"> </w:instrText>
            </w:r>
            <w:bookmarkStart w:id="16" w:name="Check5"/>
            <w:r w:rsidRPr="007E7A7B">
              <w:rPr>
                <w:rFonts w:ascii="Arial Narrow" w:hAnsi="Arial Narrow"/>
                <w:snapToGrid/>
                <w:sz w:val="20"/>
                <w:szCs w:val="20"/>
                <w:lang w:eastAsia="en-AU"/>
              </w:rPr>
              <w:instrText xml:space="preserve">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bookmarkEnd w:id="16"/>
            <w:r w:rsidRPr="007E7A7B">
              <w:rPr>
                <w:rFonts w:ascii="Arial Narrow" w:hAnsi="Arial Narrow"/>
                <w:snapToGrid/>
                <w:sz w:val="20"/>
                <w:szCs w:val="20"/>
                <w:lang w:eastAsia="en-AU"/>
              </w:rPr>
              <w:t>Streamlined</w:t>
            </w: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Clinical criteria:</w:t>
            </w:r>
          </w:p>
          <w:p w:rsidR="007E7A7B" w:rsidRPr="007E7A7B" w:rsidRDefault="007E7A7B" w:rsidP="007E7A7B">
            <w:pPr>
              <w:widowControl/>
              <w:rPr>
                <w:rFonts w:ascii="Arial Narrow" w:hAnsi="Arial Narrow"/>
                <w:i/>
                <w:snapToGrid/>
                <w:sz w:val="20"/>
                <w:szCs w:val="20"/>
                <w:lang w:eastAsia="en-AU"/>
              </w:rPr>
            </w:pPr>
          </w:p>
          <w:p w:rsidR="007E7A7B" w:rsidRPr="007E7A7B" w:rsidRDefault="007E7A7B" w:rsidP="007E7A7B">
            <w:pPr>
              <w:widowControl/>
              <w:rPr>
                <w:rFonts w:ascii="Arial Narrow" w:hAnsi="Arial Narrow"/>
                <w:snapToGrid/>
                <w:sz w:val="20"/>
                <w:szCs w:val="20"/>
                <w:lang w:eastAsia="en-AU"/>
              </w:rPr>
            </w:pPr>
          </w:p>
        </w:tc>
        <w:tc>
          <w:tcPr>
            <w:tcW w:w="3581"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4E50C8">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 xml:space="preserve">The treatment must be in combination with metformin; </w:t>
            </w:r>
          </w:p>
          <w:p w:rsidR="007E7A7B" w:rsidRPr="007E7A7B" w:rsidRDefault="007E7A7B" w:rsidP="004E50C8">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OR</w:t>
            </w:r>
          </w:p>
          <w:p w:rsidR="007E7A7B" w:rsidRPr="007E7A7B" w:rsidRDefault="007E7A7B" w:rsidP="004E50C8">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The treatment must be in combination with a sulfonylurea,</w:t>
            </w:r>
          </w:p>
          <w:p w:rsidR="007E7A7B" w:rsidRPr="00543562" w:rsidRDefault="007E7A7B" w:rsidP="004E50C8">
            <w:pPr>
              <w:widowControl/>
              <w:spacing w:before="40" w:after="60"/>
              <w:jc w:val="left"/>
              <w:rPr>
                <w:rFonts w:ascii="Arial Narrow" w:hAnsi="Arial Narrow"/>
                <w:snapToGrid/>
                <w:sz w:val="20"/>
                <w:szCs w:val="20"/>
                <w:lang w:eastAsia="en-AU"/>
              </w:rPr>
            </w:pPr>
            <w:r w:rsidRPr="00543562">
              <w:rPr>
                <w:rFonts w:ascii="Arial Narrow" w:hAnsi="Arial Narrow"/>
                <w:snapToGrid/>
                <w:sz w:val="20"/>
                <w:szCs w:val="20"/>
                <w:lang w:eastAsia="en-AU"/>
              </w:rPr>
              <w:t>AND</w:t>
            </w:r>
          </w:p>
          <w:p w:rsidR="007E7A7B" w:rsidRPr="007E7A7B" w:rsidRDefault="007E7A7B" w:rsidP="004E50C8">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 xml:space="preserve">Patient must have, or have had, a HbA1c measurement greater than 7% despite treatment with either metformin or a sulfonylurea; </w:t>
            </w:r>
          </w:p>
          <w:p w:rsidR="007E7A7B" w:rsidRPr="007E7A7B" w:rsidRDefault="007E7A7B" w:rsidP="004E50C8">
            <w:pPr>
              <w:widowControl/>
              <w:spacing w:before="40" w:after="60"/>
              <w:jc w:val="left"/>
              <w:rPr>
                <w:rFonts w:ascii="Arial Narrow" w:hAnsi="Arial Narrow"/>
                <w:i/>
                <w:snapToGrid/>
                <w:sz w:val="20"/>
                <w:szCs w:val="20"/>
                <w:lang w:eastAsia="en-AU"/>
              </w:rPr>
            </w:pPr>
            <w:r w:rsidRPr="007E7A7B">
              <w:rPr>
                <w:rFonts w:ascii="Arial Narrow" w:hAnsi="Arial Narrow"/>
                <w:snapToGrid/>
                <w:sz w:val="20"/>
                <w:szCs w:val="20"/>
                <w:lang w:eastAsia="en-AU"/>
              </w:rPr>
              <w:t>OR</w:t>
            </w:r>
          </w:p>
          <w:p w:rsidR="007E7A7B" w:rsidRPr="007E7A7B" w:rsidRDefault="007E7A7B" w:rsidP="004E50C8">
            <w:pPr>
              <w:widowControl/>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Patient must have, or have had, where HbA1c measurement is clinically inappropriate, blood glucose levels greater than 10 </w:t>
            </w:r>
            <w:proofErr w:type="spellStart"/>
            <w:r w:rsidRPr="007E7A7B">
              <w:rPr>
                <w:rFonts w:ascii="Arial Narrow" w:hAnsi="Arial Narrow"/>
                <w:snapToGrid/>
                <w:color w:val="333333"/>
                <w:sz w:val="20"/>
                <w:szCs w:val="20"/>
                <w:lang w:eastAsia="en-AU"/>
              </w:rPr>
              <w:t>mmol</w:t>
            </w:r>
            <w:proofErr w:type="spellEnd"/>
            <w:r w:rsidRPr="007E7A7B">
              <w:rPr>
                <w:rFonts w:ascii="Arial Narrow" w:hAnsi="Arial Narrow"/>
                <w:snapToGrid/>
                <w:color w:val="333333"/>
                <w:sz w:val="20"/>
                <w:szCs w:val="20"/>
                <w:lang w:eastAsia="en-AU"/>
              </w:rPr>
              <w:t xml:space="preserve"> per L in more than 20% of tests over a 2 week period despite treatment with either metformin or a sulfonylurea.</w:t>
            </w: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lastRenderedPageBreak/>
              <w:t>Prescriber Instructions</w:t>
            </w:r>
          </w:p>
          <w:p w:rsidR="007E7A7B" w:rsidRPr="007E7A7B" w:rsidRDefault="007E7A7B" w:rsidP="007E7A7B">
            <w:pPr>
              <w:widowControl/>
              <w:rPr>
                <w:rFonts w:ascii="Arial Narrow" w:hAnsi="Arial Narrow"/>
                <w:snapToGrid/>
                <w:sz w:val="20"/>
                <w:szCs w:val="20"/>
                <w:lang w:eastAsia="en-AU"/>
              </w:rPr>
            </w:pPr>
          </w:p>
        </w:tc>
        <w:tc>
          <w:tcPr>
            <w:tcW w:w="3581"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E7A7B">
              <w:rPr>
                <w:rFonts w:ascii="Arial Narrow" w:hAnsi="Arial Narrow"/>
                <w:snapToGrid/>
                <w:color w:val="333333"/>
                <w:sz w:val="20"/>
                <w:szCs w:val="20"/>
                <w:lang w:eastAsia="en-AU"/>
              </w:rPr>
              <w:t>glitazone</w:t>
            </w:r>
            <w:proofErr w:type="spellEnd"/>
            <w:r w:rsidRPr="007E7A7B">
              <w:rPr>
                <w:rFonts w:ascii="Arial Narrow" w:hAnsi="Arial Narrow"/>
                <w:snapToGrid/>
                <w:color w:val="333333"/>
                <w:sz w:val="20"/>
                <w:szCs w:val="20"/>
                <w:lang w:eastAsia="en-AU"/>
              </w:rPr>
              <w:t>), a glucagon-like peptide-1 or a sodium-glucose co-transporter 2 (SGLT2) inhibitor is initiated.</w:t>
            </w:r>
          </w:p>
          <w:p w:rsidR="007E7A7B" w:rsidRPr="007E7A7B" w:rsidRDefault="007E7A7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The HbA1c must be no more than 4 months old at the time treatment with a gliptin, a </w:t>
            </w:r>
            <w:proofErr w:type="spellStart"/>
            <w:r w:rsidRPr="007E7A7B">
              <w:rPr>
                <w:rFonts w:ascii="Arial Narrow" w:hAnsi="Arial Narrow"/>
                <w:snapToGrid/>
                <w:color w:val="333333"/>
                <w:sz w:val="20"/>
                <w:szCs w:val="20"/>
                <w:lang w:eastAsia="en-AU"/>
              </w:rPr>
              <w:t>glitazone</w:t>
            </w:r>
            <w:proofErr w:type="spellEnd"/>
            <w:r w:rsidRPr="007E7A7B">
              <w:rPr>
                <w:rFonts w:ascii="Arial Narrow" w:hAnsi="Arial Narrow"/>
                <w:snapToGrid/>
                <w:color w:val="333333"/>
                <w:sz w:val="20"/>
                <w:szCs w:val="20"/>
                <w:lang w:eastAsia="en-AU"/>
              </w:rPr>
              <w:t>, a glucagon-like peptide-1 or an SGLT2 inhibitor is initiated.</w:t>
            </w:r>
          </w:p>
          <w:p w:rsidR="007E7A7B" w:rsidRPr="007E7A7B" w:rsidRDefault="007E7A7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Blood glucose monitoring may be used as an alternative assessment to HbA1c levels in the following circumstances:</w:t>
            </w:r>
          </w:p>
          <w:p w:rsidR="007E7A7B" w:rsidRPr="007E7A7B" w:rsidRDefault="007E7A7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(a) A clinical condition with reduced red blood cell survival, including haemolytic anaemias and </w:t>
            </w:r>
            <w:proofErr w:type="spellStart"/>
            <w:r w:rsidRPr="007E7A7B">
              <w:rPr>
                <w:rFonts w:ascii="Arial Narrow" w:hAnsi="Arial Narrow"/>
                <w:snapToGrid/>
                <w:color w:val="333333"/>
                <w:sz w:val="20"/>
                <w:szCs w:val="20"/>
                <w:lang w:eastAsia="en-AU"/>
              </w:rPr>
              <w:t>haemoglobinopathies</w:t>
            </w:r>
            <w:proofErr w:type="spellEnd"/>
            <w:r w:rsidRPr="007E7A7B">
              <w:rPr>
                <w:rFonts w:ascii="Arial Narrow" w:hAnsi="Arial Narrow"/>
                <w:snapToGrid/>
                <w:color w:val="333333"/>
                <w:sz w:val="20"/>
                <w:szCs w:val="20"/>
                <w:lang w:eastAsia="en-AU"/>
              </w:rPr>
              <w:t>; and/or</w:t>
            </w:r>
          </w:p>
          <w:p w:rsidR="007E7A7B" w:rsidRPr="007E7A7B" w:rsidRDefault="007E7A7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(b) Had red cell transfusion within the previous 3 months.</w:t>
            </w:r>
          </w:p>
          <w:p w:rsidR="007E7A7B" w:rsidRPr="007E7A7B" w:rsidRDefault="007E7A7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The results of the blood glucose monitoring, which must be no more than 4 months old at the time of initiation of treatment with a gliptin, a </w:t>
            </w:r>
            <w:proofErr w:type="spellStart"/>
            <w:r w:rsidRPr="007E7A7B">
              <w:rPr>
                <w:rFonts w:ascii="Arial Narrow" w:hAnsi="Arial Narrow"/>
                <w:snapToGrid/>
                <w:color w:val="333333"/>
                <w:sz w:val="20"/>
                <w:szCs w:val="20"/>
                <w:lang w:eastAsia="en-AU"/>
              </w:rPr>
              <w:t>glitazone</w:t>
            </w:r>
            <w:proofErr w:type="spellEnd"/>
            <w:r w:rsidRPr="007E7A7B">
              <w:rPr>
                <w:rFonts w:ascii="Arial Narrow" w:hAnsi="Arial Narrow"/>
                <w:snapToGrid/>
                <w:color w:val="333333"/>
                <w:sz w:val="20"/>
                <w:szCs w:val="20"/>
                <w:lang w:eastAsia="en-AU"/>
              </w:rPr>
              <w:t>, a glucagon-like peptide-1 or an SGLT2 inhibitor, must be documented in the patient's medical records.</w:t>
            </w:r>
          </w:p>
          <w:p w:rsidR="007E7A7B" w:rsidRPr="007E7A7B" w:rsidRDefault="006934F0"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A patient whose diabetes was previously demonstrated unable to be controlled with metformin or a sulfonylurea does not need to requalify on this criterion before being eligible for PBS-subsidised treatment with this drug.</w:t>
            </w:r>
          </w:p>
        </w:tc>
      </w:tr>
      <w:tr w:rsidR="007E7A7B" w:rsidRPr="007E7A7B" w:rsidTr="001C0F98">
        <w:trPr>
          <w:cantSplit/>
          <w:trHeight w:val="360"/>
          <w:jc w:val="center"/>
        </w:trPr>
        <w:tc>
          <w:tcPr>
            <w:tcW w:w="1419" w:type="pct"/>
            <w:tcBorders>
              <w:top w:val="single" w:sz="4" w:space="0" w:color="auto"/>
              <w:left w:val="single" w:sz="4" w:space="0" w:color="auto"/>
              <w:bottom w:val="single" w:sz="4" w:space="0" w:color="auto"/>
              <w:right w:val="single" w:sz="4" w:space="0" w:color="auto"/>
            </w:tcBorders>
          </w:tcPr>
          <w:p w:rsidR="007E7A7B" w:rsidRPr="007E7A7B" w:rsidRDefault="007E7A7B" w:rsidP="004E50C8">
            <w:pPr>
              <w:widowControl/>
              <w:spacing w:before="40" w:after="60"/>
              <w:rPr>
                <w:rFonts w:ascii="Arial Narrow" w:hAnsi="Arial Narrow"/>
                <w:b/>
                <w:snapToGrid/>
                <w:sz w:val="20"/>
                <w:szCs w:val="20"/>
                <w:lang w:eastAsia="en-AU"/>
              </w:rPr>
            </w:pPr>
            <w:r w:rsidRPr="007E7A7B">
              <w:rPr>
                <w:rFonts w:ascii="Arial Narrow" w:hAnsi="Arial Narrow"/>
                <w:b/>
                <w:snapToGrid/>
                <w:sz w:val="20"/>
                <w:szCs w:val="20"/>
                <w:lang w:eastAsia="en-AU"/>
              </w:rPr>
              <w:t>Administrative Advice</w:t>
            </w:r>
          </w:p>
          <w:p w:rsidR="007E7A7B" w:rsidRPr="007E7A7B" w:rsidRDefault="007E7A7B" w:rsidP="004E50C8">
            <w:pPr>
              <w:widowControl/>
              <w:spacing w:before="40" w:after="60"/>
              <w:rPr>
                <w:rFonts w:ascii="Arial Narrow" w:hAnsi="Arial Narrow"/>
                <w:i/>
                <w:snapToGrid/>
                <w:sz w:val="20"/>
                <w:szCs w:val="20"/>
                <w:lang w:eastAsia="en-AU"/>
              </w:rPr>
            </w:pPr>
          </w:p>
        </w:tc>
        <w:tc>
          <w:tcPr>
            <w:tcW w:w="3581" w:type="pct"/>
            <w:gridSpan w:val="6"/>
            <w:tcBorders>
              <w:top w:val="single" w:sz="4" w:space="0" w:color="auto"/>
              <w:left w:val="single" w:sz="4" w:space="0" w:color="auto"/>
              <w:bottom w:val="single" w:sz="4" w:space="0" w:color="auto"/>
              <w:right w:val="single" w:sz="4" w:space="0" w:color="auto"/>
            </w:tcBorders>
          </w:tcPr>
          <w:p w:rsidR="006934F0" w:rsidRPr="007E7A7B" w:rsidRDefault="006934F0" w:rsidP="006934F0">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7E7A7B" w:rsidRPr="007E7A7B" w:rsidRDefault="007E7A7B" w:rsidP="00901937">
            <w:pPr>
              <w:widowControl/>
              <w:spacing w:before="40" w:after="60"/>
              <w:jc w:val="left"/>
              <w:rPr>
                <w:rFonts w:ascii="Arial Narrow" w:hAnsi="Arial Narrow"/>
                <w:sz w:val="20"/>
                <w:szCs w:val="20"/>
                <w:lang w:eastAsia="en-AU"/>
              </w:rPr>
            </w:pPr>
            <w:r w:rsidRPr="007E7A7B">
              <w:rPr>
                <w:rFonts w:ascii="Arial Narrow" w:hAnsi="Arial Narrow"/>
                <w:snapToGrid/>
                <w:sz w:val="20"/>
                <w:szCs w:val="20"/>
                <w:lang w:eastAsia="en-AU"/>
              </w:rPr>
              <w:t>This drug is not PBS subsidised for use as monotherapy or in combination with a thiazolidinedione (</w:t>
            </w:r>
            <w:proofErr w:type="spellStart"/>
            <w:r w:rsidRPr="007E7A7B">
              <w:rPr>
                <w:rFonts w:ascii="Arial Narrow" w:hAnsi="Arial Narrow"/>
                <w:snapToGrid/>
                <w:sz w:val="20"/>
                <w:szCs w:val="20"/>
                <w:lang w:eastAsia="en-AU"/>
              </w:rPr>
              <w:t>glitazone</w:t>
            </w:r>
            <w:proofErr w:type="spellEnd"/>
            <w:r w:rsidRPr="007E7A7B">
              <w:rPr>
                <w:rFonts w:ascii="Arial Narrow" w:hAnsi="Arial Narrow"/>
                <w:snapToGrid/>
                <w:sz w:val="20"/>
                <w:szCs w:val="20"/>
                <w:lang w:eastAsia="en-AU"/>
              </w:rPr>
              <w:t xml:space="preserve">), </w:t>
            </w:r>
            <w:r w:rsidRPr="0079333F">
              <w:rPr>
                <w:rFonts w:ascii="Arial Narrow" w:hAnsi="Arial Narrow"/>
                <w:snapToGrid/>
                <w:sz w:val="20"/>
                <w:szCs w:val="20"/>
                <w:lang w:eastAsia="en-AU"/>
              </w:rPr>
              <w:t xml:space="preserve">a dipeptidyl peptidase </w:t>
            </w:r>
            <w:proofErr w:type="gramStart"/>
            <w:r w:rsidRPr="0079333F">
              <w:rPr>
                <w:rFonts w:ascii="Arial Narrow" w:hAnsi="Arial Narrow"/>
                <w:snapToGrid/>
                <w:sz w:val="20"/>
                <w:szCs w:val="20"/>
                <w:lang w:eastAsia="en-AU"/>
              </w:rPr>
              <w:t>4 inhibitor (gliptin)</w:t>
            </w:r>
            <w:r w:rsidR="00A2009D">
              <w:rPr>
                <w:rFonts w:ascii="Arial Narrow" w:hAnsi="Arial Narrow"/>
                <w:snapToGrid/>
                <w:sz w:val="20"/>
                <w:szCs w:val="20"/>
                <w:lang w:eastAsia="en-AU"/>
              </w:rPr>
              <w:t>, insulin</w:t>
            </w:r>
            <w:r w:rsidRPr="007E7A7B">
              <w:rPr>
                <w:rFonts w:ascii="Arial Narrow" w:hAnsi="Arial Narrow"/>
                <w:snapToGrid/>
                <w:sz w:val="20"/>
                <w:szCs w:val="20"/>
                <w:lang w:eastAsia="en-AU"/>
              </w:rPr>
              <w:t xml:space="preserve"> or a glucagon-like peptide-1</w:t>
            </w:r>
            <w:proofErr w:type="gramEnd"/>
            <w:r w:rsidRPr="007E7A7B">
              <w:rPr>
                <w:rFonts w:ascii="Arial Narrow" w:hAnsi="Arial Narrow"/>
                <w:snapToGrid/>
                <w:sz w:val="20"/>
                <w:szCs w:val="20"/>
                <w:lang w:eastAsia="en-AU"/>
              </w:rPr>
              <w:t>.</w:t>
            </w:r>
          </w:p>
        </w:tc>
      </w:tr>
    </w:tbl>
    <w:p w:rsidR="007E7A7B" w:rsidRPr="007E7A7B" w:rsidRDefault="007E7A7B" w:rsidP="007E7A7B">
      <w:pPr>
        <w:widowControl/>
        <w:jc w:val="left"/>
        <w:rPr>
          <w:rFonts w:ascii="Arial" w:hAnsi="Arial"/>
          <w:snapToGrid/>
          <w:sz w:val="22"/>
          <w:lang w:eastAsia="en-AU"/>
        </w:rPr>
      </w:pPr>
    </w:p>
    <w:tbl>
      <w:tblPr>
        <w:tblW w:w="5000" w:type="pct"/>
        <w:jc w:val="center"/>
        <w:tblBorders>
          <w:bottom w:val="single" w:sz="4" w:space="0" w:color="auto"/>
        </w:tblBorders>
        <w:tblLayout w:type="fixed"/>
        <w:tblLook w:val="0000" w:firstRow="0" w:lastRow="0" w:firstColumn="0" w:lastColumn="0" w:noHBand="0" w:noVBand="0"/>
      </w:tblPr>
      <w:tblGrid>
        <w:gridCol w:w="2658"/>
        <w:gridCol w:w="105"/>
        <w:gridCol w:w="525"/>
        <w:gridCol w:w="510"/>
        <w:gridCol w:w="1690"/>
        <w:gridCol w:w="1838"/>
        <w:gridCol w:w="1917"/>
      </w:tblGrid>
      <w:tr w:rsidR="004E50C8" w:rsidRPr="007E7A7B" w:rsidTr="001C0F98">
        <w:trPr>
          <w:gridAfter w:val="1"/>
          <w:wAfter w:w="1037" w:type="pct"/>
          <w:cantSplit/>
          <w:trHeight w:val="471"/>
          <w:jc w:val="center"/>
        </w:trPr>
        <w:tc>
          <w:tcPr>
            <w:tcW w:w="1495" w:type="pct"/>
            <w:gridSpan w:val="2"/>
            <w:tcBorders>
              <w:bottom w:val="single" w:sz="4" w:space="0" w:color="auto"/>
            </w:tcBorders>
          </w:tcPr>
          <w:p w:rsidR="004E50C8" w:rsidRPr="007E7A7B" w:rsidRDefault="004E50C8"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Name, Restriction,</w:t>
            </w:r>
          </w:p>
          <w:p w:rsidR="004E50C8" w:rsidRPr="007E7A7B" w:rsidRDefault="004E50C8"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Manner of administration and form</w:t>
            </w:r>
          </w:p>
        </w:tc>
        <w:tc>
          <w:tcPr>
            <w:tcW w:w="284" w:type="pct"/>
            <w:tcBorders>
              <w:bottom w:val="single" w:sz="4" w:space="0" w:color="auto"/>
            </w:tcBorders>
          </w:tcPr>
          <w:p w:rsidR="004E50C8" w:rsidRPr="007E7A7B" w:rsidRDefault="004E50C8"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Max.</w:t>
            </w:r>
          </w:p>
          <w:p w:rsidR="004E50C8" w:rsidRPr="007E7A7B" w:rsidRDefault="004E50C8" w:rsidP="007E7A7B">
            <w:pPr>
              <w:keepNext/>
              <w:widowControl/>
              <w:ind w:left="-108"/>
              <w:rPr>
                <w:rFonts w:ascii="Arial Narrow" w:hAnsi="Arial Narrow"/>
                <w:snapToGrid/>
                <w:sz w:val="20"/>
                <w:szCs w:val="20"/>
                <w:lang w:eastAsia="en-AU"/>
              </w:rPr>
            </w:pPr>
            <w:proofErr w:type="spellStart"/>
            <w:r w:rsidRPr="007E7A7B">
              <w:rPr>
                <w:rFonts w:ascii="Arial Narrow" w:hAnsi="Arial Narrow"/>
                <w:snapToGrid/>
                <w:sz w:val="20"/>
                <w:szCs w:val="20"/>
                <w:lang w:eastAsia="en-AU"/>
              </w:rPr>
              <w:t>Qty</w:t>
            </w:r>
            <w:proofErr w:type="spellEnd"/>
            <w:r w:rsidRPr="007E7A7B">
              <w:rPr>
                <w:rFonts w:ascii="Arial Narrow" w:hAnsi="Arial Narrow"/>
                <w:snapToGrid/>
                <w:sz w:val="20"/>
                <w:szCs w:val="20"/>
                <w:lang w:eastAsia="en-AU"/>
              </w:rPr>
              <w:t xml:space="preserve"> </w:t>
            </w:r>
          </w:p>
        </w:tc>
        <w:tc>
          <w:tcPr>
            <w:tcW w:w="276" w:type="pct"/>
            <w:tcBorders>
              <w:bottom w:val="single" w:sz="4" w:space="0" w:color="auto"/>
            </w:tcBorders>
          </w:tcPr>
          <w:p w:rsidR="004E50C8" w:rsidRPr="007E7A7B" w:rsidRDefault="004E50C8" w:rsidP="007E7A7B">
            <w:pPr>
              <w:keepNext/>
              <w:widowControl/>
              <w:ind w:left="-108"/>
              <w:rPr>
                <w:rFonts w:ascii="Arial Narrow" w:hAnsi="Arial Narrow"/>
                <w:snapToGrid/>
                <w:sz w:val="20"/>
                <w:szCs w:val="20"/>
                <w:lang w:eastAsia="en-AU"/>
              </w:rPr>
            </w:pPr>
            <w:r w:rsidRPr="007E7A7B">
              <w:rPr>
                <w:rFonts w:ascii="Arial Narrow" w:hAnsi="Arial Narrow"/>
                <w:snapToGrid/>
                <w:sz w:val="20"/>
                <w:szCs w:val="20"/>
                <w:lang w:eastAsia="en-AU"/>
              </w:rPr>
              <w:t>№.of</w:t>
            </w:r>
          </w:p>
          <w:p w:rsidR="004E50C8" w:rsidRPr="007E7A7B" w:rsidRDefault="004E50C8" w:rsidP="007E7A7B">
            <w:pPr>
              <w:keepNext/>
              <w:widowControl/>
              <w:ind w:left="-108"/>
              <w:rPr>
                <w:rFonts w:ascii="Arial Narrow" w:hAnsi="Arial Narrow"/>
                <w:snapToGrid/>
                <w:sz w:val="20"/>
                <w:szCs w:val="20"/>
                <w:lang w:eastAsia="en-AU"/>
              </w:rPr>
            </w:pPr>
            <w:proofErr w:type="spellStart"/>
            <w:r w:rsidRPr="007E7A7B">
              <w:rPr>
                <w:rFonts w:ascii="Arial Narrow" w:hAnsi="Arial Narrow"/>
                <w:snapToGrid/>
                <w:sz w:val="20"/>
                <w:szCs w:val="20"/>
                <w:lang w:eastAsia="en-AU"/>
              </w:rPr>
              <w:t>Rpts</w:t>
            </w:r>
            <w:proofErr w:type="spellEnd"/>
          </w:p>
        </w:tc>
        <w:tc>
          <w:tcPr>
            <w:tcW w:w="1908" w:type="pct"/>
            <w:gridSpan w:val="2"/>
            <w:tcBorders>
              <w:bottom w:val="single" w:sz="4" w:space="0" w:color="auto"/>
            </w:tcBorders>
          </w:tcPr>
          <w:p w:rsidR="004E50C8" w:rsidRPr="007E7A7B" w:rsidRDefault="004E50C8" w:rsidP="007E7A7B">
            <w:pPr>
              <w:keepNext/>
              <w:widowControl/>
              <w:rPr>
                <w:rFonts w:ascii="Arial Narrow" w:hAnsi="Arial Narrow"/>
                <w:snapToGrid/>
                <w:sz w:val="20"/>
                <w:szCs w:val="20"/>
                <w:lang w:val="fr-FR" w:eastAsia="en-AU"/>
              </w:rPr>
            </w:pPr>
            <w:r w:rsidRPr="007E7A7B">
              <w:rPr>
                <w:rFonts w:ascii="Arial Narrow" w:hAnsi="Arial Narrow"/>
                <w:snapToGrid/>
                <w:sz w:val="20"/>
                <w:szCs w:val="20"/>
                <w:lang w:eastAsia="en-AU"/>
              </w:rPr>
              <w:t>Proprietary Name and Manufacturer</w:t>
            </w:r>
          </w:p>
        </w:tc>
      </w:tr>
      <w:tr w:rsidR="004E50C8" w:rsidRPr="007E7A7B" w:rsidTr="001C0F98">
        <w:trPr>
          <w:gridAfter w:val="1"/>
          <w:wAfter w:w="1037" w:type="pct"/>
          <w:cantSplit/>
          <w:trHeight w:val="577"/>
          <w:jc w:val="center"/>
        </w:trPr>
        <w:tc>
          <w:tcPr>
            <w:tcW w:w="1495" w:type="pct"/>
            <w:gridSpan w:val="2"/>
            <w:tcBorders>
              <w:top w:val="single" w:sz="4" w:space="0" w:color="auto"/>
            </w:tcBorders>
          </w:tcPr>
          <w:p w:rsidR="004E50C8" w:rsidRPr="007E7A7B" w:rsidRDefault="004E50C8" w:rsidP="007E7A7B">
            <w:pPr>
              <w:widowControl/>
              <w:spacing w:after="40"/>
              <w:ind w:left="-108"/>
              <w:rPr>
                <w:rFonts w:ascii="Arial Narrow" w:hAnsi="Arial Narrow"/>
                <w:smallCaps/>
                <w:snapToGrid/>
                <w:sz w:val="20"/>
                <w:szCs w:val="20"/>
                <w:lang w:eastAsia="en-AU"/>
              </w:rPr>
            </w:pPr>
            <w:proofErr w:type="spellStart"/>
            <w:r w:rsidRPr="007E7A7B">
              <w:rPr>
                <w:rFonts w:ascii="Arial Narrow" w:hAnsi="Arial Narrow"/>
                <w:smallCaps/>
                <w:snapToGrid/>
                <w:sz w:val="20"/>
                <w:szCs w:val="20"/>
                <w:lang w:eastAsia="en-AU"/>
              </w:rPr>
              <w:t>Ertugliflozin</w:t>
            </w:r>
            <w:proofErr w:type="spellEnd"/>
            <w:r w:rsidRPr="007E7A7B">
              <w:rPr>
                <w:rFonts w:ascii="Arial Narrow" w:hAnsi="Arial Narrow"/>
                <w:smallCaps/>
                <w:snapToGrid/>
                <w:sz w:val="20"/>
                <w:szCs w:val="20"/>
                <w:lang w:eastAsia="en-AU"/>
              </w:rPr>
              <w:t xml:space="preserve"> + metformin</w:t>
            </w:r>
          </w:p>
          <w:p w:rsidR="004E50C8" w:rsidRPr="007E7A7B" w:rsidRDefault="004E50C8" w:rsidP="007E7A7B">
            <w:pPr>
              <w:widowControl/>
              <w:spacing w:after="40"/>
              <w:ind w:left="-108"/>
              <w:rPr>
                <w:rFonts w:ascii="Arial Narrow" w:hAnsi="Arial Narrow"/>
                <w:i/>
                <w:snapToGrid/>
                <w:sz w:val="20"/>
                <w:szCs w:val="20"/>
                <w:lang w:eastAsia="en-AU"/>
              </w:rPr>
            </w:pPr>
            <w:proofErr w:type="spellStart"/>
            <w:r w:rsidRPr="007E7A7B">
              <w:rPr>
                <w:rFonts w:ascii="Arial Narrow" w:hAnsi="Arial Narrow"/>
                <w:i/>
                <w:snapToGrid/>
                <w:sz w:val="20"/>
                <w:szCs w:val="20"/>
                <w:lang w:eastAsia="en-AU"/>
              </w:rPr>
              <w:t>ertugliflozin</w:t>
            </w:r>
            <w:proofErr w:type="spellEnd"/>
            <w:r w:rsidRPr="007E7A7B">
              <w:rPr>
                <w:rFonts w:ascii="Arial Narrow" w:hAnsi="Arial Narrow"/>
                <w:i/>
                <w:snapToGrid/>
                <w:sz w:val="20"/>
                <w:szCs w:val="20"/>
                <w:lang w:eastAsia="en-AU"/>
              </w:rPr>
              <w:t xml:space="preserve"> 2.5 mg + metformin 500 mg tablet, 56</w:t>
            </w:r>
          </w:p>
          <w:p w:rsidR="004E50C8" w:rsidRPr="00121CAB" w:rsidRDefault="004E50C8" w:rsidP="00121CAB">
            <w:pPr>
              <w:widowControl/>
              <w:spacing w:after="40"/>
              <w:ind w:left="-108"/>
              <w:rPr>
                <w:rFonts w:ascii="Arial Narrow" w:hAnsi="Arial Narrow"/>
                <w:i/>
                <w:snapToGrid/>
                <w:sz w:val="20"/>
                <w:szCs w:val="20"/>
                <w:lang w:eastAsia="en-AU"/>
              </w:rPr>
            </w:pPr>
            <w:proofErr w:type="spellStart"/>
            <w:r w:rsidRPr="007E7A7B">
              <w:rPr>
                <w:rFonts w:ascii="Arial Narrow" w:hAnsi="Arial Narrow"/>
                <w:i/>
                <w:snapToGrid/>
                <w:sz w:val="20"/>
                <w:szCs w:val="20"/>
                <w:lang w:eastAsia="en-AU"/>
              </w:rPr>
              <w:t>ertugliflozin</w:t>
            </w:r>
            <w:proofErr w:type="spellEnd"/>
            <w:r w:rsidRPr="007E7A7B">
              <w:rPr>
                <w:rFonts w:ascii="Arial Narrow" w:hAnsi="Arial Narrow"/>
                <w:i/>
                <w:snapToGrid/>
                <w:sz w:val="20"/>
                <w:szCs w:val="20"/>
                <w:lang w:eastAsia="en-AU"/>
              </w:rPr>
              <w:t xml:space="preserve"> 2.5 mg + metformin 1 </w:t>
            </w:r>
            <w:r w:rsidR="00121CAB">
              <w:rPr>
                <w:rFonts w:ascii="Arial Narrow" w:hAnsi="Arial Narrow"/>
                <w:i/>
                <w:snapToGrid/>
                <w:sz w:val="20"/>
                <w:szCs w:val="20"/>
                <w:lang w:eastAsia="en-AU"/>
              </w:rPr>
              <w:t>g tablet, 56</w:t>
            </w:r>
          </w:p>
        </w:tc>
        <w:tc>
          <w:tcPr>
            <w:tcW w:w="284" w:type="pct"/>
            <w:tcBorders>
              <w:top w:val="single" w:sz="4" w:space="0" w:color="auto"/>
            </w:tcBorders>
          </w:tcPr>
          <w:p w:rsidR="004E50C8" w:rsidRPr="007E7A7B" w:rsidRDefault="004E50C8" w:rsidP="007E7A7B">
            <w:pPr>
              <w:keepNext/>
              <w:widowControl/>
              <w:spacing w:after="40"/>
              <w:jc w:val="left"/>
              <w:rPr>
                <w:rFonts w:ascii="Arial Narrow" w:hAnsi="Arial Narrow"/>
                <w:snapToGrid/>
                <w:sz w:val="20"/>
                <w:szCs w:val="20"/>
                <w:lang w:eastAsia="en-AU"/>
              </w:rPr>
            </w:pPr>
          </w:p>
          <w:p w:rsidR="004E50C8" w:rsidRPr="007E7A7B" w:rsidRDefault="004E50C8" w:rsidP="007E7A7B">
            <w:pPr>
              <w:keepNext/>
              <w:widowControl/>
              <w:spacing w:after="40"/>
              <w:jc w:val="left"/>
              <w:rPr>
                <w:rFonts w:ascii="Arial Narrow" w:hAnsi="Arial Narrow"/>
                <w:snapToGrid/>
                <w:sz w:val="20"/>
                <w:szCs w:val="20"/>
                <w:lang w:eastAsia="en-AU"/>
              </w:rPr>
            </w:pPr>
            <w:r w:rsidRPr="007E7A7B">
              <w:rPr>
                <w:rFonts w:ascii="Arial Narrow" w:hAnsi="Arial Narrow"/>
                <w:snapToGrid/>
                <w:sz w:val="20"/>
                <w:szCs w:val="20"/>
                <w:lang w:eastAsia="en-AU"/>
              </w:rPr>
              <w:t>1</w:t>
            </w:r>
          </w:p>
          <w:p w:rsidR="004E50C8" w:rsidRPr="007E7A7B" w:rsidRDefault="004E50C8" w:rsidP="007E7A7B">
            <w:pPr>
              <w:keepNext/>
              <w:widowControl/>
              <w:spacing w:after="40"/>
              <w:jc w:val="left"/>
              <w:rPr>
                <w:rFonts w:ascii="Arial Narrow" w:hAnsi="Arial Narrow"/>
                <w:snapToGrid/>
                <w:sz w:val="20"/>
                <w:szCs w:val="20"/>
                <w:lang w:eastAsia="en-AU"/>
              </w:rPr>
            </w:pPr>
          </w:p>
          <w:p w:rsidR="004E50C8" w:rsidRPr="007E7A7B" w:rsidRDefault="004E50C8" w:rsidP="007E7A7B">
            <w:pPr>
              <w:keepNext/>
              <w:widowControl/>
              <w:spacing w:after="40"/>
              <w:jc w:val="left"/>
              <w:rPr>
                <w:rFonts w:ascii="Arial Narrow" w:hAnsi="Arial Narrow"/>
                <w:snapToGrid/>
                <w:sz w:val="20"/>
                <w:szCs w:val="20"/>
                <w:lang w:eastAsia="en-AU"/>
              </w:rPr>
            </w:pPr>
            <w:r w:rsidRPr="007E7A7B">
              <w:rPr>
                <w:rFonts w:ascii="Arial Narrow" w:hAnsi="Arial Narrow"/>
                <w:snapToGrid/>
                <w:sz w:val="20"/>
                <w:szCs w:val="20"/>
                <w:lang w:eastAsia="en-AU"/>
              </w:rPr>
              <w:t>1</w:t>
            </w:r>
          </w:p>
          <w:p w:rsidR="004E50C8" w:rsidRPr="007E7A7B" w:rsidRDefault="004E50C8" w:rsidP="007E7A7B">
            <w:pPr>
              <w:keepNext/>
              <w:widowControl/>
              <w:spacing w:after="40"/>
              <w:jc w:val="left"/>
              <w:rPr>
                <w:rFonts w:ascii="Arial Narrow" w:hAnsi="Arial Narrow"/>
                <w:snapToGrid/>
                <w:sz w:val="20"/>
                <w:szCs w:val="20"/>
                <w:lang w:eastAsia="en-AU"/>
              </w:rPr>
            </w:pPr>
          </w:p>
        </w:tc>
        <w:tc>
          <w:tcPr>
            <w:tcW w:w="276" w:type="pct"/>
            <w:tcBorders>
              <w:top w:val="single" w:sz="4" w:space="0" w:color="auto"/>
            </w:tcBorders>
          </w:tcPr>
          <w:p w:rsidR="004E50C8" w:rsidRPr="007E7A7B" w:rsidRDefault="004E50C8" w:rsidP="007E7A7B">
            <w:pPr>
              <w:keepNext/>
              <w:widowControl/>
              <w:spacing w:after="40"/>
              <w:ind w:left="-108"/>
              <w:jc w:val="left"/>
              <w:rPr>
                <w:rFonts w:ascii="Arial Narrow" w:hAnsi="Arial Narrow"/>
                <w:snapToGrid/>
                <w:sz w:val="20"/>
                <w:szCs w:val="20"/>
                <w:lang w:eastAsia="en-AU"/>
              </w:rPr>
            </w:pPr>
          </w:p>
          <w:p w:rsidR="004E50C8" w:rsidRPr="007E7A7B" w:rsidRDefault="004E50C8" w:rsidP="007E7A7B">
            <w:pPr>
              <w:keepNext/>
              <w:widowControl/>
              <w:spacing w:after="40"/>
              <w:ind w:left="-108"/>
              <w:jc w:val="left"/>
              <w:rPr>
                <w:rFonts w:ascii="Arial Narrow" w:hAnsi="Arial Narrow"/>
                <w:snapToGrid/>
                <w:sz w:val="20"/>
                <w:szCs w:val="20"/>
                <w:lang w:eastAsia="en-AU"/>
              </w:rPr>
            </w:pPr>
            <w:r w:rsidRPr="007E7A7B">
              <w:rPr>
                <w:rFonts w:ascii="Arial Narrow" w:hAnsi="Arial Narrow"/>
                <w:snapToGrid/>
                <w:sz w:val="20"/>
                <w:szCs w:val="20"/>
                <w:lang w:eastAsia="en-AU"/>
              </w:rPr>
              <w:t>5</w:t>
            </w:r>
          </w:p>
          <w:p w:rsidR="004E50C8" w:rsidRPr="007E7A7B" w:rsidRDefault="004E50C8" w:rsidP="007E7A7B">
            <w:pPr>
              <w:keepNext/>
              <w:widowControl/>
              <w:spacing w:after="40"/>
              <w:ind w:left="-108"/>
              <w:jc w:val="left"/>
              <w:rPr>
                <w:rFonts w:ascii="Arial Narrow" w:hAnsi="Arial Narrow"/>
                <w:snapToGrid/>
                <w:sz w:val="20"/>
                <w:szCs w:val="20"/>
                <w:lang w:eastAsia="en-AU"/>
              </w:rPr>
            </w:pPr>
          </w:p>
          <w:p w:rsidR="004E50C8" w:rsidRPr="007E7A7B" w:rsidRDefault="004E50C8" w:rsidP="007E7A7B">
            <w:pPr>
              <w:keepNext/>
              <w:widowControl/>
              <w:spacing w:after="40"/>
              <w:ind w:left="-108"/>
              <w:jc w:val="left"/>
              <w:rPr>
                <w:rFonts w:ascii="Arial Narrow" w:hAnsi="Arial Narrow"/>
                <w:snapToGrid/>
                <w:sz w:val="20"/>
                <w:szCs w:val="20"/>
                <w:lang w:eastAsia="en-AU"/>
              </w:rPr>
            </w:pPr>
            <w:r w:rsidRPr="007E7A7B">
              <w:rPr>
                <w:rFonts w:ascii="Arial Narrow" w:hAnsi="Arial Narrow"/>
                <w:snapToGrid/>
                <w:sz w:val="20"/>
                <w:szCs w:val="20"/>
                <w:lang w:eastAsia="en-AU"/>
              </w:rPr>
              <w:t>5</w:t>
            </w:r>
          </w:p>
          <w:p w:rsidR="004E50C8" w:rsidRPr="007E7A7B" w:rsidRDefault="004E50C8" w:rsidP="00121CAB">
            <w:pPr>
              <w:keepNext/>
              <w:widowControl/>
              <w:spacing w:after="40"/>
              <w:jc w:val="left"/>
              <w:rPr>
                <w:rFonts w:ascii="Arial Narrow" w:hAnsi="Arial Narrow"/>
                <w:snapToGrid/>
                <w:sz w:val="20"/>
                <w:szCs w:val="20"/>
                <w:lang w:eastAsia="en-AU"/>
              </w:rPr>
            </w:pPr>
          </w:p>
        </w:tc>
        <w:tc>
          <w:tcPr>
            <w:tcW w:w="914" w:type="pct"/>
            <w:tcBorders>
              <w:top w:val="single" w:sz="4" w:space="0" w:color="auto"/>
            </w:tcBorders>
          </w:tcPr>
          <w:p w:rsidR="004E50C8" w:rsidRPr="007E7A7B" w:rsidRDefault="004E50C8" w:rsidP="007E7A7B">
            <w:pPr>
              <w:widowControl/>
              <w:spacing w:after="40"/>
              <w:jc w:val="left"/>
              <w:rPr>
                <w:rFonts w:ascii="Times New Roman" w:hAnsi="Times New Roman" w:cs="Times New Roman"/>
                <w:snapToGrid/>
                <w:szCs w:val="24"/>
                <w:lang w:eastAsia="en-AU"/>
              </w:rPr>
            </w:pPr>
          </w:p>
          <w:tbl>
            <w:tblPr>
              <w:tblW w:w="2622" w:type="dxa"/>
              <w:tblLayout w:type="fixed"/>
              <w:tblLook w:val="0000" w:firstRow="0" w:lastRow="0" w:firstColumn="0" w:lastColumn="0" w:noHBand="0" w:noVBand="0"/>
            </w:tblPr>
            <w:tblGrid>
              <w:gridCol w:w="1267"/>
              <w:gridCol w:w="1355"/>
            </w:tblGrid>
            <w:tr w:rsidR="004E50C8" w:rsidRPr="007E7A7B" w:rsidTr="0062799C">
              <w:trPr>
                <w:cantSplit/>
                <w:trHeight w:val="649"/>
              </w:trPr>
              <w:tc>
                <w:tcPr>
                  <w:tcW w:w="2416" w:type="pct"/>
                  <w:vAlign w:val="center"/>
                </w:tcPr>
                <w:p w:rsidR="004E50C8" w:rsidRPr="007E7A7B" w:rsidRDefault="004E50C8" w:rsidP="00A2009D">
                  <w:pPr>
                    <w:keepNext/>
                    <w:widowControl/>
                    <w:spacing w:after="40"/>
                    <w:jc w:val="left"/>
                    <w:rPr>
                      <w:rFonts w:ascii="Arial Narrow" w:hAnsi="Arial Narrow"/>
                      <w:snapToGrid/>
                      <w:sz w:val="20"/>
                      <w:szCs w:val="20"/>
                      <w:lang w:eastAsia="en-AU"/>
                    </w:rPr>
                  </w:pPr>
                  <w:proofErr w:type="spellStart"/>
                  <w:r w:rsidRPr="007E7A7B">
                    <w:rPr>
                      <w:rFonts w:ascii="Arial Narrow" w:hAnsi="Arial Narrow"/>
                      <w:snapToGrid/>
                      <w:sz w:val="20"/>
                      <w:szCs w:val="20"/>
                      <w:lang w:eastAsia="en-AU"/>
                    </w:rPr>
                    <w:t>Segluromet</w:t>
                  </w:r>
                  <w:proofErr w:type="spellEnd"/>
                  <w:r w:rsidRPr="007E7A7B">
                    <w:rPr>
                      <w:rFonts w:ascii="Arial Narrow" w:hAnsi="Arial Narrow"/>
                      <w:snapToGrid/>
                      <w:sz w:val="20"/>
                      <w:szCs w:val="20"/>
                      <w:vertAlign w:val="superscript"/>
                      <w:lang w:eastAsia="en-AU"/>
                    </w:rPr>
                    <w:t>®</w:t>
                  </w:r>
                  <w:r w:rsidRPr="007E7A7B">
                    <w:rPr>
                      <w:rFonts w:ascii="Arial Narrow" w:hAnsi="Arial Narrow"/>
                      <w:snapToGrid/>
                      <w:sz w:val="20"/>
                      <w:szCs w:val="20"/>
                      <w:lang w:eastAsia="en-AU"/>
                    </w:rPr>
                    <w:t xml:space="preserve"> </w:t>
                  </w:r>
                </w:p>
              </w:tc>
              <w:tc>
                <w:tcPr>
                  <w:tcW w:w="2584" w:type="pct"/>
                </w:tcPr>
                <w:p w:rsidR="004E50C8" w:rsidRPr="007E7A7B" w:rsidRDefault="004E50C8" w:rsidP="007E7A7B">
                  <w:pPr>
                    <w:keepNext/>
                    <w:widowControl/>
                    <w:spacing w:after="40"/>
                    <w:jc w:val="left"/>
                    <w:rPr>
                      <w:rFonts w:ascii="Arial Narrow" w:hAnsi="Arial Narrow"/>
                      <w:snapToGrid/>
                      <w:sz w:val="20"/>
                      <w:szCs w:val="20"/>
                      <w:lang w:eastAsia="en-AU"/>
                    </w:rPr>
                  </w:pPr>
                </w:p>
              </w:tc>
            </w:tr>
          </w:tbl>
          <w:p w:rsidR="004E50C8" w:rsidRPr="007E7A7B" w:rsidRDefault="004E50C8" w:rsidP="007E7A7B">
            <w:pPr>
              <w:keepNext/>
              <w:widowControl/>
              <w:spacing w:after="40"/>
              <w:rPr>
                <w:rFonts w:ascii="Arial Narrow" w:hAnsi="Arial Narrow"/>
                <w:snapToGrid/>
                <w:sz w:val="20"/>
                <w:szCs w:val="20"/>
                <w:lang w:eastAsia="en-AU"/>
              </w:rPr>
            </w:pPr>
          </w:p>
        </w:tc>
        <w:tc>
          <w:tcPr>
            <w:tcW w:w="994" w:type="pct"/>
            <w:tcBorders>
              <w:top w:val="single" w:sz="4" w:space="0" w:color="auto"/>
            </w:tcBorders>
            <w:vAlign w:val="center"/>
          </w:tcPr>
          <w:p w:rsidR="004E50C8" w:rsidRPr="007E7A7B" w:rsidRDefault="004E50C8" w:rsidP="007E7A7B">
            <w:pPr>
              <w:keepNext/>
              <w:widowControl/>
              <w:spacing w:after="40"/>
              <w:jc w:val="left"/>
              <w:rPr>
                <w:rFonts w:ascii="Arial Narrow" w:hAnsi="Arial Narrow"/>
                <w:snapToGrid/>
                <w:sz w:val="20"/>
                <w:szCs w:val="20"/>
                <w:lang w:eastAsia="en-AU"/>
              </w:rPr>
            </w:pPr>
            <w:r w:rsidRPr="007E7A7B">
              <w:rPr>
                <w:rFonts w:ascii="Arial Narrow" w:hAnsi="Arial Narrow"/>
                <w:snapToGrid/>
                <w:sz w:val="20"/>
                <w:szCs w:val="20"/>
                <w:lang w:eastAsia="en-AU"/>
              </w:rPr>
              <w:t>Merck Sharp &amp; Dohme (Australia) Pty Ltd</w:t>
            </w:r>
          </w:p>
          <w:p w:rsidR="004E50C8" w:rsidRPr="007E7A7B" w:rsidRDefault="004E50C8" w:rsidP="007E7A7B">
            <w:pPr>
              <w:keepNext/>
              <w:widowControl/>
              <w:spacing w:after="40"/>
              <w:jc w:val="left"/>
              <w:rPr>
                <w:rFonts w:ascii="Arial Narrow" w:hAnsi="Arial Narrow"/>
                <w:snapToGrid/>
                <w:sz w:val="20"/>
                <w:szCs w:val="20"/>
                <w:lang w:eastAsia="en-AU"/>
              </w:rPr>
            </w:pPr>
          </w:p>
        </w:tc>
      </w:tr>
      <w:tr w:rsidR="007E7A7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Category / Program</w:t>
            </w:r>
          </w:p>
        </w:tc>
        <w:tc>
          <w:tcPr>
            <w:tcW w:w="3562"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i/>
                <w:snapToGrid/>
                <w:sz w:val="20"/>
                <w:szCs w:val="20"/>
                <w:lang w:eastAsia="en-AU"/>
              </w:rPr>
            </w:pPr>
            <w:r w:rsidRPr="007E7A7B">
              <w:rPr>
                <w:rFonts w:ascii="Arial Narrow" w:hAnsi="Arial Narrow"/>
                <w:i/>
                <w:snapToGrid/>
                <w:sz w:val="20"/>
                <w:szCs w:val="20"/>
                <w:lang w:eastAsia="en-AU"/>
              </w:rPr>
              <w:t>GENERAL – General Schedule (Code GE)</w:t>
            </w:r>
          </w:p>
        </w:tc>
      </w:tr>
      <w:tr w:rsidR="007E7A7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Prescriber type:</w:t>
            </w:r>
          </w:p>
        </w:tc>
        <w:tc>
          <w:tcPr>
            <w:tcW w:w="3562"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1"/>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Dental  </w:t>
            </w:r>
            <w:r w:rsidRPr="007E7A7B">
              <w:rPr>
                <w:rFonts w:ascii="Arial Narrow" w:hAnsi="Arial Narrow"/>
                <w:snapToGrid/>
                <w:sz w:val="20"/>
                <w:szCs w:val="20"/>
                <w:lang w:eastAsia="en-AU"/>
              </w:rPr>
              <w:fldChar w:fldCharType="begin">
                <w:ffData>
                  <w:name w:val=""/>
                  <w:enabled/>
                  <w:calcOnExit w:val="0"/>
                  <w:checkBox>
                    <w:sizeAuto/>
                    <w:default w:val="1"/>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Medical Practitioners  </w:t>
            </w:r>
            <w:r w:rsidRPr="007E7A7B">
              <w:rPr>
                <w:rFonts w:ascii="Arial Narrow" w:hAnsi="Arial Narrow"/>
                <w:snapToGrid/>
                <w:sz w:val="20"/>
                <w:szCs w:val="20"/>
                <w:lang w:eastAsia="en-AU"/>
              </w:rPr>
              <w:fldChar w:fldCharType="begin">
                <w:ffData>
                  <w:name w:val="Check3"/>
                  <w:enabled/>
                  <w:calcOnExit w:val="0"/>
                  <w:checkBox>
                    <w:sizeAuto/>
                    <w:default w:val="1"/>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Nurse practitioners  </w:t>
            </w:r>
            <w:r w:rsidRPr="007E7A7B">
              <w:rPr>
                <w:rFonts w:ascii="Arial Narrow" w:hAnsi="Arial Narrow"/>
                <w:snapToGrid/>
                <w:sz w:val="20"/>
                <w:szCs w:val="20"/>
                <w:lang w:eastAsia="en-AU"/>
              </w:rPr>
              <w:fldChar w:fldCharType="begin">
                <w:ffData>
                  <w:name w:val=""/>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Optometrists</w:t>
            </w:r>
          </w:p>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5"/>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Midwives</w:t>
            </w:r>
          </w:p>
        </w:tc>
      </w:tr>
      <w:tr w:rsidR="007E7A7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Condition:</w:t>
            </w:r>
          </w:p>
        </w:tc>
        <w:tc>
          <w:tcPr>
            <w:tcW w:w="3562"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t>Diabetes mellitus type 2</w:t>
            </w:r>
          </w:p>
        </w:tc>
      </w:tr>
      <w:tr w:rsidR="007E7A7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PBS Indication:</w:t>
            </w:r>
          </w:p>
        </w:tc>
        <w:tc>
          <w:tcPr>
            <w:tcW w:w="3562" w:type="pct"/>
            <w:gridSpan w:val="6"/>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t>Diabetes mellitus type 2</w:t>
            </w:r>
          </w:p>
        </w:tc>
      </w:tr>
      <w:tr w:rsidR="00E719A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E719AB" w:rsidRPr="007E7A7B" w:rsidRDefault="00E719A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Treatment phase:</w:t>
            </w:r>
          </w:p>
        </w:tc>
        <w:tc>
          <w:tcPr>
            <w:tcW w:w="3562" w:type="pct"/>
            <w:gridSpan w:val="6"/>
            <w:tcBorders>
              <w:top w:val="single" w:sz="4" w:space="0" w:color="auto"/>
              <w:left w:val="single" w:sz="4" w:space="0" w:color="auto"/>
              <w:bottom w:val="single" w:sz="4" w:space="0" w:color="auto"/>
              <w:right w:val="single" w:sz="4" w:space="0" w:color="auto"/>
            </w:tcBorders>
          </w:tcPr>
          <w:p w:rsidR="00E719AB" w:rsidRPr="007E7A7B" w:rsidRDefault="00E719AB" w:rsidP="007E7A7B">
            <w:pPr>
              <w:widowControl/>
              <w:jc w:val="left"/>
              <w:rPr>
                <w:rFonts w:ascii="Arial Narrow" w:hAnsi="Arial Narrow"/>
                <w:snapToGrid/>
                <w:sz w:val="20"/>
                <w:szCs w:val="20"/>
                <w:lang w:eastAsia="en-AU"/>
              </w:rPr>
            </w:pPr>
            <w:r>
              <w:rPr>
                <w:rFonts w:ascii="Arial Narrow" w:hAnsi="Arial Narrow"/>
                <w:snapToGrid/>
                <w:sz w:val="20"/>
                <w:szCs w:val="20"/>
                <w:lang w:eastAsia="en-AU"/>
              </w:rPr>
              <w:t>Initial</w:t>
            </w:r>
            <w:r w:rsidRPr="007E7A7B">
              <w:rPr>
                <w:rFonts w:ascii="Arial Narrow" w:hAnsi="Arial Narrow"/>
                <w:snapToGrid/>
                <w:sz w:val="20"/>
                <w:szCs w:val="20"/>
                <w:lang w:eastAsia="en-AU"/>
              </w:rPr>
              <w:t xml:space="preserve"> </w:t>
            </w:r>
            <w:r w:rsidRPr="007E7A7B">
              <w:rPr>
                <w:rFonts w:ascii="Arial Narrow" w:hAnsi="Arial Narrow"/>
                <w:i/>
                <w:snapToGrid/>
                <w:sz w:val="20"/>
                <w:szCs w:val="20"/>
                <w:lang w:eastAsia="en-AU"/>
              </w:rPr>
              <w:t>treatment</w:t>
            </w:r>
          </w:p>
        </w:tc>
      </w:tr>
      <w:tr w:rsidR="00E719A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E719AB" w:rsidRPr="007E7A7B" w:rsidRDefault="00E719AB" w:rsidP="007E7A7B">
            <w:pPr>
              <w:widowControl/>
              <w:rPr>
                <w:rFonts w:ascii="Arial Narrow" w:hAnsi="Arial Narrow"/>
                <w:i/>
                <w:snapToGrid/>
                <w:sz w:val="20"/>
                <w:szCs w:val="20"/>
                <w:lang w:eastAsia="en-AU"/>
              </w:rPr>
            </w:pPr>
            <w:r w:rsidRPr="007E7A7B">
              <w:rPr>
                <w:rFonts w:ascii="Arial Narrow" w:hAnsi="Arial Narrow"/>
                <w:b/>
                <w:snapToGrid/>
                <w:sz w:val="20"/>
                <w:szCs w:val="20"/>
                <w:lang w:eastAsia="en-AU"/>
              </w:rPr>
              <w:t>Restriction Level / Method:</w:t>
            </w:r>
          </w:p>
        </w:tc>
        <w:tc>
          <w:tcPr>
            <w:tcW w:w="3562" w:type="pct"/>
            <w:gridSpan w:val="6"/>
            <w:tcBorders>
              <w:top w:val="single" w:sz="4" w:space="0" w:color="auto"/>
              <w:left w:val="single" w:sz="4" w:space="0" w:color="auto"/>
              <w:bottom w:val="single" w:sz="4" w:space="0" w:color="auto"/>
              <w:right w:val="single" w:sz="4" w:space="0" w:color="auto"/>
            </w:tcBorders>
          </w:tcPr>
          <w:p w:rsidR="00E719AB" w:rsidRPr="007E7A7B" w:rsidRDefault="00E719A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5"/>
                  <w:enabled/>
                  <w:calcOnExit w:val="0"/>
                  <w:checkBox>
                    <w:sizeAuto/>
                    <w:default w:val="1"/>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Streamlined</w:t>
            </w:r>
          </w:p>
        </w:tc>
      </w:tr>
      <w:tr w:rsidR="00E719A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E719AB" w:rsidRPr="007E7A7B" w:rsidRDefault="00E719AB" w:rsidP="004E50C8">
            <w:pPr>
              <w:widowControl/>
              <w:spacing w:before="40" w:after="60"/>
              <w:rPr>
                <w:rFonts w:ascii="Arial Narrow" w:hAnsi="Arial Narrow"/>
                <w:b/>
                <w:snapToGrid/>
                <w:sz w:val="20"/>
                <w:szCs w:val="20"/>
                <w:lang w:eastAsia="en-AU"/>
              </w:rPr>
            </w:pPr>
            <w:r w:rsidRPr="007E7A7B">
              <w:rPr>
                <w:rFonts w:ascii="Arial Narrow" w:hAnsi="Arial Narrow"/>
                <w:b/>
                <w:snapToGrid/>
                <w:sz w:val="20"/>
                <w:szCs w:val="20"/>
                <w:lang w:eastAsia="en-AU"/>
              </w:rPr>
              <w:t>Clinical criteria:</w:t>
            </w:r>
          </w:p>
          <w:p w:rsidR="00E719AB" w:rsidRPr="007E7A7B" w:rsidRDefault="00E719AB" w:rsidP="004E50C8">
            <w:pPr>
              <w:widowControl/>
              <w:spacing w:before="40" w:after="60"/>
              <w:rPr>
                <w:rFonts w:ascii="Arial Narrow" w:hAnsi="Arial Narrow"/>
                <w:i/>
                <w:snapToGrid/>
                <w:sz w:val="20"/>
                <w:szCs w:val="20"/>
                <w:lang w:eastAsia="en-AU"/>
              </w:rPr>
            </w:pPr>
          </w:p>
          <w:p w:rsidR="00E719AB" w:rsidRPr="007E7A7B" w:rsidRDefault="00E719AB" w:rsidP="004E50C8">
            <w:pPr>
              <w:widowControl/>
              <w:spacing w:before="40" w:after="60"/>
              <w:rPr>
                <w:rFonts w:ascii="Arial Narrow" w:hAnsi="Arial Narrow"/>
                <w:snapToGrid/>
                <w:sz w:val="20"/>
                <w:szCs w:val="20"/>
                <w:lang w:eastAsia="en-AU"/>
              </w:rPr>
            </w:pPr>
          </w:p>
        </w:tc>
        <w:tc>
          <w:tcPr>
            <w:tcW w:w="3562" w:type="pct"/>
            <w:gridSpan w:val="6"/>
            <w:tcBorders>
              <w:top w:val="single" w:sz="4" w:space="0" w:color="auto"/>
              <w:left w:val="single" w:sz="4" w:space="0" w:color="auto"/>
              <w:bottom w:val="single" w:sz="4" w:space="0" w:color="auto"/>
              <w:right w:val="single" w:sz="4" w:space="0" w:color="auto"/>
            </w:tcBorders>
          </w:tcPr>
          <w:p w:rsidR="00E719AB" w:rsidRPr="007E7A7B" w:rsidRDefault="00E719AB" w:rsidP="004E50C8">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 xml:space="preserve">Patient must have, or have had, a HbA1c measurement greater than 7% despite treatment with metformin; </w:t>
            </w:r>
          </w:p>
          <w:p w:rsidR="00E719AB" w:rsidRPr="007E7A7B" w:rsidRDefault="00E719AB" w:rsidP="004E50C8">
            <w:pPr>
              <w:widowControl/>
              <w:spacing w:before="40" w:after="60"/>
              <w:jc w:val="left"/>
              <w:rPr>
                <w:rFonts w:ascii="Arial Narrow" w:hAnsi="Arial Narrow"/>
                <w:i/>
                <w:snapToGrid/>
                <w:sz w:val="20"/>
                <w:szCs w:val="20"/>
                <w:lang w:eastAsia="en-AU"/>
              </w:rPr>
            </w:pPr>
            <w:r w:rsidRPr="007E7A7B">
              <w:rPr>
                <w:rFonts w:ascii="Arial Narrow" w:hAnsi="Arial Narrow"/>
                <w:snapToGrid/>
                <w:sz w:val="20"/>
                <w:szCs w:val="20"/>
                <w:lang w:eastAsia="en-AU"/>
              </w:rPr>
              <w:t>OR</w:t>
            </w:r>
          </w:p>
          <w:p w:rsidR="00E719AB" w:rsidRPr="007E7A7B" w:rsidRDefault="00E719AB" w:rsidP="004E50C8">
            <w:pPr>
              <w:widowControl/>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Patient must have, or have had, where HbA1c measurement is clinically inappropriate, blood glucose levels greater than 10 </w:t>
            </w:r>
            <w:proofErr w:type="spellStart"/>
            <w:r w:rsidRPr="007E7A7B">
              <w:rPr>
                <w:rFonts w:ascii="Arial Narrow" w:hAnsi="Arial Narrow"/>
                <w:snapToGrid/>
                <w:color w:val="333333"/>
                <w:sz w:val="20"/>
                <w:szCs w:val="20"/>
                <w:lang w:eastAsia="en-AU"/>
              </w:rPr>
              <w:t>mmol</w:t>
            </w:r>
            <w:proofErr w:type="spellEnd"/>
            <w:r w:rsidRPr="007E7A7B">
              <w:rPr>
                <w:rFonts w:ascii="Arial Narrow" w:hAnsi="Arial Narrow"/>
                <w:snapToGrid/>
                <w:color w:val="333333"/>
                <w:sz w:val="20"/>
                <w:szCs w:val="20"/>
                <w:lang w:eastAsia="en-AU"/>
              </w:rPr>
              <w:t xml:space="preserve"> per L in more than 20% of tests over a 2 week period despite treatment with metformin.</w:t>
            </w:r>
          </w:p>
        </w:tc>
      </w:tr>
      <w:tr w:rsidR="00E719A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E719AB" w:rsidRPr="007E7A7B" w:rsidRDefault="00E719AB" w:rsidP="004E50C8">
            <w:pPr>
              <w:widowControl/>
              <w:spacing w:before="40" w:after="60"/>
              <w:rPr>
                <w:rFonts w:ascii="Arial Narrow" w:hAnsi="Arial Narrow"/>
                <w:b/>
                <w:snapToGrid/>
                <w:sz w:val="20"/>
                <w:szCs w:val="20"/>
                <w:lang w:eastAsia="en-AU"/>
              </w:rPr>
            </w:pPr>
            <w:r w:rsidRPr="007E7A7B">
              <w:rPr>
                <w:rFonts w:ascii="Arial Narrow" w:hAnsi="Arial Narrow"/>
                <w:b/>
                <w:snapToGrid/>
                <w:sz w:val="20"/>
                <w:szCs w:val="20"/>
                <w:lang w:eastAsia="en-AU"/>
              </w:rPr>
              <w:lastRenderedPageBreak/>
              <w:t>Prescriber Instructions</w:t>
            </w:r>
          </w:p>
          <w:p w:rsidR="00E719AB" w:rsidRPr="007E7A7B" w:rsidRDefault="00E719AB" w:rsidP="004E50C8">
            <w:pPr>
              <w:widowControl/>
              <w:spacing w:before="40" w:after="60"/>
              <w:rPr>
                <w:rFonts w:ascii="Arial Narrow" w:hAnsi="Arial Narrow"/>
                <w:snapToGrid/>
                <w:sz w:val="20"/>
                <w:szCs w:val="20"/>
                <w:lang w:eastAsia="en-AU"/>
              </w:rPr>
            </w:pPr>
          </w:p>
        </w:tc>
        <w:tc>
          <w:tcPr>
            <w:tcW w:w="3562" w:type="pct"/>
            <w:gridSpan w:val="6"/>
            <w:tcBorders>
              <w:top w:val="single" w:sz="4" w:space="0" w:color="auto"/>
              <w:left w:val="single" w:sz="4" w:space="0" w:color="auto"/>
              <w:bottom w:val="single" w:sz="4" w:space="0" w:color="auto"/>
              <w:right w:val="single" w:sz="4" w:space="0" w:color="auto"/>
            </w:tcBorders>
          </w:tcPr>
          <w:p w:rsidR="00E719AB" w:rsidRPr="007E7A7B" w:rsidRDefault="00E719A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The date and level of the qualifying HbA1c measurement must be, or must have been, documented in the patient's medical records at the time treatment with a dipeptidyl peptidase 4 inhibitor (gliptin), a thiazolidinedione (</w:t>
            </w:r>
            <w:proofErr w:type="spellStart"/>
            <w:r w:rsidRPr="007E7A7B">
              <w:rPr>
                <w:rFonts w:ascii="Arial Narrow" w:hAnsi="Arial Narrow"/>
                <w:snapToGrid/>
                <w:color w:val="333333"/>
                <w:sz w:val="20"/>
                <w:szCs w:val="20"/>
                <w:lang w:eastAsia="en-AU"/>
              </w:rPr>
              <w:t>glitazone</w:t>
            </w:r>
            <w:proofErr w:type="spellEnd"/>
            <w:r w:rsidRPr="007E7A7B">
              <w:rPr>
                <w:rFonts w:ascii="Arial Narrow" w:hAnsi="Arial Narrow"/>
                <w:snapToGrid/>
                <w:color w:val="333333"/>
                <w:sz w:val="20"/>
                <w:szCs w:val="20"/>
                <w:lang w:eastAsia="en-AU"/>
              </w:rPr>
              <w:t>), a glucagon-like peptide-1 or a sodium-glucose co-transporter 2 (SGLT2) inhibitor is initiated.</w:t>
            </w:r>
          </w:p>
          <w:p w:rsidR="00E719AB" w:rsidRPr="007E7A7B" w:rsidRDefault="00E719A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The HbA1c must be no more than 4 months old at the time treatment with a gliptin, a </w:t>
            </w:r>
            <w:proofErr w:type="spellStart"/>
            <w:r w:rsidRPr="007E7A7B">
              <w:rPr>
                <w:rFonts w:ascii="Arial Narrow" w:hAnsi="Arial Narrow"/>
                <w:snapToGrid/>
                <w:color w:val="333333"/>
                <w:sz w:val="20"/>
                <w:szCs w:val="20"/>
                <w:lang w:eastAsia="en-AU"/>
              </w:rPr>
              <w:t>glitazone</w:t>
            </w:r>
            <w:proofErr w:type="spellEnd"/>
            <w:r w:rsidRPr="007E7A7B">
              <w:rPr>
                <w:rFonts w:ascii="Arial Narrow" w:hAnsi="Arial Narrow"/>
                <w:snapToGrid/>
                <w:color w:val="333333"/>
                <w:sz w:val="20"/>
                <w:szCs w:val="20"/>
                <w:lang w:eastAsia="en-AU"/>
              </w:rPr>
              <w:t>, a glucagon-like peptide-1 or an SGLT2 inhibitor is initiated.</w:t>
            </w:r>
          </w:p>
          <w:p w:rsidR="00E719AB" w:rsidRPr="007E7A7B" w:rsidRDefault="00E719A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Blood glucose monitoring may be used as an alternative assessment to HbA1c levels in the following circumstances:</w:t>
            </w:r>
          </w:p>
          <w:p w:rsidR="00E719AB" w:rsidRPr="007E7A7B" w:rsidRDefault="00E719A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(a) A clinical condition with reduced red blood cell survival, including haemolytic anaemias and </w:t>
            </w:r>
            <w:proofErr w:type="spellStart"/>
            <w:r w:rsidRPr="007E7A7B">
              <w:rPr>
                <w:rFonts w:ascii="Arial Narrow" w:hAnsi="Arial Narrow"/>
                <w:snapToGrid/>
                <w:color w:val="333333"/>
                <w:sz w:val="20"/>
                <w:szCs w:val="20"/>
                <w:lang w:eastAsia="en-AU"/>
              </w:rPr>
              <w:t>haemoglobinopathies</w:t>
            </w:r>
            <w:proofErr w:type="spellEnd"/>
            <w:r w:rsidRPr="007E7A7B">
              <w:rPr>
                <w:rFonts w:ascii="Arial Narrow" w:hAnsi="Arial Narrow"/>
                <w:snapToGrid/>
                <w:color w:val="333333"/>
                <w:sz w:val="20"/>
                <w:szCs w:val="20"/>
                <w:lang w:eastAsia="en-AU"/>
              </w:rPr>
              <w:t>; and/or</w:t>
            </w:r>
          </w:p>
          <w:p w:rsidR="00E719AB" w:rsidRPr="007E7A7B" w:rsidRDefault="00E719AB" w:rsidP="004E50C8">
            <w:pPr>
              <w:widowControl/>
              <w:shd w:val="clear" w:color="auto" w:fill="FFFFFF"/>
              <w:spacing w:before="40" w:after="60" w:line="240" w:lineRule="atLeast"/>
              <w:jc w:val="left"/>
              <w:textAlignment w:val="baseline"/>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(b) Had red cell transfusion within the previous 3 months.</w:t>
            </w:r>
          </w:p>
          <w:p w:rsidR="00E719AB" w:rsidRDefault="00E719AB" w:rsidP="00D05E39">
            <w:pPr>
              <w:widowControl/>
              <w:spacing w:before="40" w:after="60"/>
              <w:jc w:val="left"/>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 xml:space="preserve">The results of the blood glucose monitoring, which must be no more than 4 months old at the time of initiation of treatment with a gliptin, a </w:t>
            </w:r>
            <w:proofErr w:type="spellStart"/>
            <w:r w:rsidRPr="007E7A7B">
              <w:rPr>
                <w:rFonts w:ascii="Arial Narrow" w:hAnsi="Arial Narrow"/>
                <w:snapToGrid/>
                <w:color w:val="333333"/>
                <w:sz w:val="20"/>
                <w:szCs w:val="20"/>
                <w:lang w:eastAsia="en-AU"/>
              </w:rPr>
              <w:t>glitazone</w:t>
            </w:r>
            <w:proofErr w:type="spellEnd"/>
            <w:r w:rsidRPr="007E7A7B">
              <w:rPr>
                <w:rFonts w:ascii="Arial Narrow" w:hAnsi="Arial Narrow"/>
                <w:snapToGrid/>
                <w:color w:val="333333"/>
                <w:sz w:val="20"/>
                <w:szCs w:val="20"/>
                <w:lang w:eastAsia="en-AU"/>
              </w:rPr>
              <w:t>, a glucagon-like peptide-1 or an SGLT2 inhibitor, must be documented in the patient's medical records.</w:t>
            </w:r>
          </w:p>
          <w:p w:rsidR="00E719AB" w:rsidRPr="007E7A7B" w:rsidRDefault="00E719AB" w:rsidP="00D05E39">
            <w:pPr>
              <w:widowControl/>
              <w:spacing w:before="40" w:after="60"/>
              <w:jc w:val="left"/>
              <w:rPr>
                <w:rFonts w:ascii="Arial Narrow" w:hAnsi="Arial Narrow"/>
                <w:snapToGrid/>
                <w:color w:val="333333"/>
                <w:sz w:val="20"/>
                <w:szCs w:val="20"/>
                <w:lang w:eastAsia="en-AU"/>
              </w:rPr>
            </w:pPr>
            <w:r w:rsidRPr="007E7A7B">
              <w:rPr>
                <w:rFonts w:ascii="Arial Narrow" w:hAnsi="Arial Narrow"/>
                <w:snapToGrid/>
                <w:color w:val="333333"/>
                <w:sz w:val="20"/>
                <w:szCs w:val="20"/>
                <w:lang w:eastAsia="en-AU"/>
              </w:rPr>
              <w:t>A patient whose diabetes was previously demonstrated unable to be controlled with metformin does not need to requalify on this criterion before being eligible for PBS-subsidised treatment with this fixed dose combination.</w:t>
            </w:r>
          </w:p>
        </w:tc>
      </w:tr>
      <w:tr w:rsidR="00E719AB" w:rsidRPr="007E7A7B" w:rsidTr="001C0F98">
        <w:trPr>
          <w:cantSplit/>
          <w:trHeight w:val="360"/>
          <w:jc w:val="center"/>
        </w:trPr>
        <w:tc>
          <w:tcPr>
            <w:tcW w:w="1438" w:type="pct"/>
            <w:tcBorders>
              <w:top w:val="single" w:sz="4" w:space="0" w:color="auto"/>
              <w:left w:val="single" w:sz="4" w:space="0" w:color="auto"/>
              <w:bottom w:val="single" w:sz="4" w:space="0" w:color="auto"/>
              <w:right w:val="single" w:sz="4" w:space="0" w:color="auto"/>
            </w:tcBorders>
          </w:tcPr>
          <w:p w:rsidR="00E719AB" w:rsidRPr="007E7A7B" w:rsidRDefault="00E719AB" w:rsidP="004E50C8">
            <w:pPr>
              <w:widowControl/>
              <w:spacing w:before="40" w:after="60"/>
              <w:rPr>
                <w:rFonts w:ascii="Arial Narrow" w:hAnsi="Arial Narrow"/>
                <w:b/>
                <w:snapToGrid/>
                <w:sz w:val="20"/>
                <w:szCs w:val="20"/>
                <w:lang w:eastAsia="en-AU"/>
              </w:rPr>
            </w:pPr>
            <w:r w:rsidRPr="007E7A7B">
              <w:rPr>
                <w:rFonts w:ascii="Arial Narrow" w:hAnsi="Arial Narrow"/>
                <w:b/>
                <w:snapToGrid/>
                <w:sz w:val="20"/>
                <w:szCs w:val="20"/>
                <w:lang w:eastAsia="en-AU"/>
              </w:rPr>
              <w:t>Administrative Advice</w:t>
            </w:r>
          </w:p>
          <w:p w:rsidR="00E719AB" w:rsidRPr="007E7A7B" w:rsidRDefault="00E719AB" w:rsidP="004E50C8">
            <w:pPr>
              <w:widowControl/>
              <w:spacing w:before="40" w:after="60"/>
              <w:rPr>
                <w:rFonts w:ascii="Arial Narrow" w:hAnsi="Arial Narrow"/>
                <w:i/>
                <w:snapToGrid/>
                <w:sz w:val="20"/>
                <w:szCs w:val="20"/>
                <w:lang w:eastAsia="en-AU"/>
              </w:rPr>
            </w:pPr>
          </w:p>
        </w:tc>
        <w:tc>
          <w:tcPr>
            <w:tcW w:w="3562" w:type="pct"/>
            <w:gridSpan w:val="6"/>
            <w:tcBorders>
              <w:top w:val="single" w:sz="4" w:space="0" w:color="auto"/>
              <w:left w:val="single" w:sz="4" w:space="0" w:color="auto"/>
              <w:bottom w:val="single" w:sz="4" w:space="0" w:color="auto"/>
              <w:right w:val="single" w:sz="4" w:space="0" w:color="auto"/>
            </w:tcBorders>
          </w:tcPr>
          <w:p w:rsidR="00E719AB" w:rsidRPr="00901937" w:rsidRDefault="00E719AB" w:rsidP="0079333F">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This fixed dose combination is not PBS subsidised for use as initial therapy or in combination with a thiazolidinedione (</w:t>
            </w:r>
            <w:proofErr w:type="spellStart"/>
            <w:r w:rsidRPr="007E7A7B">
              <w:rPr>
                <w:rFonts w:ascii="Arial Narrow" w:hAnsi="Arial Narrow"/>
                <w:snapToGrid/>
                <w:sz w:val="20"/>
                <w:szCs w:val="20"/>
                <w:lang w:eastAsia="en-AU"/>
              </w:rPr>
              <w:t>glitazone</w:t>
            </w:r>
            <w:proofErr w:type="spellEnd"/>
            <w:r w:rsidRPr="007E7A7B">
              <w:rPr>
                <w:rFonts w:ascii="Arial Narrow" w:hAnsi="Arial Narrow"/>
                <w:snapToGrid/>
                <w:sz w:val="20"/>
                <w:szCs w:val="20"/>
                <w:lang w:eastAsia="en-AU"/>
              </w:rPr>
              <w:t>), a d</w:t>
            </w:r>
            <w:r>
              <w:rPr>
                <w:rFonts w:ascii="Arial Narrow" w:hAnsi="Arial Narrow"/>
                <w:snapToGrid/>
                <w:sz w:val="20"/>
                <w:szCs w:val="20"/>
                <w:lang w:eastAsia="en-AU"/>
              </w:rPr>
              <w:t xml:space="preserve">ipeptidyl peptidase </w:t>
            </w:r>
            <w:proofErr w:type="gramStart"/>
            <w:r>
              <w:rPr>
                <w:rFonts w:ascii="Arial Narrow" w:hAnsi="Arial Narrow"/>
                <w:snapToGrid/>
                <w:sz w:val="20"/>
                <w:szCs w:val="20"/>
                <w:lang w:eastAsia="en-AU"/>
              </w:rPr>
              <w:t xml:space="preserve">4 inhibitor </w:t>
            </w:r>
            <w:r w:rsidRPr="007E7A7B">
              <w:rPr>
                <w:rFonts w:ascii="Arial Narrow" w:hAnsi="Arial Narrow"/>
                <w:snapToGrid/>
                <w:sz w:val="20"/>
                <w:szCs w:val="20"/>
                <w:lang w:eastAsia="en-AU"/>
              </w:rPr>
              <w:t>(gliptin)</w:t>
            </w:r>
            <w:r>
              <w:rPr>
                <w:rFonts w:ascii="Arial Narrow" w:hAnsi="Arial Narrow"/>
                <w:snapToGrid/>
                <w:sz w:val="20"/>
                <w:szCs w:val="20"/>
                <w:lang w:eastAsia="en-AU"/>
              </w:rPr>
              <w:t>, insulin</w:t>
            </w:r>
            <w:r w:rsidRPr="007E7A7B">
              <w:rPr>
                <w:rFonts w:ascii="Arial Narrow" w:hAnsi="Arial Narrow"/>
                <w:snapToGrid/>
                <w:sz w:val="20"/>
                <w:szCs w:val="20"/>
                <w:lang w:eastAsia="en-AU"/>
              </w:rPr>
              <w:t xml:space="preserve"> or a glucagon-like peptide-1</w:t>
            </w:r>
            <w:proofErr w:type="gramEnd"/>
            <w:r w:rsidRPr="007E7A7B">
              <w:rPr>
                <w:rFonts w:ascii="Arial Narrow" w:hAnsi="Arial Narrow"/>
                <w:snapToGrid/>
                <w:sz w:val="20"/>
                <w:szCs w:val="20"/>
                <w:lang w:eastAsia="en-AU"/>
              </w:rPr>
              <w:t>.</w:t>
            </w:r>
          </w:p>
        </w:tc>
      </w:tr>
    </w:tbl>
    <w:p w:rsidR="007E7A7B" w:rsidRPr="007E7A7B" w:rsidRDefault="007E7A7B" w:rsidP="007E7A7B">
      <w:pPr>
        <w:widowControl/>
        <w:jc w:val="left"/>
        <w:rPr>
          <w:rFonts w:ascii="Arial" w:hAnsi="Arial"/>
          <w:snapToGrid/>
          <w:sz w:val="22"/>
          <w:lang w:eastAsia="en-AU"/>
        </w:rPr>
      </w:pPr>
    </w:p>
    <w:tbl>
      <w:tblPr>
        <w:tblW w:w="5000" w:type="pct"/>
        <w:tblLayout w:type="fixed"/>
        <w:tblLook w:val="0000" w:firstRow="0" w:lastRow="0" w:firstColumn="0" w:lastColumn="0" w:noHBand="0" w:noVBand="0"/>
      </w:tblPr>
      <w:tblGrid>
        <w:gridCol w:w="2660"/>
        <w:gridCol w:w="6583"/>
      </w:tblGrid>
      <w:tr w:rsidR="007E7A7B" w:rsidRPr="007E7A7B" w:rsidTr="00E719AB">
        <w:trPr>
          <w:cantSplit/>
          <w:trHeight w:val="360"/>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Category / Program</w:t>
            </w: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i/>
                <w:snapToGrid/>
                <w:sz w:val="20"/>
                <w:szCs w:val="20"/>
                <w:lang w:eastAsia="en-AU"/>
              </w:rPr>
            </w:pPr>
            <w:r w:rsidRPr="007E7A7B">
              <w:rPr>
                <w:rFonts w:ascii="Arial Narrow" w:hAnsi="Arial Narrow"/>
                <w:i/>
                <w:snapToGrid/>
                <w:sz w:val="20"/>
                <w:szCs w:val="20"/>
                <w:lang w:eastAsia="en-AU"/>
              </w:rPr>
              <w:t>GENERAL – General Schedule (Code GE)</w:t>
            </w:r>
          </w:p>
        </w:tc>
      </w:tr>
      <w:tr w:rsidR="007E7A7B" w:rsidRPr="007E7A7B" w:rsidTr="00E719AB">
        <w:trPr>
          <w:cantSplit/>
          <w:trHeight w:val="360"/>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Prescriber type:</w:t>
            </w: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1"/>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Dental  </w:t>
            </w:r>
            <w:r w:rsidRPr="007E7A7B">
              <w:rPr>
                <w:rFonts w:ascii="Arial Narrow" w:hAnsi="Arial Narrow"/>
                <w:snapToGrid/>
                <w:sz w:val="20"/>
                <w:szCs w:val="20"/>
                <w:lang w:eastAsia="en-AU"/>
              </w:rPr>
              <w:fldChar w:fldCharType="begin">
                <w:ffData>
                  <w:name w:val=""/>
                  <w:enabled/>
                  <w:calcOnExit w:val="0"/>
                  <w:checkBox>
                    <w:sizeAuto/>
                    <w:default w:val="1"/>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Medical Practitioners  </w:t>
            </w:r>
            <w:r w:rsidRPr="007E7A7B">
              <w:rPr>
                <w:rFonts w:ascii="Arial Narrow" w:hAnsi="Arial Narrow"/>
                <w:snapToGrid/>
                <w:sz w:val="20"/>
                <w:szCs w:val="20"/>
                <w:lang w:eastAsia="en-AU"/>
              </w:rPr>
              <w:fldChar w:fldCharType="begin">
                <w:ffData>
                  <w:name w:val="Check3"/>
                  <w:enabled/>
                  <w:calcOnExit w:val="0"/>
                  <w:checkBox>
                    <w:sizeAuto/>
                    <w:default w:val="1"/>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 xml:space="preserve">Nurse practitioners  </w:t>
            </w:r>
            <w:r w:rsidRPr="007E7A7B">
              <w:rPr>
                <w:rFonts w:ascii="Arial Narrow" w:hAnsi="Arial Narrow"/>
                <w:snapToGrid/>
                <w:sz w:val="20"/>
                <w:szCs w:val="20"/>
                <w:lang w:eastAsia="en-AU"/>
              </w:rPr>
              <w:fldChar w:fldCharType="begin">
                <w:ffData>
                  <w:name w:val=""/>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Optometrists</w:t>
            </w:r>
          </w:p>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5"/>
                  <w:enabled/>
                  <w:calcOnExit w:val="0"/>
                  <w:checkBox>
                    <w:sizeAuto/>
                    <w:default w:val="0"/>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Midwives</w:t>
            </w:r>
          </w:p>
        </w:tc>
      </w:tr>
      <w:tr w:rsidR="007E7A7B" w:rsidRPr="007E7A7B" w:rsidTr="00E719AB">
        <w:trPr>
          <w:cantSplit/>
          <w:trHeight w:val="360"/>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Condition:</w:t>
            </w: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t>Diabetes mellitus type 2</w:t>
            </w:r>
          </w:p>
        </w:tc>
      </w:tr>
      <w:tr w:rsidR="007E7A7B" w:rsidRPr="007E7A7B" w:rsidTr="00E719AB">
        <w:trPr>
          <w:cantSplit/>
          <w:trHeight w:val="360"/>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PBS Indication:</w:t>
            </w: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t>Diabetes mellitus type 2</w:t>
            </w:r>
          </w:p>
        </w:tc>
      </w:tr>
      <w:tr w:rsidR="007E7A7B" w:rsidRPr="007E7A7B" w:rsidTr="00E719AB">
        <w:trPr>
          <w:cantSplit/>
          <w:trHeight w:val="360"/>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b/>
                <w:snapToGrid/>
                <w:sz w:val="20"/>
                <w:szCs w:val="20"/>
                <w:lang w:eastAsia="en-AU"/>
              </w:rPr>
            </w:pPr>
            <w:r w:rsidRPr="007E7A7B">
              <w:rPr>
                <w:rFonts w:ascii="Arial Narrow" w:hAnsi="Arial Narrow"/>
                <w:b/>
                <w:snapToGrid/>
                <w:sz w:val="20"/>
                <w:szCs w:val="20"/>
                <w:lang w:eastAsia="en-AU"/>
              </w:rPr>
              <w:t>Treatment phase:</w:t>
            </w: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t xml:space="preserve">Continuing </w:t>
            </w:r>
            <w:r w:rsidRPr="007E7A7B">
              <w:rPr>
                <w:rFonts w:ascii="Arial Narrow" w:hAnsi="Arial Narrow"/>
                <w:i/>
                <w:snapToGrid/>
                <w:sz w:val="20"/>
                <w:szCs w:val="20"/>
                <w:lang w:eastAsia="en-AU"/>
              </w:rPr>
              <w:t>treatment</w:t>
            </w:r>
          </w:p>
        </w:tc>
      </w:tr>
      <w:tr w:rsidR="007E7A7B" w:rsidRPr="007E7A7B" w:rsidTr="00E719AB">
        <w:trPr>
          <w:cantSplit/>
          <w:trHeight w:val="360"/>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rPr>
                <w:rFonts w:ascii="Arial Narrow" w:hAnsi="Arial Narrow"/>
                <w:i/>
                <w:snapToGrid/>
                <w:sz w:val="20"/>
                <w:szCs w:val="20"/>
                <w:lang w:eastAsia="en-AU"/>
              </w:rPr>
            </w:pPr>
            <w:r w:rsidRPr="007E7A7B">
              <w:rPr>
                <w:rFonts w:ascii="Arial Narrow" w:hAnsi="Arial Narrow"/>
                <w:b/>
                <w:snapToGrid/>
                <w:sz w:val="20"/>
                <w:szCs w:val="20"/>
                <w:lang w:eastAsia="en-AU"/>
              </w:rPr>
              <w:t>Restriction Level / Method:</w:t>
            </w: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7E7A7B">
            <w:pPr>
              <w:widowControl/>
              <w:jc w:val="left"/>
              <w:rPr>
                <w:rFonts w:ascii="Arial Narrow" w:hAnsi="Arial Narrow"/>
                <w:snapToGrid/>
                <w:sz w:val="20"/>
                <w:szCs w:val="20"/>
                <w:lang w:eastAsia="en-AU"/>
              </w:rPr>
            </w:pPr>
            <w:r w:rsidRPr="007E7A7B">
              <w:rPr>
                <w:rFonts w:ascii="Arial Narrow" w:hAnsi="Arial Narrow"/>
                <w:snapToGrid/>
                <w:sz w:val="20"/>
                <w:szCs w:val="20"/>
                <w:lang w:eastAsia="en-AU"/>
              </w:rPr>
              <w:fldChar w:fldCharType="begin">
                <w:ffData>
                  <w:name w:val="Check5"/>
                  <w:enabled/>
                  <w:calcOnExit w:val="0"/>
                  <w:checkBox>
                    <w:sizeAuto/>
                    <w:default w:val="1"/>
                  </w:checkBox>
                </w:ffData>
              </w:fldChar>
            </w:r>
            <w:r w:rsidRPr="007E7A7B">
              <w:rPr>
                <w:rFonts w:ascii="Arial Narrow" w:hAnsi="Arial Narrow"/>
                <w:snapToGrid/>
                <w:sz w:val="20"/>
                <w:szCs w:val="20"/>
                <w:lang w:eastAsia="en-AU"/>
              </w:rPr>
              <w:instrText xml:space="preserve"> FORMCHECKBOX </w:instrText>
            </w:r>
            <w:r w:rsidR="00832030">
              <w:rPr>
                <w:rFonts w:ascii="Arial Narrow" w:hAnsi="Arial Narrow"/>
                <w:snapToGrid/>
                <w:sz w:val="20"/>
                <w:szCs w:val="20"/>
                <w:lang w:eastAsia="en-AU"/>
              </w:rPr>
            </w:r>
            <w:r w:rsidR="00832030">
              <w:rPr>
                <w:rFonts w:ascii="Arial Narrow" w:hAnsi="Arial Narrow"/>
                <w:snapToGrid/>
                <w:sz w:val="20"/>
                <w:szCs w:val="20"/>
                <w:lang w:eastAsia="en-AU"/>
              </w:rPr>
              <w:fldChar w:fldCharType="separate"/>
            </w:r>
            <w:r w:rsidRPr="007E7A7B">
              <w:rPr>
                <w:rFonts w:ascii="Arial Narrow" w:hAnsi="Arial Narrow"/>
                <w:snapToGrid/>
                <w:sz w:val="20"/>
                <w:szCs w:val="20"/>
                <w:lang w:eastAsia="en-AU"/>
              </w:rPr>
              <w:fldChar w:fldCharType="end"/>
            </w:r>
            <w:r w:rsidRPr="007E7A7B">
              <w:rPr>
                <w:rFonts w:ascii="Arial Narrow" w:hAnsi="Arial Narrow"/>
                <w:snapToGrid/>
                <w:sz w:val="20"/>
                <w:szCs w:val="20"/>
                <w:lang w:eastAsia="en-AU"/>
              </w:rPr>
              <w:t>Streamlined</w:t>
            </w:r>
          </w:p>
        </w:tc>
      </w:tr>
      <w:tr w:rsidR="007E7A7B" w:rsidRPr="007E7A7B" w:rsidTr="00E719AB">
        <w:trPr>
          <w:cantSplit/>
          <w:trHeight w:val="407"/>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4E50C8">
            <w:pPr>
              <w:widowControl/>
              <w:spacing w:before="40" w:after="60"/>
              <w:rPr>
                <w:rFonts w:ascii="Arial Narrow" w:hAnsi="Arial Narrow"/>
                <w:b/>
                <w:snapToGrid/>
                <w:sz w:val="20"/>
                <w:szCs w:val="20"/>
                <w:lang w:eastAsia="en-AU"/>
              </w:rPr>
            </w:pPr>
            <w:r w:rsidRPr="007E7A7B">
              <w:rPr>
                <w:rFonts w:ascii="Arial Narrow" w:hAnsi="Arial Narrow"/>
                <w:b/>
                <w:snapToGrid/>
                <w:sz w:val="20"/>
                <w:szCs w:val="20"/>
                <w:lang w:eastAsia="en-AU"/>
              </w:rPr>
              <w:t>Clinical criteria:</w:t>
            </w:r>
          </w:p>
          <w:p w:rsidR="007E7A7B" w:rsidRPr="007E7A7B" w:rsidRDefault="007E7A7B" w:rsidP="004E50C8">
            <w:pPr>
              <w:widowControl/>
              <w:spacing w:before="40" w:after="60"/>
              <w:rPr>
                <w:rFonts w:ascii="Arial Narrow" w:hAnsi="Arial Narrow"/>
                <w:snapToGrid/>
                <w:sz w:val="20"/>
                <w:szCs w:val="20"/>
                <w:lang w:eastAsia="en-AU"/>
              </w:rPr>
            </w:pP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4E50C8">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 xml:space="preserve">Patient must have previously received and been stabilised on a PBS-subsidised regimen of oral diabetic medicines which includes metformin and </w:t>
            </w:r>
            <w:proofErr w:type="spellStart"/>
            <w:r w:rsidRPr="007E7A7B">
              <w:rPr>
                <w:rFonts w:ascii="Arial Narrow" w:hAnsi="Arial Narrow"/>
                <w:snapToGrid/>
                <w:sz w:val="20"/>
                <w:szCs w:val="20"/>
                <w:lang w:eastAsia="en-AU"/>
              </w:rPr>
              <w:t>ertugliflozin</w:t>
            </w:r>
            <w:proofErr w:type="spellEnd"/>
            <w:r w:rsidRPr="007E7A7B">
              <w:rPr>
                <w:rFonts w:ascii="Arial Narrow" w:hAnsi="Arial Narrow"/>
                <w:snapToGrid/>
                <w:sz w:val="20"/>
                <w:szCs w:val="20"/>
                <w:lang w:eastAsia="en-AU"/>
              </w:rPr>
              <w:t>.</w:t>
            </w:r>
          </w:p>
        </w:tc>
      </w:tr>
      <w:tr w:rsidR="007E7A7B" w:rsidRPr="007E7A7B" w:rsidTr="00E719AB">
        <w:trPr>
          <w:cantSplit/>
          <w:trHeight w:val="360"/>
        </w:trPr>
        <w:tc>
          <w:tcPr>
            <w:tcW w:w="1439" w:type="pct"/>
            <w:tcBorders>
              <w:top w:val="single" w:sz="4" w:space="0" w:color="auto"/>
              <w:left w:val="single" w:sz="4" w:space="0" w:color="auto"/>
              <w:bottom w:val="single" w:sz="4" w:space="0" w:color="auto"/>
              <w:right w:val="single" w:sz="4" w:space="0" w:color="auto"/>
            </w:tcBorders>
          </w:tcPr>
          <w:p w:rsidR="007E7A7B" w:rsidRPr="007E7A7B" w:rsidRDefault="007E7A7B" w:rsidP="004E50C8">
            <w:pPr>
              <w:widowControl/>
              <w:spacing w:before="40" w:after="60"/>
              <w:rPr>
                <w:rFonts w:ascii="Arial Narrow" w:hAnsi="Arial Narrow"/>
                <w:b/>
                <w:snapToGrid/>
                <w:sz w:val="20"/>
                <w:szCs w:val="20"/>
                <w:lang w:eastAsia="en-AU"/>
              </w:rPr>
            </w:pPr>
            <w:r w:rsidRPr="007E7A7B">
              <w:rPr>
                <w:rFonts w:ascii="Arial Narrow" w:hAnsi="Arial Narrow"/>
                <w:b/>
                <w:snapToGrid/>
                <w:sz w:val="20"/>
                <w:szCs w:val="20"/>
                <w:lang w:eastAsia="en-AU"/>
              </w:rPr>
              <w:t>Administrative Advice</w:t>
            </w:r>
          </w:p>
          <w:p w:rsidR="007E7A7B" w:rsidRPr="007E7A7B" w:rsidRDefault="007E7A7B" w:rsidP="004E50C8">
            <w:pPr>
              <w:widowControl/>
              <w:spacing w:before="40" w:after="60"/>
              <w:rPr>
                <w:rFonts w:ascii="Arial Narrow" w:hAnsi="Arial Narrow"/>
                <w:i/>
                <w:snapToGrid/>
                <w:sz w:val="20"/>
                <w:szCs w:val="20"/>
                <w:lang w:eastAsia="en-AU"/>
              </w:rPr>
            </w:pPr>
          </w:p>
        </w:tc>
        <w:tc>
          <w:tcPr>
            <w:tcW w:w="3561" w:type="pct"/>
            <w:tcBorders>
              <w:top w:val="single" w:sz="4" w:space="0" w:color="auto"/>
              <w:left w:val="single" w:sz="4" w:space="0" w:color="auto"/>
              <w:bottom w:val="single" w:sz="4" w:space="0" w:color="auto"/>
              <w:right w:val="single" w:sz="4" w:space="0" w:color="auto"/>
            </w:tcBorders>
          </w:tcPr>
          <w:p w:rsidR="007E7A7B" w:rsidRPr="007E7A7B" w:rsidRDefault="007E7A7B" w:rsidP="004E50C8">
            <w:pPr>
              <w:widowControl/>
              <w:spacing w:before="40" w:after="60"/>
              <w:jc w:val="left"/>
              <w:rPr>
                <w:rFonts w:ascii="Arial Narrow" w:hAnsi="Arial Narrow"/>
                <w:i/>
                <w:snapToGrid/>
                <w:sz w:val="20"/>
                <w:szCs w:val="20"/>
                <w:lang w:eastAsia="en-AU"/>
              </w:rPr>
            </w:pPr>
            <w:r w:rsidRPr="007E7A7B">
              <w:rPr>
                <w:rFonts w:ascii="Arial Narrow" w:hAnsi="Arial Narrow"/>
                <w:i/>
                <w:snapToGrid/>
                <w:sz w:val="20"/>
                <w:szCs w:val="20"/>
                <w:lang w:eastAsia="en-AU"/>
              </w:rPr>
              <w:t>Continuing Therapy Only: For prescribing by nurse practitioners as continuing therapy only, where the treatment of, and prescribing of medicine for, a patient has been initiated by a medical practitioner. Further information can be found in the Explanatory Notes for Nurse Practitioners.</w:t>
            </w:r>
          </w:p>
          <w:p w:rsidR="007E7A7B" w:rsidRPr="007E7A7B" w:rsidRDefault="007E7A7B" w:rsidP="004E50C8">
            <w:pPr>
              <w:widowControl/>
              <w:spacing w:before="40" w:after="60"/>
              <w:jc w:val="left"/>
              <w:rPr>
                <w:rFonts w:ascii="Arial Narrow" w:hAnsi="Arial Narrow"/>
                <w:snapToGrid/>
                <w:sz w:val="20"/>
                <w:szCs w:val="20"/>
                <w:lang w:eastAsia="en-AU"/>
              </w:rPr>
            </w:pPr>
            <w:r w:rsidRPr="007E7A7B">
              <w:rPr>
                <w:rFonts w:ascii="Arial Narrow" w:hAnsi="Arial Narrow"/>
                <w:snapToGrid/>
                <w:sz w:val="20"/>
                <w:szCs w:val="20"/>
                <w:lang w:eastAsia="en-AU"/>
              </w:rPr>
              <w:t>This fixed dose combination is not PBS subsidised for use as initial therapy or in combination with a thiazolidinedione (</w:t>
            </w:r>
            <w:proofErr w:type="spellStart"/>
            <w:r w:rsidRPr="007E7A7B">
              <w:rPr>
                <w:rFonts w:ascii="Arial Narrow" w:hAnsi="Arial Narrow"/>
                <w:snapToGrid/>
                <w:sz w:val="20"/>
                <w:szCs w:val="20"/>
                <w:lang w:eastAsia="en-AU"/>
              </w:rPr>
              <w:t>glitazone</w:t>
            </w:r>
            <w:proofErr w:type="spellEnd"/>
            <w:r w:rsidRPr="007E7A7B">
              <w:rPr>
                <w:rFonts w:ascii="Arial Narrow" w:hAnsi="Arial Narrow"/>
                <w:snapToGrid/>
                <w:sz w:val="20"/>
                <w:szCs w:val="20"/>
                <w:lang w:eastAsia="en-AU"/>
              </w:rPr>
              <w:t>), a d</w:t>
            </w:r>
            <w:r w:rsidR="004E50C8">
              <w:rPr>
                <w:rFonts w:ascii="Arial Narrow" w:hAnsi="Arial Narrow"/>
                <w:snapToGrid/>
                <w:sz w:val="20"/>
                <w:szCs w:val="20"/>
                <w:lang w:eastAsia="en-AU"/>
              </w:rPr>
              <w:t xml:space="preserve">ipeptidyl peptidase </w:t>
            </w:r>
            <w:proofErr w:type="gramStart"/>
            <w:r w:rsidR="004E50C8">
              <w:rPr>
                <w:rFonts w:ascii="Arial Narrow" w:hAnsi="Arial Narrow"/>
                <w:snapToGrid/>
                <w:sz w:val="20"/>
                <w:szCs w:val="20"/>
                <w:lang w:eastAsia="en-AU"/>
              </w:rPr>
              <w:t xml:space="preserve">4 inhibitor </w:t>
            </w:r>
            <w:r w:rsidRPr="007E7A7B">
              <w:rPr>
                <w:rFonts w:ascii="Arial Narrow" w:hAnsi="Arial Narrow"/>
                <w:snapToGrid/>
                <w:sz w:val="20"/>
                <w:szCs w:val="20"/>
                <w:lang w:eastAsia="en-AU"/>
              </w:rPr>
              <w:t>(gliptin)</w:t>
            </w:r>
            <w:r w:rsidR="00BA3112">
              <w:rPr>
                <w:rFonts w:ascii="Arial Narrow" w:hAnsi="Arial Narrow"/>
                <w:snapToGrid/>
                <w:sz w:val="20"/>
                <w:szCs w:val="20"/>
                <w:lang w:eastAsia="en-AU"/>
              </w:rPr>
              <w:t>, insulin</w:t>
            </w:r>
            <w:r w:rsidRPr="007E7A7B">
              <w:rPr>
                <w:rFonts w:ascii="Arial Narrow" w:hAnsi="Arial Narrow"/>
                <w:snapToGrid/>
                <w:sz w:val="20"/>
                <w:szCs w:val="20"/>
                <w:lang w:eastAsia="en-AU"/>
              </w:rPr>
              <w:t xml:space="preserve"> or a glucagon-like peptide-1</w:t>
            </w:r>
            <w:proofErr w:type="gramEnd"/>
            <w:r w:rsidRPr="007E7A7B">
              <w:rPr>
                <w:rFonts w:ascii="Arial Narrow" w:hAnsi="Arial Narrow"/>
                <w:snapToGrid/>
                <w:sz w:val="20"/>
                <w:szCs w:val="20"/>
                <w:lang w:eastAsia="en-AU"/>
              </w:rPr>
              <w:t>.</w:t>
            </w:r>
          </w:p>
        </w:tc>
      </w:tr>
    </w:tbl>
    <w:p w:rsidR="00C76B4A" w:rsidRPr="003F53CD" w:rsidRDefault="00C76B4A" w:rsidP="00CF5F42">
      <w:pPr>
        <w:pStyle w:val="PBACHeading1"/>
        <w:rPr>
          <w:rFonts w:eastAsiaTheme="minorHAnsi"/>
          <w:snapToGrid/>
        </w:rPr>
      </w:pPr>
      <w:r w:rsidRPr="003F53CD">
        <w:rPr>
          <w:rFonts w:eastAsiaTheme="minorHAnsi"/>
          <w:snapToGrid/>
        </w:rPr>
        <w:t>Context for Decision</w:t>
      </w:r>
    </w:p>
    <w:p w:rsidR="00C76B4A" w:rsidRDefault="00C76B4A" w:rsidP="00A216B1">
      <w:pPr>
        <w:rPr>
          <w:rFonts w:asciiTheme="minorHAnsi" w:eastAsiaTheme="minorHAnsi" w:hAnsiTheme="minorHAnsi"/>
        </w:rPr>
      </w:pPr>
      <w:r w:rsidRPr="003F53CD">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76B4A" w:rsidRPr="003F53CD" w:rsidRDefault="00C76B4A" w:rsidP="00CF5F42">
      <w:pPr>
        <w:pStyle w:val="PBACHeading1"/>
        <w:rPr>
          <w:rFonts w:eastAsiaTheme="minorHAnsi"/>
          <w:snapToGrid/>
        </w:rPr>
      </w:pPr>
      <w:r w:rsidRPr="003F53CD">
        <w:rPr>
          <w:rFonts w:eastAsiaTheme="minorHAnsi"/>
          <w:snapToGrid/>
        </w:rPr>
        <w:lastRenderedPageBreak/>
        <w:t>Sponsor’s Comment</w:t>
      </w:r>
    </w:p>
    <w:p w:rsidR="00C76B4A" w:rsidRPr="003F53CD" w:rsidRDefault="00C76B4A" w:rsidP="00A216B1">
      <w:pPr>
        <w:spacing w:after="120" w:line="276" w:lineRule="auto"/>
        <w:rPr>
          <w:rFonts w:asciiTheme="minorHAnsi" w:eastAsiaTheme="minorHAnsi" w:hAnsiTheme="minorHAnsi"/>
          <w:bCs/>
        </w:rPr>
      </w:pPr>
      <w:r w:rsidRPr="00A216B1">
        <w:rPr>
          <w:rFonts w:asciiTheme="minorHAnsi" w:eastAsiaTheme="minorHAnsi" w:hAnsiTheme="minorHAnsi"/>
          <w:bCs/>
        </w:rPr>
        <w:t>The sponsor had no comment.</w:t>
      </w:r>
    </w:p>
    <w:p w:rsidR="008A3C3E" w:rsidRPr="00C11AAD" w:rsidRDefault="008A3C3E" w:rsidP="00DB2EA0">
      <w:pPr>
        <w:widowControl/>
      </w:pPr>
    </w:p>
    <w:sectPr w:rsidR="008A3C3E" w:rsidRPr="00C11AAD" w:rsidSect="000D0187">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2E" w:rsidRDefault="003E6C2E" w:rsidP="00124A51">
      <w:r>
        <w:separator/>
      </w:r>
    </w:p>
    <w:p w:rsidR="003E6C2E" w:rsidRDefault="003E6C2E"/>
  </w:endnote>
  <w:endnote w:type="continuationSeparator" w:id="0">
    <w:p w:rsidR="003E6C2E" w:rsidRDefault="003E6C2E" w:rsidP="00124A51">
      <w:r>
        <w:continuationSeparator/>
      </w:r>
    </w:p>
    <w:p w:rsidR="003E6C2E" w:rsidRDefault="003E6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4E" w:rsidRDefault="00C158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4858370"/>
      <w:docPartObj>
        <w:docPartGallery w:val="Page Numbers (Bottom of Page)"/>
        <w:docPartUnique/>
      </w:docPartObj>
    </w:sdtPr>
    <w:sdtEndPr>
      <w:rPr>
        <w:b w:val="0"/>
        <w:noProof/>
      </w:rPr>
    </w:sdtEndPr>
    <w:sdtContent>
      <w:p w:rsidR="00C1584E" w:rsidRPr="007B3234" w:rsidRDefault="00C1584E">
        <w:pPr>
          <w:pStyle w:val="Footer"/>
          <w:jc w:val="center"/>
        </w:pPr>
        <w:r w:rsidRPr="007B3234">
          <w:fldChar w:fldCharType="begin"/>
        </w:r>
        <w:r w:rsidRPr="007B3234">
          <w:instrText xml:space="preserve"> PAGE   \* MERGEFORMAT </w:instrText>
        </w:r>
        <w:r w:rsidRPr="007B3234">
          <w:fldChar w:fldCharType="separate"/>
        </w:r>
        <w:r w:rsidR="00832030">
          <w:rPr>
            <w:noProof/>
          </w:rPr>
          <w:t>1</w:t>
        </w:r>
        <w:r w:rsidRPr="007B3234">
          <w:rPr>
            <w:noProof/>
          </w:rPr>
          <w:fldChar w:fldCharType="end"/>
        </w:r>
      </w:p>
    </w:sdtContent>
  </w:sdt>
  <w:p w:rsidR="00C1584E" w:rsidRDefault="00C1584E" w:rsidP="00B87C0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4E" w:rsidRDefault="00C158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2E" w:rsidRDefault="003E6C2E" w:rsidP="00124A51">
      <w:r>
        <w:separator/>
      </w:r>
    </w:p>
    <w:p w:rsidR="003E6C2E" w:rsidRDefault="003E6C2E"/>
  </w:footnote>
  <w:footnote w:type="continuationSeparator" w:id="0">
    <w:p w:rsidR="003E6C2E" w:rsidRDefault="003E6C2E" w:rsidP="00124A51">
      <w:r>
        <w:continuationSeparator/>
      </w:r>
    </w:p>
    <w:p w:rsidR="003E6C2E" w:rsidRDefault="003E6C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4E" w:rsidRDefault="00C158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4E" w:rsidRPr="00F90A91" w:rsidRDefault="00C1584E" w:rsidP="00356A5B">
    <w:pPr>
      <w:pStyle w:val="Header"/>
      <w:ind w:left="360"/>
      <w:jc w:val="center"/>
      <w:rPr>
        <w:rFonts w:asciiTheme="minorHAnsi" w:hAnsiTheme="minorHAnsi"/>
        <w:i/>
        <w:color w:val="808080"/>
        <w:sz w:val="22"/>
      </w:rPr>
    </w:pPr>
    <w:r>
      <w:rPr>
        <w:rFonts w:asciiTheme="minorHAnsi" w:hAnsiTheme="minorHAnsi"/>
        <w:i/>
        <w:color w:val="808080"/>
        <w:sz w:val="22"/>
      </w:rPr>
      <w:t xml:space="preserve">Public Summary Document </w:t>
    </w:r>
    <w:r w:rsidRPr="00F90A91">
      <w:rPr>
        <w:rFonts w:asciiTheme="minorHAnsi" w:hAnsiTheme="minorHAnsi"/>
        <w:i/>
        <w:color w:val="808080"/>
        <w:sz w:val="22"/>
      </w:rPr>
      <w:t xml:space="preserve">– </w:t>
    </w:r>
    <w:r>
      <w:rPr>
        <w:rFonts w:asciiTheme="minorHAnsi" w:hAnsiTheme="minorHAnsi"/>
        <w:i/>
        <w:color w:val="808080"/>
        <w:sz w:val="22"/>
      </w:rPr>
      <w:t>March 2018</w:t>
    </w:r>
    <w:r w:rsidRPr="00F90A91">
      <w:rPr>
        <w:rFonts w:asciiTheme="minorHAnsi" w:hAnsiTheme="minorHAnsi"/>
        <w:i/>
        <w:color w:val="808080"/>
        <w:sz w:val="22"/>
      </w:rPr>
      <w:t xml:space="preserve"> PBAC Meeting</w:t>
    </w:r>
  </w:p>
  <w:p w:rsidR="00C1584E" w:rsidRPr="00356A5B" w:rsidRDefault="00C1584E" w:rsidP="00356A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84E" w:rsidRDefault="00C158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F881A02"/>
    <w:lvl w:ilvl="0">
      <w:start w:val="1"/>
      <w:numFmt w:val="bullet"/>
      <w:pStyle w:val="ListBullet"/>
      <w:lvlText w:val="o"/>
      <w:lvlJc w:val="left"/>
      <w:rPr>
        <w:rFonts w:ascii="Courier New" w:hAnsi="Courier New" w:cs="Courier New" w:hint="default"/>
      </w:rPr>
    </w:lvl>
  </w:abstractNum>
  <w:abstractNum w:abstractNumId="1">
    <w:nsid w:val="FFFFFF89"/>
    <w:multiLevelType w:val="singleLevel"/>
    <w:tmpl w:val="9F6C5852"/>
    <w:lvl w:ilvl="0">
      <w:start w:val="1"/>
      <w:numFmt w:val="bullet"/>
      <w:lvlText w:val=""/>
      <w:lvlJc w:val="left"/>
      <w:rPr>
        <w:rFonts w:ascii="Symbol" w:hAnsi="Symbol" w:hint="default"/>
      </w:r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EE61D9"/>
    <w:multiLevelType w:val="hybridMultilevel"/>
    <w:tmpl w:val="5D46AE58"/>
    <w:lvl w:ilvl="0" w:tplc="5A82AB5C">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F964374"/>
    <w:multiLevelType w:val="hybridMultilevel"/>
    <w:tmpl w:val="0A84AB72"/>
    <w:lvl w:ilvl="0" w:tplc="5A82AB5C">
      <w:start w:val="2"/>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B7C34E2"/>
    <w:multiLevelType w:val="hybridMultilevel"/>
    <w:tmpl w:val="F6A0F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0445F4"/>
    <w:multiLevelType w:val="multilevel"/>
    <w:tmpl w:val="24401002"/>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F2B4CDA"/>
    <w:multiLevelType w:val="hybridMultilevel"/>
    <w:tmpl w:val="02A60444"/>
    <w:lvl w:ilvl="0" w:tplc="53E4B80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21596E"/>
    <w:multiLevelType w:val="hybridMultilevel"/>
    <w:tmpl w:val="4BCC630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30F4D05"/>
    <w:multiLevelType w:val="hybridMultilevel"/>
    <w:tmpl w:val="EEB67E72"/>
    <w:lvl w:ilvl="0" w:tplc="04090001">
      <w:start w:val="1"/>
      <w:numFmt w:val="bullet"/>
      <w:pStyle w:val="Sour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4D033C"/>
    <w:multiLevelType w:val="multilevel"/>
    <w:tmpl w:val="64C0B1C0"/>
    <w:lvl w:ilvl="0">
      <w:start w:val="1"/>
      <w:numFmt w:val="decimal"/>
      <w:pStyle w:val="PBACHeading1"/>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13"/>
  </w:num>
  <w:num w:numId="4">
    <w:abstractNumId w:val="8"/>
  </w:num>
  <w:num w:numId="5">
    <w:abstractNumId w:val="11"/>
  </w:num>
  <w:num w:numId="6">
    <w:abstractNumId w:val="9"/>
  </w:num>
  <w:num w:numId="7">
    <w:abstractNumId w:val="3"/>
  </w:num>
  <w:num w:numId="8">
    <w:abstractNumId w:val="6"/>
  </w:num>
  <w:num w:numId="9">
    <w:abstractNumId w:val="12"/>
  </w:num>
  <w:num w:numId="10">
    <w:abstractNumId w:val="10"/>
  </w:num>
  <w:num w:numId="11">
    <w:abstractNumId w:val="4"/>
  </w:num>
  <w:num w:numId="12">
    <w:abstractNumId w:val="2"/>
  </w:num>
  <w:num w:numId="13">
    <w:abstractNumId w:val="5"/>
  </w:num>
  <w:num w:numId="14">
    <w:abstractNumId w:val="1"/>
  </w:num>
  <w:num w:numId="15">
    <w:abstractNumId w:val="0"/>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efaultTableStyle w:val="TableGrid"/>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3C4"/>
    <w:rsid w:val="00001E03"/>
    <w:rsid w:val="00003499"/>
    <w:rsid w:val="000039B7"/>
    <w:rsid w:val="00005F95"/>
    <w:rsid w:val="0000712F"/>
    <w:rsid w:val="00011FE0"/>
    <w:rsid w:val="000129AF"/>
    <w:rsid w:val="00013247"/>
    <w:rsid w:val="000136B4"/>
    <w:rsid w:val="00014727"/>
    <w:rsid w:val="00015668"/>
    <w:rsid w:val="00015886"/>
    <w:rsid w:val="000162EF"/>
    <w:rsid w:val="0002225F"/>
    <w:rsid w:val="000227DB"/>
    <w:rsid w:val="00023763"/>
    <w:rsid w:val="000277A5"/>
    <w:rsid w:val="00033863"/>
    <w:rsid w:val="00035DC0"/>
    <w:rsid w:val="00036829"/>
    <w:rsid w:val="00040895"/>
    <w:rsid w:val="00041C78"/>
    <w:rsid w:val="00043C37"/>
    <w:rsid w:val="00045017"/>
    <w:rsid w:val="00045A2B"/>
    <w:rsid w:val="0004605F"/>
    <w:rsid w:val="000467C7"/>
    <w:rsid w:val="0004698F"/>
    <w:rsid w:val="00047A57"/>
    <w:rsid w:val="00047DC9"/>
    <w:rsid w:val="00050F73"/>
    <w:rsid w:val="000539D0"/>
    <w:rsid w:val="00054621"/>
    <w:rsid w:val="000546D7"/>
    <w:rsid w:val="00055FDA"/>
    <w:rsid w:val="00057626"/>
    <w:rsid w:val="000607C3"/>
    <w:rsid w:val="00064283"/>
    <w:rsid w:val="00066360"/>
    <w:rsid w:val="000709C2"/>
    <w:rsid w:val="00071248"/>
    <w:rsid w:val="0007126F"/>
    <w:rsid w:val="000720B9"/>
    <w:rsid w:val="00072122"/>
    <w:rsid w:val="000737F7"/>
    <w:rsid w:val="0007672F"/>
    <w:rsid w:val="000774E4"/>
    <w:rsid w:val="000774F0"/>
    <w:rsid w:val="00080909"/>
    <w:rsid w:val="000812CA"/>
    <w:rsid w:val="00082251"/>
    <w:rsid w:val="0008258D"/>
    <w:rsid w:val="00082D4A"/>
    <w:rsid w:val="00083CE9"/>
    <w:rsid w:val="00083E99"/>
    <w:rsid w:val="000856C5"/>
    <w:rsid w:val="00090C7E"/>
    <w:rsid w:val="000912D4"/>
    <w:rsid w:val="00092600"/>
    <w:rsid w:val="0009262B"/>
    <w:rsid w:val="00092B36"/>
    <w:rsid w:val="00093310"/>
    <w:rsid w:val="0009445C"/>
    <w:rsid w:val="00095817"/>
    <w:rsid w:val="00095FE5"/>
    <w:rsid w:val="00096284"/>
    <w:rsid w:val="000A0439"/>
    <w:rsid w:val="000A3D59"/>
    <w:rsid w:val="000A4C11"/>
    <w:rsid w:val="000A72BE"/>
    <w:rsid w:val="000A7D08"/>
    <w:rsid w:val="000B0670"/>
    <w:rsid w:val="000B0E75"/>
    <w:rsid w:val="000B1235"/>
    <w:rsid w:val="000B23A3"/>
    <w:rsid w:val="000B296D"/>
    <w:rsid w:val="000B2A12"/>
    <w:rsid w:val="000B3BDB"/>
    <w:rsid w:val="000B6CAC"/>
    <w:rsid w:val="000B7612"/>
    <w:rsid w:val="000B76D8"/>
    <w:rsid w:val="000C03B6"/>
    <w:rsid w:val="000C3A79"/>
    <w:rsid w:val="000C3DF9"/>
    <w:rsid w:val="000C6713"/>
    <w:rsid w:val="000D0187"/>
    <w:rsid w:val="000D075A"/>
    <w:rsid w:val="000D1BFC"/>
    <w:rsid w:val="000D281A"/>
    <w:rsid w:val="000D326A"/>
    <w:rsid w:val="000D51FB"/>
    <w:rsid w:val="000E135D"/>
    <w:rsid w:val="000E558E"/>
    <w:rsid w:val="000F00BA"/>
    <w:rsid w:val="000F0266"/>
    <w:rsid w:val="000F04A0"/>
    <w:rsid w:val="000F30F8"/>
    <w:rsid w:val="000F316A"/>
    <w:rsid w:val="000F3C74"/>
    <w:rsid w:val="000F402D"/>
    <w:rsid w:val="000F4BB8"/>
    <w:rsid w:val="000F7127"/>
    <w:rsid w:val="000F760D"/>
    <w:rsid w:val="000F7795"/>
    <w:rsid w:val="00100F8A"/>
    <w:rsid w:val="00105AE2"/>
    <w:rsid w:val="00106B80"/>
    <w:rsid w:val="0011032E"/>
    <w:rsid w:val="0011116D"/>
    <w:rsid w:val="0011348B"/>
    <w:rsid w:val="00115982"/>
    <w:rsid w:val="00115FE6"/>
    <w:rsid w:val="00116C53"/>
    <w:rsid w:val="00117296"/>
    <w:rsid w:val="00121799"/>
    <w:rsid w:val="00121CAB"/>
    <w:rsid w:val="00122111"/>
    <w:rsid w:val="001222FC"/>
    <w:rsid w:val="00122E04"/>
    <w:rsid w:val="00123B45"/>
    <w:rsid w:val="00124A51"/>
    <w:rsid w:val="00126621"/>
    <w:rsid w:val="00126D70"/>
    <w:rsid w:val="001301E9"/>
    <w:rsid w:val="0013158F"/>
    <w:rsid w:val="00131D82"/>
    <w:rsid w:val="00133D36"/>
    <w:rsid w:val="00137645"/>
    <w:rsid w:val="0014015A"/>
    <w:rsid w:val="00140E99"/>
    <w:rsid w:val="00140FE9"/>
    <w:rsid w:val="00145540"/>
    <w:rsid w:val="001456B0"/>
    <w:rsid w:val="001459B0"/>
    <w:rsid w:val="00145D24"/>
    <w:rsid w:val="001463E1"/>
    <w:rsid w:val="00146602"/>
    <w:rsid w:val="00150EE5"/>
    <w:rsid w:val="0015180C"/>
    <w:rsid w:val="001549D9"/>
    <w:rsid w:val="00154CA6"/>
    <w:rsid w:val="0015500D"/>
    <w:rsid w:val="0015649C"/>
    <w:rsid w:val="00157130"/>
    <w:rsid w:val="001576B1"/>
    <w:rsid w:val="00160A4C"/>
    <w:rsid w:val="00162913"/>
    <w:rsid w:val="00163EC8"/>
    <w:rsid w:val="00163EFF"/>
    <w:rsid w:val="00164484"/>
    <w:rsid w:val="00164F18"/>
    <w:rsid w:val="001661FB"/>
    <w:rsid w:val="00167206"/>
    <w:rsid w:val="00171DD0"/>
    <w:rsid w:val="00173565"/>
    <w:rsid w:val="00173B07"/>
    <w:rsid w:val="001774D1"/>
    <w:rsid w:val="00180CCC"/>
    <w:rsid w:val="00181D9C"/>
    <w:rsid w:val="00184064"/>
    <w:rsid w:val="00186F7E"/>
    <w:rsid w:val="0018752F"/>
    <w:rsid w:val="00187B8E"/>
    <w:rsid w:val="00191371"/>
    <w:rsid w:val="00191375"/>
    <w:rsid w:val="001944F5"/>
    <w:rsid w:val="00195222"/>
    <w:rsid w:val="001975D8"/>
    <w:rsid w:val="001A0250"/>
    <w:rsid w:val="001A05C8"/>
    <w:rsid w:val="001A43FA"/>
    <w:rsid w:val="001A59FB"/>
    <w:rsid w:val="001A6354"/>
    <w:rsid w:val="001A638B"/>
    <w:rsid w:val="001A7AE8"/>
    <w:rsid w:val="001B204E"/>
    <w:rsid w:val="001B247C"/>
    <w:rsid w:val="001B3443"/>
    <w:rsid w:val="001B4189"/>
    <w:rsid w:val="001B4D20"/>
    <w:rsid w:val="001C0F98"/>
    <w:rsid w:val="001C0FCB"/>
    <w:rsid w:val="001C234B"/>
    <w:rsid w:val="001C2A9B"/>
    <w:rsid w:val="001C3AE1"/>
    <w:rsid w:val="001C4299"/>
    <w:rsid w:val="001C5199"/>
    <w:rsid w:val="001C5A80"/>
    <w:rsid w:val="001C5F94"/>
    <w:rsid w:val="001C6E66"/>
    <w:rsid w:val="001D1924"/>
    <w:rsid w:val="001D6ADE"/>
    <w:rsid w:val="001D7290"/>
    <w:rsid w:val="001D7635"/>
    <w:rsid w:val="001D77A3"/>
    <w:rsid w:val="001D78A5"/>
    <w:rsid w:val="001E238E"/>
    <w:rsid w:val="001E2483"/>
    <w:rsid w:val="001E2B1E"/>
    <w:rsid w:val="001E30D4"/>
    <w:rsid w:val="001E52EB"/>
    <w:rsid w:val="001E61D2"/>
    <w:rsid w:val="001E731F"/>
    <w:rsid w:val="001E740C"/>
    <w:rsid w:val="001F1235"/>
    <w:rsid w:val="001F1CB3"/>
    <w:rsid w:val="001F38B5"/>
    <w:rsid w:val="001F4821"/>
    <w:rsid w:val="001F6207"/>
    <w:rsid w:val="001F7361"/>
    <w:rsid w:val="002011B0"/>
    <w:rsid w:val="00203181"/>
    <w:rsid w:val="00203783"/>
    <w:rsid w:val="0020385F"/>
    <w:rsid w:val="002065CF"/>
    <w:rsid w:val="00207021"/>
    <w:rsid w:val="0020732F"/>
    <w:rsid w:val="00207D00"/>
    <w:rsid w:val="002105C1"/>
    <w:rsid w:val="00211FA2"/>
    <w:rsid w:val="002238CA"/>
    <w:rsid w:val="00223B49"/>
    <w:rsid w:val="00223F47"/>
    <w:rsid w:val="00224149"/>
    <w:rsid w:val="00224DD4"/>
    <w:rsid w:val="002252CD"/>
    <w:rsid w:val="00227BC4"/>
    <w:rsid w:val="002309CC"/>
    <w:rsid w:val="0023209F"/>
    <w:rsid w:val="00232E02"/>
    <w:rsid w:val="00234B31"/>
    <w:rsid w:val="00235AD6"/>
    <w:rsid w:val="0023629D"/>
    <w:rsid w:val="00237255"/>
    <w:rsid w:val="002424AF"/>
    <w:rsid w:val="00243511"/>
    <w:rsid w:val="002439DC"/>
    <w:rsid w:val="00244DC8"/>
    <w:rsid w:val="002458BA"/>
    <w:rsid w:val="002462B3"/>
    <w:rsid w:val="0024636C"/>
    <w:rsid w:val="00247925"/>
    <w:rsid w:val="00250AF5"/>
    <w:rsid w:val="00252484"/>
    <w:rsid w:val="00252755"/>
    <w:rsid w:val="00253ABA"/>
    <w:rsid w:val="00254DCF"/>
    <w:rsid w:val="00255178"/>
    <w:rsid w:val="0025534B"/>
    <w:rsid w:val="00255BB7"/>
    <w:rsid w:val="0025748A"/>
    <w:rsid w:val="00257541"/>
    <w:rsid w:val="00260848"/>
    <w:rsid w:val="002612F9"/>
    <w:rsid w:val="00262A1A"/>
    <w:rsid w:val="00262A87"/>
    <w:rsid w:val="002639FE"/>
    <w:rsid w:val="002646EF"/>
    <w:rsid w:val="00264D26"/>
    <w:rsid w:val="002662EC"/>
    <w:rsid w:val="00267642"/>
    <w:rsid w:val="00267AEA"/>
    <w:rsid w:val="00267ED9"/>
    <w:rsid w:val="002700E6"/>
    <w:rsid w:val="0027045B"/>
    <w:rsid w:val="002720EA"/>
    <w:rsid w:val="0027294B"/>
    <w:rsid w:val="0027321D"/>
    <w:rsid w:val="00275C5A"/>
    <w:rsid w:val="00275F30"/>
    <w:rsid w:val="00276B7F"/>
    <w:rsid w:val="002776BC"/>
    <w:rsid w:val="002778F9"/>
    <w:rsid w:val="00281014"/>
    <w:rsid w:val="0028206C"/>
    <w:rsid w:val="00283D10"/>
    <w:rsid w:val="002840D8"/>
    <w:rsid w:val="00284DF9"/>
    <w:rsid w:val="00284EA2"/>
    <w:rsid w:val="00286C28"/>
    <w:rsid w:val="00290666"/>
    <w:rsid w:val="0029228B"/>
    <w:rsid w:val="00292894"/>
    <w:rsid w:val="00292D35"/>
    <w:rsid w:val="0029776B"/>
    <w:rsid w:val="002A12FB"/>
    <w:rsid w:val="002A14AB"/>
    <w:rsid w:val="002A2F50"/>
    <w:rsid w:val="002A4026"/>
    <w:rsid w:val="002A78AB"/>
    <w:rsid w:val="002B09A4"/>
    <w:rsid w:val="002B1C1F"/>
    <w:rsid w:val="002B3016"/>
    <w:rsid w:val="002B432F"/>
    <w:rsid w:val="002B62B3"/>
    <w:rsid w:val="002B6754"/>
    <w:rsid w:val="002B6CCE"/>
    <w:rsid w:val="002B73D5"/>
    <w:rsid w:val="002B74BF"/>
    <w:rsid w:val="002C03B7"/>
    <w:rsid w:val="002C11CC"/>
    <w:rsid w:val="002C2510"/>
    <w:rsid w:val="002C2775"/>
    <w:rsid w:val="002C27C1"/>
    <w:rsid w:val="002C2F1D"/>
    <w:rsid w:val="002C474D"/>
    <w:rsid w:val="002C5099"/>
    <w:rsid w:val="002C5889"/>
    <w:rsid w:val="002C71CE"/>
    <w:rsid w:val="002D137F"/>
    <w:rsid w:val="002D452E"/>
    <w:rsid w:val="002D4C73"/>
    <w:rsid w:val="002D563E"/>
    <w:rsid w:val="002D577C"/>
    <w:rsid w:val="002E15B9"/>
    <w:rsid w:val="002E2158"/>
    <w:rsid w:val="002E49B7"/>
    <w:rsid w:val="002E5756"/>
    <w:rsid w:val="002E578D"/>
    <w:rsid w:val="002E6095"/>
    <w:rsid w:val="002E7722"/>
    <w:rsid w:val="002F07BA"/>
    <w:rsid w:val="002F0DA9"/>
    <w:rsid w:val="002F3012"/>
    <w:rsid w:val="002F4146"/>
    <w:rsid w:val="002F41D0"/>
    <w:rsid w:val="002F643C"/>
    <w:rsid w:val="002F71C0"/>
    <w:rsid w:val="002F7B22"/>
    <w:rsid w:val="00301017"/>
    <w:rsid w:val="0030155F"/>
    <w:rsid w:val="003017B5"/>
    <w:rsid w:val="00302556"/>
    <w:rsid w:val="00304983"/>
    <w:rsid w:val="0030587B"/>
    <w:rsid w:val="00306D98"/>
    <w:rsid w:val="0030786C"/>
    <w:rsid w:val="0031031A"/>
    <w:rsid w:val="00310981"/>
    <w:rsid w:val="00315498"/>
    <w:rsid w:val="0032069D"/>
    <w:rsid w:val="00320A3B"/>
    <w:rsid w:val="0032160E"/>
    <w:rsid w:val="00322107"/>
    <w:rsid w:val="00322846"/>
    <w:rsid w:val="00326DA7"/>
    <w:rsid w:val="003270E4"/>
    <w:rsid w:val="00330F1A"/>
    <w:rsid w:val="00330F5C"/>
    <w:rsid w:val="003366C9"/>
    <w:rsid w:val="00336B23"/>
    <w:rsid w:val="003371B0"/>
    <w:rsid w:val="00337ADE"/>
    <w:rsid w:val="00340CEB"/>
    <w:rsid w:val="00340D1E"/>
    <w:rsid w:val="00340DF1"/>
    <w:rsid w:val="00341C6C"/>
    <w:rsid w:val="003465E5"/>
    <w:rsid w:val="00347810"/>
    <w:rsid w:val="00350645"/>
    <w:rsid w:val="003517F9"/>
    <w:rsid w:val="00352FDF"/>
    <w:rsid w:val="003537B9"/>
    <w:rsid w:val="00353A7E"/>
    <w:rsid w:val="00353F9B"/>
    <w:rsid w:val="003548E7"/>
    <w:rsid w:val="0035620E"/>
    <w:rsid w:val="00356A5B"/>
    <w:rsid w:val="003610CE"/>
    <w:rsid w:val="003624C4"/>
    <w:rsid w:val="003654AC"/>
    <w:rsid w:val="003671B8"/>
    <w:rsid w:val="003710CF"/>
    <w:rsid w:val="00371B77"/>
    <w:rsid w:val="00371F4B"/>
    <w:rsid w:val="00373503"/>
    <w:rsid w:val="0037358A"/>
    <w:rsid w:val="003750F6"/>
    <w:rsid w:val="00375476"/>
    <w:rsid w:val="003760FC"/>
    <w:rsid w:val="003771D7"/>
    <w:rsid w:val="0038186D"/>
    <w:rsid w:val="00382724"/>
    <w:rsid w:val="0038365C"/>
    <w:rsid w:val="0038369B"/>
    <w:rsid w:val="00383B78"/>
    <w:rsid w:val="00385A9D"/>
    <w:rsid w:val="00385CE1"/>
    <w:rsid w:val="00390049"/>
    <w:rsid w:val="003902B1"/>
    <w:rsid w:val="0039198F"/>
    <w:rsid w:val="00393BE6"/>
    <w:rsid w:val="00395A95"/>
    <w:rsid w:val="00396896"/>
    <w:rsid w:val="00396FD0"/>
    <w:rsid w:val="003977A3"/>
    <w:rsid w:val="003A09FF"/>
    <w:rsid w:val="003A0AA3"/>
    <w:rsid w:val="003A1A7A"/>
    <w:rsid w:val="003A1DC1"/>
    <w:rsid w:val="003A2392"/>
    <w:rsid w:val="003A2831"/>
    <w:rsid w:val="003A3ED1"/>
    <w:rsid w:val="003A3F78"/>
    <w:rsid w:val="003A5D7B"/>
    <w:rsid w:val="003A6EB6"/>
    <w:rsid w:val="003B2749"/>
    <w:rsid w:val="003B3255"/>
    <w:rsid w:val="003B4C0A"/>
    <w:rsid w:val="003B4D14"/>
    <w:rsid w:val="003B5B61"/>
    <w:rsid w:val="003B63AC"/>
    <w:rsid w:val="003B79C8"/>
    <w:rsid w:val="003C0780"/>
    <w:rsid w:val="003C1654"/>
    <w:rsid w:val="003C1BF6"/>
    <w:rsid w:val="003C5172"/>
    <w:rsid w:val="003C665C"/>
    <w:rsid w:val="003C7D19"/>
    <w:rsid w:val="003D1828"/>
    <w:rsid w:val="003D1941"/>
    <w:rsid w:val="003D1DE4"/>
    <w:rsid w:val="003D2422"/>
    <w:rsid w:val="003D39A1"/>
    <w:rsid w:val="003D3FBF"/>
    <w:rsid w:val="003D4A30"/>
    <w:rsid w:val="003D79BB"/>
    <w:rsid w:val="003D7C98"/>
    <w:rsid w:val="003E0543"/>
    <w:rsid w:val="003E169F"/>
    <w:rsid w:val="003E43A8"/>
    <w:rsid w:val="003E629B"/>
    <w:rsid w:val="003E6C2E"/>
    <w:rsid w:val="003E7E88"/>
    <w:rsid w:val="003F15A8"/>
    <w:rsid w:val="003F4156"/>
    <w:rsid w:val="003F486A"/>
    <w:rsid w:val="0040067F"/>
    <w:rsid w:val="00400B29"/>
    <w:rsid w:val="0040144B"/>
    <w:rsid w:val="00402170"/>
    <w:rsid w:val="00402FFB"/>
    <w:rsid w:val="0040504B"/>
    <w:rsid w:val="00406583"/>
    <w:rsid w:val="00406B83"/>
    <w:rsid w:val="00410708"/>
    <w:rsid w:val="00410EC7"/>
    <w:rsid w:val="004115CD"/>
    <w:rsid w:val="00411B39"/>
    <w:rsid w:val="00413A1E"/>
    <w:rsid w:val="00414476"/>
    <w:rsid w:val="004144B6"/>
    <w:rsid w:val="00414C2E"/>
    <w:rsid w:val="004151CF"/>
    <w:rsid w:val="0041534D"/>
    <w:rsid w:val="004159D4"/>
    <w:rsid w:val="00416364"/>
    <w:rsid w:val="00420AA6"/>
    <w:rsid w:val="00420B9F"/>
    <w:rsid w:val="00421E25"/>
    <w:rsid w:val="00422260"/>
    <w:rsid w:val="0042325D"/>
    <w:rsid w:val="0042413F"/>
    <w:rsid w:val="0042465F"/>
    <w:rsid w:val="004275D5"/>
    <w:rsid w:val="004300D2"/>
    <w:rsid w:val="004319F8"/>
    <w:rsid w:val="00431E55"/>
    <w:rsid w:val="004321F6"/>
    <w:rsid w:val="0043256C"/>
    <w:rsid w:val="00433044"/>
    <w:rsid w:val="004330DD"/>
    <w:rsid w:val="0043338D"/>
    <w:rsid w:val="004375B9"/>
    <w:rsid w:val="00437C9A"/>
    <w:rsid w:val="0044016F"/>
    <w:rsid w:val="00440580"/>
    <w:rsid w:val="004428D0"/>
    <w:rsid w:val="004443A7"/>
    <w:rsid w:val="0044442C"/>
    <w:rsid w:val="00445941"/>
    <w:rsid w:val="0044649C"/>
    <w:rsid w:val="004464EB"/>
    <w:rsid w:val="004473A2"/>
    <w:rsid w:val="00447D26"/>
    <w:rsid w:val="00453599"/>
    <w:rsid w:val="004556A2"/>
    <w:rsid w:val="00455D45"/>
    <w:rsid w:val="00456569"/>
    <w:rsid w:val="00461EA4"/>
    <w:rsid w:val="004621FF"/>
    <w:rsid w:val="00463850"/>
    <w:rsid w:val="00464595"/>
    <w:rsid w:val="00466F88"/>
    <w:rsid w:val="00467E1A"/>
    <w:rsid w:val="00472A79"/>
    <w:rsid w:val="00472D8E"/>
    <w:rsid w:val="0047313D"/>
    <w:rsid w:val="00473F19"/>
    <w:rsid w:val="00475690"/>
    <w:rsid w:val="00475D89"/>
    <w:rsid w:val="00475E22"/>
    <w:rsid w:val="00476F1E"/>
    <w:rsid w:val="00477CCF"/>
    <w:rsid w:val="00477CF7"/>
    <w:rsid w:val="0048088E"/>
    <w:rsid w:val="0048179A"/>
    <w:rsid w:val="00482720"/>
    <w:rsid w:val="004835E7"/>
    <w:rsid w:val="004867E2"/>
    <w:rsid w:val="00490960"/>
    <w:rsid w:val="004918F7"/>
    <w:rsid w:val="00491B3A"/>
    <w:rsid w:val="00492CFD"/>
    <w:rsid w:val="004949C6"/>
    <w:rsid w:val="00494DD5"/>
    <w:rsid w:val="004962D2"/>
    <w:rsid w:val="004A0DA1"/>
    <w:rsid w:val="004A52E9"/>
    <w:rsid w:val="004A6597"/>
    <w:rsid w:val="004A7268"/>
    <w:rsid w:val="004A7848"/>
    <w:rsid w:val="004B0AC3"/>
    <w:rsid w:val="004B1CB4"/>
    <w:rsid w:val="004B2F18"/>
    <w:rsid w:val="004B3DDB"/>
    <w:rsid w:val="004B44FD"/>
    <w:rsid w:val="004B529F"/>
    <w:rsid w:val="004B5CFC"/>
    <w:rsid w:val="004B5FEB"/>
    <w:rsid w:val="004B774D"/>
    <w:rsid w:val="004C01E0"/>
    <w:rsid w:val="004C3B05"/>
    <w:rsid w:val="004C4AED"/>
    <w:rsid w:val="004D1A29"/>
    <w:rsid w:val="004D1E67"/>
    <w:rsid w:val="004D2C2D"/>
    <w:rsid w:val="004D5C79"/>
    <w:rsid w:val="004D5F50"/>
    <w:rsid w:val="004D7227"/>
    <w:rsid w:val="004D7C6E"/>
    <w:rsid w:val="004E0E7F"/>
    <w:rsid w:val="004E0EB8"/>
    <w:rsid w:val="004E235A"/>
    <w:rsid w:val="004E25F0"/>
    <w:rsid w:val="004E2ADC"/>
    <w:rsid w:val="004E43B2"/>
    <w:rsid w:val="004E50C8"/>
    <w:rsid w:val="004E639B"/>
    <w:rsid w:val="004E77B2"/>
    <w:rsid w:val="004F0072"/>
    <w:rsid w:val="004F16A0"/>
    <w:rsid w:val="004F1D02"/>
    <w:rsid w:val="004F2679"/>
    <w:rsid w:val="004F2F21"/>
    <w:rsid w:val="004F4C2A"/>
    <w:rsid w:val="004F6913"/>
    <w:rsid w:val="004F7865"/>
    <w:rsid w:val="0050219B"/>
    <w:rsid w:val="00503F17"/>
    <w:rsid w:val="00504836"/>
    <w:rsid w:val="00506928"/>
    <w:rsid w:val="005117E1"/>
    <w:rsid w:val="005129D0"/>
    <w:rsid w:val="0051435E"/>
    <w:rsid w:val="005149B2"/>
    <w:rsid w:val="00514D72"/>
    <w:rsid w:val="005152B5"/>
    <w:rsid w:val="005207BD"/>
    <w:rsid w:val="00521319"/>
    <w:rsid w:val="00522BC8"/>
    <w:rsid w:val="00523A21"/>
    <w:rsid w:val="00523C28"/>
    <w:rsid w:val="00523E31"/>
    <w:rsid w:val="00523F9B"/>
    <w:rsid w:val="00525DD4"/>
    <w:rsid w:val="005263B8"/>
    <w:rsid w:val="005267FB"/>
    <w:rsid w:val="00527542"/>
    <w:rsid w:val="00527738"/>
    <w:rsid w:val="005328D5"/>
    <w:rsid w:val="00533577"/>
    <w:rsid w:val="00533A18"/>
    <w:rsid w:val="005354CD"/>
    <w:rsid w:val="00535E27"/>
    <w:rsid w:val="00536F42"/>
    <w:rsid w:val="00537182"/>
    <w:rsid w:val="00537802"/>
    <w:rsid w:val="00540607"/>
    <w:rsid w:val="00542743"/>
    <w:rsid w:val="00542C2D"/>
    <w:rsid w:val="00543562"/>
    <w:rsid w:val="00546D6C"/>
    <w:rsid w:val="00551985"/>
    <w:rsid w:val="005526D1"/>
    <w:rsid w:val="00552BD3"/>
    <w:rsid w:val="00555109"/>
    <w:rsid w:val="0055674D"/>
    <w:rsid w:val="00557595"/>
    <w:rsid w:val="00562250"/>
    <w:rsid w:val="00565E8C"/>
    <w:rsid w:val="00566518"/>
    <w:rsid w:val="0056657F"/>
    <w:rsid w:val="0056696F"/>
    <w:rsid w:val="00572269"/>
    <w:rsid w:val="0057244A"/>
    <w:rsid w:val="0057258C"/>
    <w:rsid w:val="005744BA"/>
    <w:rsid w:val="00575D8D"/>
    <w:rsid w:val="00576972"/>
    <w:rsid w:val="00583699"/>
    <w:rsid w:val="00584A72"/>
    <w:rsid w:val="00585CDD"/>
    <w:rsid w:val="00587058"/>
    <w:rsid w:val="005913E7"/>
    <w:rsid w:val="00591957"/>
    <w:rsid w:val="00591DA9"/>
    <w:rsid w:val="00596793"/>
    <w:rsid w:val="0059706A"/>
    <w:rsid w:val="00597BF9"/>
    <w:rsid w:val="005A1A52"/>
    <w:rsid w:val="005A25A4"/>
    <w:rsid w:val="005A373D"/>
    <w:rsid w:val="005B5857"/>
    <w:rsid w:val="005B5C3B"/>
    <w:rsid w:val="005C0C04"/>
    <w:rsid w:val="005C1B83"/>
    <w:rsid w:val="005C1EE3"/>
    <w:rsid w:val="005C28E0"/>
    <w:rsid w:val="005C2D55"/>
    <w:rsid w:val="005C346B"/>
    <w:rsid w:val="005D044D"/>
    <w:rsid w:val="005D0ABD"/>
    <w:rsid w:val="005D18AD"/>
    <w:rsid w:val="005D1A4A"/>
    <w:rsid w:val="005D26B4"/>
    <w:rsid w:val="005D5344"/>
    <w:rsid w:val="005D6AE2"/>
    <w:rsid w:val="005E6215"/>
    <w:rsid w:val="005E66BD"/>
    <w:rsid w:val="005E6CBC"/>
    <w:rsid w:val="005E73C0"/>
    <w:rsid w:val="005E7CCF"/>
    <w:rsid w:val="005F2706"/>
    <w:rsid w:val="005F2B01"/>
    <w:rsid w:val="005F2F93"/>
    <w:rsid w:val="005F3AA5"/>
    <w:rsid w:val="005F4B72"/>
    <w:rsid w:val="005F51FD"/>
    <w:rsid w:val="005F6A8F"/>
    <w:rsid w:val="006020F6"/>
    <w:rsid w:val="00603A74"/>
    <w:rsid w:val="00603DB9"/>
    <w:rsid w:val="0060434C"/>
    <w:rsid w:val="00604ACB"/>
    <w:rsid w:val="006061BC"/>
    <w:rsid w:val="006067E5"/>
    <w:rsid w:val="00607669"/>
    <w:rsid w:val="00607AAD"/>
    <w:rsid w:val="00607AFD"/>
    <w:rsid w:val="00610C05"/>
    <w:rsid w:val="00611193"/>
    <w:rsid w:val="00612F97"/>
    <w:rsid w:val="0061345D"/>
    <w:rsid w:val="00613E2E"/>
    <w:rsid w:val="0061524C"/>
    <w:rsid w:val="0061591B"/>
    <w:rsid w:val="00616802"/>
    <w:rsid w:val="0061737E"/>
    <w:rsid w:val="00617E12"/>
    <w:rsid w:val="00621477"/>
    <w:rsid w:val="00623DCE"/>
    <w:rsid w:val="0062799C"/>
    <w:rsid w:val="00630E5E"/>
    <w:rsid w:val="00631061"/>
    <w:rsid w:val="0063158F"/>
    <w:rsid w:val="00631D6B"/>
    <w:rsid w:val="00632783"/>
    <w:rsid w:val="006330A1"/>
    <w:rsid w:val="0063479F"/>
    <w:rsid w:val="0063529C"/>
    <w:rsid w:val="006353F0"/>
    <w:rsid w:val="006364A1"/>
    <w:rsid w:val="006372EE"/>
    <w:rsid w:val="00637BFD"/>
    <w:rsid w:val="006402DE"/>
    <w:rsid w:val="006403A5"/>
    <w:rsid w:val="00641826"/>
    <w:rsid w:val="00641C4E"/>
    <w:rsid w:val="00642B11"/>
    <w:rsid w:val="00646BB7"/>
    <w:rsid w:val="006471CC"/>
    <w:rsid w:val="0065079F"/>
    <w:rsid w:val="00651ED7"/>
    <w:rsid w:val="0065379F"/>
    <w:rsid w:val="0065404A"/>
    <w:rsid w:val="00654788"/>
    <w:rsid w:val="00656D3E"/>
    <w:rsid w:val="00660E6D"/>
    <w:rsid w:val="006617C9"/>
    <w:rsid w:val="00661C6B"/>
    <w:rsid w:val="00662446"/>
    <w:rsid w:val="00672963"/>
    <w:rsid w:val="00674E42"/>
    <w:rsid w:val="00675E43"/>
    <w:rsid w:val="00676D2A"/>
    <w:rsid w:val="00681528"/>
    <w:rsid w:val="00682112"/>
    <w:rsid w:val="006852D9"/>
    <w:rsid w:val="00685499"/>
    <w:rsid w:val="00686957"/>
    <w:rsid w:val="006872BA"/>
    <w:rsid w:val="00690EFE"/>
    <w:rsid w:val="00691648"/>
    <w:rsid w:val="006917D7"/>
    <w:rsid w:val="00691B6B"/>
    <w:rsid w:val="006921C5"/>
    <w:rsid w:val="006934F0"/>
    <w:rsid w:val="00694276"/>
    <w:rsid w:val="00694F44"/>
    <w:rsid w:val="006A2F30"/>
    <w:rsid w:val="006A7E5F"/>
    <w:rsid w:val="006B0945"/>
    <w:rsid w:val="006B261B"/>
    <w:rsid w:val="006B2C90"/>
    <w:rsid w:val="006B6B1C"/>
    <w:rsid w:val="006B6B1E"/>
    <w:rsid w:val="006B6DD0"/>
    <w:rsid w:val="006C2A8E"/>
    <w:rsid w:val="006C3893"/>
    <w:rsid w:val="006C6F8C"/>
    <w:rsid w:val="006D1CD0"/>
    <w:rsid w:val="006D1D21"/>
    <w:rsid w:val="006D1ED4"/>
    <w:rsid w:val="006D3C7D"/>
    <w:rsid w:val="006D489D"/>
    <w:rsid w:val="006D5C49"/>
    <w:rsid w:val="006D5D5F"/>
    <w:rsid w:val="006D7B78"/>
    <w:rsid w:val="006E2896"/>
    <w:rsid w:val="006E2E9D"/>
    <w:rsid w:val="006E3E85"/>
    <w:rsid w:val="006E427E"/>
    <w:rsid w:val="006F0C9E"/>
    <w:rsid w:val="006F2291"/>
    <w:rsid w:val="006F306C"/>
    <w:rsid w:val="006F63A5"/>
    <w:rsid w:val="006F644D"/>
    <w:rsid w:val="0070142B"/>
    <w:rsid w:val="0070276E"/>
    <w:rsid w:val="00702F8F"/>
    <w:rsid w:val="007062CC"/>
    <w:rsid w:val="00707A00"/>
    <w:rsid w:val="0071189A"/>
    <w:rsid w:val="00711A36"/>
    <w:rsid w:val="00712240"/>
    <w:rsid w:val="00712831"/>
    <w:rsid w:val="007137EC"/>
    <w:rsid w:val="0071529C"/>
    <w:rsid w:val="0071668D"/>
    <w:rsid w:val="007172AD"/>
    <w:rsid w:val="00720223"/>
    <w:rsid w:val="00721548"/>
    <w:rsid w:val="00722B1B"/>
    <w:rsid w:val="0072416F"/>
    <w:rsid w:val="00726BA9"/>
    <w:rsid w:val="00727C94"/>
    <w:rsid w:val="007302EC"/>
    <w:rsid w:val="00731B9F"/>
    <w:rsid w:val="00731EAE"/>
    <w:rsid w:val="00732DE7"/>
    <w:rsid w:val="00734500"/>
    <w:rsid w:val="00734822"/>
    <w:rsid w:val="00735033"/>
    <w:rsid w:val="00735328"/>
    <w:rsid w:val="0073685B"/>
    <w:rsid w:val="00737010"/>
    <w:rsid w:val="00740CEE"/>
    <w:rsid w:val="00741861"/>
    <w:rsid w:val="00741A72"/>
    <w:rsid w:val="00742BBD"/>
    <w:rsid w:val="0074569F"/>
    <w:rsid w:val="007504CD"/>
    <w:rsid w:val="007509BF"/>
    <w:rsid w:val="00750EEB"/>
    <w:rsid w:val="00752142"/>
    <w:rsid w:val="007523F9"/>
    <w:rsid w:val="007552AC"/>
    <w:rsid w:val="00755D7D"/>
    <w:rsid w:val="007573E8"/>
    <w:rsid w:val="00760C4E"/>
    <w:rsid w:val="00763333"/>
    <w:rsid w:val="00763EAC"/>
    <w:rsid w:val="00764A6D"/>
    <w:rsid w:val="00764D0D"/>
    <w:rsid w:val="00765B1A"/>
    <w:rsid w:val="0077014E"/>
    <w:rsid w:val="00770B2F"/>
    <w:rsid w:val="0077264E"/>
    <w:rsid w:val="0077281A"/>
    <w:rsid w:val="007741A8"/>
    <w:rsid w:val="00774C68"/>
    <w:rsid w:val="007836BA"/>
    <w:rsid w:val="007843F2"/>
    <w:rsid w:val="00784B33"/>
    <w:rsid w:val="00784BD5"/>
    <w:rsid w:val="0079333F"/>
    <w:rsid w:val="00796A9A"/>
    <w:rsid w:val="007A0A12"/>
    <w:rsid w:val="007A132D"/>
    <w:rsid w:val="007A37AC"/>
    <w:rsid w:val="007A607D"/>
    <w:rsid w:val="007B0D68"/>
    <w:rsid w:val="007B1A65"/>
    <w:rsid w:val="007B1C05"/>
    <w:rsid w:val="007B251D"/>
    <w:rsid w:val="007B3234"/>
    <w:rsid w:val="007B4F58"/>
    <w:rsid w:val="007B528D"/>
    <w:rsid w:val="007B540B"/>
    <w:rsid w:val="007B57D8"/>
    <w:rsid w:val="007B5E0A"/>
    <w:rsid w:val="007B7118"/>
    <w:rsid w:val="007B77D1"/>
    <w:rsid w:val="007C1CD9"/>
    <w:rsid w:val="007C24C2"/>
    <w:rsid w:val="007C361D"/>
    <w:rsid w:val="007C4B84"/>
    <w:rsid w:val="007C4F56"/>
    <w:rsid w:val="007C5A87"/>
    <w:rsid w:val="007C5B4B"/>
    <w:rsid w:val="007C5C12"/>
    <w:rsid w:val="007D004F"/>
    <w:rsid w:val="007D053B"/>
    <w:rsid w:val="007D0B38"/>
    <w:rsid w:val="007D2511"/>
    <w:rsid w:val="007D29F2"/>
    <w:rsid w:val="007D398D"/>
    <w:rsid w:val="007D5440"/>
    <w:rsid w:val="007E026A"/>
    <w:rsid w:val="007E3866"/>
    <w:rsid w:val="007E56C3"/>
    <w:rsid w:val="007E674E"/>
    <w:rsid w:val="007E73FC"/>
    <w:rsid w:val="007E7A7B"/>
    <w:rsid w:val="007F1017"/>
    <w:rsid w:val="007F4A3F"/>
    <w:rsid w:val="007F4A61"/>
    <w:rsid w:val="007F58D3"/>
    <w:rsid w:val="007F61C2"/>
    <w:rsid w:val="00800882"/>
    <w:rsid w:val="00802644"/>
    <w:rsid w:val="00805142"/>
    <w:rsid w:val="00806B8B"/>
    <w:rsid w:val="00807A8B"/>
    <w:rsid w:val="00811383"/>
    <w:rsid w:val="00812149"/>
    <w:rsid w:val="008126EE"/>
    <w:rsid w:val="00812CAC"/>
    <w:rsid w:val="008156C1"/>
    <w:rsid w:val="008166EF"/>
    <w:rsid w:val="00823CDE"/>
    <w:rsid w:val="00825751"/>
    <w:rsid w:val="008257BF"/>
    <w:rsid w:val="008264EB"/>
    <w:rsid w:val="00826698"/>
    <w:rsid w:val="00830982"/>
    <w:rsid w:val="00831080"/>
    <w:rsid w:val="00832030"/>
    <w:rsid w:val="00833B05"/>
    <w:rsid w:val="0083556C"/>
    <w:rsid w:val="008362B4"/>
    <w:rsid w:val="0084071E"/>
    <w:rsid w:val="00840810"/>
    <w:rsid w:val="00840CA2"/>
    <w:rsid w:val="00843327"/>
    <w:rsid w:val="0084374F"/>
    <w:rsid w:val="00847DF5"/>
    <w:rsid w:val="0085309D"/>
    <w:rsid w:val="00856897"/>
    <w:rsid w:val="00856E9A"/>
    <w:rsid w:val="0086075D"/>
    <w:rsid w:val="00862502"/>
    <w:rsid w:val="008626F7"/>
    <w:rsid w:val="00864326"/>
    <w:rsid w:val="00865C8C"/>
    <w:rsid w:val="008660D4"/>
    <w:rsid w:val="00866647"/>
    <w:rsid w:val="00871710"/>
    <w:rsid w:val="00871FA9"/>
    <w:rsid w:val="00872604"/>
    <w:rsid w:val="008728E9"/>
    <w:rsid w:val="00872979"/>
    <w:rsid w:val="00877050"/>
    <w:rsid w:val="00880265"/>
    <w:rsid w:val="00880418"/>
    <w:rsid w:val="00882874"/>
    <w:rsid w:val="00883787"/>
    <w:rsid w:val="00886487"/>
    <w:rsid w:val="00886CD2"/>
    <w:rsid w:val="00887843"/>
    <w:rsid w:val="00891224"/>
    <w:rsid w:val="00892A36"/>
    <w:rsid w:val="00893239"/>
    <w:rsid w:val="00894489"/>
    <w:rsid w:val="008963A5"/>
    <w:rsid w:val="008A3363"/>
    <w:rsid w:val="008A3371"/>
    <w:rsid w:val="008A3C3E"/>
    <w:rsid w:val="008A476C"/>
    <w:rsid w:val="008A537A"/>
    <w:rsid w:val="008A79DE"/>
    <w:rsid w:val="008A7FE9"/>
    <w:rsid w:val="008B0166"/>
    <w:rsid w:val="008B1757"/>
    <w:rsid w:val="008B2347"/>
    <w:rsid w:val="008B359B"/>
    <w:rsid w:val="008B45AD"/>
    <w:rsid w:val="008B5219"/>
    <w:rsid w:val="008B5A10"/>
    <w:rsid w:val="008B7D7E"/>
    <w:rsid w:val="008B7E45"/>
    <w:rsid w:val="008C20FE"/>
    <w:rsid w:val="008C7ECB"/>
    <w:rsid w:val="008D0955"/>
    <w:rsid w:val="008D2D08"/>
    <w:rsid w:val="008D4617"/>
    <w:rsid w:val="008D4755"/>
    <w:rsid w:val="008D4C3D"/>
    <w:rsid w:val="008D7BC2"/>
    <w:rsid w:val="008E0D3C"/>
    <w:rsid w:val="008E1B9E"/>
    <w:rsid w:val="008E3E1B"/>
    <w:rsid w:val="008E55AB"/>
    <w:rsid w:val="008E7614"/>
    <w:rsid w:val="008F0A6C"/>
    <w:rsid w:val="008F120A"/>
    <w:rsid w:val="008F165E"/>
    <w:rsid w:val="008F1713"/>
    <w:rsid w:val="008F27E0"/>
    <w:rsid w:val="008F48EB"/>
    <w:rsid w:val="008F4F0B"/>
    <w:rsid w:val="008F5DA9"/>
    <w:rsid w:val="008F700D"/>
    <w:rsid w:val="00901937"/>
    <w:rsid w:val="00902580"/>
    <w:rsid w:val="009036D9"/>
    <w:rsid w:val="00903E4F"/>
    <w:rsid w:val="009046C4"/>
    <w:rsid w:val="009062A5"/>
    <w:rsid w:val="009063A8"/>
    <w:rsid w:val="00907438"/>
    <w:rsid w:val="00907742"/>
    <w:rsid w:val="00911272"/>
    <w:rsid w:val="00911D32"/>
    <w:rsid w:val="009135D6"/>
    <w:rsid w:val="00914C77"/>
    <w:rsid w:val="0092369B"/>
    <w:rsid w:val="0092707B"/>
    <w:rsid w:val="00927168"/>
    <w:rsid w:val="009273D9"/>
    <w:rsid w:val="00927C9C"/>
    <w:rsid w:val="00934103"/>
    <w:rsid w:val="009365FC"/>
    <w:rsid w:val="00936F24"/>
    <w:rsid w:val="00941194"/>
    <w:rsid w:val="00941FB6"/>
    <w:rsid w:val="0094428F"/>
    <w:rsid w:val="00944D5A"/>
    <w:rsid w:val="0095067D"/>
    <w:rsid w:val="009510A2"/>
    <w:rsid w:val="00951DB2"/>
    <w:rsid w:val="00953257"/>
    <w:rsid w:val="009548F1"/>
    <w:rsid w:val="0095623B"/>
    <w:rsid w:val="00960802"/>
    <w:rsid w:val="00960DF2"/>
    <w:rsid w:val="00962495"/>
    <w:rsid w:val="00962CB9"/>
    <w:rsid w:val="00964312"/>
    <w:rsid w:val="00965B8A"/>
    <w:rsid w:val="009701DD"/>
    <w:rsid w:val="00970CCF"/>
    <w:rsid w:val="009717AC"/>
    <w:rsid w:val="0097203C"/>
    <w:rsid w:val="0097206C"/>
    <w:rsid w:val="00972F10"/>
    <w:rsid w:val="00973646"/>
    <w:rsid w:val="0097446B"/>
    <w:rsid w:val="00975B7E"/>
    <w:rsid w:val="0097695D"/>
    <w:rsid w:val="00977922"/>
    <w:rsid w:val="00981645"/>
    <w:rsid w:val="00983E57"/>
    <w:rsid w:val="00985C8D"/>
    <w:rsid w:val="0098675D"/>
    <w:rsid w:val="00990D5B"/>
    <w:rsid w:val="0099679B"/>
    <w:rsid w:val="00996B1A"/>
    <w:rsid w:val="009A1748"/>
    <w:rsid w:val="009A325C"/>
    <w:rsid w:val="009A74A3"/>
    <w:rsid w:val="009A7AAB"/>
    <w:rsid w:val="009A7F10"/>
    <w:rsid w:val="009B049F"/>
    <w:rsid w:val="009B3DC9"/>
    <w:rsid w:val="009B3E26"/>
    <w:rsid w:val="009B4098"/>
    <w:rsid w:val="009C6CEA"/>
    <w:rsid w:val="009C7B85"/>
    <w:rsid w:val="009D1493"/>
    <w:rsid w:val="009D58BD"/>
    <w:rsid w:val="009D59D1"/>
    <w:rsid w:val="009D5B91"/>
    <w:rsid w:val="009D7085"/>
    <w:rsid w:val="009D792E"/>
    <w:rsid w:val="009E0DFE"/>
    <w:rsid w:val="009E32A6"/>
    <w:rsid w:val="009E44D3"/>
    <w:rsid w:val="009E4C07"/>
    <w:rsid w:val="009E5CB4"/>
    <w:rsid w:val="009E6761"/>
    <w:rsid w:val="009F4350"/>
    <w:rsid w:val="00A01184"/>
    <w:rsid w:val="00A039F1"/>
    <w:rsid w:val="00A03D43"/>
    <w:rsid w:val="00A04380"/>
    <w:rsid w:val="00A0521D"/>
    <w:rsid w:val="00A063D4"/>
    <w:rsid w:val="00A11CD0"/>
    <w:rsid w:val="00A13948"/>
    <w:rsid w:val="00A14AF7"/>
    <w:rsid w:val="00A1555B"/>
    <w:rsid w:val="00A155C5"/>
    <w:rsid w:val="00A15824"/>
    <w:rsid w:val="00A16AD8"/>
    <w:rsid w:val="00A2009D"/>
    <w:rsid w:val="00A21388"/>
    <w:rsid w:val="00A216B1"/>
    <w:rsid w:val="00A21CF3"/>
    <w:rsid w:val="00A27AEC"/>
    <w:rsid w:val="00A320DB"/>
    <w:rsid w:val="00A35D16"/>
    <w:rsid w:val="00A36176"/>
    <w:rsid w:val="00A37BCD"/>
    <w:rsid w:val="00A431EE"/>
    <w:rsid w:val="00A43C59"/>
    <w:rsid w:val="00A4407B"/>
    <w:rsid w:val="00A44618"/>
    <w:rsid w:val="00A45CD7"/>
    <w:rsid w:val="00A46B19"/>
    <w:rsid w:val="00A46EB6"/>
    <w:rsid w:val="00A50ECD"/>
    <w:rsid w:val="00A518F3"/>
    <w:rsid w:val="00A52637"/>
    <w:rsid w:val="00A52729"/>
    <w:rsid w:val="00A53675"/>
    <w:rsid w:val="00A5378A"/>
    <w:rsid w:val="00A564D7"/>
    <w:rsid w:val="00A56B6A"/>
    <w:rsid w:val="00A57319"/>
    <w:rsid w:val="00A578DC"/>
    <w:rsid w:val="00A6725B"/>
    <w:rsid w:val="00A6731F"/>
    <w:rsid w:val="00A67D0D"/>
    <w:rsid w:val="00A70159"/>
    <w:rsid w:val="00A70605"/>
    <w:rsid w:val="00A7183C"/>
    <w:rsid w:val="00A71E0F"/>
    <w:rsid w:val="00A72FE3"/>
    <w:rsid w:val="00A73134"/>
    <w:rsid w:val="00A73A75"/>
    <w:rsid w:val="00A73A8C"/>
    <w:rsid w:val="00A75836"/>
    <w:rsid w:val="00A7646B"/>
    <w:rsid w:val="00A777B2"/>
    <w:rsid w:val="00A86388"/>
    <w:rsid w:val="00A864E9"/>
    <w:rsid w:val="00A8678E"/>
    <w:rsid w:val="00A86E8B"/>
    <w:rsid w:val="00A87164"/>
    <w:rsid w:val="00A914BD"/>
    <w:rsid w:val="00A93072"/>
    <w:rsid w:val="00A93953"/>
    <w:rsid w:val="00A959D8"/>
    <w:rsid w:val="00AA113D"/>
    <w:rsid w:val="00AA2714"/>
    <w:rsid w:val="00AA3213"/>
    <w:rsid w:val="00AA3365"/>
    <w:rsid w:val="00AA354F"/>
    <w:rsid w:val="00AA3FB9"/>
    <w:rsid w:val="00AA50ED"/>
    <w:rsid w:val="00AA6C7D"/>
    <w:rsid w:val="00AA7FD6"/>
    <w:rsid w:val="00AB0272"/>
    <w:rsid w:val="00AB042A"/>
    <w:rsid w:val="00AB2BD2"/>
    <w:rsid w:val="00AB2D34"/>
    <w:rsid w:val="00AB3430"/>
    <w:rsid w:val="00AB4840"/>
    <w:rsid w:val="00AB48FE"/>
    <w:rsid w:val="00AB4AD1"/>
    <w:rsid w:val="00AB617D"/>
    <w:rsid w:val="00AB7CFA"/>
    <w:rsid w:val="00AC5B48"/>
    <w:rsid w:val="00AC6434"/>
    <w:rsid w:val="00AD0CD7"/>
    <w:rsid w:val="00AD6502"/>
    <w:rsid w:val="00AD7216"/>
    <w:rsid w:val="00AD7512"/>
    <w:rsid w:val="00AE07A0"/>
    <w:rsid w:val="00AE10FD"/>
    <w:rsid w:val="00AE2418"/>
    <w:rsid w:val="00AE315F"/>
    <w:rsid w:val="00AE4B2C"/>
    <w:rsid w:val="00AE74CC"/>
    <w:rsid w:val="00AF1315"/>
    <w:rsid w:val="00AF19BF"/>
    <w:rsid w:val="00AF2DC3"/>
    <w:rsid w:val="00AF33E0"/>
    <w:rsid w:val="00AF3F51"/>
    <w:rsid w:val="00AF622D"/>
    <w:rsid w:val="00B004BA"/>
    <w:rsid w:val="00B009B4"/>
    <w:rsid w:val="00B033E5"/>
    <w:rsid w:val="00B03A63"/>
    <w:rsid w:val="00B07E86"/>
    <w:rsid w:val="00B10A2E"/>
    <w:rsid w:val="00B10E07"/>
    <w:rsid w:val="00B13709"/>
    <w:rsid w:val="00B14038"/>
    <w:rsid w:val="00B163FC"/>
    <w:rsid w:val="00B201A4"/>
    <w:rsid w:val="00B20C0C"/>
    <w:rsid w:val="00B213A6"/>
    <w:rsid w:val="00B21B84"/>
    <w:rsid w:val="00B2279C"/>
    <w:rsid w:val="00B240DB"/>
    <w:rsid w:val="00B24DF6"/>
    <w:rsid w:val="00B251D1"/>
    <w:rsid w:val="00B32C2E"/>
    <w:rsid w:val="00B33652"/>
    <w:rsid w:val="00B34FE2"/>
    <w:rsid w:val="00B357D8"/>
    <w:rsid w:val="00B37BFC"/>
    <w:rsid w:val="00B37D14"/>
    <w:rsid w:val="00B40358"/>
    <w:rsid w:val="00B41614"/>
    <w:rsid w:val="00B42851"/>
    <w:rsid w:val="00B42F80"/>
    <w:rsid w:val="00B435CB"/>
    <w:rsid w:val="00B44CA7"/>
    <w:rsid w:val="00B50DB8"/>
    <w:rsid w:val="00B51EB7"/>
    <w:rsid w:val="00B532EC"/>
    <w:rsid w:val="00B53654"/>
    <w:rsid w:val="00B53905"/>
    <w:rsid w:val="00B544F9"/>
    <w:rsid w:val="00B54B5B"/>
    <w:rsid w:val="00B54E3B"/>
    <w:rsid w:val="00B5562E"/>
    <w:rsid w:val="00B56F17"/>
    <w:rsid w:val="00B57000"/>
    <w:rsid w:val="00B57246"/>
    <w:rsid w:val="00B573B7"/>
    <w:rsid w:val="00B576E5"/>
    <w:rsid w:val="00B60939"/>
    <w:rsid w:val="00B60AFD"/>
    <w:rsid w:val="00B62715"/>
    <w:rsid w:val="00B63781"/>
    <w:rsid w:val="00B63959"/>
    <w:rsid w:val="00B67BE7"/>
    <w:rsid w:val="00B74C05"/>
    <w:rsid w:val="00B77B91"/>
    <w:rsid w:val="00B818A4"/>
    <w:rsid w:val="00B824ED"/>
    <w:rsid w:val="00B82C81"/>
    <w:rsid w:val="00B83076"/>
    <w:rsid w:val="00B8341F"/>
    <w:rsid w:val="00B84117"/>
    <w:rsid w:val="00B85AA2"/>
    <w:rsid w:val="00B8649C"/>
    <w:rsid w:val="00B87C0E"/>
    <w:rsid w:val="00B87F0A"/>
    <w:rsid w:val="00B90BF6"/>
    <w:rsid w:val="00B92D0B"/>
    <w:rsid w:val="00B92DEE"/>
    <w:rsid w:val="00B93E34"/>
    <w:rsid w:val="00B94945"/>
    <w:rsid w:val="00BA0AF2"/>
    <w:rsid w:val="00BA3112"/>
    <w:rsid w:val="00BA322D"/>
    <w:rsid w:val="00BA57B7"/>
    <w:rsid w:val="00BA70BF"/>
    <w:rsid w:val="00BB06EB"/>
    <w:rsid w:val="00BB0BDD"/>
    <w:rsid w:val="00BB1AFF"/>
    <w:rsid w:val="00BB2A73"/>
    <w:rsid w:val="00BB3144"/>
    <w:rsid w:val="00BB3858"/>
    <w:rsid w:val="00BB4ACC"/>
    <w:rsid w:val="00BB56A4"/>
    <w:rsid w:val="00BB67D0"/>
    <w:rsid w:val="00BB703E"/>
    <w:rsid w:val="00BB7405"/>
    <w:rsid w:val="00BC2166"/>
    <w:rsid w:val="00BC2EAF"/>
    <w:rsid w:val="00BC3631"/>
    <w:rsid w:val="00BC3C81"/>
    <w:rsid w:val="00BD0610"/>
    <w:rsid w:val="00BD3569"/>
    <w:rsid w:val="00BD4C28"/>
    <w:rsid w:val="00BD68A3"/>
    <w:rsid w:val="00BD6938"/>
    <w:rsid w:val="00BD6CF3"/>
    <w:rsid w:val="00BE2180"/>
    <w:rsid w:val="00BE21F2"/>
    <w:rsid w:val="00BE3CD1"/>
    <w:rsid w:val="00BE3D6F"/>
    <w:rsid w:val="00BE4275"/>
    <w:rsid w:val="00BF0F95"/>
    <w:rsid w:val="00BF2051"/>
    <w:rsid w:val="00BF2433"/>
    <w:rsid w:val="00BF61C9"/>
    <w:rsid w:val="00BF6C94"/>
    <w:rsid w:val="00BF723F"/>
    <w:rsid w:val="00BF7EC0"/>
    <w:rsid w:val="00C00424"/>
    <w:rsid w:val="00C02947"/>
    <w:rsid w:val="00C053E8"/>
    <w:rsid w:val="00C073B2"/>
    <w:rsid w:val="00C1007F"/>
    <w:rsid w:val="00C109E4"/>
    <w:rsid w:val="00C1190E"/>
    <w:rsid w:val="00C11AAD"/>
    <w:rsid w:val="00C11D65"/>
    <w:rsid w:val="00C12C14"/>
    <w:rsid w:val="00C15841"/>
    <w:rsid w:val="00C1584E"/>
    <w:rsid w:val="00C200AA"/>
    <w:rsid w:val="00C22D9E"/>
    <w:rsid w:val="00C237ED"/>
    <w:rsid w:val="00C24450"/>
    <w:rsid w:val="00C24632"/>
    <w:rsid w:val="00C25418"/>
    <w:rsid w:val="00C25D9C"/>
    <w:rsid w:val="00C2778B"/>
    <w:rsid w:val="00C31649"/>
    <w:rsid w:val="00C32A95"/>
    <w:rsid w:val="00C357DE"/>
    <w:rsid w:val="00C362CE"/>
    <w:rsid w:val="00C37390"/>
    <w:rsid w:val="00C40385"/>
    <w:rsid w:val="00C41AD2"/>
    <w:rsid w:val="00C475AA"/>
    <w:rsid w:val="00C540AD"/>
    <w:rsid w:val="00C57841"/>
    <w:rsid w:val="00C57B0F"/>
    <w:rsid w:val="00C60B08"/>
    <w:rsid w:val="00C61C01"/>
    <w:rsid w:val="00C634EB"/>
    <w:rsid w:val="00C65172"/>
    <w:rsid w:val="00C65576"/>
    <w:rsid w:val="00C66165"/>
    <w:rsid w:val="00C67F4F"/>
    <w:rsid w:val="00C7151A"/>
    <w:rsid w:val="00C71F60"/>
    <w:rsid w:val="00C72241"/>
    <w:rsid w:val="00C750C8"/>
    <w:rsid w:val="00C7560F"/>
    <w:rsid w:val="00C760B2"/>
    <w:rsid w:val="00C76A89"/>
    <w:rsid w:val="00C76B4A"/>
    <w:rsid w:val="00C80A0E"/>
    <w:rsid w:val="00C8187E"/>
    <w:rsid w:val="00C81DD6"/>
    <w:rsid w:val="00C8213F"/>
    <w:rsid w:val="00C833E8"/>
    <w:rsid w:val="00C85D9E"/>
    <w:rsid w:val="00C869B7"/>
    <w:rsid w:val="00C86A07"/>
    <w:rsid w:val="00C8797A"/>
    <w:rsid w:val="00C900B8"/>
    <w:rsid w:val="00C90C71"/>
    <w:rsid w:val="00C91450"/>
    <w:rsid w:val="00C92223"/>
    <w:rsid w:val="00C931CF"/>
    <w:rsid w:val="00C938CF"/>
    <w:rsid w:val="00C94D01"/>
    <w:rsid w:val="00C9624D"/>
    <w:rsid w:val="00C969DA"/>
    <w:rsid w:val="00CA2C77"/>
    <w:rsid w:val="00CA444F"/>
    <w:rsid w:val="00CA4C13"/>
    <w:rsid w:val="00CA5245"/>
    <w:rsid w:val="00CA6629"/>
    <w:rsid w:val="00CA71F4"/>
    <w:rsid w:val="00CA7B09"/>
    <w:rsid w:val="00CB005F"/>
    <w:rsid w:val="00CB129E"/>
    <w:rsid w:val="00CB2F2A"/>
    <w:rsid w:val="00CB5B1A"/>
    <w:rsid w:val="00CB6B22"/>
    <w:rsid w:val="00CB7F5F"/>
    <w:rsid w:val="00CC1B39"/>
    <w:rsid w:val="00CC2EFA"/>
    <w:rsid w:val="00CC758F"/>
    <w:rsid w:val="00CD6ADC"/>
    <w:rsid w:val="00CD7E8A"/>
    <w:rsid w:val="00CE01F5"/>
    <w:rsid w:val="00CE5F0C"/>
    <w:rsid w:val="00CE6274"/>
    <w:rsid w:val="00CE62F9"/>
    <w:rsid w:val="00CE7ACC"/>
    <w:rsid w:val="00CF0B44"/>
    <w:rsid w:val="00CF2B8D"/>
    <w:rsid w:val="00CF453E"/>
    <w:rsid w:val="00CF456B"/>
    <w:rsid w:val="00CF5A22"/>
    <w:rsid w:val="00CF5F42"/>
    <w:rsid w:val="00D00D3A"/>
    <w:rsid w:val="00D0262E"/>
    <w:rsid w:val="00D02C2A"/>
    <w:rsid w:val="00D05E39"/>
    <w:rsid w:val="00D1012C"/>
    <w:rsid w:val="00D110BD"/>
    <w:rsid w:val="00D13675"/>
    <w:rsid w:val="00D141E1"/>
    <w:rsid w:val="00D14B97"/>
    <w:rsid w:val="00D15999"/>
    <w:rsid w:val="00D16C57"/>
    <w:rsid w:val="00D17D6C"/>
    <w:rsid w:val="00D20A47"/>
    <w:rsid w:val="00D248AC"/>
    <w:rsid w:val="00D26AC3"/>
    <w:rsid w:val="00D2754D"/>
    <w:rsid w:val="00D27B27"/>
    <w:rsid w:val="00D27BE9"/>
    <w:rsid w:val="00D33BE9"/>
    <w:rsid w:val="00D346CB"/>
    <w:rsid w:val="00D34E11"/>
    <w:rsid w:val="00D352BE"/>
    <w:rsid w:val="00D357FF"/>
    <w:rsid w:val="00D35F61"/>
    <w:rsid w:val="00D409D2"/>
    <w:rsid w:val="00D415E8"/>
    <w:rsid w:val="00D424C7"/>
    <w:rsid w:val="00D438A4"/>
    <w:rsid w:val="00D43B2A"/>
    <w:rsid w:val="00D47575"/>
    <w:rsid w:val="00D5082B"/>
    <w:rsid w:val="00D51883"/>
    <w:rsid w:val="00D568F5"/>
    <w:rsid w:val="00D70F16"/>
    <w:rsid w:val="00D721D8"/>
    <w:rsid w:val="00D74836"/>
    <w:rsid w:val="00D76A44"/>
    <w:rsid w:val="00D80754"/>
    <w:rsid w:val="00D81027"/>
    <w:rsid w:val="00D815EF"/>
    <w:rsid w:val="00D836AB"/>
    <w:rsid w:val="00D86FDF"/>
    <w:rsid w:val="00D87098"/>
    <w:rsid w:val="00D87637"/>
    <w:rsid w:val="00D877A6"/>
    <w:rsid w:val="00D905E6"/>
    <w:rsid w:val="00D90990"/>
    <w:rsid w:val="00D91923"/>
    <w:rsid w:val="00D928FE"/>
    <w:rsid w:val="00D92D91"/>
    <w:rsid w:val="00D93753"/>
    <w:rsid w:val="00D94EE0"/>
    <w:rsid w:val="00DA1687"/>
    <w:rsid w:val="00DA2C59"/>
    <w:rsid w:val="00DA3167"/>
    <w:rsid w:val="00DA4142"/>
    <w:rsid w:val="00DA4DC3"/>
    <w:rsid w:val="00DA546B"/>
    <w:rsid w:val="00DA77A5"/>
    <w:rsid w:val="00DB2736"/>
    <w:rsid w:val="00DB2EA0"/>
    <w:rsid w:val="00DB484F"/>
    <w:rsid w:val="00DB5D32"/>
    <w:rsid w:val="00DB6FB3"/>
    <w:rsid w:val="00DC04F6"/>
    <w:rsid w:val="00DC127E"/>
    <w:rsid w:val="00DC1ADE"/>
    <w:rsid w:val="00DC30F5"/>
    <w:rsid w:val="00DC3C57"/>
    <w:rsid w:val="00DC4370"/>
    <w:rsid w:val="00DC5501"/>
    <w:rsid w:val="00DC5F1C"/>
    <w:rsid w:val="00DC76FF"/>
    <w:rsid w:val="00DD110B"/>
    <w:rsid w:val="00DD1D8F"/>
    <w:rsid w:val="00DD273C"/>
    <w:rsid w:val="00DD32D1"/>
    <w:rsid w:val="00DD3F28"/>
    <w:rsid w:val="00DD4537"/>
    <w:rsid w:val="00DD4D44"/>
    <w:rsid w:val="00DD4E15"/>
    <w:rsid w:val="00DD4E84"/>
    <w:rsid w:val="00DD5F77"/>
    <w:rsid w:val="00DD67DF"/>
    <w:rsid w:val="00DE3138"/>
    <w:rsid w:val="00DE37F8"/>
    <w:rsid w:val="00DE398B"/>
    <w:rsid w:val="00DE398F"/>
    <w:rsid w:val="00DE4FCB"/>
    <w:rsid w:val="00DE77EE"/>
    <w:rsid w:val="00DE7832"/>
    <w:rsid w:val="00DF1520"/>
    <w:rsid w:val="00DF18FC"/>
    <w:rsid w:val="00DF5D2B"/>
    <w:rsid w:val="00DF6429"/>
    <w:rsid w:val="00DF7AC7"/>
    <w:rsid w:val="00E00E8E"/>
    <w:rsid w:val="00E022EE"/>
    <w:rsid w:val="00E05630"/>
    <w:rsid w:val="00E064AD"/>
    <w:rsid w:val="00E069E8"/>
    <w:rsid w:val="00E06B65"/>
    <w:rsid w:val="00E06DBB"/>
    <w:rsid w:val="00E10149"/>
    <w:rsid w:val="00E161D2"/>
    <w:rsid w:val="00E16372"/>
    <w:rsid w:val="00E20E4D"/>
    <w:rsid w:val="00E20ED6"/>
    <w:rsid w:val="00E21358"/>
    <w:rsid w:val="00E220D8"/>
    <w:rsid w:val="00E2249B"/>
    <w:rsid w:val="00E22A0D"/>
    <w:rsid w:val="00E22CD6"/>
    <w:rsid w:val="00E23A47"/>
    <w:rsid w:val="00E2652E"/>
    <w:rsid w:val="00E2771E"/>
    <w:rsid w:val="00E338E4"/>
    <w:rsid w:val="00E34722"/>
    <w:rsid w:val="00E34948"/>
    <w:rsid w:val="00E37569"/>
    <w:rsid w:val="00E3783E"/>
    <w:rsid w:val="00E40B78"/>
    <w:rsid w:val="00E41E30"/>
    <w:rsid w:val="00E43D70"/>
    <w:rsid w:val="00E445BB"/>
    <w:rsid w:val="00E45B1C"/>
    <w:rsid w:val="00E466F3"/>
    <w:rsid w:val="00E47B2C"/>
    <w:rsid w:val="00E51560"/>
    <w:rsid w:val="00E54347"/>
    <w:rsid w:val="00E54C7B"/>
    <w:rsid w:val="00E55424"/>
    <w:rsid w:val="00E55BB5"/>
    <w:rsid w:val="00E56264"/>
    <w:rsid w:val="00E57146"/>
    <w:rsid w:val="00E6183E"/>
    <w:rsid w:val="00E6271D"/>
    <w:rsid w:val="00E633D2"/>
    <w:rsid w:val="00E65341"/>
    <w:rsid w:val="00E6557D"/>
    <w:rsid w:val="00E65E79"/>
    <w:rsid w:val="00E66BA2"/>
    <w:rsid w:val="00E67416"/>
    <w:rsid w:val="00E704F3"/>
    <w:rsid w:val="00E718B6"/>
    <w:rsid w:val="00E719AB"/>
    <w:rsid w:val="00E723BA"/>
    <w:rsid w:val="00E7251C"/>
    <w:rsid w:val="00E72C13"/>
    <w:rsid w:val="00E73581"/>
    <w:rsid w:val="00E748BF"/>
    <w:rsid w:val="00E775F7"/>
    <w:rsid w:val="00E832B5"/>
    <w:rsid w:val="00E833F7"/>
    <w:rsid w:val="00E83BDF"/>
    <w:rsid w:val="00E85D00"/>
    <w:rsid w:val="00E87A1D"/>
    <w:rsid w:val="00E926A5"/>
    <w:rsid w:val="00E95D3E"/>
    <w:rsid w:val="00E967E3"/>
    <w:rsid w:val="00EA071B"/>
    <w:rsid w:val="00EA1644"/>
    <w:rsid w:val="00EA17C3"/>
    <w:rsid w:val="00EA1ED8"/>
    <w:rsid w:val="00EA27FD"/>
    <w:rsid w:val="00EA2CAA"/>
    <w:rsid w:val="00EA3864"/>
    <w:rsid w:val="00EA467D"/>
    <w:rsid w:val="00EB15B6"/>
    <w:rsid w:val="00EB2D9F"/>
    <w:rsid w:val="00EB4916"/>
    <w:rsid w:val="00EB5367"/>
    <w:rsid w:val="00EC00C9"/>
    <w:rsid w:val="00EC0472"/>
    <w:rsid w:val="00EC1B79"/>
    <w:rsid w:val="00EC2649"/>
    <w:rsid w:val="00EC468A"/>
    <w:rsid w:val="00ED131F"/>
    <w:rsid w:val="00ED1922"/>
    <w:rsid w:val="00ED2B8A"/>
    <w:rsid w:val="00ED3115"/>
    <w:rsid w:val="00ED3346"/>
    <w:rsid w:val="00ED57EA"/>
    <w:rsid w:val="00ED76CD"/>
    <w:rsid w:val="00EE01FE"/>
    <w:rsid w:val="00EE07D3"/>
    <w:rsid w:val="00EE0B1B"/>
    <w:rsid w:val="00EE1DFF"/>
    <w:rsid w:val="00EE22AF"/>
    <w:rsid w:val="00EE234C"/>
    <w:rsid w:val="00EE364A"/>
    <w:rsid w:val="00EE6D10"/>
    <w:rsid w:val="00EE7E29"/>
    <w:rsid w:val="00EF0171"/>
    <w:rsid w:val="00EF1B25"/>
    <w:rsid w:val="00EF4747"/>
    <w:rsid w:val="00EF4BF8"/>
    <w:rsid w:val="00EF5A63"/>
    <w:rsid w:val="00EF74A0"/>
    <w:rsid w:val="00F018C4"/>
    <w:rsid w:val="00F02253"/>
    <w:rsid w:val="00F03C2E"/>
    <w:rsid w:val="00F0432F"/>
    <w:rsid w:val="00F04A66"/>
    <w:rsid w:val="00F0516C"/>
    <w:rsid w:val="00F05A4E"/>
    <w:rsid w:val="00F05ED5"/>
    <w:rsid w:val="00F067A2"/>
    <w:rsid w:val="00F1263A"/>
    <w:rsid w:val="00F13474"/>
    <w:rsid w:val="00F21B80"/>
    <w:rsid w:val="00F2213E"/>
    <w:rsid w:val="00F22D6F"/>
    <w:rsid w:val="00F24837"/>
    <w:rsid w:val="00F2550C"/>
    <w:rsid w:val="00F2575F"/>
    <w:rsid w:val="00F26939"/>
    <w:rsid w:val="00F27565"/>
    <w:rsid w:val="00F310D4"/>
    <w:rsid w:val="00F31D5A"/>
    <w:rsid w:val="00F33504"/>
    <w:rsid w:val="00F33DE9"/>
    <w:rsid w:val="00F352FA"/>
    <w:rsid w:val="00F3537A"/>
    <w:rsid w:val="00F3619A"/>
    <w:rsid w:val="00F37A5D"/>
    <w:rsid w:val="00F40AAA"/>
    <w:rsid w:val="00F40BA7"/>
    <w:rsid w:val="00F447D8"/>
    <w:rsid w:val="00F46CB6"/>
    <w:rsid w:val="00F47DE8"/>
    <w:rsid w:val="00F542C1"/>
    <w:rsid w:val="00F55E73"/>
    <w:rsid w:val="00F55EDA"/>
    <w:rsid w:val="00F565BA"/>
    <w:rsid w:val="00F567CF"/>
    <w:rsid w:val="00F56E36"/>
    <w:rsid w:val="00F60092"/>
    <w:rsid w:val="00F61348"/>
    <w:rsid w:val="00F63D89"/>
    <w:rsid w:val="00F64264"/>
    <w:rsid w:val="00F657B1"/>
    <w:rsid w:val="00F65F4B"/>
    <w:rsid w:val="00F66A30"/>
    <w:rsid w:val="00F66B6F"/>
    <w:rsid w:val="00F67F79"/>
    <w:rsid w:val="00F70C9D"/>
    <w:rsid w:val="00F71DA2"/>
    <w:rsid w:val="00F7254F"/>
    <w:rsid w:val="00F74CD9"/>
    <w:rsid w:val="00F80A7B"/>
    <w:rsid w:val="00F80E5D"/>
    <w:rsid w:val="00F811F7"/>
    <w:rsid w:val="00F8197E"/>
    <w:rsid w:val="00F8204B"/>
    <w:rsid w:val="00F820B3"/>
    <w:rsid w:val="00F828F6"/>
    <w:rsid w:val="00F84058"/>
    <w:rsid w:val="00F851CE"/>
    <w:rsid w:val="00F8719B"/>
    <w:rsid w:val="00F90ADF"/>
    <w:rsid w:val="00F91219"/>
    <w:rsid w:val="00F97A78"/>
    <w:rsid w:val="00FA08BC"/>
    <w:rsid w:val="00FA0B20"/>
    <w:rsid w:val="00FA0BE6"/>
    <w:rsid w:val="00FA24E7"/>
    <w:rsid w:val="00FA35ED"/>
    <w:rsid w:val="00FA678D"/>
    <w:rsid w:val="00FA79B1"/>
    <w:rsid w:val="00FB2FCB"/>
    <w:rsid w:val="00FB3BFA"/>
    <w:rsid w:val="00FB5788"/>
    <w:rsid w:val="00FC1074"/>
    <w:rsid w:val="00FC1884"/>
    <w:rsid w:val="00FC2561"/>
    <w:rsid w:val="00FC371D"/>
    <w:rsid w:val="00FC5D68"/>
    <w:rsid w:val="00FC5F0B"/>
    <w:rsid w:val="00FC792C"/>
    <w:rsid w:val="00FD1AE1"/>
    <w:rsid w:val="00FD2100"/>
    <w:rsid w:val="00FD436C"/>
    <w:rsid w:val="00FD446D"/>
    <w:rsid w:val="00FD4F5F"/>
    <w:rsid w:val="00FD537A"/>
    <w:rsid w:val="00FD6394"/>
    <w:rsid w:val="00FD6ABE"/>
    <w:rsid w:val="00FE0E6C"/>
    <w:rsid w:val="00FE1E11"/>
    <w:rsid w:val="00FE2275"/>
    <w:rsid w:val="00FE253E"/>
    <w:rsid w:val="00FE54E5"/>
    <w:rsid w:val="00FE596E"/>
    <w:rsid w:val="00FE70C3"/>
    <w:rsid w:val="00FF05A3"/>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Bullet" w:uiPriority="99"/>
    <w:lsdException w:name="List Number" w:semiHidden="0" w:uiPriority="16" w:unhideWhenUsed="0" w:qFormat="1"/>
    <w:lsdException w:name="List 4" w:semiHidden="0" w:unhideWhenUsed="0"/>
    <w:lsdException w:name="List 5" w:semiHidden="0" w:unhideWhenUsed="0"/>
    <w:lsdException w:name="List Number 2" w:uiPriority="16" w:qFormat="1"/>
    <w:lsdException w:name="List Number 3" w:uiPriority="16" w:qFormat="1"/>
    <w:lsdException w:name="List Number 4" w:uiPriority="16"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6D2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CF5F42"/>
    <w:pPr>
      <w:spacing w:before="240" w:after="120"/>
      <w:outlineLvl w:val="1"/>
    </w:pPr>
    <w:rPr>
      <w:rFonts w:asciiTheme="minorHAnsi" w:hAnsiTheme="minorHAnsi"/>
      <w:b/>
      <w:bCs/>
      <w:i/>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5F42"/>
    <w:rPr>
      <w:rFonts w:asciiTheme="minorHAnsi" w:hAnsiTheme="minorHAnsi" w:cs="Arial"/>
      <w:b/>
      <w:bCs/>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E6271D"/>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F5F42"/>
    <w:pPr>
      <w:numPr>
        <w:numId w:val="2"/>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ListNumber">
    <w:name w:val="List Number"/>
    <w:basedOn w:val="Normal"/>
    <w:uiPriority w:val="16"/>
    <w:qFormat/>
    <w:rsid w:val="00737010"/>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aliases w:val="Char1"/>
    <w:basedOn w:val="Normal"/>
    <w:uiPriority w:val="16"/>
    <w:qFormat/>
    <w:rsid w:val="00737010"/>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737010"/>
    <w:pPr>
      <w:numPr>
        <w:numId w:val="6"/>
      </w:numPr>
    </w:pPr>
  </w:style>
  <w:style w:type="paragraph" w:styleId="ListNumber3">
    <w:name w:val="List Number 3"/>
    <w:aliases w:val="Char"/>
    <w:basedOn w:val="Normal"/>
    <w:uiPriority w:val="16"/>
    <w:qFormat/>
    <w:rsid w:val="00737010"/>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737010"/>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737010"/>
    <w:pPr>
      <w:keepLines/>
      <w:widowControl/>
      <w:numPr>
        <w:numId w:val="3"/>
      </w:numPr>
      <w:tabs>
        <w:tab w:val="left" w:pos="284"/>
      </w:tabs>
      <w:spacing w:before="60" w:after="360" w:line="360" w:lineRule="auto"/>
      <w:contextualSpacing/>
      <w:jc w:val="left"/>
    </w:pPr>
    <w:rPr>
      <w:rFonts w:ascii="Arial" w:eastAsiaTheme="minorHAnsi" w:hAnsi="Arial" w:cstheme="minorBidi"/>
      <w:snapToGrid/>
      <w:sz w:val="18"/>
      <w:szCs w:val="20"/>
    </w:rPr>
  </w:style>
  <w:style w:type="paragraph" w:customStyle="1" w:styleId="TableText0">
    <w:name w:val="Table Text"/>
    <w:basedOn w:val="Normal"/>
    <w:link w:val="TableTextChar0"/>
    <w:qFormat/>
    <w:rsid w:val="005A25A4"/>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5A25A4"/>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5A25A4"/>
    <w:rPr>
      <w:rFonts w:ascii="Arial Narrow" w:eastAsiaTheme="minorHAnsi" w:hAnsi="Arial Narrow" w:cstheme="minorBidi"/>
      <w:szCs w:val="22"/>
      <w:lang w:eastAsia="en-US"/>
    </w:rPr>
  </w:style>
  <w:style w:type="character" w:customStyle="1" w:styleId="COMBodyChar">
    <w:name w:val="COMBody Char"/>
    <w:basedOn w:val="DefaultParagraphFont"/>
    <w:link w:val="COMBody"/>
    <w:locked/>
    <w:rsid w:val="0095067D"/>
    <w:rPr>
      <w:rFonts w:ascii="Calibri" w:hAnsi="Calibri" w:cs="Arial"/>
      <w:sz w:val="24"/>
    </w:rPr>
  </w:style>
  <w:style w:type="paragraph" w:customStyle="1" w:styleId="COMBody">
    <w:name w:val="COMBody"/>
    <w:basedOn w:val="Normal"/>
    <w:link w:val="COMBodyChar"/>
    <w:qFormat/>
    <w:rsid w:val="0095067D"/>
    <w:pPr>
      <w:snapToGrid w:val="0"/>
    </w:pPr>
    <w:rPr>
      <w:snapToGrid/>
      <w:szCs w:val="20"/>
      <w:lang w:eastAsia="en-AU"/>
    </w:rPr>
  </w:style>
  <w:style w:type="paragraph" w:customStyle="1" w:styleId="V50Instructions">
    <w:name w:val="V5.0 Instructions"/>
    <w:basedOn w:val="Normal"/>
    <w:link w:val="V50InstructionsChar"/>
    <w:qFormat/>
    <w:rsid w:val="0092707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2707B"/>
    <w:rPr>
      <w:rFonts w:asciiTheme="minorHAnsi" w:eastAsiaTheme="minorHAnsi" w:hAnsiTheme="minorHAnsi" w:cstheme="minorBidi"/>
      <w:color w:val="4BACC6" w:themeColor="accent5"/>
      <w:sz w:val="24"/>
      <w:szCs w:val="22"/>
      <w:lang w:eastAsia="en-US"/>
    </w:rPr>
  </w:style>
  <w:style w:type="paragraph" w:customStyle="1" w:styleId="COMtbl-HEADLeftAligned">
    <w:name w:val="COMtbl-HEAD Left Aligned"/>
    <w:basedOn w:val="Normal"/>
    <w:qFormat/>
    <w:rsid w:val="00DC4370"/>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DC4370"/>
    <w:pPr>
      <w:jc w:val="center"/>
    </w:pPr>
  </w:style>
  <w:style w:type="paragraph" w:customStyle="1" w:styleId="COMtbl-textLeftAligned">
    <w:name w:val="COMtbl-text Left Aligned"/>
    <w:basedOn w:val="COMtbl-HEADLeftAligned"/>
    <w:qFormat/>
    <w:rsid w:val="00DC4370"/>
    <w:rPr>
      <w:b w:val="0"/>
    </w:rPr>
  </w:style>
  <w:style w:type="paragraph" w:customStyle="1" w:styleId="COMtbl-textCentred">
    <w:name w:val="COMtbl-text Centred"/>
    <w:basedOn w:val="COMtbl-HEADCentred"/>
    <w:qFormat/>
    <w:rsid w:val="00DC4370"/>
    <w:rPr>
      <w:b w:val="0"/>
    </w:rPr>
  </w:style>
  <w:style w:type="table" w:customStyle="1" w:styleId="MSDAustralia">
    <w:name w:val="MSD Australia"/>
    <w:basedOn w:val="TableGrid"/>
    <w:uiPriority w:val="99"/>
    <w:rsid w:val="00FF05A3"/>
    <w:pPr>
      <w:ind w:left="57" w:right="57"/>
    </w:pPr>
    <w:rPr>
      <w:rFonts w:ascii="Arial" w:eastAsiaTheme="minorHAnsi" w:hAnsi="Arial" w:cstheme="minorBidi"/>
      <w:lang w:eastAsia="en-US"/>
    </w:rPr>
    <w:tblPr>
      <w:tblInd w:w="0" w:type="dxa"/>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writing">
    <w:name w:val="Table writing"/>
    <w:basedOn w:val="Normal"/>
    <w:link w:val="TablewritingChar"/>
    <w:qFormat/>
    <w:rsid w:val="00477CF7"/>
    <w:pPr>
      <w:widowControl/>
      <w:autoSpaceDE w:val="0"/>
      <w:autoSpaceDN w:val="0"/>
      <w:adjustRightInd w:val="0"/>
      <w:spacing w:before="60" w:after="60"/>
      <w:jc w:val="left"/>
    </w:pPr>
    <w:rPr>
      <w:rFonts w:asciiTheme="minorHAnsi" w:eastAsiaTheme="minorEastAsia" w:hAnsiTheme="minorHAnsi" w:cs="Calibri"/>
      <w:snapToGrid/>
      <w:color w:val="000000"/>
      <w:sz w:val="20"/>
      <w:szCs w:val="20"/>
      <w:lang w:eastAsia="en-AU"/>
    </w:rPr>
  </w:style>
  <w:style w:type="paragraph" w:customStyle="1" w:styleId="Tableheading1">
    <w:name w:val="Table heading"/>
    <w:basedOn w:val="Normal"/>
    <w:qFormat/>
    <w:rsid w:val="00477CF7"/>
    <w:pPr>
      <w:widowControl/>
      <w:autoSpaceDE w:val="0"/>
      <w:autoSpaceDN w:val="0"/>
      <w:adjustRightInd w:val="0"/>
      <w:spacing w:before="60" w:after="60"/>
      <w:jc w:val="center"/>
    </w:pPr>
    <w:rPr>
      <w:rFonts w:asciiTheme="minorHAnsi" w:eastAsiaTheme="minorEastAsia" w:hAnsiTheme="minorHAnsi" w:cs="Calibri"/>
      <w:b/>
      <w:snapToGrid/>
      <w:szCs w:val="24"/>
      <w:lang w:eastAsia="en-AU"/>
    </w:rPr>
  </w:style>
  <w:style w:type="character" w:customStyle="1" w:styleId="TablewritingChar">
    <w:name w:val="Table writing Char"/>
    <w:link w:val="Tablewriting"/>
    <w:rsid w:val="00477CF7"/>
    <w:rPr>
      <w:rFonts w:asciiTheme="minorHAnsi" w:eastAsiaTheme="minorEastAsia" w:hAnsiTheme="minorHAnsi" w:cs="Calibri"/>
      <w:color w:val="000000"/>
    </w:rPr>
  </w:style>
  <w:style w:type="paragraph" w:customStyle="1" w:styleId="Default">
    <w:name w:val="Default"/>
    <w:rsid w:val="00AB4840"/>
    <w:pPr>
      <w:autoSpaceDE w:val="0"/>
      <w:autoSpaceDN w:val="0"/>
      <w:adjustRightInd w:val="0"/>
    </w:pPr>
    <w:rPr>
      <w:rFonts w:ascii="Cambria" w:hAnsi="Cambria" w:cs="Cambria"/>
      <w:color w:val="000000"/>
      <w:sz w:val="24"/>
      <w:szCs w:val="24"/>
    </w:rPr>
  </w:style>
  <w:style w:type="paragraph" w:customStyle="1" w:styleId="Char1CharCharChar">
    <w:name w:val="Char1 Char Char Char"/>
    <w:basedOn w:val="Normal"/>
    <w:rsid w:val="00C22D9E"/>
    <w:pPr>
      <w:widowControl/>
      <w:spacing w:after="160" w:line="240" w:lineRule="exact"/>
      <w:jc w:val="left"/>
    </w:pPr>
    <w:rPr>
      <w:rFonts w:ascii="Verdana" w:eastAsia="MS Mincho" w:hAnsi="Verdana" w:cs="Verdana"/>
      <w:snapToGrid/>
      <w:sz w:val="20"/>
      <w:lang w:val="en-US"/>
    </w:rPr>
  </w:style>
  <w:style w:type="table" w:styleId="ColorfulShading-Accent1">
    <w:name w:val="Colorful Shading Accent 1"/>
    <w:basedOn w:val="TableNormal"/>
    <w:uiPriority w:val="71"/>
    <w:rsid w:val="00EE7E29"/>
    <w:rPr>
      <w:rFonts w:ascii="Arial" w:eastAsiaTheme="minorHAnsi" w:hAnsi="Arial" w:cstheme="minorBidi"/>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E62F9"/>
    <w:pPr>
      <w:widowControl/>
      <w:spacing w:after="160" w:line="240" w:lineRule="exact"/>
      <w:jc w:val="left"/>
    </w:pPr>
    <w:rPr>
      <w:rFonts w:ascii="Verdana" w:eastAsia="MS Mincho" w:hAnsi="Verdana" w:cs="Verdana"/>
      <w:snapToGrid/>
      <w:sz w:val="20"/>
      <w:szCs w:val="20"/>
      <w:lang w:val="en-US"/>
    </w:rPr>
  </w:style>
  <w:style w:type="paragraph" w:styleId="PlainText">
    <w:name w:val="Plain Text"/>
    <w:basedOn w:val="Normal"/>
    <w:link w:val="PlainTextChar"/>
    <w:uiPriority w:val="99"/>
    <w:rsid w:val="007B1A65"/>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7B1A65"/>
    <w:rPr>
      <w:rFonts w:ascii="Courier New" w:hAnsi="Courier New"/>
    </w:rPr>
  </w:style>
  <w:style w:type="paragraph" w:styleId="ListBullet">
    <w:name w:val="List Bullet"/>
    <w:basedOn w:val="Normal"/>
    <w:uiPriority w:val="99"/>
    <w:unhideWhenUsed/>
    <w:rsid w:val="00167206"/>
    <w:pPr>
      <w:widowControl/>
      <w:numPr>
        <w:numId w:val="15"/>
      </w:numPr>
      <w:contextualSpacing/>
      <w:jc w:val="left"/>
    </w:pPr>
    <w:rPr>
      <w:rFonts w:ascii="Arial" w:eastAsiaTheme="minorEastAsia" w:hAnsi="Arial" w:cstheme="minorBidi"/>
      <w:snapToGrid/>
      <w:sz w:val="17"/>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Bullet" w:uiPriority="99"/>
    <w:lsdException w:name="List Number" w:semiHidden="0" w:uiPriority="16" w:unhideWhenUsed="0" w:qFormat="1"/>
    <w:lsdException w:name="List 4" w:semiHidden="0" w:unhideWhenUsed="0"/>
    <w:lsdException w:name="List 5" w:semiHidden="0" w:unhideWhenUsed="0"/>
    <w:lsdException w:name="List Number 2" w:uiPriority="16" w:qFormat="1"/>
    <w:lsdException w:name="List Number 3" w:uiPriority="16" w:qFormat="1"/>
    <w:lsdException w:name="List Number 4" w:uiPriority="16"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676D2A"/>
    <w:pPr>
      <w:widowControl w:val="0"/>
      <w:jc w:val="both"/>
    </w:pPr>
    <w:rPr>
      <w:rFonts w:ascii="Calibri" w:hAnsi="Calibri" w:cs="Arial"/>
      <w:snapToGrid w:val="0"/>
      <w:sz w:val="24"/>
      <w:szCs w:val="22"/>
      <w:lang w:eastAsia="en-US"/>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CF5F42"/>
    <w:pPr>
      <w:spacing w:before="240" w:after="120"/>
      <w:outlineLvl w:val="1"/>
    </w:pPr>
    <w:rPr>
      <w:rFonts w:asciiTheme="minorHAnsi" w:hAnsiTheme="minorHAnsi"/>
      <w:b/>
      <w:bCs/>
      <w:i/>
      <w:sz w:val="28"/>
      <w:szCs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F5F42"/>
    <w:rPr>
      <w:rFonts w:asciiTheme="minorHAnsi" w:hAnsiTheme="minorHAnsi" w:cs="Arial"/>
      <w:b/>
      <w:bCs/>
      <w:i/>
      <w:snapToGrid w:val="0"/>
      <w:sz w:val="28"/>
      <w:szCs w:val="28"/>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Numbered para,BulletPoints"/>
    <w:basedOn w:val="Normal"/>
    <w:link w:val="ListParagraphChar"/>
    <w:uiPriority w:val="72"/>
    <w:qFormat/>
    <w:rsid w:val="00591957"/>
    <w:pPr>
      <w:spacing w:after="160"/>
      <w:ind w:left="720"/>
    </w:pPr>
  </w:style>
  <w:style w:type="character" w:customStyle="1" w:styleId="ListParagraphChar">
    <w:name w:val="List Paragraph Char"/>
    <w:aliases w:val="Numbered para Char,BulletPoints Char"/>
    <w:basedOn w:val="DefaultParagraphFont"/>
    <w:link w:val="ListParagraph"/>
    <w:uiPriority w:val="72"/>
    <w:locked/>
    <w:rsid w:val="00591957"/>
    <w:rPr>
      <w:rFonts w:ascii="Arial" w:hAnsi="Arial" w:cs="Arial"/>
      <w:snapToGrid w:val="0"/>
      <w:sz w:val="22"/>
      <w:szCs w:val="22"/>
      <w:lang w:eastAsia="en-US"/>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
    <w:basedOn w:val="TableNormal"/>
    <w:uiPriority w:val="39"/>
    <w:rsid w:val="00E6271D"/>
    <w:rPr>
      <w:rFonts w:ascii="Arial Narrow" w:hAnsi="Arial Narrow"/>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2"/>
    <w:qFormat/>
    <w:rsid w:val="00A518F3"/>
    <w:pPr>
      <w:widowControl/>
      <w:jc w:val="left"/>
    </w:pPr>
    <w:rPr>
      <w:rFonts w:ascii="Arial Narrow" w:hAnsi="Arial Narrow" w:cs="Times New Roman"/>
      <w:snapToGrid/>
      <w:sz w:val="20"/>
    </w:rPr>
  </w:style>
  <w:style w:type="character" w:customStyle="1" w:styleId="TabletextChar">
    <w:name w:val="Table text Char"/>
    <w:link w:val="Tabletext"/>
    <w:uiPriority w:val="2"/>
    <w:rsid w:val="00A518F3"/>
    <w:rPr>
      <w:rFonts w:ascii="Arial Narrow" w:hAnsi="Arial Narrow"/>
      <w:lang w:eastAsia="en-US"/>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rsid w:val="008F48EB"/>
    <w:pPr>
      <w:widowControl/>
      <w:jc w:val="both"/>
    </w:pPr>
    <w:rPr>
      <w:rFonts w:ascii="Times" w:hAnsi="Times" w:cs="Times New Roman"/>
      <w:snapToGrid/>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qFormat/>
    <w:rsid w:val="002C5099"/>
    <w:pPr>
      <w:numPr>
        <w:numId w:val="4"/>
      </w:numPr>
      <w:spacing w:after="0"/>
      <w:ind w:left="425" w:hanging="425"/>
    </w:pPr>
    <w:rPr>
      <w:szCs w:val="24"/>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rsid w:val="002C5099"/>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CF5F42"/>
    <w:pPr>
      <w:numPr>
        <w:numId w:val="2"/>
      </w:numPr>
      <w:spacing w:before="240" w:after="120"/>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qFormat/>
    <w:rsid w:val="00B53654"/>
    <w:rPr>
      <w:i/>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styleId="ListNumber">
    <w:name w:val="List Number"/>
    <w:basedOn w:val="Normal"/>
    <w:uiPriority w:val="16"/>
    <w:qFormat/>
    <w:rsid w:val="00737010"/>
    <w:pPr>
      <w:keepLines/>
      <w:widowControl/>
      <w:tabs>
        <w:tab w:val="num" w:pos="357"/>
      </w:tabs>
      <w:spacing w:after="360" w:line="360" w:lineRule="auto"/>
      <w:ind w:left="357" w:hanging="357"/>
      <w:jc w:val="left"/>
    </w:pPr>
    <w:rPr>
      <w:rFonts w:ascii="Arial" w:eastAsiaTheme="minorHAnsi" w:hAnsi="Arial" w:cstheme="minorBidi"/>
      <w:snapToGrid/>
      <w:sz w:val="20"/>
      <w:szCs w:val="20"/>
    </w:rPr>
  </w:style>
  <w:style w:type="paragraph" w:styleId="ListNumber2">
    <w:name w:val="List Number 2"/>
    <w:aliases w:val="Char1"/>
    <w:basedOn w:val="Normal"/>
    <w:uiPriority w:val="16"/>
    <w:qFormat/>
    <w:rsid w:val="00737010"/>
    <w:pPr>
      <w:keepLines/>
      <w:widowControl/>
      <w:tabs>
        <w:tab w:val="num" w:pos="720"/>
      </w:tabs>
      <w:spacing w:after="360" w:line="360" w:lineRule="auto"/>
      <w:ind w:left="720" w:hanging="363"/>
      <w:jc w:val="left"/>
    </w:pPr>
    <w:rPr>
      <w:rFonts w:ascii="Arial" w:eastAsiaTheme="minorHAnsi" w:hAnsi="Arial" w:cstheme="minorBidi"/>
      <w:snapToGrid/>
      <w:sz w:val="20"/>
      <w:szCs w:val="20"/>
    </w:rPr>
  </w:style>
  <w:style w:type="numbering" w:customStyle="1" w:styleId="Lists">
    <w:name w:val="Lists"/>
    <w:uiPriority w:val="99"/>
    <w:rsid w:val="00737010"/>
    <w:pPr>
      <w:numPr>
        <w:numId w:val="6"/>
      </w:numPr>
    </w:pPr>
  </w:style>
  <w:style w:type="paragraph" w:styleId="ListNumber3">
    <w:name w:val="List Number 3"/>
    <w:aliases w:val="Char"/>
    <w:basedOn w:val="Normal"/>
    <w:uiPriority w:val="16"/>
    <w:qFormat/>
    <w:rsid w:val="00737010"/>
    <w:pPr>
      <w:keepLines/>
      <w:widowControl/>
      <w:tabs>
        <w:tab w:val="num" w:pos="1077"/>
      </w:tabs>
      <w:spacing w:after="360" w:line="360" w:lineRule="auto"/>
      <w:ind w:left="1077" w:hanging="357"/>
      <w:jc w:val="left"/>
    </w:pPr>
    <w:rPr>
      <w:rFonts w:ascii="Arial" w:eastAsiaTheme="minorHAnsi" w:hAnsi="Arial" w:cstheme="minorBidi"/>
      <w:snapToGrid/>
      <w:sz w:val="20"/>
      <w:szCs w:val="20"/>
    </w:rPr>
  </w:style>
  <w:style w:type="paragraph" w:styleId="ListNumber4">
    <w:name w:val="List Number 4"/>
    <w:basedOn w:val="Normal"/>
    <w:uiPriority w:val="16"/>
    <w:qFormat/>
    <w:rsid w:val="00737010"/>
    <w:pPr>
      <w:keepLines/>
      <w:widowControl/>
      <w:tabs>
        <w:tab w:val="num" w:pos="1435"/>
      </w:tabs>
      <w:spacing w:after="360" w:line="360" w:lineRule="auto"/>
      <w:ind w:left="1435" w:hanging="358"/>
      <w:contextualSpacing/>
      <w:jc w:val="left"/>
    </w:pPr>
    <w:rPr>
      <w:rFonts w:ascii="Arial" w:eastAsiaTheme="minorHAnsi" w:hAnsi="Arial" w:cstheme="minorBidi"/>
      <w:snapToGrid/>
      <w:sz w:val="20"/>
      <w:szCs w:val="20"/>
    </w:rPr>
  </w:style>
  <w:style w:type="paragraph" w:customStyle="1" w:styleId="Source">
    <w:name w:val="Source"/>
    <w:basedOn w:val="Normal"/>
    <w:uiPriority w:val="35"/>
    <w:qFormat/>
    <w:rsid w:val="00737010"/>
    <w:pPr>
      <w:keepLines/>
      <w:widowControl/>
      <w:numPr>
        <w:numId w:val="3"/>
      </w:numPr>
      <w:tabs>
        <w:tab w:val="left" w:pos="284"/>
      </w:tabs>
      <w:spacing w:before="60" w:after="360" w:line="360" w:lineRule="auto"/>
      <w:contextualSpacing/>
      <w:jc w:val="left"/>
    </w:pPr>
    <w:rPr>
      <w:rFonts w:ascii="Arial" w:eastAsiaTheme="minorHAnsi" w:hAnsi="Arial" w:cstheme="minorBidi"/>
      <w:snapToGrid/>
      <w:sz w:val="18"/>
      <w:szCs w:val="20"/>
    </w:rPr>
  </w:style>
  <w:style w:type="paragraph" w:customStyle="1" w:styleId="TableText0">
    <w:name w:val="Table Text"/>
    <w:basedOn w:val="Normal"/>
    <w:link w:val="TableTextChar0"/>
    <w:qFormat/>
    <w:rsid w:val="005A25A4"/>
    <w:pPr>
      <w:keepNext/>
      <w:widowControl/>
      <w:spacing w:before="40" w:after="40"/>
      <w:jc w:val="left"/>
    </w:pPr>
    <w:rPr>
      <w:rFonts w:ascii="Arial Narrow" w:eastAsiaTheme="minorHAnsi" w:hAnsi="Arial Narrow" w:cstheme="minorBidi"/>
      <w:snapToGrid/>
      <w:sz w:val="20"/>
    </w:rPr>
  </w:style>
  <w:style w:type="paragraph" w:customStyle="1" w:styleId="TableHeading0">
    <w:name w:val="Table Heading"/>
    <w:basedOn w:val="Normal"/>
    <w:qFormat/>
    <w:rsid w:val="005A25A4"/>
    <w:pPr>
      <w:keepNext/>
      <w:widowControl/>
      <w:spacing w:after="60"/>
      <w:jc w:val="left"/>
    </w:pPr>
    <w:rPr>
      <w:rFonts w:ascii="Arial Narrow" w:eastAsiaTheme="minorHAnsi" w:hAnsi="Arial Narrow" w:cstheme="minorBidi"/>
      <w:b/>
      <w:snapToGrid/>
      <w:sz w:val="20"/>
    </w:rPr>
  </w:style>
  <w:style w:type="character" w:customStyle="1" w:styleId="TableTextChar0">
    <w:name w:val="Table Text Char"/>
    <w:link w:val="TableText0"/>
    <w:locked/>
    <w:rsid w:val="005A25A4"/>
    <w:rPr>
      <w:rFonts w:ascii="Arial Narrow" w:eastAsiaTheme="minorHAnsi" w:hAnsi="Arial Narrow" w:cstheme="minorBidi"/>
      <w:szCs w:val="22"/>
      <w:lang w:eastAsia="en-US"/>
    </w:rPr>
  </w:style>
  <w:style w:type="character" w:customStyle="1" w:styleId="COMBodyChar">
    <w:name w:val="COMBody Char"/>
    <w:basedOn w:val="DefaultParagraphFont"/>
    <w:link w:val="COMBody"/>
    <w:locked/>
    <w:rsid w:val="0095067D"/>
    <w:rPr>
      <w:rFonts w:ascii="Calibri" w:hAnsi="Calibri" w:cs="Arial"/>
      <w:sz w:val="24"/>
    </w:rPr>
  </w:style>
  <w:style w:type="paragraph" w:customStyle="1" w:styleId="COMBody">
    <w:name w:val="COMBody"/>
    <w:basedOn w:val="Normal"/>
    <w:link w:val="COMBodyChar"/>
    <w:qFormat/>
    <w:rsid w:val="0095067D"/>
    <w:pPr>
      <w:snapToGrid w:val="0"/>
    </w:pPr>
    <w:rPr>
      <w:snapToGrid/>
      <w:szCs w:val="20"/>
      <w:lang w:eastAsia="en-AU"/>
    </w:rPr>
  </w:style>
  <w:style w:type="paragraph" w:customStyle="1" w:styleId="V50Instructions">
    <w:name w:val="V5.0 Instructions"/>
    <w:basedOn w:val="Normal"/>
    <w:link w:val="V50InstructionsChar"/>
    <w:qFormat/>
    <w:rsid w:val="0092707B"/>
    <w:pPr>
      <w:widowControl/>
      <w:spacing w:before="120" w:after="160"/>
      <w:jc w:val="left"/>
    </w:pPr>
    <w:rPr>
      <w:rFonts w:asciiTheme="minorHAnsi" w:eastAsiaTheme="minorHAnsi" w:hAnsiTheme="minorHAnsi" w:cstheme="minorBidi"/>
      <w:snapToGrid/>
      <w:color w:val="4BACC6" w:themeColor="accent5"/>
    </w:rPr>
  </w:style>
  <w:style w:type="character" w:customStyle="1" w:styleId="V50InstructionsChar">
    <w:name w:val="V5.0 Instructions Char"/>
    <w:basedOn w:val="DefaultParagraphFont"/>
    <w:link w:val="V50Instructions"/>
    <w:rsid w:val="0092707B"/>
    <w:rPr>
      <w:rFonts w:asciiTheme="minorHAnsi" w:eastAsiaTheme="minorHAnsi" w:hAnsiTheme="minorHAnsi" w:cstheme="minorBidi"/>
      <w:color w:val="4BACC6" w:themeColor="accent5"/>
      <w:sz w:val="24"/>
      <w:szCs w:val="22"/>
      <w:lang w:eastAsia="en-US"/>
    </w:rPr>
  </w:style>
  <w:style w:type="paragraph" w:customStyle="1" w:styleId="COMtbl-HEADLeftAligned">
    <w:name w:val="COMtbl-HEAD Left Aligned"/>
    <w:basedOn w:val="Normal"/>
    <w:qFormat/>
    <w:rsid w:val="00DC4370"/>
    <w:pPr>
      <w:tabs>
        <w:tab w:val="left" w:pos="720"/>
      </w:tabs>
      <w:jc w:val="left"/>
    </w:pPr>
    <w:rPr>
      <w:rFonts w:ascii="Arial Narrow" w:hAnsi="Arial Narrow"/>
      <w:b/>
      <w:sz w:val="20"/>
      <w:szCs w:val="20"/>
    </w:rPr>
  </w:style>
  <w:style w:type="paragraph" w:customStyle="1" w:styleId="COMtbl-HEADCentred">
    <w:name w:val="COMtbl-HEAD Centred"/>
    <w:basedOn w:val="COMtbl-HEADLeftAligned"/>
    <w:qFormat/>
    <w:rsid w:val="00DC4370"/>
    <w:pPr>
      <w:jc w:val="center"/>
    </w:pPr>
  </w:style>
  <w:style w:type="paragraph" w:customStyle="1" w:styleId="COMtbl-textLeftAligned">
    <w:name w:val="COMtbl-text Left Aligned"/>
    <w:basedOn w:val="COMtbl-HEADLeftAligned"/>
    <w:qFormat/>
    <w:rsid w:val="00DC4370"/>
    <w:rPr>
      <w:b w:val="0"/>
    </w:rPr>
  </w:style>
  <w:style w:type="paragraph" w:customStyle="1" w:styleId="COMtbl-textCentred">
    <w:name w:val="COMtbl-text Centred"/>
    <w:basedOn w:val="COMtbl-HEADCentred"/>
    <w:qFormat/>
    <w:rsid w:val="00DC4370"/>
    <w:rPr>
      <w:b w:val="0"/>
    </w:rPr>
  </w:style>
  <w:style w:type="table" w:customStyle="1" w:styleId="MSDAustralia">
    <w:name w:val="MSD Australia"/>
    <w:basedOn w:val="TableGrid"/>
    <w:uiPriority w:val="99"/>
    <w:rsid w:val="00FF05A3"/>
    <w:pPr>
      <w:ind w:left="57" w:right="57"/>
    </w:pPr>
    <w:rPr>
      <w:rFonts w:ascii="Arial" w:eastAsiaTheme="minorHAnsi" w:hAnsi="Arial" w:cstheme="minorBidi"/>
      <w:lang w:eastAsia="en-US"/>
    </w:rPr>
    <w:tblPr>
      <w:tblInd w:w="0" w:type="dxa"/>
      <w:tblBorders>
        <w:top w:val="single" w:sz="12" w:space="0" w:color="4BACC6" w:themeColor="accent5"/>
        <w:left w:val="none" w:sz="0" w:space="0" w:color="auto"/>
        <w:bottom w:val="single" w:sz="12" w:space="0" w:color="4BACC6" w:themeColor="accent5"/>
        <w:right w:val="none" w:sz="0" w:space="0" w:color="auto"/>
        <w:insideH w:val="single" w:sz="4" w:space="0" w:color="4BACC6"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lastRow">
      <w:rPr>
        <w:b/>
      </w:rPr>
      <w:tblPr/>
      <w:tcPr>
        <w:tcBorders>
          <w:top w:val="single" w:sz="12" w:space="0" w:color="4BACC6" w:themeColor="accent5"/>
          <w:left w:val="nil"/>
          <w:bottom w:val="single" w:sz="12" w:space="0" w:color="4BACC6"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Tablewriting">
    <w:name w:val="Table writing"/>
    <w:basedOn w:val="Normal"/>
    <w:link w:val="TablewritingChar"/>
    <w:qFormat/>
    <w:rsid w:val="00477CF7"/>
    <w:pPr>
      <w:widowControl/>
      <w:autoSpaceDE w:val="0"/>
      <w:autoSpaceDN w:val="0"/>
      <w:adjustRightInd w:val="0"/>
      <w:spacing w:before="60" w:after="60"/>
      <w:jc w:val="left"/>
    </w:pPr>
    <w:rPr>
      <w:rFonts w:asciiTheme="minorHAnsi" w:eastAsiaTheme="minorEastAsia" w:hAnsiTheme="minorHAnsi" w:cs="Calibri"/>
      <w:snapToGrid/>
      <w:color w:val="000000"/>
      <w:sz w:val="20"/>
      <w:szCs w:val="20"/>
      <w:lang w:eastAsia="en-AU"/>
    </w:rPr>
  </w:style>
  <w:style w:type="paragraph" w:customStyle="1" w:styleId="Tableheading1">
    <w:name w:val="Table heading"/>
    <w:basedOn w:val="Normal"/>
    <w:qFormat/>
    <w:rsid w:val="00477CF7"/>
    <w:pPr>
      <w:widowControl/>
      <w:autoSpaceDE w:val="0"/>
      <w:autoSpaceDN w:val="0"/>
      <w:adjustRightInd w:val="0"/>
      <w:spacing w:before="60" w:after="60"/>
      <w:jc w:val="center"/>
    </w:pPr>
    <w:rPr>
      <w:rFonts w:asciiTheme="minorHAnsi" w:eastAsiaTheme="minorEastAsia" w:hAnsiTheme="minorHAnsi" w:cs="Calibri"/>
      <w:b/>
      <w:snapToGrid/>
      <w:szCs w:val="24"/>
      <w:lang w:eastAsia="en-AU"/>
    </w:rPr>
  </w:style>
  <w:style w:type="character" w:customStyle="1" w:styleId="TablewritingChar">
    <w:name w:val="Table writing Char"/>
    <w:link w:val="Tablewriting"/>
    <w:rsid w:val="00477CF7"/>
    <w:rPr>
      <w:rFonts w:asciiTheme="minorHAnsi" w:eastAsiaTheme="minorEastAsia" w:hAnsiTheme="minorHAnsi" w:cs="Calibri"/>
      <w:color w:val="000000"/>
    </w:rPr>
  </w:style>
  <w:style w:type="paragraph" w:customStyle="1" w:styleId="Default">
    <w:name w:val="Default"/>
    <w:rsid w:val="00AB4840"/>
    <w:pPr>
      <w:autoSpaceDE w:val="0"/>
      <w:autoSpaceDN w:val="0"/>
      <w:adjustRightInd w:val="0"/>
    </w:pPr>
    <w:rPr>
      <w:rFonts w:ascii="Cambria" w:hAnsi="Cambria" w:cs="Cambria"/>
      <w:color w:val="000000"/>
      <w:sz w:val="24"/>
      <w:szCs w:val="24"/>
    </w:rPr>
  </w:style>
  <w:style w:type="paragraph" w:customStyle="1" w:styleId="Char1CharCharChar">
    <w:name w:val="Char1 Char Char Char"/>
    <w:basedOn w:val="Normal"/>
    <w:rsid w:val="00C22D9E"/>
    <w:pPr>
      <w:widowControl/>
      <w:spacing w:after="160" w:line="240" w:lineRule="exact"/>
      <w:jc w:val="left"/>
    </w:pPr>
    <w:rPr>
      <w:rFonts w:ascii="Verdana" w:eastAsia="MS Mincho" w:hAnsi="Verdana" w:cs="Verdana"/>
      <w:snapToGrid/>
      <w:sz w:val="20"/>
      <w:lang w:val="en-US"/>
    </w:rPr>
  </w:style>
  <w:style w:type="table" w:styleId="ColorfulShading-Accent1">
    <w:name w:val="Colorful Shading Accent 1"/>
    <w:basedOn w:val="TableNormal"/>
    <w:uiPriority w:val="71"/>
    <w:rsid w:val="00EE7E29"/>
    <w:rPr>
      <w:rFonts w:ascii="Arial" w:eastAsiaTheme="minorHAnsi" w:hAnsi="Arial" w:cstheme="minorBidi"/>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E62F9"/>
    <w:pPr>
      <w:widowControl/>
      <w:spacing w:after="160" w:line="240" w:lineRule="exact"/>
      <w:jc w:val="left"/>
    </w:pPr>
    <w:rPr>
      <w:rFonts w:ascii="Verdana" w:eastAsia="MS Mincho" w:hAnsi="Verdana" w:cs="Verdana"/>
      <w:snapToGrid/>
      <w:sz w:val="20"/>
      <w:szCs w:val="20"/>
      <w:lang w:val="en-US"/>
    </w:rPr>
  </w:style>
  <w:style w:type="paragraph" w:styleId="PlainText">
    <w:name w:val="Plain Text"/>
    <w:basedOn w:val="Normal"/>
    <w:link w:val="PlainTextChar"/>
    <w:uiPriority w:val="99"/>
    <w:rsid w:val="007B1A65"/>
    <w:pPr>
      <w:widowControl/>
      <w:jc w:val="left"/>
    </w:pPr>
    <w:rPr>
      <w:rFonts w:ascii="Courier New" w:hAnsi="Courier New" w:cs="Times New Roman"/>
      <w:snapToGrid/>
      <w:sz w:val="20"/>
      <w:szCs w:val="20"/>
      <w:lang w:eastAsia="en-AU"/>
    </w:rPr>
  </w:style>
  <w:style w:type="character" w:customStyle="1" w:styleId="PlainTextChar">
    <w:name w:val="Plain Text Char"/>
    <w:basedOn w:val="DefaultParagraphFont"/>
    <w:link w:val="PlainText"/>
    <w:uiPriority w:val="99"/>
    <w:rsid w:val="007B1A65"/>
    <w:rPr>
      <w:rFonts w:ascii="Courier New" w:hAnsi="Courier New"/>
    </w:rPr>
  </w:style>
  <w:style w:type="paragraph" w:styleId="ListBullet">
    <w:name w:val="List Bullet"/>
    <w:basedOn w:val="Normal"/>
    <w:uiPriority w:val="99"/>
    <w:unhideWhenUsed/>
    <w:rsid w:val="00167206"/>
    <w:pPr>
      <w:widowControl/>
      <w:numPr>
        <w:numId w:val="15"/>
      </w:numPr>
      <w:contextualSpacing/>
      <w:jc w:val="left"/>
    </w:pPr>
    <w:rPr>
      <w:rFonts w:ascii="Arial" w:eastAsiaTheme="minorEastAsia" w:hAnsi="Arial" w:cstheme="minorBidi"/>
      <w:snapToGrid/>
      <w:sz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D444-B0FD-4247-AD5C-649C7895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9378</Words>
  <Characters>56126</Characters>
  <Application>Microsoft Office Word</Application>
  <DocSecurity>0</DocSecurity>
  <Lines>467</Lines>
  <Paragraphs>130</Paragraphs>
  <ScaleCrop>false</ScaleCrop>
  <LinksUpToDate>false</LinksUpToDate>
  <CharactersWithSpaces>65374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2018-06-18T23:35:00Z</dcterms:created>
  <dcterms:modified xsi:type="dcterms:W3CDTF">2018-06-22T00:20:00Z</dcterms:modified>
</cp:coreProperties>
</file>