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44432B" w:rsidP="0044432B">
      <w:pPr>
        <w:pStyle w:val="Title"/>
        <w:spacing w:before="120" w:after="160"/>
        <w:ind w:left="720" w:hanging="720"/>
        <w:rPr>
          <w:rFonts w:asciiTheme="minorHAnsi" w:hAnsiTheme="minorHAnsi"/>
          <w:sz w:val="36"/>
          <w:szCs w:val="36"/>
        </w:rPr>
      </w:pPr>
      <w:r>
        <w:rPr>
          <w:rFonts w:asciiTheme="minorHAnsi" w:hAnsiTheme="minorHAnsi"/>
          <w:sz w:val="36"/>
          <w:szCs w:val="36"/>
        </w:rPr>
        <w:t>6.08</w:t>
      </w:r>
      <w:r w:rsidR="007C0F57" w:rsidRPr="002B5596">
        <w:rPr>
          <w:rFonts w:asciiTheme="minorHAnsi" w:hAnsiTheme="minorHAnsi"/>
          <w:sz w:val="36"/>
          <w:szCs w:val="36"/>
        </w:rPr>
        <w:tab/>
      </w:r>
      <w:r>
        <w:rPr>
          <w:rFonts w:asciiTheme="minorHAnsi" w:hAnsiTheme="minorHAnsi"/>
          <w:sz w:val="36"/>
          <w:szCs w:val="36"/>
        </w:rPr>
        <w:t>FILGRASTIM</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Pr="0044432B">
        <w:rPr>
          <w:rFonts w:asciiTheme="minorHAnsi" w:hAnsiTheme="minorHAnsi"/>
          <w:sz w:val="36"/>
          <w:szCs w:val="36"/>
        </w:rPr>
        <w:t>Injection 120 micrograms in 0.2 mL single use pre</w:t>
      </w:r>
      <w:r w:rsidRPr="0044432B">
        <w:rPr>
          <w:rFonts w:asciiTheme="minorHAnsi" w:eastAsia="MS Mincho" w:hAnsiTheme="minorHAnsi" w:cs="MS Mincho" w:hint="eastAsia"/>
          <w:sz w:val="36"/>
          <w:szCs w:val="36"/>
        </w:rPr>
        <w:t>‑</w:t>
      </w:r>
      <w:r w:rsidRPr="0044432B">
        <w:rPr>
          <w:rFonts w:asciiTheme="minorHAnsi" w:hAnsiTheme="minorHAnsi"/>
          <w:sz w:val="36"/>
          <w:szCs w:val="36"/>
        </w:rPr>
        <w:t>filled syringe</w:t>
      </w:r>
      <w:proofErr w:type="gramStart"/>
      <w:r>
        <w:rPr>
          <w:rFonts w:asciiTheme="minorHAnsi" w:hAnsiTheme="minorHAnsi"/>
          <w:sz w:val="36"/>
          <w:szCs w:val="36"/>
        </w:rPr>
        <w:t>,</w:t>
      </w:r>
      <w:proofErr w:type="gramEnd"/>
      <w:r>
        <w:rPr>
          <w:rFonts w:asciiTheme="minorHAnsi" w:hAnsiTheme="minorHAnsi"/>
          <w:sz w:val="36"/>
          <w:szCs w:val="36"/>
        </w:rPr>
        <w:br/>
      </w:r>
      <w:r w:rsidRPr="0044432B">
        <w:rPr>
          <w:rFonts w:asciiTheme="minorHAnsi" w:hAnsiTheme="minorHAnsi"/>
          <w:sz w:val="36"/>
          <w:szCs w:val="36"/>
        </w:rPr>
        <w:t>Injection 300 micrograms in 0.5 mL single use pre</w:t>
      </w:r>
      <w:r w:rsidRPr="0044432B">
        <w:rPr>
          <w:rFonts w:ascii="MS Gothic" w:eastAsia="MS Gothic" w:hAnsi="MS Gothic" w:cs="MS Gothic" w:hint="eastAsia"/>
          <w:sz w:val="36"/>
          <w:szCs w:val="36"/>
        </w:rPr>
        <w:t>‑</w:t>
      </w:r>
      <w:r w:rsidRPr="0044432B">
        <w:rPr>
          <w:rFonts w:asciiTheme="minorHAnsi" w:hAnsiTheme="minorHAnsi"/>
          <w:sz w:val="36"/>
          <w:szCs w:val="36"/>
        </w:rPr>
        <w:t>filled syringe</w:t>
      </w:r>
      <w:r>
        <w:rPr>
          <w:rFonts w:asciiTheme="minorHAnsi" w:hAnsiTheme="minorHAnsi"/>
          <w:sz w:val="36"/>
          <w:szCs w:val="36"/>
        </w:rPr>
        <w:t>,</w:t>
      </w:r>
      <w:r>
        <w:rPr>
          <w:rFonts w:asciiTheme="minorHAnsi" w:hAnsiTheme="minorHAnsi"/>
          <w:sz w:val="36"/>
          <w:szCs w:val="36"/>
        </w:rPr>
        <w:br/>
      </w:r>
      <w:r w:rsidRPr="0044432B">
        <w:rPr>
          <w:rFonts w:asciiTheme="minorHAnsi" w:hAnsiTheme="minorHAnsi"/>
          <w:sz w:val="36"/>
          <w:szCs w:val="36"/>
        </w:rPr>
        <w:t>Injection 480 micrograms in 0.5 mL single use pre</w:t>
      </w:r>
      <w:r w:rsidRPr="0044432B">
        <w:rPr>
          <w:rFonts w:ascii="MS Gothic" w:eastAsia="MS Gothic" w:hAnsi="MS Gothic" w:cs="MS Gothic" w:hint="eastAsia"/>
          <w:sz w:val="36"/>
          <w:szCs w:val="36"/>
        </w:rPr>
        <w:t>‑</w:t>
      </w:r>
      <w:r w:rsidRPr="0044432B">
        <w:rPr>
          <w:rFonts w:asciiTheme="minorHAnsi" w:hAnsiTheme="minorHAnsi"/>
          <w:sz w:val="36"/>
          <w:szCs w:val="36"/>
        </w:rPr>
        <w:t>filled syringe</w:t>
      </w:r>
      <w:r>
        <w:rPr>
          <w:rFonts w:asciiTheme="minorHAnsi" w:hAnsiTheme="minorHAnsi"/>
          <w:sz w:val="36"/>
          <w:szCs w:val="36"/>
        </w:rPr>
        <w:t>,</w:t>
      </w:r>
      <w:r w:rsidR="008A50F1" w:rsidRPr="002B5596">
        <w:rPr>
          <w:rFonts w:asciiTheme="minorHAnsi" w:hAnsiTheme="minorHAnsi"/>
          <w:sz w:val="36"/>
          <w:szCs w:val="36"/>
        </w:rPr>
        <w:br/>
      </w:r>
      <w:r>
        <w:rPr>
          <w:rFonts w:asciiTheme="minorHAnsi" w:hAnsiTheme="minorHAnsi"/>
          <w:sz w:val="36"/>
          <w:szCs w:val="36"/>
        </w:rPr>
        <w:t>Nivestim</w:t>
      </w:r>
      <w:r w:rsidR="0004240E" w:rsidRPr="002608C2">
        <w:rPr>
          <w:rFonts w:asciiTheme="minorHAnsi" w:hAnsiTheme="minorHAnsi"/>
          <w:sz w:val="36"/>
          <w:szCs w:val="36"/>
        </w:rPr>
        <w:t>®</w:t>
      </w:r>
      <w:r w:rsidR="00EF44A0" w:rsidRPr="002B5596">
        <w:rPr>
          <w:rFonts w:asciiTheme="minorHAnsi" w:hAnsiTheme="minorHAnsi"/>
          <w:sz w:val="36"/>
          <w:szCs w:val="36"/>
        </w:rPr>
        <w:t xml:space="preserve">, </w:t>
      </w:r>
      <w:r>
        <w:rPr>
          <w:rFonts w:asciiTheme="minorHAnsi" w:hAnsiTheme="minorHAnsi"/>
          <w:sz w:val="36"/>
          <w:szCs w:val="36"/>
        </w:rPr>
        <w:t>Pfizer Australia Pty Ltd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233639" w:rsidRPr="00233639" w:rsidRDefault="00EF44A0" w:rsidP="00233639">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submission </w:t>
      </w:r>
      <w:r w:rsidR="0044432B">
        <w:rPr>
          <w:rFonts w:asciiTheme="minorHAnsi" w:eastAsiaTheme="minorHAnsi" w:hAnsiTheme="minorHAnsi" w:cstheme="minorBidi"/>
          <w:snapToGrid/>
          <w:sz w:val="24"/>
          <w:szCs w:val="22"/>
        </w:rPr>
        <w:t>requested that the Section 100 – Highly Specialised Drugs Program (HSDP) (Private Hospital) listings of Nivestim branded filgrastim be amended from Authority Required to Authority Required (STREAMLINED) to align with existing Section 100 HSDP (Public Hospital) listings of Nivestim.</w:t>
      </w:r>
    </w:p>
    <w:p w:rsidR="00233639" w:rsidRPr="00FD6D8E" w:rsidRDefault="00233639" w:rsidP="00233639">
      <w:pPr>
        <w:pStyle w:val="PBACHeading1"/>
        <w:spacing w:before="240" w:after="120"/>
        <w:ind w:left="709" w:hanging="709"/>
        <w:rPr>
          <w:rFonts w:asciiTheme="minorHAnsi" w:hAnsiTheme="minorHAnsi"/>
          <w:sz w:val="32"/>
          <w:szCs w:val="32"/>
        </w:rPr>
      </w:pPr>
      <w:r>
        <w:rPr>
          <w:rFonts w:asciiTheme="minorHAnsi" w:hAnsiTheme="minorHAnsi"/>
          <w:sz w:val="32"/>
          <w:szCs w:val="32"/>
        </w:rPr>
        <w:t>Current Situation</w:t>
      </w:r>
    </w:p>
    <w:p w:rsidR="00B90C2F" w:rsidRPr="006A57F6" w:rsidRDefault="00233639" w:rsidP="003564C5">
      <w:pPr>
        <w:pStyle w:val="FootnoteText"/>
        <w:rPr>
          <w:rFonts w:asciiTheme="minorHAnsi" w:eastAsiaTheme="minorHAnsi" w:hAnsiTheme="minorHAnsi" w:cstheme="minorBidi"/>
          <w:sz w:val="24"/>
          <w:szCs w:val="22"/>
          <w:lang w:eastAsia="en-US"/>
        </w:rPr>
      </w:pPr>
      <w:r w:rsidRPr="006A57F6">
        <w:rPr>
          <w:rFonts w:asciiTheme="minorHAnsi" w:eastAsiaTheme="minorHAnsi" w:hAnsiTheme="minorHAnsi" w:cstheme="minorBidi"/>
          <w:sz w:val="24"/>
          <w:szCs w:val="22"/>
          <w:lang w:eastAsia="en-US"/>
        </w:rPr>
        <w:t xml:space="preserve">The PBAC originally recommended Nivestim® at its November 2010 meeting. At that time, the PBAC recommended Nivestim® as an Authority </w:t>
      </w:r>
      <w:proofErr w:type="gramStart"/>
      <w:r w:rsidRPr="006A57F6">
        <w:rPr>
          <w:rFonts w:asciiTheme="minorHAnsi" w:eastAsiaTheme="minorHAnsi" w:hAnsiTheme="minorHAnsi" w:cstheme="minorBidi"/>
          <w:sz w:val="24"/>
          <w:szCs w:val="22"/>
          <w:lang w:eastAsia="en-US"/>
        </w:rPr>
        <w:t>Required</w:t>
      </w:r>
      <w:proofErr w:type="gramEnd"/>
      <w:r w:rsidRPr="006A57F6">
        <w:rPr>
          <w:rFonts w:asciiTheme="minorHAnsi" w:eastAsiaTheme="minorHAnsi" w:hAnsiTheme="minorHAnsi" w:cstheme="minorBidi"/>
          <w:sz w:val="24"/>
          <w:szCs w:val="22"/>
          <w:lang w:eastAsia="en-US"/>
        </w:rPr>
        <w:t xml:space="preserve"> item for private hospitals and an Authority Required (STREAMLINED) item for public hospitals</w:t>
      </w:r>
      <w:r w:rsidRPr="006A57F6">
        <w:rPr>
          <w:rFonts w:eastAsiaTheme="minorHAnsi"/>
          <w:lang w:eastAsia="en-US"/>
        </w:rPr>
        <w:footnoteReference w:id="1"/>
      </w:r>
      <w:r w:rsidRPr="006A57F6">
        <w:rPr>
          <w:rFonts w:asciiTheme="minorHAnsi" w:eastAsiaTheme="minorHAnsi" w:hAnsiTheme="minorHAnsi" w:cstheme="minorBidi"/>
          <w:sz w:val="24"/>
          <w:szCs w:val="22"/>
          <w:lang w:eastAsia="en-US"/>
        </w:rPr>
        <w:t>. Filgrastim brands are currently listed on the schedule under separate legislative instrument (LI) names.</w:t>
      </w:r>
    </w:p>
    <w:p w:rsidR="00DB79FE" w:rsidRPr="002608C2" w:rsidRDefault="00DB79FE" w:rsidP="00EF122C">
      <w:pPr>
        <w:keepNext/>
        <w:widowControl w:val="0"/>
        <w:spacing w:before="240" w:line="276" w:lineRule="auto"/>
        <w:jc w:val="both"/>
        <w:rPr>
          <w:rFonts w:ascii="Arial Narrow" w:hAnsi="Arial Narrow" w:cs="Arial"/>
          <w:b/>
          <w:bCs/>
          <w:snapToGrid w:val="0"/>
          <w:sz w:val="20"/>
          <w:szCs w:val="20"/>
        </w:rPr>
      </w:pPr>
      <w:r w:rsidRPr="002608C2">
        <w:rPr>
          <w:rFonts w:ascii="Arial Narrow" w:hAnsi="Arial Narrow" w:cs="Arial"/>
          <w:b/>
          <w:bCs/>
          <w:snapToGrid w:val="0"/>
          <w:sz w:val="20"/>
          <w:szCs w:val="20"/>
        </w:rPr>
        <w:lastRenderedPageBreak/>
        <w:t xml:space="preserve">Table </w:t>
      </w:r>
      <w:r w:rsidR="00E244B3" w:rsidRPr="002608C2">
        <w:rPr>
          <w:rFonts w:ascii="Arial Narrow" w:hAnsi="Arial Narrow" w:cs="Arial"/>
          <w:b/>
          <w:bCs/>
          <w:snapToGrid w:val="0"/>
          <w:sz w:val="20"/>
          <w:szCs w:val="20"/>
        </w:rPr>
        <w:t>1</w:t>
      </w:r>
      <w:r w:rsidRPr="002608C2">
        <w:rPr>
          <w:rFonts w:ascii="Arial Narrow" w:hAnsi="Arial Narrow" w:cs="Arial"/>
          <w:b/>
          <w:bCs/>
          <w:snapToGrid w:val="0"/>
          <w:sz w:val="20"/>
          <w:szCs w:val="20"/>
        </w:rPr>
        <w:t>: Filgrastim brands currently PBS listed</w:t>
      </w:r>
    </w:p>
    <w:tbl>
      <w:tblPr>
        <w:tblStyle w:val="TableGrid"/>
        <w:tblW w:w="5000" w:type="pct"/>
        <w:tblLook w:val="04A0" w:firstRow="1" w:lastRow="0" w:firstColumn="1" w:lastColumn="0" w:noHBand="0" w:noVBand="1"/>
        <w:tblCaption w:val="Table 1: Filgrastim brands currently PBS listed"/>
      </w:tblPr>
      <w:tblGrid>
        <w:gridCol w:w="2054"/>
        <w:gridCol w:w="5957"/>
        <w:gridCol w:w="1231"/>
      </w:tblGrid>
      <w:tr w:rsidR="00046868" w:rsidRPr="00C16805" w:rsidTr="00EF122C">
        <w:trPr>
          <w:tblHeader/>
        </w:trPr>
        <w:tc>
          <w:tcPr>
            <w:tcW w:w="1111" w:type="pct"/>
          </w:tcPr>
          <w:p w:rsidR="00046868" w:rsidRPr="00233639" w:rsidRDefault="00046868" w:rsidP="00EF122C">
            <w:pPr>
              <w:keepNext/>
              <w:spacing w:before="100" w:beforeAutospacing="1" w:after="100" w:afterAutospacing="1"/>
              <w:outlineLvl w:val="4"/>
              <w:rPr>
                <w:rFonts w:ascii="Arial Narrow" w:hAnsi="Arial Narrow" w:cs="Arial"/>
                <w:b/>
                <w:bCs/>
                <w:sz w:val="20"/>
                <w:szCs w:val="20"/>
                <w:lang w:val="en-GB"/>
              </w:rPr>
            </w:pPr>
            <w:r>
              <w:rPr>
                <w:rFonts w:ascii="Arial Narrow" w:hAnsi="Arial Narrow" w:cs="Arial"/>
                <w:b/>
                <w:bCs/>
                <w:sz w:val="20"/>
                <w:szCs w:val="20"/>
                <w:lang w:val="en-GB"/>
              </w:rPr>
              <w:t>Brands</w:t>
            </w:r>
          </w:p>
        </w:tc>
        <w:tc>
          <w:tcPr>
            <w:tcW w:w="3223" w:type="pct"/>
          </w:tcPr>
          <w:p w:rsidR="00046868" w:rsidRPr="00233639" w:rsidRDefault="00046868" w:rsidP="00EF122C">
            <w:pPr>
              <w:keepNext/>
              <w:rPr>
                <w:rFonts w:ascii="Arial Narrow" w:hAnsi="Arial Narrow" w:cs="Arial"/>
                <w:b/>
                <w:sz w:val="20"/>
                <w:szCs w:val="20"/>
              </w:rPr>
            </w:pPr>
            <w:r w:rsidRPr="005901FA">
              <w:rPr>
                <w:rFonts w:ascii="Arial Narrow" w:hAnsi="Arial Narrow" w:cs="Arial"/>
                <w:b/>
                <w:sz w:val="20"/>
                <w:szCs w:val="20"/>
              </w:rPr>
              <w:t>PBS</w:t>
            </w:r>
            <w:r w:rsidRPr="005901FA">
              <w:rPr>
                <w:rFonts w:ascii="Arial Narrow" w:hAnsi="Arial Narrow" w:cs="Arial"/>
                <w:b/>
                <w:i/>
                <w:sz w:val="20"/>
                <w:szCs w:val="20"/>
              </w:rPr>
              <w:t xml:space="preserve"> National Health Instrument 2012 (PB 71 of 2012)</w:t>
            </w:r>
            <w:r>
              <w:rPr>
                <w:rFonts w:ascii="Arial Narrow" w:hAnsi="Arial Narrow" w:cs="Arial"/>
                <w:b/>
                <w:sz w:val="20"/>
                <w:szCs w:val="20"/>
              </w:rPr>
              <w:t xml:space="preserve"> Legislative Instrument (LI) </w:t>
            </w:r>
            <w:r w:rsidR="00031143">
              <w:rPr>
                <w:rFonts w:ascii="Arial Narrow" w:hAnsi="Arial Narrow" w:cs="Arial"/>
                <w:b/>
                <w:sz w:val="20"/>
                <w:szCs w:val="20"/>
              </w:rPr>
              <w:t>Form</w:t>
            </w:r>
            <w:r>
              <w:rPr>
                <w:rFonts w:ascii="Arial Narrow" w:hAnsi="Arial Narrow" w:cs="Arial"/>
                <w:b/>
                <w:sz w:val="20"/>
                <w:szCs w:val="20"/>
              </w:rPr>
              <w:t>(s)</w:t>
            </w:r>
          </w:p>
        </w:tc>
        <w:tc>
          <w:tcPr>
            <w:tcW w:w="666" w:type="pct"/>
          </w:tcPr>
          <w:p w:rsidR="00046868" w:rsidRPr="00233639" w:rsidRDefault="00046868" w:rsidP="00EF122C">
            <w:pPr>
              <w:keepNext/>
              <w:rPr>
                <w:rFonts w:ascii="Arial Narrow" w:hAnsi="Arial Narrow" w:cs="Arial"/>
                <w:b/>
                <w:sz w:val="20"/>
                <w:szCs w:val="20"/>
              </w:rPr>
            </w:pPr>
            <w:r w:rsidRPr="00233639">
              <w:rPr>
                <w:rFonts w:ascii="Arial Narrow" w:hAnsi="Arial Narrow" w:cs="Arial"/>
                <w:b/>
                <w:sz w:val="20"/>
                <w:szCs w:val="20"/>
              </w:rPr>
              <w:t>PBS Listed</w:t>
            </w:r>
          </w:p>
        </w:tc>
      </w:tr>
      <w:tr w:rsidR="00046868" w:rsidRPr="00C16805" w:rsidTr="00EF122C">
        <w:tc>
          <w:tcPr>
            <w:tcW w:w="1111" w:type="pct"/>
            <w:shd w:val="clear" w:color="auto" w:fill="auto"/>
          </w:tcPr>
          <w:p w:rsidR="00046868" w:rsidRDefault="00046868" w:rsidP="00EF122C">
            <w:pPr>
              <w:keepNext/>
              <w:spacing w:before="100" w:beforeAutospacing="1" w:after="100" w:afterAutospacing="1"/>
              <w:outlineLvl w:val="4"/>
              <w:rPr>
                <w:rFonts w:ascii="Arial Narrow" w:hAnsi="Arial Narrow" w:cs="Arial"/>
                <w:sz w:val="20"/>
                <w:szCs w:val="20"/>
              </w:rPr>
            </w:pPr>
            <w:proofErr w:type="spellStart"/>
            <w:r w:rsidRPr="00233639">
              <w:rPr>
                <w:rFonts w:ascii="Arial Narrow" w:hAnsi="Arial Narrow" w:cs="Arial"/>
                <w:sz w:val="20"/>
                <w:szCs w:val="20"/>
              </w:rPr>
              <w:t>Neupogen</w:t>
            </w:r>
            <w:proofErr w:type="spellEnd"/>
            <w:r w:rsidRPr="00233639">
              <w:rPr>
                <w:rFonts w:ascii="Arial Narrow" w:hAnsi="Arial Narrow" w:cs="Arial"/>
                <w:sz w:val="20"/>
                <w:szCs w:val="20"/>
              </w:rPr>
              <w:t>®</w:t>
            </w:r>
            <w:r>
              <w:rPr>
                <w:rFonts w:ascii="Arial Narrow" w:hAnsi="Arial Narrow" w:cs="Arial"/>
                <w:sz w:val="20"/>
                <w:szCs w:val="20"/>
              </w:rPr>
              <w:t xml:space="preserve"> </w:t>
            </w:r>
            <w:r w:rsidRPr="00233639">
              <w:rPr>
                <w:rFonts w:ascii="Arial Narrow" w:hAnsi="Arial Narrow" w:cs="Arial"/>
                <w:sz w:val="20"/>
                <w:szCs w:val="20"/>
              </w:rPr>
              <w:t>(Amgen</w:t>
            </w:r>
            <w:r>
              <w:rPr>
                <w:rFonts w:ascii="Arial Narrow" w:hAnsi="Arial Narrow" w:cs="Arial"/>
                <w:sz w:val="20"/>
                <w:szCs w:val="20"/>
              </w:rPr>
              <w:t>)</w:t>
            </w:r>
          </w:p>
          <w:p w:rsidR="00046868" w:rsidRPr="00046868" w:rsidRDefault="00046868" w:rsidP="00EF122C">
            <w:pPr>
              <w:keepNext/>
              <w:spacing w:before="100" w:beforeAutospacing="1" w:after="100" w:afterAutospacing="1"/>
              <w:outlineLvl w:val="4"/>
              <w:rPr>
                <w:rFonts w:ascii="Arial Narrow" w:hAnsi="Arial Narrow" w:cs="Arial"/>
                <w:sz w:val="20"/>
                <w:szCs w:val="20"/>
              </w:rPr>
            </w:pPr>
            <w:r>
              <w:rPr>
                <w:rFonts w:ascii="Arial Narrow" w:hAnsi="Arial Narrow" w:cs="Arial"/>
                <w:sz w:val="20"/>
                <w:szCs w:val="20"/>
                <w:lang w:val="en-US"/>
              </w:rPr>
              <w:t xml:space="preserve">Reference medicine </w:t>
            </w:r>
          </w:p>
        </w:tc>
        <w:tc>
          <w:tcPr>
            <w:tcW w:w="3223" w:type="pct"/>
            <w:shd w:val="clear" w:color="auto" w:fill="auto"/>
          </w:tcPr>
          <w:p w:rsidR="00046868" w:rsidRDefault="00046868" w:rsidP="00EF122C">
            <w:pPr>
              <w:keepNext/>
              <w:rPr>
                <w:rFonts w:ascii="Arial Narrow" w:hAnsi="Arial Narrow" w:cs="Arial"/>
                <w:sz w:val="20"/>
                <w:szCs w:val="20"/>
                <w:lang w:val="en-US"/>
              </w:rPr>
            </w:pPr>
            <w:r w:rsidRPr="008B5962">
              <w:rPr>
                <w:rFonts w:ascii="Arial Narrow" w:hAnsi="Arial Narrow" w:cs="Arial"/>
                <w:sz w:val="20"/>
                <w:szCs w:val="20"/>
                <w:lang w:val="en-US"/>
              </w:rPr>
              <w:t>Injection 300 micrograms in 1 mL</w:t>
            </w:r>
          </w:p>
          <w:p w:rsidR="00046868" w:rsidRDefault="00046868" w:rsidP="00EF122C">
            <w:pPr>
              <w:keepNext/>
              <w:ind w:firstLine="32"/>
              <w:rPr>
                <w:rFonts w:ascii="Arial Narrow" w:hAnsi="Arial Narrow" w:cs="Arial"/>
                <w:sz w:val="20"/>
                <w:szCs w:val="20"/>
                <w:lang w:val="en-US"/>
              </w:rPr>
            </w:pPr>
          </w:p>
          <w:p w:rsidR="00046868" w:rsidRDefault="00046868" w:rsidP="00EF122C">
            <w:pPr>
              <w:keepNext/>
              <w:ind w:firstLine="32"/>
              <w:rPr>
                <w:rFonts w:ascii="Arial Narrow" w:hAnsi="Arial Narrow" w:cs="Arial"/>
                <w:sz w:val="20"/>
                <w:szCs w:val="20"/>
                <w:lang w:val="en-US"/>
              </w:rPr>
            </w:pPr>
            <w:r w:rsidRPr="008B5962">
              <w:rPr>
                <w:rFonts w:ascii="Arial Narrow" w:hAnsi="Arial Narrow" w:cs="Arial"/>
                <w:sz w:val="20"/>
                <w:szCs w:val="20"/>
                <w:lang w:val="en-US"/>
              </w:rPr>
              <w:t>Injection 300 micrograms in 0.5 mL single use pre</w:t>
            </w:r>
            <w:r w:rsidRPr="008B5962">
              <w:rPr>
                <w:rFonts w:ascii="Arial Narrow" w:eastAsia="MS Mincho" w:hAnsi="Arial Narrow" w:cs="Arial" w:hint="eastAsia"/>
                <w:sz w:val="20"/>
                <w:szCs w:val="20"/>
                <w:lang w:val="en-US"/>
              </w:rPr>
              <w:t>‑</w:t>
            </w:r>
            <w:r w:rsidRPr="008B5962">
              <w:rPr>
                <w:rFonts w:ascii="Arial Narrow" w:hAnsi="Arial Narrow" w:cs="Arial"/>
                <w:sz w:val="20"/>
                <w:szCs w:val="20"/>
                <w:lang w:val="en-US"/>
              </w:rPr>
              <w:t>filled syringe (</w:t>
            </w:r>
            <w:proofErr w:type="spellStart"/>
            <w:r w:rsidRPr="008B5962">
              <w:rPr>
                <w:rFonts w:ascii="Arial Narrow" w:hAnsi="Arial Narrow" w:cs="Arial"/>
                <w:sz w:val="20"/>
                <w:szCs w:val="20"/>
                <w:lang w:val="en-US"/>
              </w:rPr>
              <w:t>Neupogen</w:t>
            </w:r>
            <w:proofErr w:type="spellEnd"/>
            <w:r w:rsidRPr="008B5962">
              <w:rPr>
                <w:rFonts w:ascii="Arial Narrow" w:hAnsi="Arial Narrow" w:cs="Arial"/>
                <w:sz w:val="20"/>
                <w:szCs w:val="20"/>
                <w:lang w:val="en-US"/>
              </w:rPr>
              <w:t>)</w:t>
            </w:r>
          </w:p>
          <w:p w:rsidR="00046868" w:rsidRDefault="00046868" w:rsidP="00EF122C">
            <w:pPr>
              <w:keepNext/>
              <w:ind w:firstLine="32"/>
              <w:rPr>
                <w:rFonts w:ascii="Arial Narrow" w:hAnsi="Arial Narrow" w:cs="Arial"/>
                <w:sz w:val="20"/>
                <w:szCs w:val="20"/>
                <w:lang w:val="en-US"/>
              </w:rPr>
            </w:pPr>
          </w:p>
          <w:p w:rsidR="00046868" w:rsidRDefault="00046868" w:rsidP="00EF122C">
            <w:pPr>
              <w:keepNext/>
              <w:ind w:firstLine="32"/>
              <w:rPr>
                <w:rFonts w:ascii="Arial Narrow" w:hAnsi="Arial Narrow" w:cs="Arial"/>
                <w:sz w:val="20"/>
                <w:szCs w:val="20"/>
                <w:lang w:val="en-US"/>
              </w:rPr>
            </w:pPr>
            <w:r w:rsidRPr="008B5962">
              <w:rPr>
                <w:rFonts w:ascii="Arial Narrow" w:hAnsi="Arial Narrow" w:cs="Arial"/>
                <w:sz w:val="20"/>
                <w:szCs w:val="20"/>
                <w:lang w:val="en-US"/>
              </w:rPr>
              <w:t>Injection 480 micrograms in 1.6 mL</w:t>
            </w:r>
          </w:p>
          <w:p w:rsidR="00046868" w:rsidRDefault="00046868" w:rsidP="00EF122C">
            <w:pPr>
              <w:keepNext/>
              <w:ind w:firstLine="32"/>
              <w:rPr>
                <w:rFonts w:ascii="Arial Narrow" w:hAnsi="Arial Narrow" w:cs="Arial"/>
                <w:sz w:val="20"/>
                <w:szCs w:val="20"/>
                <w:lang w:val="en-US"/>
              </w:rPr>
            </w:pPr>
          </w:p>
          <w:p w:rsidR="00046868" w:rsidRPr="005901FA" w:rsidRDefault="00046868" w:rsidP="00EF122C">
            <w:pPr>
              <w:keepNext/>
              <w:ind w:firstLine="32"/>
              <w:rPr>
                <w:rFonts w:ascii="Arial Narrow" w:hAnsi="Arial Narrow" w:cs="Arial"/>
                <w:sz w:val="20"/>
                <w:szCs w:val="20"/>
                <w:lang w:val="en-US"/>
              </w:rPr>
            </w:pPr>
            <w:r w:rsidRPr="008B5962">
              <w:rPr>
                <w:rFonts w:ascii="Arial Narrow" w:hAnsi="Arial Narrow" w:cs="Arial"/>
                <w:sz w:val="20"/>
                <w:szCs w:val="20"/>
                <w:lang w:val="en-US"/>
              </w:rPr>
              <w:t>Injection 480 micrograms in 0.5 mL single use pre</w:t>
            </w:r>
            <w:r w:rsidRPr="008B5962">
              <w:rPr>
                <w:rFonts w:ascii="Arial Narrow" w:eastAsia="MS Mincho" w:hAnsi="Arial Narrow" w:cs="Arial" w:hint="eastAsia"/>
                <w:sz w:val="20"/>
                <w:szCs w:val="20"/>
                <w:lang w:val="en-US"/>
              </w:rPr>
              <w:t>‑</w:t>
            </w:r>
            <w:r w:rsidRPr="008B5962">
              <w:rPr>
                <w:rFonts w:ascii="Arial Narrow" w:hAnsi="Arial Narrow" w:cs="Arial"/>
                <w:sz w:val="20"/>
                <w:szCs w:val="20"/>
                <w:lang w:val="en-US"/>
              </w:rPr>
              <w:t>filled syringe (</w:t>
            </w:r>
            <w:proofErr w:type="spellStart"/>
            <w:r w:rsidRPr="008B5962">
              <w:rPr>
                <w:rFonts w:ascii="Arial Narrow" w:hAnsi="Arial Narrow" w:cs="Arial"/>
                <w:sz w:val="20"/>
                <w:szCs w:val="20"/>
                <w:lang w:val="en-US"/>
              </w:rPr>
              <w:t>Neupogen</w:t>
            </w:r>
            <w:proofErr w:type="spellEnd"/>
            <w:r w:rsidRPr="008B5962">
              <w:rPr>
                <w:rFonts w:ascii="Arial Narrow" w:hAnsi="Arial Narrow" w:cs="Arial"/>
                <w:sz w:val="20"/>
                <w:szCs w:val="20"/>
                <w:lang w:val="en-US"/>
              </w:rPr>
              <w:t>)</w:t>
            </w:r>
          </w:p>
        </w:tc>
        <w:tc>
          <w:tcPr>
            <w:tcW w:w="666" w:type="pct"/>
            <w:shd w:val="clear" w:color="auto" w:fill="auto"/>
          </w:tcPr>
          <w:p w:rsidR="00046868" w:rsidRPr="00233639" w:rsidRDefault="00046868" w:rsidP="00EF122C">
            <w:pPr>
              <w:keepNext/>
              <w:rPr>
                <w:rFonts w:ascii="Arial Narrow" w:hAnsi="Arial Narrow" w:cs="Arial"/>
                <w:sz w:val="20"/>
                <w:szCs w:val="20"/>
                <w:lang w:val="en-US"/>
              </w:rPr>
            </w:pPr>
            <w:r>
              <w:rPr>
                <w:rFonts w:ascii="Arial Narrow" w:hAnsi="Arial Narrow" w:cs="Arial"/>
                <w:sz w:val="20"/>
                <w:szCs w:val="20"/>
                <w:lang w:val="en-US"/>
              </w:rPr>
              <w:t>01/09/93</w:t>
            </w:r>
          </w:p>
        </w:tc>
      </w:tr>
      <w:tr w:rsidR="00046868" w:rsidRPr="00C16805" w:rsidTr="00EF122C">
        <w:tc>
          <w:tcPr>
            <w:tcW w:w="1111" w:type="pct"/>
          </w:tcPr>
          <w:p w:rsidR="00046868" w:rsidRDefault="00046868" w:rsidP="00EF122C">
            <w:pPr>
              <w:keepNext/>
              <w:spacing w:before="100" w:beforeAutospacing="1" w:after="100" w:afterAutospacing="1"/>
              <w:outlineLvl w:val="4"/>
              <w:rPr>
                <w:rFonts w:ascii="Arial Narrow" w:hAnsi="Arial Narrow" w:cs="Arial"/>
                <w:sz w:val="20"/>
                <w:szCs w:val="20"/>
                <w:lang w:val="en-US"/>
              </w:rPr>
            </w:pPr>
            <w:proofErr w:type="spellStart"/>
            <w:r w:rsidRPr="00233639">
              <w:rPr>
                <w:rFonts w:ascii="Arial Narrow" w:hAnsi="Arial Narrow" w:cs="Arial"/>
                <w:sz w:val="20"/>
                <w:szCs w:val="20"/>
                <w:lang w:val="en-US"/>
              </w:rPr>
              <w:t>Nivestim</w:t>
            </w:r>
            <w:proofErr w:type="spellEnd"/>
            <w:r w:rsidRPr="00233639">
              <w:rPr>
                <w:rFonts w:ascii="Arial Narrow" w:hAnsi="Arial Narrow" w:cs="Arial"/>
                <w:sz w:val="20"/>
                <w:szCs w:val="20"/>
                <w:lang w:val="en-US"/>
              </w:rPr>
              <w:t xml:space="preserve"> (Pfizer)</w:t>
            </w:r>
          </w:p>
          <w:p w:rsidR="00046868" w:rsidRPr="00233639" w:rsidRDefault="00046868" w:rsidP="00EF122C">
            <w:pPr>
              <w:keepNext/>
              <w:spacing w:before="100" w:beforeAutospacing="1" w:after="100" w:afterAutospacing="1"/>
              <w:outlineLvl w:val="4"/>
              <w:rPr>
                <w:rFonts w:ascii="Arial Narrow" w:hAnsi="Arial Narrow" w:cs="Arial"/>
                <w:sz w:val="20"/>
                <w:szCs w:val="20"/>
              </w:rPr>
            </w:pPr>
            <w:r>
              <w:rPr>
                <w:rFonts w:ascii="Arial Narrow" w:hAnsi="Arial Narrow" w:cs="Arial"/>
                <w:sz w:val="20"/>
                <w:szCs w:val="20"/>
                <w:lang w:val="en-US"/>
              </w:rPr>
              <w:t>Biosimilar</w:t>
            </w:r>
          </w:p>
        </w:tc>
        <w:tc>
          <w:tcPr>
            <w:tcW w:w="3223" w:type="pct"/>
          </w:tcPr>
          <w:p w:rsidR="00046868" w:rsidRDefault="00046868" w:rsidP="00EF122C">
            <w:pPr>
              <w:keepNext/>
              <w:rPr>
                <w:rFonts w:ascii="Arial Narrow" w:hAnsi="Arial Narrow" w:cs="Arial"/>
                <w:sz w:val="20"/>
                <w:szCs w:val="20"/>
                <w:lang w:val="en-US"/>
              </w:rPr>
            </w:pPr>
            <w:r w:rsidRPr="005901FA">
              <w:rPr>
                <w:rFonts w:ascii="Arial Narrow" w:hAnsi="Arial Narrow" w:cs="Arial"/>
                <w:sz w:val="20"/>
                <w:szCs w:val="20"/>
                <w:lang w:val="en-US"/>
              </w:rPr>
              <w:t>Injection 120 micrograms in 0.2 mL single use pre</w:t>
            </w:r>
            <w:r w:rsidRPr="005901FA">
              <w:rPr>
                <w:rFonts w:ascii="Arial Narrow" w:eastAsia="MS Mincho" w:hAnsi="Arial Narrow" w:cs="Arial" w:hint="eastAsia"/>
                <w:sz w:val="20"/>
                <w:szCs w:val="20"/>
                <w:lang w:val="en-US"/>
              </w:rPr>
              <w:t>‑</w:t>
            </w:r>
            <w:r w:rsidRPr="005901FA">
              <w:rPr>
                <w:rFonts w:ascii="Arial Narrow" w:hAnsi="Arial Narrow" w:cs="Arial"/>
                <w:sz w:val="20"/>
                <w:szCs w:val="20"/>
                <w:lang w:val="en-US"/>
              </w:rPr>
              <w:t>filled syringe (</w:t>
            </w:r>
            <w:proofErr w:type="spellStart"/>
            <w:r w:rsidRPr="005901FA">
              <w:rPr>
                <w:rFonts w:ascii="Arial Narrow" w:hAnsi="Arial Narrow" w:cs="Arial"/>
                <w:sz w:val="20"/>
                <w:szCs w:val="20"/>
                <w:lang w:val="en-US"/>
              </w:rPr>
              <w:t>Nivestim</w:t>
            </w:r>
            <w:proofErr w:type="spellEnd"/>
            <w:r w:rsidRPr="005901FA">
              <w:rPr>
                <w:rFonts w:ascii="Arial Narrow" w:hAnsi="Arial Narrow" w:cs="Arial"/>
                <w:sz w:val="20"/>
                <w:szCs w:val="20"/>
                <w:lang w:val="en-US"/>
              </w:rPr>
              <w:t>)</w:t>
            </w:r>
          </w:p>
          <w:p w:rsidR="00046868" w:rsidRPr="005901FA" w:rsidRDefault="00046868" w:rsidP="00EF122C">
            <w:pPr>
              <w:keepNext/>
              <w:rPr>
                <w:rFonts w:ascii="Arial Narrow" w:hAnsi="Arial Narrow" w:cs="Arial"/>
                <w:sz w:val="20"/>
                <w:szCs w:val="20"/>
                <w:lang w:val="en-US"/>
              </w:rPr>
            </w:pPr>
          </w:p>
          <w:p w:rsidR="00046868" w:rsidRDefault="00046868" w:rsidP="00EF122C">
            <w:pPr>
              <w:keepNext/>
              <w:rPr>
                <w:rFonts w:ascii="Arial Narrow" w:hAnsi="Arial Narrow" w:cs="Arial"/>
                <w:sz w:val="20"/>
                <w:szCs w:val="20"/>
                <w:lang w:val="en-US"/>
              </w:rPr>
            </w:pPr>
            <w:r w:rsidRPr="005901FA">
              <w:rPr>
                <w:rFonts w:ascii="Arial Narrow" w:hAnsi="Arial Narrow" w:cs="Arial"/>
                <w:sz w:val="20"/>
                <w:szCs w:val="20"/>
                <w:lang w:val="en-US"/>
              </w:rPr>
              <w:t>Injection 300 micrograms in 0.5 mL single use pre</w:t>
            </w:r>
            <w:r w:rsidRPr="005901FA">
              <w:rPr>
                <w:rFonts w:ascii="Arial Narrow" w:eastAsia="MS Mincho" w:hAnsi="Arial Narrow" w:cs="Arial" w:hint="eastAsia"/>
                <w:sz w:val="20"/>
                <w:szCs w:val="20"/>
                <w:lang w:val="en-US"/>
              </w:rPr>
              <w:t>‑</w:t>
            </w:r>
            <w:r w:rsidRPr="005901FA">
              <w:rPr>
                <w:rFonts w:ascii="Arial Narrow" w:hAnsi="Arial Narrow" w:cs="Arial"/>
                <w:sz w:val="20"/>
                <w:szCs w:val="20"/>
                <w:lang w:val="en-US"/>
              </w:rPr>
              <w:t>filled syringe (</w:t>
            </w:r>
            <w:proofErr w:type="spellStart"/>
            <w:r w:rsidRPr="005901FA">
              <w:rPr>
                <w:rFonts w:ascii="Arial Narrow" w:hAnsi="Arial Narrow" w:cs="Arial"/>
                <w:sz w:val="20"/>
                <w:szCs w:val="20"/>
                <w:lang w:val="en-US"/>
              </w:rPr>
              <w:t>Nivestim</w:t>
            </w:r>
            <w:proofErr w:type="spellEnd"/>
            <w:r w:rsidRPr="005901FA">
              <w:rPr>
                <w:rFonts w:ascii="Arial Narrow" w:hAnsi="Arial Narrow" w:cs="Arial"/>
                <w:sz w:val="20"/>
                <w:szCs w:val="20"/>
                <w:lang w:val="en-US"/>
              </w:rPr>
              <w:t>)</w:t>
            </w:r>
          </w:p>
          <w:p w:rsidR="00046868" w:rsidRDefault="00046868" w:rsidP="00EF122C">
            <w:pPr>
              <w:keepNext/>
              <w:rPr>
                <w:rFonts w:ascii="Arial Narrow" w:hAnsi="Arial Narrow" w:cs="Arial"/>
                <w:sz w:val="20"/>
                <w:szCs w:val="20"/>
                <w:lang w:val="en-US"/>
              </w:rPr>
            </w:pPr>
          </w:p>
          <w:p w:rsidR="00046868" w:rsidRPr="00233639" w:rsidRDefault="00046868" w:rsidP="00EF122C">
            <w:pPr>
              <w:keepNext/>
              <w:rPr>
                <w:rFonts w:ascii="Arial Narrow" w:hAnsi="Arial Narrow" w:cs="Arial"/>
                <w:sz w:val="20"/>
                <w:szCs w:val="20"/>
                <w:lang w:val="en-US"/>
              </w:rPr>
            </w:pPr>
            <w:r w:rsidRPr="005901FA">
              <w:rPr>
                <w:rFonts w:ascii="Arial Narrow" w:hAnsi="Arial Narrow" w:cs="Arial"/>
                <w:sz w:val="20"/>
                <w:szCs w:val="20"/>
                <w:lang w:val="en-US"/>
              </w:rPr>
              <w:t>Injection 480 micrograms in 0.5 mL single use pre</w:t>
            </w:r>
            <w:r w:rsidRPr="005901FA">
              <w:rPr>
                <w:rFonts w:ascii="Arial Narrow" w:eastAsia="MS Mincho" w:hAnsi="Arial Narrow" w:cs="Arial" w:hint="eastAsia"/>
                <w:sz w:val="20"/>
                <w:szCs w:val="20"/>
                <w:lang w:val="en-US"/>
              </w:rPr>
              <w:t>‑</w:t>
            </w:r>
            <w:r w:rsidRPr="005901FA">
              <w:rPr>
                <w:rFonts w:ascii="Arial Narrow" w:hAnsi="Arial Narrow" w:cs="Arial"/>
                <w:sz w:val="20"/>
                <w:szCs w:val="20"/>
                <w:lang w:val="en-US"/>
              </w:rPr>
              <w:t>filled syringe (</w:t>
            </w:r>
            <w:proofErr w:type="spellStart"/>
            <w:r w:rsidRPr="005901FA">
              <w:rPr>
                <w:rFonts w:ascii="Arial Narrow" w:hAnsi="Arial Narrow" w:cs="Arial"/>
                <w:sz w:val="20"/>
                <w:szCs w:val="20"/>
                <w:lang w:val="en-US"/>
              </w:rPr>
              <w:t>Nivestim</w:t>
            </w:r>
            <w:proofErr w:type="spellEnd"/>
            <w:r w:rsidRPr="005901FA">
              <w:rPr>
                <w:rFonts w:ascii="Arial Narrow" w:hAnsi="Arial Narrow" w:cs="Arial"/>
                <w:sz w:val="20"/>
                <w:szCs w:val="20"/>
                <w:lang w:val="en-US"/>
              </w:rPr>
              <w:t>)</w:t>
            </w:r>
          </w:p>
        </w:tc>
        <w:tc>
          <w:tcPr>
            <w:tcW w:w="666" w:type="pct"/>
          </w:tcPr>
          <w:p w:rsidR="00046868" w:rsidRPr="00233639" w:rsidRDefault="00046868" w:rsidP="00EF122C">
            <w:pPr>
              <w:keepNext/>
              <w:rPr>
                <w:rFonts w:ascii="Arial Narrow" w:hAnsi="Arial Narrow" w:cs="Arial"/>
                <w:sz w:val="20"/>
                <w:szCs w:val="20"/>
                <w:lang w:val="en-US"/>
              </w:rPr>
            </w:pPr>
            <w:r w:rsidRPr="00233639">
              <w:rPr>
                <w:rFonts w:ascii="Arial Narrow" w:hAnsi="Arial Narrow" w:cs="Arial"/>
                <w:sz w:val="20"/>
                <w:szCs w:val="20"/>
                <w:lang w:val="en-US"/>
              </w:rPr>
              <w:t>01/04/11</w:t>
            </w:r>
          </w:p>
        </w:tc>
      </w:tr>
      <w:tr w:rsidR="00046868" w:rsidRPr="00C16805" w:rsidTr="00EF122C">
        <w:tc>
          <w:tcPr>
            <w:tcW w:w="1111" w:type="pct"/>
          </w:tcPr>
          <w:p w:rsidR="00046868" w:rsidRDefault="00046868" w:rsidP="00EF122C">
            <w:pPr>
              <w:keepNext/>
              <w:spacing w:before="100" w:beforeAutospacing="1" w:after="100" w:afterAutospacing="1"/>
              <w:outlineLvl w:val="4"/>
              <w:rPr>
                <w:rFonts w:ascii="Arial Narrow" w:hAnsi="Arial Narrow" w:cs="Arial"/>
                <w:sz w:val="20"/>
                <w:szCs w:val="20"/>
                <w:lang w:val="en-US"/>
              </w:rPr>
            </w:pPr>
            <w:proofErr w:type="spellStart"/>
            <w:r w:rsidRPr="00046868">
              <w:rPr>
                <w:rFonts w:ascii="Arial Narrow" w:hAnsi="Arial Narrow" w:cs="Arial"/>
                <w:sz w:val="20"/>
                <w:szCs w:val="20"/>
                <w:lang w:val="en-US"/>
              </w:rPr>
              <w:t>Tevagrastim</w:t>
            </w:r>
            <w:proofErr w:type="spellEnd"/>
            <w:r w:rsidRPr="00046868">
              <w:rPr>
                <w:rFonts w:ascii="Arial Narrow" w:hAnsi="Arial Narrow" w:cs="Arial"/>
                <w:sz w:val="20"/>
                <w:szCs w:val="20"/>
                <w:lang w:val="en-US"/>
              </w:rPr>
              <w:t xml:space="preserve"> (Aspen)</w:t>
            </w:r>
          </w:p>
          <w:p w:rsidR="00046868" w:rsidRPr="00046868" w:rsidRDefault="00046868" w:rsidP="00EF122C">
            <w:pPr>
              <w:keepNext/>
              <w:spacing w:before="100" w:beforeAutospacing="1" w:after="100" w:afterAutospacing="1"/>
              <w:outlineLvl w:val="4"/>
              <w:rPr>
                <w:rFonts w:ascii="Arial Narrow" w:hAnsi="Arial Narrow" w:cs="Arial"/>
                <w:sz w:val="20"/>
                <w:szCs w:val="20"/>
                <w:lang w:val="en-US"/>
              </w:rPr>
            </w:pPr>
            <w:r>
              <w:rPr>
                <w:rFonts w:ascii="Arial Narrow" w:hAnsi="Arial Narrow" w:cs="Arial"/>
                <w:sz w:val="20"/>
                <w:szCs w:val="20"/>
                <w:lang w:val="en-US"/>
              </w:rPr>
              <w:t>Biosimilar</w:t>
            </w:r>
          </w:p>
        </w:tc>
        <w:tc>
          <w:tcPr>
            <w:tcW w:w="3223" w:type="pct"/>
          </w:tcPr>
          <w:p w:rsidR="00046868" w:rsidRDefault="00046868" w:rsidP="00EF122C">
            <w:pPr>
              <w:keepNext/>
              <w:rPr>
                <w:rFonts w:ascii="Arial Narrow" w:hAnsi="Arial Narrow" w:cs="Arial"/>
                <w:sz w:val="20"/>
                <w:szCs w:val="20"/>
                <w:lang w:val="en-US"/>
              </w:rPr>
            </w:pPr>
            <w:r w:rsidRPr="005901FA">
              <w:rPr>
                <w:rFonts w:ascii="Arial Narrow" w:hAnsi="Arial Narrow" w:cs="Arial"/>
                <w:sz w:val="20"/>
                <w:szCs w:val="20"/>
                <w:lang w:val="en-US"/>
              </w:rPr>
              <w:t>Injection 300 micrograms in 0.5 mL single use pre</w:t>
            </w:r>
            <w:r w:rsidRPr="005901FA">
              <w:rPr>
                <w:rFonts w:ascii="Arial Narrow" w:eastAsia="MS Mincho" w:hAnsi="Arial Narrow" w:cs="Arial" w:hint="eastAsia"/>
                <w:sz w:val="20"/>
                <w:szCs w:val="20"/>
                <w:lang w:val="en-US"/>
              </w:rPr>
              <w:t>‑</w:t>
            </w:r>
            <w:r w:rsidRPr="005901FA">
              <w:rPr>
                <w:rFonts w:ascii="Arial Narrow" w:hAnsi="Arial Narrow" w:cs="Arial"/>
                <w:sz w:val="20"/>
                <w:szCs w:val="20"/>
                <w:lang w:val="en-US"/>
              </w:rPr>
              <w:t>filled syringe (</w:t>
            </w:r>
            <w:proofErr w:type="spellStart"/>
            <w:r w:rsidRPr="005901FA">
              <w:rPr>
                <w:rFonts w:ascii="Arial Narrow" w:hAnsi="Arial Narrow" w:cs="Arial"/>
                <w:sz w:val="20"/>
                <w:szCs w:val="20"/>
                <w:lang w:val="en-US"/>
              </w:rPr>
              <w:t>TevaGrastim</w:t>
            </w:r>
            <w:proofErr w:type="spellEnd"/>
            <w:r w:rsidRPr="005901FA">
              <w:rPr>
                <w:rFonts w:ascii="Arial Narrow" w:hAnsi="Arial Narrow" w:cs="Arial"/>
                <w:sz w:val="20"/>
                <w:szCs w:val="20"/>
                <w:lang w:val="en-US"/>
              </w:rPr>
              <w:t>)</w:t>
            </w:r>
          </w:p>
          <w:p w:rsidR="00046868" w:rsidRDefault="00046868" w:rsidP="00EF122C">
            <w:pPr>
              <w:keepNext/>
              <w:rPr>
                <w:rFonts w:ascii="Arial Narrow" w:hAnsi="Arial Narrow" w:cs="Arial"/>
                <w:sz w:val="20"/>
                <w:szCs w:val="20"/>
                <w:lang w:val="en-US"/>
              </w:rPr>
            </w:pPr>
          </w:p>
          <w:p w:rsidR="00046868" w:rsidRPr="000A3E42" w:rsidRDefault="00046868" w:rsidP="00EF122C">
            <w:pPr>
              <w:keepNext/>
              <w:rPr>
                <w:rFonts w:ascii="Arial Narrow" w:hAnsi="Arial Narrow" w:cs="Arial"/>
                <w:sz w:val="20"/>
                <w:szCs w:val="20"/>
                <w:lang w:val="en-US"/>
              </w:rPr>
            </w:pPr>
            <w:r w:rsidRPr="005901FA">
              <w:rPr>
                <w:rFonts w:ascii="Arial Narrow" w:hAnsi="Arial Narrow" w:cs="Arial"/>
                <w:sz w:val="20"/>
                <w:szCs w:val="20"/>
                <w:lang w:val="en-US"/>
              </w:rPr>
              <w:t>Injection 480 micrograms in 0.8 mL single use pre</w:t>
            </w:r>
            <w:r w:rsidRPr="005901FA">
              <w:rPr>
                <w:rFonts w:ascii="Arial Narrow" w:eastAsia="MS Mincho" w:hAnsi="Arial Narrow" w:cs="Arial" w:hint="eastAsia"/>
                <w:sz w:val="20"/>
                <w:szCs w:val="20"/>
                <w:lang w:val="en-US"/>
              </w:rPr>
              <w:t>‑</w:t>
            </w:r>
            <w:r w:rsidRPr="005901FA">
              <w:rPr>
                <w:rFonts w:ascii="Arial Narrow" w:hAnsi="Arial Narrow" w:cs="Arial"/>
                <w:sz w:val="20"/>
                <w:szCs w:val="20"/>
                <w:lang w:val="en-US"/>
              </w:rPr>
              <w:t>filled syringe (</w:t>
            </w:r>
            <w:proofErr w:type="spellStart"/>
            <w:r w:rsidRPr="005901FA">
              <w:rPr>
                <w:rFonts w:ascii="Arial Narrow" w:hAnsi="Arial Narrow" w:cs="Arial"/>
                <w:sz w:val="20"/>
                <w:szCs w:val="20"/>
                <w:lang w:val="en-US"/>
              </w:rPr>
              <w:t>TevaGrastim</w:t>
            </w:r>
            <w:proofErr w:type="spellEnd"/>
            <w:r w:rsidRPr="005901FA">
              <w:rPr>
                <w:rFonts w:ascii="Arial Narrow" w:hAnsi="Arial Narrow" w:cs="Arial"/>
                <w:sz w:val="20"/>
                <w:szCs w:val="20"/>
                <w:lang w:val="en-US"/>
              </w:rPr>
              <w:t>)</w:t>
            </w:r>
          </w:p>
        </w:tc>
        <w:tc>
          <w:tcPr>
            <w:tcW w:w="666" w:type="pct"/>
          </w:tcPr>
          <w:p w:rsidR="00046868" w:rsidRPr="000A3E42" w:rsidRDefault="00046868" w:rsidP="00EF122C">
            <w:pPr>
              <w:keepNext/>
              <w:rPr>
                <w:rFonts w:ascii="Arial Narrow" w:hAnsi="Arial Narrow" w:cs="Arial"/>
                <w:sz w:val="20"/>
                <w:szCs w:val="20"/>
                <w:lang w:val="en-US"/>
              </w:rPr>
            </w:pPr>
            <w:r w:rsidRPr="000A3E42">
              <w:rPr>
                <w:rFonts w:ascii="Arial Narrow" w:hAnsi="Arial Narrow" w:cs="Arial"/>
                <w:sz w:val="20"/>
                <w:szCs w:val="20"/>
                <w:lang w:val="en-US"/>
              </w:rPr>
              <w:t>01/03/12</w:t>
            </w:r>
          </w:p>
        </w:tc>
      </w:tr>
      <w:tr w:rsidR="00046868" w:rsidRPr="00C16805" w:rsidTr="00EF122C">
        <w:tc>
          <w:tcPr>
            <w:tcW w:w="1111" w:type="pct"/>
          </w:tcPr>
          <w:p w:rsidR="00046868" w:rsidRDefault="00046868" w:rsidP="00EF122C">
            <w:pPr>
              <w:keepNext/>
              <w:spacing w:before="100" w:beforeAutospacing="1" w:after="100" w:afterAutospacing="1"/>
              <w:outlineLvl w:val="4"/>
              <w:rPr>
                <w:rFonts w:ascii="Arial Narrow" w:hAnsi="Arial Narrow" w:cs="Arial"/>
                <w:sz w:val="20"/>
                <w:szCs w:val="20"/>
                <w:lang w:val="en-US"/>
              </w:rPr>
            </w:pPr>
            <w:proofErr w:type="spellStart"/>
            <w:r w:rsidRPr="00046868">
              <w:rPr>
                <w:rFonts w:ascii="Arial Narrow" w:hAnsi="Arial Narrow" w:cs="Arial"/>
                <w:sz w:val="20"/>
                <w:szCs w:val="20"/>
                <w:lang w:val="en-US"/>
              </w:rPr>
              <w:t>Zarzio</w:t>
            </w:r>
            <w:proofErr w:type="spellEnd"/>
            <w:r w:rsidRPr="00046868">
              <w:rPr>
                <w:rFonts w:ascii="Arial Narrow" w:hAnsi="Arial Narrow" w:cs="Arial"/>
                <w:sz w:val="20"/>
                <w:szCs w:val="20"/>
                <w:lang w:val="en-US"/>
              </w:rPr>
              <w:t xml:space="preserve"> (Sandoz)</w:t>
            </w:r>
          </w:p>
          <w:p w:rsidR="00046868" w:rsidRPr="00046868" w:rsidRDefault="00046868" w:rsidP="00EF122C">
            <w:pPr>
              <w:keepNext/>
              <w:spacing w:before="100" w:beforeAutospacing="1" w:after="100" w:afterAutospacing="1"/>
              <w:outlineLvl w:val="4"/>
              <w:rPr>
                <w:rFonts w:ascii="Arial Narrow" w:hAnsi="Arial Narrow" w:cs="Arial"/>
                <w:sz w:val="20"/>
                <w:szCs w:val="20"/>
                <w:lang w:val="en-US"/>
              </w:rPr>
            </w:pPr>
            <w:r>
              <w:rPr>
                <w:rFonts w:ascii="Arial Narrow" w:hAnsi="Arial Narrow" w:cs="Arial"/>
                <w:sz w:val="20"/>
                <w:szCs w:val="20"/>
                <w:lang w:val="en-US"/>
              </w:rPr>
              <w:t>Biosimilar</w:t>
            </w:r>
          </w:p>
        </w:tc>
        <w:tc>
          <w:tcPr>
            <w:tcW w:w="3223" w:type="pct"/>
          </w:tcPr>
          <w:p w:rsidR="00046868" w:rsidRDefault="00046868" w:rsidP="00EF122C">
            <w:pPr>
              <w:keepNext/>
              <w:rPr>
                <w:rFonts w:ascii="Arial Narrow" w:hAnsi="Arial Narrow" w:cs="Arial"/>
                <w:sz w:val="20"/>
                <w:szCs w:val="20"/>
                <w:lang w:val="en-US"/>
              </w:rPr>
            </w:pPr>
            <w:r w:rsidRPr="005901FA">
              <w:rPr>
                <w:rFonts w:ascii="Arial Narrow" w:hAnsi="Arial Narrow" w:cs="Arial"/>
                <w:sz w:val="20"/>
                <w:szCs w:val="20"/>
                <w:lang w:val="en-US"/>
              </w:rPr>
              <w:t>Injection 300 micrograms in 0.5 mL single use pre-filled syringe (</w:t>
            </w:r>
            <w:proofErr w:type="spellStart"/>
            <w:r w:rsidRPr="005901FA">
              <w:rPr>
                <w:rFonts w:ascii="Arial Narrow" w:hAnsi="Arial Narrow" w:cs="Arial"/>
                <w:sz w:val="20"/>
                <w:szCs w:val="20"/>
                <w:lang w:val="en-US"/>
              </w:rPr>
              <w:t>Zarzio</w:t>
            </w:r>
            <w:proofErr w:type="spellEnd"/>
            <w:r w:rsidRPr="005901FA">
              <w:rPr>
                <w:rFonts w:ascii="Arial Narrow" w:hAnsi="Arial Narrow" w:cs="Arial"/>
                <w:sz w:val="20"/>
                <w:szCs w:val="20"/>
                <w:lang w:val="en-US"/>
              </w:rPr>
              <w:t>)</w:t>
            </w:r>
          </w:p>
          <w:p w:rsidR="00046868" w:rsidRDefault="00046868" w:rsidP="00EF122C">
            <w:pPr>
              <w:keepNext/>
              <w:rPr>
                <w:rFonts w:ascii="Arial Narrow" w:hAnsi="Arial Narrow" w:cs="Arial"/>
                <w:sz w:val="20"/>
                <w:szCs w:val="20"/>
                <w:lang w:val="en-US"/>
              </w:rPr>
            </w:pPr>
          </w:p>
          <w:p w:rsidR="00046868" w:rsidRPr="000A3E42" w:rsidRDefault="00046868" w:rsidP="00EF122C">
            <w:pPr>
              <w:keepNext/>
              <w:rPr>
                <w:rFonts w:ascii="Arial Narrow" w:hAnsi="Arial Narrow" w:cs="Arial"/>
                <w:sz w:val="20"/>
                <w:szCs w:val="20"/>
                <w:lang w:val="en-US"/>
              </w:rPr>
            </w:pPr>
            <w:r w:rsidRPr="005901FA">
              <w:rPr>
                <w:rFonts w:ascii="Arial Narrow" w:hAnsi="Arial Narrow" w:cs="Arial"/>
                <w:sz w:val="20"/>
                <w:szCs w:val="20"/>
                <w:lang w:val="en-US"/>
              </w:rPr>
              <w:t>Injection 480 micrograms in 0.5 mL single use pre-filled syringe (</w:t>
            </w:r>
            <w:proofErr w:type="spellStart"/>
            <w:r w:rsidRPr="005901FA">
              <w:rPr>
                <w:rFonts w:ascii="Arial Narrow" w:hAnsi="Arial Narrow" w:cs="Arial"/>
                <w:sz w:val="20"/>
                <w:szCs w:val="20"/>
                <w:lang w:val="en-US"/>
              </w:rPr>
              <w:t>Zarzio</w:t>
            </w:r>
            <w:proofErr w:type="spellEnd"/>
            <w:r w:rsidRPr="005901FA">
              <w:rPr>
                <w:rFonts w:ascii="Arial Narrow" w:hAnsi="Arial Narrow" w:cs="Arial"/>
                <w:sz w:val="20"/>
                <w:szCs w:val="20"/>
                <w:lang w:val="en-US"/>
              </w:rPr>
              <w:t>)</w:t>
            </w:r>
          </w:p>
        </w:tc>
        <w:tc>
          <w:tcPr>
            <w:tcW w:w="666" w:type="pct"/>
          </w:tcPr>
          <w:p w:rsidR="00046868" w:rsidRPr="00233639" w:rsidRDefault="00046868" w:rsidP="00EF122C">
            <w:pPr>
              <w:keepNext/>
              <w:rPr>
                <w:rFonts w:ascii="Arial Narrow" w:hAnsi="Arial Narrow" w:cs="Arial"/>
                <w:sz w:val="20"/>
                <w:szCs w:val="20"/>
                <w:lang w:val="en-US"/>
              </w:rPr>
            </w:pPr>
            <w:r w:rsidRPr="000A3E42">
              <w:rPr>
                <w:rFonts w:ascii="Arial Narrow" w:hAnsi="Arial Narrow" w:cs="Arial"/>
                <w:sz w:val="20"/>
                <w:szCs w:val="20"/>
                <w:lang w:val="en-US"/>
              </w:rPr>
              <w:t>01/09/13</w:t>
            </w:r>
          </w:p>
        </w:tc>
      </w:tr>
    </w:tbl>
    <w:p w:rsidR="00233639" w:rsidRPr="00B90C2F" w:rsidRDefault="00233639" w:rsidP="00B90C2F">
      <w:pPr>
        <w:spacing w:after="120"/>
        <w:rPr>
          <w:rFonts w:ascii="Arial Narrow" w:eastAsiaTheme="minorHAnsi" w:hAnsi="Arial Narrow" w:cstheme="minorBidi"/>
          <w:sz w:val="20"/>
          <w:szCs w:val="20"/>
        </w:rPr>
      </w:pPr>
      <w:r>
        <w:rPr>
          <w:rFonts w:ascii="Arial Narrow" w:eastAsiaTheme="minorHAnsi" w:hAnsi="Arial Narrow" w:cstheme="minorBidi"/>
          <w:sz w:val="20"/>
          <w:szCs w:val="20"/>
        </w:rPr>
        <w:t>Source: Compiled by the Secretariat</w:t>
      </w:r>
    </w:p>
    <w:p w:rsidR="00B90C2F" w:rsidRPr="00B90C2F" w:rsidRDefault="00233639" w:rsidP="00B90C2F">
      <w:pPr>
        <w:widowControl w:val="0"/>
        <w:spacing w:before="240" w:line="276" w:lineRule="auto"/>
        <w:jc w:val="both"/>
        <w:rPr>
          <w:rFonts w:asciiTheme="minorHAnsi" w:hAnsiTheme="minorHAnsi" w:cs="Arial"/>
          <w:b/>
          <w:bCs/>
          <w:i/>
          <w:snapToGrid w:val="0"/>
        </w:rPr>
      </w:pPr>
      <w:r w:rsidRPr="00B90C2F">
        <w:rPr>
          <w:rFonts w:asciiTheme="minorHAnsi" w:hAnsiTheme="minorHAnsi" w:cs="Arial"/>
          <w:b/>
          <w:bCs/>
          <w:i/>
          <w:snapToGrid w:val="0"/>
        </w:rPr>
        <w:t>Biosimilar uptake measures</w:t>
      </w:r>
    </w:p>
    <w:p w:rsidR="00233639" w:rsidRPr="005540D2" w:rsidRDefault="00233639" w:rsidP="00502182">
      <w:pPr>
        <w:pStyle w:val="ListParagraph"/>
        <w:numPr>
          <w:ilvl w:val="1"/>
          <w:numId w:val="5"/>
        </w:numPr>
        <w:spacing w:after="120"/>
        <w:contextualSpacing w:val="0"/>
        <w:rPr>
          <w:rFonts w:asciiTheme="minorHAnsi" w:hAnsiTheme="minorHAnsi"/>
          <w:sz w:val="24"/>
          <w:szCs w:val="24"/>
        </w:rPr>
      </w:pPr>
      <w:r w:rsidRPr="005540D2">
        <w:rPr>
          <w:rFonts w:asciiTheme="minorHAnsi" w:hAnsiTheme="minorHAnsi"/>
          <w:sz w:val="24"/>
          <w:szCs w:val="24"/>
        </w:rPr>
        <w:t xml:space="preserve">As part of the 2017-18 </w:t>
      </w:r>
      <w:proofErr w:type="gramStart"/>
      <w:r w:rsidRPr="005540D2">
        <w:rPr>
          <w:rFonts w:asciiTheme="minorHAnsi" w:hAnsiTheme="minorHAnsi"/>
          <w:sz w:val="24"/>
          <w:szCs w:val="24"/>
        </w:rPr>
        <w:t>budget</w:t>
      </w:r>
      <w:proofErr w:type="gramEnd"/>
      <w:r w:rsidRPr="005540D2">
        <w:rPr>
          <w:rFonts w:asciiTheme="minorHAnsi" w:hAnsiTheme="minorHAnsi"/>
          <w:sz w:val="24"/>
          <w:szCs w:val="24"/>
        </w:rPr>
        <w:t>, the Government entered into a Strategic Agreement with Medicines Australia and further agreement with the Generic and Biosimilar Medicines Association. Part of these agreements was to introduce biosimilar uptake drivers. Two biosimilar uptake drivers identified were to:</w:t>
      </w:r>
    </w:p>
    <w:p w:rsidR="00233639" w:rsidRPr="005540D2" w:rsidRDefault="00233639" w:rsidP="00502182">
      <w:pPr>
        <w:pStyle w:val="ListParagraph"/>
        <w:numPr>
          <w:ilvl w:val="1"/>
          <w:numId w:val="15"/>
        </w:numPr>
        <w:spacing w:after="120"/>
        <w:ind w:left="1134" w:hanging="425"/>
        <w:contextualSpacing w:val="0"/>
        <w:rPr>
          <w:rFonts w:asciiTheme="minorHAnsi" w:hAnsiTheme="minorHAnsi"/>
          <w:sz w:val="24"/>
          <w:szCs w:val="24"/>
        </w:rPr>
      </w:pPr>
      <w:r w:rsidRPr="005540D2">
        <w:rPr>
          <w:rFonts w:asciiTheme="minorHAnsi" w:hAnsiTheme="minorHAnsi"/>
          <w:sz w:val="24"/>
          <w:szCs w:val="24"/>
        </w:rPr>
        <w:t>Allow a lower level of authority for the biosimilar than the reference biological agent at commencement and/or continuation of therapy; and</w:t>
      </w:r>
    </w:p>
    <w:p w:rsidR="00233639" w:rsidRPr="005540D2" w:rsidRDefault="00233639" w:rsidP="00502182">
      <w:pPr>
        <w:pStyle w:val="ListParagraph"/>
        <w:numPr>
          <w:ilvl w:val="1"/>
          <w:numId w:val="15"/>
        </w:numPr>
        <w:spacing w:after="120"/>
        <w:ind w:left="1134" w:hanging="425"/>
        <w:contextualSpacing w:val="0"/>
        <w:rPr>
          <w:rFonts w:asciiTheme="minorHAnsi" w:hAnsiTheme="minorHAnsi"/>
          <w:sz w:val="24"/>
          <w:szCs w:val="24"/>
        </w:rPr>
      </w:pPr>
      <w:r w:rsidRPr="005540D2">
        <w:rPr>
          <w:rFonts w:asciiTheme="minorHAnsi" w:hAnsiTheme="minorHAnsi"/>
          <w:sz w:val="24"/>
          <w:szCs w:val="24"/>
        </w:rPr>
        <w:t>Identify the biosimilar brand as the preferred choice for treatment naïve patients.</w:t>
      </w:r>
    </w:p>
    <w:p w:rsidR="00233639" w:rsidRDefault="00233639" w:rsidP="00502182">
      <w:pPr>
        <w:pStyle w:val="ListParagraph"/>
        <w:numPr>
          <w:ilvl w:val="1"/>
          <w:numId w:val="5"/>
        </w:numPr>
        <w:spacing w:after="120"/>
        <w:contextualSpacing w:val="0"/>
        <w:rPr>
          <w:rFonts w:asciiTheme="minorHAnsi" w:hAnsiTheme="minorHAnsi"/>
          <w:sz w:val="24"/>
          <w:szCs w:val="24"/>
        </w:rPr>
      </w:pPr>
      <w:r w:rsidRPr="005540D2">
        <w:rPr>
          <w:rFonts w:asciiTheme="minorHAnsi" w:hAnsiTheme="minorHAnsi"/>
          <w:sz w:val="24"/>
          <w:szCs w:val="24"/>
        </w:rPr>
        <w:t>With respect to these uptake measures, the PBAC will be requested to provide case by case advice as to whether there would be any clinical or other concerns about appropriate use of medicines if a policy decision were made to apply the uptake measures mentioned above.</w:t>
      </w:r>
    </w:p>
    <w:p w:rsidR="00233639" w:rsidRPr="00B90C2F" w:rsidRDefault="00233639" w:rsidP="00502182">
      <w:pPr>
        <w:pStyle w:val="ListParagraph"/>
        <w:numPr>
          <w:ilvl w:val="1"/>
          <w:numId w:val="5"/>
        </w:numPr>
        <w:spacing w:before="100" w:beforeAutospacing="1" w:after="120"/>
        <w:rPr>
          <w:rFonts w:asciiTheme="minorHAnsi" w:eastAsiaTheme="minorHAnsi" w:hAnsiTheme="minorHAnsi" w:cstheme="minorBidi"/>
          <w:snapToGrid/>
          <w:sz w:val="24"/>
          <w:szCs w:val="22"/>
        </w:rPr>
      </w:pPr>
      <w:r w:rsidRPr="009A53D9">
        <w:rPr>
          <w:rFonts w:asciiTheme="minorHAnsi" w:eastAsiaTheme="minorHAnsi" w:hAnsiTheme="minorHAnsi" w:cstheme="minorBidi"/>
          <w:snapToGrid/>
          <w:sz w:val="24"/>
          <w:szCs w:val="22"/>
        </w:rPr>
        <w:t xml:space="preserve">At the August 2017 Special meeting, </w:t>
      </w:r>
      <w:r>
        <w:rPr>
          <w:rFonts w:asciiTheme="minorHAnsi" w:eastAsiaTheme="minorHAnsi" w:hAnsiTheme="minorHAnsi" w:cstheme="minorBidi"/>
          <w:snapToGrid/>
          <w:sz w:val="24"/>
          <w:szCs w:val="22"/>
        </w:rPr>
        <w:t xml:space="preserve">the </w:t>
      </w:r>
      <w:r w:rsidRPr="009A53D9">
        <w:rPr>
          <w:rFonts w:asciiTheme="minorHAnsi" w:eastAsiaTheme="minorHAnsi" w:hAnsiTheme="minorHAnsi" w:cstheme="minorBidi"/>
          <w:snapToGrid/>
          <w:sz w:val="24"/>
          <w:szCs w:val="22"/>
        </w:rPr>
        <w:t>PBAC did not anticipate having any concerns about encouraging prescribing of a biosimilar brand rather than the reference biological brand for treatment naïve patients, including through prescribing software changes, notes in the Schedule, education or by other methods.</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826F6D"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w:t>
      </w:r>
      <w:r w:rsidR="0044432B">
        <w:rPr>
          <w:rFonts w:asciiTheme="minorHAnsi" w:eastAsiaTheme="minorHAnsi" w:hAnsiTheme="minorHAnsi" w:cstheme="minorBidi"/>
          <w:snapToGrid/>
          <w:sz w:val="24"/>
          <w:szCs w:val="22"/>
        </w:rPr>
        <w:t xml:space="preserve">that the Section 100 HSDP (Private Hospital) listings of Nivestim be changed from Authority Required to Authority Required </w:t>
      </w:r>
      <w:r w:rsidR="0044432B">
        <w:rPr>
          <w:rFonts w:asciiTheme="minorHAnsi" w:eastAsiaTheme="minorHAnsi" w:hAnsiTheme="minorHAnsi" w:cstheme="minorBidi"/>
          <w:snapToGrid/>
          <w:sz w:val="24"/>
          <w:szCs w:val="22"/>
        </w:rPr>
        <w:lastRenderedPageBreak/>
        <w:t>(STREAMLINED). Given no other changes to the restriction were requested, and the length and complexity of the restrictions for filgrastim, the restrictions have not been reproduced in full.</w:t>
      </w:r>
    </w:p>
    <w:tbl>
      <w:tblPr>
        <w:tblW w:w="4915" w:type="pct"/>
        <w:tblLook w:val="0000" w:firstRow="0" w:lastRow="0" w:firstColumn="0" w:lastColumn="0" w:noHBand="0" w:noVBand="0"/>
      </w:tblPr>
      <w:tblGrid>
        <w:gridCol w:w="1948"/>
        <w:gridCol w:w="1368"/>
        <w:gridCol w:w="732"/>
        <w:gridCol w:w="885"/>
        <w:gridCol w:w="1624"/>
        <w:gridCol w:w="967"/>
        <w:gridCol w:w="1555"/>
        <w:gridCol w:w="6"/>
      </w:tblGrid>
      <w:tr w:rsidR="00163329" w:rsidRPr="0039782C" w:rsidTr="00502182">
        <w:trPr>
          <w:cantSplit/>
          <w:trHeight w:val="716"/>
        </w:trPr>
        <w:tc>
          <w:tcPr>
            <w:tcW w:w="1825"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03"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87"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894"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390" w:type="pct"/>
            <w:gridSpan w:val="3"/>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63329" w:rsidRPr="00260CE3" w:rsidTr="00502182">
        <w:trPr>
          <w:cantSplit/>
          <w:trHeight w:val="873"/>
        </w:trPr>
        <w:tc>
          <w:tcPr>
            <w:tcW w:w="1825" w:type="pct"/>
            <w:gridSpan w:val="2"/>
          </w:tcPr>
          <w:p w:rsidR="00826F6D" w:rsidRPr="00260CE3" w:rsidRDefault="0044432B" w:rsidP="00EB0B63">
            <w:pPr>
              <w:keepNext/>
              <w:spacing w:before="40" w:after="40"/>
              <w:jc w:val="both"/>
              <w:rPr>
                <w:rFonts w:ascii="Arial Narrow" w:hAnsi="Arial Narrow" w:cs="Arial"/>
                <w:sz w:val="20"/>
                <w:szCs w:val="20"/>
              </w:rPr>
            </w:pPr>
            <w:r>
              <w:rPr>
                <w:rFonts w:ascii="Arial Narrow" w:hAnsi="Arial Narrow" w:cs="Arial"/>
                <w:smallCaps/>
                <w:sz w:val="20"/>
                <w:szCs w:val="20"/>
              </w:rPr>
              <w:t>FILGRASTIM</w:t>
            </w:r>
          </w:p>
          <w:p w:rsidR="0044432B" w:rsidRDefault="0044432B" w:rsidP="0044432B">
            <w:pPr>
              <w:keepNext/>
              <w:spacing w:before="40" w:after="40"/>
              <w:jc w:val="both"/>
              <w:rPr>
                <w:rFonts w:ascii="Arial Narrow" w:hAnsi="Arial Narrow" w:cs="Arial"/>
                <w:sz w:val="20"/>
                <w:szCs w:val="20"/>
              </w:rPr>
            </w:pPr>
            <w:r w:rsidRPr="0044432B">
              <w:rPr>
                <w:rFonts w:ascii="Arial Narrow" w:hAnsi="Arial Narrow" w:cs="Arial"/>
                <w:sz w:val="20"/>
                <w:szCs w:val="20"/>
              </w:rPr>
              <w:t>Injection 120 micrograms in 0.2 mL single use pre</w:t>
            </w:r>
            <w:r w:rsidRPr="0044432B">
              <w:rPr>
                <w:rFonts w:ascii="Arial Narrow" w:eastAsia="MS Mincho" w:hAnsi="Arial Narrow" w:cs="Arial" w:hint="eastAsia"/>
                <w:sz w:val="20"/>
                <w:szCs w:val="20"/>
              </w:rPr>
              <w:t>‑</w:t>
            </w:r>
            <w:r>
              <w:rPr>
                <w:rFonts w:ascii="Arial Narrow" w:hAnsi="Arial Narrow" w:cs="Arial"/>
                <w:sz w:val="20"/>
                <w:szCs w:val="20"/>
              </w:rPr>
              <w:t>filled syringe</w:t>
            </w:r>
            <w:r w:rsidR="00890455">
              <w:rPr>
                <w:rFonts w:ascii="Arial Narrow" w:hAnsi="Arial Narrow" w:cs="Arial"/>
                <w:sz w:val="20"/>
                <w:szCs w:val="20"/>
              </w:rPr>
              <w:t>, 10</w:t>
            </w:r>
          </w:p>
          <w:p w:rsidR="0044432B" w:rsidRDefault="0044432B" w:rsidP="00502182">
            <w:pPr>
              <w:keepNext/>
              <w:spacing w:before="120" w:after="120"/>
              <w:jc w:val="both"/>
              <w:rPr>
                <w:rFonts w:ascii="Arial Narrow" w:hAnsi="Arial Narrow" w:cs="Arial"/>
                <w:sz w:val="20"/>
                <w:szCs w:val="20"/>
              </w:rPr>
            </w:pPr>
            <w:r w:rsidRPr="0044432B">
              <w:rPr>
                <w:rFonts w:ascii="Arial Narrow" w:hAnsi="Arial Narrow" w:cs="Arial"/>
                <w:sz w:val="20"/>
                <w:szCs w:val="20"/>
              </w:rPr>
              <w:t>Injection 300 micrograms in 0.5 mL single use pre</w:t>
            </w:r>
            <w:r w:rsidRPr="0044432B">
              <w:rPr>
                <w:rFonts w:ascii="Arial Narrow" w:eastAsia="MS Mincho" w:hAnsi="Arial Narrow" w:cs="Arial" w:hint="eastAsia"/>
                <w:sz w:val="20"/>
                <w:szCs w:val="20"/>
              </w:rPr>
              <w:t>‑</w:t>
            </w:r>
            <w:r>
              <w:rPr>
                <w:rFonts w:ascii="Arial Narrow" w:hAnsi="Arial Narrow" w:cs="Arial"/>
                <w:sz w:val="20"/>
                <w:szCs w:val="20"/>
              </w:rPr>
              <w:t>filled syringe</w:t>
            </w:r>
            <w:r w:rsidR="00890455">
              <w:rPr>
                <w:rFonts w:ascii="Arial Narrow" w:hAnsi="Arial Narrow" w:cs="Arial"/>
                <w:sz w:val="20"/>
                <w:szCs w:val="20"/>
              </w:rPr>
              <w:t>, 10</w:t>
            </w:r>
          </w:p>
          <w:p w:rsidR="00890455" w:rsidRPr="00260CE3" w:rsidRDefault="0044432B" w:rsidP="0044432B">
            <w:pPr>
              <w:keepNext/>
              <w:spacing w:before="40" w:after="40"/>
              <w:jc w:val="both"/>
              <w:rPr>
                <w:rFonts w:ascii="Arial Narrow" w:hAnsi="Arial Narrow" w:cs="Arial"/>
                <w:sz w:val="20"/>
                <w:szCs w:val="20"/>
              </w:rPr>
            </w:pPr>
            <w:r w:rsidRPr="0044432B">
              <w:rPr>
                <w:rFonts w:ascii="Arial Narrow" w:hAnsi="Arial Narrow" w:cs="Arial"/>
                <w:sz w:val="20"/>
                <w:szCs w:val="20"/>
              </w:rPr>
              <w:t>Injection 480 micrograms in 0.5 mL single use pre</w:t>
            </w:r>
            <w:r w:rsidRPr="0044432B">
              <w:rPr>
                <w:rFonts w:ascii="Arial Narrow" w:eastAsia="MS Mincho" w:hAnsi="Arial Narrow" w:cs="Arial" w:hint="eastAsia"/>
                <w:sz w:val="20"/>
                <w:szCs w:val="20"/>
              </w:rPr>
              <w:t>‑</w:t>
            </w:r>
            <w:r w:rsidRPr="0044432B">
              <w:rPr>
                <w:rFonts w:ascii="Arial Narrow" w:hAnsi="Arial Narrow" w:cs="Arial"/>
                <w:sz w:val="20"/>
                <w:szCs w:val="20"/>
              </w:rPr>
              <w:t>filled syringe</w:t>
            </w:r>
            <w:r w:rsidR="00890455">
              <w:rPr>
                <w:rFonts w:ascii="Arial Narrow" w:hAnsi="Arial Narrow" w:cs="Arial"/>
                <w:sz w:val="20"/>
                <w:szCs w:val="20"/>
              </w:rPr>
              <w:t>, 10</w:t>
            </w:r>
          </w:p>
        </w:tc>
        <w:tc>
          <w:tcPr>
            <w:tcW w:w="403" w:type="pct"/>
          </w:tcPr>
          <w:p w:rsidR="00826F6D" w:rsidRPr="00260CE3" w:rsidRDefault="00826F6D" w:rsidP="00EB0B63">
            <w:pPr>
              <w:keepNext/>
              <w:spacing w:before="40" w:after="40"/>
              <w:jc w:val="both"/>
              <w:rPr>
                <w:rFonts w:ascii="Arial Narrow" w:hAnsi="Arial Narrow" w:cs="Arial"/>
                <w:sz w:val="20"/>
                <w:szCs w:val="20"/>
              </w:rPr>
            </w:pPr>
          </w:p>
          <w:p w:rsidR="00826F6D" w:rsidRDefault="00890455" w:rsidP="00EB0B63">
            <w:pPr>
              <w:keepNext/>
              <w:spacing w:before="40" w:after="40"/>
              <w:jc w:val="both"/>
              <w:rPr>
                <w:rFonts w:ascii="Arial Narrow" w:hAnsi="Arial Narrow" w:cs="Arial"/>
                <w:sz w:val="20"/>
                <w:szCs w:val="20"/>
              </w:rPr>
            </w:pPr>
            <w:r>
              <w:rPr>
                <w:rFonts w:ascii="Arial Narrow" w:hAnsi="Arial Narrow" w:cs="Arial"/>
                <w:sz w:val="20"/>
                <w:szCs w:val="20"/>
              </w:rPr>
              <w:t>2</w:t>
            </w:r>
          </w:p>
          <w:p w:rsidR="00890455" w:rsidRDefault="00890455" w:rsidP="00EB0B63">
            <w:pPr>
              <w:keepNext/>
              <w:spacing w:before="40" w:after="40"/>
              <w:jc w:val="both"/>
              <w:rPr>
                <w:rFonts w:ascii="Arial Narrow" w:hAnsi="Arial Narrow" w:cs="Arial"/>
                <w:sz w:val="20"/>
                <w:szCs w:val="20"/>
              </w:rPr>
            </w:pPr>
          </w:p>
          <w:p w:rsidR="00890455" w:rsidRDefault="00890455" w:rsidP="00502182">
            <w:pPr>
              <w:keepNext/>
              <w:spacing w:before="120" w:after="120"/>
              <w:jc w:val="both"/>
              <w:rPr>
                <w:rFonts w:ascii="Arial Narrow" w:hAnsi="Arial Narrow" w:cs="Arial"/>
                <w:sz w:val="20"/>
                <w:szCs w:val="20"/>
              </w:rPr>
            </w:pPr>
            <w:r>
              <w:rPr>
                <w:rFonts w:ascii="Arial Narrow" w:hAnsi="Arial Narrow" w:cs="Arial"/>
                <w:sz w:val="20"/>
                <w:szCs w:val="20"/>
              </w:rPr>
              <w:t>2</w:t>
            </w:r>
          </w:p>
          <w:p w:rsidR="00890455" w:rsidRDefault="00890455" w:rsidP="00EB0B63">
            <w:pPr>
              <w:keepNext/>
              <w:spacing w:before="40" w:after="40"/>
              <w:jc w:val="both"/>
              <w:rPr>
                <w:rFonts w:ascii="Arial Narrow" w:hAnsi="Arial Narrow" w:cs="Arial"/>
                <w:sz w:val="20"/>
                <w:szCs w:val="20"/>
              </w:rPr>
            </w:pPr>
          </w:p>
          <w:p w:rsidR="00890455" w:rsidRPr="00260CE3" w:rsidRDefault="00890455" w:rsidP="00EB0B63">
            <w:pPr>
              <w:keepNext/>
              <w:spacing w:before="40" w:after="40"/>
              <w:jc w:val="both"/>
              <w:rPr>
                <w:rFonts w:ascii="Arial Narrow" w:hAnsi="Arial Narrow" w:cs="Arial"/>
                <w:sz w:val="20"/>
                <w:szCs w:val="20"/>
              </w:rPr>
            </w:pPr>
            <w:r>
              <w:rPr>
                <w:rFonts w:ascii="Arial Narrow" w:hAnsi="Arial Narrow" w:cs="Arial"/>
                <w:sz w:val="20"/>
                <w:szCs w:val="20"/>
              </w:rPr>
              <w:t>2</w:t>
            </w:r>
          </w:p>
        </w:tc>
        <w:tc>
          <w:tcPr>
            <w:tcW w:w="487" w:type="pct"/>
          </w:tcPr>
          <w:p w:rsidR="00826F6D" w:rsidRPr="00260CE3" w:rsidRDefault="00826F6D" w:rsidP="00EB0B63">
            <w:pPr>
              <w:keepNext/>
              <w:spacing w:before="40" w:after="40"/>
              <w:jc w:val="both"/>
              <w:rPr>
                <w:rFonts w:ascii="Arial Narrow" w:hAnsi="Arial Narrow" w:cs="Arial"/>
                <w:sz w:val="20"/>
                <w:szCs w:val="20"/>
              </w:rPr>
            </w:pPr>
          </w:p>
          <w:p w:rsidR="00826F6D" w:rsidRDefault="00890455" w:rsidP="00EB0B63">
            <w:pPr>
              <w:keepNext/>
              <w:spacing w:before="40" w:after="40"/>
              <w:jc w:val="both"/>
              <w:rPr>
                <w:rFonts w:ascii="Arial Narrow" w:hAnsi="Arial Narrow" w:cs="Arial"/>
                <w:sz w:val="20"/>
                <w:szCs w:val="20"/>
              </w:rPr>
            </w:pPr>
            <w:r>
              <w:rPr>
                <w:rFonts w:ascii="Arial Narrow" w:hAnsi="Arial Narrow" w:cs="Arial"/>
                <w:sz w:val="20"/>
                <w:szCs w:val="20"/>
              </w:rPr>
              <w:t>11</w:t>
            </w:r>
          </w:p>
          <w:p w:rsidR="00890455" w:rsidRDefault="00890455" w:rsidP="00EB0B63">
            <w:pPr>
              <w:keepNext/>
              <w:spacing w:before="40" w:after="40"/>
              <w:jc w:val="both"/>
              <w:rPr>
                <w:rFonts w:ascii="Arial Narrow" w:hAnsi="Arial Narrow" w:cs="Arial"/>
                <w:sz w:val="20"/>
                <w:szCs w:val="20"/>
              </w:rPr>
            </w:pPr>
          </w:p>
          <w:p w:rsidR="00890455" w:rsidRDefault="00890455" w:rsidP="00502182">
            <w:pPr>
              <w:keepNext/>
              <w:spacing w:before="120" w:after="120"/>
              <w:jc w:val="both"/>
              <w:rPr>
                <w:rFonts w:ascii="Arial Narrow" w:hAnsi="Arial Narrow" w:cs="Arial"/>
                <w:sz w:val="20"/>
                <w:szCs w:val="20"/>
              </w:rPr>
            </w:pPr>
            <w:r>
              <w:rPr>
                <w:rFonts w:ascii="Arial Narrow" w:hAnsi="Arial Narrow" w:cs="Arial"/>
                <w:sz w:val="20"/>
                <w:szCs w:val="20"/>
              </w:rPr>
              <w:t>11</w:t>
            </w:r>
          </w:p>
          <w:p w:rsidR="00890455" w:rsidRDefault="00890455" w:rsidP="00EB0B63">
            <w:pPr>
              <w:keepNext/>
              <w:spacing w:before="40" w:after="40"/>
              <w:jc w:val="both"/>
              <w:rPr>
                <w:rFonts w:ascii="Arial Narrow" w:hAnsi="Arial Narrow" w:cs="Arial"/>
                <w:sz w:val="20"/>
                <w:szCs w:val="20"/>
              </w:rPr>
            </w:pPr>
          </w:p>
          <w:p w:rsidR="00890455" w:rsidRPr="00260CE3" w:rsidRDefault="00890455" w:rsidP="00EB0B63">
            <w:pPr>
              <w:keepNext/>
              <w:spacing w:before="40" w:after="40"/>
              <w:jc w:val="both"/>
              <w:rPr>
                <w:rFonts w:ascii="Arial Narrow" w:hAnsi="Arial Narrow" w:cs="Arial"/>
                <w:sz w:val="20"/>
                <w:szCs w:val="20"/>
              </w:rPr>
            </w:pPr>
            <w:r>
              <w:rPr>
                <w:rFonts w:ascii="Arial Narrow" w:hAnsi="Arial Narrow" w:cs="Arial"/>
                <w:sz w:val="20"/>
                <w:szCs w:val="20"/>
              </w:rPr>
              <w:t>11</w:t>
            </w:r>
          </w:p>
        </w:tc>
        <w:tc>
          <w:tcPr>
            <w:tcW w:w="894" w:type="pct"/>
          </w:tcPr>
          <w:p w:rsidR="00826F6D" w:rsidRPr="00260CE3" w:rsidRDefault="00826F6D" w:rsidP="00EB0B63">
            <w:pPr>
              <w:keepNext/>
              <w:spacing w:before="40" w:after="40"/>
              <w:jc w:val="both"/>
              <w:rPr>
                <w:rFonts w:ascii="Arial Narrow" w:hAnsi="Arial Narrow" w:cs="Arial"/>
                <w:sz w:val="20"/>
                <w:szCs w:val="20"/>
              </w:rPr>
            </w:pPr>
          </w:p>
          <w:p w:rsidR="00826F6D" w:rsidRDefault="00890455" w:rsidP="00890455">
            <w:pPr>
              <w:keepNext/>
              <w:spacing w:before="40" w:after="40"/>
              <w:rPr>
                <w:rFonts w:ascii="Arial Narrow" w:hAnsi="Arial Narrow" w:cs="Arial"/>
                <w:sz w:val="20"/>
                <w:szCs w:val="20"/>
              </w:rPr>
            </w:pPr>
            <w:r>
              <w:rPr>
                <w:rFonts w:ascii="Arial Narrow" w:hAnsi="Arial Narrow" w:cs="Arial"/>
                <w:sz w:val="20"/>
                <w:szCs w:val="20"/>
              </w:rPr>
              <w:t>$387.51 (Private Hospital)</w:t>
            </w:r>
          </w:p>
          <w:p w:rsidR="00890455" w:rsidRDefault="00890455" w:rsidP="00502182">
            <w:pPr>
              <w:keepNext/>
              <w:spacing w:before="120" w:after="120"/>
              <w:rPr>
                <w:rFonts w:ascii="Arial Narrow" w:hAnsi="Arial Narrow" w:cs="Arial"/>
                <w:sz w:val="20"/>
                <w:szCs w:val="20"/>
              </w:rPr>
            </w:pPr>
            <w:r>
              <w:rPr>
                <w:rFonts w:ascii="Arial Narrow" w:hAnsi="Arial Narrow" w:cs="Arial"/>
                <w:sz w:val="20"/>
                <w:szCs w:val="20"/>
              </w:rPr>
              <w:t>$958.09 (Private Hospital)</w:t>
            </w:r>
          </w:p>
          <w:p w:rsidR="00890455" w:rsidRPr="00260CE3" w:rsidRDefault="00890455" w:rsidP="00890455">
            <w:pPr>
              <w:keepNext/>
              <w:spacing w:before="40" w:after="40"/>
              <w:rPr>
                <w:rFonts w:ascii="Arial Narrow" w:hAnsi="Arial Narrow" w:cs="Arial"/>
                <w:sz w:val="20"/>
                <w:szCs w:val="20"/>
              </w:rPr>
            </w:pPr>
            <w:r>
              <w:rPr>
                <w:rFonts w:ascii="Arial Narrow" w:hAnsi="Arial Narrow" w:cs="Arial"/>
                <w:sz w:val="20"/>
                <w:szCs w:val="20"/>
              </w:rPr>
              <w:t>$1512.93 (Private Hospital)</w:t>
            </w:r>
          </w:p>
        </w:tc>
        <w:tc>
          <w:tcPr>
            <w:tcW w:w="532" w:type="pct"/>
          </w:tcPr>
          <w:p w:rsidR="00C27B58" w:rsidRDefault="00C27B58" w:rsidP="00EB0B63">
            <w:pPr>
              <w:keepNext/>
              <w:spacing w:before="40" w:after="40"/>
              <w:jc w:val="both"/>
              <w:rPr>
                <w:rFonts w:ascii="Arial Narrow" w:hAnsi="Arial Narrow" w:cs="Arial"/>
                <w:sz w:val="20"/>
                <w:szCs w:val="20"/>
              </w:rPr>
            </w:pPr>
          </w:p>
          <w:p w:rsidR="00826F6D" w:rsidRPr="00890455" w:rsidRDefault="00890455" w:rsidP="00890455">
            <w:pPr>
              <w:keepNext/>
              <w:spacing w:before="40" w:after="40"/>
              <w:jc w:val="both"/>
              <w:rPr>
                <w:rFonts w:ascii="Arial Narrow" w:hAnsi="Arial Narrow" w:cs="Arial"/>
                <w:sz w:val="20"/>
                <w:szCs w:val="20"/>
                <w:vertAlign w:val="superscript"/>
              </w:rPr>
            </w:pPr>
            <w:r>
              <w:rPr>
                <w:rFonts w:ascii="Arial Narrow" w:hAnsi="Arial Narrow" w:cs="Arial"/>
                <w:sz w:val="20"/>
                <w:szCs w:val="20"/>
              </w:rPr>
              <w:t>Nivestim</w:t>
            </w:r>
            <w:r w:rsidRPr="002608C2">
              <w:rPr>
                <w:rFonts w:ascii="Arial Narrow" w:hAnsi="Arial Narrow" w:cs="Arial"/>
                <w:sz w:val="20"/>
                <w:szCs w:val="20"/>
              </w:rPr>
              <w:t>®</w:t>
            </w:r>
          </w:p>
        </w:tc>
        <w:tc>
          <w:tcPr>
            <w:tcW w:w="858" w:type="pct"/>
            <w:gridSpan w:val="2"/>
          </w:tcPr>
          <w:p w:rsidR="00C27B58" w:rsidRDefault="00C27B58" w:rsidP="00EB0B63">
            <w:pPr>
              <w:keepNext/>
              <w:spacing w:before="40" w:after="40"/>
              <w:jc w:val="both"/>
              <w:rPr>
                <w:rFonts w:ascii="Arial Narrow" w:hAnsi="Arial Narrow" w:cs="Arial"/>
                <w:sz w:val="20"/>
                <w:szCs w:val="20"/>
              </w:rPr>
            </w:pPr>
          </w:p>
          <w:p w:rsidR="00826F6D" w:rsidRPr="00260CE3" w:rsidRDefault="00890455" w:rsidP="00EB0B63">
            <w:pPr>
              <w:keepNext/>
              <w:spacing w:before="40" w:after="40"/>
              <w:jc w:val="both"/>
              <w:rPr>
                <w:rFonts w:ascii="Arial Narrow" w:hAnsi="Arial Narrow" w:cs="Arial"/>
                <w:sz w:val="20"/>
                <w:szCs w:val="20"/>
              </w:rPr>
            </w:pPr>
            <w:r>
              <w:rPr>
                <w:rFonts w:ascii="Arial Narrow" w:hAnsi="Arial Narrow" w:cs="Arial"/>
                <w:sz w:val="20"/>
                <w:szCs w:val="20"/>
              </w:rPr>
              <w:t>Pfizer Australia Pty Ltd</w:t>
            </w:r>
          </w:p>
        </w:tc>
      </w:tr>
      <w:tr w:rsidR="00826F6D" w:rsidRPr="00260CE3" w:rsidTr="00502182">
        <w:trPr>
          <w:gridAfter w:val="1"/>
          <w:wAfter w:w="3" w:type="pct"/>
          <w:cantSplit/>
          <w:trHeight w:val="555"/>
        </w:trPr>
        <w:tc>
          <w:tcPr>
            <w:tcW w:w="1072" w:type="pct"/>
            <w:tcBorders>
              <w:top w:val="single" w:sz="4" w:space="0" w:color="auto"/>
              <w:left w:val="single" w:sz="4" w:space="0" w:color="auto"/>
              <w:bottom w:val="single" w:sz="4" w:space="0" w:color="auto"/>
              <w:right w:val="single" w:sz="4" w:space="0" w:color="auto"/>
            </w:tcBorders>
          </w:tcPr>
          <w:p w:rsidR="00826F6D" w:rsidRPr="004C6C07" w:rsidRDefault="00826F6D" w:rsidP="00EB0B63">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826F6D" w:rsidRPr="00260CE3" w:rsidRDefault="00826F6D" w:rsidP="00EB0B63">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25" w:type="pct"/>
            <w:gridSpan w:val="6"/>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t>Section 100 – Highly Specialised Drugs Program</w:t>
            </w:r>
            <w:r w:rsidR="00890455">
              <w:rPr>
                <w:rFonts w:ascii="Arial Narrow" w:hAnsi="Arial Narrow" w:cs="Arial"/>
                <w:sz w:val="20"/>
                <w:szCs w:val="20"/>
              </w:rPr>
              <w:t xml:space="preserve"> (Private Hospital)</w:t>
            </w:r>
          </w:p>
        </w:tc>
      </w:tr>
      <w:tr w:rsidR="00826F6D" w:rsidRPr="00260CE3" w:rsidTr="00502182">
        <w:trPr>
          <w:gridAfter w:val="1"/>
          <w:wAfter w:w="3" w:type="pct"/>
          <w:cantSplit/>
          <w:trHeight w:val="555"/>
        </w:trPr>
        <w:tc>
          <w:tcPr>
            <w:tcW w:w="1072"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25" w:type="pct"/>
            <w:gridSpan w:val="6"/>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7A23E0">
              <w:rPr>
                <w:rFonts w:ascii="Arial Narrow" w:hAnsi="Arial Narrow" w:cs="Arial"/>
                <w:sz w:val="20"/>
                <w:szCs w:val="20"/>
              </w:rPr>
            </w:r>
            <w:r w:rsidR="007A23E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890455">
              <w:rPr>
                <w:rFonts w:ascii="Arial Narrow" w:hAnsi="Arial Narrow" w:cs="Arial"/>
                <w:sz w:val="20"/>
                <w:szCs w:val="20"/>
              </w:rPr>
              <w:fldChar w:fldCharType="begin">
                <w:ffData>
                  <w:name w:val=""/>
                  <w:enabled/>
                  <w:calcOnExit w:val="0"/>
                  <w:checkBox>
                    <w:sizeAuto/>
                    <w:default w:val="1"/>
                  </w:checkBox>
                </w:ffData>
              </w:fldChar>
            </w:r>
            <w:r w:rsidR="00890455">
              <w:rPr>
                <w:rFonts w:ascii="Arial Narrow" w:hAnsi="Arial Narrow" w:cs="Arial"/>
                <w:sz w:val="20"/>
                <w:szCs w:val="20"/>
              </w:rPr>
              <w:instrText xml:space="preserve"> FORMCHECKBOX </w:instrText>
            </w:r>
            <w:r w:rsidR="007A23E0">
              <w:rPr>
                <w:rFonts w:ascii="Arial Narrow" w:hAnsi="Arial Narrow" w:cs="Arial"/>
                <w:sz w:val="20"/>
                <w:szCs w:val="20"/>
              </w:rPr>
            </w:r>
            <w:r w:rsidR="007A23E0">
              <w:rPr>
                <w:rFonts w:ascii="Arial Narrow" w:hAnsi="Arial Narrow" w:cs="Arial"/>
                <w:sz w:val="20"/>
                <w:szCs w:val="20"/>
              </w:rPr>
              <w:fldChar w:fldCharType="separate"/>
            </w:r>
            <w:r w:rsidR="00890455">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7A23E0">
              <w:rPr>
                <w:rFonts w:ascii="Arial Narrow" w:hAnsi="Arial Narrow" w:cs="Arial"/>
                <w:sz w:val="20"/>
                <w:szCs w:val="20"/>
              </w:rPr>
            </w:r>
            <w:r w:rsidR="007A23E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7A23E0">
              <w:rPr>
                <w:rFonts w:ascii="Arial Narrow" w:hAnsi="Arial Narrow" w:cs="Arial"/>
                <w:sz w:val="20"/>
                <w:szCs w:val="20"/>
              </w:rPr>
            </w:r>
            <w:r w:rsidR="007A23E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7A23E0">
              <w:rPr>
                <w:rFonts w:ascii="Arial Narrow" w:hAnsi="Arial Narrow" w:cs="Arial"/>
                <w:sz w:val="20"/>
                <w:szCs w:val="20"/>
              </w:rPr>
            </w:r>
            <w:r w:rsidR="007A23E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502182">
        <w:trPr>
          <w:gridAfter w:val="1"/>
          <w:wAfter w:w="3" w:type="pct"/>
          <w:cantSplit/>
          <w:trHeight w:val="555"/>
        </w:trPr>
        <w:tc>
          <w:tcPr>
            <w:tcW w:w="1072"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25" w:type="pct"/>
            <w:gridSpan w:val="6"/>
            <w:tcBorders>
              <w:top w:val="single" w:sz="4" w:space="0" w:color="auto"/>
              <w:left w:val="single" w:sz="4" w:space="0" w:color="auto"/>
              <w:bottom w:val="single" w:sz="4" w:space="0" w:color="auto"/>
              <w:right w:val="single" w:sz="4" w:space="0" w:color="auto"/>
            </w:tcBorders>
          </w:tcPr>
          <w:p w:rsidR="00826F6D" w:rsidRDefault="00890455" w:rsidP="00EB0B63">
            <w:pPr>
              <w:spacing w:before="40" w:after="40"/>
              <w:rPr>
                <w:rFonts w:ascii="Arial Narrow" w:hAnsi="Arial Narrow" w:cs="Arial"/>
                <w:sz w:val="20"/>
                <w:szCs w:val="20"/>
              </w:rPr>
            </w:pPr>
            <w:r>
              <w:rPr>
                <w:rFonts w:ascii="Arial Narrow" w:hAnsi="Arial Narrow" w:cs="Arial"/>
                <w:sz w:val="20"/>
                <w:szCs w:val="20"/>
              </w:rPr>
              <w:t>Chemotherapy-induced neutropenia</w:t>
            </w:r>
          </w:p>
          <w:p w:rsidR="00890455" w:rsidRDefault="00890455" w:rsidP="00EB0B63">
            <w:pPr>
              <w:spacing w:before="40" w:after="40"/>
              <w:rPr>
                <w:rFonts w:ascii="Arial Narrow" w:hAnsi="Arial Narrow" w:cs="Arial"/>
                <w:sz w:val="20"/>
                <w:szCs w:val="20"/>
              </w:rPr>
            </w:pPr>
            <w:r w:rsidRPr="00890455">
              <w:rPr>
                <w:rFonts w:ascii="Arial Narrow" w:hAnsi="Arial Narrow" w:cs="Arial"/>
                <w:sz w:val="20"/>
                <w:szCs w:val="20"/>
              </w:rPr>
              <w:t>Mobilisation of peripheral blood progenitor cells</w:t>
            </w:r>
          </w:p>
          <w:p w:rsidR="00890455" w:rsidRDefault="00890455" w:rsidP="00EB0B63">
            <w:pPr>
              <w:spacing w:before="40" w:after="40"/>
              <w:rPr>
                <w:rFonts w:ascii="Arial Narrow" w:hAnsi="Arial Narrow" w:cs="Arial"/>
                <w:sz w:val="20"/>
                <w:szCs w:val="20"/>
              </w:rPr>
            </w:pPr>
            <w:r w:rsidRPr="00890455">
              <w:rPr>
                <w:rFonts w:ascii="Arial Narrow" w:hAnsi="Arial Narrow" w:cs="Arial"/>
                <w:sz w:val="20"/>
                <w:szCs w:val="20"/>
              </w:rPr>
              <w:t>Assisting bone marrow transplantation</w:t>
            </w:r>
          </w:p>
          <w:p w:rsidR="00890455" w:rsidRDefault="00890455" w:rsidP="00EB0B63">
            <w:pPr>
              <w:spacing w:before="40" w:after="40"/>
              <w:rPr>
                <w:rFonts w:ascii="Arial Narrow" w:hAnsi="Arial Narrow" w:cs="Arial"/>
                <w:sz w:val="20"/>
                <w:szCs w:val="20"/>
              </w:rPr>
            </w:pPr>
            <w:r w:rsidRPr="00890455">
              <w:rPr>
                <w:rFonts w:ascii="Arial Narrow" w:hAnsi="Arial Narrow" w:cs="Arial"/>
                <w:sz w:val="20"/>
                <w:szCs w:val="20"/>
              </w:rPr>
              <w:t>Assisting autologous peripheral blood progenitor cell transplantation</w:t>
            </w:r>
          </w:p>
          <w:p w:rsidR="00890455" w:rsidRDefault="00890455" w:rsidP="00EB0B63">
            <w:pPr>
              <w:spacing w:before="40" w:after="40"/>
              <w:rPr>
                <w:rFonts w:ascii="Arial Narrow" w:hAnsi="Arial Narrow" w:cs="Arial"/>
                <w:sz w:val="20"/>
                <w:szCs w:val="20"/>
              </w:rPr>
            </w:pPr>
            <w:r w:rsidRPr="00890455">
              <w:rPr>
                <w:rFonts w:ascii="Arial Narrow" w:hAnsi="Arial Narrow" w:cs="Arial"/>
                <w:sz w:val="20"/>
                <w:szCs w:val="20"/>
              </w:rPr>
              <w:t>Severe congenital neutropenia</w:t>
            </w:r>
          </w:p>
          <w:p w:rsidR="00890455" w:rsidRDefault="00890455" w:rsidP="00EB0B63">
            <w:pPr>
              <w:spacing w:before="40" w:after="40"/>
              <w:rPr>
                <w:rFonts w:ascii="Arial Narrow" w:hAnsi="Arial Narrow" w:cs="Arial"/>
                <w:sz w:val="20"/>
                <w:szCs w:val="20"/>
              </w:rPr>
            </w:pPr>
            <w:r w:rsidRPr="00890455">
              <w:rPr>
                <w:rFonts w:ascii="Arial Narrow" w:hAnsi="Arial Narrow" w:cs="Arial"/>
                <w:sz w:val="20"/>
                <w:szCs w:val="20"/>
              </w:rPr>
              <w:t>Severe chronic neutropenia</w:t>
            </w:r>
          </w:p>
          <w:p w:rsidR="00890455" w:rsidRPr="00260CE3" w:rsidRDefault="00890455" w:rsidP="00EB0B63">
            <w:pPr>
              <w:spacing w:before="40" w:after="40"/>
              <w:rPr>
                <w:rFonts w:ascii="Arial Narrow" w:hAnsi="Arial Narrow" w:cs="Arial"/>
                <w:sz w:val="20"/>
                <w:szCs w:val="20"/>
              </w:rPr>
            </w:pPr>
            <w:r w:rsidRPr="00890455">
              <w:rPr>
                <w:rFonts w:ascii="Arial Narrow" w:hAnsi="Arial Narrow" w:cs="Arial"/>
                <w:sz w:val="20"/>
                <w:szCs w:val="20"/>
              </w:rPr>
              <w:t>Chronic cyclical neutropenia</w:t>
            </w:r>
          </w:p>
        </w:tc>
      </w:tr>
      <w:tr w:rsidR="00826F6D" w:rsidRPr="00260CE3" w:rsidTr="00502182">
        <w:trPr>
          <w:gridAfter w:val="1"/>
          <w:wAfter w:w="3" w:type="pct"/>
          <w:cantSplit/>
          <w:trHeight w:val="555"/>
        </w:trPr>
        <w:tc>
          <w:tcPr>
            <w:tcW w:w="1072"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EB0B63">
            <w:pPr>
              <w:spacing w:before="40" w:after="40"/>
              <w:rPr>
                <w:rFonts w:ascii="Arial Narrow" w:hAnsi="Arial Narrow" w:cs="Arial"/>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7A23E0">
              <w:rPr>
                <w:rFonts w:ascii="Arial Narrow" w:hAnsi="Arial Narrow" w:cs="Arial"/>
                <w:sz w:val="20"/>
                <w:szCs w:val="20"/>
              </w:rPr>
            </w:r>
            <w:r w:rsidR="007A23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A23E0">
              <w:rPr>
                <w:rFonts w:ascii="Arial Narrow" w:hAnsi="Arial Narrow" w:cs="Arial"/>
                <w:sz w:val="20"/>
                <w:szCs w:val="20"/>
              </w:rPr>
            </w:r>
            <w:r w:rsidR="007A23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7A23E0">
              <w:rPr>
                <w:rFonts w:ascii="Arial Narrow" w:hAnsi="Arial Narrow" w:cs="Arial"/>
                <w:sz w:val="20"/>
                <w:szCs w:val="20"/>
              </w:rPr>
            </w:r>
            <w:r w:rsidR="007A23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A23E0">
              <w:rPr>
                <w:rFonts w:ascii="Arial Narrow" w:hAnsi="Arial Narrow" w:cs="Arial"/>
                <w:sz w:val="20"/>
                <w:szCs w:val="20"/>
              </w:rPr>
            </w:r>
            <w:r w:rsidR="007A23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7A23E0">
              <w:rPr>
                <w:rFonts w:ascii="Arial Narrow" w:hAnsi="Arial Narrow" w:cs="Arial"/>
                <w:sz w:val="20"/>
                <w:szCs w:val="20"/>
              </w:rPr>
            </w:r>
            <w:r w:rsidR="007A23E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90455"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0" w:name="Check5"/>
            <w:r>
              <w:rPr>
                <w:rFonts w:ascii="Arial Narrow" w:hAnsi="Arial Narrow" w:cs="Arial"/>
                <w:sz w:val="20"/>
                <w:szCs w:val="20"/>
              </w:rPr>
              <w:instrText xml:space="preserve"> FORMCHECKBOX </w:instrText>
            </w:r>
            <w:r w:rsidR="007A23E0">
              <w:rPr>
                <w:rFonts w:ascii="Arial Narrow" w:hAnsi="Arial Narrow" w:cs="Arial"/>
                <w:sz w:val="20"/>
                <w:szCs w:val="20"/>
              </w:rPr>
            </w:r>
            <w:r w:rsidR="007A23E0">
              <w:rPr>
                <w:rFonts w:ascii="Arial Narrow" w:hAnsi="Arial Narrow" w:cs="Arial"/>
                <w:sz w:val="20"/>
                <w:szCs w:val="20"/>
              </w:rPr>
              <w:fldChar w:fldCharType="separate"/>
            </w:r>
            <w:r>
              <w:rPr>
                <w:rFonts w:ascii="Arial Narrow" w:hAnsi="Arial Narrow" w:cs="Arial"/>
                <w:sz w:val="20"/>
                <w:szCs w:val="20"/>
              </w:rPr>
              <w:fldChar w:fldCharType="end"/>
            </w:r>
            <w:bookmarkEnd w:id="0"/>
            <w:r w:rsidR="00826F6D" w:rsidRPr="00106BCF">
              <w:rPr>
                <w:rFonts w:ascii="Arial Narrow" w:hAnsi="Arial Narrow" w:cs="Arial"/>
                <w:sz w:val="20"/>
                <w:szCs w:val="20"/>
              </w:rPr>
              <w:t>Streamlined</w:t>
            </w:r>
          </w:p>
        </w:tc>
      </w:tr>
    </w:tbl>
    <w:p w:rsidR="004051E8" w:rsidRDefault="004051E8" w:rsidP="004051E8">
      <w:pPr>
        <w:pStyle w:val="PBACHeading1"/>
        <w:spacing w:before="240" w:after="120"/>
        <w:ind w:left="709" w:hanging="709"/>
        <w:rPr>
          <w:rFonts w:asciiTheme="minorHAnsi" w:hAnsiTheme="minorHAnsi"/>
          <w:sz w:val="32"/>
          <w:szCs w:val="32"/>
        </w:rPr>
      </w:pPr>
      <w:r w:rsidRPr="004445D2">
        <w:rPr>
          <w:rFonts w:asciiTheme="minorHAnsi" w:hAnsiTheme="minorHAnsi"/>
          <w:sz w:val="32"/>
          <w:szCs w:val="32"/>
        </w:rPr>
        <w:t>Requested advice</w:t>
      </w:r>
    </w:p>
    <w:p w:rsidR="002267D7" w:rsidRDefault="004051E8" w:rsidP="004051E8">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submission requested that the Section 100 (Highly Specialised Drugs Program – Private Hospital) listings of the Nivestim brand of filgrastim be amended from Authority Required to Authority Required (STREAMLINED). </w:t>
      </w:r>
    </w:p>
    <w:p w:rsidR="002267D7" w:rsidRPr="002267D7" w:rsidRDefault="002267D7" w:rsidP="00502182">
      <w:pPr>
        <w:pStyle w:val="ListParagraph"/>
        <w:keepNext/>
        <w:widowControl/>
        <w:spacing w:after="120"/>
        <w:contextualSpacing w:val="0"/>
        <w:jc w:val="center"/>
        <w:rPr>
          <w:rFonts w:asciiTheme="minorHAnsi" w:eastAsiaTheme="minorHAnsi" w:hAnsiTheme="minorHAnsi" w:cstheme="minorBidi"/>
          <w:b/>
          <w:snapToGrid/>
          <w:sz w:val="24"/>
          <w:szCs w:val="22"/>
        </w:rPr>
      </w:pPr>
      <w:r w:rsidRPr="002267D7">
        <w:rPr>
          <w:rFonts w:asciiTheme="minorHAnsi" w:eastAsiaTheme="minorHAnsi" w:hAnsiTheme="minorHAnsi" w:cstheme="minorBidi"/>
          <w:b/>
          <w:snapToGrid/>
          <w:sz w:val="24"/>
          <w:szCs w:val="22"/>
        </w:rPr>
        <w:t>***** Committee in Confidence*****</w:t>
      </w:r>
    </w:p>
    <w:p w:rsidR="002267D7" w:rsidRPr="005551E6" w:rsidRDefault="00FE3FF2" w:rsidP="002267D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noProof/>
          <w:snapToGrid/>
          <w:color w:val="000000"/>
          <w:sz w:val="24"/>
          <w:szCs w:val="22"/>
          <w:highlight w:val="black"/>
        </w:rPr>
        <w:t>'''' ''''''' '''''''''' '''''''' ''''''''''''''''''' ''''''''''''''' '''' '''''''''''''''''''' '''''''''' '''''''' ''''''' ''''''''''''''''''''''' '''''''''''''''''''' ''''''''' '''''' ''''''''''''''''''' ''''' ''''''' '''''''' ''''''''''' '''' ''''''''''''''''''''' '''''''''''''''''''''  '''''''' ''''''''' '''' '''''''''''''''''''' '''' ''''''''''''''''' '''' '''''''''''''''' '''''''''''''' '' '''''''''''''''''''''''' ''''''''''''''''''' ''' '''''' '''''''''''''''''''''' '''''''''''''''''' '''''''''' '''''' ''''''''''''''''' ''''''''''''''</w:t>
      </w:r>
      <w:r w:rsidR="002267D7" w:rsidRPr="005551E6">
        <w:rPr>
          <w:rFonts w:asciiTheme="minorHAnsi" w:eastAsiaTheme="minorHAnsi" w:hAnsiTheme="minorHAnsi" w:cstheme="minorBidi"/>
          <w:snapToGrid/>
          <w:sz w:val="24"/>
          <w:szCs w:val="22"/>
        </w:rPr>
        <w:t>.</w:t>
      </w:r>
    </w:p>
    <w:p w:rsidR="002267D7" w:rsidRDefault="002267D7" w:rsidP="00866919">
      <w:pPr>
        <w:pStyle w:val="ListParagraph"/>
        <w:widowControl/>
        <w:spacing w:after="120"/>
        <w:contextualSpacing w:val="0"/>
        <w:jc w:val="center"/>
        <w:rPr>
          <w:rFonts w:asciiTheme="minorHAnsi" w:eastAsiaTheme="minorHAnsi" w:hAnsiTheme="minorHAnsi" w:cstheme="minorBidi"/>
          <w:snapToGrid/>
          <w:sz w:val="24"/>
          <w:szCs w:val="22"/>
        </w:rPr>
      </w:pPr>
      <w:r>
        <w:rPr>
          <w:rFonts w:asciiTheme="minorHAnsi" w:eastAsiaTheme="minorHAnsi" w:hAnsiTheme="minorHAnsi" w:cstheme="minorBidi"/>
          <w:b/>
          <w:snapToGrid/>
          <w:sz w:val="24"/>
          <w:szCs w:val="22"/>
        </w:rPr>
        <w:t>*****</w:t>
      </w:r>
      <w:r w:rsidRPr="00B84DF0">
        <w:rPr>
          <w:rFonts w:asciiTheme="minorHAnsi" w:eastAsiaTheme="minorHAnsi" w:hAnsiTheme="minorHAnsi" w:cstheme="minorBidi"/>
          <w:b/>
          <w:snapToGrid/>
          <w:sz w:val="24"/>
          <w:szCs w:val="22"/>
        </w:rPr>
        <w:t>Committee in Confidence*****</w:t>
      </w:r>
    </w:p>
    <w:p w:rsidR="004051E8" w:rsidRDefault="004051E8" w:rsidP="004051E8">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In its consideration of this request, the PBAC is asked to p</w:t>
      </w:r>
      <w:r w:rsidR="007A23E0">
        <w:rPr>
          <w:rFonts w:asciiTheme="minorHAnsi" w:eastAsiaTheme="minorHAnsi" w:hAnsiTheme="minorHAnsi" w:cstheme="minorBidi"/>
          <w:snapToGrid/>
          <w:sz w:val="24"/>
          <w:szCs w:val="22"/>
        </w:rPr>
        <w:t>rovide advice on the following:</w:t>
      </w:r>
    </w:p>
    <w:p w:rsidR="004051E8" w:rsidRDefault="004051E8" w:rsidP="00866919">
      <w:pPr>
        <w:pStyle w:val="ListParagraph"/>
        <w:widowControl/>
        <w:numPr>
          <w:ilvl w:val="0"/>
          <w:numId w:val="16"/>
        </w:numPr>
        <w:spacing w:after="120"/>
        <w:ind w:left="993" w:hanging="284"/>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Whether Nivestim and/or other biosimilar brands of filgrastim may be suitable for the application of biosimilar uptake drivers as part of the Strategic Agreements</w:t>
      </w:r>
      <w:r w:rsidR="007C3A20">
        <w:rPr>
          <w:rFonts w:asciiTheme="minorHAnsi" w:eastAsiaTheme="minorHAnsi" w:hAnsiTheme="minorHAnsi" w:cstheme="minorBidi"/>
          <w:snapToGrid/>
          <w:sz w:val="24"/>
          <w:szCs w:val="22"/>
        </w:rPr>
        <w:t>;</w:t>
      </w:r>
    </w:p>
    <w:p w:rsidR="004051E8" w:rsidRDefault="004051E8" w:rsidP="004051E8">
      <w:pPr>
        <w:pStyle w:val="ListParagraph"/>
        <w:widowControl/>
        <w:numPr>
          <w:ilvl w:val="0"/>
          <w:numId w:val="16"/>
        </w:numPr>
        <w:spacing w:after="120"/>
        <w:ind w:left="993" w:hanging="284"/>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Whether the various filgrastim brands </w:t>
      </w:r>
      <w:r w:rsidR="00DD0A6E">
        <w:rPr>
          <w:rFonts w:asciiTheme="minorHAnsi" w:eastAsiaTheme="minorHAnsi" w:hAnsiTheme="minorHAnsi" w:cstheme="minorBidi"/>
          <w:snapToGrid/>
          <w:sz w:val="24"/>
          <w:szCs w:val="22"/>
        </w:rPr>
        <w:t>are suitable for</w:t>
      </w:r>
      <w:r>
        <w:rPr>
          <w:rFonts w:asciiTheme="minorHAnsi" w:eastAsiaTheme="minorHAnsi" w:hAnsiTheme="minorHAnsi" w:cstheme="minorBidi"/>
          <w:snapToGrid/>
          <w:sz w:val="24"/>
          <w:szCs w:val="22"/>
        </w:rPr>
        <w:t xml:space="preserve"> consolidation under a single LI </w:t>
      </w:r>
      <w:r w:rsidR="00193A14">
        <w:rPr>
          <w:rFonts w:asciiTheme="minorHAnsi" w:eastAsiaTheme="minorHAnsi" w:hAnsiTheme="minorHAnsi" w:cstheme="minorBidi"/>
          <w:snapToGrid/>
          <w:sz w:val="24"/>
          <w:szCs w:val="22"/>
        </w:rPr>
        <w:t xml:space="preserve">form </w:t>
      </w:r>
      <w:r>
        <w:rPr>
          <w:rFonts w:asciiTheme="minorHAnsi" w:eastAsiaTheme="minorHAnsi" w:hAnsiTheme="minorHAnsi" w:cstheme="minorBidi"/>
          <w:snapToGrid/>
          <w:sz w:val="24"/>
          <w:szCs w:val="22"/>
        </w:rPr>
        <w:t>name;</w:t>
      </w:r>
      <w:r w:rsidR="006A34C0">
        <w:rPr>
          <w:rFonts w:asciiTheme="minorHAnsi" w:eastAsiaTheme="minorHAnsi" w:hAnsiTheme="minorHAnsi" w:cstheme="minorBidi"/>
          <w:snapToGrid/>
          <w:sz w:val="24"/>
          <w:szCs w:val="22"/>
        </w:rPr>
        <w:t xml:space="preserve"> and</w:t>
      </w:r>
    </w:p>
    <w:p w:rsidR="004051E8" w:rsidRPr="00B90C2F" w:rsidRDefault="004051E8" w:rsidP="00B90C2F">
      <w:pPr>
        <w:pStyle w:val="ListParagraph"/>
        <w:widowControl/>
        <w:numPr>
          <w:ilvl w:val="0"/>
          <w:numId w:val="16"/>
        </w:numPr>
        <w:spacing w:after="120"/>
        <w:ind w:left="993" w:hanging="284"/>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Whether</w:t>
      </w:r>
      <w:r w:rsidR="0062250A">
        <w:rPr>
          <w:rFonts w:asciiTheme="minorHAnsi" w:eastAsiaTheme="minorHAnsi" w:hAnsiTheme="minorHAnsi" w:cstheme="minorBidi"/>
          <w:snapToGrid/>
          <w:sz w:val="24"/>
          <w:szCs w:val="22"/>
        </w:rPr>
        <w:t xml:space="preserve"> the</w:t>
      </w:r>
      <w:r>
        <w:rPr>
          <w:rFonts w:asciiTheme="minorHAnsi" w:eastAsiaTheme="minorHAnsi" w:hAnsiTheme="minorHAnsi" w:cstheme="minorBidi"/>
          <w:snapToGrid/>
          <w:sz w:val="24"/>
          <w:szCs w:val="22"/>
        </w:rPr>
        <w:t xml:space="preserve"> filgrastim </w:t>
      </w:r>
      <w:proofErr w:type="spellStart"/>
      <w:r w:rsidR="00A3068A">
        <w:rPr>
          <w:rFonts w:asciiTheme="minorHAnsi" w:eastAsiaTheme="minorHAnsi" w:hAnsiTheme="minorHAnsi" w:cstheme="minorBidi"/>
          <w:snapToGrid/>
          <w:sz w:val="24"/>
          <w:szCs w:val="22"/>
        </w:rPr>
        <w:t>biosimilars</w:t>
      </w:r>
      <w:proofErr w:type="spellEnd"/>
      <w:r w:rsidR="00A3068A">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brands </w:t>
      </w:r>
      <w:r w:rsidR="00A3068A">
        <w:rPr>
          <w:rFonts w:asciiTheme="minorHAnsi" w:eastAsiaTheme="minorHAnsi" w:hAnsiTheme="minorHAnsi" w:cstheme="minorBidi"/>
          <w:snapToGrid/>
          <w:sz w:val="24"/>
          <w:szCs w:val="22"/>
        </w:rPr>
        <w:t>could be determined to be brand equivalent and thereby</w:t>
      </w:r>
      <w:r>
        <w:rPr>
          <w:rFonts w:asciiTheme="minorHAnsi" w:eastAsiaTheme="minorHAnsi" w:hAnsiTheme="minorHAnsi" w:cstheme="minorBidi"/>
          <w:snapToGrid/>
          <w:sz w:val="24"/>
          <w:szCs w:val="22"/>
        </w:rPr>
        <w:t xml:space="preserve"> suitable for ‘a’ flagging under Section 101(4AACD) of the </w:t>
      </w:r>
      <w:r>
        <w:rPr>
          <w:rFonts w:asciiTheme="minorHAnsi" w:eastAsiaTheme="minorHAnsi" w:hAnsiTheme="minorHAnsi" w:cstheme="minorBidi"/>
          <w:i/>
          <w:snapToGrid/>
          <w:sz w:val="24"/>
          <w:szCs w:val="22"/>
        </w:rPr>
        <w:t>National Health Act 1953</w:t>
      </w:r>
      <w:r>
        <w:rPr>
          <w:rFonts w:asciiTheme="minorHAnsi" w:eastAsiaTheme="minorHAnsi" w:hAnsiTheme="minorHAnsi" w:cstheme="minorBidi"/>
          <w:snapToGrid/>
          <w:sz w:val="24"/>
          <w:szCs w:val="22"/>
        </w:rPr>
        <w:t xml:space="preserve">. The PBAC may wish to request additional advice from the Department regarding evidence supporting </w:t>
      </w:r>
      <w:r w:rsidR="00A3068A">
        <w:rPr>
          <w:rFonts w:asciiTheme="minorHAnsi" w:eastAsiaTheme="minorHAnsi" w:hAnsiTheme="minorHAnsi" w:cstheme="minorBidi"/>
          <w:snapToGrid/>
          <w:sz w:val="24"/>
          <w:szCs w:val="22"/>
        </w:rPr>
        <w:t xml:space="preserve">brand equivalence </w:t>
      </w:r>
      <w:r>
        <w:rPr>
          <w:rFonts w:asciiTheme="minorHAnsi" w:eastAsiaTheme="minorHAnsi" w:hAnsiTheme="minorHAnsi" w:cstheme="minorBidi"/>
          <w:snapToGrid/>
          <w:sz w:val="24"/>
          <w:szCs w:val="22"/>
        </w:rPr>
        <w:t>to be presented at a later meeting.</w:t>
      </w:r>
    </w:p>
    <w:p w:rsidR="00D36F84" w:rsidRDefault="00D36F84" w:rsidP="00D36F84">
      <w:pPr>
        <w:pStyle w:val="PBACHeading1"/>
        <w:spacing w:before="240" w:after="120"/>
        <w:ind w:left="709" w:hanging="709"/>
        <w:rPr>
          <w:rFonts w:asciiTheme="minorHAnsi" w:hAnsiTheme="minorHAnsi"/>
          <w:sz w:val="32"/>
          <w:szCs w:val="32"/>
        </w:rPr>
      </w:pPr>
      <w:r>
        <w:rPr>
          <w:rFonts w:asciiTheme="minorHAnsi" w:hAnsiTheme="minorHAnsi"/>
          <w:sz w:val="32"/>
          <w:szCs w:val="32"/>
        </w:rPr>
        <w:t>Consideration of the Evidence</w:t>
      </w:r>
    </w:p>
    <w:p w:rsidR="00D36F84" w:rsidRPr="00502182" w:rsidRDefault="00D36F84" w:rsidP="00502182">
      <w:pPr>
        <w:pStyle w:val="Heading2"/>
      </w:pPr>
      <w:r w:rsidRPr="00502182">
        <w:t>Sponsor hearing</w:t>
      </w:r>
    </w:p>
    <w:p w:rsidR="00D36F84" w:rsidRPr="00332DB7" w:rsidRDefault="00D36F84" w:rsidP="00D36F84">
      <w:pPr>
        <w:widowControl w:val="0"/>
        <w:numPr>
          <w:ilvl w:val="1"/>
          <w:numId w:val="5"/>
        </w:numPr>
        <w:spacing w:after="120"/>
        <w:jc w:val="both"/>
        <w:rPr>
          <w:rFonts w:asciiTheme="minorHAnsi" w:hAnsiTheme="minorHAnsi" w:cs="Arial"/>
          <w:bCs/>
          <w:snapToGrid w:val="0"/>
        </w:rPr>
      </w:pPr>
      <w:r w:rsidRPr="00332DB7">
        <w:rPr>
          <w:rFonts w:asciiTheme="minorHAnsi" w:hAnsiTheme="minorHAnsi" w:cs="Arial"/>
          <w:bCs/>
          <w:snapToGrid w:val="0"/>
        </w:rPr>
        <w:t>There was no hearing for this item as it was a minor submission.</w:t>
      </w:r>
    </w:p>
    <w:p w:rsidR="00D36F84" w:rsidRPr="00332DB7" w:rsidRDefault="00D36F84" w:rsidP="00502182">
      <w:pPr>
        <w:pStyle w:val="Heading2"/>
      </w:pPr>
      <w:r w:rsidRPr="00332DB7">
        <w:t>Consumer comments</w:t>
      </w:r>
    </w:p>
    <w:p w:rsidR="00B90C2F" w:rsidRPr="00C136D6" w:rsidRDefault="00D36F84" w:rsidP="00B90C2F">
      <w:pPr>
        <w:widowControl w:val="0"/>
        <w:numPr>
          <w:ilvl w:val="1"/>
          <w:numId w:val="5"/>
        </w:numPr>
        <w:spacing w:after="120"/>
        <w:jc w:val="both"/>
        <w:rPr>
          <w:rFonts w:asciiTheme="minorHAnsi" w:hAnsiTheme="minorHAnsi" w:cs="Arial"/>
          <w:bCs/>
          <w:snapToGrid w:val="0"/>
        </w:rPr>
      </w:pPr>
      <w:r w:rsidRPr="00332DB7">
        <w:rPr>
          <w:rFonts w:asciiTheme="minorHAnsi" w:hAnsiTheme="minorHAnsi" w:cs="Arial"/>
          <w:bCs/>
          <w:snapToGrid w:val="0"/>
        </w:rPr>
        <w:t>The PBAC noted that no consumer comments were received for this item.</w:t>
      </w:r>
    </w:p>
    <w:p w:rsidR="00D36F84" w:rsidRPr="00502182" w:rsidRDefault="00D36F84" w:rsidP="00502182">
      <w:pPr>
        <w:pStyle w:val="PBACHeading1"/>
        <w:spacing w:before="240" w:after="120"/>
        <w:ind w:left="709" w:hanging="709"/>
        <w:rPr>
          <w:rFonts w:asciiTheme="minorHAnsi" w:hAnsiTheme="minorHAnsi"/>
          <w:sz w:val="32"/>
          <w:szCs w:val="32"/>
        </w:rPr>
      </w:pPr>
      <w:r w:rsidRPr="00502182">
        <w:rPr>
          <w:rFonts w:asciiTheme="minorHAnsi" w:hAnsiTheme="minorHAnsi"/>
          <w:sz w:val="32"/>
          <w:szCs w:val="32"/>
        </w:rPr>
        <w:t>PBAC Outcome</w:t>
      </w:r>
    </w:p>
    <w:p w:rsidR="00AF2C8A" w:rsidRDefault="00332DB7" w:rsidP="00D36F84">
      <w:pPr>
        <w:widowControl w:val="0"/>
        <w:numPr>
          <w:ilvl w:val="1"/>
          <w:numId w:val="5"/>
        </w:numPr>
        <w:spacing w:after="120"/>
        <w:jc w:val="both"/>
        <w:rPr>
          <w:rFonts w:asciiTheme="minorHAnsi" w:hAnsiTheme="minorHAnsi" w:cs="Arial"/>
          <w:bCs/>
          <w:snapToGrid w:val="0"/>
          <w:lang w:val="en-GB"/>
        </w:rPr>
      </w:pPr>
      <w:r w:rsidRPr="00332DB7">
        <w:rPr>
          <w:rFonts w:asciiTheme="minorHAnsi" w:hAnsiTheme="minorHAnsi" w:cs="Arial"/>
          <w:bCs/>
          <w:snapToGrid w:val="0"/>
          <w:lang w:val="en-GB"/>
        </w:rPr>
        <w:t xml:space="preserve">The PBAC deferred making a recommendation </w:t>
      </w:r>
      <w:r w:rsidR="00AF2C8A">
        <w:rPr>
          <w:rFonts w:asciiTheme="minorHAnsi" w:hAnsiTheme="minorHAnsi" w:cs="Arial"/>
          <w:bCs/>
          <w:snapToGrid w:val="0"/>
          <w:lang w:val="en-GB"/>
        </w:rPr>
        <w:t>on this submission due to seeking</w:t>
      </w:r>
      <w:r w:rsidR="00AF2C8A" w:rsidRPr="00332DB7">
        <w:rPr>
          <w:rFonts w:asciiTheme="minorHAnsi" w:hAnsiTheme="minorHAnsi" w:cs="Arial"/>
          <w:bCs/>
          <w:snapToGrid w:val="0"/>
          <w:lang w:val="en-GB"/>
        </w:rPr>
        <w:t xml:space="preserve"> further information regarding </w:t>
      </w:r>
      <w:r w:rsidR="00AF2C8A">
        <w:rPr>
          <w:rFonts w:asciiTheme="minorHAnsi" w:hAnsiTheme="minorHAnsi" w:cs="Arial"/>
          <w:bCs/>
          <w:snapToGrid w:val="0"/>
          <w:lang w:val="en-GB"/>
        </w:rPr>
        <w:t xml:space="preserve">whether </w:t>
      </w:r>
      <w:r w:rsidR="00AF2C8A" w:rsidRPr="00332DB7">
        <w:rPr>
          <w:rFonts w:asciiTheme="minorHAnsi" w:hAnsiTheme="minorHAnsi" w:cs="Arial"/>
          <w:bCs/>
          <w:snapToGrid w:val="0"/>
          <w:lang w:val="en-GB"/>
        </w:rPr>
        <w:t xml:space="preserve">the </w:t>
      </w:r>
      <w:r w:rsidR="00AF2C8A">
        <w:rPr>
          <w:rFonts w:asciiTheme="minorHAnsi" w:hAnsiTheme="minorHAnsi" w:cs="Arial"/>
          <w:bCs/>
          <w:snapToGrid w:val="0"/>
          <w:lang w:val="en-GB"/>
        </w:rPr>
        <w:t xml:space="preserve">four </w:t>
      </w:r>
      <w:r w:rsidR="00AF2C8A" w:rsidRPr="00332DB7">
        <w:rPr>
          <w:rFonts w:asciiTheme="minorHAnsi" w:hAnsiTheme="minorHAnsi" w:cs="Arial"/>
          <w:bCs/>
          <w:snapToGrid w:val="0"/>
          <w:lang w:val="en-GB"/>
        </w:rPr>
        <w:t xml:space="preserve">filgrastim </w:t>
      </w:r>
      <w:r w:rsidR="00AF2C8A">
        <w:rPr>
          <w:rFonts w:asciiTheme="minorHAnsi" w:hAnsiTheme="minorHAnsi" w:cs="Arial"/>
          <w:bCs/>
          <w:snapToGrid w:val="0"/>
          <w:lang w:val="en-GB"/>
        </w:rPr>
        <w:t xml:space="preserve">brands currently PBS listed could be </w:t>
      </w:r>
      <w:r w:rsidR="00AF2C8A" w:rsidRPr="00332DB7">
        <w:rPr>
          <w:rFonts w:asciiTheme="minorHAnsi" w:hAnsiTheme="minorHAnsi" w:cs="Arial"/>
          <w:bCs/>
          <w:snapToGrid w:val="0"/>
          <w:lang w:val="en-GB"/>
        </w:rPr>
        <w:t>marked as equivalent in the Schedule of Pharmaceutical Benefits (‘a’ flagged), for the purposes of substitution by the pharmacist at the point of dispensing for all circumstances filgrastim is listed for.</w:t>
      </w:r>
    </w:p>
    <w:p w:rsidR="002C0FC6" w:rsidRPr="00B90C2F" w:rsidRDefault="00AF2C8A" w:rsidP="00B90C2F">
      <w:pPr>
        <w:widowControl w:val="0"/>
        <w:numPr>
          <w:ilvl w:val="1"/>
          <w:numId w:val="5"/>
        </w:numPr>
        <w:spacing w:after="120"/>
        <w:jc w:val="both"/>
        <w:rPr>
          <w:rFonts w:asciiTheme="minorHAnsi" w:hAnsiTheme="minorHAnsi" w:cs="Arial"/>
          <w:bCs/>
          <w:snapToGrid w:val="0"/>
          <w:lang w:val="en-GB"/>
        </w:rPr>
      </w:pPr>
      <w:r w:rsidRPr="008E383C">
        <w:rPr>
          <w:rFonts w:asciiTheme="minorHAnsi" w:hAnsiTheme="minorHAnsi" w:cs="Arial"/>
          <w:bCs/>
          <w:snapToGrid w:val="0"/>
          <w:lang w:val="en-GB"/>
        </w:rPr>
        <w:t>The PBAC, in principle, considered that filgrastim is suitable for the application of biosimilar uptake drivers for all biosimilar brands, as outlined in strategic agreements with releva</w:t>
      </w:r>
      <w:r w:rsidR="007A23E0">
        <w:rPr>
          <w:rFonts w:asciiTheme="minorHAnsi" w:hAnsiTheme="minorHAnsi" w:cs="Arial"/>
          <w:bCs/>
          <w:snapToGrid w:val="0"/>
          <w:lang w:val="en-GB"/>
        </w:rPr>
        <w:t xml:space="preserve">nt organisations. </w:t>
      </w:r>
      <w:r w:rsidRPr="008E383C">
        <w:rPr>
          <w:rFonts w:asciiTheme="minorHAnsi" w:hAnsiTheme="minorHAnsi" w:cs="Arial"/>
          <w:bCs/>
          <w:snapToGrid w:val="0"/>
          <w:lang w:val="en-GB"/>
        </w:rPr>
        <w:t>However, the PBAC decided to defer making a recommendation</w:t>
      </w:r>
      <w:r>
        <w:rPr>
          <w:rFonts w:asciiTheme="minorHAnsi" w:hAnsiTheme="minorHAnsi" w:cs="Arial"/>
          <w:bCs/>
          <w:snapToGrid w:val="0"/>
          <w:lang w:val="en-GB"/>
        </w:rPr>
        <w:t xml:space="preserve"> </w:t>
      </w:r>
      <w:r w:rsidR="00332DB7" w:rsidRPr="00AF2C8A">
        <w:rPr>
          <w:rFonts w:asciiTheme="minorHAnsi" w:hAnsiTheme="minorHAnsi" w:cs="Arial"/>
          <w:bCs/>
          <w:snapToGrid w:val="0"/>
          <w:lang w:val="en-GB"/>
        </w:rPr>
        <w:t xml:space="preserve">regarding </w:t>
      </w:r>
      <w:r w:rsidR="00BA0AF0">
        <w:rPr>
          <w:rFonts w:asciiTheme="minorHAnsi" w:hAnsiTheme="minorHAnsi" w:cs="Arial"/>
          <w:bCs/>
          <w:snapToGrid w:val="0"/>
          <w:lang w:val="en-GB"/>
        </w:rPr>
        <w:t xml:space="preserve">application of the biosimilar uptake drivers at this time. </w:t>
      </w:r>
    </w:p>
    <w:p w:rsidR="002C0FC6" w:rsidRPr="00B90C2F" w:rsidRDefault="002C0FC6" w:rsidP="00B90C2F">
      <w:pPr>
        <w:pStyle w:val="ListParagraph"/>
        <w:widowControl/>
        <w:spacing w:after="120"/>
        <w:contextualSpacing w:val="0"/>
        <w:jc w:val="center"/>
        <w:rPr>
          <w:rFonts w:asciiTheme="minorHAnsi" w:eastAsiaTheme="minorHAnsi" w:hAnsiTheme="minorHAnsi" w:cstheme="minorBidi"/>
          <w:b/>
          <w:snapToGrid/>
          <w:sz w:val="24"/>
          <w:szCs w:val="22"/>
        </w:rPr>
      </w:pPr>
      <w:r w:rsidRPr="00B90C2F">
        <w:rPr>
          <w:rFonts w:asciiTheme="minorHAnsi" w:eastAsiaTheme="minorHAnsi" w:hAnsiTheme="minorHAnsi" w:cstheme="minorBidi"/>
          <w:b/>
          <w:snapToGrid/>
          <w:sz w:val="24"/>
          <w:szCs w:val="22"/>
        </w:rPr>
        <w:t>***** Committee in Confidence*****</w:t>
      </w:r>
    </w:p>
    <w:p w:rsidR="00D36F84" w:rsidRPr="00FE3FF2" w:rsidRDefault="00FE3FF2" w:rsidP="00DF4710">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noProof/>
          <w:snapToGrid w:val="0"/>
          <w:color w:val="000000"/>
          <w:highlight w:val="black"/>
          <w:lang w:val="en-GB"/>
        </w:rPr>
        <w:t>'''' ''''''''''''''''' ''''''' '''''''''' '''''''''''''''''' ''''' ''''''''''''''''' '''''''''''' '''''''''' ''''' '''''''''''''''''' '''''''''' ''''''''''''''' '''''''''''' ''' '''''''''''''''''''''''''''''' ''''''</w:t>
      </w:r>
      <w:r>
        <w:rPr>
          <w:noProof/>
          <w:color w:val="000000"/>
          <w:highlight w:val="black"/>
        </w:rPr>
        <w:t xml:space="preserve"> </w:t>
      </w:r>
      <w:r>
        <w:rPr>
          <w:rFonts w:asciiTheme="minorHAnsi" w:hAnsiTheme="minorHAnsi" w:cs="Arial"/>
          <w:bCs/>
          <w:noProof/>
          <w:snapToGrid w:val="0"/>
          <w:color w:val="000000"/>
          <w:highlight w:val="black"/>
          <w:lang w:val="en-GB"/>
        </w:rPr>
        <w:t>''''''''''''' ''''''' ''''''''' '''''''''''''' '''''''''''''' '''''''''''' ''''' ''''''''''''''''''' '''''' '''''''''''''''' '''' ''' ''''''''''''''''''''''' '''''''''''''''''''' '''' '''''''' '''' ''''' '''''''''''''''''''''''' '''' '''''' '''''''' '''''''''''''' '''''''''''''' '''' ''''''''''''''''''' ''''''''''''''''''' ''''''' ''''''''''''' ''' '''''''''''''''''''''''' ''''' '''''''''''''''' '''''''''''' ''''''' ''''''''''' ''''''''''''''''''' '''''' '''''''''''''''''' '''''''''''''''' ''''''' ''''''''''''''''''</w:t>
      </w:r>
    </w:p>
    <w:p w:rsidR="002C0FC6" w:rsidRPr="00B90C2F" w:rsidRDefault="002C0FC6" w:rsidP="00B90C2F">
      <w:pPr>
        <w:pStyle w:val="ListParagraph"/>
        <w:widowControl/>
        <w:spacing w:after="120"/>
        <w:contextualSpacing w:val="0"/>
        <w:jc w:val="center"/>
        <w:rPr>
          <w:rFonts w:asciiTheme="minorHAnsi" w:eastAsiaTheme="minorHAnsi" w:hAnsiTheme="minorHAnsi" w:cstheme="minorBidi"/>
          <w:b/>
          <w:snapToGrid/>
          <w:sz w:val="24"/>
          <w:szCs w:val="22"/>
        </w:rPr>
      </w:pPr>
      <w:r w:rsidRPr="00B90C2F">
        <w:rPr>
          <w:rFonts w:asciiTheme="minorHAnsi" w:eastAsiaTheme="minorHAnsi" w:hAnsiTheme="minorHAnsi" w:cstheme="minorBidi"/>
          <w:b/>
          <w:snapToGrid/>
          <w:sz w:val="24"/>
          <w:szCs w:val="22"/>
        </w:rPr>
        <w:t>***** Committee in Confidence*****</w:t>
      </w:r>
    </w:p>
    <w:p w:rsidR="00D36F84" w:rsidRDefault="00D36F84" w:rsidP="00327831">
      <w:pPr>
        <w:widowControl w:val="0"/>
        <w:numPr>
          <w:ilvl w:val="1"/>
          <w:numId w:val="5"/>
        </w:numPr>
        <w:spacing w:after="120"/>
        <w:jc w:val="both"/>
        <w:rPr>
          <w:rFonts w:asciiTheme="minorHAnsi" w:hAnsiTheme="minorHAnsi" w:cs="Arial"/>
          <w:bCs/>
          <w:snapToGrid w:val="0"/>
          <w:lang w:val="en-GB"/>
        </w:rPr>
      </w:pPr>
      <w:r w:rsidRPr="00327831">
        <w:rPr>
          <w:rFonts w:asciiTheme="minorHAnsi" w:hAnsiTheme="minorHAnsi" w:cs="Arial"/>
          <w:bCs/>
          <w:snapToGrid w:val="0"/>
          <w:lang w:val="en-GB"/>
        </w:rPr>
        <w:t xml:space="preserve">The PBAC </w:t>
      </w:r>
      <w:r w:rsidR="00327831" w:rsidRPr="00327831">
        <w:rPr>
          <w:rFonts w:asciiTheme="minorHAnsi" w:hAnsiTheme="minorHAnsi" w:cs="Arial"/>
          <w:bCs/>
          <w:snapToGrid w:val="0"/>
          <w:lang w:val="en-GB"/>
        </w:rPr>
        <w:t xml:space="preserve">also advised that, in principle, the </w:t>
      </w:r>
      <w:r w:rsidR="00193A14">
        <w:rPr>
          <w:rFonts w:asciiTheme="minorHAnsi" w:hAnsiTheme="minorHAnsi" w:cs="Arial"/>
          <w:bCs/>
          <w:snapToGrid w:val="0"/>
          <w:lang w:val="en-GB"/>
        </w:rPr>
        <w:t>brands</w:t>
      </w:r>
      <w:r w:rsidR="00031143">
        <w:rPr>
          <w:rFonts w:asciiTheme="minorHAnsi" w:hAnsiTheme="minorHAnsi" w:cs="Arial"/>
          <w:bCs/>
          <w:snapToGrid w:val="0"/>
          <w:lang w:val="en-GB"/>
        </w:rPr>
        <w:t xml:space="preserve"> </w:t>
      </w:r>
      <w:r w:rsidR="00327831" w:rsidRPr="00193A14">
        <w:rPr>
          <w:rFonts w:asciiTheme="minorHAnsi" w:hAnsiTheme="minorHAnsi" w:cs="Arial"/>
          <w:bCs/>
          <w:snapToGrid w:val="0"/>
          <w:lang w:val="en-GB"/>
        </w:rPr>
        <w:t xml:space="preserve">of filgrastim </w:t>
      </w:r>
      <w:r w:rsidR="00327831" w:rsidRPr="00327831">
        <w:rPr>
          <w:rFonts w:asciiTheme="minorHAnsi" w:hAnsiTheme="minorHAnsi" w:cs="Arial"/>
          <w:bCs/>
          <w:snapToGrid w:val="0"/>
          <w:lang w:val="en-GB"/>
        </w:rPr>
        <w:t>should be consolidated</w:t>
      </w:r>
      <w:r w:rsidR="00193A14">
        <w:rPr>
          <w:rFonts w:asciiTheme="minorHAnsi" w:hAnsiTheme="minorHAnsi" w:cs="Arial"/>
          <w:bCs/>
          <w:snapToGrid w:val="0"/>
          <w:lang w:val="en-GB"/>
        </w:rPr>
        <w:t xml:space="preserve"> under the relevant legislative instrument (LI) form by</w:t>
      </w:r>
      <w:r w:rsidR="00031143">
        <w:rPr>
          <w:rFonts w:asciiTheme="minorHAnsi" w:hAnsiTheme="minorHAnsi" w:cs="Arial"/>
          <w:bCs/>
          <w:snapToGrid w:val="0"/>
          <w:lang w:val="en-GB"/>
        </w:rPr>
        <w:t xml:space="preserve"> </w:t>
      </w:r>
      <w:r w:rsidR="00327831" w:rsidRPr="00327831">
        <w:rPr>
          <w:rFonts w:asciiTheme="minorHAnsi" w:hAnsiTheme="minorHAnsi" w:cs="Arial"/>
          <w:bCs/>
          <w:snapToGrid w:val="0"/>
          <w:lang w:val="en-GB"/>
        </w:rPr>
        <w:t>remov</w:t>
      </w:r>
      <w:r w:rsidR="00193A14">
        <w:rPr>
          <w:rFonts w:asciiTheme="minorHAnsi" w:hAnsiTheme="minorHAnsi" w:cs="Arial"/>
          <w:bCs/>
          <w:snapToGrid w:val="0"/>
          <w:lang w:val="en-GB"/>
        </w:rPr>
        <w:t>ing</w:t>
      </w:r>
      <w:r w:rsidR="00327831" w:rsidRPr="00327831">
        <w:rPr>
          <w:rFonts w:asciiTheme="minorHAnsi" w:hAnsiTheme="minorHAnsi" w:cs="Arial"/>
          <w:bCs/>
          <w:snapToGrid w:val="0"/>
          <w:lang w:val="en-GB"/>
        </w:rPr>
        <w:t xml:space="preserve"> </w:t>
      </w:r>
      <w:r w:rsidR="00193A14">
        <w:rPr>
          <w:rFonts w:asciiTheme="minorHAnsi" w:hAnsiTheme="minorHAnsi" w:cs="Arial"/>
          <w:bCs/>
          <w:snapToGrid w:val="0"/>
          <w:lang w:val="en-GB"/>
        </w:rPr>
        <w:t>the</w:t>
      </w:r>
      <w:r w:rsidR="00327831" w:rsidRPr="00327831">
        <w:rPr>
          <w:rFonts w:asciiTheme="minorHAnsi" w:hAnsiTheme="minorHAnsi" w:cs="Arial"/>
          <w:bCs/>
          <w:snapToGrid w:val="0"/>
          <w:lang w:val="en-GB"/>
        </w:rPr>
        <w:t xml:space="preserve"> </w:t>
      </w:r>
      <w:r w:rsidR="00327831" w:rsidRPr="00327831">
        <w:rPr>
          <w:rFonts w:asciiTheme="minorHAnsi" w:hAnsiTheme="minorHAnsi" w:cs="Arial"/>
          <w:bCs/>
          <w:snapToGrid w:val="0"/>
          <w:lang w:val="en-GB"/>
        </w:rPr>
        <w:lastRenderedPageBreak/>
        <w:t>brand name</w:t>
      </w:r>
      <w:r w:rsidR="00193A14">
        <w:rPr>
          <w:rFonts w:asciiTheme="minorHAnsi" w:hAnsiTheme="minorHAnsi" w:cs="Arial"/>
          <w:bCs/>
          <w:snapToGrid w:val="0"/>
          <w:lang w:val="en-GB"/>
        </w:rPr>
        <w:t>s</w:t>
      </w:r>
      <w:r w:rsidR="00327831" w:rsidRPr="00327831">
        <w:rPr>
          <w:rFonts w:asciiTheme="minorHAnsi" w:hAnsiTheme="minorHAnsi" w:cs="Arial"/>
          <w:bCs/>
          <w:snapToGrid w:val="0"/>
          <w:lang w:val="en-GB"/>
        </w:rPr>
        <w:t xml:space="preserve"> </w:t>
      </w:r>
      <w:r w:rsidR="00193A14">
        <w:rPr>
          <w:rFonts w:asciiTheme="minorHAnsi" w:hAnsiTheme="minorHAnsi" w:cs="Arial"/>
          <w:bCs/>
          <w:snapToGrid w:val="0"/>
          <w:lang w:val="en-GB"/>
        </w:rPr>
        <w:t>that are included as part of the current LI form descriptions</w:t>
      </w:r>
      <w:r w:rsidR="00327831" w:rsidRPr="00327831">
        <w:rPr>
          <w:rFonts w:asciiTheme="minorHAnsi" w:hAnsiTheme="minorHAnsi" w:cs="Arial"/>
          <w:bCs/>
          <w:snapToGrid w:val="0"/>
          <w:lang w:val="en-GB"/>
        </w:rPr>
        <w:t xml:space="preserve">. The PBAC noted it had originally recommended filgrastim </w:t>
      </w:r>
      <w:proofErr w:type="spellStart"/>
      <w:r w:rsidR="00327831" w:rsidRPr="00327831">
        <w:rPr>
          <w:rFonts w:asciiTheme="minorHAnsi" w:hAnsiTheme="minorHAnsi" w:cs="Arial"/>
          <w:bCs/>
          <w:snapToGrid w:val="0"/>
          <w:lang w:val="en-GB"/>
        </w:rPr>
        <w:t>biosimilars</w:t>
      </w:r>
      <w:proofErr w:type="spellEnd"/>
      <w:r w:rsidR="00327831" w:rsidRPr="00327831">
        <w:rPr>
          <w:rFonts w:asciiTheme="minorHAnsi" w:hAnsiTheme="minorHAnsi" w:cs="Arial"/>
          <w:bCs/>
          <w:snapToGrid w:val="0"/>
          <w:lang w:val="en-GB"/>
        </w:rPr>
        <w:t xml:space="preserve"> under </w:t>
      </w:r>
      <w:r w:rsidR="00B7433A">
        <w:rPr>
          <w:rFonts w:asciiTheme="minorHAnsi" w:hAnsiTheme="minorHAnsi" w:cs="Arial"/>
          <w:bCs/>
          <w:snapToGrid w:val="0"/>
          <w:lang w:val="en-GB"/>
        </w:rPr>
        <w:t xml:space="preserve">a </w:t>
      </w:r>
      <w:proofErr w:type="spellStart"/>
      <w:r w:rsidR="00B7433A">
        <w:rPr>
          <w:rFonts w:asciiTheme="minorHAnsi" w:hAnsiTheme="minorHAnsi" w:cs="Arial"/>
          <w:bCs/>
          <w:snapToGrid w:val="0"/>
          <w:lang w:val="en-GB"/>
        </w:rPr>
        <w:t>superceded</w:t>
      </w:r>
      <w:proofErr w:type="spellEnd"/>
      <w:r w:rsidR="00327831" w:rsidRPr="00327831">
        <w:rPr>
          <w:rFonts w:asciiTheme="minorHAnsi" w:hAnsiTheme="minorHAnsi" w:cs="Arial"/>
          <w:bCs/>
          <w:snapToGrid w:val="0"/>
          <w:lang w:val="en-GB"/>
        </w:rPr>
        <w:t xml:space="preserve"> framework for the consideration of </w:t>
      </w:r>
      <w:proofErr w:type="spellStart"/>
      <w:r w:rsidR="00327831" w:rsidRPr="00327831">
        <w:rPr>
          <w:rFonts w:asciiTheme="minorHAnsi" w:hAnsiTheme="minorHAnsi" w:cs="Arial"/>
          <w:bCs/>
          <w:snapToGrid w:val="0"/>
          <w:lang w:val="en-GB"/>
        </w:rPr>
        <w:t>biosimilars</w:t>
      </w:r>
      <w:proofErr w:type="spellEnd"/>
      <w:r w:rsidR="00327831" w:rsidRPr="00327831">
        <w:rPr>
          <w:rFonts w:asciiTheme="minorHAnsi" w:hAnsiTheme="minorHAnsi" w:cs="Arial"/>
          <w:bCs/>
          <w:snapToGrid w:val="0"/>
          <w:lang w:val="en-GB"/>
        </w:rPr>
        <w:t xml:space="preserve">. The PBAC considered that given the duration of experience with the use of filgrastim </w:t>
      </w:r>
      <w:proofErr w:type="spellStart"/>
      <w:r w:rsidR="00327831" w:rsidRPr="00327831">
        <w:rPr>
          <w:rFonts w:asciiTheme="minorHAnsi" w:hAnsiTheme="minorHAnsi" w:cs="Arial"/>
          <w:bCs/>
          <w:snapToGrid w:val="0"/>
          <w:lang w:val="en-GB"/>
        </w:rPr>
        <w:t>biosimilars</w:t>
      </w:r>
      <w:proofErr w:type="spellEnd"/>
      <w:r w:rsidR="00327831" w:rsidRPr="00327831">
        <w:rPr>
          <w:rFonts w:asciiTheme="minorHAnsi" w:hAnsiTheme="minorHAnsi" w:cs="Arial"/>
          <w:bCs/>
          <w:snapToGrid w:val="0"/>
          <w:lang w:val="en-GB"/>
        </w:rPr>
        <w:t xml:space="preserve"> in practice, and no </w:t>
      </w:r>
      <w:r w:rsidR="00B7433A">
        <w:rPr>
          <w:rFonts w:asciiTheme="minorHAnsi" w:hAnsiTheme="minorHAnsi" w:cs="Arial"/>
          <w:bCs/>
          <w:snapToGrid w:val="0"/>
          <w:lang w:val="en-GB"/>
        </w:rPr>
        <w:t>signals</w:t>
      </w:r>
      <w:r w:rsidR="00B7433A" w:rsidRPr="00327831">
        <w:rPr>
          <w:rFonts w:asciiTheme="minorHAnsi" w:hAnsiTheme="minorHAnsi" w:cs="Arial"/>
          <w:bCs/>
          <w:snapToGrid w:val="0"/>
          <w:lang w:val="en-GB"/>
        </w:rPr>
        <w:t xml:space="preserve"> </w:t>
      </w:r>
      <w:r w:rsidR="00327831" w:rsidRPr="00327831">
        <w:rPr>
          <w:rFonts w:asciiTheme="minorHAnsi" w:hAnsiTheme="minorHAnsi" w:cs="Arial"/>
          <w:bCs/>
          <w:snapToGrid w:val="0"/>
          <w:lang w:val="en-GB"/>
        </w:rPr>
        <w:t>of significant issues relating to their efficacy or safety in practice, it would be appropriate to consolidate the</w:t>
      </w:r>
      <w:r w:rsidR="00193A14">
        <w:rPr>
          <w:rFonts w:asciiTheme="minorHAnsi" w:hAnsiTheme="minorHAnsi" w:cs="Arial"/>
          <w:bCs/>
          <w:snapToGrid w:val="0"/>
          <w:lang w:val="en-GB"/>
        </w:rPr>
        <w:t xml:space="preserve"> brand</w:t>
      </w:r>
      <w:r w:rsidR="00327831" w:rsidRPr="00327831">
        <w:rPr>
          <w:rFonts w:asciiTheme="minorHAnsi" w:hAnsiTheme="minorHAnsi" w:cs="Arial"/>
          <w:bCs/>
          <w:snapToGrid w:val="0"/>
          <w:lang w:val="en-GB"/>
        </w:rPr>
        <w:t xml:space="preserve"> under</w:t>
      </w:r>
      <w:r w:rsidR="00193A14">
        <w:rPr>
          <w:rFonts w:asciiTheme="minorHAnsi" w:hAnsiTheme="minorHAnsi" w:cs="Arial"/>
          <w:bCs/>
          <w:snapToGrid w:val="0"/>
          <w:lang w:val="en-GB"/>
        </w:rPr>
        <w:t xml:space="preserve"> their relevant</w:t>
      </w:r>
      <w:r w:rsidR="00327831" w:rsidRPr="00327831">
        <w:rPr>
          <w:rFonts w:asciiTheme="minorHAnsi" w:hAnsiTheme="minorHAnsi" w:cs="Arial"/>
          <w:bCs/>
          <w:snapToGrid w:val="0"/>
          <w:lang w:val="en-GB"/>
        </w:rPr>
        <w:t xml:space="preserve"> LI forms</w:t>
      </w:r>
      <w:r w:rsidR="00C136D6">
        <w:rPr>
          <w:rFonts w:asciiTheme="minorHAnsi" w:hAnsiTheme="minorHAnsi" w:cs="Arial"/>
          <w:bCs/>
          <w:snapToGrid w:val="0"/>
          <w:lang w:val="en-GB"/>
        </w:rPr>
        <w:t xml:space="preserve"> (i.e.</w:t>
      </w:r>
      <w:r w:rsidR="00193A14">
        <w:rPr>
          <w:rFonts w:asciiTheme="minorHAnsi" w:hAnsiTheme="minorHAnsi" w:cs="Arial"/>
          <w:bCs/>
          <w:snapToGrid w:val="0"/>
          <w:lang w:val="en-GB"/>
        </w:rPr>
        <w:t xml:space="preserve"> consolidate brands for each relevant form/strength)</w:t>
      </w:r>
      <w:r w:rsidR="00327831" w:rsidRPr="00327831">
        <w:rPr>
          <w:rFonts w:asciiTheme="minorHAnsi" w:hAnsiTheme="minorHAnsi" w:cs="Arial"/>
          <w:bCs/>
          <w:snapToGrid w:val="0"/>
          <w:lang w:val="en-GB"/>
        </w:rPr>
        <w:t>.</w:t>
      </w:r>
      <w:r w:rsidR="00327831">
        <w:rPr>
          <w:rFonts w:asciiTheme="minorHAnsi" w:hAnsiTheme="minorHAnsi" w:cs="Arial"/>
          <w:bCs/>
          <w:snapToGrid w:val="0"/>
          <w:lang w:val="en-GB"/>
        </w:rPr>
        <w:t xml:space="preserve"> The PBAC also noted the TGA had recently updated its guidance with regard to the nomenclature of biological medicines, which supported retaining the existing naming </w:t>
      </w:r>
      <w:r w:rsidR="00327831" w:rsidRPr="00327831">
        <w:rPr>
          <w:rFonts w:asciiTheme="minorHAnsi" w:hAnsiTheme="minorHAnsi" w:cs="Arial"/>
          <w:bCs/>
          <w:snapToGrid w:val="0"/>
          <w:lang w:val="en-GB"/>
        </w:rPr>
        <w:t>for biological medicines, i.e. that the Australian biological name (without a specific identifier suffix)</w:t>
      </w:r>
      <w:r w:rsidR="00327831">
        <w:rPr>
          <w:rFonts w:asciiTheme="minorHAnsi" w:hAnsiTheme="minorHAnsi" w:cs="Arial"/>
          <w:bCs/>
          <w:snapToGrid w:val="0"/>
          <w:lang w:val="en-GB"/>
        </w:rPr>
        <w:t xml:space="preserve"> should continue,</w:t>
      </w:r>
      <w:r w:rsidR="00414525">
        <w:rPr>
          <w:rFonts w:asciiTheme="minorHAnsi" w:hAnsiTheme="minorHAnsi" w:cs="Arial"/>
          <w:bCs/>
          <w:snapToGrid w:val="0"/>
          <w:lang w:val="en-GB"/>
        </w:rPr>
        <w:t xml:space="preserve"> an approach</w:t>
      </w:r>
      <w:r w:rsidR="00327831">
        <w:rPr>
          <w:rFonts w:asciiTheme="minorHAnsi" w:hAnsiTheme="minorHAnsi" w:cs="Arial"/>
          <w:bCs/>
          <w:snapToGrid w:val="0"/>
          <w:lang w:val="en-GB"/>
        </w:rPr>
        <w:t xml:space="preserve"> which supported consolidating the listing names of </w:t>
      </w:r>
      <w:r w:rsidR="00B7433A">
        <w:rPr>
          <w:rFonts w:asciiTheme="minorHAnsi" w:hAnsiTheme="minorHAnsi" w:cs="Arial"/>
          <w:bCs/>
          <w:snapToGrid w:val="0"/>
          <w:lang w:val="en-GB"/>
        </w:rPr>
        <w:t xml:space="preserve">the </w:t>
      </w:r>
      <w:r w:rsidR="00327831">
        <w:rPr>
          <w:rFonts w:asciiTheme="minorHAnsi" w:hAnsiTheme="minorHAnsi" w:cs="Arial"/>
          <w:bCs/>
          <w:snapToGrid w:val="0"/>
          <w:lang w:val="en-GB"/>
        </w:rPr>
        <w:t>filgrastim</w:t>
      </w:r>
      <w:r w:rsidR="00B7433A">
        <w:rPr>
          <w:rFonts w:asciiTheme="minorHAnsi" w:hAnsiTheme="minorHAnsi" w:cs="Arial"/>
          <w:bCs/>
          <w:snapToGrid w:val="0"/>
          <w:lang w:val="en-GB"/>
        </w:rPr>
        <w:t xml:space="preserve"> brands</w:t>
      </w:r>
      <w:r w:rsidR="00327831">
        <w:rPr>
          <w:rFonts w:asciiTheme="minorHAnsi" w:hAnsiTheme="minorHAnsi" w:cs="Arial"/>
          <w:bCs/>
          <w:snapToGrid w:val="0"/>
          <w:lang w:val="en-GB"/>
        </w:rPr>
        <w:t>.</w:t>
      </w:r>
    </w:p>
    <w:p w:rsidR="00DF4710" w:rsidRPr="00DF4710" w:rsidRDefault="00DF4710" w:rsidP="00327831">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requested the Department prepare a summary of evidence regarding the suitability of </w:t>
      </w:r>
      <w:r w:rsidR="00AE3244">
        <w:rPr>
          <w:rFonts w:asciiTheme="minorHAnsi" w:hAnsiTheme="minorHAnsi" w:cs="Arial"/>
          <w:bCs/>
          <w:snapToGrid w:val="0"/>
          <w:lang w:val="en-GB"/>
        </w:rPr>
        <w:t>filgrastim brands</w:t>
      </w:r>
      <w:r>
        <w:rPr>
          <w:rFonts w:asciiTheme="minorHAnsi" w:hAnsiTheme="minorHAnsi" w:cs="Arial"/>
          <w:bCs/>
          <w:snapToGrid w:val="0"/>
          <w:lang w:val="en-GB"/>
        </w:rPr>
        <w:t xml:space="preserve"> to be marked as equivalent (‘a’ flagged) in </w:t>
      </w:r>
      <w:r w:rsidRPr="00DF4710">
        <w:rPr>
          <w:rFonts w:asciiTheme="minorHAnsi" w:hAnsiTheme="minorHAnsi" w:cs="Arial"/>
          <w:bCs/>
          <w:snapToGrid w:val="0"/>
          <w:lang w:val="en-GB"/>
        </w:rPr>
        <w:t>the Schedule of Pharmaceutical Benefits to be considered at a later meeting.</w:t>
      </w:r>
    </w:p>
    <w:p w:rsidR="00DF4710" w:rsidRPr="00DF4710" w:rsidRDefault="00D36F84" w:rsidP="00DF4710">
      <w:pPr>
        <w:widowControl w:val="0"/>
        <w:numPr>
          <w:ilvl w:val="1"/>
          <w:numId w:val="5"/>
        </w:numPr>
        <w:spacing w:after="120"/>
        <w:jc w:val="both"/>
        <w:rPr>
          <w:rFonts w:asciiTheme="minorHAnsi" w:hAnsiTheme="minorHAnsi" w:cs="Arial"/>
          <w:bCs/>
          <w:snapToGrid w:val="0"/>
          <w:lang w:val="en-GB"/>
        </w:rPr>
      </w:pPr>
      <w:r w:rsidRPr="00DF4710">
        <w:rPr>
          <w:rFonts w:asciiTheme="minorHAnsi" w:hAnsiTheme="minorHAnsi" w:cs="Arial"/>
          <w:bCs/>
          <w:snapToGrid w:val="0"/>
          <w:lang w:val="en-GB"/>
        </w:rPr>
        <w:t>The PBA</w:t>
      </w:r>
      <w:r w:rsidR="00DF4710" w:rsidRPr="00DF4710">
        <w:rPr>
          <w:rFonts w:asciiTheme="minorHAnsi" w:hAnsiTheme="minorHAnsi" w:cs="Arial"/>
          <w:bCs/>
          <w:snapToGrid w:val="0"/>
          <w:lang w:val="en-GB"/>
        </w:rPr>
        <w:t xml:space="preserve">C noted that this submission </w:t>
      </w:r>
      <w:r w:rsidRPr="00DF4710">
        <w:rPr>
          <w:rFonts w:asciiTheme="minorHAnsi" w:hAnsiTheme="minorHAnsi" w:cs="Arial"/>
          <w:bCs/>
          <w:snapToGrid w:val="0"/>
          <w:lang w:val="en-GB"/>
        </w:rPr>
        <w:t>is not eligible for an Independent Review</w:t>
      </w:r>
      <w:r w:rsidR="00DF4710" w:rsidRPr="00DF4710">
        <w:rPr>
          <w:rFonts w:asciiTheme="minorHAnsi" w:hAnsiTheme="minorHAnsi" w:cs="Arial"/>
          <w:bCs/>
          <w:snapToGrid w:val="0"/>
          <w:lang w:val="en-GB"/>
        </w:rPr>
        <w:t xml:space="preserve"> as Independent Review is not available in response to a request to modify or extend an existing listing</w:t>
      </w:r>
      <w:r w:rsidR="00834372">
        <w:rPr>
          <w:rFonts w:asciiTheme="minorHAnsi" w:hAnsiTheme="minorHAnsi" w:cs="Arial"/>
          <w:bCs/>
          <w:snapToGrid w:val="0"/>
          <w:lang w:val="en-GB"/>
        </w:rPr>
        <w:t>.</w:t>
      </w:r>
    </w:p>
    <w:p w:rsidR="00D36F84" w:rsidRDefault="00D36F84" w:rsidP="00CE5800">
      <w:pPr>
        <w:widowControl w:val="0"/>
        <w:spacing w:after="120"/>
        <w:jc w:val="both"/>
        <w:outlineLvl w:val="1"/>
        <w:rPr>
          <w:rFonts w:asciiTheme="minorHAnsi" w:hAnsiTheme="minorHAnsi" w:cs="Arial"/>
          <w:bCs/>
          <w:snapToGrid w:val="0"/>
          <w:lang w:val="en-GB"/>
        </w:rPr>
      </w:pPr>
      <w:r w:rsidRPr="00502182">
        <w:rPr>
          <w:rFonts w:asciiTheme="minorHAnsi" w:hAnsiTheme="minorHAnsi"/>
          <w:b/>
        </w:rPr>
        <w:t>Outcome</w:t>
      </w:r>
      <w:proofErr w:type="gramStart"/>
      <w:r w:rsidRPr="00502182">
        <w:rPr>
          <w:rFonts w:asciiTheme="minorHAnsi" w:hAnsiTheme="minorHAnsi"/>
          <w:b/>
        </w:rPr>
        <w:t>:</w:t>
      </w:r>
      <w:proofErr w:type="gramEnd"/>
      <w:r w:rsidR="00DF4710" w:rsidRPr="00502182">
        <w:rPr>
          <w:rFonts w:asciiTheme="minorHAnsi" w:hAnsiTheme="minorHAnsi"/>
          <w:b/>
        </w:rPr>
        <w:br/>
      </w:r>
      <w:r w:rsidRPr="00DF4710">
        <w:rPr>
          <w:rFonts w:asciiTheme="minorHAnsi" w:hAnsiTheme="minorHAnsi" w:cs="Arial"/>
          <w:bCs/>
          <w:snapToGrid w:val="0"/>
          <w:lang w:val="en-GB"/>
        </w:rPr>
        <w:t>Deferre</w:t>
      </w:r>
      <w:r w:rsidR="00CE5800">
        <w:rPr>
          <w:rFonts w:asciiTheme="minorHAnsi" w:hAnsiTheme="minorHAnsi" w:cs="Arial"/>
          <w:bCs/>
          <w:snapToGrid w:val="0"/>
          <w:lang w:val="en-GB"/>
        </w:rPr>
        <w:t>d</w:t>
      </w:r>
    </w:p>
    <w:p w:rsidR="002608C2" w:rsidRPr="00502182" w:rsidRDefault="002608C2" w:rsidP="00502182">
      <w:pPr>
        <w:pStyle w:val="PBACHeading1"/>
        <w:spacing w:before="120" w:after="120"/>
        <w:rPr>
          <w:rFonts w:asciiTheme="minorHAnsi" w:hAnsiTheme="minorHAnsi"/>
          <w:sz w:val="32"/>
          <w:szCs w:val="32"/>
        </w:rPr>
      </w:pPr>
      <w:r w:rsidRPr="00502182">
        <w:rPr>
          <w:rFonts w:asciiTheme="minorHAnsi" w:hAnsiTheme="minorHAnsi"/>
          <w:bCs/>
          <w:sz w:val="32"/>
          <w:szCs w:val="32"/>
        </w:rPr>
        <w:t>Context</w:t>
      </w:r>
      <w:r w:rsidRPr="00502182">
        <w:rPr>
          <w:rFonts w:asciiTheme="minorHAnsi" w:hAnsiTheme="minorHAnsi"/>
          <w:sz w:val="32"/>
          <w:szCs w:val="32"/>
        </w:rPr>
        <w:t xml:space="preserve"> for Decision</w:t>
      </w:r>
    </w:p>
    <w:p w:rsidR="002608C2" w:rsidRPr="00C07617" w:rsidRDefault="002608C2" w:rsidP="002608C2">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608C2" w:rsidRPr="00502182" w:rsidRDefault="002608C2" w:rsidP="00502182">
      <w:pPr>
        <w:pStyle w:val="PBACHeading1"/>
        <w:keepNext/>
        <w:spacing w:before="120" w:after="120"/>
        <w:rPr>
          <w:rFonts w:asciiTheme="minorHAnsi" w:hAnsiTheme="minorHAnsi"/>
          <w:sz w:val="32"/>
          <w:szCs w:val="32"/>
        </w:rPr>
      </w:pPr>
      <w:r w:rsidRPr="00502182">
        <w:rPr>
          <w:rFonts w:asciiTheme="minorHAnsi" w:hAnsiTheme="minorHAnsi"/>
          <w:sz w:val="32"/>
          <w:szCs w:val="32"/>
        </w:rPr>
        <w:t>Sponsor’s Comment</w:t>
      </w:r>
    </w:p>
    <w:p w:rsidR="00D31E5D" w:rsidRPr="007A23E0" w:rsidRDefault="002608C2" w:rsidP="007A23E0">
      <w:pPr>
        <w:widowControl w:val="0"/>
        <w:jc w:val="both"/>
        <w:rPr>
          <w:rFonts w:asciiTheme="minorHAnsi" w:hAnsiTheme="minorHAnsi" w:cs="Arial"/>
          <w:bCs/>
          <w:snapToGrid w:val="0"/>
        </w:rPr>
      </w:pPr>
      <w:r w:rsidRPr="0051693A">
        <w:rPr>
          <w:rFonts w:asciiTheme="minorHAnsi" w:hAnsiTheme="minorHAnsi" w:cs="Arial"/>
          <w:bCs/>
          <w:snapToGrid w:val="0"/>
        </w:rPr>
        <w:t>The sponsor had no comment.</w:t>
      </w:r>
    </w:p>
    <w:p w:rsidR="00D31E5D" w:rsidRDefault="00D31E5D">
      <w:pPr>
        <w:rPr>
          <w:rFonts w:asciiTheme="minorHAnsi" w:hAnsiTheme="minorHAnsi"/>
          <w:b/>
          <w:color w:val="FF0000"/>
          <w:sz w:val="28"/>
          <w:szCs w:val="28"/>
        </w:rPr>
      </w:pPr>
      <w:r>
        <w:rPr>
          <w:rFonts w:asciiTheme="minorHAnsi" w:hAnsiTheme="minorHAnsi"/>
          <w:b/>
          <w:color w:val="FF0000"/>
          <w:sz w:val="28"/>
          <w:szCs w:val="28"/>
        </w:rPr>
        <w:br w:type="page"/>
      </w:r>
    </w:p>
    <w:p w:rsidR="00D31E5D" w:rsidRDefault="00D31E5D" w:rsidP="00D31E5D">
      <w:pPr>
        <w:outlineLvl w:val="0"/>
        <w:rPr>
          <w:rFonts w:asciiTheme="minorHAnsi" w:hAnsiTheme="minorHAnsi" w:cstheme="minorHAnsi"/>
          <w:b/>
          <w:color w:val="FF0000"/>
          <w:szCs w:val="28"/>
        </w:rPr>
      </w:pPr>
      <w:r w:rsidRPr="00D31E5D">
        <w:rPr>
          <w:rFonts w:asciiTheme="minorHAnsi" w:hAnsiTheme="minorHAnsi" w:cstheme="minorHAnsi"/>
          <w:b/>
          <w:color w:val="FF0000"/>
          <w:szCs w:val="28"/>
        </w:rPr>
        <w:lastRenderedPageBreak/>
        <w:t>Addendum to the March 2018 PBAC Minutes:</w:t>
      </w:r>
    </w:p>
    <w:p w:rsidR="00D31E5D" w:rsidRPr="00D31E5D" w:rsidRDefault="00D31E5D" w:rsidP="00D31E5D"/>
    <w:p w:rsidR="00D31E5D" w:rsidRPr="00D31E5D" w:rsidRDefault="00D31E5D" w:rsidP="00D31E5D">
      <w:pPr>
        <w:spacing w:before="120" w:after="160"/>
        <w:ind w:left="720" w:hanging="720"/>
        <w:contextualSpacing/>
        <w:outlineLvl w:val="0"/>
        <w:rPr>
          <w:rFonts w:asciiTheme="minorHAnsi" w:eastAsiaTheme="majorEastAsia" w:hAnsiTheme="minorHAnsi" w:cstheme="majorBidi"/>
          <w:b/>
          <w:spacing w:val="5"/>
          <w:kern w:val="28"/>
          <w:sz w:val="36"/>
          <w:szCs w:val="36"/>
        </w:rPr>
      </w:pPr>
      <w:r w:rsidRPr="00D31E5D">
        <w:rPr>
          <w:rFonts w:asciiTheme="minorHAnsi" w:eastAsiaTheme="majorEastAsia" w:hAnsiTheme="minorHAnsi" w:cstheme="majorBidi"/>
          <w:b/>
          <w:spacing w:val="5"/>
          <w:kern w:val="28"/>
          <w:sz w:val="36"/>
          <w:szCs w:val="36"/>
        </w:rPr>
        <w:t>13</w:t>
      </w:r>
      <w:r w:rsidRPr="00D31E5D">
        <w:rPr>
          <w:rFonts w:asciiTheme="minorHAnsi" w:eastAsiaTheme="majorEastAsia" w:hAnsiTheme="minorHAnsi" w:cstheme="majorBidi"/>
          <w:b/>
          <w:spacing w:val="5"/>
          <w:kern w:val="28"/>
          <w:sz w:val="36"/>
          <w:szCs w:val="36"/>
        </w:rPr>
        <w:tab/>
        <w:t xml:space="preserve">FILGRASTIM </w:t>
      </w:r>
      <w:r w:rsidRPr="00D31E5D">
        <w:rPr>
          <w:rFonts w:asciiTheme="minorHAnsi" w:eastAsiaTheme="majorEastAsia" w:hAnsiTheme="minorHAnsi" w:cstheme="majorBidi"/>
          <w:b/>
          <w:spacing w:val="5"/>
          <w:kern w:val="28"/>
          <w:sz w:val="36"/>
          <w:szCs w:val="36"/>
        </w:rPr>
        <w:br/>
        <w:t>Injection 120 micrograms in 0.2 mL single use pre</w:t>
      </w:r>
      <w:r w:rsidRPr="00D31E5D">
        <w:rPr>
          <w:rFonts w:asciiTheme="minorHAnsi" w:eastAsia="MS Mincho" w:hAnsiTheme="minorHAnsi" w:cs="MS Mincho" w:hint="eastAsia"/>
          <w:b/>
          <w:spacing w:val="5"/>
          <w:kern w:val="28"/>
          <w:sz w:val="36"/>
          <w:szCs w:val="36"/>
        </w:rPr>
        <w:t>‑</w:t>
      </w:r>
      <w:r w:rsidRPr="00D31E5D">
        <w:rPr>
          <w:rFonts w:asciiTheme="minorHAnsi" w:eastAsiaTheme="majorEastAsia" w:hAnsiTheme="minorHAnsi" w:cstheme="majorBidi"/>
          <w:b/>
          <w:spacing w:val="5"/>
          <w:kern w:val="28"/>
          <w:sz w:val="36"/>
          <w:szCs w:val="36"/>
        </w:rPr>
        <w:t>filled syringe,</w:t>
      </w:r>
      <w:r w:rsidRPr="00D31E5D">
        <w:rPr>
          <w:rFonts w:asciiTheme="minorHAnsi" w:eastAsiaTheme="majorEastAsia" w:hAnsiTheme="minorHAnsi" w:cstheme="majorBidi"/>
          <w:b/>
          <w:spacing w:val="5"/>
          <w:kern w:val="28"/>
          <w:sz w:val="36"/>
          <w:szCs w:val="36"/>
        </w:rPr>
        <w:br/>
        <w:t>Injection 300 micrograms in 0.5 mL single use pre</w:t>
      </w:r>
      <w:r w:rsidRPr="00D31E5D">
        <w:rPr>
          <w:rFonts w:ascii="MS Gothic" w:eastAsia="MS Gothic" w:hAnsi="MS Gothic" w:cs="MS Gothic" w:hint="eastAsia"/>
          <w:b/>
          <w:spacing w:val="5"/>
          <w:kern w:val="28"/>
          <w:sz w:val="36"/>
          <w:szCs w:val="36"/>
        </w:rPr>
        <w:t>‑</w:t>
      </w:r>
      <w:r w:rsidRPr="00D31E5D">
        <w:rPr>
          <w:rFonts w:asciiTheme="minorHAnsi" w:eastAsiaTheme="majorEastAsia" w:hAnsiTheme="minorHAnsi" w:cstheme="majorBidi"/>
          <w:b/>
          <w:spacing w:val="5"/>
          <w:kern w:val="28"/>
          <w:sz w:val="36"/>
          <w:szCs w:val="36"/>
        </w:rPr>
        <w:t>filled syringe,</w:t>
      </w:r>
      <w:r w:rsidRPr="00D31E5D">
        <w:rPr>
          <w:rFonts w:asciiTheme="minorHAnsi" w:eastAsiaTheme="majorEastAsia" w:hAnsiTheme="minorHAnsi" w:cstheme="majorBidi"/>
          <w:b/>
          <w:spacing w:val="5"/>
          <w:kern w:val="28"/>
          <w:sz w:val="36"/>
          <w:szCs w:val="36"/>
        </w:rPr>
        <w:br/>
        <w:t>Injection 480 micrograms in 0.5 mL single use pre</w:t>
      </w:r>
      <w:r w:rsidRPr="00D31E5D">
        <w:rPr>
          <w:rFonts w:ascii="MS Gothic" w:eastAsia="MS Gothic" w:hAnsi="MS Gothic" w:cs="MS Gothic" w:hint="eastAsia"/>
          <w:b/>
          <w:spacing w:val="5"/>
          <w:kern w:val="28"/>
          <w:sz w:val="36"/>
          <w:szCs w:val="36"/>
        </w:rPr>
        <w:t>‑</w:t>
      </w:r>
      <w:r w:rsidRPr="00D31E5D">
        <w:rPr>
          <w:rFonts w:asciiTheme="minorHAnsi" w:eastAsiaTheme="majorEastAsia" w:hAnsiTheme="minorHAnsi" w:cstheme="majorBidi"/>
          <w:b/>
          <w:spacing w:val="5"/>
          <w:kern w:val="28"/>
          <w:sz w:val="36"/>
          <w:szCs w:val="36"/>
        </w:rPr>
        <w:t>filled syringe,</w:t>
      </w:r>
      <w:r w:rsidRPr="00D31E5D">
        <w:rPr>
          <w:rFonts w:asciiTheme="minorHAnsi" w:eastAsiaTheme="majorEastAsia" w:hAnsiTheme="minorHAnsi" w:cstheme="majorBidi"/>
          <w:b/>
          <w:spacing w:val="5"/>
          <w:kern w:val="28"/>
          <w:sz w:val="36"/>
          <w:szCs w:val="36"/>
        </w:rPr>
        <w:br/>
        <w:t>Nivestim</w:t>
      </w:r>
      <w:r w:rsidRPr="00D31E5D">
        <w:rPr>
          <w:rFonts w:asciiTheme="minorHAnsi" w:eastAsiaTheme="majorEastAsia" w:hAnsiTheme="minorHAnsi" w:cstheme="majorBidi"/>
          <w:b/>
          <w:spacing w:val="5"/>
          <w:kern w:val="28"/>
          <w:sz w:val="36"/>
          <w:szCs w:val="36"/>
          <w:vertAlign w:val="superscript"/>
        </w:rPr>
        <w:t>®</w:t>
      </w:r>
      <w:r w:rsidRPr="00D31E5D">
        <w:rPr>
          <w:rFonts w:asciiTheme="minorHAnsi" w:eastAsiaTheme="majorEastAsia" w:hAnsiTheme="minorHAnsi" w:cstheme="majorBidi"/>
          <w:b/>
          <w:spacing w:val="5"/>
          <w:kern w:val="28"/>
          <w:sz w:val="36"/>
          <w:szCs w:val="36"/>
        </w:rPr>
        <w:t>, Pfizer Australia Pty Ltd</w:t>
      </w:r>
    </w:p>
    <w:p w:rsidR="00D31E5D" w:rsidRPr="00D31E5D" w:rsidRDefault="00D31E5D" w:rsidP="00D31E5D">
      <w:pPr>
        <w:widowControl w:val="0"/>
        <w:numPr>
          <w:ilvl w:val="0"/>
          <w:numId w:val="5"/>
        </w:numPr>
        <w:spacing w:before="240" w:after="120"/>
        <w:outlineLvl w:val="0"/>
        <w:rPr>
          <w:rFonts w:asciiTheme="minorHAnsi" w:hAnsiTheme="minorHAnsi" w:cs="Arial"/>
          <w:b/>
          <w:bCs/>
          <w:snapToGrid w:val="0"/>
          <w:sz w:val="32"/>
        </w:rPr>
      </w:pPr>
      <w:r w:rsidRPr="00D31E5D">
        <w:rPr>
          <w:rFonts w:asciiTheme="minorHAnsi" w:hAnsiTheme="minorHAnsi" w:cs="Arial"/>
          <w:b/>
          <w:bCs/>
          <w:snapToGrid w:val="0"/>
          <w:sz w:val="32"/>
        </w:rPr>
        <w:t>Purpose of item</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r w:rsidRPr="00D31E5D">
        <w:rPr>
          <w:rFonts w:asciiTheme="minorHAnsi" w:hAnsiTheme="minorHAnsi" w:cs="Arial"/>
          <w:bCs/>
          <w:snapToGrid w:val="0"/>
          <w:lang w:val="en-GB"/>
        </w:rPr>
        <w:t xml:space="preserve">The PBAC deferred the submission for the </w:t>
      </w:r>
      <w:proofErr w:type="spellStart"/>
      <w:r w:rsidRPr="00D31E5D">
        <w:rPr>
          <w:rFonts w:asciiTheme="minorHAnsi" w:hAnsiTheme="minorHAnsi" w:cs="Arial"/>
          <w:bCs/>
          <w:snapToGrid w:val="0"/>
          <w:lang w:val="en-GB"/>
        </w:rPr>
        <w:t>Nivestim</w:t>
      </w:r>
      <w:proofErr w:type="spellEnd"/>
      <w:r w:rsidRPr="00D31E5D">
        <w:rPr>
          <w:rFonts w:asciiTheme="minorHAnsi" w:hAnsiTheme="minorHAnsi" w:cs="Arial"/>
          <w:bCs/>
          <w:snapToGrid w:val="0"/>
          <w:vertAlign w:val="superscript"/>
          <w:lang w:val="en-GB"/>
        </w:rPr>
        <w:t>®</w:t>
      </w:r>
      <w:r w:rsidRPr="00D31E5D">
        <w:rPr>
          <w:rFonts w:asciiTheme="minorHAnsi" w:hAnsiTheme="minorHAnsi" w:cs="Arial"/>
          <w:bCs/>
          <w:snapToGrid w:val="0"/>
          <w:lang w:val="en-GB"/>
        </w:rPr>
        <w:t xml:space="preserve"> brand of filgrastim, to consider further information regarding whether the four filgrastim brands currently PBS listed could be marked as equivalent in the Schedule of Pharmaceutical Benefits (‘a’ flagged), for the purposes of substitution by the pharmacist at the point of dispensing for all circumstances filgrastim is listed for. </w:t>
      </w:r>
    </w:p>
    <w:p w:rsidR="00D31E5D" w:rsidRPr="00D31E5D" w:rsidRDefault="00D31E5D" w:rsidP="00D31E5D">
      <w:pPr>
        <w:widowControl w:val="0"/>
        <w:numPr>
          <w:ilvl w:val="0"/>
          <w:numId w:val="5"/>
        </w:numPr>
        <w:spacing w:before="240" w:after="120"/>
        <w:outlineLvl w:val="0"/>
        <w:rPr>
          <w:rFonts w:asciiTheme="minorHAnsi" w:hAnsiTheme="minorHAnsi" w:cs="Arial"/>
          <w:b/>
          <w:bCs/>
          <w:snapToGrid w:val="0"/>
          <w:sz w:val="32"/>
        </w:rPr>
      </w:pPr>
      <w:r w:rsidRPr="00D31E5D">
        <w:rPr>
          <w:rFonts w:asciiTheme="minorHAnsi" w:hAnsiTheme="minorHAnsi" w:cs="Arial"/>
          <w:b/>
          <w:bCs/>
          <w:snapToGrid w:val="0"/>
          <w:sz w:val="32"/>
        </w:rPr>
        <w:t>Evidence supportive of brand equivalence (‘a’ flagging)</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r w:rsidRPr="00D31E5D">
        <w:rPr>
          <w:rFonts w:asciiTheme="minorHAnsi" w:hAnsiTheme="minorHAnsi" w:cs="Arial"/>
          <w:bCs/>
          <w:snapToGrid w:val="0"/>
          <w:lang w:val="en-GB"/>
        </w:rPr>
        <w:t xml:space="preserve">Many studies comparing the efficacy and safety of biosimilar filgrastim brands with the reference brand, </w:t>
      </w:r>
      <w:proofErr w:type="spellStart"/>
      <w:r w:rsidRPr="00D31E5D">
        <w:rPr>
          <w:rFonts w:asciiTheme="minorHAnsi" w:hAnsiTheme="minorHAnsi" w:cs="Arial"/>
          <w:bCs/>
          <w:snapToGrid w:val="0"/>
          <w:lang w:val="en-GB"/>
        </w:rPr>
        <w:t>Neupogen</w:t>
      </w:r>
      <w:proofErr w:type="spellEnd"/>
      <w:r w:rsidRPr="00D31E5D">
        <w:rPr>
          <w:rFonts w:asciiTheme="minorHAnsi" w:hAnsiTheme="minorHAnsi" w:cs="Arial"/>
          <w:bCs/>
          <w:snapToGrid w:val="0"/>
          <w:lang w:val="en-GB"/>
        </w:rPr>
        <w:t xml:space="preserve">® are </w:t>
      </w:r>
      <w:proofErr w:type="gramStart"/>
      <w:r w:rsidRPr="00D31E5D">
        <w:rPr>
          <w:rFonts w:asciiTheme="minorHAnsi" w:hAnsiTheme="minorHAnsi" w:cs="Arial"/>
          <w:bCs/>
          <w:snapToGrid w:val="0"/>
          <w:lang w:val="en-GB"/>
        </w:rPr>
        <w:t>available,</w:t>
      </w:r>
      <w:proofErr w:type="gramEnd"/>
      <w:r w:rsidRPr="00D31E5D">
        <w:rPr>
          <w:rFonts w:asciiTheme="minorHAnsi" w:hAnsiTheme="minorHAnsi" w:cs="Arial"/>
          <w:bCs/>
          <w:snapToGrid w:val="0"/>
          <w:lang w:val="en-GB"/>
        </w:rPr>
        <w:t xml:space="preserve"> however limited evidence supporting on-treatment switching of filgrastim </w:t>
      </w:r>
      <w:proofErr w:type="spellStart"/>
      <w:r w:rsidRPr="00D31E5D">
        <w:rPr>
          <w:rFonts w:asciiTheme="minorHAnsi" w:hAnsiTheme="minorHAnsi" w:cs="Arial"/>
          <w:bCs/>
          <w:snapToGrid w:val="0"/>
          <w:lang w:val="en-GB"/>
        </w:rPr>
        <w:t>biosimilars</w:t>
      </w:r>
      <w:proofErr w:type="spellEnd"/>
      <w:r w:rsidRPr="00D31E5D">
        <w:rPr>
          <w:rFonts w:asciiTheme="minorHAnsi" w:hAnsiTheme="minorHAnsi" w:cs="Arial"/>
          <w:bCs/>
          <w:snapToGrid w:val="0"/>
          <w:lang w:val="en-GB"/>
        </w:rPr>
        <w:t xml:space="preserve"> within a single treatment cycle is available. Brief summaries from a selection of studies covering the range of biosimilar filgras</w:t>
      </w:r>
      <w:r w:rsidR="007A23E0">
        <w:rPr>
          <w:rFonts w:asciiTheme="minorHAnsi" w:hAnsiTheme="minorHAnsi" w:cs="Arial"/>
          <w:bCs/>
          <w:snapToGrid w:val="0"/>
          <w:lang w:val="en-GB"/>
        </w:rPr>
        <w:t>tim brands are presented below.</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r w:rsidRPr="00D31E5D">
        <w:rPr>
          <w:rFonts w:asciiTheme="minorHAnsi" w:hAnsiTheme="minorHAnsi" w:cs="Arial"/>
          <w:bCs/>
          <w:snapToGrid w:val="0"/>
          <w:lang w:val="en-GB"/>
        </w:rPr>
        <w:t>Ebbers et al (2012)</w:t>
      </w:r>
      <w:r w:rsidRPr="00D31E5D">
        <w:rPr>
          <w:rFonts w:asciiTheme="minorHAnsi" w:hAnsiTheme="minorHAnsi" w:cs="Arial"/>
          <w:bCs/>
          <w:snapToGrid w:val="0"/>
          <w:lang w:val="en-GB"/>
        </w:rPr>
        <w:endnoteReference w:id="1"/>
      </w:r>
      <w:r w:rsidRPr="00D31E5D">
        <w:rPr>
          <w:rFonts w:asciiTheme="minorHAnsi" w:hAnsiTheme="minorHAnsi" w:cs="Arial"/>
          <w:bCs/>
          <w:snapToGrid w:val="0"/>
          <w:lang w:val="en-GB"/>
        </w:rPr>
        <w:t xml:space="preserve"> reviewed emerging evidence around the safety of switching between therapeutic proteins (human recombinant growth hormones, erythropoietins and granulocyte colony stimulating agents (G-CSF)). Data from clinical trials, pharmacovigilance databases and an overview of the literature on the frequency of switching was reviewed. For G-CSF, which included filgrastim and pegfilgrastim, the review revealed that since these are mostly prescribed in conjunction with chemotherapy cycles for short periods, switching is not expected to occur frequently. The authors concluded that no evidence was found indicative of major safety concerns associated with switching between different G-CSF products.</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proofErr w:type="spellStart"/>
      <w:r w:rsidRPr="00D31E5D">
        <w:rPr>
          <w:rFonts w:asciiTheme="minorHAnsi" w:hAnsiTheme="minorHAnsi" w:cs="Arial"/>
          <w:bCs/>
          <w:snapToGrid w:val="0"/>
          <w:lang w:val="en-GB"/>
        </w:rPr>
        <w:t>Korkmaz</w:t>
      </w:r>
      <w:proofErr w:type="spellEnd"/>
      <w:r w:rsidRPr="00D31E5D">
        <w:rPr>
          <w:rFonts w:asciiTheme="minorHAnsi" w:hAnsiTheme="minorHAnsi" w:cs="Arial"/>
          <w:bCs/>
          <w:snapToGrid w:val="0"/>
          <w:lang w:val="en-GB"/>
        </w:rPr>
        <w:t xml:space="preserve"> and </w:t>
      </w:r>
      <w:proofErr w:type="spellStart"/>
      <w:r w:rsidRPr="00D31E5D">
        <w:rPr>
          <w:rFonts w:asciiTheme="minorHAnsi" w:hAnsiTheme="minorHAnsi" w:cs="Arial"/>
          <w:bCs/>
          <w:snapToGrid w:val="0"/>
          <w:lang w:val="en-GB"/>
        </w:rPr>
        <w:t>Altuntas</w:t>
      </w:r>
      <w:proofErr w:type="spellEnd"/>
      <w:r w:rsidRPr="00D31E5D">
        <w:rPr>
          <w:rFonts w:asciiTheme="minorHAnsi" w:hAnsiTheme="minorHAnsi" w:cs="Arial"/>
          <w:bCs/>
          <w:snapToGrid w:val="0"/>
          <w:lang w:val="en-GB"/>
        </w:rPr>
        <w:t xml:space="preserve"> (2017)</w:t>
      </w:r>
      <w:r w:rsidRPr="00D31E5D">
        <w:rPr>
          <w:rFonts w:asciiTheme="minorHAnsi" w:hAnsiTheme="minorHAnsi" w:cs="Arial"/>
          <w:bCs/>
          <w:snapToGrid w:val="0"/>
          <w:lang w:val="en-GB"/>
        </w:rPr>
        <w:endnoteReference w:id="2"/>
      </w:r>
      <w:r w:rsidRPr="00D31E5D">
        <w:rPr>
          <w:rFonts w:asciiTheme="minorHAnsi" w:hAnsiTheme="minorHAnsi" w:cs="Arial"/>
          <w:bCs/>
          <w:snapToGrid w:val="0"/>
          <w:lang w:val="en-GB"/>
        </w:rPr>
        <w:t xml:space="preserve"> was a review of the role of biosimilar G-CSF agents in haematopoietic stem cell mobilisation, which found that in the autologous setting, all data published at present have shown equivalence when used for stem cell mobilisation. The review also found the use of biosimilar filgrastim for healthy-donor </w:t>
      </w:r>
      <w:r w:rsidRPr="00D31E5D">
        <w:rPr>
          <w:rFonts w:asciiTheme="minorHAnsi" w:hAnsiTheme="minorHAnsi" w:cs="Arial"/>
          <w:bCs/>
          <w:snapToGrid w:val="0"/>
          <w:lang w:val="en-GB"/>
        </w:rPr>
        <w:lastRenderedPageBreak/>
        <w:t>stem cell mobilisation is safe and effective, with no product-specific adverse events observed to date.</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r w:rsidRPr="00D31E5D">
        <w:rPr>
          <w:rFonts w:asciiTheme="minorHAnsi" w:hAnsiTheme="minorHAnsi" w:cs="Arial"/>
          <w:bCs/>
          <w:snapToGrid w:val="0"/>
          <w:lang w:val="en-GB"/>
        </w:rPr>
        <w:t>The MONITOR-GCSF study (</w:t>
      </w:r>
      <w:proofErr w:type="spellStart"/>
      <w:r w:rsidRPr="00D31E5D">
        <w:rPr>
          <w:rFonts w:asciiTheme="minorHAnsi" w:hAnsiTheme="minorHAnsi" w:cs="Arial"/>
          <w:bCs/>
          <w:snapToGrid w:val="0"/>
          <w:lang w:val="en-GB"/>
        </w:rPr>
        <w:t>Gascon</w:t>
      </w:r>
      <w:proofErr w:type="spellEnd"/>
      <w:r w:rsidRPr="00D31E5D">
        <w:rPr>
          <w:rFonts w:asciiTheme="minorHAnsi" w:hAnsiTheme="minorHAnsi" w:cs="Arial"/>
          <w:bCs/>
          <w:snapToGrid w:val="0"/>
          <w:lang w:val="en-GB"/>
        </w:rPr>
        <w:t xml:space="preserve"> et al 2015)</w:t>
      </w:r>
      <w:r w:rsidRPr="00D31E5D">
        <w:rPr>
          <w:rFonts w:asciiTheme="minorHAnsi" w:hAnsiTheme="minorHAnsi" w:cs="Arial"/>
          <w:bCs/>
          <w:snapToGrid w:val="0"/>
          <w:lang w:val="en-GB"/>
        </w:rPr>
        <w:endnoteReference w:id="3"/>
      </w:r>
      <w:r w:rsidRPr="00D31E5D">
        <w:rPr>
          <w:rFonts w:asciiTheme="minorHAnsi" w:hAnsiTheme="minorHAnsi" w:cs="Arial"/>
          <w:bCs/>
          <w:snapToGrid w:val="0"/>
          <w:lang w:val="en-GB"/>
        </w:rPr>
        <w:t xml:space="preserve"> was an international, multi-centre observational trial to assess the efficacy of a biosimilar filgrastim (</w:t>
      </w:r>
      <w:proofErr w:type="spellStart"/>
      <w:r w:rsidRPr="00D31E5D">
        <w:rPr>
          <w:rFonts w:asciiTheme="minorHAnsi" w:hAnsiTheme="minorHAnsi" w:cs="Arial"/>
          <w:bCs/>
          <w:snapToGrid w:val="0"/>
          <w:lang w:val="en-GB"/>
        </w:rPr>
        <w:t>Zarzio</w:t>
      </w:r>
      <w:proofErr w:type="spellEnd"/>
      <w:r w:rsidRPr="00D31E5D">
        <w:rPr>
          <w:rFonts w:asciiTheme="minorHAnsi" w:hAnsiTheme="minorHAnsi" w:cs="Arial"/>
          <w:bCs/>
          <w:snapToGrid w:val="0"/>
          <w:lang w:val="en-GB"/>
        </w:rPr>
        <w:t xml:space="preserve">®) in cancer patients (n=1,447) undergoing chemotherapy and receiving prophylactic treatment for febrile neutropenia. The study found that clinical and safety outcomes with </w:t>
      </w:r>
      <w:proofErr w:type="spellStart"/>
      <w:r w:rsidRPr="00D31E5D">
        <w:rPr>
          <w:rFonts w:asciiTheme="minorHAnsi" w:hAnsiTheme="minorHAnsi" w:cs="Arial"/>
          <w:bCs/>
          <w:snapToGrid w:val="0"/>
          <w:lang w:val="en-GB"/>
        </w:rPr>
        <w:t>Zarzio</w:t>
      </w:r>
      <w:proofErr w:type="spellEnd"/>
      <w:r w:rsidRPr="00D31E5D">
        <w:rPr>
          <w:rFonts w:asciiTheme="minorHAnsi" w:hAnsiTheme="minorHAnsi" w:cs="Arial"/>
          <w:bCs/>
          <w:snapToGrid w:val="0"/>
          <w:lang w:val="en-GB"/>
        </w:rPr>
        <w:t>® were within the range of historically reported data for originator filgrastim.</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proofErr w:type="spellStart"/>
      <w:r w:rsidRPr="00D31E5D">
        <w:rPr>
          <w:rFonts w:asciiTheme="minorHAnsi" w:hAnsiTheme="minorHAnsi" w:cs="Arial"/>
          <w:bCs/>
          <w:snapToGrid w:val="0"/>
          <w:lang w:val="en-GB"/>
        </w:rPr>
        <w:t>Nahon</w:t>
      </w:r>
      <w:proofErr w:type="spellEnd"/>
      <w:r w:rsidRPr="00D31E5D">
        <w:rPr>
          <w:rFonts w:asciiTheme="minorHAnsi" w:hAnsiTheme="minorHAnsi" w:cs="Arial"/>
          <w:bCs/>
          <w:snapToGrid w:val="0"/>
          <w:lang w:val="en-GB"/>
        </w:rPr>
        <w:t xml:space="preserve"> et al (2016)</w:t>
      </w:r>
      <w:r w:rsidRPr="00D31E5D">
        <w:rPr>
          <w:rFonts w:asciiTheme="minorHAnsi" w:hAnsiTheme="minorHAnsi" w:cs="Arial"/>
          <w:bCs/>
          <w:snapToGrid w:val="0"/>
          <w:vertAlign w:val="superscript"/>
          <w:lang w:val="en-GB"/>
        </w:rPr>
        <w:endnoteReference w:id="4"/>
      </w:r>
      <w:r w:rsidRPr="00D31E5D">
        <w:rPr>
          <w:rFonts w:asciiTheme="minorHAnsi" w:hAnsiTheme="minorHAnsi" w:cs="Arial"/>
          <w:bCs/>
          <w:snapToGrid w:val="0"/>
          <w:lang w:val="en-GB"/>
        </w:rPr>
        <w:t xml:space="preserve"> conducted an observational, longitudinal study of the </w:t>
      </w:r>
      <w:proofErr w:type="spellStart"/>
      <w:r w:rsidRPr="00D31E5D">
        <w:rPr>
          <w:rFonts w:asciiTheme="minorHAnsi" w:hAnsiTheme="minorHAnsi" w:cs="Arial"/>
          <w:bCs/>
          <w:snapToGrid w:val="0"/>
          <w:lang w:val="en-GB"/>
        </w:rPr>
        <w:t>Zarzio</w:t>
      </w:r>
      <w:proofErr w:type="spellEnd"/>
      <w:r w:rsidRPr="00D31E5D">
        <w:rPr>
          <w:rFonts w:asciiTheme="minorHAnsi" w:hAnsiTheme="minorHAnsi" w:cs="Arial"/>
          <w:bCs/>
          <w:snapToGrid w:val="0"/>
          <w:lang w:val="en-GB"/>
        </w:rPr>
        <w:t xml:space="preserve">® brand of filgrastim for prophylactic treatment for febrile neutropenia in 184 patients receiving chemotherapy with either solid tumour type cancers or non-Hodgkin lymphoma. The study found that neutropenia events and adverse events were similar to that of the originator, </w:t>
      </w:r>
      <w:proofErr w:type="spellStart"/>
      <w:r w:rsidRPr="00D31E5D">
        <w:rPr>
          <w:rFonts w:asciiTheme="minorHAnsi" w:hAnsiTheme="minorHAnsi" w:cs="Arial"/>
          <w:bCs/>
          <w:snapToGrid w:val="0"/>
          <w:lang w:val="en-GB"/>
        </w:rPr>
        <w:t>Neupogen</w:t>
      </w:r>
      <w:proofErr w:type="spellEnd"/>
      <w:r w:rsidRPr="00D31E5D">
        <w:rPr>
          <w:rFonts w:asciiTheme="minorHAnsi" w:hAnsiTheme="minorHAnsi" w:cs="Arial"/>
          <w:bCs/>
          <w:snapToGrid w:val="0"/>
          <w:lang w:val="en-GB"/>
        </w:rPr>
        <w:t>®.</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proofErr w:type="spellStart"/>
      <w:r w:rsidRPr="00D31E5D">
        <w:rPr>
          <w:rFonts w:asciiTheme="minorHAnsi" w:hAnsiTheme="minorHAnsi" w:cs="Arial"/>
          <w:bCs/>
          <w:snapToGrid w:val="0"/>
          <w:lang w:val="en-GB"/>
        </w:rPr>
        <w:t>Danylesko</w:t>
      </w:r>
      <w:proofErr w:type="spellEnd"/>
      <w:r w:rsidRPr="00D31E5D">
        <w:rPr>
          <w:rFonts w:asciiTheme="minorHAnsi" w:hAnsiTheme="minorHAnsi" w:cs="Arial"/>
          <w:bCs/>
          <w:snapToGrid w:val="0"/>
          <w:lang w:val="en-GB"/>
        </w:rPr>
        <w:t xml:space="preserve"> et al (2015)</w:t>
      </w:r>
      <w:r w:rsidRPr="00D31E5D">
        <w:rPr>
          <w:rFonts w:asciiTheme="minorHAnsi" w:hAnsiTheme="minorHAnsi" w:cs="Arial"/>
          <w:bCs/>
          <w:snapToGrid w:val="0"/>
          <w:vertAlign w:val="superscript"/>
          <w:lang w:val="en-GB"/>
        </w:rPr>
        <w:endnoteReference w:id="5"/>
      </w:r>
      <w:r w:rsidRPr="00D31E5D">
        <w:rPr>
          <w:rFonts w:asciiTheme="minorHAnsi" w:hAnsiTheme="minorHAnsi" w:cs="Arial"/>
          <w:bCs/>
          <w:snapToGrid w:val="0"/>
          <w:lang w:val="en-GB"/>
        </w:rPr>
        <w:t xml:space="preserve"> conducted an open label, prospective study comparing </w:t>
      </w:r>
      <w:proofErr w:type="spellStart"/>
      <w:r w:rsidRPr="00D31E5D">
        <w:rPr>
          <w:rFonts w:asciiTheme="minorHAnsi" w:hAnsiTheme="minorHAnsi" w:cs="Arial"/>
          <w:bCs/>
          <w:snapToGrid w:val="0"/>
          <w:lang w:val="en-GB"/>
        </w:rPr>
        <w:t>Tevagrastim</w:t>
      </w:r>
      <w:proofErr w:type="spellEnd"/>
      <w:r w:rsidRPr="00D31E5D">
        <w:rPr>
          <w:rFonts w:asciiTheme="minorHAnsi" w:hAnsiTheme="minorHAnsi" w:cs="Arial"/>
          <w:bCs/>
          <w:snapToGrid w:val="0"/>
          <w:lang w:val="en-GB"/>
        </w:rPr>
        <w:t xml:space="preserve"> branded filgrastim for mobilisation of CD34+ peripheral blood haematopoietic stem cells in acute lymphoblastic leukaemia (AML) and high risk myelodysplastic syndromes (MDS). The study found a lack of significant differences for all parameters of cell collection, engraftment and safety, between the biosimilar and reference products.</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proofErr w:type="spellStart"/>
      <w:r w:rsidRPr="00D31E5D">
        <w:rPr>
          <w:rFonts w:asciiTheme="minorHAnsi" w:hAnsiTheme="minorHAnsi" w:cs="Arial"/>
          <w:bCs/>
          <w:snapToGrid w:val="0"/>
          <w:lang w:val="en-GB"/>
        </w:rPr>
        <w:t>Hegg</w:t>
      </w:r>
      <w:proofErr w:type="spellEnd"/>
      <w:r w:rsidRPr="00D31E5D">
        <w:rPr>
          <w:rFonts w:asciiTheme="minorHAnsi" w:hAnsiTheme="minorHAnsi" w:cs="Arial"/>
          <w:bCs/>
          <w:snapToGrid w:val="0"/>
          <w:lang w:val="en-GB"/>
        </w:rPr>
        <w:t xml:space="preserve"> et al (2016)</w:t>
      </w:r>
      <w:r w:rsidRPr="00D31E5D">
        <w:rPr>
          <w:rFonts w:asciiTheme="minorHAnsi" w:hAnsiTheme="minorHAnsi" w:cs="Arial"/>
          <w:bCs/>
          <w:snapToGrid w:val="0"/>
          <w:vertAlign w:val="superscript"/>
          <w:lang w:val="en-GB"/>
        </w:rPr>
        <w:endnoteReference w:id="6"/>
      </w:r>
      <w:r w:rsidRPr="00D31E5D">
        <w:rPr>
          <w:rFonts w:asciiTheme="minorHAnsi" w:hAnsiTheme="minorHAnsi" w:cs="Arial"/>
          <w:bCs/>
          <w:snapToGrid w:val="0"/>
          <w:lang w:val="en-GB"/>
        </w:rPr>
        <w:t xml:space="preserve"> conducted a Phase III, randomised non-inferiority study comparing the efficacy and safety of biosimilar and originator filgrastim in patients at high risk of febrile neutropenia. 217 patients were randomised at a 1:1 ratio to receive either biosimilar or originator filgrastim. The primary analysis was carried out on the per protocol population of 170 patients. The primary endpoint were rates of grade 4 neutropenia in the per protocol population. The study found no significant differences in grade 4 neutropenia between the biosimilar and originator brands.</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r w:rsidRPr="00D31E5D">
        <w:rPr>
          <w:rFonts w:asciiTheme="minorHAnsi" w:hAnsiTheme="minorHAnsi" w:cs="Arial"/>
          <w:bCs/>
          <w:snapToGrid w:val="0"/>
          <w:lang w:val="en-GB"/>
        </w:rPr>
        <w:t xml:space="preserve">The VENICE study (Fruehauf, </w:t>
      </w:r>
      <w:proofErr w:type="spellStart"/>
      <w:r w:rsidRPr="00D31E5D">
        <w:rPr>
          <w:rFonts w:asciiTheme="minorHAnsi" w:hAnsiTheme="minorHAnsi" w:cs="Arial"/>
          <w:bCs/>
          <w:snapToGrid w:val="0"/>
          <w:lang w:val="en-GB"/>
        </w:rPr>
        <w:t>Otremba</w:t>
      </w:r>
      <w:proofErr w:type="spellEnd"/>
      <w:r w:rsidRPr="00D31E5D">
        <w:rPr>
          <w:rFonts w:asciiTheme="minorHAnsi" w:hAnsiTheme="minorHAnsi" w:cs="Arial"/>
          <w:bCs/>
          <w:snapToGrid w:val="0"/>
          <w:lang w:val="en-GB"/>
        </w:rPr>
        <w:t xml:space="preserve">, </w:t>
      </w:r>
      <w:proofErr w:type="spellStart"/>
      <w:r w:rsidRPr="00D31E5D">
        <w:rPr>
          <w:rFonts w:asciiTheme="minorHAnsi" w:hAnsiTheme="minorHAnsi" w:cs="Arial"/>
          <w:bCs/>
          <w:snapToGrid w:val="0"/>
          <w:lang w:val="en-GB"/>
        </w:rPr>
        <w:t>Stotzer</w:t>
      </w:r>
      <w:proofErr w:type="spellEnd"/>
      <w:r w:rsidRPr="00D31E5D">
        <w:rPr>
          <w:rFonts w:asciiTheme="minorHAnsi" w:hAnsiTheme="minorHAnsi" w:cs="Arial"/>
          <w:bCs/>
          <w:snapToGrid w:val="0"/>
          <w:lang w:val="en-GB"/>
        </w:rPr>
        <w:t>, 2016)</w:t>
      </w:r>
      <w:r w:rsidRPr="00D31E5D">
        <w:rPr>
          <w:rFonts w:asciiTheme="minorHAnsi" w:hAnsiTheme="minorHAnsi" w:cs="Arial"/>
          <w:bCs/>
          <w:snapToGrid w:val="0"/>
          <w:lang w:val="en-GB"/>
        </w:rPr>
        <w:endnoteReference w:id="7"/>
      </w:r>
      <w:r w:rsidRPr="00D31E5D">
        <w:rPr>
          <w:rFonts w:asciiTheme="minorHAnsi" w:hAnsiTheme="minorHAnsi" w:cs="Arial"/>
          <w:bCs/>
          <w:snapToGrid w:val="0"/>
          <w:lang w:val="en-GB"/>
        </w:rPr>
        <w:t xml:space="preserve"> was a prospective, multicentre, non-interventional, longitudinal study of the </w:t>
      </w:r>
      <w:proofErr w:type="spellStart"/>
      <w:r w:rsidRPr="00D31E5D">
        <w:rPr>
          <w:rFonts w:asciiTheme="minorHAnsi" w:hAnsiTheme="minorHAnsi" w:cs="Arial"/>
          <w:bCs/>
          <w:snapToGrid w:val="0"/>
          <w:lang w:val="en-GB"/>
        </w:rPr>
        <w:t>Nivestim</w:t>
      </w:r>
      <w:proofErr w:type="spellEnd"/>
      <w:r w:rsidRPr="00D31E5D">
        <w:rPr>
          <w:rFonts w:asciiTheme="minorHAnsi" w:hAnsiTheme="minorHAnsi" w:cs="Arial"/>
          <w:bCs/>
          <w:snapToGrid w:val="0"/>
          <w:lang w:val="en-GB"/>
        </w:rPr>
        <w:t xml:space="preserve">® brand of filgrastim. The study enrolled patients with solid malignant haematological tumours who were scheduled to undergo prophylactic treatment with </w:t>
      </w:r>
      <w:proofErr w:type="spellStart"/>
      <w:r w:rsidRPr="00D31E5D">
        <w:rPr>
          <w:rFonts w:asciiTheme="minorHAnsi" w:hAnsiTheme="minorHAnsi" w:cs="Arial"/>
          <w:bCs/>
          <w:snapToGrid w:val="0"/>
          <w:lang w:val="en-GB"/>
        </w:rPr>
        <w:t>Nivestim</w:t>
      </w:r>
      <w:proofErr w:type="spellEnd"/>
      <w:r w:rsidRPr="00D31E5D">
        <w:rPr>
          <w:rFonts w:asciiTheme="minorHAnsi" w:hAnsiTheme="minorHAnsi" w:cs="Arial"/>
          <w:bCs/>
          <w:snapToGrid w:val="0"/>
          <w:lang w:val="en-GB"/>
        </w:rPr>
        <w:t xml:space="preserve"> to shorten or prevent a neutropenia event. 382 patients were recruited, of which 185 were included in the per-protocol dataset. The study reported a single neutropenia event and concluded the outcomes for </w:t>
      </w:r>
      <w:proofErr w:type="spellStart"/>
      <w:r w:rsidRPr="00D31E5D">
        <w:rPr>
          <w:rFonts w:asciiTheme="minorHAnsi" w:hAnsiTheme="minorHAnsi" w:cs="Arial"/>
          <w:bCs/>
          <w:snapToGrid w:val="0"/>
          <w:lang w:val="en-GB"/>
        </w:rPr>
        <w:t>Nivestim</w:t>
      </w:r>
      <w:proofErr w:type="spellEnd"/>
      <w:r w:rsidRPr="00D31E5D">
        <w:rPr>
          <w:rFonts w:asciiTheme="minorHAnsi" w:hAnsiTheme="minorHAnsi" w:cs="Arial"/>
          <w:bCs/>
          <w:snapToGrid w:val="0"/>
          <w:lang w:val="en-GB"/>
        </w:rPr>
        <w:t xml:space="preserve"> were similar to that of historical cohorts of originator filgrastim.</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r w:rsidRPr="00D31E5D">
        <w:rPr>
          <w:rFonts w:asciiTheme="minorHAnsi" w:hAnsiTheme="minorHAnsi" w:cs="Arial"/>
          <w:bCs/>
          <w:snapToGrid w:val="0"/>
          <w:lang w:val="en-GB"/>
        </w:rPr>
        <w:t>Blackwell et al (2017)</w:t>
      </w:r>
      <w:r w:rsidRPr="00D31E5D">
        <w:rPr>
          <w:rFonts w:asciiTheme="minorHAnsi" w:hAnsiTheme="minorHAnsi" w:cs="Arial"/>
          <w:bCs/>
          <w:snapToGrid w:val="0"/>
          <w:vertAlign w:val="superscript"/>
          <w:lang w:val="en-GB"/>
        </w:rPr>
        <w:endnoteReference w:id="8"/>
      </w:r>
      <w:r w:rsidRPr="00D31E5D">
        <w:rPr>
          <w:rFonts w:asciiTheme="minorHAnsi" w:hAnsiTheme="minorHAnsi" w:cs="Arial"/>
          <w:bCs/>
          <w:snapToGrid w:val="0"/>
          <w:lang w:val="en-GB"/>
        </w:rPr>
        <w:t xml:space="preserve"> conducted a study in patients undergoing treatment for breast cancer that specifically examined the effects of switching between the originator (</w:t>
      </w:r>
      <w:proofErr w:type="spellStart"/>
      <w:r w:rsidRPr="00D31E5D">
        <w:rPr>
          <w:rFonts w:asciiTheme="minorHAnsi" w:hAnsiTheme="minorHAnsi" w:cs="Arial"/>
          <w:bCs/>
          <w:snapToGrid w:val="0"/>
          <w:lang w:val="en-GB"/>
        </w:rPr>
        <w:t>Neupogen</w:t>
      </w:r>
      <w:proofErr w:type="spellEnd"/>
      <w:r w:rsidRPr="00D31E5D">
        <w:rPr>
          <w:rFonts w:asciiTheme="minorHAnsi" w:hAnsiTheme="minorHAnsi" w:cs="Arial"/>
          <w:bCs/>
          <w:snapToGrid w:val="0"/>
          <w:lang w:val="en-GB"/>
        </w:rPr>
        <w:t>®) and a biosimilar (</w:t>
      </w:r>
      <w:proofErr w:type="spellStart"/>
      <w:r w:rsidRPr="00D31E5D">
        <w:rPr>
          <w:rFonts w:asciiTheme="minorHAnsi" w:hAnsiTheme="minorHAnsi" w:cs="Arial"/>
          <w:bCs/>
          <w:snapToGrid w:val="0"/>
          <w:lang w:val="en-GB"/>
        </w:rPr>
        <w:t>Zarxio</w:t>
      </w:r>
      <w:proofErr w:type="spellEnd"/>
      <w:r w:rsidRPr="00D31E5D">
        <w:rPr>
          <w:rFonts w:asciiTheme="minorHAnsi" w:hAnsiTheme="minorHAnsi" w:cs="Arial"/>
          <w:bCs/>
          <w:snapToGrid w:val="0"/>
          <w:lang w:val="en-GB"/>
        </w:rPr>
        <w:t xml:space="preserve">®) filgrastim. The four-arm study randomised patients to either receive just the originator for six cycles (Arm 1), just the biosimilar for six cycles (Arm 2), switching each cycle between the originator and the biosimilar for six cycles starting with the originator (Arm 3) or switching each cycle between the biosimilar and originator for six cycles starting with the biosimilar </w:t>
      </w:r>
      <w:r w:rsidRPr="00D31E5D">
        <w:rPr>
          <w:rFonts w:asciiTheme="minorHAnsi" w:hAnsiTheme="minorHAnsi" w:cs="Arial"/>
          <w:bCs/>
          <w:snapToGrid w:val="0"/>
          <w:lang w:val="en-GB"/>
        </w:rPr>
        <w:lastRenderedPageBreak/>
        <w:t>(Arm 4). The results showed no difference between the four arms in terms of efficacy (incidence of febrile neutropenia) or safety (adverse effects or anti-drug-antibodies).</w:t>
      </w:r>
    </w:p>
    <w:p w:rsidR="00D31E5D" w:rsidRPr="00D31E5D" w:rsidRDefault="00D31E5D" w:rsidP="00D31E5D">
      <w:pPr>
        <w:widowControl w:val="0"/>
        <w:numPr>
          <w:ilvl w:val="0"/>
          <w:numId w:val="5"/>
        </w:numPr>
        <w:spacing w:before="240" w:after="120"/>
        <w:outlineLvl w:val="0"/>
        <w:rPr>
          <w:rFonts w:asciiTheme="minorHAnsi" w:hAnsiTheme="minorHAnsi" w:cs="Arial"/>
          <w:b/>
          <w:bCs/>
          <w:snapToGrid w:val="0"/>
          <w:sz w:val="32"/>
          <w:lang w:val="en-GB"/>
        </w:rPr>
      </w:pPr>
      <w:r w:rsidRPr="00D31E5D">
        <w:rPr>
          <w:rFonts w:asciiTheme="minorHAnsi" w:hAnsiTheme="minorHAnsi" w:cs="Arial"/>
          <w:b/>
          <w:bCs/>
          <w:snapToGrid w:val="0"/>
          <w:sz w:val="32"/>
          <w:lang w:val="en-GB"/>
        </w:rPr>
        <w:t>PBAC Outcome</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r w:rsidRPr="00D31E5D">
        <w:rPr>
          <w:rFonts w:asciiTheme="minorHAnsi" w:hAnsiTheme="minorHAnsi" w:cs="Arial"/>
          <w:bCs/>
          <w:snapToGrid w:val="0"/>
          <w:lang w:val="en-GB"/>
        </w:rPr>
        <w:t xml:space="preserve">The PBAC recommended that based on currently available evidence,  the reference biological, </w:t>
      </w:r>
      <w:proofErr w:type="spellStart"/>
      <w:r w:rsidRPr="00D31E5D">
        <w:rPr>
          <w:rFonts w:asciiTheme="minorHAnsi" w:hAnsiTheme="minorHAnsi" w:cs="Arial"/>
          <w:bCs/>
          <w:snapToGrid w:val="0"/>
          <w:lang w:val="en-GB"/>
        </w:rPr>
        <w:t>Neupogen</w:t>
      </w:r>
      <w:proofErr w:type="spellEnd"/>
      <w:r w:rsidRPr="00D31E5D">
        <w:rPr>
          <w:rFonts w:asciiTheme="minorHAnsi" w:hAnsiTheme="minorHAnsi" w:cs="Arial"/>
          <w:bCs/>
          <w:snapToGrid w:val="0"/>
          <w:vertAlign w:val="superscript"/>
          <w:lang w:val="en-GB"/>
        </w:rPr>
        <w:t>®</w:t>
      </w:r>
      <w:r w:rsidRPr="00D31E5D">
        <w:rPr>
          <w:rFonts w:asciiTheme="minorHAnsi" w:hAnsiTheme="minorHAnsi" w:cs="Arial"/>
          <w:bCs/>
          <w:snapToGrid w:val="0"/>
          <w:lang w:val="en-GB"/>
        </w:rPr>
        <w:t>, and the three filgrastim biosimilar brands currently PBS listed could be marked as equivalent in the Schedule of Pharmaceutical Benefits (‘a’ flagged), for the purposes of substitution by the pharmacist at the point of dispensing for all circumstances filgrastim is listed for.</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r w:rsidRPr="00D31E5D">
        <w:rPr>
          <w:rFonts w:asciiTheme="minorHAnsi" w:hAnsiTheme="minorHAnsi" w:cs="Arial"/>
          <w:bCs/>
          <w:snapToGrid w:val="0"/>
          <w:lang w:val="en-GB"/>
        </w:rPr>
        <w:t xml:space="preserve">In making this recommendation, the PBAC noted there is limited high quality evidence specifically analysing the impact of treatment switching between different filgrastim brands, and further noted most of the evidence available were single arm and/or open-label studies, which often used historical cohorts for the reference biologic. However, the PBAC noted that the evidence in nearly all studies presented concluded similar efficacy and safety with the reference biologic. The PBAC specially noted the Ebbers (et al) review presented the most comprehensive summary of evidence of the presented studies, which found no evidence of major safety concerns associated with switching between different filgrastim products. The PBAC also noted there was no data that pointed to major safety concerns associated with switching between different granulocyte colony stimulating factors (G-CSF), and noted the TGA had previously determined the currently PBS-listed filgrastim </w:t>
      </w:r>
      <w:proofErr w:type="spellStart"/>
      <w:r w:rsidRPr="00D31E5D">
        <w:rPr>
          <w:rFonts w:asciiTheme="minorHAnsi" w:hAnsiTheme="minorHAnsi" w:cs="Arial"/>
          <w:bCs/>
          <w:snapToGrid w:val="0"/>
          <w:lang w:val="en-GB"/>
        </w:rPr>
        <w:t>biosimilars</w:t>
      </w:r>
      <w:proofErr w:type="spellEnd"/>
      <w:r w:rsidRPr="00D31E5D">
        <w:rPr>
          <w:rFonts w:asciiTheme="minorHAnsi" w:hAnsiTheme="minorHAnsi" w:cs="Arial"/>
          <w:bCs/>
          <w:snapToGrid w:val="0"/>
          <w:lang w:val="en-GB"/>
        </w:rPr>
        <w:t xml:space="preserve"> had demonstrated therapeutic equivalence to the reference brand. </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r w:rsidRPr="00D31E5D">
        <w:rPr>
          <w:rFonts w:asciiTheme="minorHAnsi" w:hAnsiTheme="minorHAnsi" w:cs="Arial"/>
          <w:bCs/>
          <w:snapToGrid w:val="0"/>
          <w:lang w:val="en-GB"/>
        </w:rPr>
        <w:t>The PBAC also noted other factors which would likely result in lower risks associated with switching between filgrastim brands, including its smaller molecule size, the nature of use of filgrastim (which is in discrete cycles), and that switching brands within a treatment cycle was highly unlikely.</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r w:rsidRPr="00D31E5D">
        <w:rPr>
          <w:rFonts w:asciiTheme="minorHAnsi" w:hAnsiTheme="minorHAnsi" w:cs="Arial"/>
          <w:bCs/>
          <w:snapToGrid w:val="0"/>
          <w:lang w:val="en-GB"/>
        </w:rPr>
        <w:t>The PBAC also recalled that when it deferred the submission it had advised the following;</w:t>
      </w:r>
    </w:p>
    <w:p w:rsidR="00D31E5D" w:rsidRPr="00D31E5D" w:rsidRDefault="00D31E5D" w:rsidP="00D31E5D">
      <w:pPr>
        <w:numPr>
          <w:ilvl w:val="0"/>
          <w:numId w:val="16"/>
        </w:numPr>
        <w:spacing w:after="120"/>
        <w:ind w:left="993" w:hanging="284"/>
        <w:jc w:val="both"/>
        <w:rPr>
          <w:rFonts w:asciiTheme="minorHAnsi" w:eastAsiaTheme="minorHAnsi" w:hAnsiTheme="minorHAnsi" w:cstheme="minorBidi"/>
          <w:sz w:val="22"/>
          <w:szCs w:val="22"/>
          <w:lang w:eastAsia="en-US"/>
        </w:rPr>
      </w:pPr>
      <w:r w:rsidRPr="00D31E5D">
        <w:rPr>
          <w:rFonts w:asciiTheme="minorHAnsi" w:eastAsiaTheme="minorHAnsi" w:hAnsiTheme="minorHAnsi" w:cstheme="minorBidi"/>
          <w:szCs w:val="22"/>
          <w:lang w:eastAsia="en-US"/>
        </w:rPr>
        <w:t xml:space="preserve"> </w:t>
      </w:r>
      <w:proofErr w:type="gramStart"/>
      <w:r w:rsidRPr="00D31E5D">
        <w:rPr>
          <w:rFonts w:asciiTheme="minorHAnsi" w:eastAsiaTheme="minorHAnsi" w:hAnsiTheme="minorHAnsi" w:cstheme="minorBidi"/>
          <w:szCs w:val="22"/>
          <w:lang w:eastAsia="en-US"/>
        </w:rPr>
        <w:t>in</w:t>
      </w:r>
      <w:proofErr w:type="gramEnd"/>
      <w:r w:rsidRPr="00D31E5D">
        <w:rPr>
          <w:rFonts w:asciiTheme="minorHAnsi" w:eastAsiaTheme="minorHAnsi" w:hAnsiTheme="minorHAnsi" w:cstheme="minorBidi"/>
          <w:szCs w:val="22"/>
          <w:lang w:eastAsia="en-US"/>
        </w:rPr>
        <w:t xml:space="preserve"> principle, support of the application of biosimilar uptake drivers to all biosimilar brands of filgrastim. The PBAC recommended that the Section 100 (Highly Specialised Drugs Program – Private Hospital) listings of filgrastim should be lowe</w:t>
      </w:r>
      <w:r w:rsidR="007A23E0">
        <w:rPr>
          <w:rFonts w:asciiTheme="minorHAnsi" w:eastAsiaTheme="minorHAnsi" w:hAnsiTheme="minorHAnsi" w:cstheme="minorBidi"/>
          <w:szCs w:val="22"/>
          <w:lang w:eastAsia="en-US"/>
        </w:rPr>
        <w:t>red to a streamlined authority;</w:t>
      </w:r>
      <w:r w:rsidRPr="00D31E5D">
        <w:rPr>
          <w:rFonts w:asciiTheme="minorHAnsi" w:eastAsiaTheme="minorHAnsi" w:hAnsiTheme="minorHAnsi" w:cstheme="minorBidi"/>
          <w:szCs w:val="22"/>
          <w:lang w:eastAsia="en-US"/>
        </w:rPr>
        <w:t xml:space="preserve"> and </w:t>
      </w:r>
    </w:p>
    <w:p w:rsidR="00D31E5D" w:rsidRPr="00D31E5D" w:rsidRDefault="00D31E5D" w:rsidP="00A12CE0">
      <w:pPr>
        <w:numPr>
          <w:ilvl w:val="0"/>
          <w:numId w:val="16"/>
        </w:numPr>
        <w:spacing w:after="120"/>
        <w:ind w:left="993" w:hanging="284"/>
        <w:jc w:val="both"/>
        <w:rPr>
          <w:rFonts w:asciiTheme="minorHAnsi" w:eastAsiaTheme="minorHAnsi" w:hAnsiTheme="minorHAnsi" w:cstheme="minorBidi"/>
          <w:sz w:val="22"/>
          <w:szCs w:val="22"/>
          <w:lang w:eastAsia="en-US"/>
        </w:rPr>
      </w:pPr>
      <w:proofErr w:type="gramStart"/>
      <w:r w:rsidRPr="00D31E5D">
        <w:rPr>
          <w:rFonts w:asciiTheme="minorHAnsi" w:eastAsiaTheme="minorHAnsi" w:hAnsiTheme="minorHAnsi" w:cstheme="minorBidi"/>
          <w:szCs w:val="22"/>
          <w:lang w:eastAsia="en-US"/>
        </w:rPr>
        <w:t>that</w:t>
      </w:r>
      <w:proofErr w:type="gramEnd"/>
      <w:r w:rsidRPr="00D31E5D">
        <w:rPr>
          <w:rFonts w:asciiTheme="minorHAnsi" w:eastAsiaTheme="minorHAnsi" w:hAnsiTheme="minorHAnsi" w:cstheme="minorBidi"/>
          <w:szCs w:val="22"/>
          <w:lang w:eastAsia="en-US"/>
        </w:rPr>
        <w:t xml:space="preserve"> the legislative instrument (LI) forms of the filgrastim brands could be consolidated.</w:t>
      </w:r>
    </w:p>
    <w:p w:rsidR="00D31E5D" w:rsidRPr="00D31E5D" w:rsidRDefault="00D31E5D" w:rsidP="00A12CE0">
      <w:pPr>
        <w:widowControl w:val="0"/>
        <w:spacing w:after="120"/>
        <w:jc w:val="both"/>
        <w:outlineLvl w:val="1"/>
        <w:rPr>
          <w:rFonts w:asciiTheme="minorHAnsi" w:hAnsiTheme="minorHAnsi" w:cs="Arial"/>
          <w:bCs/>
          <w:snapToGrid w:val="0"/>
          <w:lang w:val="en-GB"/>
        </w:rPr>
      </w:pPr>
      <w:r w:rsidRPr="00D31E5D">
        <w:rPr>
          <w:rFonts w:asciiTheme="minorHAnsi" w:hAnsiTheme="minorHAnsi" w:cs="Arial"/>
          <w:b/>
          <w:bCs/>
          <w:snapToGrid w:val="0"/>
          <w:lang w:val="en-GB"/>
        </w:rPr>
        <w:t>Outcome</w:t>
      </w:r>
      <w:proofErr w:type="gramStart"/>
      <w:r w:rsidRPr="00D31E5D">
        <w:rPr>
          <w:rFonts w:asciiTheme="minorHAnsi" w:hAnsiTheme="minorHAnsi" w:cs="Arial"/>
          <w:b/>
          <w:bCs/>
          <w:snapToGrid w:val="0"/>
          <w:lang w:val="en-GB"/>
        </w:rPr>
        <w:t>:</w:t>
      </w:r>
      <w:proofErr w:type="gramEnd"/>
      <w:r w:rsidRPr="00D31E5D">
        <w:rPr>
          <w:rFonts w:asciiTheme="minorHAnsi" w:hAnsiTheme="minorHAnsi" w:cs="Arial"/>
          <w:b/>
          <w:bCs/>
          <w:snapToGrid w:val="0"/>
          <w:lang w:val="en-GB"/>
        </w:rPr>
        <w:br/>
      </w:r>
      <w:r w:rsidRPr="00D31E5D">
        <w:rPr>
          <w:rFonts w:asciiTheme="minorHAnsi" w:hAnsiTheme="minorHAnsi" w:cs="Arial"/>
          <w:bCs/>
          <w:snapToGrid w:val="0"/>
          <w:lang w:val="en-GB"/>
        </w:rPr>
        <w:t>Recommended</w:t>
      </w:r>
    </w:p>
    <w:p w:rsidR="00D31E5D" w:rsidRPr="00D31E5D" w:rsidRDefault="00D31E5D" w:rsidP="00D31E5D">
      <w:pPr>
        <w:widowControl w:val="0"/>
        <w:numPr>
          <w:ilvl w:val="0"/>
          <w:numId w:val="5"/>
        </w:numPr>
        <w:spacing w:before="240" w:after="120"/>
        <w:outlineLvl w:val="0"/>
        <w:rPr>
          <w:rFonts w:asciiTheme="minorHAnsi" w:hAnsiTheme="minorHAnsi" w:cs="Arial"/>
          <w:b/>
          <w:bCs/>
          <w:i/>
          <w:snapToGrid w:val="0"/>
          <w:sz w:val="32"/>
          <w:lang w:val="en-GB"/>
        </w:rPr>
      </w:pPr>
      <w:r w:rsidRPr="00D31E5D">
        <w:rPr>
          <w:rFonts w:asciiTheme="minorHAnsi" w:hAnsiTheme="minorHAnsi" w:cs="Arial"/>
          <w:b/>
          <w:bCs/>
          <w:snapToGrid w:val="0"/>
          <w:sz w:val="32"/>
        </w:rPr>
        <w:t>Recommended</w:t>
      </w:r>
      <w:r w:rsidRPr="00D31E5D">
        <w:rPr>
          <w:rFonts w:asciiTheme="minorHAnsi" w:hAnsiTheme="minorHAnsi" w:cs="Arial"/>
          <w:b/>
          <w:bCs/>
          <w:snapToGrid w:val="0"/>
          <w:sz w:val="32"/>
          <w:lang w:val="en-GB"/>
        </w:rPr>
        <w:t xml:space="preserve"> listing</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r w:rsidRPr="00D31E5D">
        <w:rPr>
          <w:rFonts w:asciiTheme="minorHAnsi" w:hAnsiTheme="minorHAnsi" w:cs="Arial"/>
          <w:bCs/>
          <w:snapToGrid w:val="0"/>
          <w:lang w:val="en-GB"/>
        </w:rPr>
        <w:lastRenderedPageBreak/>
        <w:t>Legislative Instrument (LI) forms:</w:t>
      </w:r>
    </w:p>
    <w:p w:rsidR="00D31E5D" w:rsidRPr="00D31E5D" w:rsidRDefault="00D31E5D" w:rsidP="002202DC">
      <w:pPr>
        <w:widowControl w:val="0"/>
        <w:spacing w:after="120"/>
        <w:ind w:left="720"/>
        <w:jc w:val="both"/>
        <w:rPr>
          <w:rFonts w:asciiTheme="minorHAnsi" w:hAnsiTheme="minorHAnsi" w:cs="Arial"/>
          <w:bCs/>
          <w:snapToGrid w:val="0"/>
          <w:lang w:val="en-GB"/>
        </w:rPr>
      </w:pPr>
      <w:r w:rsidRPr="00D31E5D">
        <w:rPr>
          <w:rFonts w:asciiTheme="minorHAnsi" w:hAnsiTheme="minorHAnsi" w:cs="Arial"/>
          <w:bCs/>
          <w:snapToGrid w:val="0"/>
          <w:lang w:val="en-GB"/>
        </w:rPr>
        <w:t>Consolidate filgrastim LI forms to remove reference to brand names from LI forms</w:t>
      </w:r>
    </w:p>
    <w:p w:rsidR="00D31E5D" w:rsidRPr="00D31E5D" w:rsidRDefault="00D31E5D" w:rsidP="00D31E5D">
      <w:pPr>
        <w:widowControl w:val="0"/>
        <w:spacing w:before="240" w:line="276" w:lineRule="auto"/>
        <w:jc w:val="both"/>
        <w:rPr>
          <w:rFonts w:ascii="Arial Narrow" w:hAnsi="Arial Narrow" w:cs="Arial"/>
          <w:b/>
          <w:bCs/>
          <w:i/>
          <w:snapToGrid w:val="0"/>
          <w:sz w:val="20"/>
          <w:szCs w:val="20"/>
        </w:rPr>
      </w:pPr>
      <w:r w:rsidRPr="00D31E5D">
        <w:rPr>
          <w:rFonts w:ascii="Arial Narrow" w:hAnsi="Arial Narrow" w:cs="Arial"/>
          <w:b/>
          <w:bCs/>
          <w:i/>
          <w:snapToGrid w:val="0"/>
          <w:sz w:val="20"/>
          <w:szCs w:val="20"/>
        </w:rPr>
        <w:t>Table 1: Filgrastim brands currently PBS listed</w:t>
      </w:r>
    </w:p>
    <w:tbl>
      <w:tblPr>
        <w:tblStyle w:val="TableGrid"/>
        <w:tblW w:w="4601" w:type="pct"/>
        <w:tblInd w:w="108" w:type="dxa"/>
        <w:tblLayout w:type="fixed"/>
        <w:tblLook w:val="04A0" w:firstRow="1" w:lastRow="0" w:firstColumn="1" w:lastColumn="0" w:noHBand="0" w:noVBand="1"/>
        <w:tblCaption w:val="Table 1: Filgrastim brands currently PBS listed"/>
      </w:tblPr>
      <w:tblGrid>
        <w:gridCol w:w="1889"/>
        <w:gridCol w:w="5482"/>
        <w:gridCol w:w="1133"/>
      </w:tblGrid>
      <w:tr w:rsidR="00D31E5D" w:rsidRPr="00D31E5D" w:rsidTr="006560C6">
        <w:trPr>
          <w:cantSplit/>
          <w:tblHeader/>
        </w:trPr>
        <w:tc>
          <w:tcPr>
            <w:tcW w:w="1111" w:type="pct"/>
          </w:tcPr>
          <w:p w:rsidR="00D31E5D" w:rsidRPr="00D31E5D" w:rsidRDefault="00D31E5D" w:rsidP="00D31E5D">
            <w:pPr>
              <w:spacing w:before="100" w:beforeAutospacing="1" w:after="100" w:afterAutospacing="1"/>
              <w:outlineLvl w:val="4"/>
              <w:rPr>
                <w:rFonts w:ascii="Arial Narrow" w:hAnsi="Arial Narrow" w:cs="Arial"/>
                <w:b/>
                <w:bCs/>
                <w:sz w:val="20"/>
                <w:szCs w:val="20"/>
                <w:lang w:val="en-GB"/>
              </w:rPr>
            </w:pPr>
            <w:r w:rsidRPr="00D31E5D">
              <w:rPr>
                <w:rFonts w:ascii="Arial Narrow" w:hAnsi="Arial Narrow" w:cs="Arial"/>
                <w:b/>
                <w:bCs/>
                <w:sz w:val="20"/>
                <w:szCs w:val="20"/>
                <w:lang w:val="en-GB"/>
              </w:rPr>
              <w:t>Brands</w:t>
            </w:r>
          </w:p>
        </w:tc>
        <w:tc>
          <w:tcPr>
            <w:tcW w:w="3223" w:type="pct"/>
          </w:tcPr>
          <w:p w:rsidR="00D31E5D" w:rsidRPr="00D31E5D" w:rsidRDefault="00D31E5D" w:rsidP="00D31E5D">
            <w:pPr>
              <w:rPr>
                <w:rFonts w:ascii="Arial Narrow" w:hAnsi="Arial Narrow" w:cs="Arial"/>
                <w:b/>
                <w:sz w:val="20"/>
                <w:szCs w:val="20"/>
              </w:rPr>
            </w:pPr>
            <w:r w:rsidRPr="00D31E5D">
              <w:rPr>
                <w:rFonts w:ascii="Arial Narrow" w:hAnsi="Arial Narrow" w:cs="Arial"/>
                <w:b/>
                <w:sz w:val="20"/>
                <w:szCs w:val="20"/>
              </w:rPr>
              <w:t>PBS</w:t>
            </w:r>
            <w:r w:rsidRPr="00D31E5D">
              <w:rPr>
                <w:rFonts w:ascii="Arial Narrow" w:hAnsi="Arial Narrow" w:cs="Arial"/>
                <w:b/>
                <w:i/>
                <w:sz w:val="20"/>
                <w:szCs w:val="20"/>
              </w:rPr>
              <w:t xml:space="preserve"> National Health Instrument 2012 (PB 71 of 2012)</w:t>
            </w:r>
            <w:r w:rsidRPr="00D31E5D">
              <w:rPr>
                <w:rFonts w:ascii="Arial Narrow" w:hAnsi="Arial Narrow" w:cs="Arial"/>
                <w:b/>
                <w:sz w:val="20"/>
                <w:szCs w:val="20"/>
              </w:rPr>
              <w:t xml:space="preserve"> Legislative Instrument (LI) Form(s)</w:t>
            </w:r>
          </w:p>
        </w:tc>
        <w:tc>
          <w:tcPr>
            <w:tcW w:w="666" w:type="pct"/>
          </w:tcPr>
          <w:p w:rsidR="00D31E5D" w:rsidRPr="00D31E5D" w:rsidRDefault="00D31E5D" w:rsidP="00D31E5D">
            <w:pPr>
              <w:rPr>
                <w:rFonts w:ascii="Arial Narrow" w:hAnsi="Arial Narrow" w:cs="Arial"/>
                <w:b/>
                <w:sz w:val="20"/>
                <w:szCs w:val="20"/>
              </w:rPr>
            </w:pPr>
            <w:r w:rsidRPr="00D31E5D">
              <w:rPr>
                <w:rFonts w:ascii="Arial Narrow" w:hAnsi="Arial Narrow" w:cs="Arial"/>
                <w:b/>
                <w:sz w:val="20"/>
                <w:szCs w:val="20"/>
              </w:rPr>
              <w:t>PBS Listed</w:t>
            </w:r>
          </w:p>
        </w:tc>
      </w:tr>
      <w:tr w:rsidR="00D31E5D" w:rsidRPr="00D31E5D" w:rsidTr="006560C6">
        <w:trPr>
          <w:cantSplit/>
        </w:trPr>
        <w:tc>
          <w:tcPr>
            <w:tcW w:w="1111" w:type="pct"/>
            <w:shd w:val="clear" w:color="auto" w:fill="auto"/>
          </w:tcPr>
          <w:p w:rsidR="00D31E5D" w:rsidRPr="00D31E5D" w:rsidRDefault="00D31E5D" w:rsidP="00D31E5D">
            <w:pPr>
              <w:spacing w:before="100" w:beforeAutospacing="1" w:after="100" w:afterAutospacing="1"/>
              <w:outlineLvl w:val="4"/>
              <w:rPr>
                <w:rFonts w:ascii="Arial Narrow" w:hAnsi="Arial Narrow" w:cs="Arial"/>
                <w:sz w:val="20"/>
                <w:szCs w:val="20"/>
              </w:rPr>
            </w:pPr>
            <w:proofErr w:type="spellStart"/>
            <w:r w:rsidRPr="00D31E5D">
              <w:rPr>
                <w:rFonts w:ascii="Arial Narrow" w:hAnsi="Arial Narrow" w:cs="Arial"/>
                <w:sz w:val="20"/>
                <w:szCs w:val="20"/>
              </w:rPr>
              <w:t>Neupogen</w:t>
            </w:r>
            <w:proofErr w:type="spellEnd"/>
            <w:r w:rsidRPr="00D31E5D">
              <w:rPr>
                <w:rFonts w:ascii="Arial Narrow" w:hAnsi="Arial Narrow" w:cs="Arial"/>
                <w:sz w:val="20"/>
                <w:szCs w:val="20"/>
              </w:rPr>
              <w:t>® (Amgen)</w:t>
            </w:r>
          </w:p>
          <w:p w:rsidR="00D31E5D" w:rsidRPr="00D31E5D" w:rsidRDefault="00D31E5D" w:rsidP="00D31E5D">
            <w:pPr>
              <w:spacing w:before="100" w:beforeAutospacing="1" w:after="100" w:afterAutospacing="1"/>
              <w:outlineLvl w:val="4"/>
              <w:rPr>
                <w:rFonts w:ascii="Arial Narrow" w:hAnsi="Arial Narrow" w:cs="Arial"/>
                <w:sz w:val="20"/>
                <w:szCs w:val="20"/>
              </w:rPr>
            </w:pPr>
            <w:r w:rsidRPr="00D31E5D">
              <w:rPr>
                <w:rFonts w:ascii="Arial Narrow" w:hAnsi="Arial Narrow" w:cs="Arial"/>
                <w:sz w:val="20"/>
                <w:szCs w:val="20"/>
                <w:lang w:val="en-US"/>
              </w:rPr>
              <w:t xml:space="preserve">Reference medicine </w:t>
            </w:r>
          </w:p>
        </w:tc>
        <w:tc>
          <w:tcPr>
            <w:tcW w:w="3223" w:type="pct"/>
            <w:shd w:val="clear" w:color="auto" w:fill="auto"/>
          </w:tcPr>
          <w:p w:rsidR="00D31E5D" w:rsidRPr="00D31E5D" w:rsidRDefault="00D31E5D" w:rsidP="00D31E5D">
            <w:pPr>
              <w:rPr>
                <w:rFonts w:ascii="Arial Narrow" w:hAnsi="Arial Narrow" w:cs="Arial"/>
                <w:sz w:val="20"/>
                <w:szCs w:val="20"/>
                <w:lang w:val="en-US"/>
              </w:rPr>
            </w:pPr>
            <w:r w:rsidRPr="00D31E5D">
              <w:rPr>
                <w:rFonts w:ascii="Arial Narrow" w:hAnsi="Arial Narrow" w:cs="Arial"/>
                <w:sz w:val="20"/>
                <w:szCs w:val="20"/>
                <w:lang w:val="en-US"/>
              </w:rPr>
              <w:t>Injection 300 micrograms in 1 mL</w:t>
            </w:r>
          </w:p>
          <w:p w:rsidR="00D31E5D" w:rsidRPr="00D31E5D" w:rsidRDefault="00D31E5D" w:rsidP="00D31E5D">
            <w:pPr>
              <w:ind w:firstLine="32"/>
              <w:rPr>
                <w:rFonts w:ascii="Arial Narrow" w:hAnsi="Arial Narrow" w:cs="Arial"/>
                <w:sz w:val="20"/>
                <w:szCs w:val="20"/>
                <w:lang w:val="en-US"/>
              </w:rPr>
            </w:pPr>
          </w:p>
          <w:p w:rsidR="00D31E5D" w:rsidRDefault="00D31E5D" w:rsidP="007A23E0">
            <w:pPr>
              <w:ind w:firstLine="32"/>
              <w:rPr>
                <w:rFonts w:ascii="Arial Narrow" w:hAnsi="Arial Narrow" w:cs="Arial"/>
                <w:strike/>
                <w:sz w:val="20"/>
                <w:szCs w:val="20"/>
                <w:lang w:val="en-US"/>
              </w:rPr>
            </w:pPr>
            <w:r w:rsidRPr="00D31E5D">
              <w:rPr>
                <w:rFonts w:ascii="Arial Narrow" w:hAnsi="Arial Narrow" w:cs="Arial"/>
                <w:sz w:val="20"/>
                <w:szCs w:val="20"/>
                <w:lang w:val="en-US"/>
              </w:rPr>
              <w:t>Injection 300 micrograms in 0.5 mL single use pre</w:t>
            </w:r>
            <w:r w:rsidRPr="00D31E5D">
              <w:rPr>
                <w:rFonts w:ascii="Arial Narrow" w:eastAsia="MS Mincho" w:hAnsi="Arial Narrow" w:cs="Arial" w:hint="eastAsia"/>
                <w:sz w:val="20"/>
                <w:szCs w:val="20"/>
                <w:lang w:val="en-US"/>
              </w:rPr>
              <w:t>‑</w:t>
            </w:r>
            <w:r w:rsidRPr="00D31E5D">
              <w:rPr>
                <w:rFonts w:ascii="Arial Narrow" w:hAnsi="Arial Narrow" w:cs="Arial"/>
                <w:sz w:val="20"/>
                <w:szCs w:val="20"/>
                <w:lang w:val="en-US"/>
              </w:rPr>
              <w:t xml:space="preserve">filled syringe </w:t>
            </w:r>
            <w:r w:rsidRPr="00D31E5D">
              <w:rPr>
                <w:rFonts w:ascii="Arial Narrow" w:hAnsi="Arial Narrow" w:cs="Arial"/>
                <w:strike/>
                <w:sz w:val="20"/>
                <w:szCs w:val="20"/>
                <w:lang w:val="en-US"/>
              </w:rPr>
              <w:t>(</w:t>
            </w:r>
            <w:proofErr w:type="spellStart"/>
            <w:r w:rsidRPr="00D31E5D">
              <w:rPr>
                <w:rFonts w:ascii="Arial Narrow" w:hAnsi="Arial Narrow" w:cs="Arial"/>
                <w:strike/>
                <w:sz w:val="20"/>
                <w:szCs w:val="20"/>
                <w:lang w:val="en-US"/>
              </w:rPr>
              <w:t>Neupogen</w:t>
            </w:r>
            <w:proofErr w:type="spellEnd"/>
            <w:r w:rsidRPr="00D31E5D">
              <w:rPr>
                <w:rFonts w:ascii="Arial Narrow" w:hAnsi="Arial Narrow" w:cs="Arial"/>
                <w:strike/>
                <w:sz w:val="20"/>
                <w:szCs w:val="20"/>
                <w:lang w:val="en-US"/>
              </w:rPr>
              <w:t>)</w:t>
            </w:r>
          </w:p>
          <w:p w:rsidR="007A23E0" w:rsidRPr="007A23E0" w:rsidRDefault="007A23E0" w:rsidP="007A23E0">
            <w:pPr>
              <w:ind w:firstLine="32"/>
              <w:rPr>
                <w:rFonts w:ascii="Arial Narrow" w:hAnsi="Arial Narrow" w:cs="Arial"/>
                <w:strike/>
                <w:sz w:val="20"/>
                <w:szCs w:val="20"/>
                <w:lang w:val="en-US"/>
              </w:rPr>
            </w:pPr>
          </w:p>
          <w:p w:rsidR="00D31E5D" w:rsidRPr="00D31E5D" w:rsidRDefault="00D31E5D" w:rsidP="00D31E5D">
            <w:pPr>
              <w:ind w:firstLine="32"/>
              <w:rPr>
                <w:rFonts w:ascii="Arial Narrow" w:hAnsi="Arial Narrow" w:cs="Arial"/>
                <w:sz w:val="20"/>
                <w:szCs w:val="20"/>
                <w:lang w:val="en-US"/>
              </w:rPr>
            </w:pPr>
            <w:r w:rsidRPr="00D31E5D">
              <w:rPr>
                <w:rFonts w:ascii="Arial Narrow" w:hAnsi="Arial Narrow" w:cs="Arial"/>
                <w:sz w:val="20"/>
                <w:szCs w:val="20"/>
                <w:lang w:val="en-US"/>
              </w:rPr>
              <w:t>Injection 480 micrograms in 1.6 mL</w:t>
            </w:r>
          </w:p>
          <w:p w:rsidR="00D31E5D" w:rsidRPr="00D31E5D" w:rsidRDefault="00D31E5D" w:rsidP="00D31E5D">
            <w:pPr>
              <w:ind w:firstLine="32"/>
              <w:rPr>
                <w:rFonts w:ascii="Arial Narrow" w:hAnsi="Arial Narrow" w:cs="Arial"/>
                <w:sz w:val="20"/>
                <w:szCs w:val="20"/>
                <w:lang w:val="en-US"/>
              </w:rPr>
            </w:pPr>
          </w:p>
          <w:p w:rsidR="00D31E5D" w:rsidRPr="00D31E5D" w:rsidRDefault="00D31E5D" w:rsidP="00D31E5D">
            <w:pPr>
              <w:ind w:firstLine="32"/>
              <w:rPr>
                <w:rFonts w:ascii="Arial Narrow" w:hAnsi="Arial Narrow" w:cs="Arial"/>
                <w:sz w:val="20"/>
                <w:szCs w:val="20"/>
                <w:lang w:val="en-US"/>
              </w:rPr>
            </w:pPr>
            <w:r w:rsidRPr="00D31E5D">
              <w:rPr>
                <w:rFonts w:ascii="Arial Narrow" w:hAnsi="Arial Narrow" w:cs="Arial"/>
                <w:sz w:val="20"/>
                <w:szCs w:val="20"/>
                <w:lang w:val="en-US"/>
              </w:rPr>
              <w:t>Injection 480 micrograms in 0.5 mL single use pre</w:t>
            </w:r>
            <w:r w:rsidRPr="00D31E5D">
              <w:rPr>
                <w:rFonts w:ascii="Arial Narrow" w:eastAsia="MS Mincho" w:hAnsi="Arial Narrow" w:cs="Arial" w:hint="eastAsia"/>
                <w:sz w:val="20"/>
                <w:szCs w:val="20"/>
                <w:lang w:val="en-US"/>
              </w:rPr>
              <w:t>‑</w:t>
            </w:r>
            <w:r w:rsidRPr="00D31E5D">
              <w:rPr>
                <w:rFonts w:ascii="Arial Narrow" w:hAnsi="Arial Narrow" w:cs="Arial"/>
                <w:sz w:val="20"/>
                <w:szCs w:val="20"/>
                <w:lang w:val="en-US"/>
              </w:rPr>
              <w:t xml:space="preserve">filled syringe </w:t>
            </w:r>
            <w:r w:rsidRPr="00D31E5D">
              <w:rPr>
                <w:rFonts w:ascii="Arial Narrow" w:hAnsi="Arial Narrow" w:cs="Arial"/>
                <w:strike/>
                <w:sz w:val="20"/>
                <w:szCs w:val="20"/>
                <w:lang w:val="en-US"/>
              </w:rPr>
              <w:t>(</w:t>
            </w:r>
            <w:proofErr w:type="spellStart"/>
            <w:r w:rsidRPr="00D31E5D">
              <w:rPr>
                <w:rFonts w:ascii="Arial Narrow" w:hAnsi="Arial Narrow" w:cs="Arial"/>
                <w:strike/>
                <w:sz w:val="20"/>
                <w:szCs w:val="20"/>
                <w:lang w:val="en-US"/>
              </w:rPr>
              <w:t>Neupogen</w:t>
            </w:r>
            <w:proofErr w:type="spellEnd"/>
            <w:r w:rsidRPr="00D31E5D">
              <w:rPr>
                <w:rFonts w:ascii="Arial Narrow" w:hAnsi="Arial Narrow" w:cs="Arial"/>
                <w:strike/>
                <w:sz w:val="20"/>
                <w:szCs w:val="20"/>
                <w:lang w:val="en-US"/>
              </w:rPr>
              <w:t>)</w:t>
            </w:r>
          </w:p>
        </w:tc>
        <w:tc>
          <w:tcPr>
            <w:tcW w:w="666" w:type="pct"/>
            <w:shd w:val="clear" w:color="auto" w:fill="auto"/>
          </w:tcPr>
          <w:p w:rsidR="00D31E5D" w:rsidRPr="00D31E5D" w:rsidRDefault="00D31E5D" w:rsidP="00D31E5D">
            <w:pPr>
              <w:rPr>
                <w:rFonts w:ascii="Arial Narrow" w:hAnsi="Arial Narrow" w:cs="Arial"/>
                <w:sz w:val="20"/>
                <w:szCs w:val="20"/>
                <w:lang w:val="en-US"/>
              </w:rPr>
            </w:pPr>
            <w:r w:rsidRPr="00D31E5D">
              <w:rPr>
                <w:rFonts w:ascii="Arial Narrow" w:hAnsi="Arial Narrow" w:cs="Arial"/>
                <w:sz w:val="20"/>
                <w:szCs w:val="20"/>
                <w:lang w:val="en-US"/>
              </w:rPr>
              <w:t>01/09/93</w:t>
            </w:r>
          </w:p>
        </w:tc>
      </w:tr>
      <w:tr w:rsidR="00D31E5D" w:rsidRPr="00D31E5D" w:rsidTr="006560C6">
        <w:trPr>
          <w:cantSplit/>
        </w:trPr>
        <w:tc>
          <w:tcPr>
            <w:tcW w:w="1111" w:type="pct"/>
          </w:tcPr>
          <w:p w:rsidR="00D31E5D" w:rsidRPr="00D31E5D" w:rsidRDefault="00D31E5D" w:rsidP="00D31E5D">
            <w:pPr>
              <w:spacing w:before="100" w:beforeAutospacing="1" w:after="100" w:afterAutospacing="1"/>
              <w:outlineLvl w:val="4"/>
              <w:rPr>
                <w:rFonts w:ascii="Arial Narrow" w:hAnsi="Arial Narrow" w:cs="Arial"/>
                <w:sz w:val="20"/>
                <w:szCs w:val="20"/>
                <w:lang w:val="en-US"/>
              </w:rPr>
            </w:pPr>
            <w:proofErr w:type="spellStart"/>
            <w:r w:rsidRPr="00D31E5D">
              <w:rPr>
                <w:rFonts w:ascii="Arial Narrow" w:hAnsi="Arial Narrow" w:cs="Arial"/>
                <w:sz w:val="20"/>
                <w:szCs w:val="20"/>
                <w:lang w:val="en-US"/>
              </w:rPr>
              <w:t>Nivestim</w:t>
            </w:r>
            <w:proofErr w:type="spellEnd"/>
            <w:r w:rsidRPr="00D31E5D">
              <w:rPr>
                <w:rFonts w:ascii="Arial Narrow" w:hAnsi="Arial Narrow" w:cs="Arial"/>
                <w:sz w:val="20"/>
                <w:szCs w:val="20"/>
                <w:lang w:val="en-US"/>
              </w:rPr>
              <w:t xml:space="preserve"> (Pfizer)</w:t>
            </w:r>
          </w:p>
          <w:p w:rsidR="00D31E5D" w:rsidRPr="00D31E5D" w:rsidRDefault="00D31E5D" w:rsidP="00D31E5D">
            <w:pPr>
              <w:spacing w:before="100" w:beforeAutospacing="1" w:after="100" w:afterAutospacing="1"/>
              <w:outlineLvl w:val="4"/>
              <w:rPr>
                <w:rFonts w:ascii="Arial Narrow" w:hAnsi="Arial Narrow" w:cs="Arial"/>
                <w:sz w:val="20"/>
                <w:szCs w:val="20"/>
              </w:rPr>
            </w:pPr>
            <w:r w:rsidRPr="00D31E5D">
              <w:rPr>
                <w:rFonts w:ascii="Arial Narrow" w:hAnsi="Arial Narrow" w:cs="Arial"/>
                <w:sz w:val="20"/>
                <w:szCs w:val="20"/>
                <w:lang w:val="en-US"/>
              </w:rPr>
              <w:t>Biosimilar</w:t>
            </w:r>
          </w:p>
        </w:tc>
        <w:tc>
          <w:tcPr>
            <w:tcW w:w="3223" w:type="pct"/>
          </w:tcPr>
          <w:p w:rsidR="00D31E5D" w:rsidRPr="00D31E5D" w:rsidRDefault="00D31E5D" w:rsidP="00D31E5D">
            <w:pPr>
              <w:rPr>
                <w:rFonts w:ascii="Arial Narrow" w:hAnsi="Arial Narrow" w:cs="Arial"/>
                <w:sz w:val="20"/>
                <w:szCs w:val="20"/>
                <w:lang w:val="en-US"/>
              </w:rPr>
            </w:pPr>
            <w:r w:rsidRPr="00D31E5D">
              <w:rPr>
                <w:rFonts w:ascii="Arial Narrow" w:hAnsi="Arial Narrow" w:cs="Arial"/>
                <w:sz w:val="20"/>
                <w:szCs w:val="20"/>
                <w:lang w:val="en-US"/>
              </w:rPr>
              <w:t>Injection 120 micrograms in 0.2 mL single use pre</w:t>
            </w:r>
            <w:r w:rsidRPr="00D31E5D">
              <w:rPr>
                <w:rFonts w:ascii="Arial Narrow" w:eastAsia="MS Mincho" w:hAnsi="Arial Narrow" w:cs="Arial" w:hint="eastAsia"/>
                <w:sz w:val="20"/>
                <w:szCs w:val="20"/>
                <w:lang w:val="en-US"/>
              </w:rPr>
              <w:t>‑</w:t>
            </w:r>
            <w:r w:rsidRPr="00D31E5D">
              <w:rPr>
                <w:rFonts w:ascii="Arial Narrow" w:hAnsi="Arial Narrow" w:cs="Arial"/>
                <w:sz w:val="20"/>
                <w:szCs w:val="20"/>
                <w:lang w:val="en-US"/>
              </w:rPr>
              <w:t xml:space="preserve">filled syringe </w:t>
            </w:r>
            <w:r w:rsidRPr="00D31E5D">
              <w:rPr>
                <w:rFonts w:ascii="Arial Narrow" w:hAnsi="Arial Narrow" w:cs="Arial"/>
                <w:strike/>
                <w:sz w:val="20"/>
                <w:szCs w:val="20"/>
                <w:lang w:val="en-US"/>
              </w:rPr>
              <w:t>(</w:t>
            </w:r>
            <w:proofErr w:type="spellStart"/>
            <w:r w:rsidRPr="00D31E5D">
              <w:rPr>
                <w:rFonts w:ascii="Arial Narrow" w:hAnsi="Arial Narrow" w:cs="Arial"/>
                <w:strike/>
                <w:sz w:val="20"/>
                <w:szCs w:val="20"/>
                <w:lang w:val="en-US"/>
              </w:rPr>
              <w:t>Nivestim</w:t>
            </w:r>
            <w:proofErr w:type="spellEnd"/>
            <w:r w:rsidRPr="00D31E5D">
              <w:rPr>
                <w:rFonts w:ascii="Arial Narrow" w:hAnsi="Arial Narrow" w:cs="Arial"/>
                <w:strike/>
                <w:sz w:val="20"/>
                <w:szCs w:val="20"/>
                <w:lang w:val="en-US"/>
              </w:rPr>
              <w:t>)</w:t>
            </w:r>
          </w:p>
          <w:p w:rsidR="00D31E5D" w:rsidRPr="00D31E5D" w:rsidRDefault="00D31E5D" w:rsidP="00D31E5D">
            <w:pPr>
              <w:rPr>
                <w:rFonts w:ascii="Arial Narrow" w:hAnsi="Arial Narrow" w:cs="Arial"/>
                <w:sz w:val="20"/>
                <w:szCs w:val="20"/>
                <w:lang w:val="en-US"/>
              </w:rPr>
            </w:pPr>
          </w:p>
          <w:p w:rsidR="00D31E5D" w:rsidRPr="00D31E5D" w:rsidRDefault="00D31E5D" w:rsidP="00D31E5D">
            <w:pPr>
              <w:rPr>
                <w:rFonts w:ascii="Arial Narrow" w:hAnsi="Arial Narrow" w:cs="Arial"/>
                <w:sz w:val="20"/>
                <w:szCs w:val="20"/>
                <w:lang w:val="en-US"/>
              </w:rPr>
            </w:pPr>
            <w:r w:rsidRPr="00D31E5D">
              <w:rPr>
                <w:rFonts w:ascii="Arial Narrow" w:hAnsi="Arial Narrow" w:cs="Arial"/>
                <w:sz w:val="20"/>
                <w:szCs w:val="20"/>
                <w:lang w:val="en-US"/>
              </w:rPr>
              <w:t>Injection 300 micrograms in 0.5 mL single use pre</w:t>
            </w:r>
            <w:r w:rsidRPr="00D31E5D">
              <w:rPr>
                <w:rFonts w:ascii="Arial Narrow" w:eastAsia="MS Mincho" w:hAnsi="Arial Narrow" w:cs="Arial" w:hint="eastAsia"/>
                <w:sz w:val="20"/>
                <w:szCs w:val="20"/>
                <w:lang w:val="en-US"/>
              </w:rPr>
              <w:t>‑</w:t>
            </w:r>
            <w:r w:rsidRPr="00D31E5D">
              <w:rPr>
                <w:rFonts w:ascii="Arial Narrow" w:hAnsi="Arial Narrow" w:cs="Arial"/>
                <w:sz w:val="20"/>
                <w:szCs w:val="20"/>
                <w:lang w:val="en-US"/>
              </w:rPr>
              <w:t xml:space="preserve">filled syringe </w:t>
            </w:r>
            <w:r w:rsidRPr="00D31E5D">
              <w:rPr>
                <w:rFonts w:ascii="Arial Narrow" w:hAnsi="Arial Narrow" w:cs="Arial"/>
                <w:strike/>
                <w:sz w:val="20"/>
                <w:szCs w:val="20"/>
                <w:lang w:val="en-US"/>
              </w:rPr>
              <w:t>(</w:t>
            </w:r>
            <w:proofErr w:type="spellStart"/>
            <w:r w:rsidRPr="00D31E5D">
              <w:rPr>
                <w:rFonts w:ascii="Arial Narrow" w:hAnsi="Arial Narrow" w:cs="Arial"/>
                <w:strike/>
                <w:sz w:val="20"/>
                <w:szCs w:val="20"/>
                <w:lang w:val="en-US"/>
              </w:rPr>
              <w:t>Nivestim</w:t>
            </w:r>
            <w:proofErr w:type="spellEnd"/>
            <w:r w:rsidRPr="00D31E5D">
              <w:rPr>
                <w:rFonts w:ascii="Arial Narrow" w:hAnsi="Arial Narrow" w:cs="Arial"/>
                <w:strike/>
                <w:sz w:val="20"/>
                <w:szCs w:val="20"/>
                <w:lang w:val="en-US"/>
              </w:rPr>
              <w:t>)</w:t>
            </w:r>
          </w:p>
          <w:p w:rsidR="00D31E5D" w:rsidRPr="00D31E5D" w:rsidRDefault="00D31E5D" w:rsidP="00D31E5D">
            <w:pPr>
              <w:rPr>
                <w:rFonts w:ascii="Arial Narrow" w:hAnsi="Arial Narrow" w:cs="Arial"/>
                <w:sz w:val="20"/>
                <w:szCs w:val="20"/>
                <w:lang w:val="en-US"/>
              </w:rPr>
            </w:pPr>
          </w:p>
          <w:p w:rsidR="00D31E5D" w:rsidRPr="00D31E5D" w:rsidRDefault="00D31E5D" w:rsidP="00D31E5D">
            <w:pPr>
              <w:rPr>
                <w:rFonts w:ascii="Arial Narrow" w:hAnsi="Arial Narrow" w:cs="Arial"/>
                <w:sz w:val="20"/>
                <w:szCs w:val="20"/>
                <w:lang w:val="en-US"/>
              </w:rPr>
            </w:pPr>
            <w:r w:rsidRPr="00D31E5D">
              <w:rPr>
                <w:rFonts w:ascii="Arial Narrow" w:hAnsi="Arial Narrow" w:cs="Arial"/>
                <w:sz w:val="20"/>
                <w:szCs w:val="20"/>
                <w:lang w:val="en-US"/>
              </w:rPr>
              <w:t>Injection 480 micrograms in 0.5 mL single use pre</w:t>
            </w:r>
            <w:r w:rsidRPr="00D31E5D">
              <w:rPr>
                <w:rFonts w:ascii="Arial Narrow" w:eastAsia="MS Mincho" w:hAnsi="Arial Narrow" w:cs="Arial" w:hint="eastAsia"/>
                <w:sz w:val="20"/>
                <w:szCs w:val="20"/>
                <w:lang w:val="en-US"/>
              </w:rPr>
              <w:t>‑</w:t>
            </w:r>
            <w:r w:rsidRPr="00D31E5D">
              <w:rPr>
                <w:rFonts w:ascii="Arial Narrow" w:hAnsi="Arial Narrow" w:cs="Arial"/>
                <w:sz w:val="20"/>
                <w:szCs w:val="20"/>
                <w:lang w:val="en-US"/>
              </w:rPr>
              <w:t xml:space="preserve">filled syringe </w:t>
            </w:r>
            <w:r w:rsidRPr="00D31E5D">
              <w:rPr>
                <w:rFonts w:ascii="Arial Narrow" w:hAnsi="Arial Narrow" w:cs="Arial"/>
                <w:strike/>
                <w:sz w:val="20"/>
                <w:szCs w:val="20"/>
                <w:lang w:val="en-US"/>
              </w:rPr>
              <w:t>(</w:t>
            </w:r>
            <w:proofErr w:type="spellStart"/>
            <w:r w:rsidRPr="00D31E5D">
              <w:rPr>
                <w:rFonts w:ascii="Arial Narrow" w:hAnsi="Arial Narrow" w:cs="Arial"/>
                <w:strike/>
                <w:sz w:val="20"/>
                <w:szCs w:val="20"/>
                <w:lang w:val="en-US"/>
              </w:rPr>
              <w:t>Nivestim</w:t>
            </w:r>
            <w:proofErr w:type="spellEnd"/>
            <w:r w:rsidRPr="00D31E5D">
              <w:rPr>
                <w:rFonts w:ascii="Arial Narrow" w:hAnsi="Arial Narrow" w:cs="Arial"/>
                <w:strike/>
                <w:sz w:val="20"/>
                <w:szCs w:val="20"/>
                <w:lang w:val="en-US"/>
              </w:rPr>
              <w:t>)</w:t>
            </w:r>
          </w:p>
        </w:tc>
        <w:tc>
          <w:tcPr>
            <w:tcW w:w="666" w:type="pct"/>
          </w:tcPr>
          <w:p w:rsidR="00D31E5D" w:rsidRPr="00D31E5D" w:rsidRDefault="00D31E5D" w:rsidP="00D31E5D">
            <w:pPr>
              <w:rPr>
                <w:rFonts w:ascii="Arial Narrow" w:hAnsi="Arial Narrow" w:cs="Arial"/>
                <w:sz w:val="20"/>
                <w:szCs w:val="20"/>
                <w:lang w:val="en-US"/>
              </w:rPr>
            </w:pPr>
            <w:r w:rsidRPr="00D31E5D">
              <w:rPr>
                <w:rFonts w:ascii="Arial Narrow" w:hAnsi="Arial Narrow" w:cs="Arial"/>
                <w:sz w:val="20"/>
                <w:szCs w:val="20"/>
                <w:lang w:val="en-US"/>
              </w:rPr>
              <w:t>01/04/11</w:t>
            </w:r>
          </w:p>
        </w:tc>
      </w:tr>
      <w:tr w:rsidR="00D31E5D" w:rsidRPr="00D31E5D" w:rsidTr="006560C6">
        <w:trPr>
          <w:cantSplit/>
        </w:trPr>
        <w:tc>
          <w:tcPr>
            <w:tcW w:w="1111" w:type="pct"/>
          </w:tcPr>
          <w:p w:rsidR="00D31E5D" w:rsidRPr="00D31E5D" w:rsidRDefault="00D31E5D" w:rsidP="00D31E5D">
            <w:pPr>
              <w:spacing w:before="100" w:beforeAutospacing="1" w:after="100" w:afterAutospacing="1"/>
              <w:outlineLvl w:val="4"/>
              <w:rPr>
                <w:rFonts w:ascii="Arial Narrow" w:hAnsi="Arial Narrow" w:cs="Arial"/>
                <w:sz w:val="20"/>
                <w:szCs w:val="20"/>
                <w:lang w:val="en-US"/>
              </w:rPr>
            </w:pPr>
            <w:proofErr w:type="spellStart"/>
            <w:r w:rsidRPr="00D31E5D">
              <w:rPr>
                <w:rFonts w:ascii="Arial Narrow" w:hAnsi="Arial Narrow" w:cs="Arial"/>
                <w:sz w:val="20"/>
                <w:szCs w:val="20"/>
                <w:lang w:val="en-US"/>
              </w:rPr>
              <w:t>Tevagrastim</w:t>
            </w:r>
            <w:proofErr w:type="spellEnd"/>
            <w:r w:rsidRPr="00D31E5D">
              <w:rPr>
                <w:rFonts w:ascii="Arial Narrow" w:hAnsi="Arial Narrow" w:cs="Arial"/>
                <w:sz w:val="20"/>
                <w:szCs w:val="20"/>
                <w:lang w:val="en-US"/>
              </w:rPr>
              <w:t xml:space="preserve"> (Aspen)</w:t>
            </w:r>
          </w:p>
          <w:p w:rsidR="00D31E5D" w:rsidRPr="00D31E5D" w:rsidRDefault="00D31E5D" w:rsidP="00D31E5D">
            <w:pPr>
              <w:spacing w:before="100" w:beforeAutospacing="1" w:after="100" w:afterAutospacing="1"/>
              <w:outlineLvl w:val="4"/>
              <w:rPr>
                <w:rFonts w:ascii="Arial Narrow" w:hAnsi="Arial Narrow" w:cs="Arial"/>
                <w:sz w:val="20"/>
                <w:szCs w:val="20"/>
                <w:lang w:val="en-US"/>
              </w:rPr>
            </w:pPr>
            <w:r w:rsidRPr="00D31E5D">
              <w:rPr>
                <w:rFonts w:ascii="Arial Narrow" w:hAnsi="Arial Narrow" w:cs="Arial"/>
                <w:sz w:val="20"/>
                <w:szCs w:val="20"/>
                <w:lang w:val="en-US"/>
              </w:rPr>
              <w:t>Biosimilar</w:t>
            </w:r>
          </w:p>
        </w:tc>
        <w:tc>
          <w:tcPr>
            <w:tcW w:w="3223" w:type="pct"/>
          </w:tcPr>
          <w:p w:rsidR="00D31E5D" w:rsidRPr="00D31E5D" w:rsidRDefault="00D31E5D" w:rsidP="00D31E5D">
            <w:pPr>
              <w:rPr>
                <w:rFonts w:ascii="Arial Narrow" w:hAnsi="Arial Narrow" w:cs="Arial"/>
                <w:sz w:val="20"/>
                <w:szCs w:val="20"/>
                <w:lang w:val="en-US"/>
              </w:rPr>
            </w:pPr>
            <w:r w:rsidRPr="00D31E5D">
              <w:rPr>
                <w:rFonts w:ascii="Arial Narrow" w:hAnsi="Arial Narrow" w:cs="Arial"/>
                <w:sz w:val="20"/>
                <w:szCs w:val="20"/>
                <w:lang w:val="en-US"/>
              </w:rPr>
              <w:t>Injection 300 micrograms in 0.5 mL single use pre</w:t>
            </w:r>
            <w:r w:rsidRPr="00D31E5D">
              <w:rPr>
                <w:rFonts w:ascii="Arial Narrow" w:eastAsia="MS Mincho" w:hAnsi="Arial Narrow" w:cs="Arial" w:hint="eastAsia"/>
                <w:sz w:val="20"/>
                <w:szCs w:val="20"/>
                <w:lang w:val="en-US"/>
              </w:rPr>
              <w:t>‑</w:t>
            </w:r>
            <w:r w:rsidRPr="00D31E5D">
              <w:rPr>
                <w:rFonts w:ascii="Arial Narrow" w:hAnsi="Arial Narrow" w:cs="Arial"/>
                <w:sz w:val="20"/>
                <w:szCs w:val="20"/>
                <w:lang w:val="en-US"/>
              </w:rPr>
              <w:t xml:space="preserve">filled syringe </w:t>
            </w:r>
            <w:r w:rsidRPr="00D31E5D">
              <w:rPr>
                <w:rFonts w:ascii="Arial Narrow" w:hAnsi="Arial Narrow" w:cs="Arial"/>
                <w:strike/>
                <w:sz w:val="20"/>
                <w:szCs w:val="20"/>
                <w:lang w:val="en-US"/>
              </w:rPr>
              <w:t>(</w:t>
            </w:r>
            <w:proofErr w:type="spellStart"/>
            <w:r w:rsidRPr="00D31E5D">
              <w:rPr>
                <w:rFonts w:ascii="Arial Narrow" w:hAnsi="Arial Narrow" w:cs="Arial"/>
                <w:strike/>
                <w:sz w:val="20"/>
                <w:szCs w:val="20"/>
                <w:lang w:val="en-US"/>
              </w:rPr>
              <w:t>TevaGrastim</w:t>
            </w:r>
            <w:proofErr w:type="spellEnd"/>
            <w:r w:rsidRPr="00D31E5D">
              <w:rPr>
                <w:rFonts w:ascii="Arial Narrow" w:hAnsi="Arial Narrow" w:cs="Arial"/>
                <w:strike/>
                <w:sz w:val="20"/>
                <w:szCs w:val="20"/>
                <w:lang w:val="en-US"/>
              </w:rPr>
              <w:t>)</w:t>
            </w:r>
          </w:p>
          <w:p w:rsidR="00D31E5D" w:rsidRPr="00D31E5D" w:rsidRDefault="00D31E5D" w:rsidP="00D31E5D">
            <w:pPr>
              <w:rPr>
                <w:rFonts w:ascii="Arial Narrow" w:hAnsi="Arial Narrow" w:cs="Arial"/>
                <w:sz w:val="20"/>
                <w:szCs w:val="20"/>
                <w:lang w:val="en-US"/>
              </w:rPr>
            </w:pPr>
          </w:p>
          <w:p w:rsidR="00D31E5D" w:rsidRPr="00D31E5D" w:rsidRDefault="00D31E5D" w:rsidP="00D31E5D">
            <w:pPr>
              <w:rPr>
                <w:rFonts w:ascii="Arial Narrow" w:hAnsi="Arial Narrow" w:cs="Arial"/>
                <w:sz w:val="20"/>
                <w:szCs w:val="20"/>
                <w:lang w:val="en-US"/>
              </w:rPr>
            </w:pPr>
            <w:r w:rsidRPr="00D31E5D">
              <w:rPr>
                <w:rFonts w:ascii="Arial Narrow" w:hAnsi="Arial Narrow" w:cs="Arial"/>
                <w:sz w:val="20"/>
                <w:szCs w:val="20"/>
                <w:lang w:val="en-US"/>
              </w:rPr>
              <w:t>Injection 480 micrograms in 0.8 mL single use pre</w:t>
            </w:r>
            <w:r w:rsidRPr="00D31E5D">
              <w:rPr>
                <w:rFonts w:ascii="Arial Narrow" w:eastAsia="MS Mincho" w:hAnsi="Arial Narrow" w:cs="Arial" w:hint="eastAsia"/>
                <w:sz w:val="20"/>
                <w:szCs w:val="20"/>
                <w:lang w:val="en-US"/>
              </w:rPr>
              <w:t>‑</w:t>
            </w:r>
            <w:r w:rsidRPr="00D31E5D">
              <w:rPr>
                <w:rFonts w:ascii="Arial Narrow" w:hAnsi="Arial Narrow" w:cs="Arial"/>
                <w:sz w:val="20"/>
                <w:szCs w:val="20"/>
                <w:lang w:val="en-US"/>
              </w:rPr>
              <w:t xml:space="preserve">filled syringe </w:t>
            </w:r>
            <w:r w:rsidRPr="00D31E5D">
              <w:rPr>
                <w:rFonts w:ascii="Arial Narrow" w:hAnsi="Arial Narrow" w:cs="Arial"/>
                <w:strike/>
                <w:sz w:val="20"/>
                <w:szCs w:val="20"/>
                <w:lang w:val="en-US"/>
              </w:rPr>
              <w:t>(</w:t>
            </w:r>
            <w:proofErr w:type="spellStart"/>
            <w:r w:rsidRPr="00D31E5D">
              <w:rPr>
                <w:rFonts w:ascii="Arial Narrow" w:hAnsi="Arial Narrow" w:cs="Arial"/>
                <w:strike/>
                <w:sz w:val="20"/>
                <w:szCs w:val="20"/>
                <w:lang w:val="en-US"/>
              </w:rPr>
              <w:t>TevaGrastim</w:t>
            </w:r>
            <w:proofErr w:type="spellEnd"/>
            <w:r w:rsidRPr="00D31E5D">
              <w:rPr>
                <w:rFonts w:ascii="Arial Narrow" w:hAnsi="Arial Narrow" w:cs="Arial"/>
                <w:strike/>
                <w:sz w:val="20"/>
                <w:szCs w:val="20"/>
                <w:lang w:val="en-US"/>
              </w:rPr>
              <w:t>)</w:t>
            </w:r>
          </w:p>
        </w:tc>
        <w:tc>
          <w:tcPr>
            <w:tcW w:w="666" w:type="pct"/>
          </w:tcPr>
          <w:p w:rsidR="00D31E5D" w:rsidRPr="00D31E5D" w:rsidRDefault="00D31E5D" w:rsidP="00D31E5D">
            <w:pPr>
              <w:rPr>
                <w:rFonts w:ascii="Arial Narrow" w:hAnsi="Arial Narrow" w:cs="Arial"/>
                <w:sz w:val="20"/>
                <w:szCs w:val="20"/>
                <w:lang w:val="en-US"/>
              </w:rPr>
            </w:pPr>
            <w:r w:rsidRPr="00D31E5D">
              <w:rPr>
                <w:rFonts w:ascii="Arial Narrow" w:hAnsi="Arial Narrow" w:cs="Arial"/>
                <w:sz w:val="20"/>
                <w:szCs w:val="20"/>
                <w:lang w:val="en-US"/>
              </w:rPr>
              <w:t>01/03/12</w:t>
            </w:r>
          </w:p>
        </w:tc>
      </w:tr>
      <w:tr w:rsidR="00D31E5D" w:rsidRPr="00D31E5D" w:rsidTr="006560C6">
        <w:trPr>
          <w:cantSplit/>
        </w:trPr>
        <w:tc>
          <w:tcPr>
            <w:tcW w:w="1111" w:type="pct"/>
          </w:tcPr>
          <w:p w:rsidR="00D31E5D" w:rsidRPr="00D31E5D" w:rsidRDefault="00D31E5D" w:rsidP="00D31E5D">
            <w:pPr>
              <w:spacing w:before="100" w:beforeAutospacing="1" w:after="100" w:afterAutospacing="1"/>
              <w:outlineLvl w:val="4"/>
              <w:rPr>
                <w:rFonts w:ascii="Arial Narrow" w:hAnsi="Arial Narrow" w:cs="Arial"/>
                <w:sz w:val="20"/>
                <w:szCs w:val="20"/>
                <w:lang w:val="en-US"/>
              </w:rPr>
            </w:pPr>
            <w:proofErr w:type="spellStart"/>
            <w:r w:rsidRPr="00D31E5D">
              <w:rPr>
                <w:rFonts w:ascii="Arial Narrow" w:hAnsi="Arial Narrow" w:cs="Arial"/>
                <w:sz w:val="20"/>
                <w:szCs w:val="20"/>
                <w:lang w:val="en-US"/>
              </w:rPr>
              <w:t>Zarzio</w:t>
            </w:r>
            <w:proofErr w:type="spellEnd"/>
            <w:r w:rsidRPr="00D31E5D">
              <w:rPr>
                <w:rFonts w:ascii="Arial Narrow" w:hAnsi="Arial Narrow" w:cs="Arial"/>
                <w:sz w:val="20"/>
                <w:szCs w:val="20"/>
                <w:lang w:val="en-US"/>
              </w:rPr>
              <w:t xml:space="preserve"> (Sandoz)</w:t>
            </w:r>
          </w:p>
          <w:p w:rsidR="00D31E5D" w:rsidRPr="00D31E5D" w:rsidRDefault="00D31E5D" w:rsidP="00D31E5D">
            <w:pPr>
              <w:spacing w:before="100" w:beforeAutospacing="1" w:after="100" w:afterAutospacing="1"/>
              <w:outlineLvl w:val="4"/>
              <w:rPr>
                <w:rFonts w:ascii="Arial Narrow" w:hAnsi="Arial Narrow" w:cs="Arial"/>
                <w:sz w:val="20"/>
                <w:szCs w:val="20"/>
                <w:lang w:val="en-US"/>
              </w:rPr>
            </w:pPr>
            <w:r w:rsidRPr="00D31E5D">
              <w:rPr>
                <w:rFonts w:ascii="Arial Narrow" w:hAnsi="Arial Narrow" w:cs="Arial"/>
                <w:sz w:val="20"/>
                <w:szCs w:val="20"/>
                <w:lang w:val="en-US"/>
              </w:rPr>
              <w:t>Biosimilar</w:t>
            </w:r>
          </w:p>
        </w:tc>
        <w:tc>
          <w:tcPr>
            <w:tcW w:w="3223" w:type="pct"/>
          </w:tcPr>
          <w:p w:rsidR="00D31E5D" w:rsidRPr="00D31E5D" w:rsidRDefault="00D31E5D" w:rsidP="00D31E5D">
            <w:pPr>
              <w:rPr>
                <w:rFonts w:ascii="Arial Narrow" w:hAnsi="Arial Narrow" w:cs="Arial"/>
                <w:sz w:val="20"/>
                <w:szCs w:val="20"/>
                <w:lang w:val="en-US"/>
              </w:rPr>
            </w:pPr>
            <w:r w:rsidRPr="00D31E5D">
              <w:rPr>
                <w:rFonts w:ascii="Arial Narrow" w:hAnsi="Arial Narrow" w:cs="Arial"/>
                <w:sz w:val="20"/>
                <w:szCs w:val="20"/>
                <w:lang w:val="en-US"/>
              </w:rPr>
              <w:t xml:space="preserve">Injection 300 micrograms in 0.5 mL single use pre-filled syringe </w:t>
            </w:r>
            <w:r w:rsidRPr="00D31E5D">
              <w:rPr>
                <w:rFonts w:ascii="Arial Narrow" w:hAnsi="Arial Narrow" w:cs="Arial"/>
                <w:strike/>
                <w:sz w:val="20"/>
                <w:szCs w:val="20"/>
                <w:lang w:val="en-US"/>
              </w:rPr>
              <w:t>(</w:t>
            </w:r>
            <w:proofErr w:type="spellStart"/>
            <w:r w:rsidRPr="00D31E5D">
              <w:rPr>
                <w:rFonts w:ascii="Arial Narrow" w:hAnsi="Arial Narrow" w:cs="Arial"/>
                <w:strike/>
                <w:sz w:val="20"/>
                <w:szCs w:val="20"/>
                <w:lang w:val="en-US"/>
              </w:rPr>
              <w:t>Zarzio</w:t>
            </w:r>
            <w:proofErr w:type="spellEnd"/>
            <w:r w:rsidRPr="00D31E5D">
              <w:rPr>
                <w:rFonts w:ascii="Arial Narrow" w:hAnsi="Arial Narrow" w:cs="Arial"/>
                <w:strike/>
                <w:sz w:val="20"/>
                <w:szCs w:val="20"/>
                <w:lang w:val="en-US"/>
              </w:rPr>
              <w:t>)</w:t>
            </w:r>
          </w:p>
          <w:p w:rsidR="00D31E5D" w:rsidRPr="00D31E5D" w:rsidRDefault="00D31E5D" w:rsidP="00D31E5D">
            <w:pPr>
              <w:rPr>
                <w:rFonts w:ascii="Arial Narrow" w:hAnsi="Arial Narrow" w:cs="Arial"/>
                <w:sz w:val="20"/>
                <w:szCs w:val="20"/>
                <w:lang w:val="en-US"/>
              </w:rPr>
            </w:pPr>
          </w:p>
          <w:p w:rsidR="00D31E5D" w:rsidRPr="00D31E5D" w:rsidRDefault="00D31E5D" w:rsidP="00D31E5D">
            <w:pPr>
              <w:rPr>
                <w:rFonts w:ascii="Arial Narrow" w:hAnsi="Arial Narrow" w:cs="Arial"/>
                <w:sz w:val="20"/>
                <w:szCs w:val="20"/>
                <w:lang w:val="en-US"/>
              </w:rPr>
            </w:pPr>
            <w:r w:rsidRPr="00D31E5D">
              <w:rPr>
                <w:rFonts w:ascii="Arial Narrow" w:hAnsi="Arial Narrow" w:cs="Arial"/>
                <w:sz w:val="20"/>
                <w:szCs w:val="20"/>
                <w:lang w:val="en-US"/>
              </w:rPr>
              <w:t xml:space="preserve">Injection 480 micrograms in 0.5 mL single use pre-filled syringe </w:t>
            </w:r>
            <w:r w:rsidRPr="00D31E5D">
              <w:rPr>
                <w:rFonts w:ascii="Arial Narrow" w:hAnsi="Arial Narrow" w:cs="Arial"/>
                <w:strike/>
                <w:sz w:val="20"/>
                <w:szCs w:val="20"/>
                <w:lang w:val="en-US"/>
              </w:rPr>
              <w:t>(</w:t>
            </w:r>
            <w:proofErr w:type="spellStart"/>
            <w:r w:rsidRPr="00D31E5D">
              <w:rPr>
                <w:rFonts w:ascii="Arial Narrow" w:hAnsi="Arial Narrow" w:cs="Arial"/>
                <w:strike/>
                <w:sz w:val="20"/>
                <w:szCs w:val="20"/>
                <w:lang w:val="en-US"/>
              </w:rPr>
              <w:t>Zarzio</w:t>
            </w:r>
            <w:proofErr w:type="spellEnd"/>
            <w:r w:rsidRPr="00D31E5D">
              <w:rPr>
                <w:rFonts w:ascii="Arial Narrow" w:hAnsi="Arial Narrow" w:cs="Arial"/>
                <w:strike/>
                <w:sz w:val="20"/>
                <w:szCs w:val="20"/>
                <w:lang w:val="en-US"/>
              </w:rPr>
              <w:t>)</w:t>
            </w:r>
          </w:p>
        </w:tc>
        <w:tc>
          <w:tcPr>
            <w:tcW w:w="666" w:type="pct"/>
          </w:tcPr>
          <w:p w:rsidR="00D31E5D" w:rsidRPr="00D31E5D" w:rsidRDefault="00D31E5D" w:rsidP="00D31E5D">
            <w:pPr>
              <w:rPr>
                <w:rFonts w:ascii="Arial Narrow" w:hAnsi="Arial Narrow" w:cs="Arial"/>
                <w:sz w:val="20"/>
                <w:szCs w:val="20"/>
                <w:lang w:val="en-US"/>
              </w:rPr>
            </w:pPr>
            <w:r w:rsidRPr="00D31E5D">
              <w:rPr>
                <w:rFonts w:ascii="Arial Narrow" w:hAnsi="Arial Narrow" w:cs="Arial"/>
                <w:sz w:val="20"/>
                <w:szCs w:val="20"/>
                <w:lang w:val="en-US"/>
              </w:rPr>
              <w:t>01/09/13</w:t>
            </w:r>
          </w:p>
        </w:tc>
      </w:tr>
    </w:tbl>
    <w:p w:rsidR="00D31E5D" w:rsidRPr="00D31E5D" w:rsidRDefault="00D31E5D" w:rsidP="00D31E5D">
      <w:pPr>
        <w:spacing w:after="120"/>
        <w:rPr>
          <w:rFonts w:ascii="Arial Narrow" w:eastAsiaTheme="minorHAnsi" w:hAnsi="Arial Narrow" w:cstheme="minorBidi"/>
          <w:sz w:val="20"/>
          <w:szCs w:val="20"/>
        </w:rPr>
      </w:pPr>
      <w:r w:rsidRPr="00D31E5D">
        <w:rPr>
          <w:rFonts w:ascii="Arial Narrow" w:eastAsiaTheme="minorHAnsi" w:hAnsi="Arial Narrow" w:cstheme="minorBidi"/>
          <w:sz w:val="20"/>
          <w:szCs w:val="20"/>
        </w:rPr>
        <w:t>Source: Compiled by the Secretariat</w:t>
      </w:r>
    </w:p>
    <w:p w:rsidR="00D31E5D" w:rsidRPr="00D31E5D" w:rsidRDefault="00D31E5D" w:rsidP="00D31E5D">
      <w:pPr>
        <w:widowControl w:val="0"/>
        <w:numPr>
          <w:ilvl w:val="1"/>
          <w:numId w:val="5"/>
        </w:numPr>
        <w:spacing w:after="120"/>
        <w:jc w:val="both"/>
        <w:rPr>
          <w:rFonts w:asciiTheme="minorHAnsi" w:hAnsiTheme="minorHAnsi" w:cs="Arial"/>
          <w:bCs/>
          <w:snapToGrid w:val="0"/>
          <w:lang w:val="en-GB"/>
        </w:rPr>
      </w:pPr>
      <w:r w:rsidRPr="00D31E5D">
        <w:rPr>
          <w:rFonts w:asciiTheme="minorHAnsi" w:hAnsiTheme="minorHAnsi" w:cs="Arial"/>
          <w:bCs/>
          <w:snapToGrid w:val="0"/>
          <w:lang w:val="en-GB"/>
        </w:rPr>
        <w:t>Implement brand equivalence (‘a’ flag) in the schedule across all filgrastim brands currently listed.</w:t>
      </w:r>
    </w:p>
    <w:p w:rsidR="0025767C" w:rsidRDefault="00D31E5D" w:rsidP="00D31E5D">
      <w:pPr>
        <w:widowControl w:val="0"/>
        <w:spacing w:after="120"/>
        <w:jc w:val="both"/>
        <w:rPr>
          <w:rFonts w:asciiTheme="minorHAnsi" w:hAnsiTheme="minorHAnsi" w:cs="Arial"/>
          <w:bCs/>
          <w:i/>
          <w:snapToGrid w:val="0"/>
          <w:lang w:val="en-GB"/>
        </w:rPr>
      </w:pPr>
      <w:r w:rsidRPr="00D31E5D">
        <w:rPr>
          <w:rFonts w:asciiTheme="minorHAnsi" w:hAnsiTheme="minorHAnsi" w:cs="Arial"/>
          <w:bCs/>
          <w:i/>
          <w:snapToGrid w:val="0"/>
          <w:lang w:val="en-GB"/>
        </w:rPr>
        <w:t>Restriction changes to be finalised.</w:t>
      </w:r>
    </w:p>
    <w:p w:rsidR="00D31E5D" w:rsidRPr="007A23E0" w:rsidRDefault="0025767C" w:rsidP="007A23E0">
      <w:pPr>
        <w:rPr>
          <w:snapToGrid w:val="0"/>
          <w:lang w:val="en-GB"/>
        </w:rPr>
      </w:pPr>
      <w:r>
        <w:rPr>
          <w:snapToGrid w:val="0"/>
          <w:lang w:val="en-GB"/>
        </w:rPr>
        <w:br w:type="page"/>
      </w:r>
    </w:p>
    <w:p w:rsidR="008745B3" w:rsidRDefault="008745B3" w:rsidP="008745B3">
      <w:pPr>
        <w:widowControl w:val="0"/>
        <w:numPr>
          <w:ilvl w:val="0"/>
          <w:numId w:val="5"/>
        </w:numPr>
        <w:spacing w:before="240" w:after="120"/>
        <w:outlineLvl w:val="0"/>
        <w:rPr>
          <w:rFonts w:asciiTheme="minorHAnsi" w:hAnsiTheme="minorHAnsi" w:cs="Arial"/>
          <w:b/>
          <w:bCs/>
          <w:snapToGrid w:val="0"/>
          <w:sz w:val="32"/>
        </w:rPr>
      </w:pPr>
      <w:r>
        <w:rPr>
          <w:rFonts w:asciiTheme="minorHAnsi" w:hAnsiTheme="minorHAnsi" w:cs="Arial"/>
          <w:b/>
          <w:bCs/>
          <w:snapToGrid w:val="0"/>
          <w:sz w:val="32"/>
        </w:rPr>
        <w:lastRenderedPageBreak/>
        <w:t>Context for Decision</w:t>
      </w:r>
    </w:p>
    <w:p w:rsidR="008745B3" w:rsidRPr="008745B3" w:rsidRDefault="008745B3" w:rsidP="008745B3">
      <w:pPr>
        <w:jc w:val="both"/>
        <w:rPr>
          <w:rFonts w:asciiTheme="minorHAnsi" w:hAnsiTheme="minorHAnsi" w:cs="Arial"/>
          <w:b/>
          <w:bCs/>
          <w:snapToGrid w:val="0"/>
          <w:sz w:val="32"/>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745B3" w:rsidRPr="008745B3" w:rsidRDefault="008745B3" w:rsidP="008745B3">
      <w:pPr>
        <w:widowControl w:val="0"/>
        <w:numPr>
          <w:ilvl w:val="0"/>
          <w:numId w:val="5"/>
        </w:numPr>
        <w:spacing w:before="240" w:after="120"/>
        <w:outlineLvl w:val="0"/>
        <w:rPr>
          <w:rFonts w:asciiTheme="minorHAnsi" w:hAnsiTheme="minorHAnsi" w:cs="Arial"/>
          <w:b/>
          <w:bCs/>
          <w:snapToGrid w:val="0"/>
          <w:sz w:val="32"/>
        </w:rPr>
      </w:pPr>
      <w:r>
        <w:rPr>
          <w:rFonts w:asciiTheme="minorHAnsi" w:hAnsiTheme="minorHAnsi" w:cs="Arial"/>
          <w:b/>
          <w:bCs/>
          <w:snapToGrid w:val="0"/>
          <w:sz w:val="32"/>
        </w:rPr>
        <w:t xml:space="preserve">Sponsor’s Comment </w:t>
      </w:r>
    </w:p>
    <w:p w:rsidR="008745B3" w:rsidRPr="00C07617" w:rsidRDefault="008745B3" w:rsidP="008745B3">
      <w:pPr>
        <w:spacing w:after="120"/>
        <w:jc w:val="both"/>
        <w:rPr>
          <w:rFonts w:asciiTheme="minorHAnsi" w:hAnsiTheme="minorHAnsi" w:cs="Arial"/>
          <w:bCs/>
        </w:rPr>
      </w:pPr>
      <w:r w:rsidRPr="00C07617">
        <w:rPr>
          <w:rFonts w:asciiTheme="minorHAnsi" w:hAnsiTheme="minorHAnsi" w:cs="Arial"/>
          <w:bCs/>
        </w:rPr>
        <w:t>The sponsor had no comment.</w:t>
      </w:r>
    </w:p>
    <w:p w:rsidR="002608C2" w:rsidRPr="00D31E5D" w:rsidRDefault="002608C2" w:rsidP="00D31E5D">
      <w:pPr>
        <w:rPr>
          <w:rFonts w:asciiTheme="minorHAnsi" w:hAnsiTheme="minorHAnsi" w:cs="Arial"/>
        </w:rPr>
      </w:pPr>
    </w:p>
    <w:sectPr w:rsidR="002608C2" w:rsidRPr="00D31E5D"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960" w:rsidRDefault="00CD7960" w:rsidP="00502182">
      <w:r>
        <w:separator/>
      </w:r>
    </w:p>
  </w:endnote>
  <w:endnote w:type="continuationSeparator" w:id="0">
    <w:p w:rsidR="00CD7960" w:rsidRDefault="00CD7960">
      <w:r>
        <w:continuationSeparator/>
      </w:r>
    </w:p>
    <w:p w:rsidR="00CD7960" w:rsidRDefault="00CD7960"/>
    <w:p w:rsidR="00CD7960" w:rsidRDefault="00CD7960"/>
    <w:p w:rsidR="00CD7960" w:rsidRDefault="00CD7960" w:rsidP="00502182"/>
    <w:p w:rsidR="00CD7960" w:rsidRDefault="00CD7960" w:rsidP="00502182"/>
  </w:endnote>
  <w:endnote w:id="1">
    <w:p w:rsidR="00D31E5D" w:rsidRPr="003F1FF9" w:rsidRDefault="00D31E5D" w:rsidP="003F1FF9">
      <w:pPr>
        <w:pStyle w:val="FootnoteText"/>
      </w:pPr>
      <w:r w:rsidRPr="003F1FF9">
        <w:rPr>
          <w:rStyle w:val="EndnoteReference"/>
          <w:vertAlign w:val="baseline"/>
        </w:rPr>
        <w:endnoteRef/>
      </w:r>
      <w:r w:rsidRPr="003F1FF9">
        <w:t xml:space="preserve"> </w:t>
      </w:r>
      <w:proofErr w:type="gramStart"/>
      <w:r w:rsidRPr="003F1FF9">
        <w:t xml:space="preserve">Ebbers HC, </w:t>
      </w:r>
      <w:proofErr w:type="spellStart"/>
      <w:r w:rsidRPr="003F1FF9">
        <w:t>Muenzberg</w:t>
      </w:r>
      <w:proofErr w:type="spellEnd"/>
      <w:r w:rsidRPr="003F1FF9">
        <w:t xml:space="preserve"> M, </w:t>
      </w:r>
      <w:proofErr w:type="spellStart"/>
      <w:r w:rsidRPr="003F1FF9">
        <w:t>Schellekens</w:t>
      </w:r>
      <w:proofErr w:type="spellEnd"/>
      <w:r w:rsidRPr="003F1FF9">
        <w:t xml:space="preserve"> H.</w:t>
      </w:r>
      <w:proofErr w:type="gramEnd"/>
      <w:r w:rsidRPr="003F1FF9">
        <w:t xml:space="preserve"> </w:t>
      </w:r>
      <w:proofErr w:type="gramStart"/>
      <w:r w:rsidRPr="003F1FF9">
        <w:t>The safety of switching between therapeutic proteins.</w:t>
      </w:r>
      <w:proofErr w:type="gramEnd"/>
      <w:r w:rsidRPr="003F1FF9">
        <w:t xml:space="preserve"> </w:t>
      </w:r>
      <w:proofErr w:type="gramStart"/>
      <w:r w:rsidRPr="003F1FF9">
        <w:t>Expert opinion on biological therapy.</w:t>
      </w:r>
      <w:proofErr w:type="gramEnd"/>
      <w:r w:rsidRPr="003F1FF9">
        <w:t xml:space="preserve"> 2012 Nov 1</w:t>
      </w:r>
      <w:proofErr w:type="gramStart"/>
      <w:r w:rsidRPr="003F1FF9">
        <w:t>;12</w:t>
      </w:r>
      <w:proofErr w:type="gramEnd"/>
      <w:r w:rsidRPr="003F1FF9">
        <w:t>(11):1473-85.</w:t>
      </w:r>
    </w:p>
  </w:endnote>
  <w:endnote w:id="2">
    <w:p w:rsidR="00D31E5D" w:rsidRDefault="00D31E5D" w:rsidP="00D31E5D">
      <w:pPr>
        <w:pStyle w:val="EndnoteText"/>
      </w:pPr>
      <w:r>
        <w:rPr>
          <w:rStyle w:val="EndnoteReference"/>
        </w:rPr>
        <w:endnoteRef/>
      </w:r>
      <w:r>
        <w:t xml:space="preserve"> </w:t>
      </w:r>
      <w:proofErr w:type="spellStart"/>
      <w:r w:rsidRPr="00E948F5">
        <w:rPr>
          <w:lang w:val="en-US"/>
        </w:rPr>
        <w:t>Korkmaz</w:t>
      </w:r>
      <w:proofErr w:type="spellEnd"/>
      <w:r w:rsidRPr="00E948F5">
        <w:rPr>
          <w:lang w:val="en-US"/>
        </w:rPr>
        <w:t xml:space="preserve"> S, </w:t>
      </w:r>
      <w:proofErr w:type="spellStart"/>
      <w:r w:rsidRPr="00E948F5">
        <w:rPr>
          <w:lang w:val="en-US"/>
        </w:rPr>
        <w:t>Altuntas</w:t>
      </w:r>
      <w:proofErr w:type="spellEnd"/>
      <w:r w:rsidRPr="00E948F5">
        <w:rPr>
          <w:lang w:val="en-US"/>
        </w:rPr>
        <w:t xml:space="preserve"> F. What is the role of biosimilar G-CSF agents in hematopoietic stem cell mobilization at present</w:t>
      </w:r>
      <w:proofErr w:type="gramStart"/>
      <w:r w:rsidRPr="00E948F5">
        <w:rPr>
          <w:lang w:val="en-US"/>
        </w:rPr>
        <w:t>?.</w:t>
      </w:r>
      <w:proofErr w:type="gramEnd"/>
      <w:r w:rsidRPr="00E948F5">
        <w:rPr>
          <w:lang w:val="en-US"/>
        </w:rPr>
        <w:t xml:space="preserve"> </w:t>
      </w:r>
      <w:proofErr w:type="gramStart"/>
      <w:r w:rsidRPr="00E948F5">
        <w:rPr>
          <w:lang w:val="en-US"/>
        </w:rPr>
        <w:t>Transfusion and Apheresis Science.</w:t>
      </w:r>
      <w:proofErr w:type="gramEnd"/>
      <w:r w:rsidRPr="00E948F5">
        <w:rPr>
          <w:lang w:val="en-US"/>
        </w:rPr>
        <w:t xml:space="preserve"> 2017 Nov 8</w:t>
      </w:r>
    </w:p>
  </w:endnote>
  <w:endnote w:id="3">
    <w:p w:rsidR="00D31E5D" w:rsidRDefault="00D31E5D" w:rsidP="00D31E5D">
      <w:pPr>
        <w:pStyle w:val="EndnoteText"/>
      </w:pPr>
      <w:r>
        <w:rPr>
          <w:rStyle w:val="EndnoteReference"/>
        </w:rPr>
        <w:endnoteRef/>
      </w:r>
      <w:r>
        <w:t xml:space="preserve"> </w:t>
      </w:r>
      <w:proofErr w:type="spellStart"/>
      <w:r w:rsidRPr="004110F2">
        <w:t>Gascon</w:t>
      </w:r>
      <w:proofErr w:type="spellEnd"/>
      <w:r w:rsidRPr="004110F2">
        <w:t xml:space="preserve"> P, </w:t>
      </w:r>
      <w:proofErr w:type="spellStart"/>
      <w:r w:rsidRPr="004110F2">
        <w:t>Aapro</w:t>
      </w:r>
      <w:proofErr w:type="spellEnd"/>
      <w:r w:rsidRPr="004110F2">
        <w:t xml:space="preserve"> M, Ludwig H, </w:t>
      </w:r>
      <w:proofErr w:type="spellStart"/>
      <w:r w:rsidRPr="004110F2">
        <w:t>Bokemeyer</w:t>
      </w:r>
      <w:proofErr w:type="spellEnd"/>
      <w:r w:rsidRPr="004110F2">
        <w:t xml:space="preserve"> C, </w:t>
      </w:r>
      <w:proofErr w:type="spellStart"/>
      <w:r w:rsidRPr="004110F2">
        <w:t>Boccadoro</w:t>
      </w:r>
      <w:proofErr w:type="spellEnd"/>
      <w:r w:rsidRPr="004110F2">
        <w:t xml:space="preserve"> M, Turner M, et al. Treatment patterns and outcomes in the prophylaxis of chemotherapy-induced (febrile) neutropenia with biosimilar filgrastim (the MONITOR-GCSF study). Supportive Care in Cancer 2016; 24(2): 911-925.</w:t>
      </w:r>
    </w:p>
  </w:endnote>
  <w:endnote w:id="4">
    <w:p w:rsidR="00D31E5D" w:rsidRDefault="00D31E5D" w:rsidP="00D31E5D">
      <w:pPr>
        <w:pStyle w:val="EndnoteText"/>
      </w:pPr>
      <w:r>
        <w:rPr>
          <w:rStyle w:val="EndnoteReference"/>
        </w:rPr>
        <w:endnoteRef/>
      </w:r>
      <w:r>
        <w:t xml:space="preserve"> </w:t>
      </w:r>
      <w:proofErr w:type="spellStart"/>
      <w:r w:rsidRPr="00B04BD2">
        <w:t>Nahon</w:t>
      </w:r>
      <w:proofErr w:type="spellEnd"/>
      <w:r w:rsidRPr="00B04BD2">
        <w:t xml:space="preserve"> S, </w:t>
      </w:r>
      <w:proofErr w:type="spellStart"/>
      <w:r w:rsidRPr="00B04BD2">
        <w:t>Rastkhah</w:t>
      </w:r>
      <w:proofErr w:type="spellEnd"/>
      <w:r w:rsidRPr="00B04BD2">
        <w:t xml:space="preserve"> M, Ben </w:t>
      </w:r>
      <w:proofErr w:type="spellStart"/>
      <w:r w:rsidRPr="00B04BD2">
        <w:t>Abdelghani</w:t>
      </w:r>
      <w:proofErr w:type="spellEnd"/>
      <w:r w:rsidRPr="00B04BD2">
        <w:t xml:space="preserve"> M, </w:t>
      </w:r>
      <w:proofErr w:type="spellStart"/>
      <w:r w:rsidRPr="00B04BD2">
        <w:t>Soumoudronga</w:t>
      </w:r>
      <w:proofErr w:type="spellEnd"/>
      <w:r w:rsidRPr="00B04BD2">
        <w:t xml:space="preserve"> RF, </w:t>
      </w:r>
      <w:proofErr w:type="spellStart"/>
      <w:r w:rsidRPr="00B04BD2">
        <w:t>Gasnereau</w:t>
      </w:r>
      <w:proofErr w:type="spellEnd"/>
      <w:r w:rsidRPr="00B04BD2">
        <w:t xml:space="preserve"> I,</w:t>
      </w:r>
      <w:r>
        <w:t xml:space="preserve">  </w:t>
      </w:r>
      <w:proofErr w:type="spellStart"/>
      <w:r>
        <w:t>Labourey</w:t>
      </w:r>
      <w:proofErr w:type="spellEnd"/>
      <w:r>
        <w:t xml:space="preserve"> JL. </w:t>
      </w:r>
      <w:proofErr w:type="spellStart"/>
      <w:r>
        <w:t>Zarzio</w:t>
      </w:r>
      <w:proofErr w:type="spellEnd"/>
      <w:r w:rsidRPr="00B04BD2">
        <w:t xml:space="preserve">, biosimilar of filgrastim, in prophylaxis of chemotherapy-induced neutropenia in routine practice: a French prospective </w:t>
      </w:r>
      <w:proofErr w:type="spellStart"/>
      <w:r w:rsidRPr="00B04BD2">
        <w:t>multicentric</w:t>
      </w:r>
      <w:proofErr w:type="spellEnd"/>
      <w:r w:rsidRPr="00B04BD2">
        <w:t xml:space="preserve"> study. Supportive Care in Cancer 2016; 24(5): 1991-1998.</w:t>
      </w:r>
    </w:p>
  </w:endnote>
  <w:endnote w:id="5">
    <w:p w:rsidR="00D31E5D" w:rsidRDefault="00D31E5D" w:rsidP="00D31E5D">
      <w:pPr>
        <w:pStyle w:val="EndnoteText"/>
      </w:pPr>
      <w:r>
        <w:rPr>
          <w:rStyle w:val="EndnoteReference"/>
        </w:rPr>
        <w:endnoteRef/>
      </w:r>
      <w:r>
        <w:t xml:space="preserve"> </w:t>
      </w:r>
      <w:proofErr w:type="spellStart"/>
      <w:r w:rsidRPr="00E174BB">
        <w:t>Danylesko</w:t>
      </w:r>
      <w:proofErr w:type="spellEnd"/>
      <w:r w:rsidRPr="00E174BB">
        <w:t xml:space="preserve"> I, </w:t>
      </w:r>
      <w:proofErr w:type="spellStart"/>
      <w:r w:rsidRPr="00E174BB">
        <w:t>Sareli</w:t>
      </w:r>
      <w:proofErr w:type="spellEnd"/>
      <w:r w:rsidRPr="00E174BB">
        <w:t xml:space="preserve"> R, Bloom-</w:t>
      </w:r>
      <w:proofErr w:type="spellStart"/>
      <w:r w:rsidRPr="00E174BB">
        <w:t>Varda</w:t>
      </w:r>
      <w:proofErr w:type="spellEnd"/>
      <w:r w:rsidRPr="00E174BB">
        <w:t xml:space="preserve"> N, </w:t>
      </w:r>
      <w:proofErr w:type="spellStart"/>
      <w:r w:rsidRPr="00E174BB">
        <w:t>Yerushalmi</w:t>
      </w:r>
      <w:proofErr w:type="spellEnd"/>
      <w:r w:rsidRPr="00E174BB">
        <w:t xml:space="preserve"> R, Shem-Tov N, </w:t>
      </w:r>
      <w:proofErr w:type="spellStart"/>
      <w:r w:rsidRPr="00E174BB">
        <w:t>Shimoni</w:t>
      </w:r>
      <w:proofErr w:type="spellEnd"/>
      <w:r w:rsidRPr="00E174BB">
        <w:t xml:space="preserve"> A, et al. Biosimilar Filgrastim (</w:t>
      </w:r>
      <w:proofErr w:type="spellStart"/>
      <w:r w:rsidRPr="00E174BB">
        <w:t>Tevagrastim</w:t>
      </w:r>
      <w:proofErr w:type="spellEnd"/>
      <w:r w:rsidRPr="00E174BB">
        <w:t xml:space="preserve">, XMO2) for Allogeneic Hematopoietic Stem Cell Mobilization and Transplantation in Patients with Acute Myelogenous </w:t>
      </w:r>
      <w:proofErr w:type="spellStart"/>
      <w:r w:rsidRPr="00E174BB">
        <w:t>Leukemia</w:t>
      </w:r>
      <w:proofErr w:type="spellEnd"/>
      <w:r w:rsidRPr="00E174BB">
        <w:t>/Myelodysplastic Syndromes. Biology of Blood and Marrow Transplantation 2016; 22(2): 277-283.</w:t>
      </w:r>
    </w:p>
  </w:endnote>
  <w:endnote w:id="6">
    <w:p w:rsidR="00D31E5D" w:rsidRDefault="00D31E5D" w:rsidP="00D31E5D">
      <w:pPr>
        <w:pStyle w:val="EndnoteText"/>
      </w:pPr>
      <w:r>
        <w:rPr>
          <w:rStyle w:val="EndnoteReference"/>
        </w:rPr>
        <w:endnoteRef/>
      </w:r>
      <w:r>
        <w:t xml:space="preserve"> </w:t>
      </w:r>
      <w:proofErr w:type="spellStart"/>
      <w:r w:rsidRPr="00784AE1">
        <w:t>Hegg</w:t>
      </w:r>
      <w:proofErr w:type="spellEnd"/>
      <w:r w:rsidRPr="00784AE1">
        <w:t xml:space="preserve">, R., et al., A phase III, randomized, non-inferiority study comparing the efficacy and safety of biosimilar filgrastim versus originator filgrastim for chemotherapy-induced neutropenia in breast cancer patients. </w:t>
      </w:r>
      <w:proofErr w:type="gramStart"/>
      <w:r w:rsidRPr="00784AE1">
        <w:t>Clinics (Sao Paulo), 2016.</w:t>
      </w:r>
      <w:proofErr w:type="gramEnd"/>
      <w:r w:rsidRPr="00784AE1">
        <w:t xml:space="preserve"> 71(10): p. 586-592.</w:t>
      </w:r>
    </w:p>
  </w:endnote>
  <w:endnote w:id="7">
    <w:p w:rsidR="00D31E5D" w:rsidRDefault="00D31E5D" w:rsidP="00D31E5D">
      <w:pPr>
        <w:pStyle w:val="EndnoteText"/>
      </w:pPr>
      <w:r>
        <w:rPr>
          <w:rStyle w:val="EndnoteReference"/>
        </w:rPr>
        <w:endnoteRef/>
      </w:r>
      <w:r>
        <w:t xml:space="preserve"> </w:t>
      </w:r>
      <w:r w:rsidRPr="00784AE1">
        <w:t xml:space="preserve">Fruehauf, S., et al., Compatibility of Biosimilar Filgrastim with Cytotoxic Chemotherapy during the Treatment of Malignant Diseases (VENICE): A Prospective, </w:t>
      </w:r>
      <w:proofErr w:type="spellStart"/>
      <w:r w:rsidRPr="00784AE1">
        <w:t>Multicenter</w:t>
      </w:r>
      <w:proofErr w:type="spellEnd"/>
      <w:r w:rsidRPr="00784AE1">
        <w:t xml:space="preserve">, Non-Interventional, Longitudinal Study. </w:t>
      </w:r>
      <w:proofErr w:type="spellStart"/>
      <w:r w:rsidRPr="00784AE1">
        <w:t>Adv</w:t>
      </w:r>
      <w:proofErr w:type="spellEnd"/>
      <w:r w:rsidRPr="00784AE1">
        <w:t xml:space="preserve"> </w:t>
      </w:r>
      <w:proofErr w:type="spellStart"/>
      <w:r w:rsidRPr="00784AE1">
        <w:t>Ther</w:t>
      </w:r>
      <w:proofErr w:type="spellEnd"/>
      <w:r w:rsidRPr="00784AE1">
        <w:t>, 2016. 33(11): p. 1983-2000.</w:t>
      </w:r>
    </w:p>
  </w:endnote>
  <w:endnote w:id="8">
    <w:p w:rsidR="00FA1AA9" w:rsidRDefault="00D31E5D" w:rsidP="00D31E5D">
      <w:pPr>
        <w:pStyle w:val="EndnoteText"/>
      </w:pPr>
      <w:r>
        <w:rPr>
          <w:rStyle w:val="EndnoteReference"/>
        </w:rPr>
        <w:endnoteRef/>
      </w:r>
      <w:r>
        <w:t xml:space="preserve"> </w:t>
      </w:r>
      <w:r w:rsidRPr="00766478">
        <w:t xml:space="preserve">Blackwell K, </w:t>
      </w:r>
      <w:proofErr w:type="spellStart"/>
      <w:r w:rsidRPr="00766478">
        <w:t>Gascon</w:t>
      </w:r>
      <w:proofErr w:type="spellEnd"/>
      <w:r w:rsidRPr="00766478">
        <w:t xml:space="preserve"> P, </w:t>
      </w:r>
      <w:proofErr w:type="spellStart"/>
      <w:r w:rsidRPr="00766478">
        <w:t>Krendyukov</w:t>
      </w:r>
      <w:proofErr w:type="spellEnd"/>
      <w:r w:rsidRPr="00766478">
        <w:t xml:space="preserve"> A, </w:t>
      </w:r>
      <w:proofErr w:type="spellStart"/>
      <w:r w:rsidRPr="00766478">
        <w:t>Gattu</w:t>
      </w:r>
      <w:proofErr w:type="spellEnd"/>
      <w:r w:rsidRPr="00766478">
        <w:t xml:space="preserve"> S, Li Y, </w:t>
      </w:r>
      <w:proofErr w:type="spellStart"/>
      <w:r w:rsidRPr="00766478">
        <w:t>Harbeck</w:t>
      </w:r>
      <w:proofErr w:type="spellEnd"/>
      <w:r w:rsidRPr="00766478">
        <w:t xml:space="preserve"> N. Safety and efficacy of alternating treatment with EP2006, a filgrastim biosimilar, and reference filgrastim: a phase III, randomised, double-blind clinical study in the prevention of severe neutropenia in patients with breast cancer receiving </w:t>
      </w:r>
      <w:proofErr w:type="spellStart"/>
      <w:r w:rsidRPr="00766478">
        <w:t>myelosuppressive</w:t>
      </w:r>
      <w:proofErr w:type="spellEnd"/>
      <w:r w:rsidRPr="00766478">
        <w:t xml:space="preserve"> chemotherapy. </w:t>
      </w:r>
      <w:proofErr w:type="gramStart"/>
      <w:r w:rsidRPr="00766478">
        <w:t>Annals of Oncology.</w:t>
      </w:r>
      <w:proofErr w:type="gramEnd"/>
      <w:r w:rsidRPr="00766478">
        <w:t xml:space="preserve"> 2017 Oct 28;29(1):244-9</w:t>
      </w: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Optima"/>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p w:rsidR="005A4307" w:rsidRDefault="005A4307"/>
  <w:p w:rsidR="005A4307" w:rsidRDefault="005A4307" w:rsidP="00502182"/>
  <w:p w:rsidR="005A4307" w:rsidRDefault="005A4307" w:rsidP="005021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75" w:rsidRDefault="00F80475" w:rsidP="00EF44A0">
    <w:pPr>
      <w:pStyle w:val="Footer"/>
      <w:jc w:val="center"/>
      <w:rPr>
        <w:rFonts w:ascii="Arial" w:hAnsi="Arial" w:cs="Arial"/>
        <w:b/>
        <w:sz w:val="20"/>
        <w:szCs w:val="20"/>
      </w:rPr>
    </w:pPr>
  </w:p>
  <w:p w:rsidR="005A4307" w:rsidRDefault="00D36F84" w:rsidP="00633178">
    <w:pPr>
      <w:pStyle w:val="Footer"/>
      <w:ind w:left="360"/>
      <w:jc w:val="center"/>
    </w:pPr>
    <w:r w:rsidRPr="00D169EE">
      <w:rPr>
        <w:rFonts w:asciiTheme="minorHAnsi" w:hAnsiTheme="minorHAnsi" w:cs="Arial"/>
      </w:rPr>
      <w:fldChar w:fldCharType="begin"/>
    </w:r>
    <w:r w:rsidRPr="00D169EE">
      <w:rPr>
        <w:rFonts w:asciiTheme="minorHAnsi" w:hAnsiTheme="minorHAnsi" w:cs="Arial"/>
      </w:rPr>
      <w:instrText xml:space="preserve"> PAGE   \* MERGEFORMAT </w:instrText>
    </w:r>
    <w:r w:rsidRPr="00D169EE">
      <w:rPr>
        <w:rFonts w:asciiTheme="minorHAnsi" w:hAnsiTheme="minorHAnsi" w:cs="Arial"/>
      </w:rPr>
      <w:fldChar w:fldCharType="separate"/>
    </w:r>
    <w:r w:rsidR="007A23E0">
      <w:rPr>
        <w:rFonts w:asciiTheme="minorHAnsi" w:hAnsiTheme="minorHAnsi" w:cs="Arial"/>
        <w:noProof/>
      </w:rPr>
      <w:t>10</w:t>
    </w:r>
    <w:r w:rsidRPr="00D169EE">
      <w:rPr>
        <w:rFonts w:asciiTheme="minorHAnsi" w:hAnsiTheme="minorHAnsi" w:cs="Arial"/>
        <w:noProof/>
      </w:rPr>
      <w:fldChar w:fldCharType="end"/>
    </w:r>
  </w:p>
  <w:p w:rsidR="005A4307" w:rsidRDefault="005A4307" w:rsidP="0050218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p w:rsidR="005A4307" w:rsidRDefault="005A4307"/>
  <w:p w:rsidR="005A4307" w:rsidRDefault="005A4307" w:rsidP="00502182"/>
  <w:p w:rsidR="005A4307" w:rsidRDefault="005A4307" w:rsidP="005021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960" w:rsidRDefault="00CD7960">
      <w:r>
        <w:separator/>
      </w:r>
    </w:p>
  </w:footnote>
  <w:footnote w:type="continuationSeparator" w:id="0">
    <w:p w:rsidR="00CD7960" w:rsidRDefault="00CD7960">
      <w:r>
        <w:continuationSeparator/>
      </w:r>
    </w:p>
    <w:p w:rsidR="00CD7960" w:rsidRDefault="00CD7960"/>
    <w:p w:rsidR="00CD7960" w:rsidRDefault="00CD7960"/>
    <w:p w:rsidR="00CD7960" w:rsidRDefault="00CD7960" w:rsidP="00502182"/>
    <w:p w:rsidR="00CD7960" w:rsidRDefault="00CD7960" w:rsidP="00502182"/>
  </w:footnote>
  <w:footnote w:id="1">
    <w:p w:rsidR="00233639" w:rsidRPr="00A15549" w:rsidRDefault="00233639" w:rsidP="00233639">
      <w:pPr>
        <w:pStyle w:val="FootnoteText"/>
        <w:rPr>
          <w:rFonts w:asciiTheme="minorHAnsi" w:hAnsiTheme="minorHAnsi"/>
          <w:sz w:val="24"/>
          <w:szCs w:val="24"/>
        </w:rPr>
      </w:pPr>
      <w:r w:rsidRPr="00A15549">
        <w:rPr>
          <w:rStyle w:val="FootnoteReference"/>
          <w:rFonts w:asciiTheme="minorHAnsi" w:hAnsiTheme="minorHAnsi"/>
          <w:sz w:val="24"/>
          <w:szCs w:val="24"/>
        </w:rPr>
        <w:footnoteRef/>
      </w:r>
      <w:r w:rsidRPr="00A15549">
        <w:rPr>
          <w:rFonts w:asciiTheme="minorHAnsi" w:hAnsiTheme="minorHAnsi"/>
          <w:sz w:val="24"/>
          <w:szCs w:val="24"/>
        </w:rPr>
        <w:t xml:space="preserve"> </w:t>
      </w:r>
      <w:proofErr w:type="gramStart"/>
      <w:r w:rsidRPr="00046868">
        <w:rPr>
          <w:rFonts w:asciiTheme="minorHAnsi" w:hAnsiTheme="minorHAnsi"/>
        </w:rPr>
        <w:t>November 2010 PBAC, filgrastim (Nivestim) Public Summary Document.</w:t>
      </w:r>
      <w:proofErr w:type="gramEnd"/>
      <w:r w:rsidRPr="00046868">
        <w:rPr>
          <w:rFonts w:asciiTheme="minorHAnsi" w:hAnsiTheme="minorHAnsi"/>
        </w:rPr>
        <w:t xml:space="preserve"> Available on </w:t>
      </w:r>
      <w:hyperlink r:id="rId1" w:history="1">
        <w:r w:rsidRPr="00046868">
          <w:rPr>
            <w:rStyle w:val="Hyperlink"/>
            <w:rFonts w:asciiTheme="minorHAnsi" w:hAnsiTheme="minorHAnsi"/>
          </w:rPr>
          <w:t>PBS Public Summary Document page</w:t>
        </w:r>
      </w:hyperlink>
      <w:r w:rsidRPr="00046868">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p w:rsidR="005A4307" w:rsidRDefault="005A4307"/>
  <w:p w:rsidR="005A4307" w:rsidRDefault="005A4307" w:rsidP="00502182"/>
  <w:p w:rsidR="005A4307" w:rsidRDefault="005A4307" w:rsidP="005021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307" w:rsidRDefault="002608C2" w:rsidP="00633178">
    <w:pPr>
      <w:pStyle w:val="Header"/>
      <w:ind w:left="360"/>
      <w:jc w:val="center"/>
    </w:pPr>
    <w:r>
      <w:rPr>
        <w:rFonts w:asciiTheme="minorHAnsi" w:hAnsiTheme="minorHAnsi" w:cs="Arial"/>
        <w:i/>
        <w:color w:val="808080"/>
        <w:sz w:val="22"/>
      </w:rPr>
      <w:t>Public Summary Document</w:t>
    </w:r>
    <w:r w:rsidR="00D36F84" w:rsidRPr="00F90A91">
      <w:rPr>
        <w:rFonts w:asciiTheme="minorHAnsi" w:hAnsiTheme="minorHAnsi" w:cs="Arial"/>
        <w:i/>
        <w:color w:val="808080"/>
        <w:sz w:val="22"/>
      </w:rPr>
      <w:t xml:space="preserve"> – </w:t>
    </w:r>
    <w:r w:rsidR="00D36F84">
      <w:rPr>
        <w:rFonts w:asciiTheme="minorHAnsi" w:hAnsiTheme="minorHAnsi" w:cs="Arial"/>
        <w:i/>
        <w:color w:val="808080"/>
        <w:sz w:val="22"/>
      </w:rPr>
      <w:t>March 2018</w:t>
    </w:r>
    <w:r w:rsidR="00D36F84" w:rsidRPr="00F90A91">
      <w:rPr>
        <w:rFonts w:asciiTheme="minorHAnsi" w:hAnsiTheme="minorHAnsi" w:cs="Arial"/>
        <w:i/>
        <w:color w:val="808080"/>
        <w:sz w:val="22"/>
      </w:rPr>
      <w:t xml:space="preserve"> PBAC Meeting</w:t>
    </w:r>
  </w:p>
  <w:p w:rsidR="005A4307" w:rsidRDefault="005A4307" w:rsidP="0050218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E1" w:rsidRDefault="006E65E1">
    <w:pPr>
      <w:pStyle w:val="Header"/>
    </w:pPr>
  </w:p>
  <w:p w:rsidR="005A4307" w:rsidRDefault="005A4307"/>
  <w:p w:rsidR="005A4307" w:rsidRDefault="005A4307" w:rsidP="00502182"/>
  <w:p w:rsidR="005A4307" w:rsidRDefault="005A4307" w:rsidP="005021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18C32D1"/>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4D6E41"/>
    <w:multiLevelType w:val="multilevel"/>
    <w:tmpl w:val="1896A2B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39F4048"/>
    <w:multiLevelType w:val="hybridMultilevel"/>
    <w:tmpl w:val="7162543A"/>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66C40D1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6"/>
  </w:num>
  <w:num w:numId="5">
    <w:abstractNumId w:val="19"/>
  </w:num>
  <w:num w:numId="6">
    <w:abstractNumId w:val="7"/>
  </w:num>
  <w:num w:numId="7">
    <w:abstractNumId w:val="15"/>
  </w:num>
  <w:num w:numId="8">
    <w:abstractNumId w:val="4"/>
  </w:num>
  <w:num w:numId="9">
    <w:abstractNumId w:val="14"/>
  </w:num>
  <w:num w:numId="10">
    <w:abstractNumId w:val="12"/>
  </w:num>
  <w:num w:numId="11">
    <w:abstractNumId w:val="11"/>
  </w:num>
  <w:num w:numId="12">
    <w:abstractNumId w:val="1"/>
  </w:num>
  <w:num w:numId="13">
    <w:abstractNumId w:val="0"/>
  </w:num>
  <w:num w:numId="14">
    <w:abstractNumId w:val="19"/>
  </w:num>
  <w:num w:numId="15">
    <w:abstractNumId w:val="13"/>
  </w:num>
  <w:num w:numId="16">
    <w:abstractNumId w:val="17"/>
  </w:num>
  <w:num w:numId="17">
    <w:abstractNumId w:val="18"/>
  </w:num>
  <w:num w:numId="18">
    <w:abstractNumId w:val="5"/>
  </w:num>
  <w:num w:numId="19">
    <w:abstractNumId w:val="2"/>
  </w:num>
  <w:num w:numId="20">
    <w:abstractNumId w:val="10"/>
  </w:num>
  <w:num w:numId="21">
    <w:abstractNumId w:val="9"/>
  </w:num>
  <w:num w:numId="2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3106B"/>
    <w:rsid w:val="00031143"/>
    <w:rsid w:val="000421A1"/>
    <w:rsid w:val="0004240E"/>
    <w:rsid w:val="00043A1B"/>
    <w:rsid w:val="00045E26"/>
    <w:rsid w:val="00046868"/>
    <w:rsid w:val="000514B5"/>
    <w:rsid w:val="00060E64"/>
    <w:rsid w:val="00066755"/>
    <w:rsid w:val="00077143"/>
    <w:rsid w:val="00082169"/>
    <w:rsid w:val="000878BF"/>
    <w:rsid w:val="000969AD"/>
    <w:rsid w:val="000A3E42"/>
    <w:rsid w:val="000B558D"/>
    <w:rsid w:val="000C6996"/>
    <w:rsid w:val="000D23BA"/>
    <w:rsid w:val="000E2F95"/>
    <w:rsid w:val="000E681E"/>
    <w:rsid w:val="000F0003"/>
    <w:rsid w:val="000F4E6A"/>
    <w:rsid w:val="00104227"/>
    <w:rsid w:val="001107BF"/>
    <w:rsid w:val="0012417C"/>
    <w:rsid w:val="00142395"/>
    <w:rsid w:val="00142714"/>
    <w:rsid w:val="001452ED"/>
    <w:rsid w:val="00163329"/>
    <w:rsid w:val="00164623"/>
    <w:rsid w:val="00165B64"/>
    <w:rsid w:val="00166B35"/>
    <w:rsid w:val="001830CE"/>
    <w:rsid w:val="0018643B"/>
    <w:rsid w:val="00193A14"/>
    <w:rsid w:val="00196307"/>
    <w:rsid w:val="001A33EA"/>
    <w:rsid w:val="001B017F"/>
    <w:rsid w:val="001B2BBC"/>
    <w:rsid w:val="001B5129"/>
    <w:rsid w:val="001C1195"/>
    <w:rsid w:val="001D4B3C"/>
    <w:rsid w:val="001F1850"/>
    <w:rsid w:val="001F609A"/>
    <w:rsid w:val="00203FAC"/>
    <w:rsid w:val="0021097F"/>
    <w:rsid w:val="00213CFB"/>
    <w:rsid w:val="00217BE1"/>
    <w:rsid w:val="002202DC"/>
    <w:rsid w:val="002267D7"/>
    <w:rsid w:val="00233639"/>
    <w:rsid w:val="0025767C"/>
    <w:rsid w:val="002608C2"/>
    <w:rsid w:val="00271BA1"/>
    <w:rsid w:val="00273E47"/>
    <w:rsid w:val="00275FCE"/>
    <w:rsid w:val="002762FA"/>
    <w:rsid w:val="00277505"/>
    <w:rsid w:val="0029458F"/>
    <w:rsid w:val="002A104C"/>
    <w:rsid w:val="002A4960"/>
    <w:rsid w:val="002B1AE6"/>
    <w:rsid w:val="002B2DE8"/>
    <w:rsid w:val="002B30F8"/>
    <w:rsid w:val="002B5596"/>
    <w:rsid w:val="002C0FC6"/>
    <w:rsid w:val="002C212F"/>
    <w:rsid w:val="002D4543"/>
    <w:rsid w:val="002E3153"/>
    <w:rsid w:val="002E72CA"/>
    <w:rsid w:val="00300AD6"/>
    <w:rsid w:val="00317C6C"/>
    <w:rsid w:val="0032546D"/>
    <w:rsid w:val="00326E79"/>
    <w:rsid w:val="00327831"/>
    <w:rsid w:val="00332DB7"/>
    <w:rsid w:val="0033518A"/>
    <w:rsid w:val="003367EF"/>
    <w:rsid w:val="00341AE4"/>
    <w:rsid w:val="003455EF"/>
    <w:rsid w:val="003564C5"/>
    <w:rsid w:val="00356F48"/>
    <w:rsid w:val="003872CF"/>
    <w:rsid w:val="0039782C"/>
    <w:rsid w:val="003A5B4A"/>
    <w:rsid w:val="003B23C5"/>
    <w:rsid w:val="003B2A75"/>
    <w:rsid w:val="003B6124"/>
    <w:rsid w:val="003C2FB5"/>
    <w:rsid w:val="003D16C3"/>
    <w:rsid w:val="003D4AC4"/>
    <w:rsid w:val="003D4B4A"/>
    <w:rsid w:val="003D63B7"/>
    <w:rsid w:val="003E468B"/>
    <w:rsid w:val="003F1FF9"/>
    <w:rsid w:val="003F3228"/>
    <w:rsid w:val="003F5C8C"/>
    <w:rsid w:val="004051E8"/>
    <w:rsid w:val="00414525"/>
    <w:rsid w:val="004252EC"/>
    <w:rsid w:val="004255FC"/>
    <w:rsid w:val="0044432B"/>
    <w:rsid w:val="004465BD"/>
    <w:rsid w:val="004630EE"/>
    <w:rsid w:val="00466ADA"/>
    <w:rsid w:val="00476245"/>
    <w:rsid w:val="00483035"/>
    <w:rsid w:val="00485940"/>
    <w:rsid w:val="004A2484"/>
    <w:rsid w:val="004A5A85"/>
    <w:rsid w:val="004A71D1"/>
    <w:rsid w:val="004B5640"/>
    <w:rsid w:val="004C1BD7"/>
    <w:rsid w:val="004C31FE"/>
    <w:rsid w:val="004C691D"/>
    <w:rsid w:val="004C6C07"/>
    <w:rsid w:val="004E5063"/>
    <w:rsid w:val="004E692D"/>
    <w:rsid w:val="00501554"/>
    <w:rsid w:val="00502182"/>
    <w:rsid w:val="00504576"/>
    <w:rsid w:val="00514CD7"/>
    <w:rsid w:val="0051693A"/>
    <w:rsid w:val="00517D23"/>
    <w:rsid w:val="005319B2"/>
    <w:rsid w:val="00532402"/>
    <w:rsid w:val="00532C74"/>
    <w:rsid w:val="00534E2E"/>
    <w:rsid w:val="00544552"/>
    <w:rsid w:val="005540D2"/>
    <w:rsid w:val="005551E6"/>
    <w:rsid w:val="00577C4D"/>
    <w:rsid w:val="00581932"/>
    <w:rsid w:val="005901FA"/>
    <w:rsid w:val="00595EB9"/>
    <w:rsid w:val="005963BB"/>
    <w:rsid w:val="005A0A96"/>
    <w:rsid w:val="005A3173"/>
    <w:rsid w:val="005A3223"/>
    <w:rsid w:val="005A3DA3"/>
    <w:rsid w:val="005A4307"/>
    <w:rsid w:val="005A52C4"/>
    <w:rsid w:val="005C406B"/>
    <w:rsid w:val="005D03AB"/>
    <w:rsid w:val="005D5017"/>
    <w:rsid w:val="005E1333"/>
    <w:rsid w:val="00601A91"/>
    <w:rsid w:val="00602BA3"/>
    <w:rsid w:val="00612E34"/>
    <w:rsid w:val="00614159"/>
    <w:rsid w:val="00617C00"/>
    <w:rsid w:val="0062250A"/>
    <w:rsid w:val="006263BF"/>
    <w:rsid w:val="0062748A"/>
    <w:rsid w:val="00630A2C"/>
    <w:rsid w:val="00633178"/>
    <w:rsid w:val="0063682E"/>
    <w:rsid w:val="006436CD"/>
    <w:rsid w:val="00650A12"/>
    <w:rsid w:val="00651169"/>
    <w:rsid w:val="00653D69"/>
    <w:rsid w:val="006670BE"/>
    <w:rsid w:val="00670A76"/>
    <w:rsid w:val="006711AA"/>
    <w:rsid w:val="00672B57"/>
    <w:rsid w:val="00675622"/>
    <w:rsid w:val="00676C3D"/>
    <w:rsid w:val="0067747D"/>
    <w:rsid w:val="006906DB"/>
    <w:rsid w:val="00691E6C"/>
    <w:rsid w:val="00696129"/>
    <w:rsid w:val="00697CF2"/>
    <w:rsid w:val="006A12A5"/>
    <w:rsid w:val="006A34C0"/>
    <w:rsid w:val="006A57F6"/>
    <w:rsid w:val="006B0D94"/>
    <w:rsid w:val="006B485D"/>
    <w:rsid w:val="006C708E"/>
    <w:rsid w:val="006D6EC7"/>
    <w:rsid w:val="006E65E1"/>
    <w:rsid w:val="006F5125"/>
    <w:rsid w:val="00702B6F"/>
    <w:rsid w:val="007042AA"/>
    <w:rsid w:val="0071340B"/>
    <w:rsid w:val="007174BB"/>
    <w:rsid w:val="0072025D"/>
    <w:rsid w:val="007353D3"/>
    <w:rsid w:val="00760FD1"/>
    <w:rsid w:val="0076420C"/>
    <w:rsid w:val="007753C2"/>
    <w:rsid w:val="007838B8"/>
    <w:rsid w:val="007A23E0"/>
    <w:rsid w:val="007C0F57"/>
    <w:rsid w:val="007C3A20"/>
    <w:rsid w:val="007C40B6"/>
    <w:rsid w:val="007C729F"/>
    <w:rsid w:val="007E1D28"/>
    <w:rsid w:val="007F2641"/>
    <w:rsid w:val="007F7C36"/>
    <w:rsid w:val="00806796"/>
    <w:rsid w:val="0081172E"/>
    <w:rsid w:val="008151D6"/>
    <w:rsid w:val="00826F6D"/>
    <w:rsid w:val="008306F3"/>
    <w:rsid w:val="00834372"/>
    <w:rsid w:val="0083598C"/>
    <w:rsid w:val="00856DDD"/>
    <w:rsid w:val="00863E68"/>
    <w:rsid w:val="00866919"/>
    <w:rsid w:val="008745B3"/>
    <w:rsid w:val="00876CDA"/>
    <w:rsid w:val="00882085"/>
    <w:rsid w:val="00883188"/>
    <w:rsid w:val="00890455"/>
    <w:rsid w:val="00897D58"/>
    <w:rsid w:val="00897F22"/>
    <w:rsid w:val="008A1956"/>
    <w:rsid w:val="008A4937"/>
    <w:rsid w:val="008A50F1"/>
    <w:rsid w:val="008B5962"/>
    <w:rsid w:val="008D1B5C"/>
    <w:rsid w:val="008D3C82"/>
    <w:rsid w:val="008D447E"/>
    <w:rsid w:val="008D5103"/>
    <w:rsid w:val="008D7A41"/>
    <w:rsid w:val="008E3680"/>
    <w:rsid w:val="008E383C"/>
    <w:rsid w:val="008E5870"/>
    <w:rsid w:val="008F1434"/>
    <w:rsid w:val="008F4AE0"/>
    <w:rsid w:val="008F7355"/>
    <w:rsid w:val="009067B7"/>
    <w:rsid w:val="00925904"/>
    <w:rsid w:val="00930937"/>
    <w:rsid w:val="00933E6C"/>
    <w:rsid w:val="00937958"/>
    <w:rsid w:val="00942160"/>
    <w:rsid w:val="0095146F"/>
    <w:rsid w:val="009602C5"/>
    <w:rsid w:val="00962223"/>
    <w:rsid w:val="00966D0D"/>
    <w:rsid w:val="00974C21"/>
    <w:rsid w:val="009B0F67"/>
    <w:rsid w:val="009C703C"/>
    <w:rsid w:val="009D3CAA"/>
    <w:rsid w:val="009F4E46"/>
    <w:rsid w:val="009F5B65"/>
    <w:rsid w:val="009F5F2E"/>
    <w:rsid w:val="00A06225"/>
    <w:rsid w:val="00A128E6"/>
    <w:rsid w:val="00A12CE0"/>
    <w:rsid w:val="00A15549"/>
    <w:rsid w:val="00A3068A"/>
    <w:rsid w:val="00A34E6C"/>
    <w:rsid w:val="00A37C8D"/>
    <w:rsid w:val="00A5273B"/>
    <w:rsid w:val="00A53A9D"/>
    <w:rsid w:val="00A53C8E"/>
    <w:rsid w:val="00A55FEE"/>
    <w:rsid w:val="00A62C1A"/>
    <w:rsid w:val="00A6426D"/>
    <w:rsid w:val="00A665C1"/>
    <w:rsid w:val="00A70622"/>
    <w:rsid w:val="00A70977"/>
    <w:rsid w:val="00A77613"/>
    <w:rsid w:val="00A8390C"/>
    <w:rsid w:val="00A928BD"/>
    <w:rsid w:val="00AA15C0"/>
    <w:rsid w:val="00AA4D1C"/>
    <w:rsid w:val="00AC193C"/>
    <w:rsid w:val="00AC5206"/>
    <w:rsid w:val="00AE11A5"/>
    <w:rsid w:val="00AE13E2"/>
    <w:rsid w:val="00AE22D3"/>
    <w:rsid w:val="00AE3244"/>
    <w:rsid w:val="00AF2C8A"/>
    <w:rsid w:val="00AF62DF"/>
    <w:rsid w:val="00AF68CC"/>
    <w:rsid w:val="00B1059E"/>
    <w:rsid w:val="00B176C8"/>
    <w:rsid w:val="00B205AA"/>
    <w:rsid w:val="00B22E84"/>
    <w:rsid w:val="00B25F75"/>
    <w:rsid w:val="00B26B3F"/>
    <w:rsid w:val="00B43E90"/>
    <w:rsid w:val="00B467DC"/>
    <w:rsid w:val="00B56118"/>
    <w:rsid w:val="00B646A5"/>
    <w:rsid w:val="00B6773F"/>
    <w:rsid w:val="00B7433A"/>
    <w:rsid w:val="00B801BA"/>
    <w:rsid w:val="00B80705"/>
    <w:rsid w:val="00B84D5C"/>
    <w:rsid w:val="00B90C2F"/>
    <w:rsid w:val="00BA0AF0"/>
    <w:rsid w:val="00BB69F5"/>
    <w:rsid w:val="00BB7EC3"/>
    <w:rsid w:val="00BC4B9A"/>
    <w:rsid w:val="00BC4E9B"/>
    <w:rsid w:val="00BD19C0"/>
    <w:rsid w:val="00BD19D0"/>
    <w:rsid w:val="00BD2CE8"/>
    <w:rsid w:val="00BD784C"/>
    <w:rsid w:val="00BE7856"/>
    <w:rsid w:val="00BF4CB6"/>
    <w:rsid w:val="00BF7A2B"/>
    <w:rsid w:val="00C00DA7"/>
    <w:rsid w:val="00C12768"/>
    <w:rsid w:val="00C136D6"/>
    <w:rsid w:val="00C16583"/>
    <w:rsid w:val="00C27B58"/>
    <w:rsid w:val="00C35996"/>
    <w:rsid w:val="00C4747E"/>
    <w:rsid w:val="00C5342C"/>
    <w:rsid w:val="00C603D4"/>
    <w:rsid w:val="00C6256A"/>
    <w:rsid w:val="00C77891"/>
    <w:rsid w:val="00C91449"/>
    <w:rsid w:val="00C927DF"/>
    <w:rsid w:val="00C92D10"/>
    <w:rsid w:val="00CD26EE"/>
    <w:rsid w:val="00CD7960"/>
    <w:rsid w:val="00CE10C4"/>
    <w:rsid w:val="00CE27B5"/>
    <w:rsid w:val="00CE5800"/>
    <w:rsid w:val="00D0321E"/>
    <w:rsid w:val="00D1455A"/>
    <w:rsid w:val="00D22C93"/>
    <w:rsid w:val="00D24C90"/>
    <w:rsid w:val="00D253DE"/>
    <w:rsid w:val="00D31150"/>
    <w:rsid w:val="00D3138B"/>
    <w:rsid w:val="00D31E5D"/>
    <w:rsid w:val="00D3280C"/>
    <w:rsid w:val="00D3406A"/>
    <w:rsid w:val="00D36F84"/>
    <w:rsid w:val="00D4572C"/>
    <w:rsid w:val="00D469B2"/>
    <w:rsid w:val="00D741EB"/>
    <w:rsid w:val="00D83605"/>
    <w:rsid w:val="00D84934"/>
    <w:rsid w:val="00D91271"/>
    <w:rsid w:val="00DA2CB5"/>
    <w:rsid w:val="00DA4BAC"/>
    <w:rsid w:val="00DB79FE"/>
    <w:rsid w:val="00DD0A6E"/>
    <w:rsid w:val="00DE6D27"/>
    <w:rsid w:val="00DF217D"/>
    <w:rsid w:val="00DF26A7"/>
    <w:rsid w:val="00DF4710"/>
    <w:rsid w:val="00E13FF4"/>
    <w:rsid w:val="00E15627"/>
    <w:rsid w:val="00E164B3"/>
    <w:rsid w:val="00E16910"/>
    <w:rsid w:val="00E244B3"/>
    <w:rsid w:val="00E31F0A"/>
    <w:rsid w:val="00E42BDB"/>
    <w:rsid w:val="00E57EEB"/>
    <w:rsid w:val="00E62D94"/>
    <w:rsid w:val="00E65E54"/>
    <w:rsid w:val="00E74397"/>
    <w:rsid w:val="00E80155"/>
    <w:rsid w:val="00E848C0"/>
    <w:rsid w:val="00E91B96"/>
    <w:rsid w:val="00E941A1"/>
    <w:rsid w:val="00E95CE3"/>
    <w:rsid w:val="00EA2825"/>
    <w:rsid w:val="00EB0B63"/>
    <w:rsid w:val="00EB1936"/>
    <w:rsid w:val="00EB4F0D"/>
    <w:rsid w:val="00EB5088"/>
    <w:rsid w:val="00EB636D"/>
    <w:rsid w:val="00ED1644"/>
    <w:rsid w:val="00ED2593"/>
    <w:rsid w:val="00ED7D9C"/>
    <w:rsid w:val="00EF122C"/>
    <w:rsid w:val="00EF14FC"/>
    <w:rsid w:val="00EF44A0"/>
    <w:rsid w:val="00EF4FED"/>
    <w:rsid w:val="00F050BD"/>
    <w:rsid w:val="00F05657"/>
    <w:rsid w:val="00F2027F"/>
    <w:rsid w:val="00F25578"/>
    <w:rsid w:val="00F258E5"/>
    <w:rsid w:val="00F300BC"/>
    <w:rsid w:val="00F3334E"/>
    <w:rsid w:val="00F36CCB"/>
    <w:rsid w:val="00F374E5"/>
    <w:rsid w:val="00F43AF2"/>
    <w:rsid w:val="00F50EC4"/>
    <w:rsid w:val="00F550CF"/>
    <w:rsid w:val="00F57A6D"/>
    <w:rsid w:val="00F604FF"/>
    <w:rsid w:val="00F638CC"/>
    <w:rsid w:val="00F64CC1"/>
    <w:rsid w:val="00F72317"/>
    <w:rsid w:val="00F80475"/>
    <w:rsid w:val="00F8247A"/>
    <w:rsid w:val="00F9629A"/>
    <w:rsid w:val="00F97EFC"/>
    <w:rsid w:val="00FA1AA9"/>
    <w:rsid w:val="00FA5883"/>
    <w:rsid w:val="00FA6055"/>
    <w:rsid w:val="00FB322F"/>
    <w:rsid w:val="00FB442F"/>
    <w:rsid w:val="00FB499B"/>
    <w:rsid w:val="00FC1929"/>
    <w:rsid w:val="00FC5098"/>
    <w:rsid w:val="00FC5B46"/>
    <w:rsid w:val="00FD6D8E"/>
    <w:rsid w:val="00FE0E94"/>
    <w:rsid w:val="00FE3FF2"/>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end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502182"/>
    <w:pPr>
      <w:keepNext/>
      <w:spacing w:before="120" w:after="120"/>
      <w:outlineLvl w:val="1"/>
    </w:pPr>
    <w:rPr>
      <w:rFonts w:ascii="Arial" w:hAnsi="Arial"/>
      <w:b/>
      <w:i/>
      <w:snapToGrid w:val="0"/>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502182"/>
    <w:rPr>
      <w:rFonts w:ascii="Arial" w:hAnsi="Arial"/>
      <w:b/>
      <w:i/>
      <w:snapToGrid w:val="0"/>
      <w:sz w:val="22"/>
      <w:szCs w:val="24"/>
    </w:rPr>
  </w:style>
  <w:style w:type="paragraph" w:styleId="FootnoteText">
    <w:name w:val="footnote text"/>
    <w:basedOn w:val="Normal"/>
    <w:link w:val="FootnoteTextChar"/>
    <w:rsid w:val="003F1FF9"/>
    <w:pPr>
      <w:keepLines/>
    </w:pPr>
    <w:rPr>
      <w:sz w:val="20"/>
      <w:szCs w:val="20"/>
    </w:rPr>
  </w:style>
  <w:style w:type="character" w:customStyle="1" w:styleId="FootnoteTextChar">
    <w:name w:val="Footnote Text Char"/>
    <w:basedOn w:val="DefaultParagraphFont"/>
    <w:link w:val="FootnoteText"/>
    <w:rsid w:val="003F1FF9"/>
  </w:style>
  <w:style w:type="character" w:styleId="FootnoteReference">
    <w:name w:val="footnote reference"/>
    <w:basedOn w:val="DefaultParagraphFont"/>
    <w:rsid w:val="00A15549"/>
    <w:rPr>
      <w:vertAlign w:val="superscript"/>
    </w:rPr>
  </w:style>
  <w:style w:type="paragraph" w:customStyle="1" w:styleId="PBACheading10">
    <w:name w:val="PBAC heading 1"/>
    <w:qFormat/>
    <w:rsid w:val="005540D2"/>
    <w:pPr>
      <w:ind w:left="720" w:hanging="720"/>
      <w:outlineLvl w:val="0"/>
    </w:pPr>
    <w:rPr>
      <w:rFonts w:ascii="Arial" w:hAnsi="Arial" w:cs="Arial"/>
      <w:b/>
      <w:snapToGrid w:val="0"/>
      <w:sz w:val="22"/>
      <w:szCs w:val="22"/>
      <w:lang w:eastAsia="en-US"/>
    </w:rPr>
  </w:style>
  <w:style w:type="character" w:styleId="FollowedHyperlink">
    <w:name w:val="FollowedHyperlink"/>
    <w:basedOn w:val="DefaultParagraphFont"/>
    <w:rsid w:val="00B80705"/>
    <w:rPr>
      <w:color w:val="800080" w:themeColor="followedHyperlink"/>
      <w:u w:val="single"/>
    </w:rPr>
  </w:style>
  <w:style w:type="paragraph" w:styleId="Caption">
    <w:name w:val="caption"/>
    <w:basedOn w:val="Normal"/>
    <w:next w:val="Normal"/>
    <w:unhideWhenUsed/>
    <w:qFormat/>
    <w:rsid w:val="00DB79FE"/>
    <w:rPr>
      <w:rFonts w:ascii="Arial Narrow" w:eastAsiaTheme="minorHAnsi" w:hAnsi="Arial Narrow"/>
      <w:b/>
      <w:sz w:val="20"/>
      <w:szCs w:val="20"/>
    </w:rPr>
  </w:style>
  <w:style w:type="paragraph" w:styleId="EndnoteText">
    <w:name w:val="endnote text"/>
    <w:basedOn w:val="Normal"/>
    <w:link w:val="EndnoteTextChar"/>
    <w:rsid w:val="00D31E5D"/>
    <w:rPr>
      <w:sz w:val="20"/>
      <w:szCs w:val="20"/>
    </w:rPr>
  </w:style>
  <w:style w:type="character" w:customStyle="1" w:styleId="EndnoteTextChar">
    <w:name w:val="Endnote Text Char"/>
    <w:basedOn w:val="DefaultParagraphFont"/>
    <w:link w:val="EndnoteText"/>
    <w:rsid w:val="00D31E5D"/>
  </w:style>
  <w:style w:type="character" w:styleId="EndnoteReference">
    <w:name w:val="endnote reference"/>
    <w:basedOn w:val="DefaultParagraphFont"/>
    <w:uiPriority w:val="99"/>
    <w:unhideWhenUsed/>
    <w:rsid w:val="00D31E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end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502182"/>
    <w:pPr>
      <w:keepNext/>
      <w:spacing w:before="120" w:after="120"/>
      <w:outlineLvl w:val="1"/>
    </w:pPr>
    <w:rPr>
      <w:rFonts w:ascii="Arial" w:hAnsi="Arial"/>
      <w:b/>
      <w:i/>
      <w:snapToGrid w:val="0"/>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502182"/>
    <w:rPr>
      <w:rFonts w:ascii="Arial" w:hAnsi="Arial"/>
      <w:b/>
      <w:i/>
      <w:snapToGrid w:val="0"/>
      <w:sz w:val="22"/>
      <w:szCs w:val="24"/>
    </w:rPr>
  </w:style>
  <w:style w:type="paragraph" w:styleId="FootnoteText">
    <w:name w:val="footnote text"/>
    <w:basedOn w:val="Normal"/>
    <w:link w:val="FootnoteTextChar"/>
    <w:rsid w:val="003F1FF9"/>
    <w:pPr>
      <w:keepLines/>
    </w:pPr>
    <w:rPr>
      <w:sz w:val="20"/>
      <w:szCs w:val="20"/>
    </w:rPr>
  </w:style>
  <w:style w:type="character" w:customStyle="1" w:styleId="FootnoteTextChar">
    <w:name w:val="Footnote Text Char"/>
    <w:basedOn w:val="DefaultParagraphFont"/>
    <w:link w:val="FootnoteText"/>
    <w:rsid w:val="003F1FF9"/>
  </w:style>
  <w:style w:type="character" w:styleId="FootnoteReference">
    <w:name w:val="footnote reference"/>
    <w:basedOn w:val="DefaultParagraphFont"/>
    <w:rsid w:val="00A15549"/>
    <w:rPr>
      <w:vertAlign w:val="superscript"/>
    </w:rPr>
  </w:style>
  <w:style w:type="paragraph" w:customStyle="1" w:styleId="PBACheading10">
    <w:name w:val="PBAC heading 1"/>
    <w:qFormat/>
    <w:rsid w:val="005540D2"/>
    <w:pPr>
      <w:ind w:left="720" w:hanging="720"/>
      <w:outlineLvl w:val="0"/>
    </w:pPr>
    <w:rPr>
      <w:rFonts w:ascii="Arial" w:hAnsi="Arial" w:cs="Arial"/>
      <w:b/>
      <w:snapToGrid w:val="0"/>
      <w:sz w:val="22"/>
      <w:szCs w:val="22"/>
      <w:lang w:eastAsia="en-US"/>
    </w:rPr>
  </w:style>
  <w:style w:type="character" w:styleId="FollowedHyperlink">
    <w:name w:val="FollowedHyperlink"/>
    <w:basedOn w:val="DefaultParagraphFont"/>
    <w:rsid w:val="00B80705"/>
    <w:rPr>
      <w:color w:val="800080" w:themeColor="followedHyperlink"/>
      <w:u w:val="single"/>
    </w:rPr>
  </w:style>
  <w:style w:type="paragraph" w:styleId="Caption">
    <w:name w:val="caption"/>
    <w:basedOn w:val="Normal"/>
    <w:next w:val="Normal"/>
    <w:unhideWhenUsed/>
    <w:qFormat/>
    <w:rsid w:val="00DB79FE"/>
    <w:rPr>
      <w:rFonts w:ascii="Arial Narrow" w:eastAsiaTheme="minorHAnsi" w:hAnsi="Arial Narrow"/>
      <w:b/>
      <w:sz w:val="20"/>
      <w:szCs w:val="20"/>
    </w:rPr>
  </w:style>
  <w:style w:type="paragraph" w:styleId="EndnoteText">
    <w:name w:val="endnote text"/>
    <w:basedOn w:val="Normal"/>
    <w:link w:val="EndnoteTextChar"/>
    <w:rsid w:val="00D31E5D"/>
    <w:rPr>
      <w:sz w:val="20"/>
      <w:szCs w:val="20"/>
    </w:rPr>
  </w:style>
  <w:style w:type="character" w:customStyle="1" w:styleId="EndnoteTextChar">
    <w:name w:val="Endnote Text Char"/>
    <w:basedOn w:val="DefaultParagraphFont"/>
    <w:link w:val="EndnoteText"/>
    <w:rsid w:val="00D31E5D"/>
  </w:style>
  <w:style w:type="character" w:styleId="EndnoteReference">
    <w:name w:val="endnote reference"/>
    <w:basedOn w:val="DefaultParagraphFont"/>
    <w:uiPriority w:val="99"/>
    <w:unhideWhenUsed/>
    <w:rsid w:val="00D31E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industry/listing/elements/pbac-meetings/psd/2010-11/pbac-psd-filgrastim-nov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717E5-3D10-47CF-B6EE-452A8CFD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2799</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2018-08-30T04:14:00Z</dcterms:created>
  <dcterms:modified xsi:type="dcterms:W3CDTF">2018-10-17T23:47:00Z</dcterms:modified>
</cp:coreProperties>
</file>