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B9" w:rsidRDefault="00BB256C" w:rsidP="00C55706">
      <w:pPr>
        <w:outlineLvl w:val="0"/>
        <w:rPr>
          <w:b/>
          <w:sz w:val="36"/>
          <w:szCs w:val="36"/>
        </w:rPr>
      </w:pPr>
      <w:r>
        <w:rPr>
          <w:b/>
          <w:sz w:val="36"/>
          <w:szCs w:val="36"/>
        </w:rPr>
        <w:t>5</w:t>
      </w:r>
      <w:r w:rsidR="00433044" w:rsidRPr="00C725E4">
        <w:rPr>
          <w:b/>
          <w:sz w:val="36"/>
          <w:szCs w:val="36"/>
        </w:rPr>
        <w:t>.</w:t>
      </w:r>
      <w:r>
        <w:rPr>
          <w:b/>
          <w:sz w:val="36"/>
          <w:szCs w:val="36"/>
        </w:rPr>
        <w:t>04</w:t>
      </w:r>
      <w:r w:rsidR="00B60939" w:rsidRPr="00C725E4">
        <w:rPr>
          <w:b/>
          <w:sz w:val="36"/>
          <w:szCs w:val="36"/>
        </w:rPr>
        <w:tab/>
      </w:r>
      <w:r w:rsidR="009E0E65">
        <w:rPr>
          <w:b/>
          <w:sz w:val="36"/>
          <w:szCs w:val="36"/>
        </w:rPr>
        <w:tab/>
        <w:t>GUSELKUMAB</w:t>
      </w:r>
      <w:r w:rsidR="00B60939" w:rsidRPr="00C725E4">
        <w:rPr>
          <w:b/>
          <w:sz w:val="36"/>
          <w:szCs w:val="36"/>
        </w:rPr>
        <w:t>,</w:t>
      </w:r>
    </w:p>
    <w:p w:rsidR="001E084D" w:rsidRDefault="00397215" w:rsidP="009E0E65">
      <w:pPr>
        <w:rPr>
          <w:b/>
          <w:sz w:val="36"/>
          <w:szCs w:val="36"/>
        </w:rPr>
      </w:pPr>
      <w:r w:rsidRPr="00397215">
        <w:rPr>
          <w:b/>
          <w:sz w:val="36"/>
          <w:szCs w:val="36"/>
        </w:rPr>
        <w:t xml:space="preserve">Injection 100 mg in 1 mL </w:t>
      </w:r>
    </w:p>
    <w:p w:rsidR="001E084D" w:rsidRDefault="00397215" w:rsidP="009E0E65">
      <w:pPr>
        <w:rPr>
          <w:b/>
          <w:sz w:val="36"/>
          <w:szCs w:val="36"/>
        </w:rPr>
      </w:pPr>
      <w:proofErr w:type="gramStart"/>
      <w:r w:rsidRPr="00397215">
        <w:rPr>
          <w:b/>
          <w:sz w:val="36"/>
          <w:szCs w:val="36"/>
        </w:rPr>
        <w:t>single</w:t>
      </w:r>
      <w:proofErr w:type="gramEnd"/>
      <w:r w:rsidRPr="00397215">
        <w:rPr>
          <w:b/>
          <w:sz w:val="36"/>
          <w:szCs w:val="36"/>
        </w:rPr>
        <w:t xml:space="preserve"> use pre-filled syringe</w:t>
      </w:r>
      <w:r>
        <w:rPr>
          <w:b/>
          <w:sz w:val="36"/>
          <w:szCs w:val="36"/>
        </w:rPr>
        <w:t>,</w:t>
      </w:r>
      <w:r w:rsidRPr="00397215">
        <w:rPr>
          <w:b/>
          <w:sz w:val="36"/>
          <w:szCs w:val="36"/>
        </w:rPr>
        <w:t xml:space="preserve"> </w:t>
      </w:r>
    </w:p>
    <w:p w:rsidR="00564945" w:rsidRPr="00CA4AA0" w:rsidRDefault="009E0E65" w:rsidP="00CA4AA0">
      <w:pPr>
        <w:rPr>
          <w:b/>
          <w:sz w:val="36"/>
          <w:szCs w:val="36"/>
        </w:rPr>
      </w:pPr>
      <w:proofErr w:type="spellStart"/>
      <w:r>
        <w:rPr>
          <w:b/>
          <w:sz w:val="36"/>
          <w:szCs w:val="36"/>
        </w:rPr>
        <w:t>Tremfya</w:t>
      </w:r>
      <w:proofErr w:type="spellEnd"/>
      <w:r w:rsidR="00B60939" w:rsidRPr="00C725E4">
        <w:rPr>
          <w:b/>
          <w:sz w:val="36"/>
          <w:szCs w:val="36"/>
          <w:vertAlign w:val="superscript"/>
        </w:rPr>
        <w:t>®</w:t>
      </w:r>
      <w:r w:rsidR="00B60939" w:rsidRPr="00C725E4">
        <w:rPr>
          <w:b/>
          <w:sz w:val="36"/>
          <w:szCs w:val="36"/>
        </w:rPr>
        <w:t xml:space="preserve">, </w:t>
      </w:r>
      <w:r w:rsidRPr="009E0E65">
        <w:rPr>
          <w:b/>
          <w:sz w:val="36"/>
          <w:szCs w:val="36"/>
        </w:rPr>
        <w:t>Janssen-Cilag Pty Ltd</w:t>
      </w:r>
      <w:bookmarkStart w:id="0" w:name="_Toc503190132"/>
    </w:p>
    <w:p w:rsidR="001E4A50" w:rsidRPr="00C55706" w:rsidRDefault="001E4A50" w:rsidP="00CA4AA0">
      <w:pPr>
        <w:pStyle w:val="Heading1"/>
        <w:spacing w:before="240"/>
      </w:pPr>
      <w:r w:rsidRPr="00C55706">
        <w:t>Purpose of Application</w:t>
      </w:r>
      <w:bookmarkEnd w:id="0"/>
    </w:p>
    <w:p w:rsidR="00AC041A" w:rsidRPr="00C725E4" w:rsidRDefault="00AC041A" w:rsidP="00AC041A">
      <w:pPr>
        <w:pStyle w:val="ListParagraph"/>
        <w:widowControl/>
        <w:numPr>
          <w:ilvl w:val="1"/>
          <w:numId w:val="3"/>
        </w:numPr>
      </w:pPr>
      <w:r w:rsidRPr="00C725E4">
        <w:t xml:space="preserve">Authority </w:t>
      </w:r>
      <w:proofErr w:type="gramStart"/>
      <w:r w:rsidRPr="00C725E4">
        <w:t>Required</w:t>
      </w:r>
      <w:proofErr w:type="gramEnd"/>
      <w:r w:rsidR="00FF2C1E">
        <w:t xml:space="preserve"> (in writing)</w:t>
      </w:r>
      <w:r w:rsidR="007800FE">
        <w:t xml:space="preserve"> listing for guselkumab</w:t>
      </w:r>
      <w:r w:rsidRPr="00C725E4">
        <w:t xml:space="preserve"> for treatment of severe chronic plaque psoriasis</w:t>
      </w:r>
      <w:r w:rsidR="00FF2C1E">
        <w:t xml:space="preserve"> (CPP) in patients meeting</w:t>
      </w:r>
      <w:r w:rsidR="006E0537">
        <w:t xml:space="preserve"> specified PBS</w:t>
      </w:r>
      <w:r w:rsidR="00FF2C1E">
        <w:t xml:space="preserve"> criteria</w:t>
      </w:r>
      <w:r w:rsidRPr="00C725E4">
        <w:t xml:space="preserve">. </w:t>
      </w:r>
      <w:r w:rsidR="00FF2C1E">
        <w:t xml:space="preserve"> </w:t>
      </w:r>
      <w:r w:rsidRPr="00C725E4">
        <w:t xml:space="preserve">The PBAC has not previously considered </w:t>
      </w:r>
      <w:r w:rsidR="00E8577E">
        <w:t>guselkumab</w:t>
      </w:r>
      <w:r w:rsidR="007800FE">
        <w:t xml:space="preserve"> (GUS)</w:t>
      </w:r>
      <w:r w:rsidRPr="00C725E4">
        <w:t xml:space="preserve">. </w:t>
      </w:r>
    </w:p>
    <w:p w:rsidR="0040571F" w:rsidRDefault="00010342" w:rsidP="0040571F">
      <w:pPr>
        <w:pStyle w:val="ListParagraph"/>
        <w:widowControl/>
        <w:numPr>
          <w:ilvl w:val="1"/>
          <w:numId w:val="3"/>
        </w:numPr>
        <w:spacing w:after="120"/>
      </w:pPr>
      <w:r w:rsidRPr="00C725E4">
        <w:t xml:space="preserve">The </w:t>
      </w:r>
      <w:r w:rsidR="00DF63F7">
        <w:t xml:space="preserve">basis for the request listing was </w:t>
      </w:r>
      <w:r w:rsidR="00C62BC5">
        <w:t xml:space="preserve">a </w:t>
      </w:r>
      <w:r w:rsidRPr="00C725E4">
        <w:t xml:space="preserve">cost-minimisation </w:t>
      </w:r>
      <w:r w:rsidR="00DF63F7">
        <w:t xml:space="preserve">analysis versus </w:t>
      </w:r>
      <w:r w:rsidRPr="00C725E4">
        <w:t>ustekinumab (UST</w:t>
      </w:r>
      <w:r w:rsidR="00FF2C1E">
        <w:t>)</w:t>
      </w:r>
      <w:r w:rsidRPr="00C725E4">
        <w:t>.</w:t>
      </w:r>
      <w:r w:rsidR="00FF2C1E">
        <w:t xml:space="preserve">  Other biologic disease-modifying anti-rheumatic drugs (bDMARDs) currently listed on the PBS for CPP include: adalimumab (ADA), </w:t>
      </w:r>
      <w:r w:rsidR="0077076F">
        <w:t xml:space="preserve">etanercept (ETN), </w:t>
      </w:r>
      <w:r w:rsidR="00FF2C1E">
        <w:t xml:space="preserve">infliximab (IFX); </w:t>
      </w:r>
      <w:proofErr w:type="spellStart"/>
      <w:r w:rsidR="00FF2C1E">
        <w:t>secukimumab</w:t>
      </w:r>
      <w:proofErr w:type="spellEnd"/>
      <w:r w:rsidR="00FF2C1E">
        <w:t xml:space="preserve"> (SEC) and ixekizumab (IXE).  </w:t>
      </w:r>
      <w:proofErr w:type="spellStart"/>
      <w:r w:rsidR="0077076F">
        <w:t>Biosimilars</w:t>
      </w:r>
      <w:proofErr w:type="spellEnd"/>
      <w:r w:rsidR="0077076F">
        <w:t xml:space="preserve"> are also available on</w:t>
      </w:r>
      <w:r w:rsidR="007800FE">
        <w:t xml:space="preserve"> PBS for infliximab and etanercept. </w:t>
      </w:r>
      <w:r w:rsidR="0077076F">
        <w:t xml:space="preserve">The submission also presented supportive </w:t>
      </w:r>
      <w:r w:rsidR="007800FE">
        <w:t>comparative evidence against adalimumab</w:t>
      </w:r>
      <w:r w:rsidR="0077076F">
        <w:t>.</w:t>
      </w:r>
    </w:p>
    <w:p w:rsidR="008B1757" w:rsidRPr="00C725E4" w:rsidRDefault="008B1757" w:rsidP="008B1757">
      <w:pPr>
        <w:rPr>
          <w:rStyle w:val="CommentReference"/>
        </w:rPr>
      </w:pPr>
      <w:r w:rsidRPr="00C725E4">
        <w:rPr>
          <w:rStyle w:val="CommentReference"/>
        </w:rPr>
        <w:t xml:space="preserve">Table </w:t>
      </w:r>
      <w:r w:rsidR="00FF2C1E">
        <w:rPr>
          <w:rStyle w:val="CommentReference"/>
        </w:rPr>
        <w:t>1</w:t>
      </w:r>
      <w:r w:rsidRPr="00C725E4">
        <w:rPr>
          <w:rStyle w:val="CommentReference"/>
        </w:rPr>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09"/>
      </w:tblGrid>
      <w:tr w:rsidR="008B1757" w:rsidRPr="00C725E4" w:rsidTr="00FF2C1E">
        <w:trPr>
          <w:cantSplit/>
          <w:tblHeader/>
        </w:trPr>
        <w:tc>
          <w:tcPr>
            <w:tcW w:w="1271" w:type="dxa"/>
            <w:shd w:val="clear" w:color="auto" w:fill="auto"/>
          </w:tcPr>
          <w:p w:rsidR="008B1757" w:rsidRPr="00C725E4" w:rsidRDefault="008B1757" w:rsidP="008B1757">
            <w:pPr>
              <w:pStyle w:val="Tabletext"/>
              <w:rPr>
                <w:b/>
                <w:szCs w:val="20"/>
              </w:rPr>
            </w:pPr>
            <w:r w:rsidRPr="00C725E4">
              <w:rPr>
                <w:b/>
              </w:rPr>
              <w:t>Component</w:t>
            </w:r>
          </w:p>
        </w:tc>
        <w:tc>
          <w:tcPr>
            <w:tcW w:w="7909" w:type="dxa"/>
            <w:shd w:val="clear" w:color="auto" w:fill="auto"/>
          </w:tcPr>
          <w:p w:rsidR="008B1757" w:rsidRPr="00C725E4" w:rsidRDefault="008B1757" w:rsidP="008B1757">
            <w:pPr>
              <w:pStyle w:val="Tabletext"/>
              <w:jc w:val="center"/>
              <w:rPr>
                <w:b/>
              </w:rPr>
            </w:pPr>
            <w:r w:rsidRPr="00C725E4">
              <w:rPr>
                <w:b/>
              </w:rPr>
              <w:t>Description</w:t>
            </w:r>
          </w:p>
        </w:tc>
      </w:tr>
      <w:tr w:rsidR="00010342" w:rsidRPr="00C725E4" w:rsidTr="00FF2C1E">
        <w:trPr>
          <w:cantSplit/>
        </w:trPr>
        <w:tc>
          <w:tcPr>
            <w:tcW w:w="1271" w:type="dxa"/>
            <w:shd w:val="clear" w:color="auto" w:fill="auto"/>
          </w:tcPr>
          <w:p w:rsidR="00010342" w:rsidRPr="00C725E4" w:rsidRDefault="00010342" w:rsidP="00010342">
            <w:pPr>
              <w:pStyle w:val="Tabletext"/>
            </w:pPr>
            <w:r w:rsidRPr="00C725E4">
              <w:t>Population</w:t>
            </w:r>
          </w:p>
        </w:tc>
        <w:tc>
          <w:tcPr>
            <w:tcW w:w="7909" w:type="dxa"/>
            <w:vAlign w:val="center"/>
          </w:tcPr>
          <w:p w:rsidR="00010342" w:rsidRPr="00C725E4" w:rsidRDefault="00010342" w:rsidP="00010342">
            <w:pPr>
              <w:pStyle w:val="Tabletext"/>
            </w:pPr>
            <w:r w:rsidRPr="00C725E4">
              <w:t>Adult patients with severe CPP who have failed conventional therapy</w:t>
            </w:r>
          </w:p>
        </w:tc>
      </w:tr>
      <w:tr w:rsidR="00010342" w:rsidRPr="00C725E4" w:rsidTr="00FF2C1E">
        <w:trPr>
          <w:cantSplit/>
        </w:trPr>
        <w:tc>
          <w:tcPr>
            <w:tcW w:w="1271" w:type="dxa"/>
            <w:shd w:val="clear" w:color="auto" w:fill="auto"/>
          </w:tcPr>
          <w:p w:rsidR="00010342" w:rsidRPr="00C725E4" w:rsidRDefault="00010342" w:rsidP="00010342">
            <w:pPr>
              <w:pStyle w:val="Tabletext"/>
            </w:pPr>
            <w:r w:rsidRPr="00C725E4">
              <w:t>Intervention</w:t>
            </w:r>
          </w:p>
        </w:tc>
        <w:tc>
          <w:tcPr>
            <w:tcW w:w="7909" w:type="dxa"/>
            <w:vAlign w:val="center"/>
          </w:tcPr>
          <w:p w:rsidR="00010342" w:rsidRPr="00C725E4" w:rsidRDefault="00010342" w:rsidP="00010342">
            <w:pPr>
              <w:pStyle w:val="Tabletext"/>
            </w:pPr>
            <w:r w:rsidRPr="00C725E4">
              <w:t>Guselkumab (100 mg subcutaneously at Weeks 0,  4 and every 8 weeks thereafter, until loss of response or unacceptable toxicity)</w:t>
            </w:r>
          </w:p>
        </w:tc>
      </w:tr>
      <w:tr w:rsidR="00010342" w:rsidRPr="00C725E4" w:rsidTr="00FF2C1E">
        <w:trPr>
          <w:cantSplit/>
        </w:trPr>
        <w:tc>
          <w:tcPr>
            <w:tcW w:w="1271" w:type="dxa"/>
            <w:shd w:val="clear" w:color="auto" w:fill="auto"/>
          </w:tcPr>
          <w:p w:rsidR="00010342" w:rsidRPr="00C725E4" w:rsidRDefault="00010342" w:rsidP="00010342">
            <w:pPr>
              <w:pStyle w:val="Tabletext"/>
            </w:pPr>
            <w:r w:rsidRPr="00C725E4">
              <w:t>Comparator</w:t>
            </w:r>
          </w:p>
        </w:tc>
        <w:tc>
          <w:tcPr>
            <w:tcW w:w="7909" w:type="dxa"/>
            <w:vAlign w:val="center"/>
          </w:tcPr>
          <w:p w:rsidR="00010342" w:rsidRPr="00C725E4" w:rsidRDefault="00010342" w:rsidP="0092061F">
            <w:pPr>
              <w:pStyle w:val="Tabletext"/>
            </w:pPr>
            <w:r w:rsidRPr="00C725E4">
              <w:t xml:space="preserve">Primary: </w:t>
            </w:r>
            <w:r w:rsidR="00FF2C1E">
              <w:t>u</w:t>
            </w:r>
            <w:r w:rsidRPr="00C725E4">
              <w:t>stekinumab</w:t>
            </w:r>
            <w:r w:rsidR="00FF2C1E">
              <w:t xml:space="preserve"> (recommended dose: </w:t>
            </w:r>
            <w:r w:rsidR="0092061F">
              <w:t>45</w:t>
            </w:r>
            <w:r w:rsidR="00AE74A6">
              <w:t xml:space="preserve"> </w:t>
            </w:r>
            <w:r w:rsidR="0092061F">
              <w:t>mg administered at weeks 0 and 4, then every 12 weeks thereafter, Alternatively, 90 mg administered over Weeks 0 and 4, then every 12 weeks thereafter</w:t>
            </w:r>
            <w:r w:rsidR="002C702D">
              <w:t xml:space="preserve"> </w:t>
            </w:r>
            <w:r w:rsidR="0092061F">
              <w:t>may be used in patients with a body weight greater than 100 kg).</w:t>
            </w:r>
          </w:p>
          <w:p w:rsidR="00010342" w:rsidRPr="00C725E4" w:rsidRDefault="00010342" w:rsidP="00010342">
            <w:pPr>
              <w:pStyle w:val="Tabletext"/>
            </w:pPr>
            <w:r w:rsidRPr="00C725E4">
              <w:t>Supplementary: Adalimumab</w:t>
            </w:r>
            <w:r w:rsidR="0092061F">
              <w:t xml:space="preserve"> (</w:t>
            </w:r>
            <w:r w:rsidR="0092061F" w:rsidRPr="0092061F">
              <w:t>initially 80 mg, then 40 mg fortnightly starting 1 w</w:t>
            </w:r>
            <w:r w:rsidR="0092061F">
              <w:t>ee</w:t>
            </w:r>
            <w:r w:rsidR="0092061F" w:rsidRPr="0092061F">
              <w:t>k after 1st dose</w:t>
            </w:r>
            <w:r w:rsidR="0092061F">
              <w:t>)</w:t>
            </w:r>
            <w:r w:rsidR="00AF0F99">
              <w:t>.</w:t>
            </w:r>
          </w:p>
        </w:tc>
      </w:tr>
      <w:tr w:rsidR="00010342" w:rsidRPr="00C725E4" w:rsidTr="00FF2C1E">
        <w:trPr>
          <w:cantSplit/>
        </w:trPr>
        <w:tc>
          <w:tcPr>
            <w:tcW w:w="1271" w:type="dxa"/>
            <w:shd w:val="clear" w:color="auto" w:fill="auto"/>
          </w:tcPr>
          <w:p w:rsidR="00010342" w:rsidRPr="00C725E4" w:rsidRDefault="00010342" w:rsidP="00010342">
            <w:pPr>
              <w:pStyle w:val="Tabletext"/>
            </w:pPr>
            <w:r w:rsidRPr="00C725E4">
              <w:t>Outcomes</w:t>
            </w:r>
          </w:p>
        </w:tc>
        <w:tc>
          <w:tcPr>
            <w:tcW w:w="7909" w:type="dxa"/>
            <w:vAlign w:val="center"/>
          </w:tcPr>
          <w:p w:rsidR="00010342" w:rsidRPr="00C725E4" w:rsidRDefault="00010342" w:rsidP="00010342">
            <w:pPr>
              <w:pStyle w:val="Tabletext"/>
            </w:pPr>
            <w:r w:rsidRPr="00C725E4">
              <w:t>P</w:t>
            </w:r>
            <w:r w:rsidR="00955F39" w:rsidRPr="00C725E4">
              <w:t>ASI 75 and PASI 90 response</w:t>
            </w:r>
          </w:p>
        </w:tc>
      </w:tr>
      <w:tr w:rsidR="00010342" w:rsidRPr="00C725E4" w:rsidTr="00FF2C1E">
        <w:trPr>
          <w:cantSplit/>
        </w:trPr>
        <w:tc>
          <w:tcPr>
            <w:tcW w:w="1271" w:type="dxa"/>
            <w:shd w:val="clear" w:color="auto" w:fill="auto"/>
          </w:tcPr>
          <w:p w:rsidR="00010342" w:rsidRPr="00C725E4" w:rsidRDefault="00010342" w:rsidP="00010342">
            <w:pPr>
              <w:pStyle w:val="Tabletext"/>
            </w:pPr>
            <w:r w:rsidRPr="00C725E4">
              <w:t>Clinical claim</w:t>
            </w:r>
          </w:p>
        </w:tc>
        <w:tc>
          <w:tcPr>
            <w:tcW w:w="7909" w:type="dxa"/>
            <w:vAlign w:val="center"/>
          </w:tcPr>
          <w:p w:rsidR="00526A1D" w:rsidRDefault="00526A1D" w:rsidP="006458D2">
            <w:pPr>
              <w:pStyle w:val="Tabletext"/>
            </w:pPr>
            <w:r>
              <w:t xml:space="preserve">The submission claimed that in </w:t>
            </w:r>
            <w:r w:rsidR="00010342" w:rsidRPr="00C725E4">
              <w:t>patients with severe CPP, guselkumab is no worse than ustekinumab at improving PASI 90 and PASI 75 response rates, and no worse than ustekinumab in terms of safety.</w:t>
            </w:r>
          </w:p>
          <w:p w:rsidR="00010342" w:rsidRPr="00C725E4" w:rsidRDefault="00010342" w:rsidP="00526A1D">
            <w:pPr>
              <w:pStyle w:val="Tabletext"/>
            </w:pPr>
            <w:r w:rsidRPr="00C725E4">
              <w:t xml:space="preserve">Guselkumab </w:t>
            </w:r>
            <w:r w:rsidR="00526A1D">
              <w:t xml:space="preserve">was </w:t>
            </w:r>
            <w:r w:rsidRPr="00C725E4">
              <w:t xml:space="preserve">more effective than adalimumab at improving PASI </w:t>
            </w:r>
            <w:r w:rsidR="00526A1D">
              <w:t>75</w:t>
            </w:r>
            <w:r w:rsidRPr="00C725E4">
              <w:t xml:space="preserve"> and PASI </w:t>
            </w:r>
            <w:r w:rsidR="00526A1D">
              <w:t>90</w:t>
            </w:r>
            <w:r w:rsidRPr="00C725E4">
              <w:t xml:space="preserve"> response rates</w:t>
            </w:r>
            <w:r w:rsidR="00526A1D">
              <w:t xml:space="preserve"> based on direct comparative evidence to Week 48</w:t>
            </w:r>
            <w:r w:rsidRPr="00C725E4">
              <w:t>, and no worse than adalimumab in terms of safety.</w:t>
            </w:r>
          </w:p>
        </w:tc>
      </w:tr>
    </w:tbl>
    <w:p w:rsidR="00B16A87" w:rsidRPr="00C725E4" w:rsidRDefault="00B16A87" w:rsidP="00B16A87">
      <w:pPr>
        <w:spacing w:after="120"/>
        <w:contextualSpacing/>
        <w:rPr>
          <w:rFonts w:ascii="Arial Narrow" w:hAnsi="Arial Narrow"/>
          <w:sz w:val="18"/>
          <w:szCs w:val="20"/>
        </w:rPr>
      </w:pPr>
      <w:r w:rsidRPr="00C725E4">
        <w:rPr>
          <w:rFonts w:ascii="Arial Narrow" w:hAnsi="Arial Narrow"/>
          <w:sz w:val="18"/>
          <w:szCs w:val="20"/>
        </w:rPr>
        <w:t>Abbreviations: CPP = chronic plaque psoriasis; IGA = Investigator’s Global Assessment; PASI = Psoriasis Area Severity Index.</w:t>
      </w:r>
    </w:p>
    <w:p w:rsidR="00B16A87" w:rsidRPr="00C725E4" w:rsidRDefault="00B16A87" w:rsidP="00B16A87">
      <w:pPr>
        <w:spacing w:after="120"/>
        <w:contextualSpacing/>
        <w:rPr>
          <w:rFonts w:ascii="Arial Narrow" w:hAnsi="Arial Narrow"/>
          <w:sz w:val="18"/>
          <w:szCs w:val="18"/>
        </w:rPr>
      </w:pPr>
      <w:r w:rsidRPr="00C725E4">
        <w:rPr>
          <w:rFonts w:ascii="Arial Narrow" w:hAnsi="Arial Narrow"/>
          <w:sz w:val="18"/>
          <w:szCs w:val="18"/>
        </w:rPr>
        <w:t>Source: Table 1-1, p3 of the submission.</w:t>
      </w:r>
    </w:p>
    <w:p w:rsidR="004E43B2" w:rsidRDefault="004E43B2" w:rsidP="004B1CB4"/>
    <w:p w:rsidR="00C21E5D" w:rsidRDefault="001E4A50" w:rsidP="00CA4AA0">
      <w:pPr>
        <w:pStyle w:val="Heading1"/>
        <w:spacing w:before="240"/>
      </w:pPr>
      <w:bookmarkStart w:id="1" w:name="_Toc503190133"/>
      <w:r w:rsidRPr="00234409">
        <w:t>Requested listing</w:t>
      </w:r>
      <w:bookmarkEnd w:id="1"/>
    </w:p>
    <w:p w:rsidR="00526A1D" w:rsidRDefault="00D57DD5" w:rsidP="00195D2F">
      <w:pPr>
        <w:pStyle w:val="ListParagraph"/>
        <w:widowControl/>
        <w:numPr>
          <w:ilvl w:val="1"/>
          <w:numId w:val="3"/>
        </w:numPr>
      </w:pPr>
      <w:r w:rsidRPr="009F3167">
        <w:t>An identical listing to that of existing biologic therapies in CPP was requested by the submission.  The requested quantities (including repeats) would permit for up to 28 weeks of initial treatment (4 doses) followed by 24 weeks of continuing therapy (3 doses) on each prescription.</w:t>
      </w:r>
    </w:p>
    <w:p w:rsidR="00B621B6" w:rsidRPr="009F3167" w:rsidRDefault="00B621B6" w:rsidP="00B621B6">
      <w:pPr>
        <w:widowControl/>
      </w:pPr>
    </w:p>
    <w:tbl>
      <w:tblPr>
        <w:tblW w:w="5000" w:type="pct"/>
        <w:tblInd w:w="28" w:type="dxa"/>
        <w:tblCellMar>
          <w:left w:w="28" w:type="dxa"/>
          <w:right w:w="28" w:type="dxa"/>
        </w:tblCellMar>
        <w:tblLook w:val="0000" w:firstRow="0" w:lastRow="0" w:firstColumn="0" w:lastColumn="0" w:noHBand="0" w:noVBand="0"/>
      </w:tblPr>
      <w:tblGrid>
        <w:gridCol w:w="2141"/>
        <w:gridCol w:w="1504"/>
        <w:gridCol w:w="1021"/>
        <w:gridCol w:w="788"/>
        <w:gridCol w:w="1439"/>
        <w:gridCol w:w="779"/>
        <w:gridCol w:w="1411"/>
      </w:tblGrid>
      <w:tr w:rsidR="00195D2F" w:rsidRPr="009F3167" w:rsidTr="00962F98">
        <w:trPr>
          <w:cantSplit/>
          <w:trHeight w:val="463"/>
        </w:trPr>
        <w:tc>
          <w:tcPr>
            <w:tcW w:w="2006" w:type="pct"/>
            <w:gridSpan w:val="2"/>
            <w:tcBorders>
              <w:top w:val="single" w:sz="4" w:space="0" w:color="auto"/>
              <w:bottom w:val="single" w:sz="4" w:space="0" w:color="auto"/>
            </w:tcBorders>
            <w:vAlign w:val="center"/>
          </w:tcPr>
          <w:p w:rsidR="00195D2F" w:rsidRPr="009F3167" w:rsidRDefault="00195D2F" w:rsidP="003544D4">
            <w:pPr>
              <w:keepNext/>
              <w:jc w:val="left"/>
              <w:rPr>
                <w:rFonts w:ascii="Arial Narrow" w:hAnsi="Arial Narrow"/>
                <w:b/>
                <w:sz w:val="20"/>
              </w:rPr>
            </w:pPr>
            <w:r w:rsidRPr="009F3167">
              <w:rPr>
                <w:rFonts w:ascii="Arial Narrow" w:hAnsi="Arial Narrow"/>
                <w:b/>
                <w:sz w:val="20"/>
              </w:rPr>
              <w:lastRenderedPageBreak/>
              <w:t>Name, Restriction,</w:t>
            </w:r>
          </w:p>
          <w:p w:rsidR="00195D2F" w:rsidRPr="009F3167" w:rsidRDefault="00195D2F" w:rsidP="003544D4">
            <w:pPr>
              <w:keepNext/>
              <w:jc w:val="left"/>
              <w:rPr>
                <w:rFonts w:ascii="Arial Narrow" w:hAnsi="Arial Narrow"/>
                <w:b/>
                <w:sz w:val="20"/>
              </w:rPr>
            </w:pPr>
            <w:r w:rsidRPr="009F3167">
              <w:rPr>
                <w:rFonts w:ascii="Arial Narrow" w:hAnsi="Arial Narrow"/>
                <w:b/>
                <w:sz w:val="20"/>
              </w:rPr>
              <w:t>Manner of administration and form</w:t>
            </w:r>
          </w:p>
        </w:tc>
        <w:tc>
          <w:tcPr>
            <w:tcW w:w="562" w:type="pct"/>
            <w:tcBorders>
              <w:top w:val="single" w:sz="4" w:space="0" w:color="auto"/>
              <w:bottom w:val="single" w:sz="4" w:space="0" w:color="auto"/>
            </w:tcBorders>
            <w:vAlign w:val="center"/>
          </w:tcPr>
          <w:p w:rsidR="00195D2F" w:rsidRPr="009F3167" w:rsidRDefault="00195D2F" w:rsidP="003544D4">
            <w:pPr>
              <w:keepNext/>
              <w:jc w:val="center"/>
              <w:rPr>
                <w:rFonts w:ascii="Arial Narrow" w:hAnsi="Arial Narrow"/>
                <w:b/>
                <w:sz w:val="20"/>
              </w:rPr>
            </w:pPr>
            <w:r w:rsidRPr="009F3167">
              <w:rPr>
                <w:rFonts w:ascii="Arial Narrow" w:hAnsi="Arial Narrow"/>
                <w:b/>
                <w:sz w:val="20"/>
              </w:rPr>
              <w:t>Max.</w:t>
            </w:r>
          </w:p>
          <w:p w:rsidR="00195D2F" w:rsidRPr="009F3167" w:rsidRDefault="00195D2F" w:rsidP="003544D4">
            <w:pPr>
              <w:keepNext/>
              <w:jc w:val="center"/>
              <w:rPr>
                <w:rFonts w:ascii="Arial Narrow" w:hAnsi="Arial Narrow"/>
                <w:b/>
                <w:sz w:val="20"/>
              </w:rPr>
            </w:pPr>
            <w:r w:rsidRPr="009F3167">
              <w:rPr>
                <w:rFonts w:ascii="Arial Narrow" w:hAnsi="Arial Narrow"/>
                <w:b/>
                <w:sz w:val="20"/>
              </w:rPr>
              <w:t>Qty</w:t>
            </w:r>
          </w:p>
        </w:tc>
        <w:tc>
          <w:tcPr>
            <w:tcW w:w="434" w:type="pct"/>
            <w:tcBorders>
              <w:top w:val="single" w:sz="4" w:space="0" w:color="auto"/>
              <w:bottom w:val="single" w:sz="4" w:space="0" w:color="auto"/>
            </w:tcBorders>
            <w:vAlign w:val="center"/>
          </w:tcPr>
          <w:p w:rsidR="00195D2F" w:rsidRPr="009F3167" w:rsidRDefault="00195D2F" w:rsidP="003544D4">
            <w:pPr>
              <w:keepNext/>
              <w:jc w:val="center"/>
              <w:rPr>
                <w:rFonts w:ascii="Arial Narrow" w:hAnsi="Arial Narrow"/>
                <w:b/>
                <w:sz w:val="20"/>
              </w:rPr>
            </w:pPr>
            <w:r w:rsidRPr="009F3167">
              <w:rPr>
                <w:rFonts w:ascii="Arial Narrow" w:hAnsi="Arial Narrow" w:cs="Times New Roman"/>
                <w:b/>
                <w:sz w:val="20"/>
              </w:rPr>
              <w:t>№</w:t>
            </w:r>
            <w:r w:rsidRPr="009F3167">
              <w:rPr>
                <w:rFonts w:ascii="Arial Narrow" w:hAnsi="Arial Narrow"/>
                <w:b/>
                <w:sz w:val="20"/>
              </w:rPr>
              <w:t>.of</w:t>
            </w:r>
          </w:p>
          <w:p w:rsidR="00195D2F" w:rsidRPr="009F3167" w:rsidRDefault="00195D2F" w:rsidP="003544D4">
            <w:pPr>
              <w:keepNext/>
              <w:jc w:val="center"/>
              <w:rPr>
                <w:rFonts w:ascii="Arial Narrow" w:hAnsi="Arial Narrow"/>
                <w:b/>
                <w:sz w:val="20"/>
              </w:rPr>
            </w:pPr>
            <w:r w:rsidRPr="009F3167">
              <w:rPr>
                <w:rFonts w:ascii="Arial Narrow" w:hAnsi="Arial Narrow"/>
                <w:b/>
                <w:sz w:val="20"/>
              </w:rPr>
              <w:t>Rpts</w:t>
            </w:r>
          </w:p>
        </w:tc>
        <w:tc>
          <w:tcPr>
            <w:tcW w:w="792" w:type="pct"/>
            <w:tcBorders>
              <w:top w:val="single" w:sz="4" w:space="0" w:color="auto"/>
              <w:bottom w:val="single" w:sz="4" w:space="0" w:color="auto"/>
            </w:tcBorders>
            <w:vAlign w:val="center"/>
          </w:tcPr>
          <w:p w:rsidR="00195D2F" w:rsidRPr="009F3167" w:rsidRDefault="00195D2F" w:rsidP="003544D4">
            <w:pPr>
              <w:keepNext/>
              <w:jc w:val="center"/>
              <w:rPr>
                <w:rFonts w:ascii="Arial Narrow" w:hAnsi="Arial Narrow"/>
                <w:b/>
                <w:sz w:val="20"/>
              </w:rPr>
            </w:pPr>
            <w:r w:rsidRPr="009F3167">
              <w:rPr>
                <w:rFonts w:ascii="Arial Narrow" w:hAnsi="Arial Narrow"/>
                <w:b/>
                <w:sz w:val="20"/>
              </w:rPr>
              <w:t>Dispensed Price for Max. Qty</w:t>
            </w:r>
          </w:p>
        </w:tc>
        <w:tc>
          <w:tcPr>
            <w:tcW w:w="1206" w:type="pct"/>
            <w:gridSpan w:val="2"/>
            <w:tcBorders>
              <w:top w:val="single" w:sz="4" w:space="0" w:color="auto"/>
              <w:bottom w:val="single" w:sz="4" w:space="0" w:color="auto"/>
            </w:tcBorders>
            <w:vAlign w:val="center"/>
          </w:tcPr>
          <w:p w:rsidR="00195D2F" w:rsidRPr="009F3167" w:rsidRDefault="00195D2F" w:rsidP="003544D4">
            <w:pPr>
              <w:keepNext/>
              <w:jc w:val="center"/>
              <w:rPr>
                <w:rFonts w:ascii="Arial Narrow" w:hAnsi="Arial Narrow"/>
                <w:b/>
                <w:sz w:val="20"/>
              </w:rPr>
            </w:pPr>
            <w:r w:rsidRPr="009F3167">
              <w:rPr>
                <w:rFonts w:ascii="Arial Narrow" w:hAnsi="Arial Narrow"/>
                <w:b/>
                <w:sz w:val="20"/>
              </w:rPr>
              <w:t>Proprietary Name and Manufacturer</w:t>
            </w:r>
          </w:p>
        </w:tc>
      </w:tr>
      <w:tr w:rsidR="00195D2F" w:rsidRPr="009F3167" w:rsidTr="00962F98">
        <w:trPr>
          <w:cantSplit/>
          <w:trHeight w:val="567"/>
        </w:trPr>
        <w:tc>
          <w:tcPr>
            <w:tcW w:w="2006" w:type="pct"/>
            <w:gridSpan w:val="2"/>
            <w:vAlign w:val="center"/>
          </w:tcPr>
          <w:p w:rsidR="00195D2F" w:rsidRPr="009F3167" w:rsidRDefault="00195D2F" w:rsidP="003544D4">
            <w:pPr>
              <w:keepNext/>
              <w:jc w:val="left"/>
              <w:rPr>
                <w:rFonts w:ascii="Arial Narrow" w:hAnsi="Arial Narrow"/>
                <w:sz w:val="20"/>
              </w:rPr>
            </w:pPr>
            <w:r w:rsidRPr="009F3167">
              <w:rPr>
                <w:rFonts w:ascii="Arial Narrow" w:hAnsi="Arial Narrow"/>
                <w:smallCaps/>
                <w:sz w:val="20"/>
              </w:rPr>
              <w:t>GUSELKUMAB</w:t>
            </w:r>
          </w:p>
          <w:p w:rsidR="00195D2F" w:rsidRPr="009F3167" w:rsidRDefault="00572C8A" w:rsidP="003544D4">
            <w:pPr>
              <w:keepNext/>
              <w:jc w:val="left"/>
              <w:rPr>
                <w:rFonts w:ascii="Arial Narrow" w:hAnsi="Arial Narrow"/>
                <w:iCs/>
                <w:sz w:val="20"/>
                <w:szCs w:val="20"/>
              </w:rPr>
            </w:pPr>
            <w:r w:rsidRPr="009F3167">
              <w:rPr>
                <w:rFonts w:ascii="Arial Narrow" w:hAnsi="Arial Narrow"/>
                <w:iCs/>
                <w:sz w:val="20"/>
                <w:szCs w:val="20"/>
              </w:rPr>
              <w:t xml:space="preserve">Injection </w:t>
            </w:r>
            <w:r w:rsidR="00195D2F" w:rsidRPr="009F3167">
              <w:rPr>
                <w:rFonts w:ascii="Arial Narrow" w:hAnsi="Arial Narrow"/>
                <w:iCs/>
                <w:sz w:val="20"/>
                <w:szCs w:val="20"/>
              </w:rPr>
              <w:t xml:space="preserve">100 mg </w:t>
            </w:r>
            <w:r w:rsidR="00397215" w:rsidRPr="009F3167">
              <w:rPr>
                <w:rFonts w:ascii="Arial Narrow" w:hAnsi="Arial Narrow"/>
                <w:iCs/>
                <w:sz w:val="20"/>
                <w:szCs w:val="20"/>
              </w:rPr>
              <w:t xml:space="preserve">in 1 mL </w:t>
            </w:r>
            <w:r w:rsidR="00195D2F" w:rsidRPr="009F3167">
              <w:rPr>
                <w:rFonts w:ascii="Arial Narrow" w:hAnsi="Arial Narrow"/>
                <w:iCs/>
                <w:sz w:val="20"/>
                <w:szCs w:val="20"/>
              </w:rPr>
              <w:t>pre-filled syringe</w:t>
            </w:r>
          </w:p>
        </w:tc>
        <w:tc>
          <w:tcPr>
            <w:tcW w:w="562" w:type="pct"/>
          </w:tcPr>
          <w:p w:rsidR="00195D2F" w:rsidRPr="009F3167" w:rsidRDefault="00195D2F" w:rsidP="003544D4">
            <w:pPr>
              <w:keepNext/>
              <w:jc w:val="center"/>
              <w:rPr>
                <w:rFonts w:ascii="Arial Narrow" w:hAnsi="Arial Narrow"/>
                <w:sz w:val="20"/>
              </w:rPr>
            </w:pPr>
            <w:r w:rsidRPr="009F3167">
              <w:rPr>
                <w:rFonts w:ascii="Arial Narrow" w:hAnsi="Arial Narrow"/>
                <w:sz w:val="20"/>
              </w:rPr>
              <w:t>1</w:t>
            </w:r>
          </w:p>
        </w:tc>
        <w:tc>
          <w:tcPr>
            <w:tcW w:w="434" w:type="pct"/>
          </w:tcPr>
          <w:p w:rsidR="00526A1D" w:rsidRPr="009F3167" w:rsidRDefault="00526A1D" w:rsidP="003544D4">
            <w:pPr>
              <w:keepNext/>
              <w:jc w:val="center"/>
              <w:rPr>
                <w:rFonts w:ascii="Arial Narrow" w:hAnsi="Arial Narrow"/>
                <w:sz w:val="20"/>
              </w:rPr>
            </w:pPr>
            <w:r w:rsidRPr="009F3167">
              <w:rPr>
                <w:rFonts w:ascii="Arial Narrow" w:hAnsi="Arial Narrow"/>
                <w:sz w:val="20"/>
              </w:rPr>
              <w:t>3</w:t>
            </w:r>
            <w:r w:rsidRPr="009F3167">
              <w:rPr>
                <w:rFonts w:ascii="Arial Narrow" w:hAnsi="Arial Narrow"/>
                <w:sz w:val="20"/>
                <w:vertAlign w:val="superscript"/>
              </w:rPr>
              <w:t>a</w:t>
            </w:r>
          </w:p>
          <w:p w:rsidR="00195D2F" w:rsidRPr="009F3167" w:rsidRDefault="00526A1D" w:rsidP="003544D4">
            <w:pPr>
              <w:keepNext/>
              <w:jc w:val="center"/>
              <w:rPr>
                <w:rFonts w:ascii="Arial Narrow" w:hAnsi="Arial Narrow"/>
                <w:sz w:val="20"/>
              </w:rPr>
            </w:pPr>
            <w:r w:rsidRPr="009F3167">
              <w:rPr>
                <w:rFonts w:ascii="Arial Narrow" w:hAnsi="Arial Narrow"/>
                <w:sz w:val="20"/>
              </w:rPr>
              <w:t>2</w:t>
            </w:r>
            <w:r w:rsidRPr="009F3167">
              <w:rPr>
                <w:rFonts w:ascii="Arial Narrow" w:hAnsi="Arial Narrow"/>
                <w:sz w:val="20"/>
                <w:vertAlign w:val="superscript"/>
              </w:rPr>
              <w:t>b</w:t>
            </w:r>
          </w:p>
        </w:tc>
        <w:tc>
          <w:tcPr>
            <w:tcW w:w="792" w:type="pct"/>
          </w:tcPr>
          <w:p w:rsidR="00195D2F" w:rsidRPr="009F3167" w:rsidRDefault="00195D2F" w:rsidP="003544D4">
            <w:pPr>
              <w:keepNext/>
              <w:jc w:val="center"/>
              <w:rPr>
                <w:rFonts w:ascii="Arial Narrow" w:hAnsi="Arial Narrow"/>
                <w:sz w:val="20"/>
                <w:vertAlign w:val="superscript"/>
              </w:rPr>
            </w:pPr>
            <w:r w:rsidRPr="009F3167">
              <w:rPr>
                <w:rFonts w:ascii="Arial Narrow" w:hAnsi="Arial Narrow"/>
                <w:sz w:val="20"/>
              </w:rPr>
              <w:t>$</w:t>
            </w:r>
            <w:r w:rsidR="00F87F3F">
              <w:rPr>
                <w:rFonts w:ascii="Arial Narrow" w:hAnsi="Arial Narrow"/>
                <w:noProof/>
                <w:color w:val="000000"/>
                <w:sz w:val="20"/>
                <w:highlight w:val="black"/>
              </w:rPr>
              <w:t>'''''''''''''''''''</w:t>
            </w:r>
            <w:r w:rsidR="00526A1D" w:rsidRPr="009F3167">
              <w:rPr>
                <w:rFonts w:ascii="Arial Narrow" w:hAnsi="Arial Narrow"/>
                <w:sz w:val="20"/>
                <w:vertAlign w:val="superscript"/>
              </w:rPr>
              <w:t>#</w:t>
            </w:r>
          </w:p>
        </w:tc>
        <w:tc>
          <w:tcPr>
            <w:tcW w:w="429" w:type="pct"/>
          </w:tcPr>
          <w:p w:rsidR="00195D2F" w:rsidRPr="009F3167" w:rsidRDefault="00195D2F" w:rsidP="003544D4">
            <w:pPr>
              <w:keepNext/>
              <w:jc w:val="center"/>
              <w:rPr>
                <w:rFonts w:ascii="Arial Narrow" w:hAnsi="Arial Narrow"/>
                <w:sz w:val="20"/>
              </w:rPr>
            </w:pPr>
            <w:proofErr w:type="spellStart"/>
            <w:r w:rsidRPr="009F3167">
              <w:rPr>
                <w:rFonts w:ascii="Arial Narrow" w:hAnsi="Arial Narrow"/>
                <w:sz w:val="20"/>
              </w:rPr>
              <w:t>Tremfya</w:t>
            </w:r>
            <w:proofErr w:type="spellEnd"/>
            <w:r w:rsidRPr="009F3167">
              <w:rPr>
                <w:rFonts w:ascii="Arial Narrow" w:hAnsi="Arial Narrow"/>
                <w:sz w:val="20"/>
              </w:rPr>
              <w:t>®</w:t>
            </w:r>
          </w:p>
        </w:tc>
        <w:tc>
          <w:tcPr>
            <w:tcW w:w="777" w:type="pct"/>
          </w:tcPr>
          <w:p w:rsidR="00195D2F" w:rsidRPr="009F3167" w:rsidRDefault="00195D2F" w:rsidP="003544D4">
            <w:pPr>
              <w:keepNext/>
              <w:jc w:val="center"/>
              <w:rPr>
                <w:rFonts w:ascii="Arial Narrow" w:hAnsi="Arial Narrow"/>
                <w:sz w:val="20"/>
              </w:rPr>
            </w:pPr>
            <w:r w:rsidRPr="009F3167">
              <w:rPr>
                <w:rFonts w:ascii="Arial Narrow" w:hAnsi="Arial Narrow"/>
                <w:sz w:val="20"/>
              </w:rPr>
              <w:t>Janssen-Cilag</w:t>
            </w:r>
          </w:p>
          <w:p w:rsidR="00195D2F" w:rsidRPr="009F3167" w:rsidRDefault="00195D2F" w:rsidP="003544D4">
            <w:pPr>
              <w:keepNext/>
              <w:jc w:val="center"/>
              <w:rPr>
                <w:rFonts w:ascii="Arial Narrow" w:hAnsi="Arial Narrow"/>
                <w:sz w:val="20"/>
              </w:rPr>
            </w:pPr>
            <w:r w:rsidRPr="009F3167">
              <w:rPr>
                <w:rFonts w:ascii="Arial Narrow" w:hAnsi="Arial Narrow"/>
                <w:sz w:val="20"/>
              </w:rPr>
              <w:t>Pty Ltd</w:t>
            </w:r>
          </w:p>
        </w:tc>
      </w:tr>
      <w:tr w:rsidR="00195D2F" w:rsidRPr="009F3167"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78" w:type="pct"/>
            <w:tcBorders>
              <w:top w:val="single" w:sz="4" w:space="0" w:color="auto"/>
              <w:left w:val="single" w:sz="4" w:space="0" w:color="auto"/>
              <w:bottom w:val="single" w:sz="4" w:space="0" w:color="auto"/>
              <w:right w:val="single" w:sz="4" w:space="0" w:color="auto"/>
            </w:tcBorders>
            <w:hideMark/>
          </w:tcPr>
          <w:p w:rsidR="00195D2F" w:rsidRPr="009F3167" w:rsidRDefault="00195D2F" w:rsidP="003544D4">
            <w:pPr>
              <w:pStyle w:val="Tabletext"/>
              <w:keepNext/>
              <w:rPr>
                <w:lang w:eastAsia="en-AU"/>
              </w:rPr>
            </w:pPr>
            <w:r w:rsidRPr="009F3167">
              <w:rPr>
                <w:lang w:eastAsia="en-AU"/>
              </w:rPr>
              <w:t>Category/Program:</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9F3167" w:rsidRDefault="00A841CE" w:rsidP="003544D4">
            <w:pPr>
              <w:pStyle w:val="Tabletext"/>
              <w:keepNext/>
              <w:rPr>
                <w:lang w:eastAsia="en-AU"/>
              </w:rPr>
            </w:pPr>
            <w:r w:rsidRPr="009F3167">
              <w:rPr>
                <w:lang w:eastAsia="en-AU"/>
              </w:rPr>
              <w:t>General Schedule (Code GE)</w:t>
            </w:r>
          </w:p>
        </w:tc>
      </w:tr>
      <w:tr w:rsidR="00195D2F" w:rsidRPr="009F3167"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78" w:type="pct"/>
            <w:tcBorders>
              <w:top w:val="single" w:sz="4" w:space="0" w:color="auto"/>
              <w:left w:val="single" w:sz="4" w:space="0" w:color="auto"/>
              <w:bottom w:val="single" w:sz="4" w:space="0" w:color="auto"/>
              <w:right w:val="single" w:sz="4" w:space="0" w:color="auto"/>
            </w:tcBorders>
            <w:hideMark/>
          </w:tcPr>
          <w:p w:rsidR="00195D2F" w:rsidRPr="009F3167" w:rsidRDefault="00195D2F" w:rsidP="003544D4">
            <w:pPr>
              <w:pStyle w:val="Tabletext"/>
              <w:keepNext/>
              <w:rPr>
                <w:lang w:eastAsia="en-AU"/>
              </w:rPr>
            </w:pPr>
            <w:r w:rsidRPr="009F3167">
              <w:rPr>
                <w:lang w:eastAsia="en-AU"/>
              </w:rPr>
              <w:t>PBS indication:</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9F3167" w:rsidRDefault="00195D2F" w:rsidP="003544D4">
            <w:pPr>
              <w:pStyle w:val="Tabletext"/>
              <w:keepNext/>
              <w:rPr>
                <w:lang w:eastAsia="en-AU"/>
              </w:rPr>
            </w:pPr>
            <w:r w:rsidRPr="009F3167">
              <w:t>Severe chronic plaque psoriasis</w:t>
            </w:r>
          </w:p>
        </w:tc>
      </w:tr>
      <w:tr w:rsidR="00195D2F" w:rsidRPr="009F3167"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7"/>
        </w:trPr>
        <w:tc>
          <w:tcPr>
            <w:tcW w:w="1178" w:type="pct"/>
            <w:tcBorders>
              <w:top w:val="single" w:sz="4" w:space="0" w:color="auto"/>
              <w:left w:val="single" w:sz="4" w:space="0" w:color="auto"/>
              <w:bottom w:val="single" w:sz="4" w:space="0" w:color="auto"/>
              <w:right w:val="single" w:sz="4" w:space="0" w:color="auto"/>
            </w:tcBorders>
            <w:hideMark/>
          </w:tcPr>
          <w:p w:rsidR="00195D2F" w:rsidRPr="009F3167" w:rsidRDefault="00195D2F" w:rsidP="003544D4">
            <w:pPr>
              <w:pStyle w:val="Tabletext"/>
              <w:keepNext/>
              <w:rPr>
                <w:lang w:eastAsia="en-AU"/>
              </w:rPr>
            </w:pPr>
            <w:r w:rsidRPr="009F3167">
              <w:rPr>
                <w:lang w:eastAsia="en-AU"/>
              </w:rPr>
              <w:t>Treatment phase:</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9F3167" w:rsidRDefault="00195D2F" w:rsidP="003544D4">
            <w:pPr>
              <w:pStyle w:val="Tabletext"/>
              <w:keepNext/>
              <w:rPr>
                <w:lang w:eastAsia="en-AU"/>
              </w:rPr>
            </w:pPr>
            <w:r w:rsidRPr="009F3167">
              <w:rPr>
                <w:lang w:eastAsia="en-AU"/>
              </w:rPr>
              <w:t>Initial treatment, and continuing treatment</w:t>
            </w:r>
          </w:p>
        </w:tc>
      </w:tr>
      <w:tr w:rsidR="00195D2F" w:rsidRPr="009F3167"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78" w:type="pct"/>
            <w:tcBorders>
              <w:top w:val="single" w:sz="4" w:space="0" w:color="auto"/>
              <w:left w:val="single" w:sz="4" w:space="0" w:color="auto"/>
              <w:bottom w:val="single" w:sz="4" w:space="0" w:color="auto"/>
              <w:right w:val="single" w:sz="4" w:space="0" w:color="auto"/>
            </w:tcBorders>
            <w:hideMark/>
          </w:tcPr>
          <w:p w:rsidR="00195D2F" w:rsidRPr="009F3167" w:rsidRDefault="00195D2F" w:rsidP="003544D4">
            <w:pPr>
              <w:pStyle w:val="Tabletext"/>
              <w:keepNext/>
              <w:rPr>
                <w:lang w:eastAsia="en-AU"/>
              </w:rPr>
            </w:pPr>
            <w:r w:rsidRPr="009F3167">
              <w:rPr>
                <w:lang w:eastAsia="en-AU"/>
              </w:rPr>
              <w:t>Restriction:</w:t>
            </w:r>
          </w:p>
        </w:tc>
        <w:tc>
          <w:tcPr>
            <w:tcW w:w="3822" w:type="pct"/>
            <w:gridSpan w:val="6"/>
            <w:tcBorders>
              <w:top w:val="single" w:sz="4" w:space="0" w:color="auto"/>
              <w:left w:val="single" w:sz="4" w:space="0" w:color="auto"/>
              <w:bottom w:val="single" w:sz="4" w:space="0" w:color="auto"/>
              <w:right w:val="single" w:sz="4" w:space="0" w:color="auto"/>
            </w:tcBorders>
          </w:tcPr>
          <w:p w:rsidR="004E7E12" w:rsidRPr="009F3167" w:rsidRDefault="004E7E12" w:rsidP="003544D4">
            <w:pPr>
              <w:keepNext/>
              <w:widowControl/>
              <w:jc w:val="left"/>
            </w:pPr>
            <w:r w:rsidRPr="009F3167">
              <w:rPr>
                <w:rFonts w:ascii="Arial Narrow" w:hAnsi="Arial Narrow"/>
                <w:snapToGrid/>
                <w:sz w:val="20"/>
                <w:szCs w:val="20"/>
                <w:lang w:eastAsia="en-AU"/>
              </w:rPr>
              <w:fldChar w:fldCharType="begin">
                <w:ffData>
                  <w:name w:val=""/>
                  <w:enabled/>
                  <w:calcOnExit w:val="0"/>
                  <w:checkBox>
                    <w:sizeAuto/>
                    <w:default w:val="1"/>
                  </w:checkBox>
                </w:ffData>
              </w:fldChar>
            </w:r>
            <w:r w:rsidRPr="009F3167">
              <w:rPr>
                <w:rFonts w:ascii="Arial Narrow" w:hAnsi="Arial Narrow"/>
                <w:snapToGrid/>
                <w:sz w:val="20"/>
                <w:szCs w:val="20"/>
                <w:lang w:eastAsia="en-AU"/>
              </w:rPr>
              <w:instrText xml:space="preserve"> FORMCHECKBOX </w:instrText>
            </w:r>
            <w:r w:rsidR="000565DE">
              <w:rPr>
                <w:rFonts w:ascii="Arial Narrow" w:hAnsi="Arial Narrow"/>
                <w:snapToGrid/>
                <w:sz w:val="20"/>
                <w:szCs w:val="20"/>
                <w:lang w:eastAsia="en-AU"/>
              </w:rPr>
            </w:r>
            <w:r w:rsidR="000565DE">
              <w:rPr>
                <w:rFonts w:ascii="Arial Narrow" w:hAnsi="Arial Narrow"/>
                <w:snapToGrid/>
                <w:sz w:val="20"/>
                <w:szCs w:val="20"/>
                <w:lang w:eastAsia="en-AU"/>
              </w:rPr>
              <w:fldChar w:fldCharType="separate"/>
            </w:r>
            <w:r w:rsidRPr="009F3167">
              <w:rPr>
                <w:rFonts w:ascii="Arial Narrow" w:hAnsi="Arial Narrow"/>
                <w:snapToGrid/>
                <w:sz w:val="20"/>
                <w:szCs w:val="20"/>
                <w:lang w:eastAsia="en-AU"/>
              </w:rPr>
              <w:fldChar w:fldCharType="end"/>
            </w:r>
            <w:r w:rsidRPr="009F3167">
              <w:rPr>
                <w:rFonts w:ascii="Arial Narrow" w:hAnsi="Arial Narrow"/>
                <w:snapToGrid/>
                <w:sz w:val="20"/>
                <w:szCs w:val="20"/>
                <w:lang w:eastAsia="en-AU"/>
              </w:rPr>
              <w:t>Authority Required - In Writing</w:t>
            </w:r>
          </w:p>
        </w:tc>
      </w:tr>
      <w:tr w:rsidR="00195D2F" w:rsidRPr="009F3167"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78" w:type="pct"/>
            <w:tcBorders>
              <w:top w:val="single" w:sz="4" w:space="0" w:color="auto"/>
              <w:left w:val="single" w:sz="4" w:space="0" w:color="auto"/>
              <w:bottom w:val="single" w:sz="4" w:space="0" w:color="auto"/>
              <w:right w:val="single" w:sz="4" w:space="0" w:color="auto"/>
            </w:tcBorders>
            <w:hideMark/>
          </w:tcPr>
          <w:p w:rsidR="00195D2F" w:rsidRPr="009F3167" w:rsidRDefault="00195D2F" w:rsidP="003544D4">
            <w:pPr>
              <w:pStyle w:val="Tabletext"/>
              <w:keepNext/>
              <w:rPr>
                <w:lang w:eastAsia="en-AU"/>
              </w:rPr>
            </w:pPr>
            <w:r w:rsidRPr="009F3167">
              <w:rPr>
                <w:lang w:eastAsia="en-AU"/>
              </w:rPr>
              <w:t>Treatment criteria:</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9F3167" w:rsidRDefault="00195D2F" w:rsidP="003544D4">
            <w:pPr>
              <w:pStyle w:val="Tabletext"/>
              <w:keepNext/>
              <w:rPr>
                <w:lang w:eastAsia="en-AU"/>
              </w:rPr>
            </w:pPr>
            <w:r w:rsidRPr="009F3167">
              <w:rPr>
                <w:lang w:eastAsia="en-AU"/>
              </w:rPr>
              <w:t>Must be treated by a dermatologist</w:t>
            </w:r>
          </w:p>
        </w:tc>
      </w:tr>
      <w:tr w:rsidR="00195D2F" w:rsidRPr="009F3167" w:rsidTr="0096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90"/>
        </w:trPr>
        <w:tc>
          <w:tcPr>
            <w:tcW w:w="1178" w:type="pct"/>
            <w:tcBorders>
              <w:top w:val="single" w:sz="4" w:space="0" w:color="auto"/>
              <w:left w:val="single" w:sz="4" w:space="0" w:color="auto"/>
              <w:bottom w:val="single" w:sz="4" w:space="0" w:color="auto"/>
              <w:right w:val="single" w:sz="4" w:space="0" w:color="auto"/>
            </w:tcBorders>
            <w:hideMark/>
          </w:tcPr>
          <w:p w:rsidR="00195D2F" w:rsidRPr="009F3167" w:rsidRDefault="00195D2F" w:rsidP="003544D4">
            <w:pPr>
              <w:pStyle w:val="Tabletext"/>
              <w:keepNext/>
              <w:rPr>
                <w:lang w:eastAsia="en-AU"/>
              </w:rPr>
            </w:pPr>
            <w:r w:rsidRPr="009F3167">
              <w:rPr>
                <w:lang w:eastAsia="en-AU"/>
              </w:rPr>
              <w:t>Clinical criteria:</w:t>
            </w:r>
          </w:p>
        </w:tc>
        <w:tc>
          <w:tcPr>
            <w:tcW w:w="3822" w:type="pct"/>
            <w:gridSpan w:val="6"/>
            <w:tcBorders>
              <w:top w:val="single" w:sz="4" w:space="0" w:color="auto"/>
              <w:left w:val="single" w:sz="4" w:space="0" w:color="auto"/>
              <w:bottom w:val="single" w:sz="4" w:space="0" w:color="auto"/>
              <w:right w:val="single" w:sz="4" w:space="0" w:color="auto"/>
            </w:tcBorders>
          </w:tcPr>
          <w:p w:rsidR="00195D2F" w:rsidRPr="009F3167" w:rsidRDefault="006E0537" w:rsidP="003544D4">
            <w:pPr>
              <w:pStyle w:val="Tabletext"/>
              <w:keepNext/>
              <w:rPr>
                <w:lang w:eastAsia="en-AU"/>
              </w:rPr>
            </w:pPr>
            <w:r w:rsidRPr="009F3167">
              <w:rPr>
                <w:rFonts w:cs="Arial"/>
              </w:rPr>
              <w:t>As per current PBS listed ustekinumab.</w:t>
            </w:r>
          </w:p>
        </w:tc>
      </w:tr>
    </w:tbl>
    <w:p w:rsidR="00526A1D" w:rsidRPr="009F3167" w:rsidRDefault="00526A1D" w:rsidP="00E234BD">
      <w:pPr>
        <w:pStyle w:val="TableFooter"/>
      </w:pPr>
      <w:proofErr w:type="spellStart"/>
      <w:proofErr w:type="gramStart"/>
      <w:r w:rsidRPr="009F3167">
        <w:rPr>
          <w:vertAlign w:val="superscript"/>
        </w:rPr>
        <w:t>a</w:t>
      </w:r>
      <w:proofErr w:type="spellEnd"/>
      <w:proofErr w:type="gramEnd"/>
      <w:r w:rsidRPr="009F3167">
        <w:tab/>
        <w:t>Initial treatment</w:t>
      </w:r>
      <w:r w:rsidR="00E234BD" w:rsidRPr="009F3167">
        <w:t xml:space="preserve">; </w:t>
      </w:r>
      <w:r w:rsidRPr="009F3167">
        <w:rPr>
          <w:vertAlign w:val="superscript"/>
        </w:rPr>
        <w:t>b</w:t>
      </w:r>
      <w:r w:rsidRPr="009F3167">
        <w:tab/>
        <w:t>Continuing treatment.</w:t>
      </w:r>
    </w:p>
    <w:p w:rsidR="00526A1D" w:rsidRPr="009F3167" w:rsidRDefault="00526A1D" w:rsidP="00526A1D">
      <w:pPr>
        <w:ind w:left="165" w:hanging="165"/>
        <w:contextualSpacing/>
        <w:rPr>
          <w:rFonts w:ascii="Arial Narrow" w:hAnsi="Arial Narrow"/>
          <w:sz w:val="18"/>
          <w:szCs w:val="18"/>
        </w:rPr>
      </w:pPr>
      <w:r w:rsidRPr="009F3167">
        <w:rPr>
          <w:rFonts w:ascii="Arial Narrow" w:hAnsi="Arial Narrow"/>
          <w:sz w:val="18"/>
          <w:szCs w:val="18"/>
        </w:rPr>
        <w:t xml:space="preserve"># </w:t>
      </w:r>
      <w:r w:rsidRPr="009F3167">
        <w:rPr>
          <w:rFonts w:ascii="Arial Narrow" w:hAnsi="Arial Narrow"/>
          <w:sz w:val="18"/>
          <w:szCs w:val="18"/>
        </w:rPr>
        <w:tab/>
        <w:t xml:space="preserve">Note: Calculated in the submission based on cost-minimisation of ex-manufacturer prices to effective price of ustekinumab over 104 weeks of treatment. </w:t>
      </w:r>
    </w:p>
    <w:p w:rsidR="00526A1D" w:rsidRPr="009F3167" w:rsidRDefault="00526A1D" w:rsidP="00526A1D">
      <w:pPr>
        <w:pStyle w:val="TableFooter"/>
      </w:pPr>
      <w:r w:rsidRPr="009F3167">
        <w:t>Source: Table 1-5, p18 of the submission.</w:t>
      </w:r>
    </w:p>
    <w:p w:rsidR="00D57DD5" w:rsidRPr="009F3167" w:rsidRDefault="00D57DD5" w:rsidP="00C21E5D">
      <w:pPr>
        <w:widowControl/>
      </w:pPr>
    </w:p>
    <w:p w:rsidR="00C21E5D" w:rsidRPr="009F3167" w:rsidRDefault="00BA4EDE" w:rsidP="00DF63F7">
      <w:pPr>
        <w:pStyle w:val="ListParagraph"/>
        <w:widowControl/>
        <w:numPr>
          <w:ilvl w:val="1"/>
          <w:numId w:val="3"/>
        </w:numPr>
      </w:pPr>
      <w:r w:rsidRPr="009F3167">
        <w:rPr>
          <w:iCs/>
        </w:rPr>
        <w:t>No special pricing arrangements have been detailed in the submission.</w:t>
      </w:r>
      <w:r w:rsidRPr="009F3167">
        <w:t xml:space="preserve"> </w:t>
      </w:r>
      <w:r w:rsidR="00DF63F7" w:rsidRPr="009F3167">
        <w:t xml:space="preserve"> </w:t>
      </w:r>
      <w:r w:rsidR="007800FE" w:rsidRPr="009F3167">
        <w:t>The proposed price for guselkumab</w:t>
      </w:r>
      <w:r w:rsidR="00C21E5D" w:rsidRPr="009F3167">
        <w:t xml:space="preserve"> was derived based on </w:t>
      </w:r>
      <w:r w:rsidR="00331AB5" w:rsidRPr="009F3167">
        <w:t xml:space="preserve">a </w:t>
      </w:r>
      <w:r w:rsidR="00C21E5D" w:rsidRPr="009F3167">
        <w:t>co</w:t>
      </w:r>
      <w:r w:rsidR="007800FE" w:rsidRPr="009F3167">
        <w:t>st-minimisation</w:t>
      </w:r>
      <w:r w:rsidR="00331AB5" w:rsidRPr="009F3167">
        <w:t xml:space="preserve"> analysis versus the</w:t>
      </w:r>
      <w:r w:rsidR="007800FE" w:rsidRPr="009F3167">
        <w:t xml:space="preserve"> effective ustekinumab</w:t>
      </w:r>
      <w:r w:rsidR="00C21E5D" w:rsidRPr="009F3167">
        <w:t xml:space="preserve"> </w:t>
      </w:r>
      <w:r w:rsidR="00331AB5" w:rsidRPr="009F3167">
        <w:t xml:space="preserve">price </w:t>
      </w:r>
      <w:r w:rsidR="00C21E5D" w:rsidRPr="009F3167">
        <w:t>over 104 weeks (2 years) of treatment</w:t>
      </w:r>
      <w:r w:rsidR="00DF63F7" w:rsidRPr="009F3167">
        <w:t>.</w:t>
      </w:r>
      <w:r w:rsidR="002F49A8" w:rsidRPr="009F3167">
        <w:t xml:space="preserve"> The sponsor for guselkumab is also the sponsor for ustekinumab.</w:t>
      </w:r>
    </w:p>
    <w:p w:rsidR="00C21E5D" w:rsidRPr="009F3167" w:rsidRDefault="00C21E5D" w:rsidP="00DF63F7">
      <w:pPr>
        <w:pStyle w:val="ListParagraph"/>
        <w:widowControl/>
        <w:numPr>
          <w:ilvl w:val="1"/>
          <w:numId w:val="3"/>
        </w:numPr>
        <w:rPr>
          <w:iCs/>
        </w:rPr>
      </w:pPr>
      <w:r w:rsidRPr="009F3167">
        <w:t xml:space="preserve">The maximum quantity and the number of repeats requested would be sufficient to complete a 28-week initial treatment course </w:t>
      </w:r>
      <w:r w:rsidR="007800FE" w:rsidRPr="009F3167">
        <w:t>of guselkumab</w:t>
      </w:r>
      <w:r w:rsidRPr="009F3167">
        <w:t xml:space="preserve"> (4 doses), and a 24-week co</w:t>
      </w:r>
      <w:r w:rsidR="007800FE" w:rsidRPr="009F3167">
        <w:t>ntinuing treatment course of guselkumab</w:t>
      </w:r>
      <w:r w:rsidRPr="009F3167">
        <w:t xml:space="preserve"> (3 doses).  </w:t>
      </w:r>
      <w:r w:rsidRPr="009F3167">
        <w:rPr>
          <w:iCs/>
        </w:rPr>
        <w:t xml:space="preserve">The requested treatment durations </w:t>
      </w:r>
      <w:r w:rsidR="00331AB5" w:rsidRPr="009F3167">
        <w:rPr>
          <w:iCs/>
        </w:rPr>
        <w:t>for</w:t>
      </w:r>
      <w:r w:rsidRPr="009F3167">
        <w:rPr>
          <w:iCs/>
        </w:rPr>
        <w:t xml:space="preserve"> continuing therapy is consistent with all listed biologics for severe CPP</w:t>
      </w:r>
      <w:r w:rsidR="00DF63F7" w:rsidRPr="009F3167">
        <w:rPr>
          <w:iCs/>
        </w:rPr>
        <w:t xml:space="preserve"> (</w:t>
      </w:r>
      <w:r w:rsidRPr="009F3167">
        <w:rPr>
          <w:iCs/>
        </w:rPr>
        <w:t xml:space="preserve">all </w:t>
      </w:r>
      <w:r w:rsidR="00DF63F7" w:rsidRPr="009F3167">
        <w:rPr>
          <w:iCs/>
        </w:rPr>
        <w:t xml:space="preserve">provide up to </w:t>
      </w:r>
      <w:r w:rsidRPr="009F3167">
        <w:rPr>
          <w:iCs/>
        </w:rPr>
        <w:t>24 weeks</w:t>
      </w:r>
      <w:r w:rsidR="00DF63F7" w:rsidRPr="009F3167">
        <w:rPr>
          <w:iCs/>
        </w:rPr>
        <w:t xml:space="preserve"> of therapy)</w:t>
      </w:r>
      <w:r w:rsidRPr="009F3167">
        <w:rPr>
          <w:iCs/>
        </w:rPr>
        <w:t xml:space="preserve">.  The initial treatment period </w:t>
      </w:r>
      <w:r w:rsidR="00DF63F7" w:rsidRPr="009F3167">
        <w:rPr>
          <w:iCs/>
        </w:rPr>
        <w:t>wa</w:t>
      </w:r>
      <w:r w:rsidR="007800FE" w:rsidRPr="009F3167">
        <w:rPr>
          <w:iCs/>
        </w:rPr>
        <w:t>s similar to ustekinumab</w:t>
      </w:r>
      <w:r w:rsidRPr="009F3167">
        <w:rPr>
          <w:iCs/>
        </w:rPr>
        <w:t xml:space="preserve"> (also 28 weeks) but differ</w:t>
      </w:r>
      <w:r w:rsidR="00DF63F7" w:rsidRPr="009F3167">
        <w:rPr>
          <w:iCs/>
        </w:rPr>
        <w:t>ed</w:t>
      </w:r>
      <w:r w:rsidRPr="009F3167">
        <w:rPr>
          <w:iCs/>
        </w:rPr>
        <w:t xml:space="preserve"> </w:t>
      </w:r>
      <w:r w:rsidR="007800FE" w:rsidRPr="009F3167">
        <w:rPr>
          <w:iCs/>
        </w:rPr>
        <w:t>to infliximab</w:t>
      </w:r>
      <w:r w:rsidR="00DF63F7" w:rsidRPr="009F3167">
        <w:rPr>
          <w:iCs/>
        </w:rPr>
        <w:t xml:space="preserve"> (22 weeks) </w:t>
      </w:r>
      <w:r w:rsidRPr="009F3167">
        <w:rPr>
          <w:iCs/>
        </w:rPr>
        <w:t>and 16 weeks for the others</w:t>
      </w:r>
      <w:r w:rsidR="00DF63F7" w:rsidRPr="009F3167">
        <w:rPr>
          <w:iCs/>
        </w:rPr>
        <w:t xml:space="preserve"> agents.  The appropriateness of the proposed duration for initial </w:t>
      </w:r>
      <w:r w:rsidRPr="009F3167">
        <w:rPr>
          <w:iCs/>
        </w:rPr>
        <w:t>therapy</w:t>
      </w:r>
      <w:r w:rsidR="00DF63F7" w:rsidRPr="009F3167">
        <w:rPr>
          <w:iCs/>
        </w:rPr>
        <w:t xml:space="preserve"> of 28 weeks </w:t>
      </w:r>
      <w:r w:rsidR="00C871CB">
        <w:rPr>
          <w:iCs/>
        </w:rPr>
        <w:t>is discussed in</w:t>
      </w:r>
      <w:r w:rsidRPr="009F3167">
        <w:rPr>
          <w:iCs/>
        </w:rPr>
        <w:t xml:space="preserve"> </w:t>
      </w:r>
      <w:r w:rsidR="00DF63F7" w:rsidRPr="009F3167">
        <w:rPr>
          <w:iCs/>
        </w:rPr>
        <w:t>2.7 below</w:t>
      </w:r>
      <w:r w:rsidRPr="009F3167">
        <w:rPr>
          <w:iCs/>
        </w:rPr>
        <w:t>.</w:t>
      </w:r>
      <w:r w:rsidR="001B2336">
        <w:rPr>
          <w:iCs/>
        </w:rPr>
        <w:t xml:space="preserve"> </w:t>
      </w:r>
    </w:p>
    <w:p w:rsidR="00D41EE1" w:rsidRPr="009F3167" w:rsidRDefault="007800FE" w:rsidP="000A5661">
      <w:pPr>
        <w:pStyle w:val="ListParagraph"/>
        <w:widowControl/>
        <w:numPr>
          <w:ilvl w:val="1"/>
          <w:numId w:val="3"/>
        </w:numPr>
        <w:rPr>
          <w:rFonts w:asciiTheme="minorHAnsi" w:hAnsiTheme="minorHAnsi" w:cstheme="minorHAnsi"/>
          <w:szCs w:val="24"/>
        </w:rPr>
      </w:pPr>
      <w:r w:rsidRPr="009F3167">
        <w:t>The submission stated that guselkumab</w:t>
      </w:r>
      <w:r w:rsidR="00C21E5D" w:rsidRPr="009F3167">
        <w:t xml:space="preserve"> would not</w:t>
      </w:r>
      <w:r w:rsidRPr="009F3167">
        <w:t xml:space="preserve"> be interchangeable with ustekinumab</w:t>
      </w:r>
      <w:r w:rsidR="00D41EE1" w:rsidRPr="009F3167">
        <w:t xml:space="preserve"> or</w:t>
      </w:r>
      <w:r w:rsidR="00C21E5D" w:rsidRPr="009F3167">
        <w:t xml:space="preserve"> any other PBS-listed </w:t>
      </w:r>
      <w:proofErr w:type="spellStart"/>
      <w:r w:rsidR="00C21E5D" w:rsidRPr="009F3167">
        <w:t>bDMARD</w:t>
      </w:r>
      <w:proofErr w:type="spellEnd"/>
      <w:r w:rsidR="00C21E5D" w:rsidRPr="009F3167">
        <w:t xml:space="preserve">, due to unique pharmacokinetic, </w:t>
      </w:r>
      <w:proofErr w:type="spellStart"/>
      <w:r w:rsidR="00C21E5D" w:rsidRPr="009F3167">
        <w:t>pharmacodynamic</w:t>
      </w:r>
      <w:proofErr w:type="spellEnd"/>
      <w:r w:rsidR="00C21E5D" w:rsidRPr="009F3167">
        <w:t>, and immunogenicity profiles.</w:t>
      </w:r>
    </w:p>
    <w:p w:rsidR="00EF3486" w:rsidRPr="009F3167" w:rsidRDefault="00EF3486" w:rsidP="00EF3486">
      <w:pPr>
        <w:pStyle w:val="ListParagraph"/>
        <w:numPr>
          <w:ilvl w:val="1"/>
          <w:numId w:val="3"/>
        </w:numPr>
        <w:rPr>
          <w:rFonts w:asciiTheme="minorHAnsi" w:hAnsiTheme="minorHAnsi" w:cstheme="minorHAnsi"/>
          <w:iCs/>
          <w:szCs w:val="24"/>
        </w:rPr>
      </w:pPr>
      <w:r w:rsidRPr="009F3167">
        <w:rPr>
          <w:rFonts w:asciiTheme="minorHAnsi" w:hAnsiTheme="minorHAnsi" w:cstheme="minorHAnsi"/>
          <w:iCs/>
          <w:szCs w:val="24"/>
        </w:rPr>
        <w:t>The submission proposed that a grandfather clause be incorporated in the listing, to allow app</w:t>
      </w:r>
      <w:r w:rsidR="007800FE" w:rsidRPr="009F3167">
        <w:rPr>
          <w:rFonts w:asciiTheme="minorHAnsi" w:hAnsiTheme="minorHAnsi" w:cstheme="minorHAnsi"/>
          <w:iCs/>
          <w:szCs w:val="24"/>
        </w:rPr>
        <w:t xml:space="preserve">roximately </w:t>
      </w:r>
      <w:r w:rsidR="00F87F3F">
        <w:rPr>
          <w:rFonts w:asciiTheme="minorHAnsi" w:hAnsiTheme="minorHAnsi" w:cstheme="minorHAnsi"/>
          <w:iCs/>
          <w:noProof/>
          <w:color w:val="000000"/>
          <w:szCs w:val="24"/>
          <w:highlight w:val="black"/>
        </w:rPr>
        <w:t>''''''''</w:t>
      </w:r>
      <w:r w:rsidR="007800FE" w:rsidRPr="009F3167">
        <w:rPr>
          <w:rFonts w:asciiTheme="minorHAnsi" w:hAnsiTheme="minorHAnsi" w:cstheme="minorHAnsi"/>
          <w:iCs/>
          <w:szCs w:val="24"/>
        </w:rPr>
        <w:t xml:space="preserve"> patients in a </w:t>
      </w:r>
      <w:r w:rsidR="007800FE" w:rsidRPr="009F3167">
        <w:t>guselkumab</w:t>
      </w:r>
      <w:r w:rsidRPr="009F3167">
        <w:rPr>
          <w:rFonts w:asciiTheme="minorHAnsi" w:hAnsiTheme="minorHAnsi" w:cstheme="minorHAnsi"/>
          <w:iCs/>
          <w:szCs w:val="24"/>
        </w:rPr>
        <w:t xml:space="preserve"> Patient Familiarisation Program (PFP) to </w:t>
      </w:r>
      <w:r w:rsidR="007800FE" w:rsidRPr="009F3167">
        <w:rPr>
          <w:rFonts w:asciiTheme="minorHAnsi" w:hAnsiTheme="minorHAnsi" w:cstheme="minorHAnsi"/>
          <w:iCs/>
          <w:szCs w:val="24"/>
        </w:rPr>
        <w:t xml:space="preserve">transition to PBS subsidised </w:t>
      </w:r>
      <w:r w:rsidR="007800FE" w:rsidRPr="009F3167">
        <w:t>guselkumab</w:t>
      </w:r>
      <w:r w:rsidRPr="009F3167">
        <w:rPr>
          <w:rFonts w:asciiTheme="minorHAnsi" w:hAnsiTheme="minorHAnsi" w:cstheme="minorHAnsi"/>
          <w:iCs/>
          <w:szCs w:val="24"/>
        </w:rPr>
        <w:t xml:space="preserve">.  Furthermore, one ongoing trial (ECLIPSE trial of GUS versus SEC) is expected to be completed in September 2018.  The submission stated that approximately </w:t>
      </w:r>
      <w:r w:rsidR="00F87F3F">
        <w:rPr>
          <w:rFonts w:asciiTheme="minorHAnsi" w:hAnsiTheme="minorHAnsi" w:cstheme="minorHAnsi"/>
          <w:iCs/>
          <w:noProof/>
          <w:color w:val="000000"/>
          <w:szCs w:val="24"/>
          <w:highlight w:val="black"/>
        </w:rPr>
        <w:t>'''''</w:t>
      </w:r>
      <w:r w:rsidRPr="009F3167">
        <w:rPr>
          <w:rFonts w:asciiTheme="minorHAnsi" w:hAnsiTheme="minorHAnsi" w:cstheme="minorHAnsi"/>
          <w:iCs/>
          <w:szCs w:val="24"/>
        </w:rPr>
        <w:t xml:space="preserve"> Australian patients in the trial </w:t>
      </w:r>
      <w:r w:rsidR="00371F7C" w:rsidRPr="009F3167">
        <w:rPr>
          <w:rFonts w:asciiTheme="minorHAnsi" w:hAnsiTheme="minorHAnsi" w:cstheme="minorHAnsi"/>
          <w:iCs/>
          <w:szCs w:val="24"/>
        </w:rPr>
        <w:t>would</w:t>
      </w:r>
      <w:r w:rsidRPr="009F3167">
        <w:rPr>
          <w:rFonts w:asciiTheme="minorHAnsi" w:hAnsiTheme="minorHAnsi" w:cstheme="minorHAnsi"/>
          <w:iCs/>
          <w:szCs w:val="24"/>
        </w:rPr>
        <w:t xml:space="preserve"> need to be grandfathered across to PBS supply.  All grandfathered patients will be required to meet the requested PBS eligibility criteria.</w:t>
      </w:r>
      <w:r w:rsidR="001B7F29">
        <w:rPr>
          <w:rFonts w:asciiTheme="minorHAnsi" w:hAnsiTheme="minorHAnsi" w:cstheme="minorHAnsi"/>
          <w:iCs/>
          <w:szCs w:val="24"/>
        </w:rPr>
        <w:t xml:space="preserve"> The </w:t>
      </w:r>
      <w:r w:rsidR="000E53BA">
        <w:rPr>
          <w:rFonts w:asciiTheme="minorHAnsi" w:hAnsiTheme="minorHAnsi" w:cstheme="minorHAnsi"/>
          <w:iCs/>
          <w:szCs w:val="24"/>
        </w:rPr>
        <w:t xml:space="preserve">sponsor requested in the </w:t>
      </w:r>
      <w:r w:rsidR="001B7F29">
        <w:rPr>
          <w:rFonts w:asciiTheme="minorHAnsi" w:hAnsiTheme="minorHAnsi" w:cstheme="minorHAnsi"/>
          <w:iCs/>
          <w:szCs w:val="24"/>
        </w:rPr>
        <w:t>Pre-PBAC response</w:t>
      </w:r>
      <w:r w:rsidR="00845473">
        <w:rPr>
          <w:rFonts w:asciiTheme="minorHAnsi" w:hAnsiTheme="minorHAnsi" w:cstheme="minorHAnsi"/>
          <w:iCs/>
          <w:szCs w:val="24"/>
        </w:rPr>
        <w:t xml:space="preserve"> </w:t>
      </w:r>
      <w:r w:rsidR="000E53BA">
        <w:rPr>
          <w:rFonts w:asciiTheme="minorHAnsi" w:hAnsiTheme="minorHAnsi" w:cstheme="minorHAnsi"/>
          <w:iCs/>
          <w:szCs w:val="24"/>
        </w:rPr>
        <w:t>that Australian</w:t>
      </w:r>
      <w:r w:rsidR="0034087F">
        <w:rPr>
          <w:rFonts w:asciiTheme="minorHAnsi" w:hAnsiTheme="minorHAnsi" w:cstheme="minorHAnsi"/>
          <w:iCs/>
          <w:szCs w:val="24"/>
        </w:rPr>
        <w:t xml:space="preserve"> patients fr</w:t>
      </w:r>
      <w:r w:rsidR="00BA09D7">
        <w:rPr>
          <w:rFonts w:asciiTheme="minorHAnsi" w:hAnsiTheme="minorHAnsi" w:cstheme="minorHAnsi"/>
          <w:iCs/>
          <w:szCs w:val="24"/>
        </w:rPr>
        <w:t>om</w:t>
      </w:r>
      <w:r w:rsidR="000E53BA">
        <w:rPr>
          <w:rFonts w:asciiTheme="minorHAnsi" w:hAnsiTheme="minorHAnsi" w:cstheme="minorHAnsi"/>
          <w:iCs/>
          <w:szCs w:val="24"/>
        </w:rPr>
        <w:t xml:space="preserve"> the</w:t>
      </w:r>
      <w:r w:rsidR="00BA09D7">
        <w:rPr>
          <w:rFonts w:asciiTheme="minorHAnsi" w:hAnsiTheme="minorHAnsi" w:cstheme="minorHAnsi"/>
          <w:iCs/>
          <w:szCs w:val="24"/>
        </w:rPr>
        <w:t xml:space="preserve"> VOYAGE trials (</w:t>
      </w:r>
      <w:r w:rsidR="00F87F3F">
        <w:rPr>
          <w:rFonts w:asciiTheme="minorHAnsi" w:hAnsiTheme="minorHAnsi" w:cstheme="minorHAnsi"/>
          <w:iCs/>
          <w:noProof/>
          <w:color w:val="000000"/>
          <w:szCs w:val="24"/>
          <w:highlight w:val="black"/>
        </w:rPr>
        <w:t>'''''</w:t>
      </w:r>
      <w:r w:rsidR="00BA09D7">
        <w:rPr>
          <w:rFonts w:asciiTheme="minorHAnsi" w:hAnsiTheme="minorHAnsi" w:cstheme="minorHAnsi"/>
          <w:iCs/>
          <w:szCs w:val="24"/>
        </w:rPr>
        <w:t xml:space="preserve"> from VOYAGE-1 and </w:t>
      </w:r>
      <w:r w:rsidR="00F87F3F">
        <w:rPr>
          <w:rFonts w:asciiTheme="minorHAnsi" w:hAnsiTheme="minorHAnsi" w:cstheme="minorHAnsi"/>
          <w:iCs/>
          <w:noProof/>
          <w:color w:val="000000"/>
          <w:szCs w:val="24"/>
          <w:highlight w:val="black"/>
        </w:rPr>
        <w:t>'''''</w:t>
      </w:r>
      <w:r w:rsidR="00BA09D7">
        <w:rPr>
          <w:rFonts w:asciiTheme="minorHAnsi" w:hAnsiTheme="minorHAnsi" w:cstheme="minorHAnsi"/>
          <w:iCs/>
          <w:szCs w:val="24"/>
        </w:rPr>
        <w:t xml:space="preserve"> from VOYAGE-2)</w:t>
      </w:r>
      <w:r w:rsidR="000E53BA">
        <w:rPr>
          <w:rFonts w:asciiTheme="minorHAnsi" w:hAnsiTheme="minorHAnsi" w:cstheme="minorHAnsi"/>
          <w:iCs/>
          <w:szCs w:val="24"/>
        </w:rPr>
        <w:t xml:space="preserve"> be grandfathered across to PBS supply, noting that their participation in the trials </w:t>
      </w:r>
      <w:r w:rsidR="00841FE4">
        <w:rPr>
          <w:rFonts w:asciiTheme="minorHAnsi" w:hAnsiTheme="minorHAnsi" w:cstheme="minorHAnsi"/>
          <w:iCs/>
          <w:szCs w:val="24"/>
        </w:rPr>
        <w:t>is expected to conclude in 2020 which</w:t>
      </w:r>
      <w:r w:rsidR="000E53BA">
        <w:rPr>
          <w:rFonts w:asciiTheme="minorHAnsi" w:hAnsiTheme="minorHAnsi" w:cstheme="minorHAnsi"/>
          <w:iCs/>
          <w:szCs w:val="24"/>
        </w:rPr>
        <w:t xml:space="preserve"> </w:t>
      </w:r>
      <w:r w:rsidR="00485BC2">
        <w:rPr>
          <w:rFonts w:asciiTheme="minorHAnsi" w:hAnsiTheme="minorHAnsi" w:cstheme="minorHAnsi"/>
          <w:iCs/>
          <w:szCs w:val="24"/>
        </w:rPr>
        <w:t xml:space="preserve">is </w:t>
      </w:r>
      <w:r w:rsidR="000E53BA">
        <w:rPr>
          <w:rFonts w:asciiTheme="minorHAnsi" w:hAnsiTheme="minorHAnsi" w:cstheme="minorHAnsi"/>
          <w:iCs/>
          <w:szCs w:val="24"/>
        </w:rPr>
        <w:t xml:space="preserve">more than 12 months after </w:t>
      </w:r>
      <w:r w:rsidR="00841FE4">
        <w:rPr>
          <w:rFonts w:asciiTheme="minorHAnsi" w:hAnsiTheme="minorHAnsi" w:cstheme="minorHAnsi"/>
          <w:iCs/>
          <w:szCs w:val="24"/>
        </w:rPr>
        <w:t xml:space="preserve">a potential PBS listing for </w:t>
      </w:r>
      <w:r w:rsidR="00841FE4" w:rsidRPr="009F3167">
        <w:t>guselkumab</w:t>
      </w:r>
      <w:r w:rsidR="00BA09D7">
        <w:rPr>
          <w:rFonts w:asciiTheme="minorHAnsi" w:hAnsiTheme="minorHAnsi" w:cstheme="minorHAnsi"/>
          <w:iCs/>
          <w:szCs w:val="24"/>
        </w:rPr>
        <w:t xml:space="preserve">. </w:t>
      </w:r>
    </w:p>
    <w:p w:rsidR="00D41EE1" w:rsidRPr="009F3167" w:rsidRDefault="00D41EE1" w:rsidP="00530383">
      <w:pPr>
        <w:pStyle w:val="ListParagraph"/>
        <w:widowControl/>
        <w:numPr>
          <w:ilvl w:val="1"/>
          <w:numId w:val="3"/>
        </w:numPr>
        <w:rPr>
          <w:rFonts w:asciiTheme="minorHAnsi" w:hAnsiTheme="minorHAnsi" w:cstheme="minorHAnsi"/>
          <w:szCs w:val="24"/>
        </w:rPr>
      </w:pPr>
      <w:r w:rsidRPr="009F3167">
        <w:rPr>
          <w:rFonts w:asciiTheme="minorHAnsi" w:hAnsiTheme="minorHAnsi" w:cstheme="minorHAnsi"/>
          <w:szCs w:val="24"/>
        </w:rPr>
        <w:t>The requested PBS restriction was narrower than the proposed TGA indication with stricter criteria for prior failed therapies and disease severity</w:t>
      </w:r>
      <w:r w:rsidR="00530383" w:rsidRPr="009F3167">
        <w:rPr>
          <w:rFonts w:asciiTheme="minorHAnsi" w:hAnsiTheme="minorHAnsi" w:cstheme="minorHAnsi"/>
          <w:szCs w:val="24"/>
        </w:rPr>
        <w:t xml:space="preserve">, for example, only </w:t>
      </w:r>
      <w:r w:rsidR="00F87F3F">
        <w:rPr>
          <w:rFonts w:asciiTheme="minorHAnsi" w:hAnsiTheme="minorHAnsi" w:cstheme="minorHAnsi"/>
          <w:noProof/>
          <w:color w:val="000000"/>
          <w:szCs w:val="24"/>
          <w:highlight w:val="black"/>
        </w:rPr>
        <w:t>''''''</w:t>
      </w:r>
      <w:r w:rsidR="00530383" w:rsidRPr="009F3167">
        <w:rPr>
          <w:rFonts w:asciiTheme="minorHAnsi" w:hAnsiTheme="minorHAnsi" w:cstheme="minorHAnsi"/>
          <w:szCs w:val="24"/>
        </w:rPr>
        <w:t xml:space="preserve">% and </w:t>
      </w:r>
      <w:r w:rsidR="00F87F3F">
        <w:rPr>
          <w:rFonts w:asciiTheme="minorHAnsi" w:hAnsiTheme="minorHAnsi" w:cstheme="minorHAnsi"/>
          <w:noProof/>
          <w:color w:val="000000"/>
          <w:szCs w:val="24"/>
          <w:highlight w:val="black"/>
        </w:rPr>
        <w:t>'''''</w:t>
      </w:r>
      <w:r w:rsidR="00530383" w:rsidRPr="009F3167">
        <w:rPr>
          <w:rFonts w:asciiTheme="minorHAnsi" w:hAnsiTheme="minorHAnsi" w:cstheme="minorHAnsi"/>
          <w:szCs w:val="24"/>
        </w:rPr>
        <w:t xml:space="preserve">% of patients from the </w:t>
      </w:r>
      <w:r w:rsidR="00331AB5" w:rsidRPr="009F3167">
        <w:t>guselkumab</w:t>
      </w:r>
      <w:r w:rsidR="00331AB5" w:rsidRPr="009F3167">
        <w:rPr>
          <w:rFonts w:asciiTheme="minorHAnsi" w:hAnsiTheme="minorHAnsi" w:cstheme="minorHAnsi"/>
          <w:iCs/>
          <w:szCs w:val="24"/>
        </w:rPr>
        <w:t xml:space="preserve"> </w:t>
      </w:r>
      <w:r w:rsidR="00530383" w:rsidRPr="009F3167">
        <w:rPr>
          <w:rFonts w:asciiTheme="minorHAnsi" w:hAnsiTheme="minorHAnsi" w:cstheme="minorHAnsi"/>
          <w:szCs w:val="24"/>
        </w:rPr>
        <w:t>trials (VOYAGE-1 and VOYAGE-2 respectively) had fail</w:t>
      </w:r>
      <w:r w:rsidR="00331AB5" w:rsidRPr="009F3167">
        <w:rPr>
          <w:rFonts w:asciiTheme="minorHAnsi" w:hAnsiTheme="minorHAnsi" w:cstheme="minorHAnsi"/>
          <w:szCs w:val="24"/>
        </w:rPr>
        <w:t>ed</w:t>
      </w:r>
      <w:r w:rsidR="00530383" w:rsidRPr="009F3167">
        <w:rPr>
          <w:rFonts w:asciiTheme="minorHAnsi" w:hAnsiTheme="minorHAnsi" w:cstheme="minorHAnsi"/>
          <w:szCs w:val="24"/>
        </w:rPr>
        <w:t xml:space="preserve"> therapy with three or more conventional systemic therapies </w:t>
      </w:r>
      <w:r w:rsidR="00530383" w:rsidRPr="009F3167">
        <w:rPr>
          <w:rFonts w:asciiTheme="minorHAnsi" w:hAnsiTheme="minorHAnsi" w:cstheme="minorHAnsi"/>
          <w:szCs w:val="24"/>
        </w:rPr>
        <w:lastRenderedPageBreak/>
        <w:t xml:space="preserve">fitting the PBS eligibility criteria.  </w:t>
      </w:r>
      <w:r w:rsidR="00A83222" w:rsidRPr="009F3167">
        <w:rPr>
          <w:rFonts w:asciiTheme="minorHAnsi" w:hAnsiTheme="minorHAnsi" w:cstheme="minorHAnsi"/>
          <w:szCs w:val="24"/>
        </w:rPr>
        <w:t>However,</w:t>
      </w:r>
      <w:r w:rsidR="00EF3486" w:rsidRPr="009F3167">
        <w:rPr>
          <w:rFonts w:asciiTheme="minorHAnsi" w:hAnsiTheme="minorHAnsi" w:cstheme="minorHAnsi"/>
          <w:szCs w:val="24"/>
        </w:rPr>
        <w:t xml:space="preserve"> </w:t>
      </w:r>
      <w:r w:rsidR="002F49A8" w:rsidRPr="009F3167">
        <w:rPr>
          <w:rFonts w:asciiTheme="minorHAnsi" w:hAnsiTheme="minorHAnsi" w:cstheme="minorHAnsi"/>
          <w:szCs w:val="24"/>
        </w:rPr>
        <w:t xml:space="preserve">the evidence is </w:t>
      </w:r>
      <w:r w:rsidR="00EF3486" w:rsidRPr="009F3167">
        <w:rPr>
          <w:rFonts w:asciiTheme="minorHAnsi" w:hAnsiTheme="minorHAnsi" w:cstheme="minorHAnsi"/>
          <w:szCs w:val="24"/>
        </w:rPr>
        <w:t xml:space="preserve">comparable to </w:t>
      </w:r>
      <w:r w:rsidR="002F49A8" w:rsidRPr="009F3167">
        <w:rPr>
          <w:rFonts w:asciiTheme="minorHAnsi" w:hAnsiTheme="minorHAnsi" w:cstheme="minorHAnsi"/>
          <w:szCs w:val="24"/>
        </w:rPr>
        <w:t>that</w:t>
      </w:r>
      <w:r w:rsidR="00EF3486" w:rsidRPr="009F3167">
        <w:rPr>
          <w:rFonts w:asciiTheme="minorHAnsi" w:hAnsiTheme="minorHAnsi" w:cstheme="minorHAnsi"/>
          <w:szCs w:val="24"/>
        </w:rPr>
        <w:t xml:space="preserve"> for </w:t>
      </w:r>
      <w:r w:rsidRPr="009F3167">
        <w:rPr>
          <w:rFonts w:asciiTheme="minorHAnsi" w:hAnsiTheme="minorHAnsi" w:cstheme="minorHAnsi"/>
          <w:szCs w:val="24"/>
        </w:rPr>
        <w:t xml:space="preserve">all other biologics </w:t>
      </w:r>
      <w:r w:rsidR="00EF3486" w:rsidRPr="009F3167">
        <w:rPr>
          <w:rFonts w:asciiTheme="minorHAnsi" w:hAnsiTheme="minorHAnsi" w:cstheme="minorHAnsi"/>
          <w:szCs w:val="24"/>
        </w:rPr>
        <w:t xml:space="preserve">listed </w:t>
      </w:r>
      <w:r w:rsidRPr="009F3167">
        <w:rPr>
          <w:rFonts w:asciiTheme="minorHAnsi" w:hAnsiTheme="minorHAnsi" w:cstheme="minorHAnsi"/>
          <w:szCs w:val="24"/>
        </w:rPr>
        <w:t xml:space="preserve">on </w:t>
      </w:r>
      <w:r w:rsidR="00EF3486" w:rsidRPr="009F3167">
        <w:rPr>
          <w:rFonts w:asciiTheme="minorHAnsi" w:hAnsiTheme="minorHAnsi" w:cstheme="minorHAnsi"/>
          <w:szCs w:val="24"/>
        </w:rPr>
        <w:t xml:space="preserve">the </w:t>
      </w:r>
      <w:r w:rsidRPr="009F3167">
        <w:rPr>
          <w:rFonts w:asciiTheme="minorHAnsi" w:hAnsiTheme="minorHAnsi" w:cstheme="minorHAnsi"/>
          <w:szCs w:val="24"/>
        </w:rPr>
        <w:t>PBS</w:t>
      </w:r>
      <w:r w:rsidR="002F49A8" w:rsidRPr="009F3167">
        <w:rPr>
          <w:rFonts w:asciiTheme="minorHAnsi" w:hAnsiTheme="minorHAnsi" w:cstheme="minorHAnsi"/>
          <w:szCs w:val="24"/>
        </w:rPr>
        <w:t>.</w:t>
      </w:r>
      <w:r w:rsidR="00530383" w:rsidRPr="009F3167">
        <w:rPr>
          <w:rFonts w:asciiTheme="minorHAnsi" w:hAnsiTheme="minorHAnsi" w:cstheme="minorHAnsi"/>
          <w:szCs w:val="24"/>
        </w:rPr>
        <w:t xml:space="preserve"> </w:t>
      </w:r>
      <w:r w:rsidR="002F49A8" w:rsidRPr="009F3167">
        <w:rPr>
          <w:rFonts w:asciiTheme="minorHAnsi" w:hAnsiTheme="minorHAnsi" w:cstheme="minorHAnsi"/>
          <w:szCs w:val="24"/>
        </w:rPr>
        <w:t>O</w:t>
      </w:r>
      <w:r w:rsidRPr="009F3167">
        <w:rPr>
          <w:rFonts w:asciiTheme="minorHAnsi" w:hAnsiTheme="minorHAnsi" w:cstheme="minorHAnsi"/>
          <w:szCs w:val="24"/>
        </w:rPr>
        <w:t>verall</w:t>
      </w:r>
      <w:r w:rsidR="00FD1F49" w:rsidRPr="009F3167">
        <w:rPr>
          <w:rFonts w:asciiTheme="minorHAnsi" w:hAnsiTheme="minorHAnsi" w:cstheme="minorHAnsi"/>
          <w:szCs w:val="24"/>
        </w:rPr>
        <w:t>,</w:t>
      </w:r>
      <w:r w:rsidRPr="009F3167">
        <w:rPr>
          <w:rFonts w:asciiTheme="minorHAnsi" w:hAnsiTheme="minorHAnsi" w:cstheme="minorHAnsi"/>
          <w:szCs w:val="24"/>
        </w:rPr>
        <w:t xml:space="preserve"> the requested restriction </w:t>
      </w:r>
      <w:r w:rsidR="00E759EF" w:rsidRPr="009F3167">
        <w:rPr>
          <w:rFonts w:asciiTheme="minorHAnsi" w:hAnsiTheme="minorHAnsi" w:cstheme="minorHAnsi"/>
          <w:szCs w:val="24"/>
        </w:rPr>
        <w:t xml:space="preserve">was </w:t>
      </w:r>
      <w:r w:rsidRPr="009F3167">
        <w:rPr>
          <w:rFonts w:asciiTheme="minorHAnsi" w:hAnsiTheme="minorHAnsi" w:cstheme="minorHAnsi"/>
          <w:szCs w:val="24"/>
        </w:rPr>
        <w:t>appropriate</w:t>
      </w:r>
      <w:r w:rsidR="003B2AC0" w:rsidRPr="009F3167">
        <w:rPr>
          <w:rFonts w:asciiTheme="minorHAnsi" w:hAnsiTheme="minorHAnsi" w:cstheme="minorHAnsi"/>
          <w:szCs w:val="24"/>
        </w:rPr>
        <w:t>, except for the assessment of the initial response</w:t>
      </w:r>
      <w:r w:rsidR="00C04AB2" w:rsidRPr="009F3167">
        <w:rPr>
          <w:rFonts w:asciiTheme="minorHAnsi" w:hAnsiTheme="minorHAnsi" w:cstheme="minorHAnsi"/>
          <w:szCs w:val="24"/>
        </w:rPr>
        <w:t xml:space="preserve"> (see 2.7 below)</w:t>
      </w:r>
      <w:r w:rsidR="003B2AC0" w:rsidRPr="009F3167">
        <w:rPr>
          <w:rFonts w:asciiTheme="minorHAnsi" w:hAnsiTheme="minorHAnsi" w:cstheme="minorHAnsi"/>
          <w:szCs w:val="24"/>
        </w:rPr>
        <w:t xml:space="preserve">. </w:t>
      </w:r>
    </w:p>
    <w:p w:rsidR="00D41EE1" w:rsidRPr="009F3167" w:rsidRDefault="00D41EE1" w:rsidP="00D41EE1">
      <w:pPr>
        <w:pStyle w:val="ListParagraph"/>
        <w:widowControl/>
        <w:numPr>
          <w:ilvl w:val="1"/>
          <w:numId w:val="3"/>
        </w:numPr>
        <w:rPr>
          <w:rFonts w:asciiTheme="minorHAnsi" w:hAnsiTheme="minorHAnsi" w:cstheme="minorHAnsi"/>
          <w:szCs w:val="24"/>
        </w:rPr>
      </w:pPr>
      <w:r w:rsidRPr="009F3167">
        <w:t>The requested quantities (plus repeats) would permit up to 28 wee</w:t>
      </w:r>
      <w:r w:rsidR="007800FE" w:rsidRPr="009F3167">
        <w:t>ks of initial treatment with guselkumab</w:t>
      </w:r>
      <w:r w:rsidRPr="009F3167">
        <w:t xml:space="preserve">.  The submission argued (p18) that this </w:t>
      </w:r>
      <w:r w:rsidR="00E759EF" w:rsidRPr="009F3167">
        <w:t>was</w:t>
      </w:r>
      <w:r w:rsidRPr="009F3167">
        <w:t xml:space="preserve"> appropriate as it </w:t>
      </w:r>
      <w:r w:rsidR="00E759EF" w:rsidRPr="009F3167">
        <w:t>was</w:t>
      </w:r>
      <w:r w:rsidRPr="009F3167">
        <w:t xml:space="preserve"> consistent with initial treatment period of ustekinumab for severe CPP and </w:t>
      </w:r>
      <w:r w:rsidR="00E759EF" w:rsidRPr="009F3167">
        <w:t xml:space="preserve">would </w:t>
      </w:r>
      <w:r w:rsidRPr="009F3167">
        <w:t xml:space="preserve">provide patients with the best chance of achieving a PASI response for continuing treatment eligibility.  </w:t>
      </w:r>
      <w:r w:rsidR="007800FE" w:rsidRPr="009F3167">
        <w:rPr>
          <w:iCs/>
        </w:rPr>
        <w:t xml:space="preserve">Dose response curves for </w:t>
      </w:r>
      <w:r w:rsidR="007800FE" w:rsidRPr="009F3167">
        <w:t>guselkumab</w:t>
      </w:r>
      <w:r w:rsidR="007800FE" w:rsidRPr="009F3167">
        <w:rPr>
          <w:iCs/>
        </w:rPr>
        <w:t>, ustekinumab</w:t>
      </w:r>
      <w:r w:rsidRPr="009F3167">
        <w:rPr>
          <w:iCs/>
        </w:rPr>
        <w:t xml:space="preserve"> </w:t>
      </w:r>
      <w:r w:rsidR="007800FE" w:rsidRPr="009F3167">
        <w:rPr>
          <w:iCs/>
        </w:rPr>
        <w:t>and adalimumab</w:t>
      </w:r>
      <w:r w:rsidRPr="009F3167">
        <w:rPr>
          <w:iCs/>
        </w:rPr>
        <w:t xml:space="preserve"> (initial treatment period of 16 weeks with assessment of response at 12 weeks) from the included trials were examined during the evaluation for PASI 75 response over time (see Figure 1).</w:t>
      </w:r>
    </w:p>
    <w:p w:rsidR="00D41EE1" w:rsidRPr="009F3167" w:rsidRDefault="00D41EE1" w:rsidP="00E759EF">
      <w:pPr>
        <w:keepNext/>
        <w:keepLines/>
        <w:rPr>
          <w:rFonts w:ascii="Arial Narrow" w:hAnsi="Arial Narrow"/>
          <w:b/>
          <w:bCs/>
          <w:sz w:val="20"/>
          <w:szCs w:val="20"/>
        </w:rPr>
      </w:pPr>
      <w:r w:rsidRPr="009F3167">
        <w:rPr>
          <w:rFonts w:ascii="Arial Narrow" w:hAnsi="Arial Narrow"/>
          <w:b/>
          <w:bCs/>
          <w:sz w:val="20"/>
          <w:szCs w:val="20"/>
        </w:rPr>
        <w:lastRenderedPageBreak/>
        <w:t xml:space="preserve">Figure 1: PASI 75 response </w:t>
      </w:r>
      <w:r w:rsidR="00E759EF" w:rsidRPr="009F3167">
        <w:rPr>
          <w:rFonts w:ascii="Arial Narrow" w:hAnsi="Arial Narrow"/>
          <w:b/>
          <w:bCs/>
          <w:sz w:val="20"/>
          <w:szCs w:val="20"/>
        </w:rPr>
        <w:t xml:space="preserve">over time </w:t>
      </w:r>
      <w:r w:rsidRPr="009F3167">
        <w:rPr>
          <w:rFonts w:ascii="Arial Narrow" w:hAnsi="Arial Narrow"/>
          <w:b/>
          <w:bCs/>
          <w:sz w:val="20"/>
          <w:szCs w:val="20"/>
        </w:rPr>
        <w:t>for GUS, UST and ADA</w:t>
      </w:r>
    </w:p>
    <w:tbl>
      <w:tblPr>
        <w:tblStyle w:val="TableGrid"/>
        <w:tblW w:w="0" w:type="auto"/>
        <w:tblLayout w:type="fixed"/>
        <w:tblCellMar>
          <w:left w:w="28" w:type="dxa"/>
          <w:right w:w="28" w:type="dxa"/>
        </w:tblCellMar>
        <w:tblLook w:val="04A0" w:firstRow="1" w:lastRow="0" w:firstColumn="1" w:lastColumn="0" w:noHBand="0" w:noVBand="1"/>
        <w:tblCaption w:val="Figure 1: PASI 75 response over time for GUS, UST and ADA"/>
      </w:tblPr>
      <w:tblGrid>
        <w:gridCol w:w="1510"/>
        <w:gridCol w:w="1510"/>
        <w:gridCol w:w="1511"/>
        <w:gridCol w:w="1495"/>
        <w:gridCol w:w="1495"/>
        <w:gridCol w:w="1496"/>
      </w:tblGrid>
      <w:tr w:rsidR="00D41EE1" w:rsidRPr="00964974" w:rsidTr="00E00025">
        <w:trPr>
          <w:tblHeader/>
        </w:trPr>
        <w:tc>
          <w:tcPr>
            <w:tcW w:w="4531" w:type="dxa"/>
            <w:gridSpan w:val="3"/>
          </w:tcPr>
          <w:p w:rsidR="00D41EE1" w:rsidRPr="00964974" w:rsidRDefault="00D41EE1" w:rsidP="00D41EE1">
            <w:pPr>
              <w:keepNext/>
              <w:keepLines/>
              <w:jc w:val="center"/>
              <w:rPr>
                <w:b/>
                <w:bCs/>
                <w:iCs/>
              </w:rPr>
            </w:pPr>
            <w:r w:rsidRPr="00964974">
              <w:rPr>
                <w:b/>
                <w:bCs/>
                <w:iCs/>
              </w:rPr>
              <w:t>VOYAGE 1 (Week 0 to 48)</w:t>
            </w:r>
          </w:p>
        </w:tc>
        <w:tc>
          <w:tcPr>
            <w:tcW w:w="4486" w:type="dxa"/>
            <w:gridSpan w:val="3"/>
          </w:tcPr>
          <w:p w:rsidR="00D41EE1" w:rsidRPr="00964974" w:rsidRDefault="00D41EE1" w:rsidP="00D41EE1">
            <w:pPr>
              <w:keepNext/>
              <w:keepLines/>
              <w:jc w:val="center"/>
              <w:rPr>
                <w:b/>
                <w:bCs/>
                <w:iCs/>
              </w:rPr>
            </w:pPr>
            <w:r w:rsidRPr="00964974">
              <w:rPr>
                <w:b/>
                <w:bCs/>
                <w:iCs/>
              </w:rPr>
              <w:t>VOYAGE 2 (Weeks 0 to 24)</w:t>
            </w:r>
          </w:p>
        </w:tc>
      </w:tr>
      <w:tr w:rsidR="00D41EE1" w:rsidRPr="00964974" w:rsidTr="000A5661">
        <w:tc>
          <w:tcPr>
            <w:tcW w:w="4531" w:type="dxa"/>
            <w:gridSpan w:val="3"/>
          </w:tcPr>
          <w:p w:rsidR="00D41EE1" w:rsidRPr="00964974" w:rsidRDefault="00D41EE1" w:rsidP="00D41EE1">
            <w:pPr>
              <w:keepNext/>
              <w:keepLines/>
              <w:rPr>
                <w:iCs/>
              </w:rPr>
            </w:pPr>
            <w:r w:rsidRPr="00964974">
              <w:rPr>
                <w:iCs/>
                <w:noProof/>
                <w:lang w:eastAsia="en-AU"/>
              </w:rPr>
              <w:drawing>
                <wp:inline distT="0" distB="0" distL="0" distR="0" wp14:anchorId="75BCA300" wp14:editId="60C6303B">
                  <wp:extent cx="2981739" cy="1844419"/>
                  <wp:effectExtent l="0" t="0" r="0" b="3810"/>
                  <wp:docPr id="240" name="Picture 240" title="VOYAGE 1 (Week 0 to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66" t="3402" r="3193" b="9587"/>
                          <a:stretch/>
                        </pic:blipFill>
                        <pic:spPr bwMode="auto">
                          <a:xfrm>
                            <a:off x="0" y="0"/>
                            <a:ext cx="3014984" cy="18649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6" w:type="dxa"/>
            <w:gridSpan w:val="3"/>
          </w:tcPr>
          <w:p w:rsidR="00D41EE1" w:rsidRPr="00964974" w:rsidRDefault="00D41EE1" w:rsidP="00D41EE1">
            <w:pPr>
              <w:keepNext/>
              <w:keepLines/>
              <w:rPr>
                <w:iCs/>
              </w:rPr>
            </w:pPr>
            <w:r w:rsidRPr="00964974">
              <w:rPr>
                <w:iCs/>
                <w:noProof/>
                <w:snapToGrid/>
                <w:lang w:eastAsia="en-AU"/>
              </w:rPr>
              <w:drawing>
                <wp:inline distT="0" distB="0" distL="0" distR="0" wp14:anchorId="2E354397" wp14:editId="4C6ED0DF">
                  <wp:extent cx="2759075" cy="1804946"/>
                  <wp:effectExtent l="0" t="0" r="3175" b="5080"/>
                  <wp:docPr id="241" name="Picture 241" title="VOYAGE 2 (Weeks 0 t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3754" cy="1814548"/>
                          </a:xfrm>
                          <a:prstGeom prst="rect">
                            <a:avLst/>
                          </a:prstGeom>
                        </pic:spPr>
                      </pic:pic>
                    </a:graphicData>
                  </a:graphic>
                </wp:inline>
              </w:drawing>
            </w:r>
          </w:p>
        </w:tc>
      </w:tr>
      <w:tr w:rsidR="000565DE" w:rsidRPr="00964974" w:rsidTr="000565DE">
        <w:trPr>
          <w:trHeight w:val="320"/>
        </w:trPr>
        <w:tc>
          <w:tcPr>
            <w:tcW w:w="1510" w:type="dxa"/>
          </w:tcPr>
          <w:p w:rsidR="000565DE" w:rsidRPr="00964974" w:rsidRDefault="000565DE" w:rsidP="000565DE">
            <w:pPr>
              <w:keepNext/>
              <w:keepLines/>
              <w:rPr>
                <w:rFonts w:ascii="Arial Narrow" w:hAnsi="Arial Narrow"/>
                <w:iCs/>
                <w:sz w:val="20"/>
                <w:szCs w:val="20"/>
              </w:rPr>
            </w:pPr>
            <w:r w:rsidRPr="00964974">
              <w:rPr>
                <w:rFonts w:ascii="Arial Narrow" w:hAnsi="Arial Narrow"/>
                <w:iCs/>
                <w:sz w:val="20"/>
                <w:szCs w:val="20"/>
              </w:rPr>
              <w:t>%PASI 75 responders</w:t>
            </w:r>
          </w:p>
        </w:tc>
        <w:tc>
          <w:tcPr>
            <w:tcW w:w="1510"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Week 16*</w:t>
            </w:r>
          </w:p>
        </w:tc>
        <w:tc>
          <w:tcPr>
            <w:tcW w:w="1511"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Week 24</w:t>
            </w:r>
          </w:p>
        </w:tc>
        <w:tc>
          <w:tcPr>
            <w:tcW w:w="1495" w:type="dxa"/>
          </w:tcPr>
          <w:p w:rsidR="000565DE" w:rsidRPr="00964974" w:rsidRDefault="000565DE" w:rsidP="000565DE">
            <w:pPr>
              <w:keepNext/>
              <w:keepLines/>
              <w:rPr>
                <w:rFonts w:ascii="Arial Narrow" w:hAnsi="Arial Narrow"/>
                <w:iCs/>
                <w:sz w:val="20"/>
                <w:szCs w:val="20"/>
              </w:rPr>
            </w:pPr>
            <w:r w:rsidRPr="00964974">
              <w:rPr>
                <w:rFonts w:ascii="Arial Narrow" w:hAnsi="Arial Narrow"/>
                <w:iCs/>
                <w:sz w:val="20"/>
                <w:szCs w:val="20"/>
              </w:rPr>
              <w:t>%PASI 75 responders</w:t>
            </w:r>
          </w:p>
        </w:tc>
        <w:tc>
          <w:tcPr>
            <w:tcW w:w="1495"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Week 16*</w:t>
            </w:r>
          </w:p>
        </w:tc>
        <w:tc>
          <w:tcPr>
            <w:tcW w:w="1496"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Week 24</w:t>
            </w:r>
          </w:p>
        </w:tc>
      </w:tr>
      <w:tr w:rsidR="000565DE" w:rsidRPr="00964974" w:rsidTr="000565DE">
        <w:trPr>
          <w:trHeight w:val="320"/>
        </w:trPr>
        <w:tc>
          <w:tcPr>
            <w:tcW w:w="1510" w:type="dxa"/>
          </w:tcPr>
          <w:p w:rsidR="000565DE" w:rsidRPr="00964974" w:rsidRDefault="000565DE" w:rsidP="000565DE">
            <w:pPr>
              <w:keepNext/>
              <w:keepLines/>
              <w:rPr>
                <w:rFonts w:ascii="Arial Narrow" w:hAnsi="Arial Narrow"/>
                <w:iCs/>
                <w:sz w:val="20"/>
                <w:szCs w:val="20"/>
              </w:rPr>
            </w:pPr>
            <w:r w:rsidRPr="00964974">
              <w:rPr>
                <w:rFonts w:ascii="Arial Narrow" w:hAnsi="Arial Narrow"/>
                <w:iCs/>
                <w:sz w:val="20"/>
                <w:szCs w:val="20"/>
              </w:rPr>
              <w:t>GUS</w:t>
            </w:r>
          </w:p>
        </w:tc>
        <w:tc>
          <w:tcPr>
            <w:tcW w:w="1510"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91.2%</w:t>
            </w:r>
          </w:p>
        </w:tc>
        <w:tc>
          <w:tcPr>
            <w:tcW w:w="1511"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91.2%</w:t>
            </w:r>
          </w:p>
        </w:tc>
        <w:tc>
          <w:tcPr>
            <w:tcW w:w="1495" w:type="dxa"/>
          </w:tcPr>
          <w:p w:rsidR="000565DE" w:rsidRPr="00964974" w:rsidRDefault="000565DE" w:rsidP="000565DE">
            <w:pPr>
              <w:keepNext/>
              <w:keepLines/>
              <w:rPr>
                <w:rFonts w:ascii="Arial Narrow" w:hAnsi="Arial Narrow"/>
                <w:iCs/>
                <w:sz w:val="20"/>
                <w:szCs w:val="20"/>
              </w:rPr>
            </w:pPr>
            <w:r w:rsidRPr="00964974">
              <w:rPr>
                <w:rFonts w:ascii="Arial Narrow" w:hAnsi="Arial Narrow"/>
                <w:iCs/>
                <w:sz w:val="20"/>
                <w:szCs w:val="20"/>
              </w:rPr>
              <w:t>GUS</w:t>
            </w:r>
          </w:p>
        </w:tc>
        <w:tc>
          <w:tcPr>
            <w:tcW w:w="1495"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86.3%</w:t>
            </w:r>
          </w:p>
        </w:tc>
        <w:tc>
          <w:tcPr>
            <w:tcW w:w="1496"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89.1%</w:t>
            </w:r>
          </w:p>
        </w:tc>
      </w:tr>
      <w:tr w:rsidR="000565DE" w:rsidRPr="00964974" w:rsidTr="000565DE">
        <w:trPr>
          <w:trHeight w:val="320"/>
        </w:trPr>
        <w:tc>
          <w:tcPr>
            <w:tcW w:w="1510" w:type="dxa"/>
          </w:tcPr>
          <w:p w:rsidR="000565DE" w:rsidRPr="00964974" w:rsidRDefault="000565DE" w:rsidP="000565DE">
            <w:pPr>
              <w:keepNext/>
              <w:keepLines/>
              <w:rPr>
                <w:rFonts w:ascii="Arial Narrow" w:hAnsi="Arial Narrow"/>
                <w:iCs/>
                <w:sz w:val="20"/>
                <w:szCs w:val="20"/>
              </w:rPr>
            </w:pPr>
            <w:r w:rsidRPr="00964974">
              <w:rPr>
                <w:rFonts w:ascii="Arial Narrow" w:hAnsi="Arial Narrow"/>
                <w:iCs/>
                <w:sz w:val="20"/>
                <w:szCs w:val="20"/>
              </w:rPr>
              <w:t>ADA</w:t>
            </w:r>
          </w:p>
        </w:tc>
        <w:tc>
          <w:tcPr>
            <w:tcW w:w="1510"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73.1%</w:t>
            </w:r>
          </w:p>
        </w:tc>
        <w:tc>
          <w:tcPr>
            <w:tcW w:w="1511"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72.2%</w:t>
            </w:r>
          </w:p>
        </w:tc>
        <w:tc>
          <w:tcPr>
            <w:tcW w:w="1495" w:type="dxa"/>
          </w:tcPr>
          <w:p w:rsidR="000565DE" w:rsidRPr="00964974" w:rsidRDefault="000565DE" w:rsidP="000565DE">
            <w:pPr>
              <w:keepNext/>
              <w:keepLines/>
              <w:rPr>
                <w:rFonts w:ascii="Arial Narrow" w:hAnsi="Arial Narrow"/>
                <w:iCs/>
                <w:sz w:val="20"/>
                <w:szCs w:val="20"/>
              </w:rPr>
            </w:pPr>
            <w:r w:rsidRPr="00964974">
              <w:rPr>
                <w:rFonts w:ascii="Arial Narrow" w:hAnsi="Arial Narrow"/>
                <w:iCs/>
                <w:sz w:val="20"/>
                <w:szCs w:val="20"/>
              </w:rPr>
              <w:t>ADA</w:t>
            </w:r>
          </w:p>
        </w:tc>
        <w:tc>
          <w:tcPr>
            <w:tcW w:w="1495"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68.5%</w:t>
            </w:r>
          </w:p>
        </w:tc>
        <w:tc>
          <w:tcPr>
            <w:tcW w:w="1496"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71%</w:t>
            </w:r>
          </w:p>
        </w:tc>
      </w:tr>
      <w:tr w:rsidR="00D41EE1" w:rsidRPr="00964974" w:rsidTr="000A5661">
        <w:tc>
          <w:tcPr>
            <w:tcW w:w="4531" w:type="dxa"/>
            <w:gridSpan w:val="3"/>
          </w:tcPr>
          <w:p w:rsidR="00D41EE1" w:rsidRPr="00964974" w:rsidRDefault="00FD034E" w:rsidP="00D41EE1">
            <w:pPr>
              <w:keepNext/>
              <w:keepLines/>
              <w:jc w:val="center"/>
              <w:rPr>
                <w:b/>
                <w:bCs/>
                <w:iCs/>
              </w:rPr>
            </w:pPr>
            <w:r w:rsidRPr="00964974">
              <w:rPr>
                <w:b/>
                <w:bCs/>
                <w:iCs/>
              </w:rPr>
              <w:t>PHOENIX</w:t>
            </w:r>
            <w:r w:rsidR="00D41EE1" w:rsidRPr="00964974">
              <w:rPr>
                <w:b/>
                <w:bCs/>
                <w:iCs/>
              </w:rPr>
              <w:t xml:space="preserve"> 1 (Weeks 0 to 28)</w:t>
            </w:r>
          </w:p>
        </w:tc>
        <w:tc>
          <w:tcPr>
            <w:tcW w:w="4486" w:type="dxa"/>
            <w:gridSpan w:val="3"/>
          </w:tcPr>
          <w:p w:rsidR="00D41EE1" w:rsidRPr="00964974" w:rsidRDefault="00FD034E" w:rsidP="00D41EE1">
            <w:pPr>
              <w:keepNext/>
              <w:keepLines/>
              <w:jc w:val="center"/>
              <w:rPr>
                <w:b/>
                <w:bCs/>
                <w:iCs/>
              </w:rPr>
            </w:pPr>
            <w:r w:rsidRPr="00964974">
              <w:rPr>
                <w:b/>
                <w:bCs/>
                <w:iCs/>
              </w:rPr>
              <w:t>PHOENIX</w:t>
            </w:r>
            <w:r w:rsidR="00D41EE1" w:rsidRPr="00964974">
              <w:rPr>
                <w:b/>
                <w:bCs/>
                <w:iCs/>
              </w:rPr>
              <w:t xml:space="preserve"> 2 (Weeks 0 to 28)</w:t>
            </w:r>
          </w:p>
        </w:tc>
      </w:tr>
      <w:tr w:rsidR="00D41EE1" w:rsidRPr="00964974" w:rsidTr="000A5661">
        <w:tc>
          <w:tcPr>
            <w:tcW w:w="4531" w:type="dxa"/>
            <w:gridSpan w:val="3"/>
          </w:tcPr>
          <w:p w:rsidR="00D41EE1" w:rsidRPr="00964974" w:rsidRDefault="00D41EE1" w:rsidP="00D41EE1">
            <w:pPr>
              <w:keepNext/>
              <w:keepLines/>
              <w:rPr>
                <w:iCs/>
              </w:rPr>
            </w:pPr>
            <w:r w:rsidRPr="00964974">
              <w:rPr>
                <w:iCs/>
                <w:noProof/>
                <w:snapToGrid/>
                <w:lang w:eastAsia="en-AU"/>
              </w:rPr>
              <w:drawing>
                <wp:inline distT="0" distB="0" distL="0" distR="0" wp14:anchorId="7310E0DA" wp14:editId="698EF597">
                  <wp:extent cx="2870421" cy="2080452"/>
                  <wp:effectExtent l="0" t="0" r="6350" b="0"/>
                  <wp:docPr id="242" name="Picture 242" title="PHOENIX 1 (Weeks 0 to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6776" cy="2092306"/>
                          </a:xfrm>
                          <a:prstGeom prst="rect">
                            <a:avLst/>
                          </a:prstGeom>
                        </pic:spPr>
                      </pic:pic>
                    </a:graphicData>
                  </a:graphic>
                </wp:inline>
              </w:drawing>
            </w:r>
          </w:p>
        </w:tc>
        <w:tc>
          <w:tcPr>
            <w:tcW w:w="4486" w:type="dxa"/>
            <w:gridSpan w:val="3"/>
          </w:tcPr>
          <w:p w:rsidR="00D41EE1" w:rsidRPr="00964974" w:rsidRDefault="00D41EE1" w:rsidP="00D41EE1">
            <w:pPr>
              <w:keepNext/>
              <w:keepLines/>
              <w:rPr>
                <w:iCs/>
              </w:rPr>
            </w:pPr>
            <w:r w:rsidRPr="00964974">
              <w:rPr>
                <w:iCs/>
                <w:noProof/>
                <w:snapToGrid/>
                <w:lang w:eastAsia="en-AU"/>
              </w:rPr>
              <w:drawing>
                <wp:inline distT="0" distB="0" distL="0" distR="0" wp14:anchorId="2C709F5D" wp14:editId="779E6FC6">
                  <wp:extent cx="2767054" cy="2066925"/>
                  <wp:effectExtent l="0" t="0" r="0" b="0"/>
                  <wp:docPr id="243" name="Picture 243" title="PHOENIX 2 (Weeks 0 to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6046" cy="2081112"/>
                          </a:xfrm>
                          <a:prstGeom prst="rect">
                            <a:avLst/>
                          </a:prstGeom>
                        </pic:spPr>
                      </pic:pic>
                    </a:graphicData>
                  </a:graphic>
                </wp:inline>
              </w:drawing>
            </w:r>
          </w:p>
        </w:tc>
      </w:tr>
      <w:tr w:rsidR="000565DE" w:rsidRPr="00964974" w:rsidTr="000565DE">
        <w:trPr>
          <w:trHeight w:val="320"/>
        </w:trPr>
        <w:tc>
          <w:tcPr>
            <w:tcW w:w="1510" w:type="dxa"/>
            <w:vAlign w:val="center"/>
          </w:tcPr>
          <w:p w:rsidR="000565DE" w:rsidRPr="00964974" w:rsidRDefault="000565DE" w:rsidP="000565DE">
            <w:pPr>
              <w:keepNext/>
              <w:keepLines/>
              <w:jc w:val="left"/>
              <w:rPr>
                <w:rFonts w:ascii="Arial Narrow" w:hAnsi="Arial Narrow"/>
                <w:iCs/>
                <w:sz w:val="20"/>
                <w:szCs w:val="20"/>
              </w:rPr>
            </w:pPr>
            <w:r w:rsidRPr="00964974">
              <w:rPr>
                <w:rFonts w:ascii="Arial Narrow" w:hAnsi="Arial Narrow"/>
                <w:iCs/>
                <w:sz w:val="20"/>
                <w:szCs w:val="20"/>
              </w:rPr>
              <w:t>%PASI 75 responders</w:t>
            </w:r>
          </w:p>
        </w:tc>
        <w:tc>
          <w:tcPr>
            <w:tcW w:w="1510"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Week 12*</w:t>
            </w:r>
          </w:p>
        </w:tc>
        <w:tc>
          <w:tcPr>
            <w:tcW w:w="1511"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Week 24</w:t>
            </w:r>
          </w:p>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(read off graph)</w:t>
            </w:r>
          </w:p>
        </w:tc>
        <w:tc>
          <w:tcPr>
            <w:tcW w:w="1495" w:type="dxa"/>
          </w:tcPr>
          <w:p w:rsidR="000565DE" w:rsidRPr="00964974" w:rsidRDefault="000565DE" w:rsidP="000565DE">
            <w:pPr>
              <w:keepNext/>
              <w:keepLines/>
              <w:rPr>
                <w:rFonts w:ascii="Arial Narrow" w:hAnsi="Arial Narrow"/>
                <w:iCs/>
                <w:sz w:val="20"/>
                <w:szCs w:val="20"/>
              </w:rPr>
            </w:pPr>
            <w:r w:rsidRPr="00964974">
              <w:rPr>
                <w:rFonts w:ascii="Arial Narrow" w:hAnsi="Arial Narrow"/>
                <w:iCs/>
                <w:sz w:val="20"/>
                <w:szCs w:val="20"/>
              </w:rPr>
              <w:t>%PASI 75 responders</w:t>
            </w:r>
          </w:p>
        </w:tc>
        <w:tc>
          <w:tcPr>
            <w:tcW w:w="1495"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Week 12*</w:t>
            </w:r>
          </w:p>
        </w:tc>
        <w:tc>
          <w:tcPr>
            <w:tcW w:w="1496"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Week 24</w:t>
            </w:r>
          </w:p>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(Read off graph)</w:t>
            </w:r>
          </w:p>
        </w:tc>
      </w:tr>
      <w:tr w:rsidR="000565DE" w:rsidRPr="00964974" w:rsidTr="000565DE">
        <w:trPr>
          <w:trHeight w:val="320"/>
        </w:trPr>
        <w:tc>
          <w:tcPr>
            <w:tcW w:w="1510" w:type="dxa"/>
            <w:vAlign w:val="center"/>
          </w:tcPr>
          <w:p w:rsidR="000565DE" w:rsidRPr="00964974" w:rsidRDefault="000565DE" w:rsidP="000565DE">
            <w:pPr>
              <w:keepNext/>
              <w:keepLines/>
              <w:jc w:val="left"/>
              <w:rPr>
                <w:rFonts w:ascii="Arial Narrow" w:hAnsi="Arial Narrow"/>
                <w:iCs/>
                <w:sz w:val="20"/>
                <w:szCs w:val="20"/>
              </w:rPr>
            </w:pPr>
            <w:r w:rsidRPr="00964974">
              <w:rPr>
                <w:rFonts w:ascii="Arial Narrow" w:hAnsi="Arial Narrow"/>
                <w:iCs/>
                <w:sz w:val="20"/>
                <w:szCs w:val="20"/>
              </w:rPr>
              <w:t>UST 45mg</w:t>
            </w:r>
          </w:p>
        </w:tc>
        <w:tc>
          <w:tcPr>
            <w:tcW w:w="1510"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67.1%</w:t>
            </w:r>
          </w:p>
        </w:tc>
        <w:tc>
          <w:tcPr>
            <w:tcW w:w="1511"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75%</w:t>
            </w:r>
          </w:p>
        </w:tc>
        <w:tc>
          <w:tcPr>
            <w:tcW w:w="1495" w:type="dxa"/>
          </w:tcPr>
          <w:p w:rsidR="000565DE" w:rsidRPr="00964974" w:rsidRDefault="000565DE" w:rsidP="000565DE">
            <w:pPr>
              <w:keepNext/>
              <w:keepLines/>
              <w:rPr>
                <w:rFonts w:ascii="Arial Narrow" w:hAnsi="Arial Narrow"/>
                <w:iCs/>
                <w:sz w:val="20"/>
                <w:szCs w:val="20"/>
              </w:rPr>
            </w:pPr>
            <w:r w:rsidRPr="00964974">
              <w:rPr>
                <w:rFonts w:ascii="Arial Narrow" w:hAnsi="Arial Narrow"/>
                <w:iCs/>
                <w:sz w:val="20"/>
                <w:szCs w:val="20"/>
              </w:rPr>
              <w:t>UST 45mg</w:t>
            </w:r>
          </w:p>
        </w:tc>
        <w:tc>
          <w:tcPr>
            <w:tcW w:w="1495"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66.7%</w:t>
            </w:r>
          </w:p>
        </w:tc>
        <w:tc>
          <w:tcPr>
            <w:tcW w:w="1496"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72%</w:t>
            </w:r>
          </w:p>
        </w:tc>
      </w:tr>
      <w:tr w:rsidR="000565DE" w:rsidRPr="00964974" w:rsidTr="000565DE">
        <w:trPr>
          <w:trHeight w:val="320"/>
        </w:trPr>
        <w:tc>
          <w:tcPr>
            <w:tcW w:w="1510" w:type="dxa"/>
            <w:vAlign w:val="center"/>
          </w:tcPr>
          <w:p w:rsidR="000565DE" w:rsidRPr="00964974" w:rsidRDefault="000565DE" w:rsidP="000565DE">
            <w:pPr>
              <w:keepNext/>
              <w:keepLines/>
              <w:jc w:val="left"/>
              <w:rPr>
                <w:rFonts w:ascii="Arial Narrow" w:hAnsi="Arial Narrow"/>
                <w:iCs/>
                <w:sz w:val="20"/>
                <w:szCs w:val="20"/>
              </w:rPr>
            </w:pPr>
            <w:r w:rsidRPr="00964974">
              <w:rPr>
                <w:rFonts w:ascii="Arial Narrow" w:hAnsi="Arial Narrow"/>
                <w:iCs/>
                <w:sz w:val="20"/>
                <w:szCs w:val="20"/>
              </w:rPr>
              <w:t>UST 90mg</w:t>
            </w:r>
          </w:p>
        </w:tc>
        <w:tc>
          <w:tcPr>
            <w:tcW w:w="1510"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66.4%</w:t>
            </w:r>
          </w:p>
        </w:tc>
        <w:tc>
          <w:tcPr>
            <w:tcW w:w="1511"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85%</w:t>
            </w:r>
          </w:p>
        </w:tc>
        <w:tc>
          <w:tcPr>
            <w:tcW w:w="1495" w:type="dxa"/>
          </w:tcPr>
          <w:p w:rsidR="000565DE" w:rsidRPr="00964974" w:rsidRDefault="000565DE" w:rsidP="000565DE">
            <w:pPr>
              <w:keepNext/>
              <w:keepLines/>
              <w:rPr>
                <w:rFonts w:ascii="Arial Narrow" w:hAnsi="Arial Narrow"/>
                <w:iCs/>
                <w:sz w:val="20"/>
                <w:szCs w:val="20"/>
              </w:rPr>
            </w:pPr>
            <w:r w:rsidRPr="00964974">
              <w:rPr>
                <w:rFonts w:ascii="Arial Narrow" w:hAnsi="Arial Narrow"/>
                <w:iCs/>
                <w:sz w:val="20"/>
                <w:szCs w:val="20"/>
              </w:rPr>
              <w:t>UST 90mg</w:t>
            </w:r>
          </w:p>
        </w:tc>
        <w:tc>
          <w:tcPr>
            <w:tcW w:w="1495"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75.7%</w:t>
            </w:r>
          </w:p>
        </w:tc>
        <w:tc>
          <w:tcPr>
            <w:tcW w:w="1496" w:type="dxa"/>
            <w:vAlign w:val="center"/>
          </w:tcPr>
          <w:p w:rsidR="000565DE" w:rsidRPr="00964974" w:rsidRDefault="000565DE" w:rsidP="000565DE">
            <w:pPr>
              <w:keepNext/>
              <w:keepLines/>
              <w:jc w:val="center"/>
              <w:rPr>
                <w:rFonts w:ascii="Arial Narrow" w:hAnsi="Arial Narrow"/>
                <w:iCs/>
                <w:sz w:val="20"/>
                <w:szCs w:val="20"/>
              </w:rPr>
            </w:pPr>
            <w:r w:rsidRPr="00964974">
              <w:rPr>
                <w:rFonts w:ascii="Arial Narrow" w:hAnsi="Arial Narrow"/>
                <w:iCs/>
                <w:sz w:val="20"/>
                <w:szCs w:val="20"/>
              </w:rPr>
              <w:t>81%</w:t>
            </w:r>
          </w:p>
        </w:tc>
      </w:tr>
    </w:tbl>
    <w:p w:rsidR="00D41EE1" w:rsidRPr="009F3167" w:rsidRDefault="00D41EE1" w:rsidP="00D41EE1">
      <w:pPr>
        <w:keepNext/>
        <w:keepLines/>
        <w:rPr>
          <w:rFonts w:ascii="Arial Narrow" w:hAnsi="Arial Narrow"/>
          <w:iCs/>
          <w:sz w:val="18"/>
          <w:szCs w:val="18"/>
        </w:rPr>
      </w:pPr>
      <w:r w:rsidRPr="009F3167">
        <w:rPr>
          <w:rFonts w:ascii="Arial Narrow" w:hAnsi="Arial Narrow"/>
          <w:iCs/>
          <w:sz w:val="18"/>
          <w:szCs w:val="18"/>
        </w:rPr>
        <w:t xml:space="preserve">Source: constructed during the evaluations from data presented in Figure 2.8, p120 of the submission, Figure 3, p427 of VOYAGE 2 trial Reich 2017, Figure 4, panel A of </w:t>
      </w:r>
      <w:r w:rsidR="00FD034E" w:rsidRPr="009F3167">
        <w:rPr>
          <w:rFonts w:ascii="Arial Narrow" w:hAnsi="Arial Narrow"/>
          <w:iCs/>
          <w:sz w:val="18"/>
          <w:szCs w:val="18"/>
        </w:rPr>
        <w:t>PHOENIX</w:t>
      </w:r>
      <w:r w:rsidRPr="009F3167">
        <w:rPr>
          <w:rFonts w:ascii="Arial Narrow" w:hAnsi="Arial Narrow"/>
          <w:iCs/>
          <w:sz w:val="18"/>
          <w:szCs w:val="18"/>
        </w:rPr>
        <w:t xml:space="preserve"> 1 trial </w:t>
      </w:r>
      <w:proofErr w:type="spellStart"/>
      <w:r w:rsidRPr="009F3167">
        <w:rPr>
          <w:rFonts w:ascii="Arial Narrow" w:hAnsi="Arial Narrow"/>
          <w:iCs/>
          <w:sz w:val="18"/>
          <w:szCs w:val="18"/>
        </w:rPr>
        <w:t>Leonardi</w:t>
      </w:r>
      <w:proofErr w:type="spellEnd"/>
      <w:r w:rsidRPr="009F3167">
        <w:rPr>
          <w:rFonts w:ascii="Arial Narrow" w:hAnsi="Arial Narrow"/>
          <w:iCs/>
          <w:sz w:val="18"/>
          <w:szCs w:val="18"/>
        </w:rPr>
        <w:t xml:space="preserve"> 2008, Figure 3, Panel A, p1679 of </w:t>
      </w:r>
      <w:r w:rsidR="00FD034E" w:rsidRPr="009F3167">
        <w:rPr>
          <w:rFonts w:ascii="Arial Narrow" w:hAnsi="Arial Narrow"/>
          <w:iCs/>
          <w:sz w:val="18"/>
          <w:szCs w:val="18"/>
        </w:rPr>
        <w:t>PHOENIX</w:t>
      </w:r>
      <w:r w:rsidRPr="009F3167">
        <w:rPr>
          <w:rFonts w:ascii="Arial Narrow" w:hAnsi="Arial Narrow"/>
          <w:iCs/>
          <w:sz w:val="18"/>
          <w:szCs w:val="18"/>
        </w:rPr>
        <w:t xml:space="preserve"> 2 trial, Papp 2008.</w:t>
      </w:r>
    </w:p>
    <w:p w:rsidR="00D41EE1" w:rsidRPr="009F3167" w:rsidRDefault="00D41EE1" w:rsidP="00D41EE1">
      <w:pPr>
        <w:pStyle w:val="ListParagraph"/>
        <w:widowControl/>
        <w:ind w:left="0"/>
        <w:rPr>
          <w:rFonts w:asciiTheme="minorHAnsi" w:hAnsiTheme="minorHAnsi" w:cstheme="minorHAnsi"/>
          <w:szCs w:val="24"/>
        </w:rPr>
      </w:pPr>
    </w:p>
    <w:p w:rsidR="00D41EE1" w:rsidRPr="009F3167" w:rsidRDefault="00D41EE1" w:rsidP="00E759EF">
      <w:pPr>
        <w:pStyle w:val="ListParagraph"/>
        <w:widowControl/>
        <w:numPr>
          <w:ilvl w:val="1"/>
          <w:numId w:val="3"/>
        </w:numPr>
        <w:rPr>
          <w:iCs/>
        </w:rPr>
      </w:pPr>
      <w:r w:rsidRPr="009F3167">
        <w:rPr>
          <w:iCs/>
        </w:rPr>
        <w:t>The data suggest</w:t>
      </w:r>
      <w:r w:rsidR="00E759EF" w:rsidRPr="009F3167">
        <w:rPr>
          <w:iCs/>
        </w:rPr>
        <w:t>ed,</w:t>
      </w:r>
      <w:r w:rsidR="007800FE" w:rsidRPr="009F3167">
        <w:rPr>
          <w:iCs/>
        </w:rPr>
        <w:t xml:space="preserve"> for </w:t>
      </w:r>
      <w:r w:rsidR="007800FE" w:rsidRPr="009F3167">
        <w:t>guselkumab</w:t>
      </w:r>
      <w:r w:rsidRPr="009F3167">
        <w:rPr>
          <w:iCs/>
        </w:rPr>
        <w:t>, very few additional patients became PASI 75 responders beyond Week 16 (end of tria</w:t>
      </w:r>
      <w:r w:rsidR="00311510" w:rsidRPr="009F3167">
        <w:rPr>
          <w:iCs/>
        </w:rPr>
        <w:t>l double blind period).  The guselkumab</w:t>
      </w:r>
      <w:r w:rsidRPr="009F3167">
        <w:rPr>
          <w:iCs/>
        </w:rPr>
        <w:t xml:space="preserve"> dose response curves were also found to be reasonably </w:t>
      </w:r>
      <w:r w:rsidR="00311510" w:rsidRPr="009F3167">
        <w:rPr>
          <w:iCs/>
        </w:rPr>
        <w:t>similar in trajectory to the adalimumab</w:t>
      </w:r>
      <w:r w:rsidRPr="009F3167">
        <w:rPr>
          <w:iCs/>
        </w:rPr>
        <w:t xml:space="preserve"> curves</w:t>
      </w:r>
      <w:r w:rsidR="00E759EF" w:rsidRPr="009F3167">
        <w:rPr>
          <w:iCs/>
        </w:rPr>
        <w:t xml:space="preserve">.  </w:t>
      </w:r>
      <w:r w:rsidR="00841FE4">
        <w:rPr>
          <w:iCs/>
        </w:rPr>
        <w:t>Through the</w:t>
      </w:r>
      <w:r w:rsidR="00841FE4" w:rsidRPr="009F3167">
        <w:rPr>
          <w:iCs/>
        </w:rPr>
        <w:t xml:space="preserve"> </w:t>
      </w:r>
      <w:r w:rsidR="00E759EF" w:rsidRPr="009F3167">
        <w:rPr>
          <w:iCs/>
        </w:rPr>
        <w:t>PBS,</w:t>
      </w:r>
      <w:r w:rsidR="00311510" w:rsidRPr="009F3167">
        <w:rPr>
          <w:iCs/>
        </w:rPr>
        <w:t xml:space="preserve"> continuing eligibility to adalimumab</w:t>
      </w:r>
      <w:r w:rsidRPr="009F3167">
        <w:rPr>
          <w:iCs/>
        </w:rPr>
        <w:t xml:space="preserve"> is assessed after only 12 weeks of </w:t>
      </w:r>
      <w:r w:rsidR="00E759EF" w:rsidRPr="009F3167">
        <w:rPr>
          <w:iCs/>
        </w:rPr>
        <w:t xml:space="preserve">initial </w:t>
      </w:r>
      <w:r w:rsidRPr="009F3167">
        <w:rPr>
          <w:iCs/>
        </w:rPr>
        <w:t>therapy</w:t>
      </w:r>
      <w:r w:rsidR="00E759EF" w:rsidRPr="009F3167">
        <w:rPr>
          <w:iCs/>
        </w:rPr>
        <w:t xml:space="preserve"> (</w:t>
      </w:r>
      <w:r w:rsidR="00311510" w:rsidRPr="009F3167">
        <w:rPr>
          <w:iCs/>
        </w:rPr>
        <w:t>versus 24 weeks proposed for guselkumab</w:t>
      </w:r>
      <w:r w:rsidR="00E759EF" w:rsidRPr="009F3167">
        <w:rPr>
          <w:iCs/>
        </w:rPr>
        <w:t>)</w:t>
      </w:r>
      <w:r w:rsidRPr="009F3167">
        <w:rPr>
          <w:iCs/>
        </w:rPr>
        <w:t xml:space="preserve">.  </w:t>
      </w:r>
      <w:r w:rsidR="00311510" w:rsidRPr="009F3167">
        <w:rPr>
          <w:iCs/>
        </w:rPr>
        <w:t>The dose response curves for guselkumab and adalimumab</w:t>
      </w:r>
      <w:r w:rsidR="00E759EF" w:rsidRPr="009F3167">
        <w:rPr>
          <w:iCs/>
        </w:rPr>
        <w:t xml:space="preserve"> also </w:t>
      </w:r>
      <w:r w:rsidRPr="009F3167">
        <w:rPr>
          <w:iCs/>
        </w:rPr>
        <w:t>contrast</w:t>
      </w:r>
      <w:r w:rsidR="00E759EF" w:rsidRPr="009F3167">
        <w:rPr>
          <w:iCs/>
        </w:rPr>
        <w:t>ed</w:t>
      </w:r>
      <w:r w:rsidRPr="009F3167">
        <w:rPr>
          <w:iCs/>
        </w:rPr>
        <w:t xml:space="preserve"> </w:t>
      </w:r>
      <w:r w:rsidR="00E759EF" w:rsidRPr="009F3167">
        <w:rPr>
          <w:iCs/>
        </w:rPr>
        <w:t>with</w:t>
      </w:r>
      <w:r w:rsidRPr="009F3167">
        <w:rPr>
          <w:iCs/>
        </w:rPr>
        <w:t xml:space="preserve"> </w:t>
      </w:r>
      <w:r w:rsidR="00E759EF" w:rsidRPr="009F3167">
        <w:rPr>
          <w:iCs/>
        </w:rPr>
        <w:t xml:space="preserve">the curves for </w:t>
      </w:r>
      <w:r w:rsidR="00311510" w:rsidRPr="009F3167">
        <w:rPr>
          <w:iCs/>
        </w:rPr>
        <w:t>ustekinumab</w:t>
      </w:r>
      <w:r w:rsidRPr="009F3167">
        <w:rPr>
          <w:iCs/>
        </w:rPr>
        <w:t xml:space="preserve">, </w:t>
      </w:r>
      <w:r w:rsidR="00E759EF" w:rsidRPr="009F3167">
        <w:rPr>
          <w:iCs/>
        </w:rPr>
        <w:t xml:space="preserve">which illustrated that </w:t>
      </w:r>
      <w:r w:rsidRPr="009F3167">
        <w:rPr>
          <w:iCs/>
        </w:rPr>
        <w:t>quite a number of patients became PASI 75 responders between Week 12 (end of trial double blind period) and Week 24</w:t>
      </w:r>
      <w:r w:rsidR="00E759EF" w:rsidRPr="009F3167">
        <w:rPr>
          <w:iCs/>
        </w:rPr>
        <w:t xml:space="preserve"> (time point for PBS assessment of response)</w:t>
      </w:r>
      <w:r w:rsidRPr="009F3167">
        <w:rPr>
          <w:iCs/>
        </w:rPr>
        <w:t xml:space="preserve"> </w:t>
      </w:r>
      <w:r w:rsidR="00E759EF" w:rsidRPr="009F3167">
        <w:rPr>
          <w:iCs/>
        </w:rPr>
        <w:t xml:space="preserve">in both PHOENIX 1 and 2 trials. </w:t>
      </w:r>
    </w:p>
    <w:p w:rsidR="00D41EE1" w:rsidRPr="00CF6892" w:rsidRDefault="0050684C" w:rsidP="00E759EF">
      <w:pPr>
        <w:pStyle w:val="ListParagraph"/>
        <w:widowControl/>
        <w:numPr>
          <w:ilvl w:val="1"/>
          <w:numId w:val="3"/>
        </w:numPr>
        <w:rPr>
          <w:iCs/>
        </w:rPr>
      </w:pPr>
      <w:r>
        <w:rPr>
          <w:iCs/>
        </w:rPr>
        <w:lastRenderedPageBreak/>
        <w:t>The</w:t>
      </w:r>
      <w:r w:rsidR="00D41EE1" w:rsidRPr="009F3167">
        <w:rPr>
          <w:iCs/>
        </w:rPr>
        <w:t xml:space="preserve"> prima</w:t>
      </w:r>
      <w:r w:rsidR="00311510" w:rsidRPr="009F3167">
        <w:rPr>
          <w:iCs/>
        </w:rPr>
        <w:t>ry endpoints in the included guselkumab</w:t>
      </w:r>
      <w:r w:rsidR="00D41EE1" w:rsidRPr="009F3167">
        <w:rPr>
          <w:iCs/>
        </w:rPr>
        <w:t xml:space="preserve"> trials (VOYAGE-1 and -2) were measured at 16 weeks, which is significantly shorter than the proposed length of the initial treatment period of 28 weeks.  Ba</w:t>
      </w:r>
      <w:r w:rsidR="00311510" w:rsidRPr="009F3167">
        <w:rPr>
          <w:iCs/>
        </w:rPr>
        <w:t>sed on the dosing regimen of guselkumab</w:t>
      </w:r>
      <w:r w:rsidR="00D41EE1" w:rsidRPr="009F3167">
        <w:rPr>
          <w:iCs/>
        </w:rPr>
        <w:t xml:space="preserve"> at Weeks 0, 4</w:t>
      </w:r>
      <w:r w:rsidR="00E759EF" w:rsidRPr="009F3167">
        <w:rPr>
          <w:iCs/>
        </w:rPr>
        <w:t xml:space="preserve"> and</w:t>
      </w:r>
      <w:r w:rsidR="00D41EE1" w:rsidRPr="009F3167">
        <w:rPr>
          <w:iCs/>
        </w:rPr>
        <w:t xml:space="preserve"> 8 weekly thereafter, with next doses due at Weeks 12, 20 and 28</w:t>
      </w:r>
      <w:r w:rsidR="00D52028">
        <w:rPr>
          <w:iCs/>
        </w:rPr>
        <w:t>,</w:t>
      </w:r>
      <w:r w:rsidR="00D41EE1" w:rsidRPr="009F3167">
        <w:rPr>
          <w:iCs/>
        </w:rPr>
        <w:t xml:space="preserve"> it might be more appropriate to allow only up to 20 weeks of initial treatment, with response assessment between Week </w:t>
      </w:r>
      <w:r w:rsidR="00D41EE1" w:rsidRPr="00C0268D">
        <w:rPr>
          <w:iCs/>
        </w:rPr>
        <w:t>12 and 16.</w:t>
      </w:r>
      <w:r w:rsidR="00D72BE2" w:rsidRPr="00C0268D">
        <w:rPr>
          <w:iCs/>
        </w:rPr>
        <w:t xml:space="preserve"> </w:t>
      </w:r>
      <w:r w:rsidR="00602A77" w:rsidRPr="00C0268D">
        <w:rPr>
          <w:iCs/>
        </w:rPr>
        <w:t>The</w:t>
      </w:r>
      <w:r w:rsidR="00D72BE2" w:rsidRPr="00C0268D">
        <w:rPr>
          <w:iCs/>
        </w:rPr>
        <w:t xml:space="preserve"> PSCR</w:t>
      </w:r>
      <w:r w:rsidR="0014542F" w:rsidRPr="00C0268D">
        <w:rPr>
          <w:iCs/>
        </w:rPr>
        <w:t xml:space="preserve"> </w:t>
      </w:r>
      <w:r w:rsidR="00D52028" w:rsidRPr="00C0268D">
        <w:rPr>
          <w:iCs/>
        </w:rPr>
        <w:t xml:space="preserve">accepted </w:t>
      </w:r>
      <w:r w:rsidR="00602A77" w:rsidRPr="00C0268D">
        <w:rPr>
          <w:iCs/>
        </w:rPr>
        <w:t xml:space="preserve">the </w:t>
      </w:r>
      <w:r w:rsidR="00D52028" w:rsidRPr="00C0268D">
        <w:rPr>
          <w:iCs/>
        </w:rPr>
        <w:t xml:space="preserve">evaluation in the </w:t>
      </w:r>
      <w:r w:rsidR="00602A77" w:rsidRPr="00C0268D">
        <w:rPr>
          <w:iCs/>
        </w:rPr>
        <w:t xml:space="preserve">Commentary </w:t>
      </w:r>
      <w:r w:rsidR="00D52028" w:rsidRPr="00C0268D">
        <w:rPr>
          <w:iCs/>
        </w:rPr>
        <w:t>and agreed</w:t>
      </w:r>
      <w:r w:rsidR="00602A77" w:rsidRPr="00C0268D">
        <w:rPr>
          <w:iCs/>
        </w:rPr>
        <w:t xml:space="preserve"> </w:t>
      </w:r>
      <w:r w:rsidR="00D72BE2" w:rsidRPr="00C0268D">
        <w:rPr>
          <w:iCs/>
        </w:rPr>
        <w:t xml:space="preserve">to 20 weeks of </w:t>
      </w:r>
      <w:r w:rsidR="00B30F9D" w:rsidRPr="00C0268D">
        <w:rPr>
          <w:iCs/>
        </w:rPr>
        <w:t>initial</w:t>
      </w:r>
      <w:r w:rsidR="00D72BE2" w:rsidRPr="00C0268D">
        <w:rPr>
          <w:iCs/>
        </w:rPr>
        <w:t xml:space="preserve"> therapy with </w:t>
      </w:r>
      <w:r w:rsidR="00D52028" w:rsidRPr="00C0268D">
        <w:rPr>
          <w:iCs/>
        </w:rPr>
        <w:t xml:space="preserve">the </w:t>
      </w:r>
      <w:r w:rsidR="00D52028" w:rsidRPr="00CF6892">
        <w:rPr>
          <w:iCs/>
        </w:rPr>
        <w:t xml:space="preserve">response </w:t>
      </w:r>
      <w:r w:rsidR="00D72BE2" w:rsidRPr="00CF6892">
        <w:rPr>
          <w:iCs/>
        </w:rPr>
        <w:t xml:space="preserve">assessment at </w:t>
      </w:r>
      <w:r w:rsidR="00A01F82" w:rsidRPr="00CF6892">
        <w:rPr>
          <w:iCs/>
        </w:rPr>
        <w:t>w</w:t>
      </w:r>
      <w:r w:rsidR="00D72BE2" w:rsidRPr="00CF6892">
        <w:rPr>
          <w:iCs/>
        </w:rPr>
        <w:t>eek 16.</w:t>
      </w:r>
    </w:p>
    <w:p w:rsidR="00823B03" w:rsidRPr="00823B03" w:rsidRDefault="00823B03" w:rsidP="00823B03">
      <w:pPr>
        <w:pStyle w:val="ListParagraph"/>
        <w:rPr>
          <w:rFonts w:asciiTheme="minorHAnsi" w:hAnsiTheme="minorHAnsi"/>
          <w:i/>
        </w:rPr>
      </w:pPr>
      <w:r w:rsidRPr="00CF6892">
        <w:rPr>
          <w:rFonts w:asciiTheme="minorHAnsi" w:hAnsiTheme="minorHAnsi"/>
          <w:i/>
        </w:rPr>
        <w:t>For more detail on PBAC’s view, see section 7 PBAC outcome.</w:t>
      </w:r>
    </w:p>
    <w:p w:rsidR="00B50DB8" w:rsidRPr="009F3167" w:rsidRDefault="00B50DB8" w:rsidP="00CA4AA0">
      <w:pPr>
        <w:pStyle w:val="Heading1"/>
        <w:spacing w:before="240"/>
      </w:pPr>
      <w:bookmarkStart w:id="2" w:name="_Toc503212781"/>
      <w:r w:rsidRPr="009F3167">
        <w:t>Background</w:t>
      </w:r>
      <w:bookmarkEnd w:id="2"/>
    </w:p>
    <w:p w:rsidR="00B60939" w:rsidRPr="004A44A7" w:rsidRDefault="00591957" w:rsidP="004A44A7">
      <w:pPr>
        <w:spacing w:after="120"/>
        <w:rPr>
          <w:b/>
          <w:i/>
          <w:sz w:val="28"/>
          <w:szCs w:val="28"/>
        </w:rPr>
      </w:pPr>
      <w:r w:rsidRPr="004A44A7">
        <w:rPr>
          <w:b/>
          <w:i/>
          <w:sz w:val="28"/>
          <w:szCs w:val="28"/>
        </w:rPr>
        <w:t>Registration status</w:t>
      </w:r>
    </w:p>
    <w:p w:rsidR="00823B03" w:rsidRPr="00CF6892" w:rsidRDefault="00B60939" w:rsidP="00823B03">
      <w:pPr>
        <w:pStyle w:val="ListParagraph"/>
        <w:widowControl/>
        <w:numPr>
          <w:ilvl w:val="1"/>
          <w:numId w:val="3"/>
        </w:numPr>
      </w:pPr>
      <w:r w:rsidRPr="00D52028">
        <w:t>The submission was made under</w:t>
      </w:r>
      <w:r w:rsidR="006D7418" w:rsidRPr="00D52028">
        <w:t xml:space="preserve"> the</w:t>
      </w:r>
      <w:r w:rsidRPr="00D52028">
        <w:t xml:space="preserve"> TGA/PBAC Parallel Process.  At the time of </w:t>
      </w:r>
      <w:r w:rsidR="00BB2A73" w:rsidRPr="00D52028">
        <w:t xml:space="preserve">evaluation for </w:t>
      </w:r>
      <w:r w:rsidRPr="00D52028">
        <w:t>P</w:t>
      </w:r>
      <w:r w:rsidR="001576B1" w:rsidRPr="00D52028">
        <w:t xml:space="preserve">BAC consideration, </w:t>
      </w:r>
      <w:r w:rsidR="00F33B2E" w:rsidRPr="00D52028">
        <w:t xml:space="preserve">the </w:t>
      </w:r>
      <w:r w:rsidR="00841EBD">
        <w:t xml:space="preserve">TGA delegate’s overview </w:t>
      </w:r>
      <w:r w:rsidR="00F33B2E" w:rsidRPr="00D52028">
        <w:t>was available</w:t>
      </w:r>
      <w:r w:rsidR="0077076F" w:rsidRPr="00D52028">
        <w:t xml:space="preserve">. </w:t>
      </w:r>
      <w:r w:rsidR="00311510" w:rsidRPr="00D52028">
        <w:t xml:space="preserve"> The proposed indication for guselkumab</w:t>
      </w:r>
      <w:r w:rsidR="0077076F" w:rsidRPr="00D52028">
        <w:t xml:space="preserve"> </w:t>
      </w:r>
      <w:r w:rsidR="005927C6">
        <w:t>i</w:t>
      </w:r>
      <w:r w:rsidR="0077076F" w:rsidRPr="00D52028">
        <w:t xml:space="preserve">s: “treatment of moderate to severe plaque psoriasis, scalp, nail, and hand and foot psoriasis, and improvement of health-related quality of life in adult patients who are candidates for systemic therapy or phototherapy”.  The TGA </w:t>
      </w:r>
      <w:r w:rsidR="00F33B2E" w:rsidRPr="00D52028">
        <w:t xml:space="preserve">delegate’s </w:t>
      </w:r>
      <w:r w:rsidR="00E70143" w:rsidRPr="00D52028">
        <w:t>request for ACM advice dated</w:t>
      </w:r>
      <w:r w:rsidR="004C20C4" w:rsidRPr="00D52028">
        <w:t xml:space="preserve"> </w:t>
      </w:r>
      <w:r w:rsidR="00F33B2E" w:rsidRPr="00D52028">
        <w:t>2 January 2018</w:t>
      </w:r>
      <w:r w:rsidR="00E70143" w:rsidRPr="00D52028">
        <w:t>, state</w:t>
      </w:r>
      <w:r w:rsidR="005927C6">
        <w:t>d</w:t>
      </w:r>
      <w:r w:rsidR="00E70143" w:rsidRPr="00D52028">
        <w:t xml:space="preserve"> that the pre ACM preliminary assessment conducted by the delegate has identified no reason why guselkumab should be not be approved for registration, subject to negotiation of the PI and other conditions of registration</w:t>
      </w:r>
      <w:r w:rsidRPr="00D52028">
        <w:t>.</w:t>
      </w:r>
      <w:r w:rsidR="00E70143" w:rsidRPr="00D52028">
        <w:t xml:space="preserve"> The ACM discuss</w:t>
      </w:r>
      <w:r w:rsidR="00B30F9D">
        <w:t>ed</w:t>
      </w:r>
      <w:r w:rsidR="00E70143" w:rsidRPr="00D52028">
        <w:t xml:space="preserve"> this request on 2 February 2018.</w:t>
      </w:r>
      <w:r w:rsidR="004D0449">
        <w:t xml:space="preserve"> The </w:t>
      </w:r>
      <w:r w:rsidR="004D0449" w:rsidRPr="00CF6892">
        <w:t xml:space="preserve">ACM outcome was not available at the </w:t>
      </w:r>
      <w:r w:rsidR="005A7F6B">
        <w:t>PBAC</w:t>
      </w:r>
      <w:r w:rsidR="005A7F6B" w:rsidRPr="00CF6892">
        <w:t xml:space="preserve"> </w:t>
      </w:r>
      <w:r w:rsidR="004D0449" w:rsidRPr="00CF6892">
        <w:t>meeting.</w:t>
      </w:r>
    </w:p>
    <w:p w:rsidR="00E55BB5" w:rsidRPr="00823B03" w:rsidRDefault="00823B03" w:rsidP="00823B03">
      <w:pPr>
        <w:pStyle w:val="ListParagraph"/>
        <w:rPr>
          <w:rFonts w:asciiTheme="minorHAnsi" w:hAnsiTheme="minorHAnsi"/>
          <w:i/>
        </w:rPr>
      </w:pPr>
      <w:r w:rsidRPr="00CF6892">
        <w:rPr>
          <w:rFonts w:asciiTheme="minorHAnsi" w:hAnsiTheme="minorHAnsi"/>
          <w:i/>
        </w:rPr>
        <w:t>For more detail on PBAC’s view, see section 7 PBAC outcome.</w:t>
      </w:r>
    </w:p>
    <w:p w:rsidR="00B50DB8" w:rsidRPr="009F3167" w:rsidRDefault="00203181" w:rsidP="00CA4AA0">
      <w:pPr>
        <w:pStyle w:val="Heading1"/>
        <w:spacing w:before="240"/>
      </w:pPr>
      <w:bookmarkStart w:id="3" w:name="_Toc503212782"/>
      <w:r w:rsidRPr="009F3167">
        <w:t xml:space="preserve">Population and </w:t>
      </w:r>
      <w:r w:rsidR="008E0D3C" w:rsidRPr="009F3167">
        <w:t>d</w:t>
      </w:r>
      <w:r w:rsidRPr="009F3167">
        <w:t>isease</w:t>
      </w:r>
      <w:bookmarkEnd w:id="3"/>
    </w:p>
    <w:p w:rsidR="002A0647" w:rsidRPr="009F3167" w:rsidRDefault="002A0647" w:rsidP="002A0647">
      <w:pPr>
        <w:pStyle w:val="ListParagraph"/>
        <w:widowControl/>
        <w:numPr>
          <w:ilvl w:val="1"/>
          <w:numId w:val="3"/>
        </w:numPr>
      </w:pPr>
      <w:r w:rsidRPr="009F3167">
        <w:t>Psoriasis manifests as chronic inflammation of the skin, characterised by disfiguring, scaling and erythematous plaques that may be painful and severely pruritic and may cause significant reduction</w:t>
      </w:r>
      <w:r w:rsidR="004C20C4" w:rsidRPr="009F3167">
        <w:t>s</w:t>
      </w:r>
      <w:r w:rsidRPr="009F3167">
        <w:t xml:space="preserve"> in quality of life (QoL).  The ta</w:t>
      </w:r>
      <w:r w:rsidR="00311510" w:rsidRPr="009F3167">
        <w:t>rget population proposed for guselkumab</w:t>
      </w:r>
      <w:r w:rsidRPr="009F3167">
        <w:t xml:space="preserve"> is the same as that for other biologics on the PBS for severe CPP.  The initial treatment criteria for PBS-subsidised biologic therapy for whole body psoriasis requires patients to have a PASI &gt; 15 and have failed to achieve an adequate response, are intolerant or contraindicated to at least three of the four systemic therapies (methotrexate, </w:t>
      </w:r>
      <w:r w:rsidR="00492B79">
        <w:t xml:space="preserve">cyclosporine, </w:t>
      </w:r>
      <w:r w:rsidRPr="009F3167">
        <w:t xml:space="preserve">acitretin and phototherapy </w:t>
      </w:r>
      <w:r w:rsidR="00492B79">
        <w:t>[</w:t>
      </w:r>
      <w:r w:rsidRPr="009F3167">
        <w:t>either PUVA or UVB</w:t>
      </w:r>
      <w:r w:rsidR="00492B79">
        <w:t>]</w:t>
      </w:r>
      <w:r w:rsidRPr="009F3167">
        <w:t>).</w:t>
      </w:r>
    </w:p>
    <w:p w:rsidR="004C20C4" w:rsidRDefault="00311510" w:rsidP="000A5661">
      <w:pPr>
        <w:pStyle w:val="ListParagraph"/>
        <w:widowControl/>
        <w:numPr>
          <w:ilvl w:val="1"/>
          <w:numId w:val="3"/>
        </w:numPr>
        <w:rPr>
          <w:iCs/>
        </w:rPr>
      </w:pPr>
      <w:r w:rsidRPr="009F3167">
        <w:t>Guselkumab</w:t>
      </w:r>
      <w:r w:rsidR="00C61D53" w:rsidRPr="009F3167">
        <w:t xml:space="preserve"> is proposed as an alternative </w:t>
      </w:r>
      <w:proofErr w:type="spellStart"/>
      <w:r w:rsidR="00C61D53" w:rsidRPr="009F3167">
        <w:t>bDMARD</w:t>
      </w:r>
      <w:proofErr w:type="spellEnd"/>
      <w:r w:rsidR="00C61D53" w:rsidRPr="009F3167">
        <w:t xml:space="preserve"> in the treatment of </w:t>
      </w:r>
      <w:r w:rsidR="003031CB" w:rsidRPr="009F3167">
        <w:t xml:space="preserve">severe </w:t>
      </w:r>
      <w:r w:rsidR="00C61D53" w:rsidRPr="009F3167">
        <w:t>chronic plaque psoriasis.</w:t>
      </w:r>
      <w:r w:rsidR="00067072" w:rsidRPr="009F3167">
        <w:t xml:space="preserve">  </w:t>
      </w:r>
      <w:r w:rsidRPr="009F3167">
        <w:t>If accepted, guselkumab</w:t>
      </w:r>
      <w:r w:rsidR="0077076F" w:rsidRPr="009F3167">
        <w:t xml:space="preserve"> will become one of several bDMARDs listed on PBS for patients with severe CPP who have failed to achieve adequate response to non-biologic therapies.  The addition of </w:t>
      </w:r>
      <w:r w:rsidRPr="009F3167">
        <w:t>guselkumab</w:t>
      </w:r>
      <w:r w:rsidR="006458D2" w:rsidRPr="009F3167">
        <w:t xml:space="preserve"> </w:t>
      </w:r>
      <w:r w:rsidR="0077076F" w:rsidRPr="009F3167">
        <w:t>to the clinical management algorithm will not alter current practice.  T</w:t>
      </w:r>
      <w:r w:rsidRPr="009F3167">
        <w:t>he submission suggested that guselkumab</w:t>
      </w:r>
      <w:r w:rsidR="0077076F" w:rsidRPr="009F3167">
        <w:t xml:space="preserve"> </w:t>
      </w:r>
      <w:r w:rsidR="003B2AC0" w:rsidRPr="009F3167">
        <w:t>would</w:t>
      </w:r>
      <w:r w:rsidR="0077076F" w:rsidRPr="009F3167">
        <w:t xml:space="preserve"> m</w:t>
      </w:r>
      <w:r w:rsidRPr="009F3167">
        <w:t>ostly replace therapy with ustekinumab followed by adalimumab</w:t>
      </w:r>
      <w:r w:rsidR="005E1988" w:rsidRPr="009F3167">
        <w:t xml:space="preserve">.  </w:t>
      </w:r>
      <w:r w:rsidR="005E1988" w:rsidRPr="009F3167">
        <w:rPr>
          <w:iCs/>
        </w:rPr>
        <w:t>However,</w:t>
      </w:r>
      <w:r w:rsidR="0077076F" w:rsidRPr="009F3167">
        <w:rPr>
          <w:iCs/>
        </w:rPr>
        <w:t xml:space="preserve"> given the therapeutic relativities of listed </w:t>
      </w:r>
      <w:r w:rsidR="0077076F" w:rsidRPr="009F3167">
        <w:rPr>
          <w:iCs/>
        </w:rPr>
        <w:lastRenderedPageBreak/>
        <w:t xml:space="preserve">biologics (see </w:t>
      </w:r>
      <w:r w:rsidR="00B621B6">
        <w:rPr>
          <w:iCs/>
        </w:rPr>
        <w:t>Figure 2</w:t>
      </w:r>
      <w:r w:rsidR="00D52028">
        <w:rPr>
          <w:iCs/>
        </w:rPr>
        <w:t xml:space="preserve"> below</w:t>
      </w:r>
      <w:r w:rsidR="0077076F" w:rsidRPr="009F3167">
        <w:rPr>
          <w:iCs/>
        </w:rPr>
        <w:t>) and that clinicians are free to choose among them</w:t>
      </w:r>
      <w:r w:rsidRPr="009F3167">
        <w:rPr>
          <w:iCs/>
        </w:rPr>
        <w:t>, guselkumab</w:t>
      </w:r>
      <w:r w:rsidR="005E1988" w:rsidRPr="009F3167">
        <w:rPr>
          <w:iCs/>
        </w:rPr>
        <w:t xml:space="preserve"> could replace any of the listed bDMARDs.</w:t>
      </w:r>
    </w:p>
    <w:p w:rsidR="002C52E2" w:rsidRDefault="002C52E2" w:rsidP="006D2213">
      <w:pPr>
        <w:rPr>
          <w:rFonts w:ascii="Arial Narrow" w:hAnsi="Arial Narrow"/>
          <w:b/>
          <w:iCs/>
          <w:snapToGrid/>
          <w:sz w:val="20"/>
          <w:szCs w:val="20"/>
          <w:lang w:eastAsia="en-AU"/>
        </w:rPr>
      </w:pPr>
    </w:p>
    <w:p w:rsidR="006D2213" w:rsidRPr="006D2213" w:rsidRDefault="00B621B6" w:rsidP="00C128E5">
      <w:pPr>
        <w:keepNext/>
        <w:rPr>
          <w:rFonts w:ascii="Arial Narrow" w:hAnsi="Arial Narrow"/>
          <w:b/>
          <w:iCs/>
          <w:snapToGrid/>
          <w:sz w:val="20"/>
          <w:szCs w:val="20"/>
          <w:lang w:eastAsia="en-AU"/>
        </w:rPr>
      </w:pPr>
      <w:r>
        <w:rPr>
          <w:rFonts w:ascii="Arial Narrow" w:hAnsi="Arial Narrow"/>
          <w:b/>
          <w:iCs/>
          <w:snapToGrid/>
          <w:sz w:val="20"/>
          <w:szCs w:val="20"/>
          <w:lang w:eastAsia="en-AU"/>
        </w:rPr>
        <w:t>Figure 2</w:t>
      </w:r>
      <w:r w:rsidR="006D2213" w:rsidRPr="006D2213">
        <w:rPr>
          <w:rFonts w:ascii="Arial Narrow" w:hAnsi="Arial Narrow"/>
          <w:b/>
          <w:iCs/>
          <w:snapToGrid/>
          <w:sz w:val="20"/>
          <w:szCs w:val="20"/>
          <w:lang w:eastAsia="en-AU"/>
        </w:rPr>
        <w:t>: Diagrammatic representation of the therapeutic relativities of biological agents listed on PBS for chronic plaque psoriasis (CPP)</w:t>
      </w:r>
    </w:p>
    <w:p w:rsidR="006D2213" w:rsidRPr="006D2213" w:rsidRDefault="006D2213" w:rsidP="00C128E5">
      <w:pPr>
        <w:keepNext/>
        <w:widowControl/>
        <w:rPr>
          <w:iCs/>
        </w:rPr>
      </w:pPr>
      <w:r>
        <w:rPr>
          <w:noProof/>
          <w:snapToGrid/>
          <w:lang w:eastAsia="en-AU"/>
        </w:rPr>
        <w:drawing>
          <wp:inline distT="0" distB="0" distL="0" distR="0" wp14:anchorId="50A41DB8" wp14:editId="78338BAB">
            <wp:extent cx="5728335" cy="3361690"/>
            <wp:effectExtent l="0" t="0" r="5715" b="0"/>
            <wp:docPr id="225" name="Picture 225" title="Figure 2: Diagrammatic representation of the therapeutic relativities of biological agents listed on PBS for chronic plaque psoriasis (C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8335" cy="3361690"/>
                    </a:xfrm>
                    <a:prstGeom prst="rect">
                      <a:avLst/>
                    </a:prstGeom>
                    <a:noFill/>
                    <a:ln>
                      <a:noFill/>
                    </a:ln>
                  </pic:spPr>
                </pic:pic>
              </a:graphicData>
            </a:graphic>
          </wp:inline>
        </w:drawing>
      </w:r>
    </w:p>
    <w:p w:rsidR="006D2213" w:rsidRPr="001758AB" w:rsidRDefault="006D2213" w:rsidP="006D2213">
      <w:pPr>
        <w:widowControl/>
        <w:jc w:val="left"/>
        <w:rPr>
          <w:rFonts w:ascii="Arial Narrow" w:hAnsi="Arial Narrow"/>
          <w:bCs/>
          <w:i/>
          <w:iCs/>
          <w:noProof/>
          <w:snapToGrid/>
          <w:sz w:val="20"/>
          <w:szCs w:val="20"/>
          <w:lang w:eastAsia="zh-CN"/>
        </w:rPr>
      </w:pPr>
      <w:r w:rsidRPr="001758AB">
        <w:rPr>
          <w:rFonts w:ascii="Arial Narrow" w:hAnsi="Arial Narrow"/>
          <w:bCs/>
          <w:i/>
          <w:iCs/>
          <w:noProof/>
          <w:snapToGrid/>
          <w:sz w:val="20"/>
          <w:szCs w:val="20"/>
          <w:lang w:eastAsia="zh-CN"/>
        </w:rPr>
        <w:t>Source: constructed during the evaluation based on PBS public summary documents and therapeutic relativity sheets.</w:t>
      </w:r>
    </w:p>
    <w:p w:rsidR="00823B03" w:rsidRPr="00823B03" w:rsidRDefault="00823B03" w:rsidP="00823B03">
      <w:pPr>
        <w:widowControl/>
        <w:rPr>
          <w:iCs/>
        </w:rPr>
      </w:pPr>
    </w:p>
    <w:p w:rsidR="00823B03" w:rsidRPr="00823B03" w:rsidRDefault="00823B03" w:rsidP="00823B03">
      <w:pPr>
        <w:pStyle w:val="ListParagraph"/>
        <w:rPr>
          <w:rFonts w:asciiTheme="minorHAnsi" w:hAnsiTheme="minorHAnsi"/>
          <w:i/>
        </w:rPr>
      </w:pPr>
      <w:r w:rsidRPr="00CF6892">
        <w:rPr>
          <w:rFonts w:asciiTheme="minorHAnsi" w:hAnsiTheme="minorHAnsi"/>
          <w:i/>
        </w:rPr>
        <w:t>For more detail on PBAC’s view, see section 7 PBAC outcome.</w:t>
      </w:r>
    </w:p>
    <w:p w:rsidR="00B50DB8" w:rsidRPr="009F3167" w:rsidRDefault="00B50DB8" w:rsidP="00CA4AA0">
      <w:pPr>
        <w:pStyle w:val="Heading1"/>
        <w:spacing w:before="240"/>
        <w:rPr>
          <w:bCs/>
          <w:iCs/>
        </w:rPr>
      </w:pPr>
      <w:bookmarkStart w:id="4" w:name="_Toc503212783"/>
      <w:r w:rsidRPr="001E4A50">
        <w:t>Comparator</w:t>
      </w:r>
      <w:bookmarkEnd w:id="4"/>
    </w:p>
    <w:p w:rsidR="005E1988" w:rsidRPr="00C0268D" w:rsidRDefault="00311510" w:rsidP="005E1988">
      <w:pPr>
        <w:pStyle w:val="ListParagraph"/>
        <w:widowControl/>
        <w:numPr>
          <w:ilvl w:val="1"/>
          <w:numId w:val="3"/>
        </w:numPr>
      </w:pPr>
      <w:r w:rsidRPr="00C0268D">
        <w:rPr>
          <w:rFonts w:cs="Calibri"/>
          <w:snapToGrid/>
          <w:szCs w:val="24"/>
          <w:lang w:eastAsia="en-AU"/>
        </w:rPr>
        <w:t>The submission nominated ustekinumab</w:t>
      </w:r>
      <w:r w:rsidR="00227B6F" w:rsidRPr="00C0268D">
        <w:rPr>
          <w:rFonts w:cs="Calibri"/>
          <w:snapToGrid/>
          <w:szCs w:val="24"/>
          <w:lang w:eastAsia="en-AU"/>
        </w:rPr>
        <w:t xml:space="preserve"> as the main comparator</w:t>
      </w:r>
      <w:r w:rsidR="005E1988" w:rsidRPr="00C0268D">
        <w:rPr>
          <w:rFonts w:cs="Calibri"/>
          <w:snapToGrid/>
          <w:szCs w:val="24"/>
          <w:lang w:eastAsia="en-AU"/>
        </w:rPr>
        <w:t xml:space="preserve"> (and </w:t>
      </w:r>
      <w:r w:rsidR="004C20C4" w:rsidRPr="00C0268D">
        <w:rPr>
          <w:rFonts w:cs="Calibri"/>
          <w:snapToGrid/>
          <w:szCs w:val="24"/>
          <w:lang w:eastAsia="en-AU"/>
        </w:rPr>
        <w:t xml:space="preserve">the </w:t>
      </w:r>
      <w:r w:rsidR="005E1988" w:rsidRPr="00C0268D">
        <w:rPr>
          <w:rFonts w:cs="Calibri"/>
          <w:snapToGrid/>
          <w:szCs w:val="24"/>
          <w:lang w:eastAsia="en-AU"/>
        </w:rPr>
        <w:t>only comparator considered in the cost</w:t>
      </w:r>
      <w:r w:rsidR="003031CB" w:rsidRPr="00C0268D">
        <w:rPr>
          <w:rFonts w:cs="Calibri"/>
          <w:snapToGrid/>
          <w:szCs w:val="24"/>
          <w:lang w:eastAsia="en-AU"/>
        </w:rPr>
        <w:t>-</w:t>
      </w:r>
      <w:r w:rsidR="005E1988" w:rsidRPr="00C0268D">
        <w:rPr>
          <w:rFonts w:cs="Calibri"/>
          <w:snapToGrid/>
          <w:szCs w:val="24"/>
          <w:lang w:eastAsia="en-AU"/>
        </w:rPr>
        <w:t>minimisation analysis)</w:t>
      </w:r>
      <w:r w:rsidR="00227B6F" w:rsidRPr="00C0268D">
        <w:rPr>
          <w:rFonts w:cs="Calibri"/>
          <w:snapToGrid/>
          <w:szCs w:val="24"/>
          <w:lang w:eastAsia="en-AU"/>
        </w:rPr>
        <w:t>.  This was based on</w:t>
      </w:r>
      <w:r w:rsidRPr="00C0268D">
        <w:t xml:space="preserve"> ustekinumab</w:t>
      </w:r>
      <w:r w:rsidR="00227B6F" w:rsidRPr="00C0268D">
        <w:t xml:space="preserve"> being the most commonly used PBS-subsidised biologic for severe CP</w:t>
      </w:r>
      <w:r w:rsidRPr="00C0268D">
        <w:t>P (47% market share); and guselkumab</w:t>
      </w:r>
      <w:r w:rsidR="00227B6F" w:rsidRPr="00C0268D">
        <w:t xml:space="preserve"> being an exclusive IL-23 inhibitor, having a si</w:t>
      </w:r>
      <w:r w:rsidRPr="00C0268D">
        <w:t>milar mechanism of action to ustekinumab</w:t>
      </w:r>
      <w:r w:rsidR="00227B6F" w:rsidRPr="00C0268D">
        <w:t xml:space="preserve"> an IL-12/23 inhibitor. The submission nominated adalimumab (ADA) as </w:t>
      </w:r>
      <w:r w:rsidR="004C20C4" w:rsidRPr="00C0268D">
        <w:t>a</w:t>
      </w:r>
      <w:r w:rsidR="00227B6F" w:rsidRPr="00C0268D">
        <w:t xml:space="preserve"> supplementary </w:t>
      </w:r>
      <w:r w:rsidR="005E1988" w:rsidRPr="00C0268D">
        <w:t xml:space="preserve">efficacy </w:t>
      </w:r>
      <w:r w:rsidRPr="00C0268D">
        <w:t>comparator, based on adalimumab</w:t>
      </w:r>
      <w:r w:rsidR="00227B6F" w:rsidRPr="00C0268D">
        <w:t xml:space="preserve"> being the</w:t>
      </w:r>
      <w:r w:rsidR="005E1988" w:rsidRPr="00C0268D">
        <w:t xml:space="preserve"> active</w:t>
      </w:r>
      <w:r w:rsidR="00227B6F" w:rsidRPr="00C0268D">
        <w:t xml:space="preserve"> comparator </w:t>
      </w:r>
      <w:r w:rsidR="005E1988" w:rsidRPr="00C0268D">
        <w:t>(</w:t>
      </w:r>
      <w:r w:rsidR="00227B6F" w:rsidRPr="00C0268D">
        <w:t>up to 48 weeks</w:t>
      </w:r>
      <w:r w:rsidR="005E1988" w:rsidRPr="00C0268D">
        <w:t>)</w:t>
      </w:r>
      <w:r w:rsidR="00227B6F" w:rsidRPr="00C0268D">
        <w:t xml:space="preserve"> in the </w:t>
      </w:r>
      <w:r w:rsidR="005E1988" w:rsidRPr="00C0268D">
        <w:t xml:space="preserve">main trials supporting the submission (the </w:t>
      </w:r>
      <w:r w:rsidR="00227B6F" w:rsidRPr="00C0268D">
        <w:t>VOYAGE-1</w:t>
      </w:r>
      <w:r w:rsidR="005E1988" w:rsidRPr="00C0268D">
        <w:t xml:space="preserve"> and 2</w:t>
      </w:r>
      <w:r w:rsidR="00227B6F" w:rsidRPr="00C0268D">
        <w:t xml:space="preserve"> trial</w:t>
      </w:r>
      <w:r w:rsidR="005E1988" w:rsidRPr="00C0268D">
        <w:t>s</w:t>
      </w:r>
      <w:r w:rsidR="00882D4D">
        <w:t>).</w:t>
      </w:r>
      <w:r w:rsidR="009345A6">
        <w:t xml:space="preserve"> </w:t>
      </w:r>
    </w:p>
    <w:p w:rsidR="004D4CAB" w:rsidRPr="00C0268D" w:rsidRDefault="00227B6F" w:rsidP="004C20C4">
      <w:pPr>
        <w:pStyle w:val="ListParagraph"/>
        <w:widowControl/>
        <w:numPr>
          <w:ilvl w:val="1"/>
          <w:numId w:val="3"/>
        </w:numPr>
      </w:pPr>
      <w:r w:rsidRPr="00C0268D">
        <w:rPr>
          <w:iCs/>
        </w:rPr>
        <w:t xml:space="preserve">The </w:t>
      </w:r>
      <w:r w:rsidR="00B30F9D" w:rsidRPr="00C0268D">
        <w:rPr>
          <w:iCs/>
        </w:rPr>
        <w:t xml:space="preserve">ESC </w:t>
      </w:r>
      <w:r w:rsidR="00EE72CA">
        <w:rPr>
          <w:iCs/>
        </w:rPr>
        <w:t xml:space="preserve">and PBAC </w:t>
      </w:r>
      <w:r w:rsidR="00B30F9D" w:rsidRPr="00C0268D">
        <w:rPr>
          <w:iCs/>
        </w:rPr>
        <w:t xml:space="preserve">considered that any of the </w:t>
      </w:r>
      <w:r w:rsidRPr="00C0268D">
        <w:rPr>
          <w:iCs/>
        </w:rPr>
        <w:t>biologic agents on the PBS for CPP may be replaced</w:t>
      </w:r>
      <w:r w:rsidR="00B30F9D" w:rsidRPr="00C0268D">
        <w:rPr>
          <w:iCs/>
        </w:rPr>
        <w:t xml:space="preserve"> and hence</w:t>
      </w:r>
      <w:r w:rsidR="004D4CAB" w:rsidRPr="00C0268D">
        <w:rPr>
          <w:iCs/>
        </w:rPr>
        <w:t xml:space="preserve"> be</w:t>
      </w:r>
      <w:r w:rsidR="00B30F9D" w:rsidRPr="00C0268D">
        <w:rPr>
          <w:iCs/>
        </w:rPr>
        <w:t xml:space="preserve"> a relevant comparator</w:t>
      </w:r>
      <w:r w:rsidR="005E1988" w:rsidRPr="00C0268D">
        <w:rPr>
          <w:iCs/>
        </w:rPr>
        <w:t xml:space="preserve">.  </w:t>
      </w:r>
      <w:r w:rsidR="00B30F9D" w:rsidRPr="00C0268D">
        <w:rPr>
          <w:iCs/>
        </w:rPr>
        <w:t>The ESC</w:t>
      </w:r>
      <w:r w:rsidR="005E1988" w:rsidRPr="00C0268D">
        <w:rPr>
          <w:iCs/>
        </w:rPr>
        <w:t xml:space="preserve"> noted that </w:t>
      </w:r>
      <w:r w:rsidR="00311510" w:rsidRPr="00C0268D">
        <w:rPr>
          <w:rFonts w:cs="Calibri"/>
          <w:iCs/>
          <w:snapToGrid/>
          <w:szCs w:val="24"/>
          <w:lang w:eastAsia="en-AU"/>
        </w:rPr>
        <w:t>infliximab and etanercept</w:t>
      </w:r>
      <w:r w:rsidR="00B342A0" w:rsidRPr="00C0268D">
        <w:rPr>
          <w:rFonts w:cs="Calibri"/>
          <w:iCs/>
          <w:snapToGrid/>
          <w:szCs w:val="24"/>
          <w:lang w:eastAsia="en-AU"/>
        </w:rPr>
        <w:t xml:space="preserve">, </w:t>
      </w:r>
      <w:r w:rsidR="00B30F9D" w:rsidRPr="00C0268D">
        <w:rPr>
          <w:rFonts w:cs="Calibri"/>
          <w:iCs/>
          <w:snapToGrid/>
          <w:szCs w:val="24"/>
          <w:lang w:eastAsia="en-AU"/>
        </w:rPr>
        <w:t>are</w:t>
      </w:r>
      <w:r w:rsidR="007457E3" w:rsidRPr="00C0268D">
        <w:rPr>
          <w:rFonts w:cs="Calibri"/>
          <w:iCs/>
          <w:snapToGrid/>
          <w:szCs w:val="24"/>
          <w:lang w:eastAsia="en-AU"/>
        </w:rPr>
        <w:t xml:space="preserve"> now</w:t>
      </w:r>
      <w:r w:rsidR="00311510" w:rsidRPr="00C0268D">
        <w:rPr>
          <w:rFonts w:cs="Calibri"/>
          <w:iCs/>
          <w:snapToGrid/>
          <w:szCs w:val="24"/>
          <w:lang w:eastAsia="en-AU"/>
        </w:rPr>
        <w:t xml:space="preserve"> less costly than ustekinumab</w:t>
      </w:r>
      <w:r w:rsidR="007457E3" w:rsidRPr="00C0268D">
        <w:rPr>
          <w:rFonts w:cs="Calibri"/>
          <w:iCs/>
          <w:snapToGrid/>
          <w:szCs w:val="24"/>
          <w:lang w:eastAsia="en-AU"/>
        </w:rPr>
        <w:t>.</w:t>
      </w:r>
      <w:r w:rsidR="00B342A0" w:rsidRPr="00C0268D">
        <w:rPr>
          <w:rFonts w:cs="Calibri"/>
          <w:iCs/>
          <w:snapToGrid/>
          <w:szCs w:val="24"/>
          <w:lang w:eastAsia="en-AU"/>
        </w:rPr>
        <w:t xml:space="preserve"> </w:t>
      </w:r>
      <w:r w:rsidR="00311510" w:rsidRPr="00C0268D">
        <w:rPr>
          <w:rFonts w:cs="Calibri"/>
          <w:iCs/>
          <w:snapToGrid/>
          <w:szCs w:val="24"/>
          <w:lang w:eastAsia="en-AU"/>
        </w:rPr>
        <w:t>If treatment with guselkumab</w:t>
      </w:r>
      <w:r w:rsidR="00B342A0" w:rsidRPr="00C0268D">
        <w:rPr>
          <w:rFonts w:cs="Calibri"/>
          <w:iCs/>
          <w:snapToGrid/>
          <w:szCs w:val="24"/>
          <w:lang w:eastAsia="en-AU"/>
        </w:rPr>
        <w:t xml:space="preserve"> is substantially more costly than these alternative therapies, the PBAC could only recommend</w:t>
      </w:r>
      <w:r w:rsidR="00311510" w:rsidRPr="00C0268D">
        <w:rPr>
          <w:rFonts w:cs="Calibri"/>
          <w:iCs/>
          <w:snapToGrid/>
          <w:szCs w:val="24"/>
          <w:lang w:eastAsia="en-AU"/>
        </w:rPr>
        <w:t xml:space="preserve"> listing of guselkumab if it is satisfied that guselkumab</w:t>
      </w:r>
      <w:r w:rsidR="00B342A0" w:rsidRPr="00C0268D">
        <w:rPr>
          <w:rFonts w:cs="Calibri"/>
          <w:iCs/>
          <w:snapToGrid/>
          <w:szCs w:val="24"/>
          <w:lang w:eastAsia="en-AU"/>
        </w:rPr>
        <w:t xml:space="preserve"> provides, for some patients, a significant improvement in efficacy or reduction of toxicity over the </w:t>
      </w:r>
      <w:r w:rsidR="00084C0B" w:rsidRPr="00C0268D">
        <w:rPr>
          <w:rFonts w:cs="Calibri"/>
          <w:iCs/>
          <w:snapToGrid/>
          <w:szCs w:val="24"/>
          <w:lang w:eastAsia="en-AU"/>
        </w:rPr>
        <w:t xml:space="preserve">alternative </w:t>
      </w:r>
      <w:r w:rsidR="00B342A0" w:rsidRPr="00C0268D">
        <w:rPr>
          <w:rFonts w:cs="Calibri"/>
          <w:iCs/>
          <w:snapToGrid/>
          <w:szCs w:val="24"/>
          <w:lang w:eastAsia="en-AU"/>
        </w:rPr>
        <w:t>therapies (National Health Act 1953, Section 101(3B)).</w:t>
      </w:r>
    </w:p>
    <w:p w:rsidR="004D4CAB" w:rsidRPr="00C0268D" w:rsidRDefault="004D4CAB" w:rsidP="00D655EC">
      <w:pPr>
        <w:pStyle w:val="ListParagraph"/>
        <w:widowControl/>
        <w:numPr>
          <w:ilvl w:val="1"/>
          <w:numId w:val="3"/>
        </w:numPr>
      </w:pPr>
      <w:r w:rsidRPr="00C0268D">
        <w:lastRenderedPageBreak/>
        <w:t xml:space="preserve">The </w:t>
      </w:r>
      <w:r w:rsidR="000A0D77">
        <w:t xml:space="preserve">PBAC and </w:t>
      </w:r>
      <w:r w:rsidRPr="00C0268D">
        <w:t>ESC noted that etanercept, adalimumab, secukinumab and ixekizumab</w:t>
      </w:r>
      <w:r w:rsidRPr="00C0268D">
        <w:rPr>
          <w:rFonts w:cs="Calibri"/>
          <w:iCs/>
          <w:snapToGrid/>
          <w:szCs w:val="24"/>
          <w:lang w:eastAsia="en-AU"/>
        </w:rPr>
        <w:t xml:space="preserve"> have been cost-minimised against each other or against the least expensive biological.</w:t>
      </w:r>
      <w:r w:rsidR="004F09D6" w:rsidRPr="00C0268D">
        <w:rPr>
          <w:rFonts w:cs="Calibri"/>
          <w:iCs/>
          <w:snapToGrid/>
          <w:szCs w:val="24"/>
          <w:lang w:eastAsia="en-AU"/>
        </w:rPr>
        <w:t xml:space="preserve"> The </w:t>
      </w:r>
      <w:r w:rsidR="000A0D77">
        <w:rPr>
          <w:rFonts w:cs="Calibri"/>
          <w:iCs/>
          <w:snapToGrid/>
          <w:szCs w:val="24"/>
          <w:lang w:eastAsia="en-AU"/>
        </w:rPr>
        <w:t xml:space="preserve">PBAC and </w:t>
      </w:r>
      <w:r w:rsidR="004F09D6" w:rsidRPr="00C0268D">
        <w:rPr>
          <w:rFonts w:cs="Calibri"/>
          <w:iCs/>
          <w:snapToGrid/>
          <w:szCs w:val="24"/>
          <w:lang w:eastAsia="en-AU"/>
        </w:rPr>
        <w:t>ESC noted that the submission claimed superiority for guselkumab versus adalimumab, and thus it may be reasonable to claim for some patients there is a</w:t>
      </w:r>
      <w:r w:rsidR="004F09D6">
        <w:rPr>
          <w:rFonts w:cs="Calibri"/>
          <w:i/>
          <w:iCs/>
          <w:snapToGrid/>
          <w:szCs w:val="24"/>
          <w:lang w:eastAsia="en-AU"/>
        </w:rPr>
        <w:t xml:space="preserve"> </w:t>
      </w:r>
      <w:r w:rsidR="004F09D6" w:rsidRPr="00C0268D">
        <w:rPr>
          <w:rFonts w:cs="Calibri"/>
          <w:iCs/>
          <w:snapToGrid/>
          <w:szCs w:val="24"/>
          <w:lang w:eastAsia="en-AU"/>
        </w:rPr>
        <w:t xml:space="preserve">significant improvement in efficacy versus these alternative therapies. However </w:t>
      </w:r>
      <w:r w:rsidR="005C5E0A" w:rsidRPr="00C0268D">
        <w:rPr>
          <w:rFonts w:cs="Calibri"/>
          <w:iCs/>
          <w:snapToGrid/>
          <w:szCs w:val="24"/>
          <w:lang w:eastAsia="en-AU"/>
        </w:rPr>
        <w:t xml:space="preserve">counter to this, the </w:t>
      </w:r>
      <w:r w:rsidR="001E3E53" w:rsidRPr="00C0268D">
        <w:rPr>
          <w:rFonts w:cs="Calibri"/>
          <w:iCs/>
          <w:snapToGrid/>
          <w:szCs w:val="24"/>
          <w:lang w:eastAsia="en-AU"/>
        </w:rPr>
        <w:t>analysis</w:t>
      </w:r>
      <w:r w:rsidR="005C5E0A" w:rsidRPr="00C0268D">
        <w:rPr>
          <w:rFonts w:cs="Calibri"/>
          <w:iCs/>
          <w:snapToGrid/>
          <w:szCs w:val="24"/>
          <w:lang w:eastAsia="en-AU"/>
        </w:rPr>
        <w:t xml:space="preserve"> presented in the Draft report to the PBAC for the </w:t>
      </w:r>
      <w:r w:rsidR="000A0D77">
        <w:rPr>
          <w:rFonts w:cs="Calibri"/>
          <w:iCs/>
          <w:snapToGrid/>
          <w:szCs w:val="24"/>
          <w:lang w:eastAsia="en-AU"/>
        </w:rPr>
        <w:t>p</w:t>
      </w:r>
      <w:r w:rsidR="005C5E0A" w:rsidRPr="00C0268D">
        <w:rPr>
          <w:rFonts w:cs="Calibri"/>
          <w:iCs/>
          <w:snapToGrid/>
          <w:szCs w:val="24"/>
          <w:lang w:eastAsia="en-AU"/>
        </w:rPr>
        <w:t xml:space="preserve">ost-market review </w:t>
      </w:r>
      <w:r w:rsidR="001E3E53" w:rsidRPr="00C0268D">
        <w:rPr>
          <w:rFonts w:cs="Calibri"/>
          <w:iCs/>
          <w:snapToGrid/>
          <w:szCs w:val="24"/>
          <w:lang w:eastAsia="en-AU"/>
        </w:rPr>
        <w:t xml:space="preserve">(PMR) </w:t>
      </w:r>
      <w:r w:rsidR="005C5E0A" w:rsidRPr="00C0268D">
        <w:rPr>
          <w:rFonts w:cs="Calibri"/>
          <w:iCs/>
          <w:snapToGrid/>
          <w:szCs w:val="24"/>
          <w:lang w:eastAsia="en-AU"/>
        </w:rPr>
        <w:t>of the use of biologics in the treatment of severe chronic plaque psoriasis suggests th</w:t>
      </w:r>
      <w:r w:rsidR="00386F16" w:rsidRPr="00C0268D">
        <w:rPr>
          <w:rFonts w:cs="Calibri"/>
          <w:iCs/>
          <w:snapToGrid/>
          <w:szCs w:val="24"/>
          <w:lang w:eastAsia="en-AU"/>
        </w:rPr>
        <w:t xml:space="preserve">at </w:t>
      </w:r>
      <w:r w:rsidR="007F62DC" w:rsidRPr="00C0268D">
        <w:rPr>
          <w:iCs/>
          <w:lang w:eastAsia="en-AU"/>
        </w:rPr>
        <w:t xml:space="preserve">all PBS biologics were effective against placebo with ixekizumab having the highest point estimate and etanercept the lowest. Specifically, given the evidence presented in this submission ESC considered that </w:t>
      </w:r>
      <w:r w:rsidR="00386F16" w:rsidRPr="00C0268D">
        <w:rPr>
          <w:rFonts w:cs="Calibri"/>
          <w:iCs/>
          <w:snapToGrid/>
          <w:szCs w:val="24"/>
          <w:lang w:eastAsia="en-AU"/>
        </w:rPr>
        <w:t>guselkumab may be non-inferior</w:t>
      </w:r>
      <w:r w:rsidR="001E3E53" w:rsidRPr="00C0268D">
        <w:rPr>
          <w:rFonts w:cs="Calibri"/>
          <w:iCs/>
          <w:snapToGrid/>
          <w:szCs w:val="24"/>
          <w:lang w:eastAsia="en-AU"/>
        </w:rPr>
        <w:t>,</w:t>
      </w:r>
      <w:r w:rsidR="00386F16" w:rsidRPr="00C0268D">
        <w:rPr>
          <w:rFonts w:cs="Calibri"/>
          <w:iCs/>
          <w:snapToGrid/>
          <w:szCs w:val="24"/>
          <w:lang w:eastAsia="en-AU"/>
        </w:rPr>
        <w:t xml:space="preserve"> or possibly inferior</w:t>
      </w:r>
      <w:r w:rsidR="001E3E53" w:rsidRPr="00C0268D">
        <w:rPr>
          <w:rFonts w:cs="Calibri"/>
          <w:iCs/>
          <w:snapToGrid/>
          <w:szCs w:val="24"/>
          <w:lang w:eastAsia="en-AU"/>
        </w:rPr>
        <w:t>,</w:t>
      </w:r>
      <w:r w:rsidR="00386F16" w:rsidRPr="00C0268D">
        <w:rPr>
          <w:rFonts w:cs="Calibri"/>
          <w:iCs/>
          <w:snapToGrid/>
          <w:szCs w:val="24"/>
          <w:lang w:eastAsia="en-AU"/>
        </w:rPr>
        <w:t xml:space="preserve"> in terms of efficacy compared with ixekizumab. </w:t>
      </w:r>
    </w:p>
    <w:p w:rsidR="00386F16" w:rsidRPr="00C0268D" w:rsidRDefault="00386F16" w:rsidP="00D655EC">
      <w:pPr>
        <w:pStyle w:val="ListParagraph"/>
        <w:widowControl/>
        <w:numPr>
          <w:ilvl w:val="1"/>
          <w:numId w:val="3"/>
        </w:numPr>
      </w:pPr>
      <w:r w:rsidRPr="00C0268D">
        <w:t xml:space="preserve">The </w:t>
      </w:r>
      <w:r w:rsidR="000A0D77">
        <w:t xml:space="preserve">PBAC and </w:t>
      </w:r>
      <w:r w:rsidRPr="00C0268D">
        <w:t xml:space="preserve">ESC noted that ustekinumab </w:t>
      </w:r>
      <w:r w:rsidR="001E3E53" w:rsidRPr="00C0268D">
        <w:t>was listed on a cost-effective basis versus etanercept, and the submission claim</w:t>
      </w:r>
      <w:r w:rsidR="0049227D" w:rsidRPr="00C0268D">
        <w:t>ed</w:t>
      </w:r>
      <w:r w:rsidR="001E3E53" w:rsidRPr="00C0268D">
        <w:t xml:space="preserve"> non-inferiority </w:t>
      </w:r>
      <w:r w:rsidR="001E3E53" w:rsidRPr="00C0268D">
        <w:rPr>
          <w:rFonts w:cs="Calibri"/>
          <w:iCs/>
          <w:snapToGrid/>
          <w:szCs w:val="24"/>
          <w:lang w:eastAsia="en-AU"/>
        </w:rPr>
        <w:t xml:space="preserve">for guselkumab </w:t>
      </w:r>
      <w:r w:rsidR="001E3E53" w:rsidRPr="00C0268D">
        <w:t>versus ustekinumab.</w:t>
      </w:r>
    </w:p>
    <w:p w:rsidR="00823B03" w:rsidRPr="00CF6892" w:rsidRDefault="001E3E53" w:rsidP="00823B03">
      <w:pPr>
        <w:pStyle w:val="ListParagraph"/>
        <w:widowControl/>
        <w:numPr>
          <w:ilvl w:val="1"/>
          <w:numId w:val="3"/>
        </w:numPr>
      </w:pPr>
      <w:r w:rsidRPr="00C0268D">
        <w:t xml:space="preserve">The ESC noted that infliximab was listed on a cost-effective basis versus etanercept, and that the submission did not include a clinical claim </w:t>
      </w:r>
      <w:r w:rsidRPr="00C0268D">
        <w:rPr>
          <w:rFonts w:cs="Calibri"/>
          <w:iCs/>
          <w:snapToGrid/>
          <w:szCs w:val="24"/>
          <w:lang w:eastAsia="en-AU"/>
        </w:rPr>
        <w:t xml:space="preserve">for guselkumab </w:t>
      </w:r>
      <w:r w:rsidRPr="00C0268D">
        <w:t xml:space="preserve">versus </w:t>
      </w:r>
      <w:r w:rsidRPr="00CF6892">
        <w:t>infliximab.</w:t>
      </w:r>
      <w:r w:rsidR="001B23AB">
        <w:t xml:space="preserve"> </w:t>
      </w:r>
      <w:r w:rsidR="002D5C8E">
        <w:rPr>
          <w:rFonts w:cs="Calibri"/>
          <w:iCs/>
          <w:snapToGrid/>
          <w:szCs w:val="24"/>
          <w:lang w:eastAsia="en-AU"/>
        </w:rPr>
        <w:t xml:space="preserve">The Pre-PBAC response stated that the sponsor would be amenable to </w:t>
      </w:r>
      <w:r w:rsidR="00EE72CA">
        <w:rPr>
          <w:rFonts w:cs="Calibri"/>
          <w:iCs/>
          <w:snapToGrid/>
          <w:szCs w:val="24"/>
          <w:lang w:eastAsia="en-AU"/>
        </w:rPr>
        <w:t xml:space="preserve">listing on a </w:t>
      </w:r>
      <w:r w:rsidR="002D5C8E">
        <w:rPr>
          <w:rFonts w:cs="Calibri"/>
          <w:iCs/>
          <w:snapToGrid/>
          <w:szCs w:val="24"/>
          <w:lang w:eastAsia="en-AU"/>
        </w:rPr>
        <w:t>cost minimis</w:t>
      </w:r>
      <w:r w:rsidR="00EE72CA">
        <w:rPr>
          <w:rFonts w:cs="Calibri"/>
          <w:iCs/>
          <w:snapToGrid/>
          <w:szCs w:val="24"/>
          <w:lang w:eastAsia="en-AU"/>
        </w:rPr>
        <w:t>ation basis</w:t>
      </w:r>
      <w:r w:rsidR="002D5C8E">
        <w:rPr>
          <w:rFonts w:cs="Calibri"/>
          <w:iCs/>
          <w:snapToGrid/>
          <w:szCs w:val="24"/>
          <w:lang w:eastAsia="en-AU"/>
        </w:rPr>
        <w:t xml:space="preserve"> to infliximab. </w:t>
      </w:r>
      <w:r w:rsidR="000A0D77">
        <w:rPr>
          <w:rFonts w:cs="Calibri"/>
          <w:iCs/>
          <w:snapToGrid/>
          <w:szCs w:val="24"/>
          <w:lang w:eastAsia="en-AU"/>
        </w:rPr>
        <w:t>The Pre-PBAC response presented an indirect comparison of the meta-analysed results from the pivotal trials for infliximab (EXPRESS 1 and EXPRESS 2) and guselkumab (VOYAGE 1 and VOYAGE 2).  This analysis has not been evaluated</w:t>
      </w:r>
      <w:r w:rsidR="001B23AB" w:rsidRPr="001B23AB">
        <w:rPr>
          <w:rFonts w:cs="Calibri"/>
          <w:iCs/>
          <w:snapToGrid/>
          <w:szCs w:val="24"/>
          <w:lang w:eastAsia="en-AU"/>
        </w:rPr>
        <w:t xml:space="preserve"> </w:t>
      </w:r>
      <w:r w:rsidR="001B23AB">
        <w:rPr>
          <w:rFonts w:cs="Calibri"/>
          <w:iCs/>
          <w:snapToGrid/>
          <w:szCs w:val="24"/>
          <w:lang w:eastAsia="en-AU"/>
        </w:rPr>
        <w:t>and PBAC noted that not all potentially relevant infliximab trials were included in the analysis</w:t>
      </w:r>
      <w:r w:rsidR="001B23AB" w:rsidRPr="00196C11">
        <w:rPr>
          <w:rFonts w:cs="Calibri"/>
          <w:iCs/>
          <w:snapToGrid/>
          <w:szCs w:val="24"/>
          <w:lang w:eastAsia="en-AU"/>
        </w:rPr>
        <w:t xml:space="preserve">. </w:t>
      </w:r>
    </w:p>
    <w:p w:rsidR="00B60939" w:rsidRPr="00823B03" w:rsidRDefault="00823B03" w:rsidP="00823B03">
      <w:pPr>
        <w:pStyle w:val="ListParagraph"/>
        <w:rPr>
          <w:rFonts w:asciiTheme="minorHAnsi" w:hAnsiTheme="minorHAnsi"/>
          <w:i/>
        </w:rPr>
      </w:pPr>
      <w:r w:rsidRPr="00CF6892">
        <w:rPr>
          <w:rFonts w:asciiTheme="minorHAnsi" w:hAnsiTheme="minorHAnsi"/>
          <w:i/>
        </w:rPr>
        <w:t>For more detail on PBAC’s view, see section 7 PBAC outcome.</w:t>
      </w:r>
    </w:p>
    <w:p w:rsidR="0077452E" w:rsidRDefault="00BD6CF3" w:rsidP="00CA4AA0">
      <w:pPr>
        <w:pStyle w:val="Heading1"/>
        <w:spacing w:before="240"/>
      </w:pPr>
      <w:bookmarkStart w:id="5" w:name="_Toc503212784"/>
      <w:r w:rsidRPr="009F3167">
        <w:t>C</w:t>
      </w:r>
      <w:r w:rsidR="00B50DB8" w:rsidRPr="009F3167">
        <w:t>onsideration of the evidence</w:t>
      </w:r>
      <w:bookmarkEnd w:id="5"/>
    </w:p>
    <w:p w:rsidR="0077452E" w:rsidRPr="002F7D70" w:rsidRDefault="0077452E" w:rsidP="00CA4AA0">
      <w:pPr>
        <w:pStyle w:val="Heading2"/>
        <w:spacing w:after="120"/>
      </w:pPr>
      <w:r w:rsidRPr="002F7D70">
        <w:t>Sponsor hearing</w:t>
      </w:r>
    </w:p>
    <w:p w:rsidR="0077452E" w:rsidRPr="00A74DE1" w:rsidRDefault="0077452E" w:rsidP="00A74DE1">
      <w:pPr>
        <w:numPr>
          <w:ilvl w:val="1"/>
          <w:numId w:val="3"/>
        </w:numPr>
        <w:spacing w:after="120"/>
        <w:rPr>
          <w:rFonts w:asciiTheme="minorHAnsi" w:hAnsiTheme="minorHAnsi"/>
          <w:bCs/>
        </w:rPr>
      </w:pPr>
      <w:r w:rsidRPr="002F7D70">
        <w:rPr>
          <w:rFonts w:asciiTheme="minorHAnsi" w:hAnsiTheme="minorHAnsi"/>
          <w:bCs/>
        </w:rPr>
        <w:t>There was no hearing for this item.</w:t>
      </w:r>
    </w:p>
    <w:p w:rsidR="0077452E" w:rsidRPr="00A73031" w:rsidRDefault="0077452E" w:rsidP="00CA4AA0">
      <w:pPr>
        <w:pStyle w:val="Heading2"/>
        <w:spacing w:after="120"/>
      </w:pPr>
      <w:r w:rsidRPr="00A73031">
        <w:t>Consumer comments</w:t>
      </w:r>
    </w:p>
    <w:p w:rsidR="00B60939" w:rsidRPr="00B621B6" w:rsidRDefault="0077452E" w:rsidP="004B1CB4">
      <w:pPr>
        <w:numPr>
          <w:ilvl w:val="1"/>
          <w:numId w:val="3"/>
        </w:numPr>
        <w:spacing w:after="120"/>
        <w:rPr>
          <w:rFonts w:asciiTheme="minorHAnsi" w:hAnsiTheme="minorHAnsi"/>
          <w:bCs/>
        </w:rPr>
      </w:pPr>
      <w:r w:rsidRPr="00A73031">
        <w:rPr>
          <w:rFonts w:asciiTheme="minorHAnsi" w:hAnsiTheme="minorHAnsi"/>
          <w:bCs/>
        </w:rPr>
        <w:t>The PBAC noted and welcomed the input from individuals (</w:t>
      </w:r>
      <w:r w:rsidR="00A73031">
        <w:rPr>
          <w:rFonts w:asciiTheme="minorHAnsi" w:hAnsiTheme="minorHAnsi"/>
          <w:bCs/>
        </w:rPr>
        <w:t>5</w:t>
      </w:r>
      <w:r w:rsidRPr="00A73031">
        <w:rPr>
          <w:rFonts w:asciiTheme="minorHAnsi" w:hAnsiTheme="minorHAnsi"/>
          <w:bCs/>
        </w:rPr>
        <w:t>)</w:t>
      </w:r>
      <w:r w:rsidR="00A73031">
        <w:rPr>
          <w:rFonts w:asciiTheme="minorHAnsi" w:hAnsiTheme="minorHAnsi"/>
          <w:bCs/>
        </w:rPr>
        <w:t xml:space="preserve"> and</w:t>
      </w:r>
      <w:r w:rsidRPr="00A73031">
        <w:rPr>
          <w:rFonts w:asciiTheme="minorHAnsi" w:hAnsiTheme="minorHAnsi"/>
          <w:bCs/>
        </w:rPr>
        <w:t xml:space="preserve"> health care professionals (</w:t>
      </w:r>
      <w:r w:rsidR="00A73031">
        <w:rPr>
          <w:rFonts w:asciiTheme="minorHAnsi" w:hAnsiTheme="minorHAnsi"/>
          <w:bCs/>
        </w:rPr>
        <w:t>9</w:t>
      </w:r>
      <w:r w:rsidRPr="00A73031">
        <w:rPr>
          <w:rFonts w:asciiTheme="minorHAnsi" w:hAnsiTheme="minorHAnsi"/>
          <w:bCs/>
        </w:rPr>
        <w:t xml:space="preserve">) via the Consumer Comments facility on the PBS website.  The comments described a range of benefits of treatment with </w:t>
      </w:r>
      <w:r w:rsidR="00A73031">
        <w:rPr>
          <w:rFonts w:asciiTheme="minorHAnsi" w:hAnsiTheme="minorHAnsi"/>
          <w:bCs/>
        </w:rPr>
        <w:t xml:space="preserve">guselkumab </w:t>
      </w:r>
      <w:r w:rsidRPr="00A73031">
        <w:rPr>
          <w:rFonts w:asciiTheme="minorHAnsi" w:hAnsiTheme="minorHAnsi"/>
          <w:bCs/>
        </w:rPr>
        <w:t xml:space="preserve">including </w:t>
      </w:r>
      <w:r w:rsidR="00A73031">
        <w:rPr>
          <w:rFonts w:asciiTheme="minorHAnsi" w:hAnsiTheme="minorHAnsi"/>
          <w:bCs/>
        </w:rPr>
        <w:t xml:space="preserve">improved compliance, </w:t>
      </w:r>
      <w:r w:rsidR="002D5C8E">
        <w:rPr>
          <w:rFonts w:asciiTheme="minorHAnsi" w:hAnsiTheme="minorHAnsi"/>
          <w:bCs/>
        </w:rPr>
        <w:t xml:space="preserve">the </w:t>
      </w:r>
      <w:r w:rsidR="00A73031">
        <w:rPr>
          <w:rFonts w:asciiTheme="minorHAnsi" w:hAnsiTheme="minorHAnsi"/>
          <w:bCs/>
        </w:rPr>
        <w:t xml:space="preserve">ability to use alternative therapy when existing therapy </w:t>
      </w:r>
      <w:r w:rsidR="002D5C8E">
        <w:rPr>
          <w:rFonts w:asciiTheme="minorHAnsi" w:hAnsiTheme="minorHAnsi"/>
          <w:bCs/>
        </w:rPr>
        <w:t xml:space="preserve">has </w:t>
      </w:r>
      <w:r w:rsidR="00A73031">
        <w:rPr>
          <w:rFonts w:asciiTheme="minorHAnsi" w:hAnsiTheme="minorHAnsi"/>
          <w:bCs/>
        </w:rPr>
        <w:t>failed and</w:t>
      </w:r>
      <w:r w:rsidR="00A44A1A">
        <w:rPr>
          <w:rFonts w:asciiTheme="minorHAnsi" w:hAnsiTheme="minorHAnsi"/>
          <w:bCs/>
        </w:rPr>
        <w:t xml:space="preserve"> being</w:t>
      </w:r>
      <w:r w:rsidR="00A73031">
        <w:rPr>
          <w:rFonts w:asciiTheme="minorHAnsi" w:hAnsiTheme="minorHAnsi"/>
          <w:bCs/>
        </w:rPr>
        <w:t xml:space="preserve"> </w:t>
      </w:r>
      <w:r w:rsidR="008D1EC0">
        <w:rPr>
          <w:rFonts w:asciiTheme="minorHAnsi" w:hAnsiTheme="minorHAnsi"/>
          <w:bCs/>
        </w:rPr>
        <w:t xml:space="preserve">a </w:t>
      </w:r>
      <w:r w:rsidR="00A73031">
        <w:rPr>
          <w:rFonts w:asciiTheme="minorHAnsi" w:hAnsiTheme="minorHAnsi"/>
          <w:bCs/>
        </w:rPr>
        <w:t xml:space="preserve">more effective treatment.  </w:t>
      </w:r>
    </w:p>
    <w:p w:rsidR="00B60939" w:rsidRPr="00B621B6" w:rsidRDefault="00B60939" w:rsidP="00CA4AA0">
      <w:pPr>
        <w:pStyle w:val="Heading2"/>
        <w:spacing w:after="120"/>
      </w:pPr>
      <w:bookmarkStart w:id="6" w:name="_Toc503212785"/>
      <w:r w:rsidRPr="00B621B6">
        <w:t>Clinical trials</w:t>
      </w:r>
      <w:bookmarkEnd w:id="6"/>
    </w:p>
    <w:p w:rsidR="00A55BBA" w:rsidRPr="009F3167" w:rsidRDefault="00A55BBA" w:rsidP="00B4528F">
      <w:pPr>
        <w:pStyle w:val="ListParagraph"/>
        <w:widowControl/>
        <w:numPr>
          <w:ilvl w:val="1"/>
          <w:numId w:val="3"/>
        </w:numPr>
      </w:pPr>
      <w:r w:rsidRPr="009F3167">
        <w:rPr>
          <w:rFonts w:cs="Calibri"/>
          <w:snapToGrid/>
          <w:szCs w:val="24"/>
          <w:lang w:eastAsia="en-AU"/>
        </w:rPr>
        <w:t>The submission was based on an indirect comparison of two placebo-</w:t>
      </w:r>
      <w:r w:rsidR="004C20C4" w:rsidRPr="009F3167">
        <w:rPr>
          <w:rFonts w:cs="Calibri"/>
          <w:snapToGrid/>
          <w:szCs w:val="24"/>
          <w:lang w:eastAsia="en-AU"/>
        </w:rPr>
        <w:t xml:space="preserve">and active </w:t>
      </w:r>
      <w:r w:rsidR="00A2250E" w:rsidRPr="009F3167">
        <w:rPr>
          <w:rFonts w:cs="Calibri"/>
          <w:snapToGrid/>
          <w:szCs w:val="24"/>
          <w:lang w:eastAsia="en-AU"/>
        </w:rPr>
        <w:t>controlled trials of guselkumab</w:t>
      </w:r>
      <w:r w:rsidR="004C20C4" w:rsidRPr="009F3167">
        <w:rPr>
          <w:rFonts w:cs="Calibri"/>
          <w:snapToGrid/>
          <w:szCs w:val="24"/>
          <w:lang w:eastAsia="en-AU"/>
        </w:rPr>
        <w:t xml:space="preserve"> (</w:t>
      </w:r>
      <w:r w:rsidRPr="009F3167">
        <w:rPr>
          <w:rFonts w:cs="Calibri"/>
          <w:snapToGrid/>
          <w:szCs w:val="24"/>
          <w:lang w:eastAsia="en-AU"/>
        </w:rPr>
        <w:t xml:space="preserve">VOYAGE-1 and -2) and two placebo-controlled trials of </w:t>
      </w:r>
      <w:r w:rsidR="009E4DD8" w:rsidRPr="00C0268D">
        <w:t xml:space="preserve">ustekinumab </w:t>
      </w:r>
      <w:r w:rsidRPr="009F3167">
        <w:rPr>
          <w:rFonts w:cs="Calibri"/>
          <w:snapToGrid/>
          <w:szCs w:val="24"/>
          <w:lang w:eastAsia="en-AU"/>
        </w:rPr>
        <w:t xml:space="preserve">(PHOENIX-1 and -2). </w:t>
      </w:r>
      <w:r w:rsidR="005E1988" w:rsidRPr="009F3167">
        <w:rPr>
          <w:rFonts w:cs="Calibri"/>
          <w:snapToGrid/>
          <w:szCs w:val="24"/>
          <w:lang w:eastAsia="en-AU"/>
        </w:rPr>
        <w:t xml:space="preserve"> </w:t>
      </w:r>
      <w:r w:rsidRPr="009F3167">
        <w:rPr>
          <w:iCs/>
        </w:rPr>
        <w:t xml:space="preserve">During the course of the evaluation, data were </w:t>
      </w:r>
      <w:r w:rsidR="004C20C4" w:rsidRPr="009F3167">
        <w:rPr>
          <w:iCs/>
        </w:rPr>
        <w:t xml:space="preserve">extracted </w:t>
      </w:r>
      <w:r w:rsidRPr="009F3167">
        <w:rPr>
          <w:iCs/>
        </w:rPr>
        <w:t xml:space="preserve">from five </w:t>
      </w:r>
      <w:r w:rsidR="004C20C4" w:rsidRPr="009F3167">
        <w:rPr>
          <w:iCs/>
        </w:rPr>
        <w:t xml:space="preserve">additional </w:t>
      </w:r>
      <w:r w:rsidRPr="009F3167">
        <w:rPr>
          <w:iCs/>
        </w:rPr>
        <w:t xml:space="preserve">placebo-controlled trials of </w:t>
      </w:r>
      <w:r w:rsidR="006668F9" w:rsidRPr="009F3167">
        <w:rPr>
          <w:iCs/>
        </w:rPr>
        <w:t xml:space="preserve">ustekinumab </w:t>
      </w:r>
      <w:r w:rsidRPr="009F3167">
        <w:rPr>
          <w:iCs/>
        </w:rPr>
        <w:t>(</w:t>
      </w:r>
      <w:r w:rsidRPr="009F3167">
        <w:rPr>
          <w:rFonts w:asciiTheme="minorHAnsi" w:hAnsiTheme="minorHAnsi" w:cstheme="minorHAnsi"/>
          <w:szCs w:val="24"/>
        </w:rPr>
        <w:t>Igarashi 2012, LOTUS and PEARL, AMAGINE-2 and AMAGINE-3</w:t>
      </w:r>
      <w:r w:rsidRPr="009F3167">
        <w:rPr>
          <w:iCs/>
        </w:rPr>
        <w:t>)</w:t>
      </w:r>
      <w:r w:rsidR="00B4528F" w:rsidRPr="009F3167">
        <w:rPr>
          <w:iCs/>
        </w:rPr>
        <w:t xml:space="preserve"> and meta-analysed with </w:t>
      </w:r>
      <w:r w:rsidR="00B4528F" w:rsidRPr="009F3167">
        <w:rPr>
          <w:iCs/>
        </w:rPr>
        <w:lastRenderedPageBreak/>
        <w:t>included trials</w:t>
      </w:r>
      <w:r w:rsidRPr="009F3167">
        <w:rPr>
          <w:iCs/>
        </w:rPr>
        <w:t>.</w:t>
      </w:r>
      <w:r w:rsidRPr="009F3167">
        <w:t xml:space="preserve"> </w:t>
      </w:r>
      <w:r w:rsidR="00B4528F" w:rsidRPr="009F3167">
        <w:t xml:space="preserve"> These trials were inappropriately excluded by the submission and </w:t>
      </w:r>
      <w:r w:rsidR="00B4528F" w:rsidRPr="009F3167">
        <w:rPr>
          <w:rFonts w:cs="Calibri"/>
          <w:snapToGrid/>
          <w:szCs w:val="24"/>
          <w:lang w:eastAsia="en-AU"/>
        </w:rPr>
        <w:t xml:space="preserve">had previously been considered by the PBAC in other listing decisions for CPP (see </w:t>
      </w:r>
      <w:r w:rsidR="00B4528F" w:rsidRPr="009F3167">
        <w:rPr>
          <w:rFonts w:asciiTheme="minorHAnsi" w:hAnsiTheme="minorHAnsi" w:cstheme="minorHAnsi"/>
          <w:szCs w:val="24"/>
        </w:rPr>
        <w:t xml:space="preserve">ixekizumab July 2016 PSD). </w:t>
      </w:r>
      <w:r w:rsidR="00B4528F" w:rsidRPr="009F3167">
        <w:rPr>
          <w:rFonts w:cs="Calibri"/>
          <w:snapToGrid/>
          <w:szCs w:val="24"/>
          <w:lang w:eastAsia="en-AU"/>
        </w:rPr>
        <w:t xml:space="preserve"> </w:t>
      </w:r>
    </w:p>
    <w:p w:rsidR="00A55BBA" w:rsidRPr="009F3167" w:rsidRDefault="00A55BBA" w:rsidP="00B4528F">
      <w:pPr>
        <w:pStyle w:val="ListParagraph"/>
        <w:widowControl/>
        <w:numPr>
          <w:ilvl w:val="1"/>
          <w:numId w:val="3"/>
        </w:numPr>
      </w:pPr>
      <w:r w:rsidRPr="009F3167">
        <w:rPr>
          <w:iCs/>
        </w:rPr>
        <w:t>One identified head-to-head randomise</w:t>
      </w:r>
      <w:r w:rsidR="0062708E" w:rsidRPr="009F3167">
        <w:rPr>
          <w:iCs/>
        </w:rPr>
        <w:t>d trial (NAVIGATE) comparing guselkumab and ustekinumab</w:t>
      </w:r>
      <w:r w:rsidRPr="009F3167">
        <w:rPr>
          <w:iCs/>
        </w:rPr>
        <w:t xml:space="preserve"> in CPP was </w:t>
      </w:r>
      <w:r w:rsidR="00B4528F" w:rsidRPr="009F3167">
        <w:rPr>
          <w:iCs/>
        </w:rPr>
        <w:t xml:space="preserve">also </w:t>
      </w:r>
      <w:r w:rsidRPr="009F3167">
        <w:rPr>
          <w:iCs/>
        </w:rPr>
        <w:t>excluded by the submission</w:t>
      </w:r>
      <w:r w:rsidR="00B4528F" w:rsidRPr="009F3167">
        <w:rPr>
          <w:iCs/>
        </w:rPr>
        <w:t>, but included during the evaluation</w:t>
      </w:r>
      <w:r w:rsidRPr="009F3167">
        <w:rPr>
          <w:iCs/>
        </w:rPr>
        <w:t xml:space="preserve">.  </w:t>
      </w:r>
      <w:r w:rsidRPr="009F3167">
        <w:t>The submission considered the trial not applicable to the PBS set</w:t>
      </w:r>
      <w:r w:rsidR="0062708E" w:rsidRPr="009F3167">
        <w:t>ting, as patients who failed ustekinumab</w:t>
      </w:r>
      <w:r w:rsidRPr="009F3167">
        <w:t xml:space="preserve"> were either re-</w:t>
      </w:r>
      <w:r w:rsidR="0062708E" w:rsidRPr="009F3167">
        <w:t>randomised to treatment with guselkumab, or re-treatment with ustekinumab</w:t>
      </w:r>
      <w:r w:rsidR="00B4528F" w:rsidRPr="009F3167">
        <w:t xml:space="preserve">, the latter </w:t>
      </w:r>
      <w:r w:rsidRPr="009F3167">
        <w:t xml:space="preserve">is not permitted within a PBS biological treatment cycle (whereby patients can only fail treatment with the same biologic once).  Although this exclusion was not entirely unreasonable, some patients in NAVIGATE may </w:t>
      </w:r>
      <w:r w:rsidRPr="009F3167">
        <w:rPr>
          <w:iCs/>
        </w:rPr>
        <w:t>still be representative of the proposed PBS population</w:t>
      </w:r>
      <w:r w:rsidR="005E1988" w:rsidRPr="009F3167">
        <w:rPr>
          <w:iCs/>
        </w:rPr>
        <w:t>, partic</w:t>
      </w:r>
      <w:r w:rsidR="0062708E" w:rsidRPr="009F3167">
        <w:rPr>
          <w:iCs/>
        </w:rPr>
        <w:t>ularly since patients in the guselkumab</w:t>
      </w:r>
      <w:r w:rsidR="005E1988" w:rsidRPr="009F3167">
        <w:rPr>
          <w:iCs/>
        </w:rPr>
        <w:t xml:space="preserve"> arm of the trial would be representative of those mo</w:t>
      </w:r>
      <w:r w:rsidR="0062708E" w:rsidRPr="009F3167">
        <w:rPr>
          <w:iCs/>
        </w:rPr>
        <w:t>st likely to take up guselkumab</w:t>
      </w:r>
      <w:r w:rsidR="005E1988" w:rsidRPr="009F3167">
        <w:rPr>
          <w:iCs/>
        </w:rPr>
        <w:t xml:space="preserve"> on PBS</w:t>
      </w:r>
      <w:r w:rsidRPr="009F3167">
        <w:rPr>
          <w:iCs/>
        </w:rPr>
        <w:t>.  The NAVIGATE trial was included as supportive evidence during the evaluation, however given the trial</w:t>
      </w:r>
      <w:r w:rsidR="00B4528F" w:rsidRPr="009F3167">
        <w:rPr>
          <w:iCs/>
        </w:rPr>
        <w:t xml:space="preserve"> design</w:t>
      </w:r>
      <w:r w:rsidRPr="009F3167">
        <w:rPr>
          <w:iCs/>
        </w:rPr>
        <w:t xml:space="preserve"> the </w:t>
      </w:r>
      <w:r w:rsidR="0062708E" w:rsidRPr="009F3167">
        <w:rPr>
          <w:iCs/>
        </w:rPr>
        <w:t>results are likely to favour guselkumab</w:t>
      </w:r>
      <w:r w:rsidR="00204585" w:rsidRPr="009F3167">
        <w:rPr>
          <w:iCs/>
        </w:rPr>
        <w:t xml:space="preserve"> and</w:t>
      </w:r>
      <w:r w:rsidR="00B4528F" w:rsidRPr="009F3167">
        <w:rPr>
          <w:iCs/>
        </w:rPr>
        <w:t xml:space="preserve"> </w:t>
      </w:r>
      <w:r w:rsidR="005E1988" w:rsidRPr="009F3167">
        <w:rPr>
          <w:iCs/>
        </w:rPr>
        <w:t xml:space="preserve">were </w:t>
      </w:r>
      <w:r w:rsidR="0062708E" w:rsidRPr="009F3167">
        <w:rPr>
          <w:iCs/>
        </w:rPr>
        <w:t xml:space="preserve">not meta-analysed with </w:t>
      </w:r>
      <w:r w:rsidR="00204585" w:rsidRPr="009F3167">
        <w:rPr>
          <w:iCs/>
        </w:rPr>
        <w:t xml:space="preserve">the </w:t>
      </w:r>
      <w:r w:rsidR="0062708E" w:rsidRPr="009F3167">
        <w:rPr>
          <w:iCs/>
        </w:rPr>
        <w:t>other guselkumab</w:t>
      </w:r>
      <w:r w:rsidR="005E1988" w:rsidRPr="009F3167">
        <w:rPr>
          <w:iCs/>
        </w:rPr>
        <w:t xml:space="preserve"> trials.</w:t>
      </w:r>
    </w:p>
    <w:p w:rsidR="00B4528F" w:rsidRPr="009F3167" w:rsidRDefault="00B4528F" w:rsidP="00B4528F">
      <w:pPr>
        <w:pStyle w:val="ListParagraph"/>
        <w:widowControl/>
        <w:numPr>
          <w:ilvl w:val="1"/>
          <w:numId w:val="3"/>
        </w:numPr>
        <w:rPr>
          <w:iCs/>
        </w:rPr>
      </w:pPr>
      <w:r w:rsidRPr="009F3167">
        <w:rPr>
          <w:rFonts w:cs="Calibri"/>
          <w:iCs/>
          <w:snapToGrid/>
          <w:szCs w:val="24"/>
          <w:lang w:eastAsia="en-AU"/>
        </w:rPr>
        <w:t xml:space="preserve">Details of the trials presented in the submission and those additionally evaluated during the evaluation are provided in Table 2.  </w:t>
      </w:r>
    </w:p>
    <w:p w:rsidR="00234F12" w:rsidRPr="009F3167" w:rsidRDefault="00234F12" w:rsidP="00B523DB">
      <w:pPr>
        <w:pStyle w:val="PBACHeading1"/>
        <w:keepNext/>
        <w:keepLines/>
        <w:rPr>
          <w:rStyle w:val="CommentReference"/>
          <w:b/>
          <w:bCs/>
        </w:rPr>
      </w:pPr>
      <w:bookmarkStart w:id="7" w:name="_Toc503212786"/>
      <w:r w:rsidRPr="009F3167">
        <w:rPr>
          <w:rStyle w:val="CommentReference"/>
          <w:b/>
          <w:bCs/>
        </w:rPr>
        <w:lastRenderedPageBreak/>
        <w:t>Table 2:  Trials and associated reports presented in the submission</w:t>
      </w:r>
      <w:bookmarkEnd w:id="7"/>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4"/>
        <w:gridCol w:w="5263"/>
        <w:gridCol w:w="2549"/>
      </w:tblGrid>
      <w:tr w:rsidR="00234F12" w:rsidRPr="00C725E4" w:rsidTr="005E1988">
        <w:trPr>
          <w:tblHeader/>
        </w:trPr>
        <w:tc>
          <w:tcPr>
            <w:tcW w:w="780" w:type="pct"/>
            <w:vAlign w:val="center"/>
          </w:tcPr>
          <w:p w:rsidR="00234F12" w:rsidRPr="00C725E4" w:rsidRDefault="00234F12" w:rsidP="005E1988">
            <w:pPr>
              <w:pStyle w:val="Tabletext"/>
              <w:keepNext/>
              <w:keepLines/>
              <w:rPr>
                <w:b/>
              </w:rPr>
            </w:pPr>
            <w:r w:rsidRPr="00C725E4">
              <w:rPr>
                <w:b/>
              </w:rPr>
              <w:t>Trial ID</w:t>
            </w:r>
          </w:p>
        </w:tc>
        <w:tc>
          <w:tcPr>
            <w:tcW w:w="2843" w:type="pct"/>
            <w:vAlign w:val="center"/>
          </w:tcPr>
          <w:p w:rsidR="00234F12" w:rsidRPr="00C725E4" w:rsidRDefault="00234F12" w:rsidP="005E1988">
            <w:pPr>
              <w:pStyle w:val="Tabletext"/>
              <w:keepNext/>
              <w:keepLines/>
              <w:jc w:val="center"/>
              <w:rPr>
                <w:b/>
              </w:rPr>
            </w:pPr>
            <w:r w:rsidRPr="00C725E4">
              <w:rPr>
                <w:b/>
              </w:rPr>
              <w:t>Protocol title/ Publication title</w:t>
            </w:r>
          </w:p>
        </w:tc>
        <w:tc>
          <w:tcPr>
            <w:tcW w:w="1376" w:type="pct"/>
            <w:vAlign w:val="center"/>
          </w:tcPr>
          <w:p w:rsidR="00234F12" w:rsidRPr="00C725E4" w:rsidRDefault="00234F12" w:rsidP="005E1988">
            <w:pPr>
              <w:pStyle w:val="Tabletext"/>
              <w:keepNext/>
              <w:keepLines/>
              <w:jc w:val="center"/>
              <w:rPr>
                <w:b/>
              </w:rPr>
            </w:pPr>
            <w:r w:rsidRPr="00C725E4">
              <w:rPr>
                <w:b/>
              </w:rPr>
              <w:t>Publication citation</w:t>
            </w:r>
          </w:p>
        </w:tc>
      </w:tr>
      <w:tr w:rsidR="00234F12" w:rsidRPr="00C725E4" w:rsidTr="005E1988">
        <w:tc>
          <w:tcPr>
            <w:tcW w:w="5000" w:type="pct"/>
            <w:gridSpan w:val="3"/>
            <w:tcBorders>
              <w:bottom w:val="nil"/>
            </w:tcBorders>
            <w:vAlign w:val="center"/>
          </w:tcPr>
          <w:p w:rsidR="00234F12" w:rsidRPr="00C725E4" w:rsidRDefault="00234F12" w:rsidP="005E1988">
            <w:pPr>
              <w:pStyle w:val="Tabletext"/>
              <w:keepNext/>
              <w:keepLines/>
              <w:rPr>
                <w:b/>
                <w:bCs/>
              </w:rPr>
            </w:pPr>
            <w:r w:rsidRPr="00C725E4">
              <w:rPr>
                <w:b/>
                <w:bCs/>
              </w:rPr>
              <w:t>GUS vs PBO and ADA</w:t>
            </w:r>
          </w:p>
        </w:tc>
      </w:tr>
      <w:tr w:rsidR="001A6891" w:rsidRPr="00C725E4" w:rsidTr="005E1988">
        <w:tc>
          <w:tcPr>
            <w:tcW w:w="780" w:type="pct"/>
            <w:vMerge w:val="restart"/>
            <w:vAlign w:val="center"/>
          </w:tcPr>
          <w:p w:rsidR="001A6891" w:rsidRPr="00C725E4" w:rsidRDefault="001A6891" w:rsidP="005E1988">
            <w:pPr>
              <w:pStyle w:val="Tabletext"/>
              <w:keepNext/>
              <w:keepLines/>
            </w:pPr>
            <w:r w:rsidRPr="00C725E4">
              <w:t>VOYAGE-1</w:t>
            </w:r>
          </w:p>
          <w:p w:rsidR="001A6891" w:rsidRPr="00C725E4" w:rsidRDefault="001A6891" w:rsidP="005E1988">
            <w:pPr>
              <w:pStyle w:val="Tabletext"/>
              <w:keepNext/>
              <w:keepLines/>
              <w:rPr>
                <w:rFonts w:ascii="Times" w:hAnsi="Times"/>
              </w:rPr>
            </w:pPr>
            <w:r w:rsidRPr="00C725E4">
              <w:t>(GUS</w:t>
            </w:r>
            <w:r w:rsidRPr="00C725E4">
              <w:rPr>
                <w:vertAlign w:val="subscript"/>
              </w:rPr>
              <w:t>1</w:t>
            </w:r>
            <w:r w:rsidRPr="00C725E4">
              <w:t>)</w:t>
            </w:r>
          </w:p>
        </w:tc>
        <w:tc>
          <w:tcPr>
            <w:tcW w:w="2843" w:type="pct"/>
            <w:tcBorders>
              <w:bottom w:val="nil"/>
            </w:tcBorders>
          </w:tcPr>
          <w:p w:rsidR="001A6891" w:rsidRPr="00C725E4" w:rsidRDefault="001A6891" w:rsidP="005E1988">
            <w:pPr>
              <w:pStyle w:val="Tabletext"/>
              <w:keepNext/>
              <w:keepLines/>
              <w:rPr>
                <w:szCs w:val="18"/>
              </w:rPr>
            </w:pPr>
            <w:r w:rsidRPr="00C725E4">
              <w:rPr>
                <w:szCs w:val="18"/>
              </w:rPr>
              <w:t>A Phase 3, Multicentre, Randomized, Double-blind, Placebo and Active Comparator-controlled Study Evaluating the Efficacy and Safety of Guselkumab for the Treatment of Subjects with Moderate to Severe Plaque-type Psoriasis.</w:t>
            </w:r>
          </w:p>
          <w:p w:rsidR="001A6891" w:rsidRPr="00C725E4" w:rsidRDefault="001A6891" w:rsidP="005E1988">
            <w:pPr>
              <w:pStyle w:val="Tabletext"/>
              <w:keepNext/>
              <w:keepLines/>
              <w:rPr>
                <w:szCs w:val="18"/>
              </w:rPr>
            </w:pPr>
          </w:p>
        </w:tc>
        <w:tc>
          <w:tcPr>
            <w:tcW w:w="1376" w:type="pct"/>
            <w:tcBorders>
              <w:bottom w:val="nil"/>
            </w:tcBorders>
          </w:tcPr>
          <w:p w:rsidR="001A6891" w:rsidRPr="00C725E4" w:rsidRDefault="001A6891" w:rsidP="005E1988">
            <w:pPr>
              <w:pStyle w:val="Tabletext"/>
              <w:keepNext/>
              <w:keepLines/>
              <w:rPr>
                <w:rFonts w:ascii="Times" w:hAnsi="Times"/>
              </w:rPr>
            </w:pPr>
            <w:r w:rsidRPr="00C725E4">
              <w:t>October 2016</w:t>
            </w:r>
          </w:p>
        </w:tc>
      </w:tr>
      <w:tr w:rsidR="001A6891" w:rsidRPr="00C725E4" w:rsidTr="005E1988">
        <w:tc>
          <w:tcPr>
            <w:tcW w:w="780" w:type="pct"/>
            <w:vMerge/>
            <w:tcBorders>
              <w:bottom w:val="nil"/>
            </w:tcBorders>
          </w:tcPr>
          <w:p w:rsidR="001A6891" w:rsidRPr="00C725E4" w:rsidRDefault="001A6891" w:rsidP="005E1988">
            <w:pPr>
              <w:pStyle w:val="Tabletext"/>
              <w:keepNext/>
              <w:keepLines/>
            </w:pPr>
          </w:p>
        </w:tc>
        <w:tc>
          <w:tcPr>
            <w:tcW w:w="2843" w:type="pct"/>
            <w:tcBorders>
              <w:top w:val="nil"/>
              <w:bottom w:val="nil"/>
            </w:tcBorders>
          </w:tcPr>
          <w:p w:rsidR="001A6891" w:rsidRPr="00C725E4" w:rsidRDefault="001A6891" w:rsidP="005E1988">
            <w:pPr>
              <w:pStyle w:val="Tabletext"/>
              <w:keepNext/>
              <w:keepLines/>
              <w:rPr>
                <w:szCs w:val="18"/>
                <w:lang w:eastAsia="en-AU"/>
              </w:rPr>
            </w:pPr>
            <w:proofErr w:type="spellStart"/>
            <w:r w:rsidRPr="00FF2C1E">
              <w:rPr>
                <w:szCs w:val="18"/>
                <w:lang w:val="fr-FR" w:eastAsia="en-AU"/>
              </w:rPr>
              <w:t>Blauvelt</w:t>
            </w:r>
            <w:proofErr w:type="spellEnd"/>
            <w:r w:rsidRPr="00FF2C1E">
              <w:rPr>
                <w:szCs w:val="18"/>
                <w:lang w:val="fr-FR" w:eastAsia="en-AU"/>
              </w:rPr>
              <w:t xml:space="preserve"> A, Papp K, Griffiths C et al.  </w:t>
            </w:r>
            <w:r w:rsidRPr="00C725E4">
              <w:rPr>
                <w:szCs w:val="18"/>
                <w:lang w:eastAsia="en-AU"/>
              </w:rPr>
              <w:t>Efficacy and safety of guselkumab, an anti-interleukin-23 monoclonal antibody, compared with adalimumab for the continuous treatment of patients with moderate to severe psoriasis: Results from the phase III, double-blinded, placebo- and active comparator-controlled VOYAGE 1 trial.</w:t>
            </w:r>
          </w:p>
        </w:tc>
        <w:tc>
          <w:tcPr>
            <w:tcW w:w="1376" w:type="pct"/>
            <w:tcBorders>
              <w:top w:val="nil"/>
              <w:bottom w:val="nil"/>
            </w:tcBorders>
          </w:tcPr>
          <w:p w:rsidR="001A6891" w:rsidRPr="00C725E4" w:rsidRDefault="001A6891" w:rsidP="005E1988">
            <w:pPr>
              <w:pStyle w:val="Tabletext"/>
              <w:keepNext/>
              <w:keepLines/>
              <w:rPr>
                <w:szCs w:val="18"/>
                <w:lang w:eastAsia="en-AU"/>
              </w:rPr>
            </w:pPr>
            <w:r w:rsidRPr="00C725E4">
              <w:rPr>
                <w:i/>
                <w:szCs w:val="18"/>
                <w:lang w:eastAsia="en-AU"/>
              </w:rPr>
              <w:t xml:space="preserve">J Am </w:t>
            </w:r>
            <w:proofErr w:type="spellStart"/>
            <w:r w:rsidRPr="00C725E4">
              <w:rPr>
                <w:i/>
                <w:szCs w:val="18"/>
                <w:lang w:eastAsia="en-AU"/>
              </w:rPr>
              <w:t>Acad</w:t>
            </w:r>
            <w:proofErr w:type="spellEnd"/>
            <w:r w:rsidRPr="00C725E4">
              <w:rPr>
                <w:i/>
                <w:szCs w:val="18"/>
                <w:lang w:eastAsia="en-AU"/>
              </w:rPr>
              <w:t xml:space="preserve"> </w:t>
            </w:r>
            <w:proofErr w:type="spellStart"/>
            <w:r w:rsidRPr="00C725E4">
              <w:rPr>
                <w:i/>
                <w:szCs w:val="18"/>
                <w:lang w:eastAsia="en-AU"/>
              </w:rPr>
              <w:t>Dermatol</w:t>
            </w:r>
            <w:proofErr w:type="spellEnd"/>
            <w:r w:rsidRPr="00C725E4">
              <w:rPr>
                <w:i/>
                <w:szCs w:val="18"/>
                <w:lang w:eastAsia="en-AU"/>
              </w:rPr>
              <w:t>.</w:t>
            </w:r>
            <w:r w:rsidRPr="00C725E4">
              <w:rPr>
                <w:szCs w:val="18"/>
                <w:lang w:eastAsia="en-AU"/>
              </w:rPr>
              <w:t xml:space="preserve"> 2017; 76: 405-417.</w:t>
            </w:r>
          </w:p>
        </w:tc>
      </w:tr>
      <w:tr w:rsidR="001A6891" w:rsidRPr="00C725E4" w:rsidTr="005E1988">
        <w:tc>
          <w:tcPr>
            <w:tcW w:w="780" w:type="pct"/>
            <w:vMerge w:val="restart"/>
            <w:vAlign w:val="center"/>
          </w:tcPr>
          <w:p w:rsidR="001A6891" w:rsidRPr="00C725E4" w:rsidRDefault="001A6891" w:rsidP="005E1988">
            <w:pPr>
              <w:pStyle w:val="Tabletext"/>
              <w:keepNext/>
              <w:keepLines/>
            </w:pPr>
            <w:r w:rsidRPr="00C725E4">
              <w:t>VOYAGE-2</w:t>
            </w:r>
          </w:p>
          <w:p w:rsidR="001A6891" w:rsidRPr="00C725E4" w:rsidRDefault="001A6891" w:rsidP="005E1988">
            <w:pPr>
              <w:pStyle w:val="Tabletext"/>
              <w:keepNext/>
              <w:keepLines/>
            </w:pPr>
            <w:r w:rsidRPr="00C725E4">
              <w:t>(GUS</w:t>
            </w:r>
            <w:r w:rsidRPr="00C725E4">
              <w:rPr>
                <w:vertAlign w:val="subscript"/>
              </w:rPr>
              <w:t>2</w:t>
            </w:r>
            <w:r w:rsidRPr="00C725E4">
              <w:t>)</w:t>
            </w:r>
          </w:p>
        </w:tc>
        <w:tc>
          <w:tcPr>
            <w:tcW w:w="2843" w:type="pct"/>
            <w:tcBorders>
              <w:bottom w:val="nil"/>
            </w:tcBorders>
          </w:tcPr>
          <w:p w:rsidR="001A6891" w:rsidRPr="00C725E4" w:rsidRDefault="001A6891" w:rsidP="005E1988">
            <w:pPr>
              <w:pStyle w:val="Tabletext"/>
              <w:keepNext/>
              <w:keepLines/>
              <w:rPr>
                <w:szCs w:val="18"/>
                <w:lang w:eastAsia="en-AU"/>
              </w:rPr>
            </w:pPr>
            <w:r w:rsidRPr="00C725E4">
              <w:rPr>
                <w:szCs w:val="18"/>
              </w:rPr>
              <w:t>A Phase 3, Multicentre, Randomized, Double-blind, Placebo and Active Comparator-controlled Study Evaluating the Efficacy and Safety of Guselkumab for the Treatment of Subjects with Moderate to Severe Plaque-type Psoriasis with Randomized Withdrawal and Retreatment</w:t>
            </w:r>
          </w:p>
        </w:tc>
        <w:tc>
          <w:tcPr>
            <w:tcW w:w="1376" w:type="pct"/>
            <w:tcBorders>
              <w:bottom w:val="nil"/>
            </w:tcBorders>
          </w:tcPr>
          <w:p w:rsidR="001A6891" w:rsidRPr="00C725E4" w:rsidRDefault="001A6891" w:rsidP="005E1988">
            <w:pPr>
              <w:pStyle w:val="Tabletext"/>
              <w:keepNext/>
              <w:keepLines/>
              <w:rPr>
                <w:i/>
                <w:szCs w:val="18"/>
                <w:lang w:eastAsia="en-AU"/>
              </w:rPr>
            </w:pPr>
            <w:r w:rsidRPr="00C725E4">
              <w:t>October 2016</w:t>
            </w:r>
          </w:p>
        </w:tc>
      </w:tr>
      <w:tr w:rsidR="001A6891" w:rsidRPr="00C725E4" w:rsidTr="005E1988">
        <w:tc>
          <w:tcPr>
            <w:tcW w:w="780" w:type="pct"/>
            <w:vMerge/>
            <w:tcBorders>
              <w:bottom w:val="single" w:sz="4" w:space="0" w:color="auto"/>
            </w:tcBorders>
          </w:tcPr>
          <w:p w:rsidR="001A6891" w:rsidRPr="00C725E4" w:rsidRDefault="001A6891" w:rsidP="005E1988">
            <w:pPr>
              <w:pStyle w:val="Tabletext"/>
              <w:keepNext/>
              <w:keepLines/>
              <w:rPr>
                <w:rFonts w:ascii="Times" w:hAnsi="Times"/>
              </w:rPr>
            </w:pPr>
          </w:p>
        </w:tc>
        <w:tc>
          <w:tcPr>
            <w:tcW w:w="2843" w:type="pct"/>
            <w:tcBorders>
              <w:top w:val="nil"/>
              <w:bottom w:val="single" w:sz="4" w:space="0" w:color="auto"/>
            </w:tcBorders>
          </w:tcPr>
          <w:p w:rsidR="001A6891" w:rsidRPr="00C725E4" w:rsidRDefault="001A6891" w:rsidP="005E1988">
            <w:pPr>
              <w:pStyle w:val="Tabletext"/>
              <w:keepNext/>
              <w:keepLines/>
              <w:rPr>
                <w:szCs w:val="18"/>
              </w:rPr>
            </w:pPr>
          </w:p>
          <w:p w:rsidR="001A6891" w:rsidRPr="00C725E4" w:rsidRDefault="001A6891" w:rsidP="005E1988">
            <w:pPr>
              <w:pStyle w:val="Tabletext"/>
              <w:keepNext/>
              <w:keepLines/>
              <w:rPr>
                <w:rFonts w:ascii="Times" w:hAnsi="Times"/>
              </w:rPr>
            </w:pPr>
            <w:r w:rsidRPr="00C725E4">
              <w:rPr>
                <w:szCs w:val="18"/>
              </w:rPr>
              <w:t>Reich K, Armstrong A, Foley P et al.   Efficacy and safety of guselkumab, an anti-interleukin-23 monoclonal antibody, compared with adalimumab for the treatment of patients with moderate to severe psoriasis with randomized withdrawal and retreatment: Results from the phase III, double-blind, placebo- and active comparator controlled VOYAGE 2 trial.</w:t>
            </w:r>
          </w:p>
        </w:tc>
        <w:tc>
          <w:tcPr>
            <w:tcW w:w="1376" w:type="pct"/>
            <w:tcBorders>
              <w:top w:val="nil"/>
              <w:bottom w:val="single" w:sz="4" w:space="0" w:color="auto"/>
            </w:tcBorders>
          </w:tcPr>
          <w:p w:rsidR="001A6891" w:rsidRPr="00C725E4" w:rsidRDefault="001A6891" w:rsidP="005E1988">
            <w:pPr>
              <w:pStyle w:val="Tabletext"/>
              <w:keepNext/>
              <w:keepLines/>
              <w:rPr>
                <w:i/>
                <w:szCs w:val="18"/>
                <w:lang w:eastAsia="en-AU"/>
              </w:rPr>
            </w:pPr>
          </w:p>
          <w:p w:rsidR="001A6891" w:rsidRPr="00C725E4" w:rsidRDefault="001A6891" w:rsidP="005E1988">
            <w:pPr>
              <w:pStyle w:val="Tabletext"/>
              <w:keepNext/>
              <w:keepLines/>
            </w:pPr>
            <w:r w:rsidRPr="00C725E4">
              <w:rPr>
                <w:i/>
                <w:szCs w:val="18"/>
                <w:lang w:eastAsia="en-AU"/>
              </w:rPr>
              <w:t xml:space="preserve">J Am </w:t>
            </w:r>
            <w:proofErr w:type="spellStart"/>
            <w:r w:rsidRPr="00C725E4">
              <w:rPr>
                <w:i/>
                <w:szCs w:val="18"/>
                <w:lang w:eastAsia="en-AU"/>
              </w:rPr>
              <w:t>Acad</w:t>
            </w:r>
            <w:proofErr w:type="spellEnd"/>
            <w:r w:rsidRPr="00C725E4">
              <w:rPr>
                <w:i/>
                <w:szCs w:val="18"/>
                <w:lang w:eastAsia="en-AU"/>
              </w:rPr>
              <w:t xml:space="preserve"> </w:t>
            </w:r>
            <w:proofErr w:type="spellStart"/>
            <w:r w:rsidRPr="00C725E4">
              <w:rPr>
                <w:i/>
                <w:szCs w:val="18"/>
                <w:lang w:eastAsia="en-AU"/>
              </w:rPr>
              <w:t>Dermatol</w:t>
            </w:r>
            <w:proofErr w:type="spellEnd"/>
            <w:r w:rsidRPr="00C725E4">
              <w:rPr>
                <w:i/>
                <w:szCs w:val="18"/>
                <w:lang w:eastAsia="en-AU"/>
              </w:rPr>
              <w:t>.</w:t>
            </w:r>
            <w:r w:rsidRPr="00C725E4">
              <w:rPr>
                <w:szCs w:val="18"/>
                <w:lang w:eastAsia="en-AU"/>
              </w:rPr>
              <w:t xml:space="preserve"> 2017; 76: 418-431. </w:t>
            </w:r>
          </w:p>
        </w:tc>
      </w:tr>
      <w:tr w:rsidR="00234F12" w:rsidRPr="00C725E4" w:rsidTr="005E1988">
        <w:tc>
          <w:tcPr>
            <w:tcW w:w="5000" w:type="pct"/>
            <w:gridSpan w:val="3"/>
            <w:tcBorders>
              <w:top w:val="nil"/>
              <w:bottom w:val="single" w:sz="4" w:space="0" w:color="auto"/>
            </w:tcBorders>
            <w:vAlign w:val="center"/>
          </w:tcPr>
          <w:p w:rsidR="00234F12" w:rsidRPr="00C725E4" w:rsidRDefault="00234F12" w:rsidP="005E1988">
            <w:pPr>
              <w:pStyle w:val="Tabletext"/>
              <w:keepNext/>
              <w:keepLines/>
              <w:rPr>
                <w:i/>
                <w:szCs w:val="18"/>
                <w:lang w:eastAsia="en-AU"/>
              </w:rPr>
            </w:pPr>
            <w:r w:rsidRPr="00C725E4">
              <w:rPr>
                <w:b/>
                <w:bCs/>
              </w:rPr>
              <w:t>GUS vs UST</w:t>
            </w:r>
          </w:p>
        </w:tc>
      </w:tr>
      <w:tr w:rsidR="00234F12" w:rsidRPr="00C725E4" w:rsidTr="005E1988">
        <w:tc>
          <w:tcPr>
            <w:tcW w:w="780"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t>NAVIGATE (GUS</w:t>
            </w:r>
            <w:r w:rsidRPr="00C725E4">
              <w:rPr>
                <w:vertAlign w:val="subscript"/>
              </w:rPr>
              <w:t>3</w:t>
            </w:r>
            <w:r w:rsidRPr="00C725E4">
              <w:t>)</w:t>
            </w:r>
          </w:p>
        </w:tc>
        <w:tc>
          <w:tcPr>
            <w:tcW w:w="2843" w:type="pct"/>
            <w:tcBorders>
              <w:top w:val="single" w:sz="4" w:space="0" w:color="auto"/>
              <w:bottom w:val="single" w:sz="4" w:space="0" w:color="auto"/>
            </w:tcBorders>
            <w:vAlign w:val="center"/>
          </w:tcPr>
          <w:p w:rsidR="00234F12" w:rsidRPr="00C725E4" w:rsidRDefault="00234F12" w:rsidP="005E1988">
            <w:pPr>
              <w:pStyle w:val="Tabletext"/>
              <w:keepNext/>
              <w:keepLines/>
              <w:rPr>
                <w:szCs w:val="18"/>
              </w:rPr>
            </w:pPr>
            <w:proofErr w:type="spellStart"/>
            <w:r w:rsidRPr="00FF2C1E">
              <w:rPr>
                <w:szCs w:val="18"/>
                <w:lang w:val="fr-FR"/>
              </w:rPr>
              <w:t>Langley</w:t>
            </w:r>
            <w:proofErr w:type="spellEnd"/>
            <w:r w:rsidRPr="00FF2C1E">
              <w:rPr>
                <w:szCs w:val="18"/>
                <w:lang w:val="fr-FR"/>
              </w:rPr>
              <w:t xml:space="preserve"> R, </w:t>
            </w:r>
            <w:proofErr w:type="spellStart"/>
            <w:r w:rsidRPr="00FF2C1E">
              <w:rPr>
                <w:szCs w:val="18"/>
                <w:lang w:val="fr-FR"/>
              </w:rPr>
              <w:t>Tsai</w:t>
            </w:r>
            <w:proofErr w:type="spellEnd"/>
            <w:r w:rsidRPr="00FF2C1E">
              <w:rPr>
                <w:szCs w:val="18"/>
                <w:lang w:val="fr-FR"/>
              </w:rPr>
              <w:t xml:space="preserve"> T, </w:t>
            </w:r>
            <w:proofErr w:type="spellStart"/>
            <w:r w:rsidRPr="00FF2C1E">
              <w:rPr>
                <w:szCs w:val="18"/>
                <w:lang w:val="fr-FR"/>
              </w:rPr>
              <w:t>Flavin</w:t>
            </w:r>
            <w:proofErr w:type="spellEnd"/>
            <w:r w:rsidRPr="00FF2C1E">
              <w:rPr>
                <w:szCs w:val="18"/>
                <w:lang w:val="fr-FR"/>
              </w:rPr>
              <w:t xml:space="preserve"> S et al.  </w:t>
            </w:r>
            <w:r w:rsidRPr="00C725E4">
              <w:rPr>
                <w:szCs w:val="18"/>
              </w:rPr>
              <w:t>Efficacy and safety of guselkumab in patients with psoriasis who have an inadequate response to ustekinumab: Results of the randomized, double-blind, phase III NAVIGATE trial.</w:t>
            </w:r>
          </w:p>
        </w:tc>
        <w:tc>
          <w:tcPr>
            <w:tcW w:w="1376" w:type="pct"/>
            <w:tcBorders>
              <w:top w:val="single" w:sz="4" w:space="0" w:color="auto"/>
              <w:bottom w:val="single" w:sz="4" w:space="0" w:color="auto"/>
            </w:tcBorders>
            <w:vAlign w:val="center"/>
          </w:tcPr>
          <w:p w:rsidR="00234F12" w:rsidRPr="00C725E4" w:rsidRDefault="00234F12" w:rsidP="005E1988">
            <w:pPr>
              <w:pStyle w:val="Tabletext"/>
              <w:keepNext/>
              <w:keepLines/>
              <w:rPr>
                <w:i/>
                <w:szCs w:val="18"/>
                <w:lang w:eastAsia="en-AU"/>
              </w:rPr>
            </w:pPr>
            <w:r w:rsidRPr="00C725E4">
              <w:rPr>
                <w:i/>
                <w:szCs w:val="18"/>
              </w:rPr>
              <w:t xml:space="preserve">Brit J </w:t>
            </w:r>
            <w:proofErr w:type="spellStart"/>
            <w:r w:rsidRPr="00C725E4">
              <w:rPr>
                <w:i/>
                <w:szCs w:val="18"/>
              </w:rPr>
              <w:t>Dermatol</w:t>
            </w:r>
            <w:proofErr w:type="spellEnd"/>
            <w:r w:rsidRPr="00C725E4">
              <w:rPr>
                <w:i/>
                <w:szCs w:val="18"/>
              </w:rPr>
              <w:t xml:space="preserve">. </w:t>
            </w:r>
            <w:r w:rsidRPr="00C725E4">
              <w:rPr>
                <w:iCs/>
                <w:szCs w:val="18"/>
              </w:rPr>
              <w:t>2017;</w:t>
            </w:r>
            <w:r w:rsidRPr="00C725E4">
              <w:rPr>
                <w:i/>
                <w:szCs w:val="18"/>
              </w:rPr>
              <w:t xml:space="preserve"> </w:t>
            </w:r>
            <w:proofErr w:type="spellStart"/>
            <w:r w:rsidRPr="00C725E4">
              <w:rPr>
                <w:rFonts w:cs="Arial"/>
                <w:szCs w:val="20"/>
              </w:rPr>
              <w:t>doi</w:t>
            </w:r>
            <w:proofErr w:type="spellEnd"/>
            <w:r w:rsidRPr="00C725E4">
              <w:rPr>
                <w:rFonts w:cs="Arial"/>
                <w:szCs w:val="20"/>
              </w:rPr>
              <w:t>: 10.1111/bjd.15750</w:t>
            </w:r>
          </w:p>
        </w:tc>
      </w:tr>
      <w:tr w:rsidR="00234F12" w:rsidRPr="00C725E4" w:rsidTr="005E1988">
        <w:tc>
          <w:tcPr>
            <w:tcW w:w="5000" w:type="pct"/>
            <w:gridSpan w:val="3"/>
            <w:tcBorders>
              <w:bottom w:val="nil"/>
            </w:tcBorders>
            <w:vAlign w:val="center"/>
          </w:tcPr>
          <w:p w:rsidR="00234F12" w:rsidRPr="00C725E4" w:rsidRDefault="00234F12" w:rsidP="005E1988">
            <w:pPr>
              <w:pStyle w:val="Tabletext"/>
              <w:keepNext/>
              <w:keepLines/>
              <w:rPr>
                <w:b/>
                <w:bCs/>
              </w:rPr>
            </w:pPr>
            <w:r w:rsidRPr="00C725E4">
              <w:rPr>
                <w:b/>
                <w:bCs/>
              </w:rPr>
              <w:t>UST vs PBO</w:t>
            </w:r>
          </w:p>
        </w:tc>
      </w:tr>
      <w:tr w:rsidR="00234F12" w:rsidRPr="00C725E4" w:rsidTr="005E1988">
        <w:tc>
          <w:tcPr>
            <w:tcW w:w="780"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t>PHOENIX 1</w:t>
            </w:r>
          </w:p>
          <w:p w:rsidR="00234F12" w:rsidRPr="00C725E4" w:rsidRDefault="00234F12" w:rsidP="005E1988">
            <w:pPr>
              <w:pStyle w:val="Tabletext"/>
              <w:keepNext/>
              <w:keepLines/>
            </w:pPr>
            <w:r w:rsidRPr="00C725E4">
              <w:t>(UST</w:t>
            </w:r>
            <w:r w:rsidRPr="00C725E4">
              <w:rPr>
                <w:vertAlign w:val="subscript"/>
              </w:rPr>
              <w:t>1</w:t>
            </w:r>
            <w:r w:rsidRPr="00C725E4">
              <w:t>)</w:t>
            </w:r>
          </w:p>
        </w:tc>
        <w:tc>
          <w:tcPr>
            <w:tcW w:w="2843" w:type="pct"/>
            <w:tcBorders>
              <w:top w:val="single" w:sz="4" w:space="0" w:color="auto"/>
              <w:bottom w:val="single" w:sz="4" w:space="0" w:color="auto"/>
            </w:tcBorders>
            <w:vAlign w:val="center"/>
          </w:tcPr>
          <w:p w:rsidR="00234F12" w:rsidRPr="00C725E4" w:rsidRDefault="00234F12" w:rsidP="005E1988">
            <w:pPr>
              <w:pStyle w:val="Tabletext"/>
              <w:keepNext/>
              <w:keepLines/>
              <w:rPr>
                <w:szCs w:val="18"/>
              </w:rPr>
            </w:pPr>
            <w:r w:rsidRPr="00FF2C1E">
              <w:rPr>
                <w:szCs w:val="18"/>
                <w:lang w:val="it-IT"/>
              </w:rPr>
              <w:t xml:space="preserve">Leonardi C, Kimball A, Papp K et al.  </w:t>
            </w:r>
            <w:r w:rsidRPr="00C725E4">
              <w:rPr>
                <w:szCs w:val="18"/>
              </w:rPr>
              <w:t>Efficacy and safety of ustekinumab, human interleukin-12/23 monoclonal antibody, in patients with psoriasis: 76-week results from a randomised, double blind, placebo-controlled trial (PHOENIX 1)</w:t>
            </w:r>
          </w:p>
        </w:tc>
        <w:tc>
          <w:tcPr>
            <w:tcW w:w="1376"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rPr>
                <w:i/>
                <w:iCs/>
              </w:rPr>
              <w:t>Lancet</w:t>
            </w:r>
            <w:r w:rsidRPr="00C725E4">
              <w:t xml:space="preserve"> 2008; 371: 1665-1674.</w:t>
            </w:r>
          </w:p>
        </w:tc>
      </w:tr>
      <w:tr w:rsidR="00234F12" w:rsidRPr="00C725E4" w:rsidTr="005E1988">
        <w:tc>
          <w:tcPr>
            <w:tcW w:w="780"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t>PHOENIX 2</w:t>
            </w:r>
          </w:p>
          <w:p w:rsidR="00234F12" w:rsidRPr="00C725E4" w:rsidRDefault="00234F12" w:rsidP="005E1988">
            <w:pPr>
              <w:pStyle w:val="Tabletext"/>
              <w:keepNext/>
              <w:keepLines/>
            </w:pPr>
            <w:r w:rsidRPr="00C725E4">
              <w:t>(UST</w:t>
            </w:r>
            <w:r w:rsidRPr="00C725E4">
              <w:rPr>
                <w:vertAlign w:val="subscript"/>
              </w:rPr>
              <w:t>2</w:t>
            </w:r>
            <w:r w:rsidRPr="00C725E4">
              <w:t>)</w:t>
            </w:r>
          </w:p>
        </w:tc>
        <w:tc>
          <w:tcPr>
            <w:tcW w:w="2843" w:type="pct"/>
            <w:tcBorders>
              <w:top w:val="single" w:sz="4" w:space="0" w:color="auto"/>
              <w:bottom w:val="single" w:sz="4" w:space="0" w:color="auto"/>
            </w:tcBorders>
            <w:vAlign w:val="center"/>
          </w:tcPr>
          <w:p w:rsidR="00234F12" w:rsidRPr="00C725E4" w:rsidRDefault="00234F12" w:rsidP="005E1988">
            <w:pPr>
              <w:pStyle w:val="Tabletext"/>
              <w:keepNext/>
              <w:keepLines/>
              <w:rPr>
                <w:szCs w:val="18"/>
              </w:rPr>
            </w:pPr>
            <w:r w:rsidRPr="00C725E4">
              <w:rPr>
                <w:szCs w:val="18"/>
              </w:rPr>
              <w:t xml:space="preserve">Papp K, Langley R, </w:t>
            </w:r>
            <w:proofErr w:type="spellStart"/>
            <w:r w:rsidRPr="00C725E4">
              <w:rPr>
                <w:szCs w:val="18"/>
              </w:rPr>
              <w:t>Lebwohl</w:t>
            </w:r>
            <w:proofErr w:type="spellEnd"/>
            <w:r w:rsidRPr="00C725E4">
              <w:rPr>
                <w:szCs w:val="18"/>
              </w:rPr>
              <w:t xml:space="preserve"> G et al.  Efficacy and safety of ustekinumab, human interleukin-12/23 monoclonal antibody, in patients with psoriasis: 52-week results from a randomised, double blind, placebo-controlled trial (PHOENIX 2)</w:t>
            </w:r>
          </w:p>
        </w:tc>
        <w:tc>
          <w:tcPr>
            <w:tcW w:w="1376"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rPr>
                <w:i/>
                <w:iCs/>
              </w:rPr>
              <w:t>Lancet</w:t>
            </w:r>
            <w:r w:rsidRPr="00C725E4">
              <w:t xml:space="preserve"> 2008; 371: 1675-1684.</w:t>
            </w:r>
          </w:p>
        </w:tc>
      </w:tr>
      <w:tr w:rsidR="00234F12" w:rsidRPr="00C725E4" w:rsidTr="005E1988">
        <w:tc>
          <w:tcPr>
            <w:tcW w:w="780"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t>PEARL</w:t>
            </w:r>
          </w:p>
          <w:p w:rsidR="00234F12" w:rsidRPr="00C725E4" w:rsidRDefault="00234F12" w:rsidP="005E1988">
            <w:pPr>
              <w:pStyle w:val="Tabletext"/>
              <w:keepNext/>
              <w:keepLines/>
            </w:pPr>
            <w:r w:rsidRPr="00C725E4">
              <w:t>(UST</w:t>
            </w:r>
            <w:r w:rsidRPr="00C725E4">
              <w:rPr>
                <w:vertAlign w:val="subscript"/>
              </w:rPr>
              <w:t>3</w:t>
            </w:r>
            <w:r w:rsidRPr="00C725E4">
              <w:t>)</w:t>
            </w:r>
          </w:p>
        </w:tc>
        <w:tc>
          <w:tcPr>
            <w:tcW w:w="2843" w:type="pct"/>
            <w:tcBorders>
              <w:top w:val="single" w:sz="4" w:space="0" w:color="auto"/>
              <w:bottom w:val="single" w:sz="4" w:space="0" w:color="auto"/>
            </w:tcBorders>
            <w:vAlign w:val="center"/>
          </w:tcPr>
          <w:p w:rsidR="00234F12" w:rsidRPr="00C725E4" w:rsidRDefault="00234F12" w:rsidP="005E1988">
            <w:pPr>
              <w:pStyle w:val="Tabletext"/>
              <w:keepNext/>
              <w:keepLines/>
              <w:rPr>
                <w:szCs w:val="18"/>
              </w:rPr>
            </w:pPr>
            <w:proofErr w:type="spellStart"/>
            <w:r w:rsidRPr="00FF2C1E">
              <w:rPr>
                <w:szCs w:val="18"/>
                <w:lang w:val="fr-FR"/>
              </w:rPr>
              <w:t>Tsai</w:t>
            </w:r>
            <w:proofErr w:type="spellEnd"/>
            <w:r w:rsidRPr="00FF2C1E">
              <w:rPr>
                <w:szCs w:val="18"/>
                <w:lang w:val="fr-FR"/>
              </w:rPr>
              <w:t xml:space="preserve"> T, Ho, J, Song M et al. </w:t>
            </w:r>
            <w:r w:rsidRPr="00C725E4">
              <w:rPr>
                <w:szCs w:val="18"/>
              </w:rPr>
              <w:t>Efficacy and safety of ustekinumab for the treatment of moderate-to-severe psoriasis: A phase III, randomized, placebo-controlled trial in Taiwanese and Korean patients (PEARL).</w:t>
            </w:r>
          </w:p>
        </w:tc>
        <w:tc>
          <w:tcPr>
            <w:tcW w:w="1376"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rPr>
                <w:i/>
                <w:iCs/>
              </w:rPr>
              <w:t xml:space="preserve">J </w:t>
            </w:r>
            <w:proofErr w:type="spellStart"/>
            <w:r w:rsidRPr="00C725E4">
              <w:rPr>
                <w:i/>
                <w:iCs/>
              </w:rPr>
              <w:t>Dermatol</w:t>
            </w:r>
            <w:proofErr w:type="spellEnd"/>
            <w:r w:rsidRPr="00C725E4">
              <w:rPr>
                <w:i/>
                <w:iCs/>
              </w:rPr>
              <w:t xml:space="preserve"> </w:t>
            </w:r>
            <w:proofErr w:type="spellStart"/>
            <w:r w:rsidRPr="00C725E4">
              <w:rPr>
                <w:i/>
                <w:iCs/>
              </w:rPr>
              <w:t>Sci</w:t>
            </w:r>
            <w:proofErr w:type="spellEnd"/>
            <w:r w:rsidRPr="00C725E4">
              <w:t xml:space="preserve"> 2011; 63: 154-163.</w:t>
            </w:r>
          </w:p>
        </w:tc>
      </w:tr>
      <w:tr w:rsidR="00234F12" w:rsidRPr="00C725E4" w:rsidTr="005E1988">
        <w:tc>
          <w:tcPr>
            <w:tcW w:w="780"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t>LOTUS</w:t>
            </w:r>
          </w:p>
          <w:p w:rsidR="00234F12" w:rsidRPr="00C725E4" w:rsidRDefault="00234F12" w:rsidP="005E1988">
            <w:pPr>
              <w:pStyle w:val="Tabletext"/>
              <w:keepNext/>
              <w:keepLines/>
            </w:pPr>
            <w:r w:rsidRPr="00C725E4">
              <w:t>(UST</w:t>
            </w:r>
            <w:r w:rsidRPr="00C725E4">
              <w:rPr>
                <w:vertAlign w:val="subscript"/>
              </w:rPr>
              <w:t>4</w:t>
            </w:r>
            <w:r w:rsidRPr="00C725E4">
              <w:t>)</w:t>
            </w:r>
          </w:p>
        </w:tc>
        <w:tc>
          <w:tcPr>
            <w:tcW w:w="2843" w:type="pct"/>
            <w:tcBorders>
              <w:top w:val="single" w:sz="4" w:space="0" w:color="auto"/>
              <w:bottom w:val="single" w:sz="4" w:space="0" w:color="auto"/>
            </w:tcBorders>
            <w:vAlign w:val="center"/>
          </w:tcPr>
          <w:p w:rsidR="00234F12" w:rsidRPr="00C725E4" w:rsidRDefault="00234F12" w:rsidP="005E1988">
            <w:pPr>
              <w:pStyle w:val="Tabletext"/>
              <w:keepNext/>
              <w:keepLines/>
              <w:rPr>
                <w:szCs w:val="18"/>
              </w:rPr>
            </w:pPr>
            <w:r w:rsidRPr="00FF2C1E">
              <w:rPr>
                <w:szCs w:val="18"/>
                <w:lang w:val="fr-FR"/>
              </w:rPr>
              <w:t xml:space="preserve">Zhu X, Zheng M, Song M et al. </w:t>
            </w:r>
            <w:r w:rsidRPr="00C725E4">
              <w:rPr>
                <w:szCs w:val="18"/>
              </w:rPr>
              <w:t>Efficacy and safety of ustekinumab in Chinese patients with moderate to severe plaque-type psoriasis: Results from a phase 3 clinical trial (LOTUS).</w:t>
            </w:r>
          </w:p>
        </w:tc>
        <w:tc>
          <w:tcPr>
            <w:tcW w:w="1376"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rPr>
                <w:i/>
                <w:iCs/>
              </w:rPr>
              <w:t xml:space="preserve">J Drugs </w:t>
            </w:r>
            <w:proofErr w:type="spellStart"/>
            <w:r w:rsidRPr="00C725E4">
              <w:rPr>
                <w:i/>
                <w:iCs/>
              </w:rPr>
              <w:t>Dermatol</w:t>
            </w:r>
            <w:proofErr w:type="spellEnd"/>
            <w:r w:rsidRPr="00C725E4">
              <w:rPr>
                <w:i/>
                <w:iCs/>
              </w:rPr>
              <w:t xml:space="preserve">. </w:t>
            </w:r>
            <w:r w:rsidRPr="00C725E4">
              <w:t>2013; 12 (2): 166-174.</w:t>
            </w:r>
          </w:p>
        </w:tc>
      </w:tr>
      <w:tr w:rsidR="00234F12" w:rsidRPr="00C725E4" w:rsidTr="005E1988">
        <w:tc>
          <w:tcPr>
            <w:tcW w:w="780"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t>Igarashi 2012</w:t>
            </w:r>
          </w:p>
          <w:p w:rsidR="00234F12" w:rsidRPr="00C725E4" w:rsidRDefault="00234F12" w:rsidP="005E1988">
            <w:pPr>
              <w:pStyle w:val="Tabletext"/>
              <w:keepNext/>
              <w:keepLines/>
            </w:pPr>
            <w:r w:rsidRPr="00C725E4">
              <w:t>(UST</w:t>
            </w:r>
            <w:r w:rsidRPr="00C725E4">
              <w:rPr>
                <w:vertAlign w:val="subscript"/>
              </w:rPr>
              <w:t>5</w:t>
            </w:r>
            <w:r w:rsidRPr="00C725E4">
              <w:t>)</w:t>
            </w:r>
          </w:p>
        </w:tc>
        <w:tc>
          <w:tcPr>
            <w:tcW w:w="2843" w:type="pct"/>
            <w:tcBorders>
              <w:top w:val="single" w:sz="4" w:space="0" w:color="auto"/>
              <w:bottom w:val="single" w:sz="4" w:space="0" w:color="auto"/>
            </w:tcBorders>
            <w:vAlign w:val="center"/>
          </w:tcPr>
          <w:p w:rsidR="00234F12" w:rsidRPr="00C725E4" w:rsidRDefault="00234F12" w:rsidP="005E1988">
            <w:pPr>
              <w:pStyle w:val="Tabletext"/>
              <w:keepNext/>
              <w:keepLines/>
              <w:rPr>
                <w:szCs w:val="18"/>
              </w:rPr>
            </w:pPr>
            <w:r w:rsidRPr="00C725E4">
              <w:rPr>
                <w:szCs w:val="18"/>
              </w:rPr>
              <w:t>Igarashi A, Kato T, Kato M et al. Efficacy and safety of ustekinumab in Japanese patients with moderate-to-severe plaque-type psoriasis: Long-term results from a phase 2/3 clinical trial.</w:t>
            </w:r>
          </w:p>
        </w:tc>
        <w:tc>
          <w:tcPr>
            <w:tcW w:w="1376"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rPr>
                <w:i/>
                <w:iCs/>
              </w:rPr>
              <w:t xml:space="preserve">J </w:t>
            </w:r>
            <w:proofErr w:type="spellStart"/>
            <w:r w:rsidRPr="00C725E4">
              <w:rPr>
                <w:i/>
                <w:iCs/>
              </w:rPr>
              <w:t>Dermatol</w:t>
            </w:r>
            <w:proofErr w:type="spellEnd"/>
            <w:r w:rsidRPr="00C725E4">
              <w:rPr>
                <w:i/>
                <w:iCs/>
              </w:rPr>
              <w:t>.</w:t>
            </w:r>
            <w:r w:rsidRPr="00C725E4">
              <w:t xml:space="preserve"> 2012; 39: 242-252..</w:t>
            </w:r>
          </w:p>
        </w:tc>
      </w:tr>
      <w:tr w:rsidR="00234F12" w:rsidRPr="00C725E4" w:rsidTr="005E1988">
        <w:tc>
          <w:tcPr>
            <w:tcW w:w="780" w:type="pct"/>
            <w:tcBorders>
              <w:top w:val="single" w:sz="4" w:space="0" w:color="auto"/>
              <w:bottom w:val="single" w:sz="4" w:space="0" w:color="auto"/>
            </w:tcBorders>
            <w:vAlign w:val="center"/>
          </w:tcPr>
          <w:p w:rsidR="00234F12" w:rsidRPr="00C725E4" w:rsidRDefault="00234F12" w:rsidP="005E1988">
            <w:pPr>
              <w:pStyle w:val="Tabletext"/>
              <w:keepNext/>
              <w:keepLines/>
            </w:pPr>
            <w:r w:rsidRPr="00C725E4">
              <w:t>AMAGINE-2</w:t>
            </w:r>
          </w:p>
          <w:p w:rsidR="00234F12" w:rsidRPr="00C725E4" w:rsidRDefault="00234F12" w:rsidP="005E1988">
            <w:pPr>
              <w:pStyle w:val="Tabletext"/>
              <w:keepNext/>
              <w:keepLines/>
            </w:pPr>
            <w:r w:rsidRPr="00C725E4">
              <w:t>(UST</w:t>
            </w:r>
            <w:r w:rsidRPr="00C725E4">
              <w:rPr>
                <w:vertAlign w:val="subscript"/>
              </w:rPr>
              <w:t>6</w:t>
            </w:r>
            <w:r w:rsidRPr="00C725E4">
              <w:t>)</w:t>
            </w:r>
          </w:p>
        </w:tc>
        <w:tc>
          <w:tcPr>
            <w:tcW w:w="2843" w:type="pct"/>
            <w:vMerge w:val="restart"/>
            <w:tcBorders>
              <w:top w:val="single" w:sz="4" w:space="0" w:color="auto"/>
            </w:tcBorders>
            <w:vAlign w:val="center"/>
          </w:tcPr>
          <w:p w:rsidR="00234F12" w:rsidRPr="00C725E4" w:rsidRDefault="00234F12" w:rsidP="005E1988">
            <w:pPr>
              <w:pStyle w:val="Tabletext"/>
              <w:keepNext/>
              <w:keepLines/>
              <w:rPr>
                <w:szCs w:val="18"/>
              </w:rPr>
            </w:pPr>
            <w:r w:rsidRPr="00FF2C1E">
              <w:rPr>
                <w:szCs w:val="18"/>
                <w:lang w:val="de-DE"/>
              </w:rPr>
              <w:t xml:space="preserve">Lebwohl M, Strober B, Menter A et al. </w:t>
            </w:r>
            <w:r w:rsidRPr="00C725E4">
              <w:rPr>
                <w:szCs w:val="18"/>
              </w:rPr>
              <w:t xml:space="preserve">Phase 3 studies comparing </w:t>
            </w:r>
            <w:proofErr w:type="spellStart"/>
            <w:r w:rsidRPr="00C725E4">
              <w:rPr>
                <w:szCs w:val="18"/>
              </w:rPr>
              <w:t>brodalumab</w:t>
            </w:r>
            <w:proofErr w:type="spellEnd"/>
            <w:r w:rsidRPr="00C725E4">
              <w:rPr>
                <w:szCs w:val="18"/>
              </w:rPr>
              <w:t xml:space="preserve"> with ustekinumab in psoriasis.</w:t>
            </w:r>
          </w:p>
        </w:tc>
        <w:tc>
          <w:tcPr>
            <w:tcW w:w="1376" w:type="pct"/>
            <w:vMerge w:val="restart"/>
            <w:tcBorders>
              <w:top w:val="single" w:sz="4" w:space="0" w:color="auto"/>
            </w:tcBorders>
            <w:vAlign w:val="center"/>
          </w:tcPr>
          <w:p w:rsidR="00234F12" w:rsidRPr="00C725E4" w:rsidRDefault="00234F12" w:rsidP="005E1988">
            <w:pPr>
              <w:pStyle w:val="Tabletext"/>
              <w:keepNext/>
              <w:keepLines/>
            </w:pPr>
            <w:r w:rsidRPr="00C725E4">
              <w:rPr>
                <w:i/>
                <w:iCs/>
              </w:rPr>
              <w:t xml:space="preserve">NEJM </w:t>
            </w:r>
            <w:r w:rsidRPr="00C725E4">
              <w:t>2015; 373 (14): 1318-1328</w:t>
            </w:r>
          </w:p>
        </w:tc>
      </w:tr>
      <w:tr w:rsidR="00234F12" w:rsidRPr="00C725E4" w:rsidTr="005E1988">
        <w:tc>
          <w:tcPr>
            <w:tcW w:w="780" w:type="pct"/>
            <w:tcBorders>
              <w:bottom w:val="single" w:sz="4" w:space="0" w:color="auto"/>
            </w:tcBorders>
            <w:vAlign w:val="center"/>
          </w:tcPr>
          <w:p w:rsidR="00234F12" w:rsidRPr="00C725E4" w:rsidRDefault="00234F12" w:rsidP="005E1988">
            <w:pPr>
              <w:pStyle w:val="Tabletext"/>
              <w:keepNext/>
              <w:keepLines/>
            </w:pPr>
            <w:r w:rsidRPr="00C725E4">
              <w:t>AMAGINE-3</w:t>
            </w:r>
          </w:p>
          <w:p w:rsidR="00234F12" w:rsidRPr="00C725E4" w:rsidRDefault="00234F12" w:rsidP="005E1988">
            <w:pPr>
              <w:pStyle w:val="Tabletext"/>
              <w:keepNext/>
              <w:keepLines/>
            </w:pPr>
            <w:r w:rsidRPr="00C725E4">
              <w:t>(UST</w:t>
            </w:r>
            <w:r w:rsidRPr="00C725E4">
              <w:rPr>
                <w:vertAlign w:val="subscript"/>
              </w:rPr>
              <w:t>7</w:t>
            </w:r>
            <w:r w:rsidRPr="00C725E4">
              <w:t>)</w:t>
            </w:r>
          </w:p>
        </w:tc>
        <w:tc>
          <w:tcPr>
            <w:tcW w:w="2843" w:type="pct"/>
            <w:vMerge/>
            <w:tcBorders>
              <w:bottom w:val="single" w:sz="4" w:space="0" w:color="auto"/>
            </w:tcBorders>
            <w:vAlign w:val="center"/>
          </w:tcPr>
          <w:p w:rsidR="00234F12" w:rsidRPr="00C725E4" w:rsidRDefault="00234F12" w:rsidP="005E1988">
            <w:pPr>
              <w:pStyle w:val="Tabletext"/>
              <w:keepNext/>
              <w:keepLines/>
              <w:rPr>
                <w:szCs w:val="18"/>
              </w:rPr>
            </w:pPr>
          </w:p>
        </w:tc>
        <w:tc>
          <w:tcPr>
            <w:tcW w:w="1376" w:type="pct"/>
            <w:vMerge/>
            <w:tcBorders>
              <w:bottom w:val="single" w:sz="4" w:space="0" w:color="auto"/>
            </w:tcBorders>
            <w:vAlign w:val="center"/>
          </w:tcPr>
          <w:p w:rsidR="00234F12" w:rsidRPr="00C725E4" w:rsidRDefault="00234F12" w:rsidP="005E1988">
            <w:pPr>
              <w:pStyle w:val="Tabletext"/>
              <w:keepNext/>
              <w:keepLines/>
            </w:pPr>
          </w:p>
        </w:tc>
      </w:tr>
    </w:tbl>
    <w:p w:rsidR="00234F12" w:rsidRPr="00C725E4" w:rsidRDefault="00234F12" w:rsidP="005E1988">
      <w:pPr>
        <w:pStyle w:val="PBACHeading1"/>
        <w:keepNext/>
        <w:keepLines/>
        <w:ind w:left="720" w:hanging="720"/>
        <w:rPr>
          <w:rFonts w:ascii="Arial Narrow" w:hAnsi="Arial Narrow"/>
          <w:b w:val="0"/>
          <w:bCs/>
          <w:sz w:val="18"/>
          <w:szCs w:val="18"/>
        </w:rPr>
      </w:pPr>
      <w:bookmarkStart w:id="8" w:name="_Toc503212787"/>
      <w:r w:rsidRPr="00C725E4">
        <w:rPr>
          <w:rFonts w:ascii="Arial Narrow" w:hAnsi="Arial Narrow"/>
          <w:b w:val="0"/>
          <w:bCs/>
          <w:sz w:val="18"/>
          <w:szCs w:val="18"/>
        </w:rPr>
        <w:t>Abbreviations: ADA=adalimumab, GUS=guselkumab, PBO=placebo, UST=ustekinumab.</w:t>
      </w:r>
      <w:bookmarkEnd w:id="8"/>
    </w:p>
    <w:p w:rsidR="00C128E5" w:rsidRDefault="00234F12" w:rsidP="00C128E5">
      <w:pPr>
        <w:pStyle w:val="PBACHeading1"/>
        <w:keepNext/>
        <w:keepLines/>
        <w:ind w:left="720" w:hanging="720"/>
        <w:rPr>
          <w:rFonts w:ascii="Arial Narrow" w:hAnsi="Arial Narrow"/>
          <w:b w:val="0"/>
          <w:bCs/>
          <w:sz w:val="18"/>
          <w:szCs w:val="18"/>
        </w:rPr>
      </w:pPr>
      <w:bookmarkStart w:id="9" w:name="_Toc503212788"/>
      <w:r w:rsidRPr="00C725E4">
        <w:rPr>
          <w:rFonts w:ascii="Arial Narrow" w:hAnsi="Arial Narrow"/>
          <w:b w:val="0"/>
          <w:bCs/>
          <w:sz w:val="18"/>
          <w:szCs w:val="18"/>
        </w:rPr>
        <w:t>Source: Table 2.6, pp60-64 of the submission.</w:t>
      </w:r>
      <w:bookmarkEnd w:id="9"/>
    </w:p>
    <w:p w:rsidR="00C128E5" w:rsidRPr="00C128E5" w:rsidRDefault="00C128E5" w:rsidP="00C128E5">
      <w:pPr>
        <w:pStyle w:val="PBACHeading1"/>
        <w:keepNext/>
        <w:keepLines/>
        <w:ind w:left="720" w:hanging="720"/>
        <w:rPr>
          <w:rFonts w:asciiTheme="minorHAnsi" w:hAnsiTheme="minorHAnsi"/>
          <w:b w:val="0"/>
          <w:bCs/>
          <w:sz w:val="24"/>
          <w:szCs w:val="24"/>
        </w:rPr>
      </w:pPr>
    </w:p>
    <w:p w:rsidR="00C128E5" w:rsidRPr="00E00025" w:rsidRDefault="008E206F" w:rsidP="00C128E5">
      <w:pPr>
        <w:pStyle w:val="ListParagraph"/>
        <w:keepNext/>
        <w:keepLines/>
        <w:widowControl/>
        <w:numPr>
          <w:ilvl w:val="1"/>
          <w:numId w:val="3"/>
        </w:numPr>
        <w:ind w:left="0"/>
        <w:rPr>
          <w:i/>
          <w:iCs/>
          <w:szCs w:val="20"/>
        </w:rPr>
      </w:pPr>
      <w:r w:rsidRPr="00083A5D">
        <w:rPr>
          <w:rFonts w:cs="Calibri"/>
          <w:snapToGrid/>
          <w:szCs w:val="24"/>
          <w:lang w:eastAsia="en-AU"/>
        </w:rPr>
        <w:t xml:space="preserve">The key features of the </w:t>
      </w:r>
      <w:r w:rsidR="00A6144E" w:rsidRPr="00083A5D">
        <w:rPr>
          <w:rFonts w:cs="Calibri"/>
          <w:snapToGrid/>
          <w:szCs w:val="24"/>
          <w:lang w:eastAsia="en-AU"/>
        </w:rPr>
        <w:t xml:space="preserve">included </w:t>
      </w:r>
      <w:r w:rsidRPr="00083A5D">
        <w:rPr>
          <w:rFonts w:cs="Calibri"/>
          <w:snapToGrid/>
          <w:szCs w:val="24"/>
          <w:lang w:eastAsia="en-AU"/>
        </w:rPr>
        <w:t xml:space="preserve">trials </w:t>
      </w:r>
      <w:r w:rsidR="00A6144E" w:rsidRPr="00083A5D">
        <w:rPr>
          <w:rFonts w:cs="Calibri"/>
          <w:snapToGrid/>
          <w:szCs w:val="24"/>
          <w:lang w:eastAsia="en-AU"/>
        </w:rPr>
        <w:t>(including those added during the evaluation) are</w:t>
      </w:r>
      <w:r w:rsidR="00E00025">
        <w:rPr>
          <w:rFonts w:cs="Calibri"/>
          <w:snapToGrid/>
          <w:szCs w:val="24"/>
          <w:lang w:eastAsia="en-AU"/>
        </w:rPr>
        <w:t xml:space="preserve"> summarised in Table 3.</w:t>
      </w:r>
    </w:p>
    <w:p w:rsidR="00693C72" w:rsidRPr="009F3167" w:rsidRDefault="00A92386" w:rsidP="00B523DB">
      <w:pPr>
        <w:pStyle w:val="ListParagraph"/>
        <w:keepNext/>
        <w:keepLines/>
        <w:widowControl/>
        <w:spacing w:after="0"/>
        <w:ind w:left="0"/>
        <w:rPr>
          <w:iCs/>
          <w:szCs w:val="20"/>
        </w:rPr>
      </w:pPr>
      <w:r w:rsidRPr="009F3167">
        <w:rPr>
          <w:rStyle w:val="CommentReference"/>
          <w:bCs/>
        </w:rPr>
        <w:lastRenderedPageBreak/>
        <w:t xml:space="preserve">Table 3: </w:t>
      </w:r>
      <w:r w:rsidR="00693C72" w:rsidRPr="009F3167">
        <w:rPr>
          <w:rFonts w:ascii="Arial Narrow" w:hAnsi="Arial Narrow"/>
          <w:b/>
          <w:iCs/>
          <w:sz w:val="20"/>
          <w:szCs w:val="20"/>
        </w:rPr>
        <w:t>Key features of evidence included in the submission and during the evaluation</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568"/>
        <w:gridCol w:w="3295"/>
        <w:gridCol w:w="858"/>
        <w:gridCol w:w="1877"/>
        <w:gridCol w:w="1548"/>
        <w:gridCol w:w="6"/>
      </w:tblGrid>
      <w:tr w:rsidR="00693C72" w:rsidRPr="009F3167" w:rsidTr="00083A5D">
        <w:trPr>
          <w:gridAfter w:val="1"/>
          <w:wAfter w:w="4" w:type="pct"/>
          <w:tblHeader/>
        </w:trPr>
        <w:tc>
          <w:tcPr>
            <w:tcW w:w="609" w:type="pct"/>
            <w:shd w:val="clear" w:color="auto" w:fill="auto"/>
            <w:vAlign w:val="center"/>
          </w:tcPr>
          <w:p w:rsidR="00693C72" w:rsidRPr="009F3167" w:rsidRDefault="00693C72" w:rsidP="00B523DB">
            <w:pPr>
              <w:keepNext/>
              <w:keepLines/>
              <w:widowControl/>
              <w:rPr>
                <w:rFonts w:ascii="Arial Narrow" w:hAnsi="Arial Narrow"/>
                <w:b/>
                <w:iCs/>
                <w:sz w:val="20"/>
              </w:rPr>
            </w:pPr>
            <w:r w:rsidRPr="009F3167">
              <w:rPr>
                <w:rFonts w:ascii="Arial Narrow" w:hAnsi="Arial Narrow"/>
                <w:b/>
                <w:iCs/>
                <w:sz w:val="20"/>
              </w:rPr>
              <w:t>Trial</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b/>
                <w:iCs/>
                <w:sz w:val="20"/>
              </w:rPr>
            </w:pPr>
            <w:r w:rsidRPr="009F3167">
              <w:rPr>
                <w:rFonts w:ascii="Arial Narrow" w:hAnsi="Arial Narrow"/>
                <w:b/>
                <w:iCs/>
                <w:sz w:val="20"/>
              </w:rPr>
              <w:t>N</w:t>
            </w:r>
          </w:p>
        </w:tc>
        <w:tc>
          <w:tcPr>
            <w:tcW w:w="1775" w:type="pct"/>
            <w:shd w:val="clear" w:color="auto" w:fill="auto"/>
            <w:vAlign w:val="center"/>
          </w:tcPr>
          <w:p w:rsidR="00693C72" w:rsidRPr="009F3167" w:rsidRDefault="00693C72" w:rsidP="00B523DB">
            <w:pPr>
              <w:keepNext/>
              <w:keepLines/>
              <w:widowControl/>
              <w:jc w:val="center"/>
              <w:rPr>
                <w:rFonts w:ascii="Arial Narrow" w:hAnsi="Arial Narrow"/>
                <w:b/>
                <w:iCs/>
                <w:sz w:val="20"/>
              </w:rPr>
            </w:pPr>
            <w:r w:rsidRPr="009F3167">
              <w:rPr>
                <w:rFonts w:ascii="Arial Narrow" w:hAnsi="Arial Narrow"/>
                <w:b/>
                <w:iCs/>
                <w:sz w:val="20"/>
              </w:rPr>
              <w:t>Design/ duration of follow-up</w:t>
            </w:r>
          </w:p>
        </w:tc>
        <w:tc>
          <w:tcPr>
            <w:tcW w:w="462" w:type="pct"/>
            <w:shd w:val="clear" w:color="auto" w:fill="auto"/>
            <w:vAlign w:val="center"/>
          </w:tcPr>
          <w:p w:rsidR="00693C72" w:rsidRPr="009F3167" w:rsidRDefault="00693C72" w:rsidP="00B523DB">
            <w:pPr>
              <w:keepNext/>
              <w:keepLines/>
              <w:widowControl/>
              <w:jc w:val="center"/>
              <w:rPr>
                <w:rFonts w:ascii="Arial Narrow" w:hAnsi="Arial Narrow"/>
                <w:b/>
                <w:iCs/>
                <w:sz w:val="20"/>
              </w:rPr>
            </w:pPr>
            <w:r w:rsidRPr="009F3167">
              <w:rPr>
                <w:rFonts w:ascii="Arial Narrow" w:hAnsi="Arial Narrow"/>
                <w:b/>
                <w:iCs/>
                <w:sz w:val="20"/>
              </w:rPr>
              <w:t>Within trial risk of bias</w:t>
            </w:r>
          </w:p>
        </w:tc>
        <w:tc>
          <w:tcPr>
            <w:tcW w:w="1011" w:type="pct"/>
            <w:shd w:val="clear" w:color="auto" w:fill="auto"/>
            <w:vAlign w:val="center"/>
          </w:tcPr>
          <w:p w:rsidR="00693C72" w:rsidRPr="009F3167" w:rsidRDefault="00693C72" w:rsidP="00B523DB">
            <w:pPr>
              <w:keepNext/>
              <w:keepLines/>
              <w:widowControl/>
              <w:jc w:val="center"/>
              <w:rPr>
                <w:rFonts w:ascii="Arial Narrow" w:hAnsi="Arial Narrow"/>
                <w:b/>
                <w:iCs/>
                <w:sz w:val="20"/>
              </w:rPr>
            </w:pPr>
            <w:r w:rsidRPr="009F3167">
              <w:rPr>
                <w:rFonts w:ascii="Arial Narrow" w:hAnsi="Arial Narrow"/>
                <w:b/>
                <w:iCs/>
                <w:sz w:val="20"/>
              </w:rPr>
              <w:t>Patient population</w:t>
            </w:r>
          </w:p>
        </w:tc>
        <w:tc>
          <w:tcPr>
            <w:tcW w:w="834" w:type="pct"/>
            <w:shd w:val="clear" w:color="auto" w:fill="auto"/>
            <w:vAlign w:val="center"/>
          </w:tcPr>
          <w:p w:rsidR="00693C72" w:rsidRPr="009F3167" w:rsidRDefault="00693C72" w:rsidP="00B523DB">
            <w:pPr>
              <w:keepNext/>
              <w:keepLines/>
              <w:widowControl/>
              <w:jc w:val="center"/>
              <w:rPr>
                <w:rFonts w:ascii="Arial Narrow" w:hAnsi="Arial Narrow"/>
                <w:b/>
                <w:iCs/>
                <w:sz w:val="20"/>
              </w:rPr>
            </w:pPr>
            <w:r w:rsidRPr="009F3167">
              <w:rPr>
                <w:rFonts w:ascii="Arial Narrow" w:hAnsi="Arial Narrow"/>
                <w:b/>
                <w:iCs/>
                <w:sz w:val="20"/>
              </w:rPr>
              <w:t>Key Outcomes</w:t>
            </w:r>
          </w:p>
        </w:tc>
      </w:tr>
      <w:tr w:rsidR="00693C72" w:rsidRPr="009F3167" w:rsidTr="00083A5D">
        <w:tc>
          <w:tcPr>
            <w:tcW w:w="5000" w:type="pct"/>
            <w:gridSpan w:val="7"/>
            <w:shd w:val="clear" w:color="auto" w:fill="auto"/>
            <w:vAlign w:val="center"/>
          </w:tcPr>
          <w:p w:rsidR="00693C72" w:rsidRPr="009F3167" w:rsidRDefault="00693C72" w:rsidP="00B523DB">
            <w:pPr>
              <w:keepNext/>
              <w:keepLines/>
              <w:widowControl/>
              <w:rPr>
                <w:rFonts w:ascii="Arial Narrow" w:hAnsi="Arial Narrow"/>
                <w:b/>
                <w:iCs/>
                <w:sz w:val="20"/>
              </w:rPr>
            </w:pPr>
            <w:r w:rsidRPr="009F3167">
              <w:rPr>
                <w:rFonts w:ascii="Arial Narrow" w:hAnsi="Arial Narrow"/>
                <w:b/>
                <w:iCs/>
                <w:sz w:val="20"/>
              </w:rPr>
              <w:t>GUS vs PBO and ADA</w:t>
            </w:r>
          </w:p>
        </w:tc>
      </w:tr>
      <w:tr w:rsidR="00693C72" w:rsidRPr="009F3167" w:rsidTr="00083A5D">
        <w:trPr>
          <w:gridAfter w:val="1"/>
          <w:wAfter w:w="4" w:type="pct"/>
        </w:trPr>
        <w:tc>
          <w:tcPr>
            <w:tcW w:w="609" w:type="pct"/>
            <w:shd w:val="clear" w:color="auto" w:fill="auto"/>
            <w:vAlign w:val="center"/>
          </w:tcPr>
          <w:p w:rsidR="00693C72" w:rsidRPr="009F3167" w:rsidRDefault="00693C72" w:rsidP="00B523DB">
            <w:pPr>
              <w:keepNext/>
              <w:keepLines/>
              <w:widowControl/>
              <w:rPr>
                <w:rFonts w:ascii="Arial Narrow" w:hAnsi="Arial Narrow" w:cs="Times New Roman"/>
                <w:iCs/>
                <w:sz w:val="20"/>
              </w:rPr>
            </w:pPr>
            <w:r w:rsidRPr="009F3167">
              <w:rPr>
                <w:rFonts w:ascii="Arial Narrow" w:hAnsi="Arial Narrow" w:cs="Times New Roman"/>
                <w:iCs/>
                <w:sz w:val="20"/>
              </w:rPr>
              <w:t>GUS</w:t>
            </w:r>
            <w:r w:rsidRPr="009F3167">
              <w:rPr>
                <w:rFonts w:ascii="Arial Narrow" w:hAnsi="Arial Narrow" w:cs="Times New Roman"/>
                <w:iCs/>
                <w:sz w:val="20"/>
                <w:vertAlign w:val="subscript"/>
              </w:rPr>
              <w:t>1</w:t>
            </w:r>
          </w:p>
          <w:p w:rsidR="00693C72" w:rsidRPr="009F3167" w:rsidRDefault="00693C72" w:rsidP="00B523DB">
            <w:pPr>
              <w:keepNext/>
              <w:keepLines/>
              <w:widowControl/>
              <w:rPr>
                <w:rFonts w:ascii="Arial Narrow" w:hAnsi="Arial Narrow" w:cs="Times New Roman"/>
                <w:iCs/>
                <w:sz w:val="20"/>
              </w:rPr>
            </w:pPr>
            <w:r w:rsidRPr="009F3167">
              <w:rPr>
                <w:rFonts w:ascii="Arial Narrow" w:hAnsi="Arial Narrow" w:cs="Times New Roman"/>
                <w:iCs/>
                <w:sz w:val="20"/>
              </w:rPr>
              <w:t>(VOYAGE-1)</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cs="Times New Roman"/>
                <w:iCs/>
                <w:sz w:val="20"/>
              </w:rPr>
            </w:pPr>
            <w:r w:rsidRPr="009F3167">
              <w:rPr>
                <w:rFonts w:ascii="Arial Narrow" w:hAnsi="Arial Narrow" w:cs="Times New Roman"/>
                <w:iCs/>
                <w:sz w:val="20"/>
              </w:rPr>
              <w:t>837</w:t>
            </w:r>
          </w:p>
        </w:tc>
        <w:tc>
          <w:tcPr>
            <w:tcW w:w="1775"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R, DB, MC, 48 wks.</w:t>
            </w:r>
          </w:p>
          <w:p w:rsidR="00693C72" w:rsidRPr="009F3167" w:rsidRDefault="00693C72" w:rsidP="00B523DB">
            <w:pPr>
              <w:keepNext/>
              <w:keepLines/>
              <w:widowControl/>
              <w:jc w:val="left"/>
              <w:rPr>
                <w:rFonts w:ascii="Arial Narrow" w:hAnsi="Arial Narrow" w:cs="Times New Roman"/>
                <w:iCs/>
                <w:sz w:val="20"/>
              </w:rPr>
            </w:pPr>
            <w:r w:rsidRPr="009F3167">
              <w:rPr>
                <w:rFonts w:ascii="Arial Narrow" w:hAnsi="Arial Narrow" w:cs="Times New Roman"/>
                <w:iCs/>
                <w:sz w:val="20"/>
              </w:rPr>
              <w:t xml:space="preserve">PBO patients crossed over to GUS at </w:t>
            </w:r>
            <w:proofErr w:type="spellStart"/>
            <w:r w:rsidRPr="009F3167">
              <w:rPr>
                <w:rFonts w:ascii="Arial Narrow" w:hAnsi="Arial Narrow" w:cs="Times New Roman"/>
                <w:iCs/>
                <w:sz w:val="20"/>
              </w:rPr>
              <w:t>Wk</w:t>
            </w:r>
            <w:proofErr w:type="spellEnd"/>
            <w:r w:rsidRPr="009F3167">
              <w:rPr>
                <w:rFonts w:ascii="Arial Narrow" w:hAnsi="Arial Narrow" w:cs="Times New Roman"/>
                <w:iCs/>
                <w:sz w:val="20"/>
              </w:rPr>
              <w:t xml:space="preserve"> 16.  Switching not permitted for ADA group.</w:t>
            </w:r>
          </w:p>
        </w:tc>
        <w:tc>
          <w:tcPr>
            <w:tcW w:w="462" w:type="pct"/>
            <w:shd w:val="clear" w:color="auto" w:fill="auto"/>
            <w:vAlign w:val="center"/>
          </w:tcPr>
          <w:p w:rsidR="00693C72" w:rsidRPr="009F3167" w:rsidRDefault="00693C72" w:rsidP="00B523DB">
            <w:pPr>
              <w:keepNext/>
              <w:keepLines/>
              <w:widowControl/>
              <w:jc w:val="center"/>
              <w:rPr>
                <w:rFonts w:ascii="Arial Narrow" w:hAnsi="Arial Narrow" w:cs="Times New Roman"/>
                <w:iCs/>
                <w:sz w:val="20"/>
              </w:rPr>
            </w:pPr>
            <w:r w:rsidRPr="009F3167">
              <w:rPr>
                <w:rFonts w:ascii="Arial Narrow" w:hAnsi="Arial Narrow"/>
                <w:iCs/>
                <w:sz w:val="20"/>
              </w:rPr>
              <w:t>Low</w:t>
            </w:r>
          </w:p>
        </w:tc>
        <w:tc>
          <w:tcPr>
            <w:tcW w:w="1011" w:type="pct"/>
            <w:vMerge w:val="restart"/>
            <w:shd w:val="clear" w:color="auto" w:fill="auto"/>
            <w:vAlign w:val="center"/>
          </w:tcPr>
          <w:p w:rsidR="00693C72" w:rsidRPr="009F3167" w:rsidRDefault="00693C72" w:rsidP="00B523DB">
            <w:pPr>
              <w:keepNext/>
              <w:keepLines/>
              <w:widowControl/>
              <w:jc w:val="center"/>
              <w:rPr>
                <w:rFonts w:ascii="Arial Narrow" w:hAnsi="Arial Narrow"/>
                <w:iCs/>
                <w:sz w:val="20"/>
                <w:lang w:val="it-IT"/>
              </w:rPr>
            </w:pPr>
            <w:r w:rsidRPr="009F3167">
              <w:rPr>
                <w:rFonts w:ascii="Arial Narrow" w:hAnsi="Arial Narrow"/>
                <w:iCs/>
                <w:sz w:val="20"/>
                <w:lang w:val="it-IT"/>
              </w:rPr>
              <w:t>Moderate to severe CPP;</w:t>
            </w:r>
          </w:p>
          <w:p w:rsidR="00693C72" w:rsidRPr="009F3167" w:rsidRDefault="00693C72" w:rsidP="00B523DB">
            <w:pPr>
              <w:keepNext/>
              <w:keepLines/>
              <w:widowControl/>
              <w:jc w:val="center"/>
              <w:rPr>
                <w:rFonts w:ascii="Arial Narrow" w:hAnsi="Arial Narrow"/>
                <w:iCs/>
                <w:sz w:val="20"/>
                <w:lang w:val="it-IT"/>
              </w:rPr>
            </w:pPr>
            <w:r w:rsidRPr="009F3167">
              <w:rPr>
                <w:rFonts w:ascii="Arial Narrow" w:hAnsi="Arial Narrow"/>
                <w:iCs/>
                <w:sz w:val="20"/>
                <w:lang w:val="it-IT"/>
              </w:rPr>
              <w:t>IGA</w:t>
            </w:r>
            <w:r w:rsidRPr="009F3167">
              <w:rPr>
                <w:rFonts w:ascii="Arial Narrow" w:hAnsi="Arial Narrow"/>
                <w:iCs/>
                <w:sz w:val="20"/>
                <w:u w:val="single"/>
                <w:lang w:val="it-IT"/>
              </w:rPr>
              <w:t>&gt;</w:t>
            </w:r>
            <w:r w:rsidRPr="009F3167">
              <w:rPr>
                <w:rFonts w:ascii="Arial Narrow" w:hAnsi="Arial Narrow"/>
                <w:iCs/>
                <w:sz w:val="20"/>
                <w:lang w:val="it-IT"/>
              </w:rPr>
              <w:t xml:space="preserve">3, PASI score </w:t>
            </w:r>
            <w:r w:rsidRPr="009F3167">
              <w:rPr>
                <w:rFonts w:ascii="Arial Narrow" w:hAnsi="Arial Narrow"/>
                <w:iCs/>
                <w:sz w:val="20"/>
                <w:u w:val="single"/>
                <w:lang w:val="it-IT"/>
              </w:rPr>
              <w:t>&gt;</w:t>
            </w:r>
            <w:r w:rsidRPr="009F3167">
              <w:rPr>
                <w:rFonts w:ascii="Arial Narrow" w:hAnsi="Arial Narrow"/>
                <w:iCs/>
                <w:sz w:val="20"/>
                <w:lang w:val="it-IT"/>
              </w:rPr>
              <w:t>12, BSA</w:t>
            </w:r>
            <w:r w:rsidRPr="009F3167">
              <w:rPr>
                <w:rFonts w:ascii="Arial Narrow" w:hAnsi="Arial Narrow"/>
                <w:iCs/>
                <w:sz w:val="20"/>
                <w:u w:val="single"/>
                <w:lang w:val="it-IT"/>
              </w:rPr>
              <w:t>&gt;</w:t>
            </w:r>
            <w:r w:rsidRPr="009F3167">
              <w:rPr>
                <w:rFonts w:ascii="Arial Narrow" w:hAnsi="Arial Narrow"/>
                <w:iCs/>
                <w:sz w:val="20"/>
                <w:lang w:val="it-IT"/>
              </w:rPr>
              <w:t>10%</w:t>
            </w:r>
          </w:p>
        </w:tc>
        <w:tc>
          <w:tcPr>
            <w:tcW w:w="834" w:type="pct"/>
            <w:vMerge w:val="restar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IGA 0/1, PASI 90, PASI 75 at </w:t>
            </w:r>
            <w:proofErr w:type="spellStart"/>
            <w:r w:rsidRPr="009F3167">
              <w:rPr>
                <w:rFonts w:ascii="Arial Narrow" w:hAnsi="Arial Narrow"/>
                <w:iCs/>
                <w:sz w:val="20"/>
              </w:rPr>
              <w:t>Wk</w:t>
            </w:r>
            <w:proofErr w:type="spellEnd"/>
            <w:r w:rsidRPr="009F3167">
              <w:rPr>
                <w:rFonts w:ascii="Arial Narrow" w:hAnsi="Arial Narrow"/>
                <w:iCs/>
                <w:sz w:val="20"/>
              </w:rPr>
              <w:t xml:space="preserve"> 16.</w:t>
            </w:r>
          </w:p>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Versus ADA PASI 75 and PASI 90 at </w:t>
            </w:r>
            <w:proofErr w:type="spellStart"/>
            <w:r w:rsidRPr="009F3167">
              <w:rPr>
                <w:rFonts w:ascii="Arial Narrow" w:hAnsi="Arial Narrow"/>
                <w:iCs/>
                <w:sz w:val="20"/>
              </w:rPr>
              <w:t>Wks</w:t>
            </w:r>
            <w:proofErr w:type="spellEnd"/>
            <w:r w:rsidRPr="009F3167">
              <w:rPr>
                <w:rFonts w:ascii="Arial Narrow" w:hAnsi="Arial Narrow"/>
                <w:iCs/>
                <w:sz w:val="20"/>
              </w:rPr>
              <w:t xml:space="preserve"> 24 and 48 (VOYAGE 1 only)  </w:t>
            </w:r>
          </w:p>
        </w:tc>
      </w:tr>
      <w:tr w:rsidR="00693C72" w:rsidRPr="009F3167" w:rsidTr="00083A5D">
        <w:trPr>
          <w:gridAfter w:val="1"/>
          <w:wAfter w:w="4" w:type="pct"/>
        </w:trPr>
        <w:tc>
          <w:tcPr>
            <w:tcW w:w="609" w:type="pct"/>
            <w:shd w:val="clear" w:color="auto" w:fill="auto"/>
            <w:vAlign w:val="center"/>
          </w:tcPr>
          <w:p w:rsidR="00693C72" w:rsidRPr="009F3167" w:rsidRDefault="00693C72" w:rsidP="00B523DB">
            <w:pPr>
              <w:keepNext/>
              <w:keepLines/>
              <w:widowControl/>
              <w:rPr>
                <w:rFonts w:ascii="Arial Narrow" w:hAnsi="Arial Narrow" w:cs="Times New Roman"/>
                <w:iCs/>
                <w:sz w:val="20"/>
              </w:rPr>
            </w:pPr>
            <w:r w:rsidRPr="009F3167">
              <w:rPr>
                <w:rFonts w:ascii="Arial Narrow" w:hAnsi="Arial Narrow" w:cs="Times New Roman"/>
                <w:iCs/>
                <w:sz w:val="20"/>
              </w:rPr>
              <w:t>GUS</w:t>
            </w:r>
            <w:r w:rsidRPr="009F3167">
              <w:rPr>
                <w:rFonts w:ascii="Arial Narrow" w:hAnsi="Arial Narrow" w:cs="Times New Roman"/>
                <w:iCs/>
                <w:sz w:val="20"/>
                <w:vertAlign w:val="subscript"/>
              </w:rPr>
              <w:t>2</w:t>
            </w:r>
          </w:p>
          <w:p w:rsidR="00693C72" w:rsidRPr="009F3167" w:rsidRDefault="00693C72" w:rsidP="00B523DB">
            <w:pPr>
              <w:keepNext/>
              <w:keepLines/>
              <w:widowControl/>
              <w:rPr>
                <w:rFonts w:ascii="Arial Narrow" w:hAnsi="Arial Narrow" w:cs="Times New Roman"/>
                <w:iCs/>
                <w:sz w:val="20"/>
              </w:rPr>
            </w:pPr>
            <w:r w:rsidRPr="009F3167">
              <w:rPr>
                <w:rFonts w:ascii="Arial Narrow" w:hAnsi="Arial Narrow" w:cs="Times New Roman"/>
                <w:iCs/>
                <w:sz w:val="20"/>
              </w:rPr>
              <w:t>(VOYAGE-2)</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cs="Times New Roman"/>
                <w:iCs/>
                <w:sz w:val="20"/>
              </w:rPr>
            </w:pPr>
            <w:r w:rsidRPr="009F3167">
              <w:rPr>
                <w:rFonts w:ascii="Arial Narrow" w:hAnsi="Arial Narrow" w:cs="Times New Roman"/>
                <w:iCs/>
                <w:sz w:val="20"/>
              </w:rPr>
              <w:t>992</w:t>
            </w:r>
          </w:p>
        </w:tc>
        <w:tc>
          <w:tcPr>
            <w:tcW w:w="1775"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R, DB, MC, 28 </w:t>
            </w:r>
            <w:proofErr w:type="spellStart"/>
            <w:r w:rsidRPr="009F3167">
              <w:rPr>
                <w:rFonts w:ascii="Arial Narrow" w:hAnsi="Arial Narrow"/>
                <w:iCs/>
                <w:sz w:val="20"/>
              </w:rPr>
              <w:t>wks</w:t>
            </w:r>
            <w:proofErr w:type="spellEnd"/>
          </w:p>
          <w:p w:rsidR="00693C72" w:rsidRPr="009F3167" w:rsidRDefault="00693C72" w:rsidP="00B523DB">
            <w:pPr>
              <w:keepNext/>
              <w:keepLines/>
              <w:widowControl/>
              <w:rPr>
                <w:iCs/>
              </w:rPr>
            </w:pPr>
            <w:r w:rsidRPr="009F3167">
              <w:rPr>
                <w:rFonts w:ascii="Arial Narrow" w:hAnsi="Arial Narrow" w:cs="Times New Roman"/>
                <w:iCs/>
                <w:sz w:val="20"/>
              </w:rPr>
              <w:t xml:space="preserve">PBO patients crossed over to GUS at Week 16. </w:t>
            </w:r>
          </w:p>
        </w:tc>
        <w:tc>
          <w:tcPr>
            <w:tcW w:w="462" w:type="pct"/>
            <w:shd w:val="clear" w:color="auto" w:fill="auto"/>
            <w:vAlign w:val="center"/>
          </w:tcPr>
          <w:p w:rsidR="00693C72" w:rsidRPr="009F3167" w:rsidRDefault="00693C72" w:rsidP="00B523DB">
            <w:pPr>
              <w:keepNext/>
              <w:keepLines/>
              <w:widowControl/>
              <w:jc w:val="center"/>
              <w:rPr>
                <w:rFonts w:ascii="Arial Narrow" w:hAnsi="Arial Narrow" w:cs="Times New Roman"/>
                <w:iCs/>
                <w:sz w:val="20"/>
              </w:rPr>
            </w:pPr>
            <w:r w:rsidRPr="009F3167">
              <w:rPr>
                <w:rFonts w:ascii="Arial Narrow" w:hAnsi="Arial Narrow"/>
                <w:iCs/>
                <w:sz w:val="20"/>
              </w:rPr>
              <w:t>Low</w:t>
            </w:r>
          </w:p>
        </w:tc>
        <w:tc>
          <w:tcPr>
            <w:tcW w:w="1011"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c>
          <w:tcPr>
            <w:tcW w:w="834"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r>
      <w:tr w:rsidR="00693C72" w:rsidRPr="009F3167" w:rsidTr="00083A5D">
        <w:tc>
          <w:tcPr>
            <w:tcW w:w="5000" w:type="pct"/>
            <w:gridSpan w:val="7"/>
            <w:shd w:val="clear" w:color="auto" w:fill="auto"/>
            <w:vAlign w:val="center"/>
          </w:tcPr>
          <w:p w:rsidR="00693C72" w:rsidRPr="009F3167" w:rsidRDefault="00693C72" w:rsidP="00B523DB">
            <w:pPr>
              <w:keepNext/>
              <w:keepLines/>
              <w:widowControl/>
              <w:rPr>
                <w:rFonts w:ascii="Times" w:hAnsi="Times" w:cs="Times New Roman"/>
                <w:iCs/>
                <w:sz w:val="20"/>
              </w:rPr>
            </w:pPr>
            <w:r w:rsidRPr="009F3167">
              <w:rPr>
                <w:rFonts w:ascii="Arial Narrow" w:hAnsi="Arial Narrow"/>
                <w:b/>
                <w:iCs/>
                <w:sz w:val="20"/>
              </w:rPr>
              <w:t>UST vs PBO</w:t>
            </w:r>
          </w:p>
        </w:tc>
      </w:tr>
      <w:tr w:rsidR="00693C72" w:rsidRPr="009F3167" w:rsidTr="00083A5D">
        <w:trPr>
          <w:gridAfter w:val="1"/>
          <w:wAfter w:w="4" w:type="pct"/>
        </w:trPr>
        <w:tc>
          <w:tcPr>
            <w:tcW w:w="609" w:type="pct"/>
            <w:shd w:val="clear" w:color="auto" w:fill="auto"/>
            <w:vAlign w:val="center"/>
          </w:tcPr>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UST</w:t>
            </w:r>
            <w:r w:rsidRPr="009F3167">
              <w:rPr>
                <w:rFonts w:ascii="Arial Narrow" w:hAnsi="Arial Narrow"/>
                <w:iCs/>
                <w:sz w:val="20"/>
                <w:vertAlign w:val="subscript"/>
              </w:rPr>
              <w:t>1</w:t>
            </w:r>
          </w:p>
          <w:p w:rsidR="00693C72" w:rsidRPr="009F3167" w:rsidRDefault="00693C72" w:rsidP="00B523DB">
            <w:pPr>
              <w:keepNext/>
              <w:keepLines/>
              <w:widowControl/>
              <w:rPr>
                <w:rFonts w:ascii="Times" w:hAnsi="Times" w:cs="Times New Roman"/>
                <w:iCs/>
                <w:sz w:val="20"/>
              </w:rPr>
            </w:pPr>
            <w:r w:rsidRPr="009F3167">
              <w:rPr>
                <w:rFonts w:ascii="Arial Narrow" w:hAnsi="Arial Narrow"/>
                <w:iCs/>
                <w:sz w:val="20"/>
              </w:rPr>
              <w:t>(PHOENIX 1)</w:t>
            </w:r>
          </w:p>
        </w:tc>
        <w:tc>
          <w:tcPr>
            <w:tcW w:w="306" w:type="pct"/>
            <w:shd w:val="clear" w:color="auto" w:fill="auto"/>
            <w:vAlign w:val="center"/>
          </w:tcPr>
          <w:p w:rsidR="00693C72" w:rsidRPr="009F3167" w:rsidRDefault="00693C72" w:rsidP="00B523DB">
            <w:pPr>
              <w:keepNext/>
              <w:keepLines/>
              <w:widowControl/>
              <w:jc w:val="center"/>
              <w:rPr>
                <w:rFonts w:ascii="Times" w:hAnsi="Times" w:cs="Times New Roman"/>
                <w:iCs/>
                <w:sz w:val="20"/>
              </w:rPr>
            </w:pPr>
            <w:r w:rsidRPr="009F3167">
              <w:rPr>
                <w:rFonts w:ascii="Arial Narrow" w:hAnsi="Arial Narrow"/>
                <w:iCs/>
                <w:sz w:val="20"/>
              </w:rPr>
              <w:t>766</w:t>
            </w:r>
          </w:p>
        </w:tc>
        <w:tc>
          <w:tcPr>
            <w:tcW w:w="1775"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R, DB MC, 40 wks.  </w:t>
            </w:r>
            <w:r w:rsidRPr="009F3167">
              <w:rPr>
                <w:rFonts w:ascii="Arial Narrow" w:hAnsi="Arial Narrow" w:cs="Times New Roman"/>
                <w:iCs/>
                <w:sz w:val="20"/>
              </w:rPr>
              <w:t xml:space="preserve">PBO patients crossed-over to UST at Week 12.  </w:t>
            </w:r>
            <w:proofErr w:type="spellStart"/>
            <w:r w:rsidRPr="009F3167">
              <w:rPr>
                <w:rFonts w:ascii="Arial Narrow" w:hAnsi="Arial Narrow" w:cs="Times New Roman"/>
                <w:iCs/>
                <w:sz w:val="20"/>
              </w:rPr>
              <w:t>Wk</w:t>
            </w:r>
            <w:proofErr w:type="spellEnd"/>
            <w:r w:rsidRPr="009F3167">
              <w:rPr>
                <w:rFonts w:ascii="Arial Narrow" w:hAnsi="Arial Narrow" w:cs="Times New Roman"/>
                <w:iCs/>
                <w:sz w:val="20"/>
              </w:rPr>
              <w:t xml:space="preserve"> 40 to 72: randomised withdrawal phase</w:t>
            </w:r>
            <w:r w:rsidRPr="009F3167">
              <w:rPr>
                <w:rFonts w:ascii="Arial Narrow" w:hAnsi="Arial Narrow" w:cs="Times New Roman"/>
                <w:iCs/>
                <w:sz w:val="20"/>
                <w:vertAlign w:val="superscript"/>
              </w:rPr>
              <w:t xml:space="preserve"> b </w:t>
            </w:r>
          </w:p>
        </w:tc>
        <w:tc>
          <w:tcPr>
            <w:tcW w:w="462" w:type="pct"/>
            <w:shd w:val="clear" w:color="auto" w:fill="auto"/>
            <w:vAlign w:val="center"/>
          </w:tcPr>
          <w:p w:rsidR="00693C72" w:rsidRPr="009F3167" w:rsidRDefault="00693C72" w:rsidP="00B523DB">
            <w:pPr>
              <w:keepNext/>
              <w:keepLines/>
              <w:widowControl/>
              <w:jc w:val="center"/>
              <w:rPr>
                <w:rFonts w:ascii="Times" w:hAnsi="Times" w:cs="Times New Roman"/>
                <w:iCs/>
                <w:sz w:val="20"/>
              </w:rPr>
            </w:pPr>
            <w:r w:rsidRPr="009F3167">
              <w:rPr>
                <w:rFonts w:ascii="Arial Narrow" w:hAnsi="Arial Narrow"/>
                <w:iCs/>
                <w:sz w:val="20"/>
              </w:rPr>
              <w:t>Low</w:t>
            </w:r>
          </w:p>
        </w:tc>
        <w:tc>
          <w:tcPr>
            <w:tcW w:w="1011" w:type="pct"/>
            <w:vMerge w:val="restar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Moderate to severe CPP;</w:t>
            </w:r>
          </w:p>
          <w:p w:rsidR="00693C72" w:rsidRPr="009F3167" w:rsidRDefault="00693C72" w:rsidP="00B523DB">
            <w:pPr>
              <w:keepNext/>
              <w:keepLines/>
              <w:widowControl/>
              <w:jc w:val="center"/>
              <w:rPr>
                <w:rFonts w:ascii="Times" w:hAnsi="Times" w:cs="Times New Roman"/>
                <w:iCs/>
                <w:sz w:val="20"/>
              </w:rPr>
            </w:pPr>
            <w:r w:rsidRPr="009F3167">
              <w:rPr>
                <w:rFonts w:ascii="Arial Narrow" w:hAnsi="Arial Narrow"/>
                <w:iCs/>
                <w:sz w:val="20"/>
              </w:rPr>
              <w:t xml:space="preserve">PASI score </w:t>
            </w:r>
            <w:r w:rsidRPr="009F3167">
              <w:rPr>
                <w:rFonts w:ascii="Arial Narrow" w:hAnsi="Arial Narrow"/>
                <w:iCs/>
                <w:sz w:val="20"/>
                <w:u w:val="single"/>
              </w:rPr>
              <w:t>&gt;</w:t>
            </w:r>
            <w:r w:rsidRPr="009F3167">
              <w:rPr>
                <w:rFonts w:ascii="Arial Narrow" w:hAnsi="Arial Narrow"/>
                <w:iCs/>
                <w:sz w:val="20"/>
              </w:rPr>
              <w:t>12, BSA</w:t>
            </w:r>
            <w:r w:rsidRPr="009F3167">
              <w:rPr>
                <w:rFonts w:ascii="Arial Narrow" w:hAnsi="Arial Narrow"/>
                <w:iCs/>
                <w:sz w:val="20"/>
                <w:u w:val="single"/>
              </w:rPr>
              <w:t>&gt;</w:t>
            </w:r>
            <w:r w:rsidRPr="009F3167">
              <w:rPr>
                <w:rFonts w:ascii="Arial Narrow" w:hAnsi="Arial Narrow"/>
                <w:iCs/>
                <w:sz w:val="20"/>
              </w:rPr>
              <w:t>10%</w:t>
            </w:r>
          </w:p>
        </w:tc>
        <w:tc>
          <w:tcPr>
            <w:tcW w:w="834" w:type="pct"/>
            <w:vMerge w:val="restar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PASI 75 at </w:t>
            </w:r>
            <w:proofErr w:type="spellStart"/>
            <w:r w:rsidRPr="009F3167">
              <w:rPr>
                <w:rFonts w:ascii="Arial Narrow" w:hAnsi="Arial Narrow"/>
                <w:iCs/>
                <w:sz w:val="20"/>
              </w:rPr>
              <w:t>Wk</w:t>
            </w:r>
            <w:proofErr w:type="spellEnd"/>
            <w:r w:rsidRPr="009F3167">
              <w:rPr>
                <w:rFonts w:ascii="Arial Narrow" w:hAnsi="Arial Narrow"/>
                <w:iCs/>
                <w:sz w:val="20"/>
              </w:rPr>
              <w:t xml:space="preserve"> 12.</w:t>
            </w:r>
          </w:p>
          <w:p w:rsidR="00693C72" w:rsidRPr="009F3167" w:rsidRDefault="00693C72" w:rsidP="00B523DB">
            <w:pPr>
              <w:keepNext/>
              <w:keepLines/>
              <w:widowControl/>
              <w:jc w:val="center"/>
              <w:rPr>
                <w:rFonts w:ascii="Arial Narrow" w:hAnsi="Arial Narrow"/>
                <w:iCs/>
                <w:sz w:val="20"/>
              </w:rPr>
            </w:pPr>
          </w:p>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Maintenance of PASI response thru to trial end.</w:t>
            </w:r>
          </w:p>
        </w:tc>
      </w:tr>
      <w:tr w:rsidR="00693C72" w:rsidRPr="009F3167" w:rsidTr="00083A5D">
        <w:trPr>
          <w:gridAfter w:val="1"/>
          <w:wAfter w:w="4" w:type="pct"/>
        </w:trPr>
        <w:tc>
          <w:tcPr>
            <w:tcW w:w="609" w:type="pct"/>
            <w:shd w:val="clear" w:color="auto" w:fill="auto"/>
            <w:vAlign w:val="center"/>
          </w:tcPr>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UST</w:t>
            </w:r>
            <w:r w:rsidRPr="009F3167">
              <w:rPr>
                <w:rFonts w:ascii="Arial Narrow" w:hAnsi="Arial Narrow"/>
                <w:iCs/>
                <w:sz w:val="20"/>
                <w:vertAlign w:val="subscript"/>
              </w:rPr>
              <w:t>2</w:t>
            </w:r>
          </w:p>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(PHOENIX 2)</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1230</w:t>
            </w:r>
          </w:p>
        </w:tc>
        <w:tc>
          <w:tcPr>
            <w:tcW w:w="1775" w:type="pct"/>
            <w:shd w:val="clear" w:color="auto" w:fill="auto"/>
            <w:vAlign w:val="center"/>
          </w:tcPr>
          <w:p w:rsidR="00693C72" w:rsidRPr="009F3167" w:rsidRDefault="00693C72" w:rsidP="00B523DB">
            <w:pPr>
              <w:keepNext/>
              <w:keepLines/>
              <w:widowControl/>
              <w:jc w:val="left"/>
              <w:rPr>
                <w:rFonts w:ascii="Arial Narrow" w:hAnsi="Arial Narrow"/>
                <w:iCs/>
                <w:sz w:val="20"/>
              </w:rPr>
            </w:pPr>
            <w:r w:rsidRPr="009F3167">
              <w:rPr>
                <w:rFonts w:ascii="Arial Narrow" w:hAnsi="Arial Narrow"/>
                <w:iCs/>
                <w:sz w:val="20"/>
              </w:rPr>
              <w:t xml:space="preserve">R, DB, MC, 28 </w:t>
            </w:r>
            <w:proofErr w:type="spellStart"/>
            <w:r w:rsidRPr="009F3167">
              <w:rPr>
                <w:rFonts w:ascii="Arial Narrow" w:hAnsi="Arial Narrow"/>
                <w:iCs/>
                <w:sz w:val="20"/>
              </w:rPr>
              <w:t>wks</w:t>
            </w:r>
            <w:proofErr w:type="spellEnd"/>
            <w:r w:rsidRPr="009F3167">
              <w:rPr>
                <w:rFonts w:ascii="Arial Narrow" w:hAnsi="Arial Narrow"/>
                <w:iCs/>
                <w:sz w:val="20"/>
              </w:rPr>
              <w:t>,</w:t>
            </w:r>
            <w:r w:rsidRPr="009F3167" w:rsidDel="00035C7C">
              <w:rPr>
                <w:rFonts w:ascii="Arial Narrow" w:hAnsi="Arial Narrow"/>
                <w:iCs/>
                <w:sz w:val="20"/>
              </w:rPr>
              <w:t xml:space="preserve"> </w:t>
            </w:r>
            <w:r w:rsidRPr="009F3167">
              <w:rPr>
                <w:rFonts w:ascii="Arial Narrow" w:hAnsi="Arial Narrow" w:cs="Times New Roman"/>
                <w:iCs/>
                <w:sz w:val="20"/>
              </w:rPr>
              <w:t xml:space="preserve">PBO patients crossed-over to UST at Week 12.  Wk28 -52: randomised dose intensification phase. </w:t>
            </w:r>
          </w:p>
        </w:tc>
        <w:tc>
          <w:tcPr>
            <w:tcW w:w="462"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Low</w:t>
            </w:r>
          </w:p>
        </w:tc>
        <w:tc>
          <w:tcPr>
            <w:tcW w:w="1011"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c>
          <w:tcPr>
            <w:tcW w:w="834"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r>
      <w:tr w:rsidR="00693C72" w:rsidRPr="009F3167" w:rsidTr="00083A5D">
        <w:trPr>
          <w:gridAfter w:val="1"/>
          <w:wAfter w:w="4" w:type="pct"/>
        </w:trPr>
        <w:tc>
          <w:tcPr>
            <w:tcW w:w="609" w:type="pct"/>
            <w:shd w:val="clear" w:color="auto" w:fill="auto"/>
            <w:vAlign w:val="center"/>
          </w:tcPr>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UST</w:t>
            </w:r>
            <w:r w:rsidRPr="009F3167">
              <w:rPr>
                <w:rFonts w:ascii="Arial Narrow" w:hAnsi="Arial Narrow"/>
                <w:iCs/>
                <w:sz w:val="20"/>
                <w:vertAlign w:val="subscript"/>
              </w:rPr>
              <w:t>3</w:t>
            </w:r>
          </w:p>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(PEARL)</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121</w:t>
            </w:r>
          </w:p>
        </w:tc>
        <w:tc>
          <w:tcPr>
            <w:tcW w:w="1775"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R, DB, MC, 36 </w:t>
            </w:r>
            <w:proofErr w:type="spellStart"/>
            <w:r w:rsidRPr="009F3167">
              <w:rPr>
                <w:rFonts w:ascii="Arial Narrow" w:hAnsi="Arial Narrow"/>
                <w:iCs/>
                <w:sz w:val="20"/>
              </w:rPr>
              <w:t>wks</w:t>
            </w:r>
            <w:proofErr w:type="spellEnd"/>
            <w:r w:rsidRPr="009F3167">
              <w:rPr>
                <w:rFonts w:ascii="Arial Narrow" w:hAnsi="Arial Narrow"/>
                <w:iCs/>
                <w:sz w:val="20"/>
              </w:rPr>
              <w:t xml:space="preserve"> (efficacy results up to 28 weeks). </w:t>
            </w:r>
            <w:r w:rsidRPr="009F3167">
              <w:rPr>
                <w:rFonts w:ascii="Arial Narrow" w:hAnsi="Arial Narrow" w:cs="Times New Roman"/>
                <w:iCs/>
                <w:sz w:val="20"/>
              </w:rPr>
              <w:t>PBO patients crossed-over to UST at Week 12.</w:t>
            </w:r>
          </w:p>
        </w:tc>
        <w:tc>
          <w:tcPr>
            <w:tcW w:w="462"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Low</w:t>
            </w:r>
          </w:p>
        </w:tc>
        <w:tc>
          <w:tcPr>
            <w:tcW w:w="1011"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Same as UST</w:t>
            </w:r>
            <w:r w:rsidRPr="009F3167">
              <w:rPr>
                <w:rFonts w:ascii="Arial Narrow" w:hAnsi="Arial Narrow"/>
                <w:iCs/>
                <w:sz w:val="20"/>
                <w:vertAlign w:val="subscript"/>
              </w:rPr>
              <w:t>1</w:t>
            </w:r>
            <w:r w:rsidRPr="009F3167">
              <w:rPr>
                <w:rFonts w:ascii="Arial Narrow" w:hAnsi="Arial Narrow"/>
                <w:iCs/>
                <w:sz w:val="20"/>
              </w:rPr>
              <w:t xml:space="preserve"> and UST</w:t>
            </w:r>
            <w:r w:rsidRPr="009F3167">
              <w:rPr>
                <w:rFonts w:ascii="Arial Narrow" w:hAnsi="Arial Narrow"/>
                <w:iCs/>
                <w:sz w:val="20"/>
                <w:vertAlign w:val="subscript"/>
              </w:rPr>
              <w:t>2</w:t>
            </w:r>
            <w:r w:rsidRPr="009F3167">
              <w:rPr>
                <w:rFonts w:ascii="Arial Narrow" w:hAnsi="Arial Narrow"/>
                <w:iCs/>
                <w:sz w:val="20"/>
              </w:rPr>
              <w:t>, but in Korean or Taiwanese pts</w:t>
            </w:r>
          </w:p>
        </w:tc>
        <w:tc>
          <w:tcPr>
            <w:tcW w:w="834"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r>
      <w:tr w:rsidR="00693C72" w:rsidRPr="009F3167" w:rsidTr="00083A5D">
        <w:trPr>
          <w:gridAfter w:val="1"/>
          <w:wAfter w:w="4" w:type="pct"/>
        </w:trPr>
        <w:tc>
          <w:tcPr>
            <w:tcW w:w="609" w:type="pct"/>
            <w:shd w:val="clear" w:color="auto" w:fill="auto"/>
            <w:vAlign w:val="center"/>
          </w:tcPr>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UST</w:t>
            </w:r>
            <w:r w:rsidRPr="009F3167">
              <w:rPr>
                <w:rFonts w:ascii="Arial Narrow" w:hAnsi="Arial Narrow"/>
                <w:iCs/>
                <w:sz w:val="20"/>
                <w:vertAlign w:val="subscript"/>
              </w:rPr>
              <w:t>4</w:t>
            </w:r>
          </w:p>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(LOTUS)</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322</w:t>
            </w:r>
          </w:p>
        </w:tc>
        <w:tc>
          <w:tcPr>
            <w:tcW w:w="1775"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R, DB, MC, 36 </w:t>
            </w:r>
            <w:proofErr w:type="spellStart"/>
            <w:r w:rsidRPr="009F3167">
              <w:rPr>
                <w:rFonts w:ascii="Arial Narrow" w:hAnsi="Arial Narrow"/>
                <w:iCs/>
                <w:sz w:val="20"/>
              </w:rPr>
              <w:t>wks</w:t>
            </w:r>
            <w:proofErr w:type="spellEnd"/>
            <w:r w:rsidRPr="009F3167">
              <w:rPr>
                <w:rFonts w:ascii="Arial Narrow" w:hAnsi="Arial Narrow"/>
                <w:iCs/>
                <w:sz w:val="20"/>
              </w:rPr>
              <w:t xml:space="preserve"> (efficacy results up to 28 weeks). </w:t>
            </w:r>
            <w:r w:rsidRPr="009F3167">
              <w:rPr>
                <w:rFonts w:ascii="Arial Narrow" w:hAnsi="Arial Narrow" w:cs="Times New Roman"/>
                <w:iCs/>
                <w:sz w:val="20"/>
              </w:rPr>
              <w:t>PBO patients crossed-over to UST at Week 12.</w:t>
            </w:r>
          </w:p>
        </w:tc>
        <w:tc>
          <w:tcPr>
            <w:tcW w:w="462"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Low</w:t>
            </w:r>
          </w:p>
        </w:tc>
        <w:tc>
          <w:tcPr>
            <w:tcW w:w="1011"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Same as UST</w:t>
            </w:r>
            <w:r w:rsidRPr="009F3167">
              <w:rPr>
                <w:rFonts w:ascii="Arial Narrow" w:hAnsi="Arial Narrow"/>
                <w:iCs/>
                <w:sz w:val="20"/>
                <w:vertAlign w:val="subscript"/>
              </w:rPr>
              <w:t>1</w:t>
            </w:r>
            <w:r w:rsidRPr="009F3167">
              <w:rPr>
                <w:rFonts w:ascii="Arial Narrow" w:hAnsi="Arial Narrow"/>
                <w:iCs/>
                <w:sz w:val="20"/>
              </w:rPr>
              <w:t xml:space="preserve"> and UST</w:t>
            </w:r>
            <w:r w:rsidRPr="009F3167">
              <w:rPr>
                <w:rFonts w:ascii="Arial Narrow" w:hAnsi="Arial Narrow"/>
                <w:iCs/>
                <w:sz w:val="20"/>
                <w:vertAlign w:val="subscript"/>
              </w:rPr>
              <w:t>2</w:t>
            </w:r>
            <w:r w:rsidRPr="009F3167">
              <w:rPr>
                <w:rFonts w:ascii="Arial Narrow" w:hAnsi="Arial Narrow"/>
                <w:iCs/>
                <w:sz w:val="20"/>
              </w:rPr>
              <w:t>, but in Chinese pts</w:t>
            </w:r>
          </w:p>
        </w:tc>
        <w:tc>
          <w:tcPr>
            <w:tcW w:w="834"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r>
      <w:tr w:rsidR="00693C72" w:rsidRPr="009F3167" w:rsidTr="00083A5D">
        <w:trPr>
          <w:gridAfter w:val="1"/>
          <w:wAfter w:w="4" w:type="pct"/>
        </w:trPr>
        <w:tc>
          <w:tcPr>
            <w:tcW w:w="609" w:type="pct"/>
            <w:shd w:val="clear" w:color="auto" w:fill="auto"/>
            <w:vAlign w:val="center"/>
          </w:tcPr>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UST</w:t>
            </w:r>
            <w:r w:rsidRPr="009F3167">
              <w:rPr>
                <w:rFonts w:ascii="Arial Narrow" w:hAnsi="Arial Narrow"/>
                <w:iCs/>
                <w:sz w:val="20"/>
                <w:vertAlign w:val="subscript"/>
              </w:rPr>
              <w:t>5</w:t>
            </w:r>
          </w:p>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(Igarashi 2012)</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158</w:t>
            </w:r>
          </w:p>
        </w:tc>
        <w:tc>
          <w:tcPr>
            <w:tcW w:w="1775" w:type="pct"/>
            <w:shd w:val="clear" w:color="auto" w:fill="auto"/>
            <w:vAlign w:val="center"/>
          </w:tcPr>
          <w:p w:rsidR="00693C72" w:rsidRPr="009F3167" w:rsidRDefault="00693C72" w:rsidP="00E72BED">
            <w:pPr>
              <w:keepNext/>
              <w:keepLines/>
              <w:widowControl/>
              <w:jc w:val="left"/>
              <w:rPr>
                <w:rFonts w:ascii="Arial Narrow" w:hAnsi="Arial Narrow"/>
                <w:iCs/>
                <w:sz w:val="20"/>
              </w:rPr>
            </w:pPr>
            <w:r w:rsidRPr="009F3167">
              <w:rPr>
                <w:rFonts w:ascii="Arial Narrow" w:hAnsi="Arial Narrow"/>
                <w:iCs/>
                <w:sz w:val="20"/>
              </w:rPr>
              <w:t>R, DB,</w:t>
            </w:r>
            <w:r w:rsidRPr="009F3167" w:rsidDel="00035C7C">
              <w:rPr>
                <w:rFonts w:ascii="Arial Narrow" w:hAnsi="Arial Narrow"/>
                <w:iCs/>
                <w:sz w:val="20"/>
              </w:rPr>
              <w:t xml:space="preserve"> </w:t>
            </w:r>
            <w:r w:rsidRPr="009F3167">
              <w:rPr>
                <w:rFonts w:ascii="Arial Narrow" w:hAnsi="Arial Narrow"/>
                <w:iCs/>
                <w:sz w:val="20"/>
              </w:rPr>
              <w:t xml:space="preserve">MC, 72 </w:t>
            </w:r>
            <w:proofErr w:type="spellStart"/>
            <w:r w:rsidRPr="009F3167">
              <w:rPr>
                <w:rFonts w:ascii="Arial Narrow" w:hAnsi="Arial Narrow"/>
                <w:iCs/>
                <w:sz w:val="20"/>
              </w:rPr>
              <w:t>wks</w:t>
            </w:r>
            <w:proofErr w:type="spellEnd"/>
            <w:r w:rsidRPr="009F3167">
              <w:rPr>
                <w:rFonts w:ascii="Arial Narrow" w:hAnsi="Arial Narrow"/>
                <w:iCs/>
                <w:sz w:val="20"/>
              </w:rPr>
              <w:t xml:space="preserve"> (efficacy results up to 64 </w:t>
            </w:r>
            <w:proofErr w:type="spellStart"/>
            <w:r w:rsidRPr="009F3167">
              <w:rPr>
                <w:rFonts w:ascii="Arial Narrow" w:hAnsi="Arial Narrow"/>
                <w:iCs/>
                <w:sz w:val="20"/>
              </w:rPr>
              <w:t>wks</w:t>
            </w:r>
            <w:proofErr w:type="spellEnd"/>
            <w:r w:rsidRPr="009F3167">
              <w:rPr>
                <w:rFonts w:ascii="Arial Narrow" w:hAnsi="Arial Narrow"/>
                <w:iCs/>
                <w:sz w:val="20"/>
              </w:rPr>
              <w:t>),</w:t>
            </w:r>
            <w:r w:rsidRPr="009F3167" w:rsidDel="00035C7C">
              <w:rPr>
                <w:rFonts w:ascii="Arial Narrow" w:hAnsi="Arial Narrow"/>
                <w:iCs/>
                <w:sz w:val="20"/>
              </w:rPr>
              <w:t xml:space="preserve"> </w:t>
            </w:r>
            <w:r w:rsidRPr="009F3167">
              <w:rPr>
                <w:rFonts w:ascii="Arial Narrow" w:hAnsi="Arial Narrow" w:cs="Times New Roman"/>
                <w:iCs/>
                <w:sz w:val="20"/>
              </w:rPr>
              <w:t>PBO patients crossed-over to UST at Week 12.</w:t>
            </w:r>
          </w:p>
        </w:tc>
        <w:tc>
          <w:tcPr>
            <w:tcW w:w="462"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Low</w:t>
            </w:r>
          </w:p>
        </w:tc>
        <w:tc>
          <w:tcPr>
            <w:tcW w:w="1011"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Same as UST</w:t>
            </w:r>
            <w:r w:rsidRPr="009F3167">
              <w:rPr>
                <w:rFonts w:ascii="Arial Narrow" w:hAnsi="Arial Narrow"/>
                <w:iCs/>
                <w:sz w:val="20"/>
                <w:vertAlign w:val="subscript"/>
              </w:rPr>
              <w:t>1</w:t>
            </w:r>
            <w:r w:rsidRPr="009F3167">
              <w:rPr>
                <w:rFonts w:ascii="Arial Narrow" w:hAnsi="Arial Narrow"/>
                <w:iCs/>
                <w:sz w:val="20"/>
              </w:rPr>
              <w:t xml:space="preserve"> and UST</w:t>
            </w:r>
            <w:r w:rsidRPr="009F3167">
              <w:rPr>
                <w:rFonts w:ascii="Arial Narrow" w:hAnsi="Arial Narrow"/>
                <w:iCs/>
                <w:sz w:val="20"/>
                <w:vertAlign w:val="subscript"/>
              </w:rPr>
              <w:t>2</w:t>
            </w:r>
            <w:r w:rsidRPr="009F3167">
              <w:rPr>
                <w:rFonts w:ascii="Arial Narrow" w:hAnsi="Arial Narrow"/>
                <w:iCs/>
                <w:sz w:val="20"/>
              </w:rPr>
              <w:t>, but in Japanese pts</w:t>
            </w:r>
          </w:p>
        </w:tc>
        <w:tc>
          <w:tcPr>
            <w:tcW w:w="834"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r>
      <w:tr w:rsidR="00693C72" w:rsidRPr="009F3167" w:rsidTr="00083A5D">
        <w:trPr>
          <w:gridAfter w:val="1"/>
          <w:wAfter w:w="4" w:type="pct"/>
          <w:trHeight w:val="729"/>
        </w:trPr>
        <w:tc>
          <w:tcPr>
            <w:tcW w:w="609" w:type="pct"/>
            <w:shd w:val="clear" w:color="auto" w:fill="auto"/>
            <w:vAlign w:val="center"/>
          </w:tcPr>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UST</w:t>
            </w:r>
            <w:r w:rsidRPr="009F3167">
              <w:rPr>
                <w:rFonts w:ascii="Arial Narrow" w:hAnsi="Arial Narrow"/>
                <w:iCs/>
                <w:sz w:val="20"/>
                <w:vertAlign w:val="subscript"/>
              </w:rPr>
              <w:t>6</w:t>
            </w:r>
          </w:p>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(AMAGINE-2)</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1831</w:t>
            </w:r>
          </w:p>
        </w:tc>
        <w:tc>
          <w:tcPr>
            <w:tcW w:w="1775" w:type="pct"/>
            <w:vMerge w:val="restar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R, DB, MC, 52 wks.</w:t>
            </w:r>
          </w:p>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Trial compared </w:t>
            </w:r>
            <w:proofErr w:type="spellStart"/>
            <w:r w:rsidRPr="009F3167">
              <w:rPr>
                <w:rFonts w:ascii="Arial Narrow" w:hAnsi="Arial Narrow"/>
                <w:iCs/>
                <w:sz w:val="20"/>
              </w:rPr>
              <w:t>brodalumab</w:t>
            </w:r>
            <w:proofErr w:type="spellEnd"/>
            <w:r w:rsidRPr="009F3167">
              <w:rPr>
                <w:rFonts w:ascii="Arial Narrow" w:hAnsi="Arial Narrow"/>
                <w:iCs/>
                <w:sz w:val="20"/>
              </w:rPr>
              <w:t xml:space="preserve">, UST and PBO.  PBO patients crossed-over to </w:t>
            </w:r>
            <w:proofErr w:type="spellStart"/>
            <w:r w:rsidRPr="009F3167">
              <w:rPr>
                <w:rFonts w:ascii="Arial Narrow" w:hAnsi="Arial Narrow"/>
                <w:iCs/>
                <w:sz w:val="20"/>
              </w:rPr>
              <w:t>brodalumab</w:t>
            </w:r>
            <w:proofErr w:type="spellEnd"/>
            <w:r w:rsidRPr="009F3167">
              <w:rPr>
                <w:rFonts w:ascii="Arial Narrow" w:hAnsi="Arial Narrow"/>
                <w:iCs/>
                <w:sz w:val="20"/>
              </w:rPr>
              <w:t xml:space="preserve"> at Week 12.</w:t>
            </w:r>
          </w:p>
        </w:tc>
        <w:tc>
          <w:tcPr>
            <w:tcW w:w="462"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Low</w:t>
            </w:r>
          </w:p>
        </w:tc>
        <w:tc>
          <w:tcPr>
            <w:tcW w:w="1011" w:type="pct"/>
            <w:vMerge w:val="restart"/>
            <w:shd w:val="clear" w:color="auto" w:fill="auto"/>
            <w:vAlign w:val="center"/>
          </w:tcPr>
          <w:p w:rsidR="00693C72" w:rsidRPr="009F3167" w:rsidRDefault="00693C72" w:rsidP="00B523DB">
            <w:pPr>
              <w:keepNext/>
              <w:keepLines/>
              <w:widowControl/>
              <w:jc w:val="center"/>
              <w:rPr>
                <w:rFonts w:ascii="Arial Narrow" w:hAnsi="Arial Narrow"/>
                <w:iCs/>
                <w:sz w:val="20"/>
                <w:lang w:val="it-IT"/>
              </w:rPr>
            </w:pPr>
            <w:r w:rsidRPr="009F3167">
              <w:rPr>
                <w:rFonts w:ascii="Arial Narrow" w:hAnsi="Arial Narrow"/>
                <w:iCs/>
                <w:sz w:val="20"/>
                <w:lang w:val="it-IT"/>
              </w:rPr>
              <w:t>Moderate to severe CPP;</w:t>
            </w:r>
          </w:p>
          <w:p w:rsidR="00693C72" w:rsidRPr="009F3167" w:rsidRDefault="00693C72" w:rsidP="00B523DB">
            <w:pPr>
              <w:keepNext/>
              <w:keepLines/>
              <w:widowControl/>
              <w:jc w:val="center"/>
              <w:rPr>
                <w:rFonts w:ascii="Arial Narrow" w:hAnsi="Arial Narrow"/>
                <w:iCs/>
                <w:sz w:val="20"/>
                <w:lang w:val="it-IT"/>
              </w:rPr>
            </w:pPr>
            <w:r w:rsidRPr="009F3167">
              <w:rPr>
                <w:rFonts w:ascii="Arial Narrow" w:hAnsi="Arial Narrow"/>
                <w:iCs/>
                <w:sz w:val="20"/>
                <w:lang w:val="it-IT"/>
              </w:rPr>
              <w:t xml:space="preserve">PASI score </w:t>
            </w:r>
            <w:r w:rsidRPr="009F3167">
              <w:rPr>
                <w:rFonts w:ascii="Arial Narrow" w:hAnsi="Arial Narrow"/>
                <w:iCs/>
                <w:sz w:val="20"/>
                <w:u w:val="single"/>
                <w:lang w:val="it-IT"/>
              </w:rPr>
              <w:t>&gt;</w:t>
            </w:r>
            <w:r w:rsidRPr="009F3167">
              <w:rPr>
                <w:rFonts w:ascii="Arial Narrow" w:hAnsi="Arial Narrow"/>
                <w:iCs/>
                <w:sz w:val="20"/>
                <w:lang w:val="it-IT"/>
              </w:rPr>
              <w:t>12, BSA</w:t>
            </w:r>
            <w:r w:rsidRPr="009F3167">
              <w:rPr>
                <w:rFonts w:ascii="Arial Narrow" w:hAnsi="Arial Narrow"/>
                <w:iCs/>
                <w:sz w:val="20"/>
                <w:u w:val="single"/>
                <w:lang w:val="it-IT"/>
              </w:rPr>
              <w:t>&gt;</w:t>
            </w:r>
            <w:r w:rsidRPr="009F3167">
              <w:rPr>
                <w:rFonts w:ascii="Arial Narrow" w:hAnsi="Arial Narrow"/>
                <w:iCs/>
                <w:sz w:val="20"/>
                <w:lang w:val="it-IT"/>
              </w:rPr>
              <w:t>10%, sPGA</w:t>
            </w:r>
            <w:r w:rsidRPr="009F3167">
              <w:rPr>
                <w:rFonts w:ascii="Arial Narrow" w:hAnsi="Arial Narrow"/>
                <w:iCs/>
                <w:sz w:val="20"/>
                <w:u w:val="single"/>
                <w:lang w:val="it-IT"/>
              </w:rPr>
              <w:t>&gt;</w:t>
            </w:r>
            <w:r w:rsidRPr="009F3167">
              <w:rPr>
                <w:rFonts w:ascii="Arial Narrow" w:hAnsi="Arial Narrow"/>
                <w:iCs/>
                <w:sz w:val="20"/>
                <w:lang w:val="it-IT"/>
              </w:rPr>
              <w:t>3</w:t>
            </w:r>
          </w:p>
        </w:tc>
        <w:tc>
          <w:tcPr>
            <w:tcW w:w="834" w:type="pct"/>
            <w:vMerge w:val="restar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PASI 75 &amp;</w:t>
            </w:r>
          </w:p>
          <w:p w:rsidR="00693C72" w:rsidRPr="009F3167" w:rsidRDefault="00693C72" w:rsidP="00B523DB">
            <w:pPr>
              <w:keepNext/>
              <w:keepLines/>
              <w:widowControl/>
              <w:jc w:val="center"/>
              <w:rPr>
                <w:rFonts w:ascii="Arial Narrow" w:hAnsi="Arial Narrow"/>
                <w:iCs/>
                <w:sz w:val="20"/>
              </w:rPr>
            </w:pPr>
            <w:proofErr w:type="spellStart"/>
            <w:r w:rsidRPr="009F3167">
              <w:rPr>
                <w:rFonts w:ascii="Arial Narrow" w:hAnsi="Arial Narrow"/>
                <w:iCs/>
                <w:sz w:val="20"/>
              </w:rPr>
              <w:t>sPGA</w:t>
            </w:r>
            <w:proofErr w:type="spellEnd"/>
            <w:r w:rsidRPr="009F3167">
              <w:rPr>
                <w:rFonts w:ascii="Arial Narrow" w:hAnsi="Arial Narrow"/>
                <w:iCs/>
                <w:sz w:val="20"/>
              </w:rPr>
              <w:t xml:space="preserve"> (0,1) at </w:t>
            </w:r>
            <w:proofErr w:type="spellStart"/>
            <w:r w:rsidRPr="009F3167">
              <w:rPr>
                <w:rFonts w:ascii="Arial Narrow" w:hAnsi="Arial Narrow"/>
                <w:iCs/>
                <w:sz w:val="20"/>
              </w:rPr>
              <w:t>Wk</w:t>
            </w:r>
            <w:proofErr w:type="spellEnd"/>
            <w:r w:rsidRPr="009F3167">
              <w:rPr>
                <w:rFonts w:ascii="Arial Narrow" w:hAnsi="Arial Narrow"/>
                <w:iCs/>
                <w:sz w:val="20"/>
              </w:rPr>
              <w:t xml:space="preserve"> 12.  </w:t>
            </w:r>
          </w:p>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Maintenance of PASI response thru to </w:t>
            </w:r>
            <w:proofErr w:type="spellStart"/>
            <w:r w:rsidRPr="009F3167">
              <w:rPr>
                <w:rFonts w:ascii="Arial Narrow" w:hAnsi="Arial Narrow"/>
                <w:iCs/>
                <w:sz w:val="20"/>
              </w:rPr>
              <w:t>Wk</w:t>
            </w:r>
            <w:proofErr w:type="spellEnd"/>
            <w:r w:rsidRPr="009F3167">
              <w:rPr>
                <w:rFonts w:ascii="Arial Narrow" w:hAnsi="Arial Narrow"/>
                <w:iCs/>
                <w:sz w:val="20"/>
              </w:rPr>
              <w:t xml:space="preserve"> 52. </w:t>
            </w:r>
          </w:p>
        </w:tc>
      </w:tr>
      <w:tr w:rsidR="00693C72" w:rsidRPr="009F3167" w:rsidTr="00083A5D">
        <w:trPr>
          <w:gridAfter w:val="1"/>
          <w:wAfter w:w="4" w:type="pct"/>
          <w:trHeight w:val="70"/>
        </w:trPr>
        <w:tc>
          <w:tcPr>
            <w:tcW w:w="609" w:type="pct"/>
            <w:shd w:val="clear" w:color="auto" w:fill="auto"/>
            <w:vAlign w:val="center"/>
          </w:tcPr>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UST</w:t>
            </w:r>
            <w:r w:rsidRPr="009F3167">
              <w:rPr>
                <w:rFonts w:ascii="Arial Narrow" w:hAnsi="Arial Narrow"/>
                <w:iCs/>
                <w:sz w:val="20"/>
                <w:vertAlign w:val="subscript"/>
              </w:rPr>
              <w:t>7</w:t>
            </w:r>
          </w:p>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(AMAGINE-3)</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1881</w:t>
            </w:r>
          </w:p>
        </w:tc>
        <w:tc>
          <w:tcPr>
            <w:tcW w:w="1775"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c>
          <w:tcPr>
            <w:tcW w:w="462"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Low</w:t>
            </w:r>
          </w:p>
        </w:tc>
        <w:tc>
          <w:tcPr>
            <w:tcW w:w="1011"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c>
          <w:tcPr>
            <w:tcW w:w="834" w:type="pct"/>
            <w:vMerge/>
            <w:shd w:val="clear" w:color="auto" w:fill="auto"/>
            <w:vAlign w:val="center"/>
          </w:tcPr>
          <w:p w:rsidR="00693C72" w:rsidRPr="009F3167" w:rsidRDefault="00693C72" w:rsidP="00B523DB">
            <w:pPr>
              <w:keepNext/>
              <w:keepLines/>
              <w:widowControl/>
              <w:jc w:val="center"/>
              <w:rPr>
                <w:rFonts w:ascii="Arial Narrow" w:hAnsi="Arial Narrow"/>
                <w:iCs/>
                <w:sz w:val="20"/>
              </w:rPr>
            </w:pPr>
          </w:p>
        </w:tc>
      </w:tr>
      <w:tr w:rsidR="00693C72" w:rsidRPr="009F3167" w:rsidTr="00083A5D">
        <w:trPr>
          <w:trHeight w:val="70"/>
        </w:trPr>
        <w:tc>
          <w:tcPr>
            <w:tcW w:w="5000" w:type="pct"/>
            <w:gridSpan w:val="7"/>
            <w:shd w:val="clear" w:color="auto" w:fill="auto"/>
            <w:vAlign w:val="center"/>
          </w:tcPr>
          <w:p w:rsidR="00693C72" w:rsidRPr="009F3167" w:rsidRDefault="00693C72" w:rsidP="00B523DB">
            <w:pPr>
              <w:keepNext/>
              <w:keepLines/>
              <w:widowControl/>
              <w:jc w:val="left"/>
              <w:rPr>
                <w:rFonts w:ascii="Arial Narrow" w:hAnsi="Arial Narrow"/>
                <w:iCs/>
                <w:sz w:val="20"/>
              </w:rPr>
            </w:pPr>
            <w:r w:rsidRPr="009F3167">
              <w:rPr>
                <w:rFonts w:ascii="Arial Narrow" w:hAnsi="Arial Narrow"/>
                <w:b/>
                <w:iCs/>
                <w:sz w:val="20"/>
              </w:rPr>
              <w:t>GUS vs UST</w:t>
            </w:r>
          </w:p>
        </w:tc>
      </w:tr>
      <w:tr w:rsidR="00693C72" w:rsidRPr="009F3167" w:rsidTr="00083A5D">
        <w:trPr>
          <w:gridAfter w:val="1"/>
          <w:wAfter w:w="4" w:type="pct"/>
          <w:trHeight w:val="70"/>
        </w:trPr>
        <w:tc>
          <w:tcPr>
            <w:tcW w:w="609" w:type="pct"/>
            <w:shd w:val="clear" w:color="auto" w:fill="auto"/>
            <w:vAlign w:val="center"/>
          </w:tcPr>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GUS</w:t>
            </w:r>
            <w:r w:rsidRPr="009F3167">
              <w:rPr>
                <w:rFonts w:ascii="Arial Narrow" w:hAnsi="Arial Narrow"/>
                <w:iCs/>
                <w:sz w:val="20"/>
                <w:vertAlign w:val="subscript"/>
              </w:rPr>
              <w:t>3</w:t>
            </w:r>
          </w:p>
          <w:p w:rsidR="00693C72" w:rsidRPr="009F3167" w:rsidRDefault="00693C72" w:rsidP="00B523DB">
            <w:pPr>
              <w:keepNext/>
              <w:keepLines/>
              <w:widowControl/>
              <w:rPr>
                <w:rFonts w:ascii="Arial Narrow" w:hAnsi="Arial Narrow"/>
                <w:iCs/>
                <w:sz w:val="20"/>
              </w:rPr>
            </w:pPr>
            <w:r w:rsidRPr="009F3167">
              <w:rPr>
                <w:rFonts w:ascii="Arial Narrow" w:hAnsi="Arial Narrow"/>
                <w:iCs/>
                <w:sz w:val="20"/>
              </w:rPr>
              <w:t>(NAVIGATE)</w:t>
            </w:r>
          </w:p>
        </w:tc>
        <w:tc>
          <w:tcPr>
            <w:tcW w:w="306"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268</w:t>
            </w:r>
            <w:r w:rsidRPr="009F3167">
              <w:rPr>
                <w:rFonts w:ascii="Arial Narrow" w:hAnsi="Arial Narrow"/>
                <w:iCs/>
                <w:sz w:val="20"/>
                <w:vertAlign w:val="superscript"/>
              </w:rPr>
              <w:t>a</w:t>
            </w:r>
          </w:p>
        </w:tc>
        <w:tc>
          <w:tcPr>
            <w:tcW w:w="1775"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MC, initial open label UST for 16 </w:t>
            </w:r>
            <w:proofErr w:type="spellStart"/>
            <w:r w:rsidRPr="009F3167">
              <w:rPr>
                <w:rFonts w:ascii="Arial Narrow" w:hAnsi="Arial Narrow"/>
                <w:iCs/>
                <w:sz w:val="20"/>
              </w:rPr>
              <w:t>wks</w:t>
            </w:r>
            <w:proofErr w:type="spellEnd"/>
            <w:r w:rsidRPr="009F3167">
              <w:rPr>
                <w:rFonts w:ascii="Arial Narrow" w:hAnsi="Arial Narrow"/>
                <w:iCs/>
                <w:sz w:val="20"/>
              </w:rPr>
              <w:t>, non-responders then re-randomised to either DB GUS or UST for a further 36 weeks (wk52)</w:t>
            </w:r>
          </w:p>
        </w:tc>
        <w:tc>
          <w:tcPr>
            <w:tcW w:w="462"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Low</w:t>
            </w:r>
          </w:p>
        </w:tc>
        <w:tc>
          <w:tcPr>
            <w:tcW w:w="1011" w:type="pct"/>
            <w:shd w:val="clear" w:color="auto" w:fill="auto"/>
            <w:vAlign w:val="center"/>
          </w:tcPr>
          <w:p w:rsidR="00693C72" w:rsidRPr="009F3167" w:rsidRDefault="00693C72" w:rsidP="00B523DB">
            <w:pPr>
              <w:keepNext/>
              <w:keepLines/>
              <w:widowControl/>
              <w:jc w:val="center"/>
              <w:rPr>
                <w:rFonts w:ascii="Arial Narrow" w:hAnsi="Arial Narrow"/>
                <w:iCs/>
                <w:sz w:val="20"/>
                <w:lang w:val="it-IT"/>
              </w:rPr>
            </w:pPr>
            <w:r w:rsidRPr="009F3167">
              <w:rPr>
                <w:rFonts w:ascii="Arial Narrow" w:hAnsi="Arial Narrow"/>
                <w:iCs/>
                <w:sz w:val="20"/>
                <w:lang w:val="it-IT"/>
              </w:rPr>
              <w:t>Moderate to severe CPP;</w:t>
            </w:r>
          </w:p>
          <w:p w:rsidR="00693C72" w:rsidRPr="009F3167" w:rsidRDefault="00693C72" w:rsidP="00B523DB">
            <w:pPr>
              <w:keepNext/>
              <w:keepLines/>
              <w:widowControl/>
              <w:jc w:val="center"/>
              <w:rPr>
                <w:rFonts w:ascii="Arial Narrow" w:hAnsi="Arial Narrow"/>
                <w:iCs/>
                <w:sz w:val="20"/>
                <w:lang w:val="it-IT"/>
              </w:rPr>
            </w:pPr>
            <w:r w:rsidRPr="009F3167">
              <w:rPr>
                <w:rFonts w:ascii="Arial Narrow" w:hAnsi="Arial Narrow"/>
                <w:iCs/>
                <w:sz w:val="20"/>
                <w:lang w:val="it-IT"/>
              </w:rPr>
              <w:t>IGA</w:t>
            </w:r>
            <w:r w:rsidRPr="009F3167">
              <w:rPr>
                <w:rFonts w:ascii="Arial Narrow" w:hAnsi="Arial Narrow"/>
                <w:iCs/>
                <w:sz w:val="20"/>
                <w:u w:val="single"/>
                <w:lang w:val="it-IT"/>
              </w:rPr>
              <w:t>&gt;</w:t>
            </w:r>
            <w:r w:rsidRPr="009F3167">
              <w:rPr>
                <w:rFonts w:ascii="Arial Narrow" w:hAnsi="Arial Narrow"/>
                <w:iCs/>
                <w:sz w:val="20"/>
                <w:lang w:val="it-IT"/>
              </w:rPr>
              <w:t xml:space="preserve">3, PASI score </w:t>
            </w:r>
            <w:r w:rsidRPr="009F3167">
              <w:rPr>
                <w:rFonts w:ascii="Arial Narrow" w:hAnsi="Arial Narrow"/>
                <w:iCs/>
                <w:sz w:val="20"/>
                <w:u w:val="single"/>
                <w:lang w:val="it-IT"/>
              </w:rPr>
              <w:t>&gt;</w:t>
            </w:r>
            <w:r w:rsidRPr="009F3167">
              <w:rPr>
                <w:rFonts w:ascii="Arial Narrow" w:hAnsi="Arial Narrow"/>
                <w:iCs/>
                <w:sz w:val="20"/>
                <w:lang w:val="it-IT"/>
              </w:rPr>
              <w:t>12, BSA</w:t>
            </w:r>
            <w:r w:rsidRPr="009F3167">
              <w:rPr>
                <w:rFonts w:ascii="Arial Narrow" w:hAnsi="Arial Narrow"/>
                <w:iCs/>
                <w:sz w:val="20"/>
                <w:u w:val="single"/>
                <w:lang w:val="it-IT"/>
              </w:rPr>
              <w:t>&gt;</w:t>
            </w:r>
            <w:r w:rsidRPr="009F3167">
              <w:rPr>
                <w:rFonts w:ascii="Arial Narrow" w:hAnsi="Arial Narrow"/>
                <w:iCs/>
                <w:sz w:val="20"/>
                <w:lang w:val="it-IT"/>
              </w:rPr>
              <w:t>10%;</w:t>
            </w:r>
          </w:p>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pts with an inadequate response (IGA </w:t>
            </w:r>
            <w:r w:rsidRPr="009F3167">
              <w:rPr>
                <w:rFonts w:ascii="Arial Narrow" w:hAnsi="Arial Narrow"/>
                <w:iCs/>
                <w:sz w:val="20"/>
                <w:u w:val="single"/>
              </w:rPr>
              <w:t>&gt;</w:t>
            </w:r>
            <w:r w:rsidRPr="009F3167">
              <w:rPr>
                <w:rFonts w:ascii="Arial Narrow" w:hAnsi="Arial Narrow"/>
                <w:iCs/>
                <w:sz w:val="20"/>
              </w:rPr>
              <w:t xml:space="preserve"> 2) to UST after 16 weeks</w:t>
            </w:r>
          </w:p>
        </w:tc>
        <w:tc>
          <w:tcPr>
            <w:tcW w:w="834" w:type="pct"/>
            <w:shd w:val="clear" w:color="auto" w:fill="auto"/>
            <w:vAlign w:val="center"/>
          </w:tcPr>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IGA 0/1 &amp; </w:t>
            </w:r>
            <w:r w:rsidRPr="009F3167">
              <w:rPr>
                <w:rFonts w:ascii="Arial Narrow" w:hAnsi="Arial Narrow"/>
                <w:iCs/>
                <w:sz w:val="20"/>
                <w:u w:val="single"/>
              </w:rPr>
              <w:t>&gt;</w:t>
            </w:r>
            <w:r w:rsidRPr="009F3167">
              <w:rPr>
                <w:rFonts w:ascii="Arial Narrow" w:hAnsi="Arial Narrow"/>
                <w:iCs/>
                <w:sz w:val="20"/>
              </w:rPr>
              <w:t xml:space="preserve"> two-grade improvement in IGA;</w:t>
            </w:r>
          </w:p>
          <w:p w:rsidR="00693C72" w:rsidRPr="009F3167" w:rsidRDefault="00693C72" w:rsidP="00B523DB">
            <w:pPr>
              <w:keepNext/>
              <w:keepLines/>
              <w:widowControl/>
              <w:jc w:val="center"/>
              <w:rPr>
                <w:rFonts w:ascii="Arial Narrow" w:hAnsi="Arial Narrow"/>
                <w:iCs/>
                <w:sz w:val="20"/>
              </w:rPr>
            </w:pPr>
            <w:r w:rsidRPr="009F3167">
              <w:rPr>
                <w:rFonts w:ascii="Arial Narrow" w:hAnsi="Arial Narrow"/>
                <w:iCs/>
                <w:sz w:val="20"/>
              </w:rPr>
              <w:t xml:space="preserve">PASI 90 at wk52 </w:t>
            </w:r>
          </w:p>
        </w:tc>
      </w:tr>
    </w:tbl>
    <w:p w:rsidR="00693C72" w:rsidRPr="009F3167" w:rsidRDefault="00693C72" w:rsidP="00083A5D">
      <w:pPr>
        <w:keepNext/>
        <w:keepLines/>
        <w:spacing w:after="120"/>
        <w:contextualSpacing/>
        <w:rPr>
          <w:rFonts w:ascii="Arial Narrow" w:hAnsi="Arial Narrow"/>
          <w:sz w:val="18"/>
          <w:szCs w:val="20"/>
        </w:rPr>
      </w:pPr>
      <w:r w:rsidRPr="009F3167">
        <w:rPr>
          <w:rFonts w:ascii="Arial Narrow" w:hAnsi="Arial Narrow"/>
          <w:sz w:val="18"/>
          <w:szCs w:val="20"/>
        </w:rPr>
        <w:t xml:space="preserve">Abbreviations: ADA=adalimumab, BSA=body surface area; DB=double blind; GUS=guselkumab; IGA = Investigator’s Global Assessment (3 and 4 corresponds to moderate and severe CPP, respectively, 0-2 correspond to clear to mild); MC=multicentre; PASI = Psoriasis Area Severity Index; </w:t>
      </w:r>
      <w:r w:rsidR="00E72BED">
        <w:rPr>
          <w:rFonts w:ascii="Arial Narrow" w:hAnsi="Arial Narrow"/>
          <w:sz w:val="18"/>
          <w:szCs w:val="20"/>
        </w:rPr>
        <w:t xml:space="preserve">PBO = placebo, </w:t>
      </w:r>
      <w:r w:rsidRPr="009F3167">
        <w:rPr>
          <w:rFonts w:ascii="Arial Narrow" w:hAnsi="Arial Narrow"/>
          <w:sz w:val="18"/>
          <w:szCs w:val="20"/>
        </w:rPr>
        <w:t xml:space="preserve">PC=placebo control, pts=patients; R=randomised; </w:t>
      </w:r>
      <w:proofErr w:type="spellStart"/>
      <w:r w:rsidRPr="009F3167">
        <w:rPr>
          <w:rFonts w:ascii="Arial Narrow" w:hAnsi="Arial Narrow"/>
          <w:sz w:val="18"/>
          <w:szCs w:val="20"/>
        </w:rPr>
        <w:t>sPGA</w:t>
      </w:r>
      <w:proofErr w:type="spellEnd"/>
      <w:r w:rsidRPr="009F3167">
        <w:rPr>
          <w:rFonts w:ascii="Arial Narrow" w:hAnsi="Arial Narrow"/>
          <w:sz w:val="18"/>
          <w:szCs w:val="20"/>
        </w:rPr>
        <w:t>=static physician global assessment; UST=ustekinumab, CPP=chronic plaque psoriasis.</w:t>
      </w:r>
    </w:p>
    <w:p w:rsidR="00693C72" w:rsidRPr="009F3167" w:rsidRDefault="00693C72" w:rsidP="00083A5D">
      <w:pPr>
        <w:keepNext/>
        <w:keepLines/>
        <w:spacing w:after="120"/>
        <w:ind w:left="720" w:hanging="720"/>
        <w:contextualSpacing/>
        <w:rPr>
          <w:rFonts w:ascii="Arial Narrow" w:hAnsi="Arial Narrow"/>
          <w:iCs/>
          <w:sz w:val="18"/>
          <w:szCs w:val="20"/>
        </w:rPr>
      </w:pPr>
      <w:r w:rsidRPr="009F3167">
        <w:rPr>
          <w:rFonts w:ascii="Arial Narrow" w:hAnsi="Arial Narrow"/>
          <w:iCs/>
          <w:sz w:val="18"/>
          <w:szCs w:val="20"/>
          <w:vertAlign w:val="superscript"/>
        </w:rPr>
        <w:t xml:space="preserve">a </w:t>
      </w:r>
      <w:r w:rsidRPr="009F3167">
        <w:rPr>
          <w:rFonts w:ascii="Arial Narrow" w:hAnsi="Arial Narrow"/>
          <w:iCs/>
          <w:sz w:val="18"/>
          <w:szCs w:val="20"/>
        </w:rPr>
        <w:t>This is the number of patients with an inadequate response to UST at Week 16, who were randomised to GUS or to continue UST.</w:t>
      </w:r>
    </w:p>
    <w:p w:rsidR="00693C72" w:rsidRPr="009F3167" w:rsidRDefault="00693C72" w:rsidP="00083A5D">
      <w:pPr>
        <w:keepNext/>
        <w:keepLines/>
        <w:spacing w:after="120"/>
        <w:ind w:left="165" w:hanging="165"/>
        <w:contextualSpacing/>
        <w:rPr>
          <w:rFonts w:ascii="Arial Narrow" w:hAnsi="Arial Narrow"/>
          <w:iCs/>
          <w:sz w:val="18"/>
          <w:szCs w:val="18"/>
        </w:rPr>
      </w:pPr>
      <w:r w:rsidRPr="009F3167">
        <w:rPr>
          <w:rFonts w:ascii="Arial Narrow" w:hAnsi="Arial Narrow"/>
          <w:iCs/>
          <w:sz w:val="18"/>
          <w:szCs w:val="18"/>
          <w:vertAlign w:val="superscript"/>
        </w:rPr>
        <w:t>b</w:t>
      </w:r>
      <w:r w:rsidRPr="009F3167">
        <w:rPr>
          <w:rFonts w:ascii="Arial Narrow" w:hAnsi="Arial Narrow"/>
          <w:iCs/>
          <w:sz w:val="18"/>
          <w:szCs w:val="18"/>
          <w:vertAlign w:val="superscript"/>
        </w:rPr>
        <w:tab/>
      </w:r>
      <w:r w:rsidRPr="009F3167">
        <w:rPr>
          <w:rFonts w:ascii="Arial Narrow" w:hAnsi="Arial Narrow" w:cs="Times New Roman"/>
          <w:iCs/>
          <w:sz w:val="18"/>
          <w:szCs w:val="18"/>
        </w:rPr>
        <w:t>UST patients who attained PASI 75 were re-randomised to withdrawal or continuing treatment and PBO group patients switched back to PBO.  Patients could restart treatment if lost at least PASI 50 response.</w:t>
      </w:r>
    </w:p>
    <w:p w:rsidR="00693C72" w:rsidRPr="009F3167" w:rsidRDefault="00693C72" w:rsidP="00083A5D">
      <w:pPr>
        <w:keepNext/>
        <w:keepLines/>
        <w:spacing w:after="120"/>
        <w:ind w:left="165" w:hanging="165"/>
        <w:contextualSpacing/>
        <w:rPr>
          <w:rFonts w:ascii="Arial Narrow" w:hAnsi="Arial Narrow" w:cs="Times New Roman"/>
          <w:iCs/>
          <w:sz w:val="18"/>
          <w:szCs w:val="18"/>
        </w:rPr>
      </w:pPr>
      <w:r w:rsidRPr="009F3167">
        <w:rPr>
          <w:rFonts w:ascii="Arial Narrow" w:hAnsi="Arial Narrow" w:cs="Times New Roman"/>
          <w:iCs/>
          <w:sz w:val="18"/>
          <w:szCs w:val="18"/>
        </w:rPr>
        <w:t>c</w:t>
      </w:r>
      <w:r w:rsidRPr="009F3167">
        <w:rPr>
          <w:rFonts w:ascii="Arial Narrow" w:hAnsi="Arial Narrow" w:cs="Times New Roman"/>
          <w:iCs/>
          <w:sz w:val="18"/>
          <w:szCs w:val="18"/>
        </w:rPr>
        <w:tab/>
        <w:t>partial responders in the UST groups (</w:t>
      </w:r>
      <w:r w:rsidR="00EC3E0F" w:rsidRPr="009F3167">
        <w:rPr>
          <w:rFonts w:ascii="Arial Narrow" w:hAnsi="Arial Narrow" w:cs="Times New Roman"/>
          <w:iCs/>
          <w:sz w:val="18"/>
          <w:szCs w:val="18"/>
        </w:rPr>
        <w:t>i.e.</w:t>
      </w:r>
      <w:r w:rsidRPr="009F3167">
        <w:rPr>
          <w:rFonts w:ascii="Arial Narrow" w:hAnsi="Arial Narrow" w:cs="Times New Roman"/>
          <w:iCs/>
          <w:sz w:val="18"/>
          <w:szCs w:val="18"/>
        </w:rPr>
        <w:t xml:space="preserve"> those that attained PASI 50 by not PASI 75) were re-randomised to standard (q12w) or more intensive (q12w) dosing regimen.  Placebo group patients all underwent non-randomised adjustment to q8w dosing.</w:t>
      </w:r>
    </w:p>
    <w:p w:rsidR="00B523DB" w:rsidRPr="00E00025" w:rsidRDefault="00693C72" w:rsidP="00083A5D">
      <w:pPr>
        <w:keepNext/>
        <w:keepLines/>
        <w:spacing w:after="120"/>
        <w:contextualSpacing/>
        <w:rPr>
          <w:rFonts w:ascii="Arial Narrow" w:hAnsi="Arial Narrow"/>
          <w:iCs/>
          <w:sz w:val="18"/>
          <w:szCs w:val="18"/>
        </w:rPr>
      </w:pPr>
      <w:r w:rsidRPr="009F3167">
        <w:rPr>
          <w:rFonts w:ascii="Arial Narrow" w:hAnsi="Arial Narrow"/>
          <w:iCs/>
          <w:sz w:val="18"/>
          <w:szCs w:val="18"/>
        </w:rPr>
        <w:t>Source: compiled during the evaluation from trial publications.</w:t>
      </w:r>
    </w:p>
    <w:p w:rsidR="00A92386" w:rsidRPr="009F3167" w:rsidRDefault="00EB5B42" w:rsidP="003433CD">
      <w:pPr>
        <w:pStyle w:val="ListParagraph"/>
        <w:widowControl/>
        <w:numPr>
          <w:ilvl w:val="1"/>
          <w:numId w:val="3"/>
        </w:numPr>
        <w:rPr>
          <w:rFonts w:asciiTheme="minorHAnsi" w:hAnsiTheme="minorHAnsi" w:cstheme="minorHAnsi"/>
          <w:szCs w:val="24"/>
        </w:rPr>
      </w:pPr>
      <w:r>
        <w:rPr>
          <w:iCs/>
        </w:rPr>
        <w:t>A</w:t>
      </w:r>
      <w:r w:rsidR="005C387E" w:rsidRPr="009F3167">
        <w:rPr>
          <w:iCs/>
        </w:rPr>
        <w:t>ll t</w:t>
      </w:r>
      <w:r w:rsidR="005C387E" w:rsidRPr="009F3167">
        <w:t xml:space="preserve">rials were multicentre, double-blind RCTs.  </w:t>
      </w:r>
      <w:r w:rsidR="005C387E" w:rsidRPr="009F3167">
        <w:rPr>
          <w:iCs/>
        </w:rPr>
        <w:t>Overall</w:t>
      </w:r>
      <w:r w:rsidR="005C387E" w:rsidRPr="009F3167">
        <w:t xml:space="preserve">, the risks of bias in the placebo-controlled phase of the trials were </w:t>
      </w:r>
      <w:r w:rsidR="005C387E" w:rsidRPr="00885775">
        <w:t>considered low.</w:t>
      </w:r>
      <w:r w:rsidR="005C387E" w:rsidRPr="009F3167">
        <w:t xml:space="preserve">  </w:t>
      </w:r>
      <w:r w:rsidR="005C387E" w:rsidRPr="009F3167">
        <w:rPr>
          <w:rFonts w:asciiTheme="minorHAnsi" w:hAnsiTheme="minorHAnsi" w:cstheme="minorHAnsi"/>
          <w:iCs/>
          <w:szCs w:val="24"/>
        </w:rPr>
        <w:t xml:space="preserve">All the included trials however had multiple phases, beyond the initial placebo-controlled phase (16 and 12 weeks </w:t>
      </w:r>
      <w:r w:rsidR="00B4528F" w:rsidRPr="009F3167">
        <w:rPr>
          <w:rFonts w:asciiTheme="minorHAnsi" w:hAnsiTheme="minorHAnsi" w:cstheme="minorHAnsi"/>
          <w:iCs/>
          <w:szCs w:val="24"/>
        </w:rPr>
        <w:t>for t</w:t>
      </w:r>
      <w:r w:rsidR="005C387E" w:rsidRPr="009F3167">
        <w:rPr>
          <w:rFonts w:asciiTheme="minorHAnsi" w:hAnsiTheme="minorHAnsi" w:cstheme="minorHAnsi"/>
          <w:iCs/>
          <w:szCs w:val="24"/>
        </w:rPr>
        <w:t xml:space="preserve">he </w:t>
      </w:r>
      <w:r w:rsidR="009E4DD8" w:rsidRPr="009F3167">
        <w:rPr>
          <w:rFonts w:asciiTheme="minorHAnsi" w:hAnsiTheme="minorHAnsi" w:cstheme="minorHAnsi"/>
          <w:szCs w:val="24"/>
        </w:rPr>
        <w:t xml:space="preserve">guselkumab </w:t>
      </w:r>
      <w:r w:rsidR="005C387E" w:rsidRPr="009F3167">
        <w:rPr>
          <w:rFonts w:asciiTheme="minorHAnsi" w:hAnsiTheme="minorHAnsi" w:cstheme="minorHAnsi"/>
          <w:iCs/>
          <w:szCs w:val="24"/>
        </w:rPr>
        <w:t xml:space="preserve">and </w:t>
      </w:r>
      <w:r w:rsidR="009E4DD8" w:rsidRPr="00C0268D">
        <w:t xml:space="preserve">ustekinumab </w:t>
      </w:r>
      <w:r w:rsidR="005C387E" w:rsidRPr="009F3167">
        <w:rPr>
          <w:rFonts w:asciiTheme="minorHAnsi" w:hAnsiTheme="minorHAnsi" w:cstheme="minorHAnsi"/>
          <w:iCs/>
          <w:szCs w:val="24"/>
        </w:rPr>
        <w:t xml:space="preserve">trials, respectively) </w:t>
      </w:r>
      <w:r w:rsidR="00B4528F" w:rsidRPr="009F3167">
        <w:rPr>
          <w:rFonts w:asciiTheme="minorHAnsi" w:hAnsiTheme="minorHAnsi" w:cstheme="minorHAnsi"/>
          <w:iCs/>
          <w:szCs w:val="24"/>
        </w:rPr>
        <w:t xml:space="preserve">since </w:t>
      </w:r>
      <w:r w:rsidR="005C387E" w:rsidRPr="009F3167">
        <w:rPr>
          <w:rFonts w:asciiTheme="minorHAnsi" w:hAnsiTheme="minorHAnsi" w:cstheme="minorHAnsi"/>
          <w:iCs/>
          <w:szCs w:val="24"/>
        </w:rPr>
        <w:t xml:space="preserve">patients in the placebo groups were switched onto active treatments, </w:t>
      </w:r>
      <w:r w:rsidR="003433CD" w:rsidRPr="009F3167">
        <w:rPr>
          <w:rFonts w:asciiTheme="minorHAnsi" w:hAnsiTheme="minorHAnsi" w:cstheme="minorHAnsi"/>
          <w:iCs/>
          <w:szCs w:val="24"/>
        </w:rPr>
        <w:t xml:space="preserve">placebo </w:t>
      </w:r>
      <w:r w:rsidR="00B4528F" w:rsidRPr="009F3167">
        <w:rPr>
          <w:rFonts w:asciiTheme="minorHAnsi" w:hAnsiTheme="minorHAnsi" w:cstheme="minorHAnsi"/>
          <w:iCs/>
          <w:szCs w:val="24"/>
        </w:rPr>
        <w:t>outcomes</w:t>
      </w:r>
      <w:r w:rsidR="005C387E" w:rsidRPr="009F3167">
        <w:rPr>
          <w:rFonts w:asciiTheme="minorHAnsi" w:hAnsiTheme="minorHAnsi" w:cstheme="minorHAnsi"/>
          <w:iCs/>
          <w:szCs w:val="24"/>
        </w:rPr>
        <w:t xml:space="preserve"> </w:t>
      </w:r>
      <w:r w:rsidR="00B4528F" w:rsidRPr="009F3167">
        <w:rPr>
          <w:rFonts w:asciiTheme="minorHAnsi" w:hAnsiTheme="minorHAnsi" w:cstheme="minorHAnsi"/>
          <w:iCs/>
          <w:szCs w:val="24"/>
        </w:rPr>
        <w:t xml:space="preserve">from </w:t>
      </w:r>
      <w:r w:rsidR="005C387E" w:rsidRPr="009F3167">
        <w:rPr>
          <w:rFonts w:asciiTheme="minorHAnsi" w:hAnsiTheme="minorHAnsi" w:cstheme="minorHAnsi"/>
          <w:iCs/>
          <w:szCs w:val="24"/>
        </w:rPr>
        <w:lastRenderedPageBreak/>
        <w:t xml:space="preserve">subsequent periods </w:t>
      </w:r>
      <w:r w:rsidR="00B4528F" w:rsidRPr="009F3167">
        <w:rPr>
          <w:rFonts w:asciiTheme="minorHAnsi" w:hAnsiTheme="minorHAnsi" w:cstheme="minorHAnsi"/>
          <w:iCs/>
          <w:szCs w:val="24"/>
        </w:rPr>
        <w:t xml:space="preserve">would be </w:t>
      </w:r>
      <w:r w:rsidR="005C387E" w:rsidRPr="009F3167">
        <w:rPr>
          <w:rFonts w:asciiTheme="minorHAnsi" w:hAnsiTheme="minorHAnsi" w:cstheme="minorHAnsi"/>
          <w:iCs/>
          <w:szCs w:val="24"/>
        </w:rPr>
        <w:t xml:space="preserve">subject to bias.  For this reason, appropriately, </w:t>
      </w:r>
      <w:r w:rsidR="005C387E" w:rsidRPr="009F3167">
        <w:rPr>
          <w:rFonts w:asciiTheme="minorHAnsi" w:hAnsiTheme="minorHAnsi" w:cstheme="minorHAnsi"/>
          <w:szCs w:val="24"/>
        </w:rPr>
        <w:t>main trial outcomes were all assessed at the end of the placebo-controlled period</w:t>
      </w:r>
      <w:r w:rsidR="003433CD" w:rsidRPr="009F3167">
        <w:rPr>
          <w:rFonts w:asciiTheme="minorHAnsi" w:hAnsiTheme="minorHAnsi" w:cstheme="minorHAnsi"/>
          <w:szCs w:val="24"/>
        </w:rPr>
        <w:t>s</w:t>
      </w:r>
      <w:r w:rsidR="005C387E" w:rsidRPr="009F3167">
        <w:rPr>
          <w:rFonts w:asciiTheme="minorHAnsi" w:hAnsiTheme="minorHAnsi" w:cstheme="minorHAnsi"/>
          <w:szCs w:val="24"/>
        </w:rPr>
        <w:t>.</w:t>
      </w:r>
    </w:p>
    <w:p w:rsidR="005C387E" w:rsidRPr="009F3167" w:rsidRDefault="0062708E" w:rsidP="003433CD">
      <w:pPr>
        <w:pStyle w:val="ListParagraph"/>
        <w:widowControl/>
        <w:numPr>
          <w:ilvl w:val="1"/>
          <w:numId w:val="3"/>
        </w:numPr>
        <w:rPr>
          <w:rFonts w:asciiTheme="minorHAnsi" w:hAnsiTheme="minorHAnsi" w:cstheme="minorHAnsi"/>
          <w:szCs w:val="24"/>
        </w:rPr>
      </w:pPr>
      <w:r w:rsidRPr="009F3167">
        <w:rPr>
          <w:rFonts w:asciiTheme="minorHAnsi" w:hAnsiTheme="minorHAnsi" w:cstheme="minorHAnsi"/>
          <w:szCs w:val="24"/>
        </w:rPr>
        <w:t>In the guselkumab</w:t>
      </w:r>
      <w:r w:rsidR="005C387E" w:rsidRPr="009F3167">
        <w:rPr>
          <w:rFonts w:asciiTheme="minorHAnsi" w:hAnsiTheme="minorHAnsi" w:cstheme="minorHAnsi"/>
          <w:szCs w:val="24"/>
        </w:rPr>
        <w:t xml:space="preserve"> trials, switching was not permitted for those randomised to the active comparator (ADA)</w:t>
      </w:r>
      <w:r w:rsidR="003433CD" w:rsidRPr="009F3167">
        <w:rPr>
          <w:rFonts w:asciiTheme="minorHAnsi" w:hAnsiTheme="minorHAnsi" w:cstheme="minorHAnsi"/>
          <w:szCs w:val="24"/>
        </w:rPr>
        <w:t xml:space="preserve">.  As a result, directly </w:t>
      </w:r>
      <w:r w:rsidR="005C387E" w:rsidRPr="009F3167">
        <w:rPr>
          <w:rFonts w:asciiTheme="minorHAnsi" w:hAnsiTheme="minorHAnsi" w:cstheme="minorHAnsi"/>
          <w:szCs w:val="24"/>
        </w:rPr>
        <w:t xml:space="preserve">comparative efficacy </w:t>
      </w:r>
      <w:r w:rsidR="003433CD" w:rsidRPr="009F3167">
        <w:rPr>
          <w:rFonts w:asciiTheme="minorHAnsi" w:hAnsiTheme="minorHAnsi" w:cstheme="minorHAnsi"/>
          <w:szCs w:val="24"/>
        </w:rPr>
        <w:t xml:space="preserve">results comparing </w:t>
      </w:r>
      <w:r w:rsidR="00BF4284" w:rsidRPr="009F3167">
        <w:rPr>
          <w:rFonts w:asciiTheme="minorHAnsi" w:hAnsiTheme="minorHAnsi" w:cstheme="minorHAnsi"/>
          <w:szCs w:val="24"/>
        </w:rPr>
        <w:t xml:space="preserve">guselkumab </w:t>
      </w:r>
      <w:r w:rsidR="003433CD" w:rsidRPr="009F3167">
        <w:rPr>
          <w:rFonts w:asciiTheme="minorHAnsi" w:hAnsiTheme="minorHAnsi" w:cstheme="minorHAnsi"/>
          <w:szCs w:val="24"/>
        </w:rPr>
        <w:t xml:space="preserve">and </w:t>
      </w:r>
      <w:r w:rsidR="00BF4284" w:rsidRPr="009F3167">
        <w:rPr>
          <w:rFonts w:asciiTheme="minorHAnsi" w:hAnsiTheme="minorHAnsi" w:cstheme="minorHAnsi"/>
          <w:szCs w:val="24"/>
        </w:rPr>
        <w:t xml:space="preserve">adalimumab </w:t>
      </w:r>
      <w:r w:rsidR="005C387E" w:rsidRPr="009F3167">
        <w:rPr>
          <w:rFonts w:asciiTheme="minorHAnsi" w:hAnsiTheme="minorHAnsi" w:cstheme="minorHAnsi"/>
          <w:szCs w:val="24"/>
        </w:rPr>
        <w:t>were available for up to 48 and 24 weeks in the VOYAGE 1 and 2 trials respectively.  In the VOYAGE-2 trial, a randomised withdrawal and retreatment also occurred between Weeks 28 and 72</w:t>
      </w:r>
      <w:r w:rsidR="00204585" w:rsidRPr="009F3167">
        <w:rPr>
          <w:rFonts w:asciiTheme="minorHAnsi" w:hAnsiTheme="minorHAnsi" w:cstheme="minorHAnsi"/>
          <w:szCs w:val="24"/>
        </w:rPr>
        <w:t>.</w:t>
      </w:r>
      <w:r w:rsidR="005C387E" w:rsidRPr="009F3167">
        <w:rPr>
          <w:rFonts w:asciiTheme="minorHAnsi" w:hAnsiTheme="minorHAnsi" w:cstheme="minorHAnsi"/>
          <w:szCs w:val="24"/>
        </w:rPr>
        <w:t xml:space="preserve"> </w:t>
      </w:r>
      <w:r w:rsidR="00204585" w:rsidRPr="009F3167">
        <w:rPr>
          <w:rFonts w:asciiTheme="minorHAnsi" w:hAnsiTheme="minorHAnsi" w:cstheme="minorHAnsi"/>
          <w:szCs w:val="24"/>
        </w:rPr>
        <w:t>A</w:t>
      </w:r>
      <w:r w:rsidR="005C387E" w:rsidRPr="009F3167">
        <w:rPr>
          <w:rFonts w:asciiTheme="minorHAnsi" w:hAnsiTheme="minorHAnsi" w:cstheme="minorHAnsi"/>
          <w:szCs w:val="24"/>
        </w:rPr>
        <w:t>s this did not present a comparison of interest it was appropriately not presented in the submission.</w:t>
      </w:r>
    </w:p>
    <w:p w:rsidR="005C387E" w:rsidRPr="009F3167" w:rsidRDefault="0062708E" w:rsidP="005C387E">
      <w:pPr>
        <w:pStyle w:val="ListParagraph"/>
        <w:widowControl/>
        <w:numPr>
          <w:ilvl w:val="1"/>
          <w:numId w:val="3"/>
        </w:numPr>
        <w:rPr>
          <w:rFonts w:asciiTheme="minorHAnsi" w:hAnsiTheme="minorHAnsi" w:cstheme="minorHAnsi"/>
          <w:iCs/>
          <w:szCs w:val="24"/>
        </w:rPr>
      </w:pPr>
      <w:r w:rsidRPr="009F3167">
        <w:rPr>
          <w:rFonts w:asciiTheme="minorHAnsi" w:hAnsiTheme="minorHAnsi" w:cstheme="minorHAnsi"/>
          <w:szCs w:val="24"/>
        </w:rPr>
        <w:t>The guselkumab and ustekinumab</w:t>
      </w:r>
      <w:r w:rsidR="005C387E" w:rsidRPr="009F3167">
        <w:rPr>
          <w:rFonts w:asciiTheme="minorHAnsi" w:hAnsiTheme="minorHAnsi" w:cstheme="minorHAnsi"/>
          <w:szCs w:val="24"/>
        </w:rPr>
        <w:t xml:space="preserve"> trials examined during the evaluation enrolled similar patient populations, consisting of adult patients with moderate to severe plaque psoriasis (PASI score &gt; 12, and body surface area involvement &gt; 10%).  The </w:t>
      </w:r>
      <w:r w:rsidR="00BF4284" w:rsidRPr="009F3167">
        <w:rPr>
          <w:rFonts w:asciiTheme="minorHAnsi" w:hAnsiTheme="minorHAnsi" w:cstheme="minorHAnsi"/>
          <w:szCs w:val="24"/>
        </w:rPr>
        <w:t xml:space="preserve">guselkumab </w:t>
      </w:r>
      <w:r w:rsidR="005C387E" w:rsidRPr="009F3167">
        <w:rPr>
          <w:rFonts w:asciiTheme="minorHAnsi" w:hAnsiTheme="minorHAnsi" w:cstheme="minorHAnsi"/>
          <w:szCs w:val="24"/>
        </w:rPr>
        <w:t xml:space="preserve">trials in addition required patients to have an Investigator Global Assessment (IGA) score &gt; 3.  The IGA grades lesions for induration, erythema and scaling.  An IGA score of 3 and 4 corresponds to moderate and severe, respectively, and IGA scores of 0-2 correspond to clear to mild symptoms.  </w:t>
      </w:r>
      <w:r w:rsidR="005C387E" w:rsidRPr="009F3167">
        <w:rPr>
          <w:iCs/>
        </w:rPr>
        <w:t>The NAVIGATE trial was conducted in a second line (</w:t>
      </w:r>
      <w:r w:rsidR="008009DB" w:rsidRPr="009F3167">
        <w:rPr>
          <w:rFonts w:asciiTheme="minorHAnsi" w:hAnsiTheme="minorHAnsi" w:cstheme="minorHAnsi"/>
          <w:szCs w:val="24"/>
        </w:rPr>
        <w:t xml:space="preserve">ustekinumab </w:t>
      </w:r>
      <w:r w:rsidR="005C387E" w:rsidRPr="009F3167">
        <w:rPr>
          <w:iCs/>
        </w:rPr>
        <w:t xml:space="preserve">‘non-responsive’) population.  </w:t>
      </w:r>
    </w:p>
    <w:p w:rsidR="005C387E" w:rsidRPr="009F3167" w:rsidRDefault="005C387E" w:rsidP="00530383">
      <w:pPr>
        <w:pStyle w:val="ListParagraph"/>
        <w:widowControl/>
        <w:numPr>
          <w:ilvl w:val="1"/>
          <w:numId w:val="3"/>
        </w:numPr>
        <w:rPr>
          <w:rFonts w:asciiTheme="minorHAnsi" w:hAnsiTheme="minorHAnsi" w:cstheme="minorHAnsi"/>
          <w:iCs/>
          <w:szCs w:val="24"/>
        </w:rPr>
      </w:pPr>
      <w:r w:rsidRPr="009F3167">
        <w:rPr>
          <w:rFonts w:asciiTheme="minorHAnsi" w:hAnsiTheme="minorHAnsi" w:cstheme="minorHAnsi"/>
          <w:iCs/>
          <w:szCs w:val="24"/>
        </w:rPr>
        <w:t xml:space="preserve">As </w:t>
      </w:r>
      <w:r w:rsidR="00D700B2">
        <w:rPr>
          <w:rFonts w:asciiTheme="minorHAnsi" w:hAnsiTheme="minorHAnsi" w:cstheme="minorHAnsi"/>
          <w:iCs/>
          <w:szCs w:val="24"/>
        </w:rPr>
        <w:t>noted above</w:t>
      </w:r>
      <w:r w:rsidRPr="009F3167">
        <w:rPr>
          <w:rFonts w:asciiTheme="minorHAnsi" w:hAnsiTheme="minorHAnsi" w:cstheme="minorHAnsi"/>
          <w:iCs/>
          <w:szCs w:val="24"/>
        </w:rPr>
        <w:t>, t</w:t>
      </w:r>
      <w:r w:rsidR="0062708E" w:rsidRPr="009F3167">
        <w:rPr>
          <w:rFonts w:asciiTheme="minorHAnsi" w:hAnsiTheme="minorHAnsi" w:cstheme="minorHAnsi"/>
          <w:iCs/>
          <w:szCs w:val="24"/>
        </w:rPr>
        <w:t>he guselkumab and ustekinumab</w:t>
      </w:r>
      <w:r w:rsidRPr="009F3167">
        <w:rPr>
          <w:rFonts w:asciiTheme="minorHAnsi" w:hAnsiTheme="minorHAnsi" w:cstheme="minorHAnsi"/>
          <w:iCs/>
          <w:szCs w:val="24"/>
        </w:rPr>
        <w:t xml:space="preserve"> trial populations differed to the requested PBS population (which </w:t>
      </w:r>
      <w:r w:rsidR="006458D2" w:rsidRPr="009F3167">
        <w:rPr>
          <w:rFonts w:asciiTheme="minorHAnsi" w:hAnsiTheme="minorHAnsi" w:cstheme="minorHAnsi"/>
          <w:iCs/>
          <w:szCs w:val="24"/>
        </w:rPr>
        <w:t>h</w:t>
      </w:r>
      <w:r w:rsidRPr="009F3167">
        <w:rPr>
          <w:rFonts w:asciiTheme="minorHAnsi" w:hAnsiTheme="minorHAnsi" w:cstheme="minorHAnsi"/>
          <w:iCs/>
          <w:szCs w:val="24"/>
        </w:rPr>
        <w:t>as stricter requirements for number of prior failed therapies and severity) but overall the trial populations were similar to other trials of biologics previously considered by the PBAC and were generally representative of the likely PBS population.</w:t>
      </w:r>
    </w:p>
    <w:p w:rsidR="005C387E" w:rsidRPr="00B621B6" w:rsidRDefault="0062708E" w:rsidP="005C387E">
      <w:pPr>
        <w:pStyle w:val="ListParagraph"/>
        <w:widowControl/>
        <w:numPr>
          <w:ilvl w:val="1"/>
          <w:numId w:val="3"/>
        </w:numPr>
      </w:pPr>
      <w:r w:rsidRPr="009F3167">
        <w:t>The dosing regimens of guselkumab and adalimumab</w:t>
      </w:r>
      <w:r w:rsidR="008D4604" w:rsidRPr="009F3167">
        <w:t xml:space="preserve"> in the trials were consistent with those recommen</w:t>
      </w:r>
      <w:r w:rsidRPr="009F3167">
        <w:t>ded in the (draft) PIs.  For ustekinumab</w:t>
      </w:r>
      <w:r w:rsidR="008D4604" w:rsidRPr="009F3167">
        <w:t xml:space="preserve"> however, except for the AMAGINE-2 and </w:t>
      </w:r>
      <w:r w:rsidRPr="009F3167">
        <w:t>-3 trials which administered ustekinumab</w:t>
      </w:r>
      <w:r w:rsidR="008D4604" w:rsidRPr="009F3167">
        <w:t xml:space="preserve"> based on the recommended weight based dosing (45mg for patients ≤ 100 kg and 90mg for patients &gt;1</w:t>
      </w:r>
      <w:r w:rsidRPr="009F3167">
        <w:t>00kg), the doses used in the ustekinumab</w:t>
      </w:r>
      <w:r w:rsidR="008D4604" w:rsidRPr="009F3167">
        <w:t xml:space="preserve"> trials generally deviated from </w:t>
      </w:r>
      <w:r w:rsidR="00D700B2">
        <w:t>that recommended in the</w:t>
      </w:r>
      <w:r w:rsidR="008D4604" w:rsidRPr="009F3167">
        <w:t xml:space="preserve"> PI.  In order to pool results across these trials, some assumptions were required</w:t>
      </w:r>
      <w:r w:rsidR="00CC2578" w:rsidRPr="009F3167">
        <w:t xml:space="preserve"> to determine if correct doses were administered</w:t>
      </w:r>
      <w:r w:rsidR="008D4604" w:rsidRPr="009F3167">
        <w:t>.  The submission</w:t>
      </w:r>
      <w:r w:rsidRPr="009F3167">
        <w:t xml:space="preserve"> also presented outcomes for ustekinumab</w:t>
      </w:r>
      <w:r w:rsidR="008D4604" w:rsidRPr="009F3167">
        <w:t xml:space="preserve"> from the PHOENIX trials as a proportion of those correctly dosed bas</w:t>
      </w:r>
      <w:r w:rsidR="00AD2226" w:rsidRPr="009F3167">
        <w:t>ed on the TGA recommended doses</w:t>
      </w:r>
      <w:r w:rsidR="00885775">
        <w:t>.</w:t>
      </w:r>
      <w:r w:rsidR="00AD2226" w:rsidRPr="009F3167">
        <w:t xml:space="preserve"> </w:t>
      </w:r>
    </w:p>
    <w:p w:rsidR="00B60939" w:rsidRPr="00B621B6" w:rsidRDefault="00B60939" w:rsidP="00CA4AA0">
      <w:pPr>
        <w:pStyle w:val="Heading2"/>
        <w:spacing w:after="120"/>
      </w:pPr>
      <w:bookmarkStart w:id="10" w:name="_Toc503212789"/>
      <w:r w:rsidRPr="00B621B6">
        <w:t>Comparative effectiveness</w:t>
      </w:r>
      <w:bookmarkEnd w:id="10"/>
    </w:p>
    <w:p w:rsidR="006314BD" w:rsidRPr="009F3167" w:rsidRDefault="006314BD" w:rsidP="000A5661">
      <w:pPr>
        <w:pStyle w:val="ListParagraph"/>
        <w:widowControl/>
        <w:numPr>
          <w:ilvl w:val="1"/>
          <w:numId w:val="3"/>
        </w:numPr>
      </w:pPr>
      <w:r w:rsidRPr="009F3167">
        <w:t>The PBAC ha</w:t>
      </w:r>
      <w:r w:rsidR="008009DB" w:rsidRPr="009F3167">
        <w:t>s</w:t>
      </w:r>
      <w:r w:rsidRPr="009F3167">
        <w:t xml:space="preserve"> previously based recommendations for listing of biologics for the treatment of CPP on the proportion of patients </w:t>
      </w:r>
      <w:proofErr w:type="spellStart"/>
      <w:r w:rsidR="00E23B6B" w:rsidRPr="009F3167">
        <w:t>i</w:t>
      </w:r>
      <w:proofErr w:type="spellEnd"/>
      <w:r w:rsidR="00E23B6B" w:rsidRPr="009F3167">
        <w:t xml:space="preserve">) </w:t>
      </w:r>
      <w:r w:rsidRPr="009F3167">
        <w:t xml:space="preserve">achieving and </w:t>
      </w:r>
      <w:r w:rsidR="00E23B6B" w:rsidRPr="009F3167">
        <w:t xml:space="preserve">ii) </w:t>
      </w:r>
      <w:r w:rsidRPr="009F3167">
        <w:t>maintaining a PASI 75 response (</w:t>
      </w:r>
      <w:r w:rsidR="000A5661" w:rsidRPr="009F3167">
        <w:t>≥</w:t>
      </w:r>
      <w:r w:rsidRPr="009F3167">
        <w:t xml:space="preserve">75% improvement from baseline in </w:t>
      </w:r>
      <w:r w:rsidR="000A5661" w:rsidRPr="009F3167">
        <w:t xml:space="preserve">the Psoriasis Activity and Severity Index </w:t>
      </w:r>
      <w:r w:rsidRPr="009F3167">
        <w:t xml:space="preserve">score).  This is consistent with the PBS eligibility criteria for continued treatment with biologics.  </w:t>
      </w:r>
      <w:r w:rsidRPr="009F3167">
        <w:rPr>
          <w:rFonts w:asciiTheme="minorHAnsi" w:hAnsiTheme="minorHAnsi" w:cstheme="minorHAnsi"/>
          <w:iCs/>
          <w:szCs w:val="24"/>
        </w:rPr>
        <w:t>PASI 75 response was reported in all included trials (primary outcome in</w:t>
      </w:r>
      <w:r w:rsidR="0062708E" w:rsidRPr="009F3167">
        <w:rPr>
          <w:rFonts w:asciiTheme="minorHAnsi" w:hAnsiTheme="minorHAnsi" w:cstheme="minorHAnsi"/>
          <w:iCs/>
          <w:szCs w:val="24"/>
        </w:rPr>
        <w:t xml:space="preserve"> the ustekinumab</w:t>
      </w:r>
      <w:r w:rsidRPr="009F3167">
        <w:rPr>
          <w:rFonts w:asciiTheme="minorHAnsi" w:hAnsiTheme="minorHAnsi" w:cstheme="minorHAnsi"/>
          <w:iCs/>
          <w:szCs w:val="24"/>
        </w:rPr>
        <w:t xml:space="preserve"> trials </w:t>
      </w:r>
      <w:r w:rsidR="0062708E" w:rsidRPr="009F3167">
        <w:rPr>
          <w:rFonts w:asciiTheme="minorHAnsi" w:hAnsiTheme="minorHAnsi" w:cstheme="minorHAnsi"/>
          <w:iCs/>
          <w:szCs w:val="24"/>
        </w:rPr>
        <w:t xml:space="preserve">and secondary outcome in the </w:t>
      </w:r>
      <w:r w:rsidR="0062708E" w:rsidRPr="009F3167">
        <w:t>guselkumab</w:t>
      </w:r>
      <w:r w:rsidRPr="009F3167">
        <w:rPr>
          <w:rFonts w:asciiTheme="minorHAnsi" w:hAnsiTheme="minorHAnsi" w:cstheme="minorHAnsi"/>
          <w:iCs/>
          <w:szCs w:val="24"/>
        </w:rPr>
        <w:t xml:space="preserve"> trials).  In addition, results were reported for PASI 90 and PASI 100 response (90</w:t>
      </w:r>
      <w:r w:rsidRPr="009F3167">
        <w:rPr>
          <w:rFonts w:asciiTheme="minorHAnsi" w:hAnsiTheme="minorHAnsi" w:cstheme="minorHAnsi"/>
          <w:szCs w:val="24"/>
        </w:rPr>
        <w:t xml:space="preserve">% or 100% improvement from baseline in PASI score respectively) and response based on </w:t>
      </w:r>
      <w:r w:rsidRPr="009F3167">
        <w:t xml:space="preserve">investigator assessment.  </w:t>
      </w:r>
    </w:p>
    <w:p w:rsidR="00324EAE" w:rsidRPr="009F3167" w:rsidRDefault="00E23B6B" w:rsidP="003433CD">
      <w:pPr>
        <w:pStyle w:val="ListParagraph"/>
        <w:widowControl/>
        <w:numPr>
          <w:ilvl w:val="1"/>
          <w:numId w:val="3"/>
        </w:numPr>
      </w:pPr>
      <w:r w:rsidRPr="009F3167">
        <w:rPr>
          <w:rFonts w:asciiTheme="minorHAnsi" w:hAnsiTheme="minorHAnsi" w:cstheme="minorHAnsi"/>
          <w:szCs w:val="24"/>
        </w:rPr>
        <w:lastRenderedPageBreak/>
        <w:t>Appropriately, the submission’s clinical claims were based on the outcomes of PASI 75 and PASI 90 response and only these outcomes were compared in the</w:t>
      </w:r>
      <w:r w:rsidR="0062708E" w:rsidRPr="009F3167">
        <w:rPr>
          <w:rFonts w:asciiTheme="minorHAnsi" w:hAnsiTheme="minorHAnsi" w:cstheme="minorHAnsi"/>
          <w:szCs w:val="24"/>
        </w:rPr>
        <w:t xml:space="preserve"> indirect comparisons versus ustekinumab</w:t>
      </w:r>
      <w:r w:rsidRPr="009F3167">
        <w:rPr>
          <w:rFonts w:asciiTheme="minorHAnsi" w:hAnsiTheme="minorHAnsi" w:cstheme="minorHAnsi"/>
          <w:szCs w:val="24"/>
        </w:rPr>
        <w:t xml:space="preserve">.  </w:t>
      </w:r>
      <w:r w:rsidR="00083A5D" w:rsidRPr="009F3167">
        <w:t>However,</w:t>
      </w:r>
      <w:r w:rsidRPr="009F3167">
        <w:t xml:space="preserve"> results were compared </w:t>
      </w:r>
      <w:r w:rsidR="006314BD" w:rsidRPr="009F3167">
        <w:t>after 24 weeks of active treatment</w:t>
      </w:r>
      <w:r w:rsidR="003433CD" w:rsidRPr="009F3167">
        <w:t xml:space="preserve"> (</w:t>
      </w:r>
      <w:r w:rsidR="006314BD" w:rsidRPr="009F3167">
        <w:t>but using Week 16 or 12 (</w:t>
      </w:r>
      <w:r w:rsidR="00EC3E0F" w:rsidRPr="009F3167">
        <w:t>i.e.</w:t>
      </w:r>
      <w:r w:rsidR="006314BD" w:rsidRPr="009F3167">
        <w:t xml:space="preserve"> prior to cross over) p</w:t>
      </w:r>
      <w:r w:rsidR="0062708E" w:rsidRPr="009F3167">
        <w:t>lacebo response rates in the guselkumab and ustekinumab</w:t>
      </w:r>
      <w:r w:rsidR="000A5661" w:rsidRPr="009F3167">
        <w:t xml:space="preserve"> trials</w:t>
      </w:r>
      <w:r w:rsidR="006314BD" w:rsidRPr="009F3167">
        <w:t xml:space="preserve"> respectively as common reference).  </w:t>
      </w:r>
      <w:r w:rsidR="006314BD" w:rsidRPr="009F3167">
        <w:rPr>
          <w:rFonts w:asciiTheme="minorHAnsi" w:hAnsiTheme="minorHAnsi" w:cstheme="minorHAnsi"/>
          <w:szCs w:val="24"/>
        </w:rPr>
        <w:t xml:space="preserve">The submission argued this </w:t>
      </w:r>
      <w:r w:rsidR="003433CD" w:rsidRPr="009F3167">
        <w:rPr>
          <w:rFonts w:asciiTheme="minorHAnsi" w:hAnsiTheme="minorHAnsi" w:cstheme="minorHAnsi"/>
          <w:szCs w:val="24"/>
        </w:rPr>
        <w:t>was</w:t>
      </w:r>
      <w:r w:rsidR="006314BD" w:rsidRPr="009F3167">
        <w:rPr>
          <w:rFonts w:asciiTheme="minorHAnsi" w:hAnsiTheme="minorHAnsi" w:cstheme="minorHAnsi"/>
          <w:szCs w:val="24"/>
        </w:rPr>
        <w:t xml:space="preserve"> more appropriate than using the primary trial end points as it better aligns with the proposed times that eligibility for continuing treatment will be assessed on the PBS.  </w:t>
      </w:r>
    </w:p>
    <w:p w:rsidR="00324EAE" w:rsidRPr="009F3167" w:rsidRDefault="006314BD" w:rsidP="003433CD">
      <w:pPr>
        <w:pStyle w:val="ListParagraph"/>
        <w:widowControl/>
        <w:numPr>
          <w:ilvl w:val="1"/>
          <w:numId w:val="3"/>
        </w:numPr>
      </w:pPr>
      <w:r w:rsidRPr="009F3167">
        <w:rPr>
          <w:rFonts w:asciiTheme="minorHAnsi" w:hAnsiTheme="minorHAnsi" w:cstheme="minorHAnsi"/>
          <w:iCs/>
          <w:szCs w:val="24"/>
        </w:rPr>
        <w:t>Given this approach require the</w:t>
      </w:r>
      <w:r w:rsidR="000A5661" w:rsidRPr="009F3167">
        <w:rPr>
          <w:rFonts w:asciiTheme="minorHAnsi" w:hAnsiTheme="minorHAnsi" w:cstheme="minorHAnsi"/>
          <w:iCs/>
          <w:szCs w:val="24"/>
        </w:rPr>
        <w:t xml:space="preserve"> acceptance that placebo response at Week 24 will be identical to those observed at Weeks 16 or 12</w:t>
      </w:r>
      <w:r w:rsidRPr="009F3167">
        <w:rPr>
          <w:rFonts w:asciiTheme="minorHAnsi" w:hAnsiTheme="minorHAnsi" w:cstheme="minorHAnsi"/>
          <w:iCs/>
          <w:szCs w:val="24"/>
        </w:rPr>
        <w:t xml:space="preserve">, a more appropriate approach might be to compare results prior to cross over (Week 16 in the </w:t>
      </w:r>
      <w:r w:rsidR="008009DB" w:rsidRPr="009F3167">
        <w:t xml:space="preserve">guselkumab </w:t>
      </w:r>
      <w:r w:rsidRPr="009F3167">
        <w:rPr>
          <w:rFonts w:asciiTheme="minorHAnsi" w:hAnsiTheme="minorHAnsi" w:cstheme="minorHAnsi"/>
          <w:iCs/>
          <w:szCs w:val="24"/>
        </w:rPr>
        <w:t xml:space="preserve">trials and Week 12 in the </w:t>
      </w:r>
      <w:r w:rsidR="008009DB" w:rsidRPr="009F3167">
        <w:t xml:space="preserve">ustekinumab </w:t>
      </w:r>
      <w:r w:rsidRPr="009F3167">
        <w:rPr>
          <w:rFonts w:asciiTheme="minorHAnsi" w:hAnsiTheme="minorHAnsi" w:cstheme="minorHAnsi"/>
          <w:iCs/>
          <w:szCs w:val="24"/>
        </w:rPr>
        <w:t xml:space="preserve">trials).  </w:t>
      </w:r>
      <w:r w:rsidR="003433CD" w:rsidRPr="009F3167">
        <w:rPr>
          <w:rFonts w:asciiTheme="minorHAnsi" w:hAnsiTheme="minorHAnsi" w:cstheme="minorHAnsi"/>
          <w:iCs/>
          <w:szCs w:val="24"/>
        </w:rPr>
        <w:t xml:space="preserve">Past </w:t>
      </w:r>
      <w:r w:rsidR="000A5661" w:rsidRPr="009F3167">
        <w:rPr>
          <w:rFonts w:asciiTheme="minorHAnsi" w:hAnsiTheme="minorHAnsi" w:cstheme="minorHAnsi"/>
          <w:iCs/>
          <w:szCs w:val="24"/>
        </w:rPr>
        <w:t xml:space="preserve">PBAC </w:t>
      </w:r>
      <w:r w:rsidR="003433CD" w:rsidRPr="009F3167">
        <w:rPr>
          <w:rFonts w:asciiTheme="minorHAnsi" w:hAnsiTheme="minorHAnsi" w:cstheme="minorHAnsi"/>
          <w:iCs/>
          <w:szCs w:val="24"/>
        </w:rPr>
        <w:t xml:space="preserve">considerations of biologics in </w:t>
      </w:r>
      <w:r w:rsidR="000A5661" w:rsidRPr="009F3167">
        <w:rPr>
          <w:rFonts w:asciiTheme="minorHAnsi" w:hAnsiTheme="minorHAnsi" w:cstheme="minorHAnsi"/>
          <w:iCs/>
          <w:szCs w:val="24"/>
        </w:rPr>
        <w:t>CPP</w:t>
      </w:r>
      <w:r w:rsidR="003433CD" w:rsidRPr="009F3167">
        <w:rPr>
          <w:rFonts w:asciiTheme="minorHAnsi" w:hAnsiTheme="minorHAnsi" w:cstheme="minorHAnsi"/>
          <w:iCs/>
          <w:szCs w:val="24"/>
        </w:rPr>
        <w:t xml:space="preserve"> have also mainly considered </w:t>
      </w:r>
      <w:r w:rsidR="000A5661" w:rsidRPr="009F3167">
        <w:rPr>
          <w:rFonts w:asciiTheme="minorHAnsi" w:hAnsiTheme="minorHAnsi" w:cstheme="minorHAnsi"/>
          <w:iCs/>
          <w:szCs w:val="24"/>
        </w:rPr>
        <w:t>efficacy outcomes measured at the end of the trial p</w:t>
      </w:r>
      <w:r w:rsidR="0062708E" w:rsidRPr="009F3167">
        <w:rPr>
          <w:rFonts w:asciiTheme="minorHAnsi" w:hAnsiTheme="minorHAnsi" w:cstheme="minorHAnsi"/>
          <w:iCs/>
          <w:szCs w:val="24"/>
        </w:rPr>
        <w:t>lacebo control periods.  For ustekinumab</w:t>
      </w:r>
      <w:r w:rsidR="000A5661" w:rsidRPr="009F3167">
        <w:rPr>
          <w:rFonts w:asciiTheme="minorHAnsi" w:hAnsiTheme="minorHAnsi" w:cstheme="minorHAnsi"/>
          <w:iCs/>
          <w:szCs w:val="24"/>
        </w:rPr>
        <w:t>, this was at Week 12 (see ixekizumab July 2016, secukinumab March 2015 and ustekinu</w:t>
      </w:r>
      <w:r w:rsidR="00722300" w:rsidRPr="009F3167">
        <w:rPr>
          <w:rFonts w:asciiTheme="minorHAnsi" w:hAnsiTheme="minorHAnsi" w:cstheme="minorHAnsi"/>
          <w:iCs/>
          <w:szCs w:val="24"/>
        </w:rPr>
        <w:t>mab</w:t>
      </w:r>
      <w:r w:rsidR="000A5661" w:rsidRPr="009F3167">
        <w:rPr>
          <w:rFonts w:asciiTheme="minorHAnsi" w:hAnsiTheme="minorHAnsi" w:cstheme="minorHAnsi"/>
          <w:iCs/>
          <w:szCs w:val="24"/>
        </w:rPr>
        <w:t xml:space="preserve"> November 2009 PSDs).  </w:t>
      </w:r>
      <w:r w:rsidR="0062708E" w:rsidRPr="009F3167">
        <w:t>In the ustekinumab</w:t>
      </w:r>
      <w:r w:rsidR="00324EAE" w:rsidRPr="009F3167">
        <w:t xml:space="preserve"> </w:t>
      </w:r>
      <w:r w:rsidR="00027404" w:rsidRPr="009F3167">
        <w:t xml:space="preserve">November </w:t>
      </w:r>
      <w:r w:rsidR="00324EAE" w:rsidRPr="009F3167">
        <w:t xml:space="preserve">2009 submission, it was also noted the PBAC accepted a longer initial treatment period (with one additional dose) </w:t>
      </w:r>
      <w:r w:rsidR="0062708E" w:rsidRPr="009F3167">
        <w:t>for ustekinumab</w:t>
      </w:r>
      <w:r w:rsidR="003433CD" w:rsidRPr="009F3167">
        <w:t xml:space="preserve"> </w:t>
      </w:r>
      <w:r w:rsidR="00324EAE" w:rsidRPr="009F3167">
        <w:t xml:space="preserve">as the submission was able to additionally demonstrate cost effectiveness versus etanercept despite the longer 28 week initiation period (ustekinumab November 2009 PSD).  </w:t>
      </w:r>
      <w:r w:rsidR="00E30EBE">
        <w:t>D</w:t>
      </w:r>
      <w:r w:rsidR="0062708E" w:rsidRPr="009F3167">
        <w:t>ata from the ustekinumab</w:t>
      </w:r>
      <w:r w:rsidR="00324EAE" w:rsidRPr="009F3167">
        <w:t xml:space="preserve"> trials also indicated a sizeable number of patients attained PASI 75 response between Weeks 1</w:t>
      </w:r>
      <w:r w:rsidR="00324EAE" w:rsidRPr="00885775">
        <w:t>2</w:t>
      </w:r>
      <w:r w:rsidR="00324EAE" w:rsidRPr="009F3167">
        <w:t xml:space="preserve"> and 24 (when response would be assessed on PBS).</w:t>
      </w:r>
    </w:p>
    <w:p w:rsidR="00E23B6B" w:rsidRPr="009F3167" w:rsidRDefault="00E23B6B" w:rsidP="00E23B6B">
      <w:pPr>
        <w:pStyle w:val="ListParagraph"/>
        <w:widowControl/>
        <w:numPr>
          <w:ilvl w:val="1"/>
          <w:numId w:val="3"/>
        </w:numPr>
        <w:rPr>
          <w:iCs/>
        </w:rPr>
      </w:pPr>
      <w:r w:rsidRPr="009F3167">
        <w:rPr>
          <w:iCs/>
        </w:rPr>
        <w:t xml:space="preserve">The submission presented four risk </w:t>
      </w:r>
      <w:r w:rsidR="00885775" w:rsidRPr="009F3167">
        <w:rPr>
          <w:iCs/>
        </w:rPr>
        <w:t xml:space="preserve">statistics </w:t>
      </w:r>
      <w:r w:rsidRPr="009F3167">
        <w:rPr>
          <w:iCs/>
        </w:rPr>
        <w:t xml:space="preserve">when performing the indirect comparisons using </w:t>
      </w:r>
      <w:r w:rsidRPr="009F3167">
        <w:rPr>
          <w:rFonts w:asciiTheme="minorHAnsi" w:hAnsiTheme="minorHAnsi" w:cstheme="minorHAnsi"/>
          <w:iCs/>
          <w:szCs w:val="24"/>
        </w:rPr>
        <w:t>the Bucher 1997 methodology</w:t>
      </w:r>
      <w:r w:rsidRPr="009F3167">
        <w:rPr>
          <w:iCs/>
        </w:rPr>
        <w:t>: risk difference (RD), odds ratio (OR), relative risk (RR) expressed in terms of proportion of responders and RR expressed in terms of non-responders.</w:t>
      </w:r>
      <w:r w:rsidRPr="009F3167">
        <w:t xml:space="preserve">  </w:t>
      </w:r>
      <w:r w:rsidRPr="009F3167">
        <w:rPr>
          <w:iCs/>
        </w:rPr>
        <w:t>The main reason to also present RR in terms of non-response was that due to asymmetry in the variance of the RR statistic,</w:t>
      </w:r>
      <w:r w:rsidR="00BA0D2D" w:rsidRPr="009F3167">
        <w:rPr>
          <w:iCs/>
        </w:rPr>
        <w:t xml:space="preserve"> and thus</w:t>
      </w:r>
      <w:r w:rsidRPr="009F3167">
        <w:rPr>
          <w:iCs/>
        </w:rPr>
        <w:t xml:space="preserve"> results of indirect comparisons using RR (in both direction and size) can change depending on whether the outcome is framed in terms of a loss or gain.  In contrast, variances for RD and OR are symmetric.  The submission argued  that the choice to frame in terms of loss or gain would depend on which has the highest baseline risk in the common comparator arms.  In the VOYAGE and </w:t>
      </w:r>
      <w:r w:rsidR="00FD034E" w:rsidRPr="009F3167">
        <w:rPr>
          <w:iCs/>
        </w:rPr>
        <w:t>PHOENIX</w:t>
      </w:r>
      <w:r w:rsidRPr="009F3167">
        <w:rPr>
          <w:iCs/>
        </w:rPr>
        <w:t xml:space="preserve"> trials, given the placebo PASI response rates were low (&lt;10%), then expressing RR in terms of non-response would be more appropriate.</w:t>
      </w:r>
    </w:p>
    <w:p w:rsidR="00E23B6B" w:rsidRPr="009F3167" w:rsidRDefault="00E23B6B" w:rsidP="00A64D11">
      <w:pPr>
        <w:pStyle w:val="ListParagraph"/>
        <w:widowControl/>
        <w:numPr>
          <w:ilvl w:val="1"/>
          <w:numId w:val="3"/>
        </w:numPr>
      </w:pPr>
      <w:r w:rsidRPr="009F3167">
        <w:rPr>
          <w:iCs/>
        </w:rPr>
        <w:t>The submission further claimed that this approach was also adopted for the Novem</w:t>
      </w:r>
      <w:r w:rsidR="0062708E" w:rsidRPr="009F3167">
        <w:rPr>
          <w:iCs/>
        </w:rPr>
        <w:t>ber 2009 PBAC submission for ustekinumab</w:t>
      </w:r>
      <w:r w:rsidRPr="009F3167">
        <w:rPr>
          <w:iCs/>
        </w:rPr>
        <w:t xml:space="preserve"> and was considered to be appropriate by the evaluation.  </w:t>
      </w:r>
      <w:r w:rsidRPr="009F3167">
        <w:t>This claim was not able to b</w:t>
      </w:r>
      <w:r w:rsidR="0062708E" w:rsidRPr="009F3167">
        <w:t>e verified.  The PSD for the ustekinumab</w:t>
      </w:r>
      <w:r w:rsidRPr="009F3167">
        <w:t xml:space="preserve"> November 2009 submission reported results using OR and the </w:t>
      </w:r>
      <w:r w:rsidRPr="00027404">
        <w:t>Commentary reported results in RR</w:t>
      </w:r>
      <w:r w:rsidRPr="009F3167">
        <w:t xml:space="preserve">, OR and RD based on response rather than non-response.  Recent submissions of bDMARDs for CPP have also presented results using all three risk statistics (RD, RR, and OR in terms of response; ixekizumab July 2016 and secukinumab March 2015). </w:t>
      </w:r>
    </w:p>
    <w:p w:rsidR="00E23B6B" w:rsidRPr="009F3167" w:rsidRDefault="00E23B6B" w:rsidP="004D7463">
      <w:pPr>
        <w:pStyle w:val="ListParagraph"/>
        <w:widowControl/>
        <w:numPr>
          <w:ilvl w:val="1"/>
          <w:numId w:val="3"/>
        </w:numPr>
      </w:pPr>
      <w:r w:rsidRPr="009F3167">
        <w:lastRenderedPageBreak/>
        <w:t xml:space="preserve">In a paper by </w:t>
      </w:r>
      <w:proofErr w:type="spellStart"/>
      <w:r w:rsidRPr="009F3167">
        <w:t>Eckermann</w:t>
      </w:r>
      <w:proofErr w:type="spellEnd"/>
      <w:r w:rsidRPr="009F3167">
        <w:t xml:space="preserve">, </w:t>
      </w:r>
      <w:proofErr w:type="spellStart"/>
      <w:r w:rsidRPr="009F3167">
        <w:t>Coory</w:t>
      </w:r>
      <w:proofErr w:type="spellEnd"/>
      <w:r w:rsidRPr="009F3167">
        <w:t xml:space="preserve"> and </w:t>
      </w:r>
      <w:proofErr w:type="spellStart"/>
      <w:r w:rsidRPr="009F3167">
        <w:t>Willan</w:t>
      </w:r>
      <w:proofErr w:type="spellEnd"/>
      <w:r w:rsidRPr="009F3167">
        <w:t xml:space="preserve"> (2009) (also referenced by the submission), the authors suggested that rather than RR, OR given its symmetric properties should be used to estimate relative treatment effects in indirect comparisons</w:t>
      </w:r>
      <w:r w:rsidR="004D7463" w:rsidRPr="009F3167">
        <w:t xml:space="preserve">.  </w:t>
      </w:r>
      <w:r w:rsidRPr="009F3167">
        <w:t>The Report of the Indirect Comparisons Working Group to the PBAC (pp47-48) further suggested if the choice of the measure of comparative treatment effect affects conclusions</w:t>
      </w:r>
      <w:r w:rsidR="00722300" w:rsidRPr="009F3167">
        <w:t>,</w:t>
      </w:r>
      <w:r w:rsidRPr="009F3167">
        <w:t xml:space="preserve"> then the submission should show the range of conclusions that can be drawn from the different measures.</w:t>
      </w:r>
    </w:p>
    <w:p w:rsidR="005C387E" w:rsidRPr="009F3167" w:rsidRDefault="00E23B6B" w:rsidP="004D7463">
      <w:pPr>
        <w:pStyle w:val="ListParagraph"/>
        <w:widowControl/>
        <w:numPr>
          <w:ilvl w:val="1"/>
          <w:numId w:val="3"/>
        </w:numPr>
      </w:pPr>
      <w:r w:rsidRPr="009F3167">
        <w:t>Given all</w:t>
      </w:r>
      <w:r w:rsidR="0062708E" w:rsidRPr="009F3167">
        <w:t xml:space="preserve"> indirect comparisons versus ustekinumab</w:t>
      </w:r>
      <w:r w:rsidRPr="009F3167">
        <w:t xml:space="preserve"> were updated during the evaluation to both incorporate additional evidence as well as to provide an alternate set of results assessing results at the end of placebo control period for both sets of trials (Week 16 for </w:t>
      </w:r>
      <w:r w:rsidR="00BA0D2D" w:rsidRPr="009F3167">
        <w:t xml:space="preserve">guselkumab </w:t>
      </w:r>
      <w:r w:rsidRPr="009F3167">
        <w:t xml:space="preserve">and Week 12 for </w:t>
      </w:r>
      <w:r w:rsidR="00BA0D2D" w:rsidRPr="009F3167">
        <w:t>ustekinumab</w:t>
      </w:r>
      <w:r w:rsidRPr="009F3167">
        <w:t xml:space="preserve">), results were re-estimated using mainly OR and RD.  Results in RR (in terms of response) were also re-estimated to allow comparability with other previous submissions considered by the PBAC.  </w:t>
      </w:r>
    </w:p>
    <w:p w:rsidR="00A64D11" w:rsidRPr="009F3167" w:rsidRDefault="00324EAE" w:rsidP="006458D2">
      <w:pPr>
        <w:pStyle w:val="ListParagraph"/>
        <w:widowControl/>
        <w:numPr>
          <w:ilvl w:val="1"/>
          <w:numId w:val="3"/>
        </w:numPr>
      </w:pPr>
      <w:r w:rsidRPr="009F3167">
        <w:rPr>
          <w:iCs/>
        </w:rPr>
        <w:t>Table</w:t>
      </w:r>
      <w:r w:rsidR="006458D2" w:rsidRPr="009F3167">
        <w:rPr>
          <w:iCs/>
        </w:rPr>
        <w:t>s</w:t>
      </w:r>
      <w:r w:rsidRPr="009F3167">
        <w:rPr>
          <w:iCs/>
        </w:rPr>
        <w:t xml:space="preserve"> </w:t>
      </w:r>
      <w:r w:rsidR="00A64D11" w:rsidRPr="009F3167">
        <w:rPr>
          <w:iCs/>
        </w:rPr>
        <w:t>4</w:t>
      </w:r>
      <w:r w:rsidRPr="009F3167">
        <w:rPr>
          <w:iCs/>
        </w:rPr>
        <w:t xml:space="preserve"> </w:t>
      </w:r>
      <w:r w:rsidR="006458D2" w:rsidRPr="009F3167">
        <w:rPr>
          <w:iCs/>
        </w:rPr>
        <w:t xml:space="preserve">and 5 </w:t>
      </w:r>
      <w:r w:rsidR="00E23B6B" w:rsidRPr="009F3167">
        <w:rPr>
          <w:iCs/>
        </w:rPr>
        <w:t xml:space="preserve">summarise results of </w:t>
      </w:r>
      <w:r w:rsidR="005C387E" w:rsidRPr="009F3167">
        <w:rPr>
          <w:iCs/>
        </w:rPr>
        <w:t xml:space="preserve">indirect and direct </w:t>
      </w:r>
      <w:r w:rsidR="00E23B6B" w:rsidRPr="009F3167">
        <w:rPr>
          <w:iCs/>
        </w:rPr>
        <w:t xml:space="preserve">comparison for </w:t>
      </w:r>
      <w:r w:rsidR="006314BD" w:rsidRPr="009F3167">
        <w:rPr>
          <w:iCs/>
        </w:rPr>
        <w:t>PASI 75</w:t>
      </w:r>
      <w:r w:rsidR="006458D2" w:rsidRPr="009F3167">
        <w:rPr>
          <w:iCs/>
        </w:rPr>
        <w:t xml:space="preserve"> and PASI 90</w:t>
      </w:r>
      <w:r w:rsidR="006314BD" w:rsidRPr="009F3167">
        <w:rPr>
          <w:iCs/>
        </w:rPr>
        <w:t xml:space="preserve"> </w:t>
      </w:r>
      <w:r w:rsidR="00E23B6B" w:rsidRPr="009F3167">
        <w:rPr>
          <w:iCs/>
        </w:rPr>
        <w:t>response</w:t>
      </w:r>
      <w:r w:rsidR="006458D2" w:rsidRPr="009F3167">
        <w:rPr>
          <w:iCs/>
        </w:rPr>
        <w:t>s</w:t>
      </w:r>
      <w:r w:rsidR="00E23B6B" w:rsidRPr="009F3167">
        <w:rPr>
          <w:iCs/>
        </w:rPr>
        <w:t xml:space="preserve"> </w:t>
      </w:r>
      <w:r w:rsidR="006458D2" w:rsidRPr="009F3167">
        <w:rPr>
          <w:iCs/>
        </w:rPr>
        <w:t xml:space="preserve">at </w:t>
      </w:r>
      <w:r w:rsidR="00E23B6B" w:rsidRPr="009F3167">
        <w:rPr>
          <w:iCs/>
        </w:rPr>
        <w:t>Week 16 fo</w:t>
      </w:r>
      <w:r w:rsidR="00D52422" w:rsidRPr="009F3167">
        <w:rPr>
          <w:iCs/>
        </w:rPr>
        <w:t>r</w:t>
      </w:r>
      <w:r w:rsidR="00BA0D2D" w:rsidRPr="009F3167">
        <w:rPr>
          <w:iCs/>
        </w:rPr>
        <w:t xml:space="preserve"> the</w:t>
      </w:r>
      <w:r w:rsidR="00D52422" w:rsidRPr="009F3167">
        <w:rPr>
          <w:iCs/>
        </w:rPr>
        <w:t xml:space="preserve"> </w:t>
      </w:r>
      <w:r w:rsidR="00BA0D2D" w:rsidRPr="009F3167">
        <w:t xml:space="preserve">guselkumab </w:t>
      </w:r>
      <w:r w:rsidR="00D52422" w:rsidRPr="009F3167">
        <w:rPr>
          <w:iCs/>
        </w:rPr>
        <w:t xml:space="preserve">trials and Week 12 for </w:t>
      </w:r>
      <w:r w:rsidR="00BA0D2D" w:rsidRPr="009F3167">
        <w:rPr>
          <w:iCs/>
        </w:rPr>
        <w:t xml:space="preserve">the </w:t>
      </w:r>
      <w:r w:rsidR="00D52422" w:rsidRPr="009F3167">
        <w:rPr>
          <w:iCs/>
        </w:rPr>
        <w:t>ustekinumab</w:t>
      </w:r>
      <w:r w:rsidR="00E23B6B" w:rsidRPr="009F3167">
        <w:rPr>
          <w:iCs/>
        </w:rPr>
        <w:t xml:space="preserve"> trials. </w:t>
      </w:r>
      <w:r w:rsidR="006458D2" w:rsidRPr="009F3167">
        <w:rPr>
          <w:iCs/>
        </w:rPr>
        <w:t xml:space="preserve"> </w:t>
      </w:r>
      <w:r w:rsidR="00E23B6B" w:rsidRPr="009F3167">
        <w:rPr>
          <w:iCs/>
        </w:rPr>
        <w:t xml:space="preserve">As discussed, </w:t>
      </w:r>
      <w:r w:rsidR="006458D2" w:rsidRPr="009F3167">
        <w:rPr>
          <w:iCs/>
        </w:rPr>
        <w:t>t</w:t>
      </w:r>
      <w:r w:rsidR="006314BD" w:rsidRPr="009F3167">
        <w:rPr>
          <w:iCs/>
        </w:rPr>
        <w:t xml:space="preserve">he evidence base was expanded during the evaluation to also include the NAVIGATE trial (direct comparative evidence of </w:t>
      </w:r>
      <w:r w:rsidR="00BA0D2D" w:rsidRPr="009F3167">
        <w:t xml:space="preserve">guselkumab </w:t>
      </w:r>
      <w:r w:rsidR="006314BD" w:rsidRPr="009F3167">
        <w:rPr>
          <w:iCs/>
        </w:rPr>
        <w:t xml:space="preserve">vs </w:t>
      </w:r>
      <w:r w:rsidR="00BA0D2D" w:rsidRPr="009F3167">
        <w:rPr>
          <w:iCs/>
        </w:rPr>
        <w:t xml:space="preserve">ustekinumab </w:t>
      </w:r>
      <w:r w:rsidR="006314BD" w:rsidRPr="009F3167">
        <w:rPr>
          <w:iCs/>
        </w:rPr>
        <w:t xml:space="preserve">in patients who have failed </w:t>
      </w:r>
      <w:r w:rsidR="00BA0D2D" w:rsidRPr="009F3167">
        <w:rPr>
          <w:iCs/>
        </w:rPr>
        <w:t>ustekinumab</w:t>
      </w:r>
      <w:r w:rsidR="006314BD" w:rsidRPr="009F3167">
        <w:rPr>
          <w:iCs/>
        </w:rPr>
        <w:t xml:space="preserve">) and the PEARL; LOTUS; Igarashi 2012, AMAGINE-2 and AMAGINE-3 trials comparing </w:t>
      </w:r>
      <w:r w:rsidR="00BA0D2D" w:rsidRPr="009F3167">
        <w:rPr>
          <w:iCs/>
        </w:rPr>
        <w:t xml:space="preserve">ustekinumab </w:t>
      </w:r>
      <w:r w:rsidR="006314BD" w:rsidRPr="009F3167">
        <w:rPr>
          <w:iCs/>
        </w:rPr>
        <w:t>and placebo.</w:t>
      </w:r>
      <w:r w:rsidR="00D52422" w:rsidRPr="009F3167">
        <w:rPr>
          <w:iCs/>
        </w:rPr>
        <w:t xml:space="preserve">  The evidence versus ustekinumab</w:t>
      </w:r>
      <w:r w:rsidRPr="009F3167">
        <w:rPr>
          <w:iCs/>
        </w:rPr>
        <w:t xml:space="preserve"> was indirect, using placebo as common reference, wherea</w:t>
      </w:r>
      <w:r w:rsidR="00D52422" w:rsidRPr="009F3167">
        <w:rPr>
          <w:iCs/>
        </w:rPr>
        <w:t>s comparative results versus adalimumab</w:t>
      </w:r>
      <w:r w:rsidRPr="009F3167">
        <w:rPr>
          <w:iCs/>
        </w:rPr>
        <w:t xml:space="preserve"> was direct since the VOYAGE 1 and 2 trials also included </w:t>
      </w:r>
      <w:r w:rsidR="00BA0D2D" w:rsidRPr="009F3167">
        <w:rPr>
          <w:iCs/>
        </w:rPr>
        <w:t xml:space="preserve">adalimumab </w:t>
      </w:r>
      <w:r w:rsidRPr="009F3167">
        <w:rPr>
          <w:iCs/>
        </w:rPr>
        <w:t>as an active comparator (for up to either 24 (VOYAGE 2) or 48 weeks (VOYAGE 1).</w:t>
      </w:r>
    </w:p>
    <w:p w:rsidR="006314BD" w:rsidRPr="009F3167" w:rsidRDefault="00A64D11" w:rsidP="00A64D11">
      <w:pPr>
        <w:pStyle w:val="ListParagraph"/>
        <w:widowControl/>
        <w:numPr>
          <w:ilvl w:val="1"/>
          <w:numId w:val="3"/>
        </w:numPr>
      </w:pPr>
      <w:r w:rsidRPr="009F3167">
        <w:rPr>
          <w:iCs/>
        </w:rPr>
        <w:t xml:space="preserve">For the indirect comparisons, the submission nominated a non-inferiority margin of </w:t>
      </w:r>
      <w:r w:rsidR="00AB5B00" w:rsidRPr="009F3167">
        <w:rPr>
          <w:iCs/>
        </w:rPr>
        <w:br/>
      </w:r>
      <w:r w:rsidRPr="009F3167">
        <w:rPr>
          <w:iCs/>
        </w:rPr>
        <w:t>-</w:t>
      </w:r>
      <w:r w:rsidR="004D7463" w:rsidRPr="009F3167">
        <w:rPr>
          <w:iCs/>
        </w:rPr>
        <w:t> </w:t>
      </w:r>
      <w:r w:rsidRPr="009F3167">
        <w:rPr>
          <w:iCs/>
        </w:rPr>
        <w:t xml:space="preserve">10% for PASI 90 or PASI 75 between </w:t>
      </w:r>
      <w:r w:rsidR="00BA0D2D" w:rsidRPr="009F3167">
        <w:t xml:space="preserve">guselkumab </w:t>
      </w:r>
      <w:r w:rsidRPr="009F3167">
        <w:rPr>
          <w:iCs/>
        </w:rPr>
        <w:t xml:space="preserve">and </w:t>
      </w:r>
      <w:r w:rsidR="00BA0D2D" w:rsidRPr="009F3167">
        <w:rPr>
          <w:iCs/>
        </w:rPr>
        <w:t xml:space="preserve">ustekinumab </w:t>
      </w:r>
      <w:r w:rsidRPr="009F3167">
        <w:rPr>
          <w:iCs/>
        </w:rPr>
        <w:t xml:space="preserve">based on results estimated using the RD statistic.  This was sourced from the VOYAGE trials, which nominated a non-inferiority margin of 10% (lower bound of the 95% CI for the difference in proportions in </w:t>
      </w:r>
      <w:r w:rsidR="00DE69CD" w:rsidRPr="009F3167">
        <w:t xml:space="preserve">guselkumab </w:t>
      </w:r>
      <w:r w:rsidRPr="009F3167">
        <w:rPr>
          <w:iCs/>
        </w:rPr>
        <w:t xml:space="preserve">minus </w:t>
      </w:r>
      <w:r w:rsidR="00DE69CD" w:rsidRPr="009F3167">
        <w:rPr>
          <w:iCs/>
        </w:rPr>
        <w:t xml:space="preserve">adalimumab </w:t>
      </w:r>
      <w:r w:rsidRPr="009F3167">
        <w:rPr>
          <w:iCs/>
        </w:rPr>
        <w:t>for PASI 90 or PASI 75 &gt;</w:t>
      </w:r>
      <w:r w:rsidR="00442641">
        <w:rPr>
          <w:iCs/>
        </w:rPr>
        <w:br/>
      </w:r>
      <w:r w:rsidRPr="009F3167">
        <w:rPr>
          <w:iCs/>
        </w:rPr>
        <w:t xml:space="preserve"> - 10%).</w:t>
      </w:r>
    </w:p>
    <w:p w:rsidR="005D56A5" w:rsidRPr="007C3136" w:rsidRDefault="00F81906" w:rsidP="007C3136">
      <w:pPr>
        <w:widowControl/>
        <w:jc w:val="left"/>
        <w:rPr>
          <w:rStyle w:val="CommentReference"/>
          <w:rFonts w:ascii="Calibri" w:hAnsi="Calibri"/>
          <w:b w:val="0"/>
          <w:iCs/>
          <w:sz w:val="24"/>
          <w:szCs w:val="22"/>
        </w:rPr>
      </w:pPr>
      <w:r w:rsidRPr="009F3167">
        <w:rPr>
          <w:iCs/>
        </w:rPr>
        <w:br w:type="page"/>
      </w:r>
      <w:r w:rsidR="005D56A5" w:rsidRPr="009F3167">
        <w:rPr>
          <w:rStyle w:val="CommentReference"/>
        </w:rPr>
        <w:lastRenderedPageBreak/>
        <w:t>Table 4: Initial PASI 75 response at Weeks 16/12 across the trials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9"/>
        <w:gridCol w:w="1134"/>
        <w:gridCol w:w="1134"/>
        <w:gridCol w:w="1560"/>
        <w:gridCol w:w="1560"/>
        <w:gridCol w:w="1416"/>
        <w:gridCol w:w="1134"/>
        <w:gridCol w:w="709"/>
      </w:tblGrid>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b/>
                <w:bCs/>
                <w:iCs/>
                <w:sz w:val="18"/>
                <w:szCs w:val="18"/>
              </w:rPr>
            </w:pPr>
            <w:r w:rsidRPr="00067537">
              <w:rPr>
                <w:rFonts w:ascii="Arial Narrow" w:hAnsi="Arial Narrow"/>
                <w:b/>
                <w:bCs/>
                <w:iCs/>
                <w:sz w:val="18"/>
                <w:szCs w:val="18"/>
              </w:rPr>
              <w:t>Trial</w:t>
            </w:r>
          </w:p>
        </w:tc>
        <w:tc>
          <w:tcPr>
            <w:tcW w:w="1134" w:type="dxa"/>
            <w:vAlign w:val="center"/>
          </w:tcPr>
          <w:p w:rsidR="005D56A5" w:rsidRPr="00067537" w:rsidRDefault="005D56A5" w:rsidP="007800FE">
            <w:pPr>
              <w:jc w:val="center"/>
              <w:rPr>
                <w:rFonts w:ascii="Arial Narrow" w:hAnsi="Arial Narrow"/>
                <w:b/>
                <w:bCs/>
                <w:iCs/>
                <w:sz w:val="18"/>
                <w:szCs w:val="18"/>
              </w:rPr>
            </w:pPr>
            <w:r w:rsidRPr="00067537">
              <w:rPr>
                <w:rFonts w:ascii="Arial Narrow" w:hAnsi="Arial Narrow"/>
                <w:b/>
                <w:bCs/>
                <w:iCs/>
                <w:sz w:val="18"/>
                <w:szCs w:val="18"/>
              </w:rPr>
              <w:t>Drug</w:t>
            </w:r>
          </w:p>
          <w:p w:rsidR="005D56A5" w:rsidRPr="00067537" w:rsidRDefault="005D56A5" w:rsidP="007800FE">
            <w:pPr>
              <w:jc w:val="center"/>
              <w:rPr>
                <w:rFonts w:ascii="Arial Narrow" w:hAnsi="Arial Narrow"/>
                <w:b/>
                <w:bCs/>
                <w:iCs/>
                <w:sz w:val="18"/>
                <w:szCs w:val="18"/>
              </w:rPr>
            </w:pPr>
            <w:r w:rsidRPr="00067537">
              <w:rPr>
                <w:rFonts w:ascii="Arial Narrow" w:hAnsi="Arial Narrow"/>
                <w:b/>
                <w:bCs/>
                <w:iCs/>
                <w:sz w:val="18"/>
                <w:szCs w:val="18"/>
              </w:rPr>
              <w:t>n/N (%)</w:t>
            </w:r>
          </w:p>
        </w:tc>
        <w:tc>
          <w:tcPr>
            <w:tcW w:w="1134" w:type="dxa"/>
            <w:vAlign w:val="center"/>
          </w:tcPr>
          <w:p w:rsidR="005D56A5" w:rsidRPr="00067537" w:rsidRDefault="005D56A5" w:rsidP="007800FE">
            <w:pPr>
              <w:jc w:val="center"/>
              <w:rPr>
                <w:rFonts w:ascii="Arial Narrow" w:hAnsi="Arial Narrow"/>
                <w:b/>
                <w:bCs/>
                <w:iCs/>
                <w:sz w:val="18"/>
                <w:szCs w:val="18"/>
              </w:rPr>
            </w:pPr>
            <w:r w:rsidRPr="00067537">
              <w:rPr>
                <w:rFonts w:ascii="Arial Narrow" w:hAnsi="Arial Narrow"/>
                <w:b/>
                <w:bCs/>
                <w:iCs/>
                <w:sz w:val="18"/>
                <w:szCs w:val="18"/>
              </w:rPr>
              <w:t>Control</w:t>
            </w:r>
          </w:p>
          <w:p w:rsidR="005D56A5" w:rsidRPr="00067537" w:rsidRDefault="005D56A5" w:rsidP="007800FE">
            <w:pPr>
              <w:jc w:val="center"/>
              <w:rPr>
                <w:rFonts w:ascii="Arial Narrow" w:hAnsi="Arial Narrow"/>
                <w:b/>
                <w:bCs/>
                <w:iCs/>
                <w:sz w:val="18"/>
                <w:szCs w:val="18"/>
              </w:rPr>
            </w:pPr>
            <w:r w:rsidRPr="00067537">
              <w:rPr>
                <w:rFonts w:ascii="Arial Narrow" w:hAnsi="Arial Narrow"/>
                <w:b/>
                <w:bCs/>
                <w:iCs/>
                <w:sz w:val="18"/>
                <w:szCs w:val="18"/>
              </w:rPr>
              <w:t>n/N (%)</w:t>
            </w:r>
          </w:p>
        </w:tc>
        <w:tc>
          <w:tcPr>
            <w:tcW w:w="3120" w:type="dxa"/>
            <w:gridSpan w:val="2"/>
            <w:tcBorders>
              <w:bottom w:val="single" w:sz="4" w:space="0" w:color="auto"/>
            </w:tcBorders>
            <w:vAlign w:val="center"/>
          </w:tcPr>
          <w:p w:rsidR="005D56A5" w:rsidRPr="00067537" w:rsidRDefault="005D56A5" w:rsidP="007800FE">
            <w:pPr>
              <w:jc w:val="center"/>
              <w:rPr>
                <w:rFonts w:ascii="Arial Narrow" w:hAnsi="Arial Narrow"/>
                <w:b/>
                <w:bCs/>
                <w:iCs/>
                <w:noProof/>
                <w:sz w:val="18"/>
                <w:szCs w:val="18"/>
              </w:rPr>
            </w:pPr>
            <w:r w:rsidRPr="00067537">
              <w:rPr>
                <w:rFonts w:ascii="Arial Narrow" w:hAnsi="Arial Narrow"/>
                <w:b/>
                <w:bCs/>
                <w:iCs/>
                <w:noProof/>
                <w:sz w:val="18"/>
                <w:szCs w:val="18"/>
              </w:rPr>
              <w:t>OR (95% CI)^</w:t>
            </w:r>
          </w:p>
        </w:tc>
        <w:tc>
          <w:tcPr>
            <w:tcW w:w="2550" w:type="dxa"/>
            <w:gridSpan w:val="2"/>
            <w:vAlign w:val="center"/>
          </w:tcPr>
          <w:p w:rsidR="005D56A5" w:rsidRPr="00067537" w:rsidRDefault="005D56A5" w:rsidP="007800FE">
            <w:pPr>
              <w:jc w:val="center"/>
              <w:rPr>
                <w:rFonts w:ascii="Arial Narrow" w:hAnsi="Arial Narrow"/>
                <w:b/>
                <w:bCs/>
                <w:iCs/>
                <w:noProof/>
                <w:sz w:val="18"/>
                <w:szCs w:val="18"/>
              </w:rPr>
            </w:pPr>
            <w:r w:rsidRPr="00067537">
              <w:rPr>
                <w:rFonts w:ascii="Arial Narrow" w:hAnsi="Arial Narrow"/>
                <w:b/>
                <w:bCs/>
                <w:iCs/>
                <w:noProof/>
                <w:sz w:val="18"/>
                <w:szCs w:val="18"/>
              </w:rPr>
              <w:t>RD [95% CI]^</w:t>
            </w:r>
          </w:p>
        </w:tc>
        <w:tc>
          <w:tcPr>
            <w:tcW w:w="709" w:type="dxa"/>
            <w:tcBorders>
              <w:bottom w:val="single" w:sz="4" w:space="0" w:color="auto"/>
            </w:tcBorders>
          </w:tcPr>
          <w:p w:rsidR="005D56A5" w:rsidRPr="00067537" w:rsidRDefault="005D56A5" w:rsidP="007800FE">
            <w:pPr>
              <w:jc w:val="center"/>
              <w:rPr>
                <w:rFonts w:ascii="Arial Narrow" w:hAnsi="Arial Narrow"/>
                <w:b/>
                <w:bCs/>
                <w:iCs/>
                <w:sz w:val="18"/>
                <w:szCs w:val="18"/>
              </w:rPr>
            </w:pPr>
            <w:r w:rsidRPr="00067537">
              <w:rPr>
                <w:rFonts w:ascii="Arial Narrow" w:hAnsi="Arial Narrow"/>
                <w:b/>
                <w:bCs/>
                <w:iCs/>
                <w:sz w:val="18"/>
                <w:szCs w:val="18"/>
              </w:rPr>
              <w:t>NNT</w:t>
            </w:r>
          </w:p>
          <w:p w:rsidR="005D56A5" w:rsidRPr="00067537" w:rsidRDefault="005D56A5" w:rsidP="007800FE">
            <w:pPr>
              <w:jc w:val="center"/>
              <w:rPr>
                <w:rFonts w:ascii="Arial Narrow" w:hAnsi="Arial Narrow"/>
                <w:b/>
                <w:bCs/>
                <w:iCs/>
                <w:sz w:val="18"/>
                <w:szCs w:val="18"/>
              </w:rPr>
            </w:pPr>
            <w:r w:rsidRPr="00067537">
              <w:rPr>
                <w:rFonts w:ascii="Arial Narrow" w:hAnsi="Arial Narrow"/>
                <w:b/>
                <w:bCs/>
                <w:iCs/>
                <w:sz w:val="18"/>
                <w:szCs w:val="18"/>
              </w:rPr>
              <w:t>(95%CI)</w:t>
            </w:r>
          </w:p>
        </w:tc>
      </w:tr>
      <w:tr w:rsidR="005D56A5" w:rsidRPr="00067537" w:rsidTr="007800FE">
        <w:trPr>
          <w:trHeight w:val="112"/>
        </w:trPr>
        <w:tc>
          <w:tcPr>
            <w:tcW w:w="2977" w:type="dxa"/>
            <w:gridSpan w:val="3"/>
          </w:tcPr>
          <w:p w:rsidR="005D56A5" w:rsidRPr="00067537" w:rsidRDefault="005D56A5" w:rsidP="007800FE">
            <w:pPr>
              <w:jc w:val="left"/>
              <w:rPr>
                <w:rFonts w:ascii="Arial Narrow" w:hAnsi="Arial Narrow"/>
                <w:iCs/>
                <w:sz w:val="18"/>
                <w:szCs w:val="18"/>
              </w:rPr>
            </w:pPr>
            <w:r w:rsidRPr="00067537">
              <w:rPr>
                <w:rFonts w:ascii="Arial Narrow" w:hAnsi="Arial Narrow"/>
                <w:b/>
                <w:bCs/>
                <w:iCs/>
                <w:sz w:val="18"/>
                <w:szCs w:val="18"/>
              </w:rPr>
              <w:t>GUS vs PBO Wk16</w:t>
            </w:r>
          </w:p>
        </w:tc>
        <w:tc>
          <w:tcPr>
            <w:tcW w:w="1560" w:type="dxa"/>
            <w:vMerge w:val="restart"/>
            <w:tcBorders>
              <w:right w:val="nil"/>
            </w:tcBorders>
          </w:tcPr>
          <w:p w:rsidR="005D56A5" w:rsidRPr="00067537" w:rsidRDefault="005D56A5" w:rsidP="007800FE">
            <w:pPr>
              <w:rPr>
                <w:rFonts w:ascii="Arial Narrow" w:hAnsi="Arial Narrow"/>
                <w:iCs/>
                <w:sz w:val="18"/>
                <w:szCs w:val="18"/>
              </w:rPr>
            </w:pPr>
            <w:r>
              <w:rPr>
                <w:noProof/>
                <w:snapToGrid/>
                <w:lang w:eastAsia="en-AU"/>
              </w:rPr>
              <w:drawing>
                <wp:inline distT="0" distB="0" distL="0" distR="0" wp14:anchorId="41890E6D" wp14:editId="09423B10">
                  <wp:extent cx="1142365" cy="4114800"/>
                  <wp:effectExtent l="0" t="0" r="635" b="0"/>
                  <wp:docPr id="15" name="Picture 15" title="OR (95%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5749" cy="4163010"/>
                          </a:xfrm>
                          <a:prstGeom prst="rect">
                            <a:avLst/>
                          </a:prstGeom>
                        </pic:spPr>
                      </pic:pic>
                    </a:graphicData>
                  </a:graphic>
                </wp:inline>
              </w:drawing>
            </w:r>
          </w:p>
        </w:tc>
        <w:tc>
          <w:tcPr>
            <w:tcW w:w="1560" w:type="dxa"/>
            <w:tcBorders>
              <w:left w:val="nil"/>
              <w:bottom w:val="nil"/>
            </w:tcBorders>
          </w:tcPr>
          <w:p w:rsidR="005D56A5" w:rsidRPr="00067537" w:rsidRDefault="005D56A5" w:rsidP="007800FE">
            <w:pPr>
              <w:rPr>
                <w:rFonts w:ascii="Arial Narrow" w:hAnsi="Arial Narrow"/>
                <w:iCs/>
                <w:sz w:val="18"/>
                <w:szCs w:val="18"/>
              </w:rPr>
            </w:pPr>
          </w:p>
        </w:tc>
        <w:tc>
          <w:tcPr>
            <w:tcW w:w="1416" w:type="dxa"/>
            <w:vMerge w:val="restart"/>
            <w:tcBorders>
              <w:right w:val="nil"/>
            </w:tcBorders>
          </w:tcPr>
          <w:p w:rsidR="005D56A5" w:rsidRPr="00067537" w:rsidRDefault="005D56A5" w:rsidP="007800FE">
            <w:pPr>
              <w:rPr>
                <w:rFonts w:ascii="Arial Narrow" w:hAnsi="Arial Narrow"/>
                <w:iCs/>
                <w:sz w:val="18"/>
                <w:szCs w:val="18"/>
              </w:rPr>
            </w:pPr>
            <w:r>
              <w:rPr>
                <w:noProof/>
                <w:lang w:eastAsia="en-AU"/>
              </w:rPr>
              <w:drawing>
                <wp:inline distT="0" distB="0" distL="0" distR="0" wp14:anchorId="5C707037" wp14:editId="245275E5">
                  <wp:extent cx="819150" cy="4114800"/>
                  <wp:effectExtent l="0" t="0" r="0" b="0"/>
                  <wp:docPr id="17" name="Picture 17" title="RD [95%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75-16-ADA-UA.PNG"/>
                          <pic:cNvPicPr/>
                        </pic:nvPicPr>
                        <pic:blipFill>
                          <a:blip r:embed="rId15">
                            <a:extLst>
                              <a:ext uri="{28A0092B-C50C-407E-A947-70E740481C1C}">
                                <a14:useLocalDpi xmlns:a14="http://schemas.microsoft.com/office/drawing/2010/main" val="0"/>
                              </a:ext>
                            </a:extLst>
                          </a:blip>
                          <a:stretch>
                            <a:fillRect/>
                          </a:stretch>
                        </pic:blipFill>
                        <pic:spPr>
                          <a:xfrm>
                            <a:off x="0" y="0"/>
                            <a:ext cx="824402" cy="4141182"/>
                          </a:xfrm>
                          <a:prstGeom prst="rect">
                            <a:avLst/>
                          </a:prstGeom>
                        </pic:spPr>
                      </pic:pic>
                    </a:graphicData>
                  </a:graphic>
                </wp:inline>
              </w:drawing>
            </w:r>
          </w:p>
        </w:tc>
        <w:tc>
          <w:tcPr>
            <w:tcW w:w="1134" w:type="dxa"/>
            <w:tcBorders>
              <w:left w:val="nil"/>
              <w:bottom w:val="nil"/>
              <w:right w:val="single" w:sz="4" w:space="0" w:color="auto"/>
            </w:tcBorders>
          </w:tcPr>
          <w:p w:rsidR="005D56A5" w:rsidRPr="00067537" w:rsidRDefault="005D56A5" w:rsidP="007800FE">
            <w:pPr>
              <w:rPr>
                <w:rFonts w:ascii="Arial Narrow" w:hAnsi="Arial Narrow"/>
                <w:iCs/>
                <w:sz w:val="18"/>
                <w:szCs w:val="18"/>
              </w:rPr>
            </w:pPr>
          </w:p>
        </w:tc>
        <w:tc>
          <w:tcPr>
            <w:tcW w:w="709" w:type="dxa"/>
            <w:tcBorders>
              <w:left w:val="single" w:sz="4" w:space="0" w:color="auto"/>
              <w:bottom w:val="nil"/>
            </w:tcBorders>
            <w:vAlign w:val="center"/>
          </w:tcPr>
          <w:p w:rsidR="005D56A5" w:rsidRPr="00067537" w:rsidRDefault="005D56A5" w:rsidP="007800FE">
            <w:pPr>
              <w:jc w:val="center"/>
              <w:rPr>
                <w:rFonts w:ascii="Arial Narrow" w:hAnsi="Arial Narrow"/>
                <w:iCs/>
                <w:sz w:val="18"/>
                <w:szCs w:val="18"/>
              </w:rPr>
            </w:pP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rPr>
            </w:pPr>
            <w:r w:rsidRPr="00067537">
              <w:rPr>
                <w:rFonts w:ascii="Arial Narrow" w:hAnsi="Arial Narrow"/>
                <w:iCs/>
                <w:sz w:val="18"/>
                <w:szCs w:val="18"/>
              </w:rPr>
              <w:t>GUS1</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300/329 (91.2)</w:t>
            </w:r>
          </w:p>
        </w:tc>
        <w:tc>
          <w:tcPr>
            <w:tcW w:w="1134" w:type="dxa"/>
            <w:vAlign w:val="center"/>
          </w:tcPr>
          <w:p w:rsidR="005D56A5" w:rsidRPr="00067537" w:rsidRDefault="005D56A5" w:rsidP="007800FE">
            <w:pPr>
              <w:jc w:val="center"/>
              <w:rPr>
                <w:rFonts w:ascii="Arial Narrow" w:hAnsi="Arial Narrow"/>
                <w:iCs/>
                <w:sz w:val="18"/>
                <w:szCs w:val="18"/>
              </w:rPr>
            </w:pPr>
            <w:r w:rsidRPr="00067537">
              <w:rPr>
                <w:rFonts w:ascii="Arial Narrow" w:hAnsi="Arial Narrow"/>
                <w:iCs/>
                <w:sz w:val="18"/>
                <w:szCs w:val="18"/>
              </w:rPr>
              <w:t>10/174 (5.7)</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169.7 (80.7, 356.8)</w:t>
            </w:r>
          </w:p>
        </w:tc>
        <w:tc>
          <w:tcPr>
            <w:tcW w:w="1416" w:type="dxa"/>
            <w:vMerge/>
            <w:tcBorders>
              <w:right w:val="nil"/>
            </w:tcBorders>
          </w:tcPr>
          <w:p w:rsidR="005D56A5" w:rsidRPr="00067537" w:rsidRDefault="005D56A5" w:rsidP="007800FE">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0.85 (0.81, 0.90)</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rPr>
            </w:pPr>
            <w:r w:rsidRPr="00067537">
              <w:rPr>
                <w:rFonts w:ascii="Arial Narrow" w:hAnsi="Arial Narrow"/>
                <w:i/>
                <w:sz w:val="16"/>
                <w:szCs w:val="16"/>
              </w:rPr>
              <w:t>1 (1, 1)</w:t>
            </w: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rPr>
            </w:pPr>
            <w:r w:rsidRPr="00067537">
              <w:rPr>
                <w:rFonts w:ascii="Arial Narrow" w:hAnsi="Arial Narrow"/>
                <w:iCs/>
                <w:sz w:val="18"/>
                <w:szCs w:val="18"/>
              </w:rPr>
              <w:t>GUS2</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428/496 (86.3)</w:t>
            </w:r>
          </w:p>
        </w:tc>
        <w:tc>
          <w:tcPr>
            <w:tcW w:w="1134" w:type="dxa"/>
            <w:vAlign w:val="center"/>
          </w:tcPr>
          <w:p w:rsidR="005D56A5" w:rsidRPr="00067537" w:rsidRDefault="005D56A5" w:rsidP="007800FE">
            <w:pPr>
              <w:jc w:val="center"/>
              <w:rPr>
                <w:rFonts w:ascii="Arial Narrow" w:hAnsi="Arial Narrow"/>
                <w:iCs/>
                <w:sz w:val="18"/>
                <w:szCs w:val="18"/>
              </w:rPr>
            </w:pPr>
            <w:r w:rsidRPr="00067537">
              <w:rPr>
                <w:rFonts w:ascii="Arial Narrow" w:hAnsi="Arial Narrow"/>
                <w:iCs/>
                <w:sz w:val="18"/>
                <w:szCs w:val="18"/>
              </w:rPr>
              <w:t>20/248 (8.1)</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71.8 (42.5, 121.9)</w:t>
            </w:r>
          </w:p>
        </w:tc>
        <w:tc>
          <w:tcPr>
            <w:tcW w:w="1416" w:type="dxa"/>
            <w:vMerge/>
            <w:tcBorders>
              <w:right w:val="nil"/>
            </w:tcBorders>
          </w:tcPr>
          <w:p w:rsidR="005D56A5" w:rsidRPr="00067537" w:rsidRDefault="005D56A5" w:rsidP="007800FE">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0.78 (0.74, 0.83)</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rPr>
            </w:pPr>
            <w:r w:rsidRPr="00067537">
              <w:rPr>
                <w:rFonts w:ascii="Arial Narrow" w:hAnsi="Arial Narrow"/>
                <w:i/>
                <w:sz w:val="16"/>
                <w:szCs w:val="16"/>
              </w:rPr>
              <w:t>1 (1, 1)</w:t>
            </w:r>
          </w:p>
        </w:tc>
      </w:tr>
      <w:tr w:rsidR="005D56A5" w:rsidRPr="00067537" w:rsidTr="007800FE">
        <w:trPr>
          <w:trHeight w:val="170"/>
        </w:trPr>
        <w:tc>
          <w:tcPr>
            <w:tcW w:w="709" w:type="dxa"/>
            <w:vAlign w:val="center"/>
          </w:tcPr>
          <w:p w:rsidR="005D56A5" w:rsidRPr="00067537" w:rsidRDefault="005D56A5" w:rsidP="007800FE">
            <w:pPr>
              <w:jc w:val="right"/>
              <w:rPr>
                <w:rFonts w:ascii="Arial Narrow" w:hAnsi="Arial Narrow"/>
                <w:iCs/>
                <w:sz w:val="18"/>
                <w:szCs w:val="18"/>
              </w:rPr>
            </w:pPr>
            <w:r w:rsidRPr="00067537">
              <w:rPr>
                <w:rFonts w:ascii="Arial Narrow" w:hAnsi="Arial Narrow"/>
                <w:b/>
                <w:bCs/>
                <w:iCs/>
                <w:sz w:val="18"/>
                <w:szCs w:val="18"/>
              </w:rPr>
              <w:t>Pooled</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728/825 (88.2)</w:t>
            </w:r>
          </w:p>
        </w:tc>
        <w:tc>
          <w:tcPr>
            <w:tcW w:w="1134" w:type="dxa"/>
            <w:vAlign w:val="center"/>
          </w:tcPr>
          <w:p w:rsidR="005D56A5" w:rsidRPr="00067537" w:rsidRDefault="005D56A5" w:rsidP="007800FE">
            <w:pPr>
              <w:jc w:val="center"/>
              <w:rPr>
                <w:rFonts w:ascii="Arial Narrow" w:hAnsi="Arial Narrow"/>
                <w:iCs/>
                <w:sz w:val="18"/>
                <w:szCs w:val="18"/>
              </w:rPr>
            </w:pPr>
            <w:r w:rsidRPr="00067537">
              <w:rPr>
                <w:rFonts w:ascii="Arial Narrow" w:hAnsi="Arial Narrow"/>
                <w:iCs/>
                <w:sz w:val="18"/>
                <w:szCs w:val="18"/>
              </w:rPr>
              <w:t>30/422 (7.1)</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105.8 (45.7, 244.9)</w:t>
            </w:r>
          </w:p>
        </w:tc>
        <w:tc>
          <w:tcPr>
            <w:tcW w:w="1416" w:type="dxa"/>
            <w:vMerge/>
            <w:tcBorders>
              <w:right w:val="nil"/>
            </w:tcBorders>
          </w:tcPr>
          <w:p w:rsidR="005D56A5" w:rsidRPr="00067537" w:rsidRDefault="005D56A5" w:rsidP="007800FE">
            <w:pPr>
              <w:jc w:val="center"/>
              <w:rPr>
                <w:rFonts w:ascii="Arial Narrow" w:hAnsi="Arial Narrow"/>
                <w:iCs/>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0.82 (0.75, 0.89)</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rPr>
            </w:pPr>
            <w:r w:rsidRPr="00067537">
              <w:rPr>
                <w:rFonts w:ascii="Arial Narrow" w:hAnsi="Arial Narrow"/>
                <w:i/>
                <w:sz w:val="16"/>
                <w:szCs w:val="16"/>
              </w:rPr>
              <w:t>1 (1, 1)</w:t>
            </w:r>
          </w:p>
        </w:tc>
      </w:tr>
      <w:tr w:rsidR="005D56A5" w:rsidRPr="00067537" w:rsidTr="007800FE">
        <w:trPr>
          <w:trHeight w:val="170"/>
        </w:trPr>
        <w:tc>
          <w:tcPr>
            <w:tcW w:w="2977" w:type="dxa"/>
            <w:gridSpan w:val="3"/>
            <w:vAlign w:val="center"/>
          </w:tcPr>
          <w:p w:rsidR="005D56A5" w:rsidRPr="00067537" w:rsidRDefault="005D56A5" w:rsidP="007800FE">
            <w:pPr>
              <w:jc w:val="left"/>
              <w:rPr>
                <w:rFonts w:ascii="Arial Narrow" w:hAnsi="Arial Narrow"/>
                <w:b/>
                <w:iCs/>
                <w:sz w:val="18"/>
                <w:szCs w:val="18"/>
              </w:rPr>
            </w:pPr>
            <w:r w:rsidRPr="00067537">
              <w:rPr>
                <w:rFonts w:ascii="Arial Narrow" w:hAnsi="Arial Narrow"/>
                <w:b/>
                <w:iCs/>
                <w:sz w:val="18"/>
                <w:szCs w:val="18"/>
              </w:rPr>
              <w:t>UST 45mg (</w:t>
            </w:r>
            <w:r w:rsidRPr="00067537">
              <w:rPr>
                <w:rFonts w:ascii="Arial Narrow" w:hAnsi="Arial Narrow"/>
                <w:b/>
                <w:iCs/>
                <w:sz w:val="18"/>
                <w:szCs w:val="18"/>
                <w:u w:val="single"/>
              </w:rPr>
              <w:t>&lt;</w:t>
            </w:r>
            <w:r w:rsidRPr="00067537">
              <w:rPr>
                <w:rFonts w:ascii="Arial Narrow" w:hAnsi="Arial Narrow"/>
                <w:b/>
                <w:iCs/>
                <w:sz w:val="18"/>
                <w:szCs w:val="18"/>
              </w:rPr>
              <w:t xml:space="preserve">100kg) vs PBO </w:t>
            </w:r>
            <w:proofErr w:type="spellStart"/>
            <w:r w:rsidRPr="00067537">
              <w:rPr>
                <w:rFonts w:ascii="Arial Narrow" w:hAnsi="Arial Narrow"/>
                <w:b/>
                <w:iCs/>
                <w:sz w:val="18"/>
                <w:szCs w:val="18"/>
              </w:rPr>
              <w:t>Wk</w:t>
            </w:r>
            <w:proofErr w:type="spellEnd"/>
            <w:r w:rsidRPr="00067537">
              <w:rPr>
                <w:rFonts w:ascii="Arial Narrow" w:hAnsi="Arial Narrow"/>
                <w:b/>
                <w:iCs/>
                <w:sz w:val="18"/>
                <w:szCs w:val="18"/>
              </w:rPr>
              <w:t xml:space="preserve"> 12</w:t>
            </w:r>
          </w:p>
        </w:tc>
        <w:tc>
          <w:tcPr>
            <w:tcW w:w="1560" w:type="dxa"/>
            <w:vMerge/>
            <w:tcBorders>
              <w:right w:val="nil"/>
            </w:tcBorders>
          </w:tcPr>
          <w:p w:rsidR="005D56A5" w:rsidRPr="00067537" w:rsidRDefault="005D56A5" w:rsidP="007800FE">
            <w:pPr>
              <w:rPr>
                <w:rFonts w:ascii="Arial Narrow" w:hAnsi="Arial Narrow"/>
                <w:i/>
                <w:noProof/>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noProof/>
                <w:sz w:val="16"/>
                <w:szCs w:val="18"/>
              </w:rPr>
            </w:pPr>
          </w:p>
        </w:tc>
        <w:tc>
          <w:tcPr>
            <w:tcW w:w="1416" w:type="dxa"/>
            <w:vMerge/>
            <w:tcBorders>
              <w:right w:val="nil"/>
            </w:tcBorders>
          </w:tcPr>
          <w:p w:rsidR="005D56A5" w:rsidRPr="00067537" w:rsidRDefault="005D56A5" w:rsidP="007800FE">
            <w:pPr>
              <w:rPr>
                <w:rFonts w:ascii="Arial Narrow" w:hAnsi="Arial Narrow"/>
                <w:iCs/>
                <w:noProof/>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noProof/>
                <w:sz w:val="16"/>
                <w:szCs w:val="18"/>
              </w:rPr>
            </w:pP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noProof/>
                <w:sz w:val="16"/>
                <w:szCs w:val="16"/>
              </w:rPr>
            </w:pP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rPr>
            </w:pPr>
            <w:r w:rsidRPr="00067537">
              <w:rPr>
                <w:rFonts w:ascii="Arial Narrow" w:hAnsi="Arial Narrow"/>
                <w:iCs/>
                <w:sz w:val="18"/>
                <w:szCs w:val="18"/>
              </w:rPr>
              <w:t>UST1</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1416" w:type="dxa"/>
            <w:vMerge/>
            <w:tcBorders>
              <w:right w:val="nil"/>
            </w:tcBorders>
          </w:tcPr>
          <w:p w:rsidR="005D56A5" w:rsidRPr="00067537" w:rsidRDefault="005D56A5" w:rsidP="007800FE">
            <w:pPr>
              <w:rPr>
                <w:rFonts w:ascii="Arial Narrow" w:hAnsi="Arial Narrow"/>
                <w:iCs/>
                <w:noProof/>
                <w:sz w:val="18"/>
                <w:szCs w:val="18"/>
              </w:rPr>
            </w:pPr>
          </w:p>
        </w:tc>
        <w:tc>
          <w:tcPr>
            <w:tcW w:w="1134" w:type="dxa"/>
            <w:tcBorders>
              <w:top w:val="nil"/>
              <w:left w:val="nil"/>
              <w:bottom w:val="nil"/>
              <w:right w:val="single" w:sz="4" w:space="0" w:color="auto"/>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709" w:type="dxa"/>
            <w:tcBorders>
              <w:top w:val="nil"/>
              <w:left w:val="single" w:sz="4" w:space="0" w:color="auto"/>
              <w:bottom w:val="nil"/>
            </w:tcBorders>
            <w:vAlign w:val="center"/>
          </w:tcPr>
          <w:p w:rsidR="005D56A5" w:rsidRPr="00F87F3F" w:rsidRDefault="00F87F3F" w:rsidP="007800FE">
            <w:pPr>
              <w:jc w:val="center"/>
              <w:rPr>
                <w:rFonts w:ascii="Arial Narrow" w:hAnsi="Arial Narrow"/>
                <w:i/>
                <w:noProof/>
                <w:sz w:val="16"/>
                <w:szCs w:val="16"/>
                <w:highlight w:val="black"/>
              </w:rPr>
            </w:pPr>
            <w:r>
              <w:rPr>
                <w:rFonts w:ascii="Arial Narrow" w:hAnsi="Arial Narrow"/>
                <w:i/>
                <w:noProof/>
                <w:color w:val="000000"/>
                <w:sz w:val="16"/>
                <w:szCs w:val="16"/>
                <w:highlight w:val="black"/>
              </w:rPr>
              <w:t>'''' ''''''' '''''</w:t>
            </w: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rPr>
            </w:pPr>
            <w:r w:rsidRPr="00067537">
              <w:rPr>
                <w:rFonts w:ascii="Arial Narrow" w:hAnsi="Arial Narrow"/>
                <w:iCs/>
                <w:sz w:val="18"/>
                <w:szCs w:val="18"/>
              </w:rPr>
              <w:t>UST2</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1416" w:type="dxa"/>
            <w:vMerge/>
            <w:tcBorders>
              <w:right w:val="nil"/>
            </w:tcBorders>
          </w:tcPr>
          <w:p w:rsidR="005D56A5" w:rsidRPr="00067537" w:rsidRDefault="005D56A5" w:rsidP="007800FE">
            <w:pPr>
              <w:rPr>
                <w:rFonts w:ascii="Arial Narrow" w:hAnsi="Arial Narrow"/>
                <w:iCs/>
                <w:noProof/>
                <w:sz w:val="18"/>
                <w:szCs w:val="18"/>
              </w:rPr>
            </w:pPr>
          </w:p>
        </w:tc>
        <w:tc>
          <w:tcPr>
            <w:tcW w:w="1134" w:type="dxa"/>
            <w:tcBorders>
              <w:top w:val="nil"/>
              <w:left w:val="nil"/>
              <w:bottom w:val="nil"/>
              <w:right w:val="single" w:sz="4" w:space="0" w:color="auto"/>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709" w:type="dxa"/>
            <w:tcBorders>
              <w:top w:val="nil"/>
              <w:left w:val="single" w:sz="4" w:space="0" w:color="auto"/>
              <w:bottom w:val="nil"/>
            </w:tcBorders>
            <w:vAlign w:val="center"/>
          </w:tcPr>
          <w:p w:rsidR="005D56A5" w:rsidRPr="00F87F3F" w:rsidRDefault="00F87F3F" w:rsidP="007800FE">
            <w:pPr>
              <w:jc w:val="center"/>
              <w:rPr>
                <w:rFonts w:ascii="Arial Narrow" w:hAnsi="Arial Narrow"/>
                <w:i/>
                <w:noProof/>
                <w:sz w:val="16"/>
                <w:szCs w:val="16"/>
                <w:highlight w:val="black"/>
              </w:rPr>
            </w:pPr>
            <w:r>
              <w:rPr>
                <w:rFonts w:ascii="Arial Narrow" w:hAnsi="Arial Narrow"/>
                <w:i/>
                <w:noProof/>
                <w:color w:val="000000"/>
                <w:sz w:val="16"/>
                <w:szCs w:val="16"/>
                <w:highlight w:val="black"/>
              </w:rPr>
              <w:t>''' ''''''' '''''</w:t>
            </w: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rPr>
            </w:pPr>
            <w:r w:rsidRPr="00067537">
              <w:rPr>
                <w:rFonts w:ascii="Arial Narrow" w:hAnsi="Arial Narrow"/>
                <w:iCs/>
                <w:sz w:val="18"/>
                <w:szCs w:val="18"/>
              </w:rPr>
              <w:t>UST3</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41/61 (67.2)</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3/60 (5.0)</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noProof/>
                <w:sz w:val="16"/>
                <w:szCs w:val="18"/>
              </w:rPr>
            </w:pPr>
            <w:r w:rsidRPr="00067537">
              <w:rPr>
                <w:rFonts w:ascii="Arial Narrow" w:hAnsi="Arial Narrow"/>
                <w:b/>
                <w:i/>
                <w:noProof/>
                <w:sz w:val="16"/>
                <w:szCs w:val="18"/>
              </w:rPr>
              <w:t>39.0 (10.9, 139.83)</w:t>
            </w:r>
          </w:p>
        </w:tc>
        <w:tc>
          <w:tcPr>
            <w:tcW w:w="1416" w:type="dxa"/>
            <w:vMerge/>
            <w:tcBorders>
              <w:right w:val="nil"/>
            </w:tcBorders>
          </w:tcPr>
          <w:p w:rsidR="005D56A5" w:rsidRPr="00067537" w:rsidRDefault="005D56A5" w:rsidP="007800FE">
            <w:pPr>
              <w:rPr>
                <w:rFonts w:ascii="Arial Narrow" w:hAnsi="Arial Narrow"/>
                <w:iCs/>
                <w:noProof/>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noProof/>
                <w:sz w:val="16"/>
                <w:szCs w:val="18"/>
              </w:rPr>
            </w:pPr>
            <w:r w:rsidRPr="00067537">
              <w:rPr>
                <w:rFonts w:ascii="Arial Narrow" w:hAnsi="Arial Narrow"/>
                <w:b/>
                <w:i/>
                <w:noProof/>
                <w:sz w:val="16"/>
                <w:szCs w:val="18"/>
              </w:rPr>
              <w:t>0.62 (0.49, 0.75)</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noProof/>
                <w:sz w:val="16"/>
                <w:szCs w:val="16"/>
              </w:rPr>
            </w:pPr>
            <w:r w:rsidRPr="00067537">
              <w:rPr>
                <w:rFonts w:ascii="Arial Narrow" w:hAnsi="Arial Narrow"/>
                <w:i/>
                <w:noProof/>
                <w:sz w:val="16"/>
                <w:szCs w:val="16"/>
              </w:rPr>
              <w:t>2 (1, 2)</w:t>
            </w: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rPr>
            </w:pPr>
            <w:r w:rsidRPr="00067537">
              <w:rPr>
                <w:rFonts w:ascii="Arial Narrow" w:hAnsi="Arial Narrow"/>
                <w:iCs/>
                <w:sz w:val="18"/>
                <w:szCs w:val="18"/>
              </w:rPr>
              <w:t>UST4</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132/160 (82.5)</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18/162 (11.1)</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noProof/>
                <w:sz w:val="16"/>
                <w:szCs w:val="18"/>
              </w:rPr>
            </w:pPr>
            <w:r w:rsidRPr="00067537">
              <w:rPr>
                <w:rFonts w:ascii="Arial Narrow" w:hAnsi="Arial Narrow"/>
                <w:b/>
                <w:i/>
                <w:noProof/>
                <w:sz w:val="16"/>
                <w:szCs w:val="18"/>
              </w:rPr>
              <w:t>37.7 (19.9, 71.34)</w:t>
            </w:r>
          </w:p>
        </w:tc>
        <w:tc>
          <w:tcPr>
            <w:tcW w:w="1416" w:type="dxa"/>
            <w:vMerge/>
            <w:tcBorders>
              <w:right w:val="nil"/>
            </w:tcBorders>
          </w:tcPr>
          <w:p w:rsidR="005D56A5" w:rsidRPr="00067537" w:rsidRDefault="005D56A5" w:rsidP="007800FE">
            <w:pPr>
              <w:rPr>
                <w:rFonts w:ascii="Arial Narrow" w:hAnsi="Arial Narrow"/>
                <w:iCs/>
                <w:noProof/>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noProof/>
                <w:sz w:val="16"/>
                <w:szCs w:val="18"/>
              </w:rPr>
            </w:pPr>
            <w:r w:rsidRPr="00067537">
              <w:rPr>
                <w:rFonts w:ascii="Arial Narrow" w:hAnsi="Arial Narrow"/>
                <w:b/>
                <w:i/>
                <w:noProof/>
                <w:sz w:val="16"/>
                <w:szCs w:val="18"/>
              </w:rPr>
              <w:t>0.71 (0.64, 0.79)</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noProof/>
                <w:sz w:val="16"/>
                <w:szCs w:val="16"/>
              </w:rPr>
            </w:pPr>
            <w:r w:rsidRPr="00067537">
              <w:rPr>
                <w:rFonts w:ascii="Arial Narrow" w:hAnsi="Arial Narrow"/>
                <w:i/>
                <w:noProof/>
                <w:sz w:val="16"/>
                <w:szCs w:val="16"/>
              </w:rPr>
              <w:t>1 (1, 2)</w:t>
            </w: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rPr>
            </w:pPr>
            <w:r w:rsidRPr="00067537">
              <w:rPr>
                <w:rFonts w:ascii="Arial Narrow" w:hAnsi="Arial Narrow"/>
                <w:iCs/>
                <w:sz w:val="18"/>
                <w:szCs w:val="18"/>
              </w:rPr>
              <w:t>UST5</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38/64 (59.4)</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2/31 (6.5)</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noProof/>
                <w:sz w:val="16"/>
                <w:szCs w:val="18"/>
              </w:rPr>
            </w:pPr>
            <w:r w:rsidRPr="00067537">
              <w:rPr>
                <w:rFonts w:ascii="Arial Narrow" w:hAnsi="Arial Narrow"/>
                <w:b/>
                <w:i/>
                <w:noProof/>
                <w:sz w:val="16"/>
                <w:szCs w:val="18"/>
              </w:rPr>
              <w:t>21.2 (4.7, 96.6)</w:t>
            </w:r>
          </w:p>
        </w:tc>
        <w:tc>
          <w:tcPr>
            <w:tcW w:w="1416" w:type="dxa"/>
            <w:vMerge/>
            <w:tcBorders>
              <w:right w:val="nil"/>
            </w:tcBorders>
          </w:tcPr>
          <w:p w:rsidR="005D56A5" w:rsidRPr="00067537" w:rsidRDefault="005D56A5" w:rsidP="007800FE">
            <w:pPr>
              <w:rPr>
                <w:rFonts w:ascii="Arial Narrow" w:hAnsi="Arial Narrow"/>
                <w:iCs/>
                <w:noProof/>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noProof/>
                <w:sz w:val="16"/>
                <w:szCs w:val="18"/>
              </w:rPr>
            </w:pPr>
            <w:r w:rsidRPr="00067537">
              <w:rPr>
                <w:rFonts w:ascii="Arial Narrow" w:hAnsi="Arial Narrow"/>
                <w:b/>
                <w:i/>
                <w:noProof/>
                <w:sz w:val="16"/>
                <w:szCs w:val="18"/>
              </w:rPr>
              <w:t>0.53 (0.38, 0.68)</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noProof/>
                <w:sz w:val="16"/>
                <w:szCs w:val="16"/>
              </w:rPr>
            </w:pPr>
            <w:r w:rsidRPr="00067537">
              <w:rPr>
                <w:rFonts w:ascii="Arial Narrow" w:hAnsi="Arial Narrow"/>
                <w:i/>
                <w:noProof/>
                <w:sz w:val="16"/>
                <w:szCs w:val="16"/>
              </w:rPr>
              <w:t>2 (1, 3)</w:t>
            </w:r>
          </w:p>
        </w:tc>
      </w:tr>
      <w:tr w:rsidR="005D56A5" w:rsidRPr="00067537" w:rsidTr="007800FE">
        <w:trPr>
          <w:trHeight w:val="170"/>
        </w:trPr>
        <w:tc>
          <w:tcPr>
            <w:tcW w:w="709" w:type="dxa"/>
            <w:vAlign w:val="center"/>
          </w:tcPr>
          <w:p w:rsidR="005D56A5" w:rsidRPr="00067537" w:rsidRDefault="005D56A5" w:rsidP="007800FE">
            <w:pPr>
              <w:jc w:val="right"/>
              <w:rPr>
                <w:rFonts w:ascii="Arial Narrow" w:hAnsi="Arial Narrow"/>
                <w:i/>
                <w:iCs/>
                <w:sz w:val="18"/>
                <w:szCs w:val="18"/>
              </w:rPr>
            </w:pPr>
            <w:r w:rsidRPr="00067537">
              <w:rPr>
                <w:rFonts w:ascii="Arial Narrow" w:hAnsi="Arial Narrow"/>
                <w:bCs/>
                <w:sz w:val="18"/>
                <w:szCs w:val="18"/>
              </w:rPr>
              <w:t xml:space="preserve">Pooled </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noProof/>
                <w:sz w:val="16"/>
                <w:szCs w:val="18"/>
              </w:rPr>
            </w:pPr>
            <w:r w:rsidRPr="00067537">
              <w:rPr>
                <w:rFonts w:ascii="Arial Narrow" w:hAnsi="Arial Narrow"/>
                <w:b/>
                <w:i/>
                <w:noProof/>
                <w:sz w:val="16"/>
                <w:szCs w:val="18"/>
              </w:rPr>
              <w:t>49.4 (34.12, 71.6)</w:t>
            </w:r>
          </w:p>
        </w:tc>
        <w:tc>
          <w:tcPr>
            <w:tcW w:w="1416" w:type="dxa"/>
            <w:vMerge/>
            <w:tcBorders>
              <w:right w:val="nil"/>
            </w:tcBorders>
          </w:tcPr>
          <w:p w:rsidR="005D56A5" w:rsidRPr="00067537" w:rsidRDefault="005D56A5" w:rsidP="007800FE">
            <w:pPr>
              <w:rPr>
                <w:rFonts w:ascii="Arial Narrow" w:hAnsi="Arial Narrow"/>
                <w:i/>
                <w:iCs/>
                <w:noProof/>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noProof/>
                <w:sz w:val="16"/>
                <w:szCs w:val="18"/>
              </w:rPr>
            </w:pPr>
            <w:r w:rsidRPr="00067537">
              <w:rPr>
                <w:rFonts w:ascii="Arial Narrow" w:hAnsi="Arial Narrow"/>
                <w:b/>
                <w:i/>
                <w:noProof/>
                <w:sz w:val="16"/>
                <w:szCs w:val="18"/>
              </w:rPr>
              <w:t>0.68 (0.63, 0.72)</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noProof/>
                <w:sz w:val="16"/>
                <w:szCs w:val="16"/>
              </w:rPr>
            </w:pPr>
            <w:r w:rsidRPr="00067537">
              <w:rPr>
                <w:rFonts w:ascii="Arial Narrow" w:hAnsi="Arial Narrow"/>
                <w:i/>
                <w:noProof/>
                <w:sz w:val="16"/>
                <w:szCs w:val="16"/>
              </w:rPr>
              <w:t>1 (1, 2)</w:t>
            </w:r>
          </w:p>
        </w:tc>
      </w:tr>
      <w:tr w:rsidR="005D56A5" w:rsidRPr="00067537" w:rsidTr="007800FE">
        <w:trPr>
          <w:trHeight w:val="170"/>
        </w:trPr>
        <w:tc>
          <w:tcPr>
            <w:tcW w:w="2977" w:type="dxa"/>
            <w:gridSpan w:val="3"/>
          </w:tcPr>
          <w:p w:rsidR="005D56A5" w:rsidRPr="00067537" w:rsidRDefault="005D56A5" w:rsidP="007800FE">
            <w:pPr>
              <w:jc w:val="left"/>
              <w:rPr>
                <w:rFonts w:ascii="Arial Narrow" w:hAnsi="Arial Narrow"/>
                <w:b/>
                <w:iCs/>
                <w:sz w:val="18"/>
                <w:szCs w:val="18"/>
              </w:rPr>
            </w:pPr>
            <w:r w:rsidRPr="00067537">
              <w:rPr>
                <w:rFonts w:ascii="Arial Narrow" w:hAnsi="Arial Narrow"/>
                <w:b/>
                <w:iCs/>
                <w:sz w:val="18"/>
                <w:szCs w:val="18"/>
              </w:rPr>
              <w:t xml:space="preserve">UST 90mg (&gt;100kg) vs PBO </w:t>
            </w:r>
            <w:proofErr w:type="spellStart"/>
            <w:r w:rsidRPr="00067537">
              <w:rPr>
                <w:rFonts w:ascii="Arial Narrow" w:hAnsi="Arial Narrow"/>
                <w:b/>
                <w:iCs/>
                <w:sz w:val="18"/>
                <w:szCs w:val="18"/>
              </w:rPr>
              <w:t>Wk</w:t>
            </w:r>
            <w:proofErr w:type="spellEnd"/>
            <w:r w:rsidRPr="00067537">
              <w:rPr>
                <w:rFonts w:ascii="Arial Narrow" w:hAnsi="Arial Narrow"/>
                <w:b/>
                <w:iCs/>
                <w:sz w:val="18"/>
                <w:szCs w:val="18"/>
              </w:rPr>
              <w:t xml:space="preserve"> 12</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noProof/>
                <w:sz w:val="16"/>
                <w:szCs w:val="18"/>
              </w:rPr>
            </w:pPr>
          </w:p>
        </w:tc>
        <w:tc>
          <w:tcPr>
            <w:tcW w:w="1416" w:type="dxa"/>
            <w:vMerge/>
            <w:tcBorders>
              <w:right w:val="nil"/>
            </w:tcBorders>
          </w:tcPr>
          <w:p w:rsidR="005D56A5" w:rsidRPr="00067537" w:rsidRDefault="005D56A5" w:rsidP="007800FE">
            <w:pPr>
              <w:rPr>
                <w:rFonts w:ascii="Arial Narrow" w:hAnsi="Arial Narrow"/>
                <w:iCs/>
                <w:noProof/>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noProof/>
                <w:sz w:val="16"/>
                <w:szCs w:val="18"/>
              </w:rPr>
            </w:pP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noProof/>
                <w:sz w:val="16"/>
                <w:szCs w:val="16"/>
              </w:rPr>
            </w:pPr>
          </w:p>
        </w:tc>
      </w:tr>
      <w:tr w:rsidR="005D56A5" w:rsidRPr="00067537" w:rsidTr="007800FE">
        <w:trPr>
          <w:trHeight w:val="170"/>
        </w:trPr>
        <w:tc>
          <w:tcPr>
            <w:tcW w:w="709" w:type="dxa"/>
            <w:vAlign w:val="center"/>
          </w:tcPr>
          <w:p w:rsidR="005D56A5" w:rsidRPr="00067537" w:rsidRDefault="005D56A5" w:rsidP="007800FE">
            <w:pPr>
              <w:rPr>
                <w:rFonts w:ascii="Arial Narrow" w:hAnsi="Arial Narrow"/>
                <w:sz w:val="18"/>
                <w:szCs w:val="18"/>
              </w:rPr>
            </w:pPr>
            <w:r w:rsidRPr="00067537">
              <w:rPr>
                <w:rFonts w:ascii="Arial Narrow" w:hAnsi="Arial Narrow"/>
                <w:sz w:val="18"/>
                <w:szCs w:val="18"/>
              </w:rPr>
              <w:t>UST1</w:t>
            </w:r>
          </w:p>
        </w:tc>
        <w:tc>
          <w:tcPr>
            <w:tcW w:w="1134" w:type="dxa"/>
            <w:vAlign w:val="center"/>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1416" w:type="dxa"/>
            <w:vMerge/>
            <w:tcBorders>
              <w:right w:val="nil"/>
            </w:tcBorders>
          </w:tcPr>
          <w:p w:rsidR="005D56A5" w:rsidRPr="00067537" w:rsidRDefault="005D56A5" w:rsidP="007800FE">
            <w:pPr>
              <w:rPr>
                <w:rFonts w:ascii="Arial Narrow" w:hAnsi="Arial Narrow"/>
                <w:i/>
                <w:iCs/>
                <w:noProof/>
                <w:sz w:val="18"/>
                <w:szCs w:val="18"/>
              </w:rPr>
            </w:pPr>
          </w:p>
        </w:tc>
        <w:tc>
          <w:tcPr>
            <w:tcW w:w="1134" w:type="dxa"/>
            <w:tcBorders>
              <w:top w:val="nil"/>
              <w:left w:val="nil"/>
              <w:bottom w:val="nil"/>
              <w:right w:val="single" w:sz="4" w:space="0" w:color="auto"/>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709" w:type="dxa"/>
            <w:tcBorders>
              <w:top w:val="nil"/>
              <w:left w:val="single" w:sz="4" w:space="0" w:color="auto"/>
              <w:bottom w:val="nil"/>
            </w:tcBorders>
            <w:vAlign w:val="center"/>
          </w:tcPr>
          <w:p w:rsidR="005D56A5" w:rsidRPr="00F87F3F" w:rsidRDefault="00F87F3F" w:rsidP="007800FE">
            <w:pPr>
              <w:jc w:val="center"/>
              <w:rPr>
                <w:rFonts w:ascii="Arial Narrow" w:hAnsi="Arial Narrow"/>
                <w:i/>
                <w:noProof/>
                <w:sz w:val="16"/>
                <w:szCs w:val="16"/>
                <w:highlight w:val="black"/>
              </w:rPr>
            </w:pPr>
            <w:r>
              <w:rPr>
                <w:rFonts w:ascii="Arial Narrow" w:hAnsi="Arial Narrow"/>
                <w:i/>
                <w:noProof/>
                <w:color w:val="000000"/>
                <w:sz w:val="16"/>
                <w:szCs w:val="16"/>
                <w:highlight w:val="black"/>
              </w:rPr>
              <w:t>''' '''''' '''''</w:t>
            </w:r>
          </w:p>
        </w:tc>
      </w:tr>
      <w:tr w:rsidR="005D56A5" w:rsidRPr="00067537" w:rsidTr="007800FE">
        <w:trPr>
          <w:trHeight w:val="170"/>
        </w:trPr>
        <w:tc>
          <w:tcPr>
            <w:tcW w:w="709" w:type="dxa"/>
            <w:vAlign w:val="center"/>
          </w:tcPr>
          <w:p w:rsidR="005D56A5" w:rsidRPr="00067537" w:rsidRDefault="005D56A5" w:rsidP="007800FE">
            <w:pPr>
              <w:rPr>
                <w:rFonts w:ascii="Arial Narrow" w:hAnsi="Arial Narrow"/>
                <w:sz w:val="18"/>
                <w:szCs w:val="18"/>
              </w:rPr>
            </w:pPr>
            <w:r w:rsidRPr="00067537">
              <w:rPr>
                <w:rFonts w:ascii="Arial Narrow" w:hAnsi="Arial Narrow"/>
                <w:sz w:val="18"/>
                <w:szCs w:val="18"/>
              </w:rPr>
              <w:t>UST2</w:t>
            </w:r>
          </w:p>
        </w:tc>
        <w:tc>
          <w:tcPr>
            <w:tcW w:w="1134" w:type="dxa"/>
            <w:vAlign w:val="center"/>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1416" w:type="dxa"/>
            <w:vMerge/>
            <w:tcBorders>
              <w:right w:val="nil"/>
            </w:tcBorders>
          </w:tcPr>
          <w:p w:rsidR="005D56A5" w:rsidRPr="00067537" w:rsidRDefault="005D56A5" w:rsidP="007800FE">
            <w:pPr>
              <w:rPr>
                <w:rFonts w:ascii="Arial Narrow" w:hAnsi="Arial Narrow"/>
                <w:i/>
                <w:iCs/>
                <w:noProof/>
                <w:sz w:val="18"/>
                <w:szCs w:val="18"/>
              </w:rPr>
            </w:pPr>
          </w:p>
        </w:tc>
        <w:tc>
          <w:tcPr>
            <w:tcW w:w="1134" w:type="dxa"/>
            <w:tcBorders>
              <w:top w:val="nil"/>
              <w:left w:val="nil"/>
              <w:bottom w:val="nil"/>
              <w:right w:val="single" w:sz="4" w:space="0" w:color="auto"/>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709" w:type="dxa"/>
            <w:tcBorders>
              <w:top w:val="nil"/>
              <w:left w:val="single" w:sz="4" w:space="0" w:color="auto"/>
              <w:bottom w:val="nil"/>
            </w:tcBorders>
            <w:vAlign w:val="center"/>
          </w:tcPr>
          <w:p w:rsidR="005D56A5" w:rsidRPr="00F87F3F" w:rsidRDefault="00F87F3F" w:rsidP="007800FE">
            <w:pPr>
              <w:jc w:val="center"/>
              <w:rPr>
                <w:rFonts w:ascii="Arial Narrow" w:hAnsi="Arial Narrow"/>
                <w:i/>
                <w:noProof/>
                <w:sz w:val="16"/>
                <w:szCs w:val="16"/>
                <w:highlight w:val="black"/>
              </w:rPr>
            </w:pPr>
            <w:r>
              <w:rPr>
                <w:rFonts w:ascii="Arial Narrow" w:hAnsi="Arial Narrow"/>
                <w:i/>
                <w:noProof/>
                <w:color w:val="000000"/>
                <w:sz w:val="16"/>
                <w:szCs w:val="16"/>
                <w:highlight w:val="black"/>
              </w:rPr>
              <w:t>'''' ''''''' ''''</w:t>
            </w:r>
          </w:p>
        </w:tc>
      </w:tr>
      <w:tr w:rsidR="005D56A5" w:rsidRPr="00067537" w:rsidTr="007800FE">
        <w:trPr>
          <w:trHeight w:val="170"/>
        </w:trPr>
        <w:tc>
          <w:tcPr>
            <w:tcW w:w="709" w:type="dxa"/>
            <w:vAlign w:val="center"/>
          </w:tcPr>
          <w:p w:rsidR="005D56A5" w:rsidRPr="00067537" w:rsidRDefault="005D56A5" w:rsidP="007800FE">
            <w:pPr>
              <w:jc w:val="right"/>
              <w:rPr>
                <w:rFonts w:ascii="Arial Narrow" w:hAnsi="Arial Narrow"/>
                <w:sz w:val="18"/>
                <w:szCs w:val="18"/>
              </w:rPr>
            </w:pPr>
            <w:r w:rsidRPr="00067537">
              <w:rPr>
                <w:rFonts w:ascii="Arial Narrow" w:hAnsi="Arial Narrow"/>
                <w:bCs/>
                <w:sz w:val="18"/>
                <w:szCs w:val="18"/>
              </w:rPr>
              <w:t>Pooled</w:t>
            </w:r>
          </w:p>
        </w:tc>
        <w:tc>
          <w:tcPr>
            <w:tcW w:w="1134" w:type="dxa"/>
            <w:vAlign w:val="center"/>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1560" w:type="dxa"/>
            <w:vMerge/>
            <w:tcBorders>
              <w:right w:val="nil"/>
            </w:tcBorders>
          </w:tcPr>
          <w:p w:rsidR="005D56A5" w:rsidRPr="00067537" w:rsidRDefault="005D56A5" w:rsidP="007800FE">
            <w:pPr>
              <w:jc w:val="center"/>
              <w:rPr>
                <w:rFonts w:ascii="Arial Narrow" w:hAnsi="Arial Narrow"/>
                <w:i/>
                <w:noProof/>
                <w:sz w:val="18"/>
                <w:szCs w:val="18"/>
              </w:rPr>
            </w:pPr>
          </w:p>
        </w:tc>
        <w:tc>
          <w:tcPr>
            <w:tcW w:w="1560" w:type="dxa"/>
            <w:tcBorders>
              <w:top w:val="nil"/>
              <w:left w:val="nil"/>
              <w:bottom w:val="nil"/>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1416" w:type="dxa"/>
            <w:vMerge/>
            <w:tcBorders>
              <w:right w:val="nil"/>
            </w:tcBorders>
          </w:tcPr>
          <w:p w:rsidR="005D56A5" w:rsidRPr="00067537" w:rsidRDefault="005D56A5" w:rsidP="007800FE">
            <w:pPr>
              <w:rPr>
                <w:rFonts w:ascii="Arial Narrow" w:hAnsi="Arial Narrow"/>
                <w:i/>
                <w:iCs/>
                <w:noProof/>
                <w:sz w:val="18"/>
                <w:szCs w:val="18"/>
              </w:rPr>
            </w:pPr>
          </w:p>
        </w:tc>
        <w:tc>
          <w:tcPr>
            <w:tcW w:w="1134" w:type="dxa"/>
            <w:tcBorders>
              <w:top w:val="nil"/>
              <w:left w:val="nil"/>
              <w:bottom w:val="nil"/>
              <w:right w:val="single" w:sz="4" w:space="0" w:color="auto"/>
            </w:tcBorders>
            <w:vAlign w:val="center"/>
          </w:tcPr>
          <w:p w:rsidR="005D56A5" w:rsidRPr="00F87F3F" w:rsidRDefault="00F87F3F" w:rsidP="007800FE">
            <w:pPr>
              <w:jc w:val="center"/>
              <w:rPr>
                <w:rFonts w:ascii="Arial Narrow" w:hAnsi="Arial Narrow"/>
                <w:b/>
                <w:i/>
                <w:noProof/>
                <w:sz w:val="16"/>
                <w:szCs w:val="18"/>
                <w:highlight w:val="black"/>
              </w:rPr>
            </w:pPr>
            <w:r>
              <w:rPr>
                <w:rFonts w:ascii="Arial Narrow" w:hAnsi="Arial Narrow"/>
                <w:b/>
                <w:i/>
                <w:noProof/>
                <w:color w:val="000000"/>
                <w:sz w:val="16"/>
                <w:szCs w:val="18"/>
                <w:highlight w:val="black"/>
              </w:rPr>
              <w:t>'''''''''' ''''''''''' '''''''''''</w:t>
            </w:r>
          </w:p>
        </w:tc>
        <w:tc>
          <w:tcPr>
            <w:tcW w:w="709" w:type="dxa"/>
            <w:tcBorders>
              <w:top w:val="nil"/>
              <w:left w:val="single" w:sz="4" w:space="0" w:color="auto"/>
              <w:bottom w:val="nil"/>
            </w:tcBorders>
            <w:vAlign w:val="center"/>
          </w:tcPr>
          <w:p w:rsidR="005D56A5" w:rsidRPr="00F87F3F" w:rsidRDefault="00F87F3F" w:rsidP="007800FE">
            <w:pPr>
              <w:jc w:val="center"/>
              <w:rPr>
                <w:rFonts w:ascii="Arial Narrow" w:hAnsi="Arial Narrow"/>
                <w:i/>
                <w:noProof/>
                <w:sz w:val="16"/>
                <w:szCs w:val="16"/>
                <w:highlight w:val="black"/>
              </w:rPr>
            </w:pPr>
            <w:r>
              <w:rPr>
                <w:rFonts w:ascii="Arial Narrow" w:hAnsi="Arial Narrow"/>
                <w:i/>
                <w:noProof/>
                <w:color w:val="000000"/>
                <w:sz w:val="16"/>
                <w:szCs w:val="16"/>
                <w:highlight w:val="black"/>
              </w:rPr>
              <w:t>'''' ''''''' '''''</w:t>
            </w:r>
          </w:p>
        </w:tc>
      </w:tr>
      <w:tr w:rsidR="005D56A5" w:rsidRPr="00067537" w:rsidTr="007800FE">
        <w:trPr>
          <w:trHeight w:val="170"/>
        </w:trPr>
        <w:tc>
          <w:tcPr>
            <w:tcW w:w="2977" w:type="dxa"/>
            <w:gridSpan w:val="3"/>
          </w:tcPr>
          <w:p w:rsidR="005D56A5" w:rsidRPr="00067537" w:rsidRDefault="005D56A5" w:rsidP="007800FE">
            <w:pPr>
              <w:rPr>
                <w:rFonts w:ascii="Arial Narrow" w:hAnsi="Arial Narrow"/>
                <w:b/>
                <w:iCs/>
                <w:sz w:val="18"/>
                <w:szCs w:val="18"/>
              </w:rPr>
            </w:pPr>
            <w:r w:rsidRPr="00067537">
              <w:rPr>
                <w:rFonts w:ascii="Arial Narrow" w:hAnsi="Arial Narrow"/>
                <w:b/>
                <w:iCs/>
                <w:sz w:val="18"/>
                <w:szCs w:val="18"/>
              </w:rPr>
              <w:t xml:space="preserve">UST Label vs PBO </w:t>
            </w:r>
            <w:proofErr w:type="spellStart"/>
            <w:r w:rsidRPr="00067537">
              <w:rPr>
                <w:rFonts w:ascii="Arial Narrow" w:hAnsi="Arial Narrow"/>
                <w:b/>
                <w:iCs/>
                <w:sz w:val="18"/>
                <w:szCs w:val="18"/>
              </w:rPr>
              <w:t>Wk</w:t>
            </w:r>
            <w:proofErr w:type="spellEnd"/>
            <w:r w:rsidRPr="00067537">
              <w:rPr>
                <w:rFonts w:ascii="Arial Narrow" w:hAnsi="Arial Narrow"/>
                <w:b/>
                <w:iCs/>
                <w:sz w:val="18"/>
                <w:szCs w:val="18"/>
              </w:rPr>
              <w:t xml:space="preserve"> 12</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sz w:val="16"/>
                <w:szCs w:val="18"/>
              </w:rPr>
            </w:pPr>
          </w:p>
        </w:tc>
        <w:tc>
          <w:tcPr>
            <w:tcW w:w="1416" w:type="dxa"/>
            <w:vMerge/>
            <w:tcBorders>
              <w:right w:val="nil"/>
            </w:tcBorders>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sz w:val="16"/>
                <w:szCs w:val="18"/>
              </w:rPr>
            </w:pP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rPr>
            </w:pP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rPr>
            </w:pPr>
            <w:r w:rsidRPr="00067537">
              <w:rPr>
                <w:rFonts w:ascii="Arial Narrow" w:hAnsi="Arial Narrow"/>
                <w:iCs/>
                <w:sz w:val="18"/>
                <w:szCs w:val="18"/>
              </w:rPr>
              <w:t>UST6</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210/300 (70.0)</w:t>
            </w:r>
          </w:p>
        </w:tc>
        <w:tc>
          <w:tcPr>
            <w:tcW w:w="1134" w:type="dxa"/>
            <w:vAlign w:val="center"/>
          </w:tcPr>
          <w:p w:rsidR="005D56A5" w:rsidRPr="00067537" w:rsidRDefault="005D56A5" w:rsidP="007800FE">
            <w:pPr>
              <w:keepNext/>
              <w:keepLines/>
              <w:widowControl/>
              <w:jc w:val="center"/>
              <w:rPr>
                <w:rFonts w:ascii="Arial Narrow" w:hAnsi="Arial Narrow"/>
                <w:i/>
                <w:sz w:val="18"/>
                <w:szCs w:val="18"/>
              </w:rPr>
            </w:pPr>
            <w:r w:rsidRPr="00067537">
              <w:rPr>
                <w:rFonts w:ascii="Arial Narrow" w:hAnsi="Arial Narrow"/>
                <w:i/>
                <w:sz w:val="18"/>
                <w:szCs w:val="18"/>
              </w:rPr>
              <w:t>25/309 (8.1)</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26.5 (16.4, 42.74)</w:t>
            </w:r>
          </w:p>
        </w:tc>
        <w:tc>
          <w:tcPr>
            <w:tcW w:w="1416" w:type="dxa"/>
            <w:vMerge/>
            <w:tcBorders>
              <w:right w:val="nil"/>
            </w:tcBorders>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0.62 (0.56, 0.68)</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rPr>
            </w:pPr>
            <w:r w:rsidRPr="00067537">
              <w:rPr>
                <w:rFonts w:ascii="Arial Narrow" w:hAnsi="Arial Narrow"/>
                <w:i/>
                <w:sz w:val="16"/>
                <w:szCs w:val="16"/>
              </w:rPr>
              <w:t>2 (1, 2)</w:t>
            </w: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rPr>
            </w:pPr>
            <w:r w:rsidRPr="00067537">
              <w:rPr>
                <w:rFonts w:ascii="Arial Narrow" w:hAnsi="Arial Narrow"/>
                <w:iCs/>
                <w:sz w:val="18"/>
                <w:szCs w:val="18"/>
              </w:rPr>
              <w:t>UST7</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217/313 (69.3)</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19/315 (6.0)</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35.2 (20.9, 59.4)</w:t>
            </w:r>
          </w:p>
        </w:tc>
        <w:tc>
          <w:tcPr>
            <w:tcW w:w="1416" w:type="dxa"/>
            <w:vMerge/>
            <w:tcBorders>
              <w:right w:val="nil"/>
            </w:tcBorders>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0.63 (0.58, 0.69)</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rPr>
            </w:pPr>
            <w:r w:rsidRPr="00067537">
              <w:rPr>
                <w:rFonts w:ascii="Arial Narrow" w:hAnsi="Arial Narrow"/>
                <w:i/>
                <w:sz w:val="16"/>
                <w:szCs w:val="16"/>
              </w:rPr>
              <w:t>2 (1, 2)</w:t>
            </w:r>
          </w:p>
        </w:tc>
      </w:tr>
      <w:tr w:rsidR="005D56A5" w:rsidRPr="00067537" w:rsidTr="007800FE">
        <w:trPr>
          <w:trHeight w:val="170"/>
        </w:trPr>
        <w:tc>
          <w:tcPr>
            <w:tcW w:w="709" w:type="dxa"/>
            <w:vAlign w:val="center"/>
          </w:tcPr>
          <w:p w:rsidR="005D56A5" w:rsidRPr="00067537" w:rsidRDefault="005D56A5" w:rsidP="007800FE">
            <w:pPr>
              <w:jc w:val="right"/>
              <w:rPr>
                <w:rFonts w:ascii="Arial Narrow" w:hAnsi="Arial Narrow"/>
                <w:bCs/>
                <w:iCs/>
                <w:sz w:val="18"/>
                <w:szCs w:val="18"/>
              </w:rPr>
            </w:pPr>
            <w:r w:rsidRPr="00067537">
              <w:rPr>
                <w:rFonts w:ascii="Arial Narrow" w:hAnsi="Arial Narrow"/>
                <w:bCs/>
                <w:iCs/>
                <w:sz w:val="18"/>
                <w:szCs w:val="18"/>
              </w:rPr>
              <w:t>Pooled</w:t>
            </w:r>
          </w:p>
        </w:tc>
        <w:tc>
          <w:tcPr>
            <w:tcW w:w="1134" w:type="dxa"/>
            <w:vAlign w:val="center"/>
          </w:tcPr>
          <w:p w:rsidR="005D56A5" w:rsidRPr="00067537" w:rsidRDefault="005D56A5" w:rsidP="007800FE">
            <w:pPr>
              <w:jc w:val="center"/>
              <w:rPr>
                <w:rFonts w:ascii="Arial Narrow" w:hAnsi="Arial Narrow"/>
                <w:iCs/>
                <w:sz w:val="18"/>
                <w:szCs w:val="18"/>
              </w:rPr>
            </w:pPr>
            <w:r w:rsidRPr="00067537">
              <w:rPr>
                <w:rFonts w:ascii="Arial Narrow" w:hAnsi="Arial Narrow"/>
                <w:iCs/>
                <w:sz w:val="18"/>
                <w:szCs w:val="18"/>
              </w:rPr>
              <w:t>427/613 (69.7)</w:t>
            </w:r>
          </w:p>
        </w:tc>
        <w:tc>
          <w:tcPr>
            <w:tcW w:w="1134" w:type="dxa"/>
            <w:vAlign w:val="center"/>
          </w:tcPr>
          <w:p w:rsidR="005D56A5" w:rsidRPr="00067537" w:rsidRDefault="005D56A5" w:rsidP="007800FE">
            <w:pPr>
              <w:jc w:val="center"/>
              <w:rPr>
                <w:rFonts w:ascii="Arial Narrow" w:hAnsi="Arial Narrow"/>
                <w:iCs/>
                <w:sz w:val="18"/>
                <w:szCs w:val="18"/>
              </w:rPr>
            </w:pPr>
            <w:r w:rsidRPr="00067537">
              <w:rPr>
                <w:rFonts w:ascii="Arial Narrow" w:hAnsi="Arial Narrow"/>
                <w:iCs/>
                <w:sz w:val="18"/>
                <w:szCs w:val="18"/>
              </w:rPr>
              <w:t>44/624 (7.1)</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30.2 (21.2, 42.9)</w:t>
            </w:r>
          </w:p>
        </w:tc>
        <w:tc>
          <w:tcPr>
            <w:tcW w:w="1416" w:type="dxa"/>
            <w:vMerge/>
            <w:tcBorders>
              <w:right w:val="nil"/>
            </w:tcBorders>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0.63 (0.58, 0.67)</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rPr>
            </w:pPr>
            <w:r w:rsidRPr="00067537">
              <w:rPr>
                <w:rFonts w:ascii="Arial Narrow" w:hAnsi="Arial Narrow"/>
                <w:i/>
                <w:sz w:val="16"/>
                <w:szCs w:val="16"/>
              </w:rPr>
              <w:t>2 (1, 2)</w:t>
            </w:r>
          </w:p>
        </w:tc>
      </w:tr>
      <w:tr w:rsidR="005D56A5" w:rsidRPr="00067537" w:rsidTr="007800FE">
        <w:trPr>
          <w:trHeight w:val="170"/>
        </w:trPr>
        <w:tc>
          <w:tcPr>
            <w:tcW w:w="709" w:type="dxa"/>
            <w:vAlign w:val="center"/>
          </w:tcPr>
          <w:p w:rsidR="005D56A5" w:rsidRPr="00067537" w:rsidRDefault="005D56A5" w:rsidP="007800FE">
            <w:pPr>
              <w:jc w:val="right"/>
              <w:rPr>
                <w:rFonts w:ascii="Arial Narrow" w:hAnsi="Arial Narrow"/>
                <w:bCs/>
                <w:iCs/>
                <w:sz w:val="18"/>
                <w:szCs w:val="18"/>
              </w:rPr>
            </w:pPr>
            <w:r w:rsidRPr="00067537">
              <w:rPr>
                <w:rFonts w:ascii="Arial Narrow" w:hAnsi="Arial Narrow"/>
                <w:bCs/>
                <w:iCs/>
                <w:sz w:val="18"/>
                <w:szCs w:val="18"/>
              </w:rPr>
              <w:t>UST(all)</w:t>
            </w:r>
          </w:p>
        </w:tc>
        <w:tc>
          <w:tcPr>
            <w:tcW w:w="1134" w:type="dxa"/>
            <w:vAlign w:val="center"/>
          </w:tcPr>
          <w:p w:rsidR="005D56A5" w:rsidRPr="00F87F3F" w:rsidRDefault="00F87F3F" w:rsidP="007800FE">
            <w:pPr>
              <w:jc w:val="center"/>
              <w:rPr>
                <w:rFonts w:ascii="Arial Narrow" w:hAnsi="Arial Narrow"/>
                <w:iCs/>
                <w:sz w:val="18"/>
                <w:szCs w:val="18"/>
              </w:rPr>
            </w:pPr>
            <w:r>
              <w:rPr>
                <w:rFonts w:ascii="Arial Narrow" w:hAnsi="Arial Narrow"/>
                <w:iCs/>
                <w:noProof/>
                <w:color w:val="000000"/>
                <w:sz w:val="16"/>
                <w:szCs w:val="16"/>
                <w:highlight w:val="black"/>
              </w:rPr>
              <w:t>''''''''''''''''''''''''''' ''''''''''''</w:t>
            </w:r>
            <w:r>
              <w:rPr>
                <w:rFonts w:ascii="Arial Narrow" w:hAnsi="Arial Narrow"/>
                <w:iCs/>
                <w:noProof/>
                <w:color w:val="000000"/>
                <w:sz w:val="18"/>
                <w:szCs w:val="18"/>
                <w:highlight w:val="black"/>
              </w:rPr>
              <w:t>'''</w:t>
            </w:r>
          </w:p>
        </w:tc>
        <w:tc>
          <w:tcPr>
            <w:tcW w:w="1134" w:type="dxa"/>
            <w:vAlign w:val="center"/>
          </w:tcPr>
          <w:p w:rsidR="005D56A5" w:rsidRPr="00F87F3F" w:rsidRDefault="00F87F3F" w:rsidP="007800FE">
            <w:pPr>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vAlign w:val="center"/>
          </w:tcPr>
          <w:p w:rsidR="005D56A5" w:rsidRPr="00F87F3F" w:rsidRDefault="00F87F3F" w:rsidP="007800FE">
            <w:pPr>
              <w:jc w:val="center"/>
              <w:rPr>
                <w:rFonts w:ascii="Arial Narrow" w:hAnsi="Arial Narrow"/>
                <w:b/>
                <w:i/>
                <w:sz w:val="16"/>
                <w:szCs w:val="18"/>
                <w:highlight w:val="black"/>
              </w:rPr>
            </w:pPr>
            <w:r>
              <w:rPr>
                <w:rFonts w:ascii="Arial Narrow" w:hAnsi="Arial Narrow"/>
                <w:b/>
                <w:i/>
                <w:noProof/>
                <w:color w:val="000000"/>
                <w:sz w:val="16"/>
                <w:szCs w:val="18"/>
                <w:highlight w:val="black"/>
              </w:rPr>
              <w:t>''''''''' ''''''''''' '''''''''</w:t>
            </w:r>
          </w:p>
        </w:tc>
        <w:tc>
          <w:tcPr>
            <w:tcW w:w="1416" w:type="dxa"/>
            <w:vMerge/>
            <w:tcBorders>
              <w:right w:val="nil"/>
            </w:tcBorders>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vAlign w:val="center"/>
          </w:tcPr>
          <w:p w:rsidR="005D56A5" w:rsidRPr="00F87F3F" w:rsidRDefault="00F87F3F" w:rsidP="007800FE">
            <w:pPr>
              <w:jc w:val="center"/>
              <w:rPr>
                <w:rFonts w:ascii="Arial Narrow" w:hAnsi="Arial Narrow"/>
                <w:b/>
                <w:i/>
                <w:sz w:val="16"/>
                <w:szCs w:val="18"/>
                <w:highlight w:val="black"/>
              </w:rPr>
            </w:pPr>
            <w:r>
              <w:rPr>
                <w:rFonts w:ascii="Arial Narrow" w:hAnsi="Arial Narrow"/>
                <w:b/>
                <w:i/>
                <w:noProof/>
                <w:color w:val="000000"/>
                <w:sz w:val="16"/>
                <w:szCs w:val="18"/>
                <w:highlight w:val="black"/>
              </w:rPr>
              <w:t>''''''''' '''''''''' '''''''''''</w:t>
            </w:r>
          </w:p>
        </w:tc>
        <w:tc>
          <w:tcPr>
            <w:tcW w:w="709" w:type="dxa"/>
            <w:tcBorders>
              <w:top w:val="nil"/>
              <w:left w:val="single" w:sz="4" w:space="0" w:color="auto"/>
              <w:bottom w:val="nil"/>
            </w:tcBorders>
            <w:vAlign w:val="center"/>
          </w:tcPr>
          <w:p w:rsidR="005D56A5" w:rsidRPr="00F87F3F" w:rsidRDefault="00F87F3F" w:rsidP="007800FE">
            <w:pPr>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5D56A5" w:rsidRPr="00067537" w:rsidTr="007800FE">
        <w:trPr>
          <w:trHeight w:val="104"/>
        </w:trPr>
        <w:tc>
          <w:tcPr>
            <w:tcW w:w="2977" w:type="dxa"/>
            <w:gridSpan w:val="3"/>
            <w:tcBorders>
              <w:top w:val="nil"/>
            </w:tcBorders>
            <w:shd w:val="clear" w:color="auto" w:fill="auto"/>
          </w:tcPr>
          <w:p w:rsidR="005D56A5" w:rsidRPr="00067537" w:rsidRDefault="005D56A5" w:rsidP="007800FE">
            <w:pPr>
              <w:jc w:val="left"/>
              <w:rPr>
                <w:rFonts w:ascii="Arial Narrow" w:hAnsi="Arial Narrow"/>
                <w:iCs/>
                <w:sz w:val="18"/>
                <w:szCs w:val="18"/>
              </w:rPr>
            </w:pPr>
            <w:r w:rsidRPr="00067537">
              <w:rPr>
                <w:rFonts w:ascii="Arial Narrow" w:hAnsi="Arial Narrow"/>
                <w:b/>
                <w:iCs/>
                <w:sz w:val="18"/>
                <w:szCs w:val="18"/>
              </w:rPr>
              <w:t>Indirect : GUS versus UST</w:t>
            </w:r>
          </w:p>
        </w:tc>
        <w:tc>
          <w:tcPr>
            <w:tcW w:w="1560" w:type="dxa"/>
            <w:vMerge/>
            <w:tcBorders>
              <w:right w:val="nil"/>
            </w:tcBorders>
            <w:shd w:val="clear" w:color="auto" w:fill="auto"/>
          </w:tcPr>
          <w:p w:rsidR="005D56A5" w:rsidRPr="00067537" w:rsidRDefault="005D56A5" w:rsidP="007800FE">
            <w:pPr>
              <w:jc w:val="left"/>
              <w:rPr>
                <w:rFonts w:ascii="Arial Narrow" w:hAnsi="Arial Narrow"/>
                <w:iCs/>
                <w:sz w:val="18"/>
                <w:szCs w:val="18"/>
              </w:rPr>
            </w:pPr>
          </w:p>
        </w:tc>
        <w:tc>
          <w:tcPr>
            <w:tcW w:w="1560" w:type="dxa"/>
            <w:tcBorders>
              <w:top w:val="nil"/>
              <w:left w:val="nil"/>
              <w:bottom w:val="nil"/>
            </w:tcBorders>
            <w:shd w:val="clear" w:color="auto" w:fill="auto"/>
            <w:vAlign w:val="center"/>
          </w:tcPr>
          <w:p w:rsidR="005D56A5" w:rsidRPr="00067537" w:rsidRDefault="005D56A5" w:rsidP="007800FE">
            <w:pPr>
              <w:jc w:val="center"/>
              <w:rPr>
                <w:rFonts w:ascii="Arial Narrow" w:hAnsi="Arial Narrow"/>
                <w:b/>
                <w:iCs/>
                <w:sz w:val="16"/>
                <w:szCs w:val="18"/>
              </w:rPr>
            </w:pPr>
          </w:p>
        </w:tc>
        <w:tc>
          <w:tcPr>
            <w:tcW w:w="1416" w:type="dxa"/>
            <w:vMerge/>
            <w:tcBorders>
              <w:right w:val="nil"/>
            </w:tcBorders>
            <w:shd w:val="clear" w:color="auto" w:fill="D9D9D9"/>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5D56A5" w:rsidRPr="00067537" w:rsidRDefault="005D56A5" w:rsidP="007800FE">
            <w:pPr>
              <w:jc w:val="center"/>
              <w:rPr>
                <w:rFonts w:ascii="Arial Narrow" w:hAnsi="Arial Narrow"/>
                <w:b/>
                <w:iCs/>
                <w:sz w:val="16"/>
                <w:szCs w:val="18"/>
              </w:rPr>
            </w:pP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rPr>
            </w:pPr>
          </w:p>
        </w:tc>
      </w:tr>
      <w:tr w:rsidR="005D56A5" w:rsidRPr="00067537" w:rsidTr="007800FE">
        <w:trPr>
          <w:trHeight w:val="170"/>
        </w:trPr>
        <w:tc>
          <w:tcPr>
            <w:tcW w:w="2977" w:type="dxa"/>
            <w:gridSpan w:val="3"/>
            <w:shd w:val="clear" w:color="auto" w:fill="auto"/>
          </w:tcPr>
          <w:p w:rsidR="005D56A5" w:rsidRPr="00067537" w:rsidRDefault="005D56A5" w:rsidP="007800FE">
            <w:pPr>
              <w:jc w:val="right"/>
              <w:rPr>
                <w:rFonts w:ascii="Arial Narrow" w:hAnsi="Arial Narrow"/>
                <w:i/>
                <w:sz w:val="18"/>
                <w:szCs w:val="18"/>
              </w:rPr>
            </w:pPr>
            <w:r w:rsidRPr="00067537">
              <w:rPr>
                <w:rFonts w:ascii="Arial Narrow" w:hAnsi="Arial Narrow"/>
                <w:i/>
                <w:sz w:val="18"/>
                <w:szCs w:val="18"/>
              </w:rPr>
              <w:t xml:space="preserve">GUS versus UST45mg </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shd w:val="clear" w:color="auto" w:fill="auto"/>
            <w:vAlign w:val="center"/>
          </w:tcPr>
          <w:p w:rsidR="005D56A5" w:rsidRPr="00F87F3F" w:rsidRDefault="00F87F3F" w:rsidP="007800FE">
            <w:pPr>
              <w:jc w:val="center"/>
              <w:rPr>
                <w:rFonts w:ascii="Arial Narrow" w:hAnsi="Arial Narrow"/>
                <w:i/>
                <w:sz w:val="16"/>
                <w:szCs w:val="18"/>
                <w:highlight w:val="black"/>
              </w:rPr>
            </w:pPr>
            <w:r>
              <w:rPr>
                <w:rFonts w:ascii="Arial Narrow" w:hAnsi="Arial Narrow"/>
                <w:i/>
                <w:noProof/>
                <w:color w:val="000000"/>
                <w:sz w:val="16"/>
                <w:szCs w:val="18"/>
                <w:highlight w:val="black"/>
              </w:rPr>
              <w:t>'''''''' '''''''''' '''''''''</w:t>
            </w:r>
          </w:p>
        </w:tc>
        <w:tc>
          <w:tcPr>
            <w:tcW w:w="1416" w:type="dxa"/>
            <w:vMerge/>
            <w:tcBorders>
              <w:right w:val="nil"/>
            </w:tcBorders>
            <w:shd w:val="clear" w:color="auto" w:fill="D9D9D9"/>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5D56A5" w:rsidRPr="00F87F3F" w:rsidRDefault="00F87F3F" w:rsidP="007800FE">
            <w:pPr>
              <w:jc w:val="center"/>
              <w:rPr>
                <w:rFonts w:ascii="Arial Narrow" w:hAnsi="Arial Narrow" w:cstheme="minorHAnsi"/>
                <w:b/>
                <w:bCs/>
                <w:i/>
                <w:sz w:val="16"/>
                <w:szCs w:val="18"/>
                <w:highlight w:val="black"/>
              </w:rPr>
            </w:pPr>
            <w:r>
              <w:rPr>
                <w:rFonts w:ascii="Arial Narrow" w:hAnsi="Arial Narrow" w:cstheme="minorHAnsi"/>
                <w:b/>
                <w:bCs/>
                <w:i/>
                <w:noProof/>
                <w:color w:val="000000"/>
                <w:sz w:val="16"/>
                <w:szCs w:val="18"/>
                <w:highlight w:val="black"/>
              </w:rPr>
              <w:t>'''''''' ''''''''''' ''''''''''</w:t>
            </w:r>
          </w:p>
        </w:tc>
        <w:tc>
          <w:tcPr>
            <w:tcW w:w="709" w:type="dxa"/>
            <w:tcBorders>
              <w:top w:val="nil"/>
              <w:left w:val="single" w:sz="4" w:space="0" w:color="auto"/>
              <w:bottom w:val="nil"/>
            </w:tcBorders>
            <w:vAlign w:val="center"/>
          </w:tcPr>
          <w:p w:rsidR="005D56A5" w:rsidRPr="00F87F3F" w:rsidRDefault="00F87F3F" w:rsidP="007800FE">
            <w:pPr>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5D56A5" w:rsidRPr="00067537" w:rsidTr="007800FE">
        <w:trPr>
          <w:trHeight w:val="170"/>
        </w:trPr>
        <w:tc>
          <w:tcPr>
            <w:tcW w:w="2977" w:type="dxa"/>
            <w:gridSpan w:val="3"/>
            <w:shd w:val="clear" w:color="auto" w:fill="auto"/>
          </w:tcPr>
          <w:p w:rsidR="005D56A5" w:rsidRPr="00067537" w:rsidRDefault="005D56A5" w:rsidP="007800FE">
            <w:pPr>
              <w:jc w:val="right"/>
              <w:rPr>
                <w:rFonts w:ascii="Arial Narrow" w:hAnsi="Arial Narrow"/>
                <w:i/>
                <w:sz w:val="18"/>
                <w:szCs w:val="18"/>
              </w:rPr>
            </w:pPr>
            <w:r w:rsidRPr="00067537">
              <w:rPr>
                <w:rFonts w:ascii="Arial Narrow" w:hAnsi="Arial Narrow"/>
                <w:i/>
                <w:sz w:val="18"/>
                <w:szCs w:val="18"/>
              </w:rPr>
              <w:t xml:space="preserve">GUS versus UST 90mg  </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shd w:val="clear" w:color="auto" w:fill="auto"/>
            <w:vAlign w:val="center"/>
          </w:tcPr>
          <w:p w:rsidR="005D56A5" w:rsidRPr="00F87F3F" w:rsidRDefault="00F87F3F" w:rsidP="007800FE">
            <w:pPr>
              <w:jc w:val="center"/>
              <w:rPr>
                <w:rFonts w:ascii="Arial Narrow" w:hAnsi="Arial Narrow"/>
                <w:i/>
                <w:sz w:val="16"/>
                <w:szCs w:val="18"/>
                <w:highlight w:val="black"/>
              </w:rPr>
            </w:pPr>
            <w:r>
              <w:rPr>
                <w:rFonts w:ascii="Arial Narrow" w:hAnsi="Arial Narrow"/>
                <w:i/>
                <w:noProof/>
                <w:color w:val="000000"/>
                <w:sz w:val="16"/>
                <w:szCs w:val="18"/>
                <w:highlight w:val="black"/>
              </w:rPr>
              <w:t>'''''''' ''''''''''''' '''''''''''</w:t>
            </w:r>
          </w:p>
        </w:tc>
        <w:tc>
          <w:tcPr>
            <w:tcW w:w="1416" w:type="dxa"/>
            <w:vMerge/>
            <w:tcBorders>
              <w:right w:val="nil"/>
            </w:tcBorders>
            <w:shd w:val="clear" w:color="auto" w:fill="D9D9D9"/>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5D56A5" w:rsidRPr="00F87F3F" w:rsidRDefault="00F87F3F" w:rsidP="007800FE">
            <w:pPr>
              <w:jc w:val="center"/>
              <w:rPr>
                <w:rFonts w:ascii="Arial Narrow" w:hAnsi="Arial Narrow" w:cstheme="minorHAnsi"/>
                <w:b/>
                <w:bCs/>
                <w:i/>
                <w:sz w:val="16"/>
                <w:szCs w:val="18"/>
                <w:highlight w:val="black"/>
              </w:rPr>
            </w:pPr>
            <w:r>
              <w:rPr>
                <w:rFonts w:ascii="Arial Narrow" w:hAnsi="Arial Narrow" w:cstheme="minorHAnsi"/>
                <w:b/>
                <w:bCs/>
                <w:i/>
                <w:noProof/>
                <w:color w:val="000000"/>
                <w:sz w:val="16"/>
                <w:szCs w:val="18"/>
                <w:highlight w:val="black"/>
              </w:rPr>
              <w:t>'''''''''' ''''''''''' '''''''''</w:t>
            </w:r>
          </w:p>
        </w:tc>
        <w:tc>
          <w:tcPr>
            <w:tcW w:w="709" w:type="dxa"/>
            <w:tcBorders>
              <w:top w:val="nil"/>
              <w:left w:val="single" w:sz="4" w:space="0" w:color="auto"/>
              <w:bottom w:val="nil"/>
            </w:tcBorders>
            <w:vAlign w:val="center"/>
          </w:tcPr>
          <w:p w:rsidR="005D56A5" w:rsidRPr="00F87F3F" w:rsidRDefault="00F87F3F" w:rsidP="007800FE">
            <w:pPr>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5D56A5" w:rsidRPr="00067537" w:rsidTr="007800FE">
        <w:trPr>
          <w:trHeight w:val="170"/>
        </w:trPr>
        <w:tc>
          <w:tcPr>
            <w:tcW w:w="2977" w:type="dxa"/>
            <w:gridSpan w:val="3"/>
            <w:shd w:val="clear" w:color="auto" w:fill="auto"/>
          </w:tcPr>
          <w:p w:rsidR="005D56A5" w:rsidRPr="00067537" w:rsidRDefault="005D56A5" w:rsidP="007800FE">
            <w:pPr>
              <w:jc w:val="right"/>
              <w:rPr>
                <w:rFonts w:ascii="Arial Narrow" w:hAnsi="Arial Narrow"/>
                <w:i/>
                <w:sz w:val="18"/>
                <w:szCs w:val="18"/>
              </w:rPr>
            </w:pPr>
            <w:r w:rsidRPr="00067537">
              <w:rPr>
                <w:rFonts w:ascii="Arial Narrow" w:hAnsi="Arial Narrow"/>
                <w:i/>
                <w:sz w:val="18"/>
                <w:szCs w:val="18"/>
              </w:rPr>
              <w:t>GUS versus UST Label</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shd w:val="clear" w:color="auto" w:fill="auto"/>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3.5 (1.4, 8.8)</w:t>
            </w:r>
          </w:p>
        </w:tc>
        <w:tc>
          <w:tcPr>
            <w:tcW w:w="1416" w:type="dxa"/>
            <w:vMerge/>
            <w:tcBorders>
              <w:right w:val="nil"/>
            </w:tcBorders>
            <w:shd w:val="clear" w:color="auto" w:fill="D9D9D9"/>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5D56A5" w:rsidRPr="00067537" w:rsidRDefault="005D56A5" w:rsidP="007800FE">
            <w:pPr>
              <w:jc w:val="center"/>
              <w:rPr>
                <w:rFonts w:ascii="Arial Narrow" w:hAnsi="Arial Narrow" w:cstheme="minorHAnsi"/>
                <w:b/>
                <w:bCs/>
                <w:i/>
                <w:sz w:val="16"/>
                <w:szCs w:val="18"/>
              </w:rPr>
            </w:pPr>
            <w:r w:rsidRPr="00067537">
              <w:rPr>
                <w:rFonts w:ascii="Arial Narrow" w:hAnsi="Arial Narrow" w:cstheme="minorHAnsi"/>
                <w:b/>
                <w:bCs/>
                <w:i/>
                <w:sz w:val="16"/>
                <w:szCs w:val="18"/>
              </w:rPr>
              <w:t>0.19 (0.11, 0.27)</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rPr>
            </w:pPr>
            <w:r w:rsidRPr="00067537">
              <w:rPr>
                <w:rFonts w:ascii="Arial Narrow" w:hAnsi="Arial Narrow"/>
                <w:i/>
                <w:sz w:val="16"/>
                <w:szCs w:val="16"/>
              </w:rPr>
              <w:t>5 (4, 9)</w:t>
            </w:r>
          </w:p>
        </w:tc>
      </w:tr>
      <w:tr w:rsidR="005D56A5" w:rsidRPr="00067537" w:rsidTr="007800FE">
        <w:trPr>
          <w:trHeight w:val="170"/>
        </w:trPr>
        <w:tc>
          <w:tcPr>
            <w:tcW w:w="2977" w:type="dxa"/>
            <w:gridSpan w:val="3"/>
            <w:shd w:val="clear" w:color="auto" w:fill="auto"/>
          </w:tcPr>
          <w:p w:rsidR="005D56A5" w:rsidRPr="00067537" w:rsidRDefault="005D56A5" w:rsidP="007800FE">
            <w:pPr>
              <w:jc w:val="right"/>
              <w:rPr>
                <w:rFonts w:ascii="Arial Narrow" w:hAnsi="Arial Narrow"/>
                <w:i/>
                <w:sz w:val="18"/>
                <w:szCs w:val="18"/>
              </w:rPr>
            </w:pPr>
            <w:r w:rsidRPr="00067537">
              <w:rPr>
                <w:rFonts w:ascii="Arial Narrow" w:hAnsi="Arial Narrow"/>
                <w:i/>
                <w:sz w:val="18"/>
                <w:szCs w:val="18"/>
              </w:rPr>
              <w:t>GUS versus UST (all doses  pooled)</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shd w:val="clear" w:color="auto" w:fill="auto"/>
            <w:vAlign w:val="center"/>
          </w:tcPr>
          <w:p w:rsidR="005D56A5" w:rsidRPr="00F87F3F" w:rsidRDefault="00F87F3F" w:rsidP="007800FE">
            <w:pPr>
              <w:jc w:val="center"/>
              <w:rPr>
                <w:rFonts w:ascii="Arial Narrow" w:hAnsi="Arial Narrow"/>
                <w:b/>
                <w:i/>
                <w:sz w:val="16"/>
                <w:szCs w:val="18"/>
                <w:highlight w:val="black"/>
              </w:rPr>
            </w:pPr>
            <w:r>
              <w:rPr>
                <w:rFonts w:ascii="Arial Narrow" w:hAnsi="Arial Narrow"/>
                <w:b/>
                <w:i/>
                <w:noProof/>
                <w:color w:val="000000"/>
                <w:sz w:val="16"/>
                <w:szCs w:val="18"/>
                <w:highlight w:val="black"/>
              </w:rPr>
              <w:t>''''''' '''''''' ''''''''</w:t>
            </w:r>
          </w:p>
        </w:tc>
        <w:tc>
          <w:tcPr>
            <w:tcW w:w="1416" w:type="dxa"/>
            <w:vMerge/>
            <w:tcBorders>
              <w:right w:val="nil"/>
            </w:tcBorders>
            <w:shd w:val="clear" w:color="auto" w:fill="D9D9D9"/>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5D56A5" w:rsidRPr="00F87F3F" w:rsidRDefault="00F87F3F" w:rsidP="007800FE">
            <w:pPr>
              <w:jc w:val="center"/>
              <w:rPr>
                <w:rFonts w:ascii="Arial Narrow" w:hAnsi="Arial Narrow" w:cstheme="minorHAnsi"/>
                <w:b/>
                <w:bCs/>
                <w:i/>
                <w:sz w:val="16"/>
                <w:szCs w:val="18"/>
                <w:highlight w:val="black"/>
                <w:lang w:val="es-MX"/>
              </w:rPr>
            </w:pPr>
            <w:r>
              <w:rPr>
                <w:rFonts w:ascii="Arial Narrow" w:hAnsi="Arial Narrow" w:cstheme="minorHAnsi"/>
                <w:b/>
                <w:bCs/>
                <w:i/>
                <w:noProof/>
                <w:color w:val="000000"/>
                <w:sz w:val="16"/>
                <w:szCs w:val="18"/>
                <w:highlight w:val="black"/>
                <w:lang w:val="es-MX"/>
              </w:rPr>
              <w:t xml:space="preserve">''''''''' '''''''''' '''''''''''' </w:t>
            </w:r>
          </w:p>
        </w:tc>
        <w:tc>
          <w:tcPr>
            <w:tcW w:w="709" w:type="dxa"/>
            <w:tcBorders>
              <w:top w:val="nil"/>
              <w:left w:val="single" w:sz="4" w:space="0" w:color="auto"/>
              <w:bottom w:val="nil"/>
            </w:tcBorders>
            <w:vAlign w:val="center"/>
          </w:tcPr>
          <w:p w:rsidR="005D56A5" w:rsidRPr="00F87F3F" w:rsidRDefault="00F87F3F" w:rsidP="007800FE">
            <w:pPr>
              <w:jc w:val="center"/>
              <w:rPr>
                <w:rFonts w:ascii="Arial Narrow" w:hAnsi="Arial Narrow"/>
                <w:i/>
                <w:sz w:val="16"/>
                <w:szCs w:val="16"/>
                <w:highlight w:val="black"/>
                <w:lang w:val="es-MX"/>
              </w:rPr>
            </w:pPr>
            <w:r>
              <w:rPr>
                <w:rFonts w:ascii="Arial Narrow" w:hAnsi="Arial Narrow"/>
                <w:i/>
                <w:noProof/>
                <w:color w:val="000000"/>
                <w:sz w:val="16"/>
                <w:szCs w:val="16"/>
                <w:highlight w:val="black"/>
                <w:lang w:val="es-MX"/>
              </w:rPr>
              <w:t>''' ''''''' '''''''''</w:t>
            </w:r>
          </w:p>
        </w:tc>
      </w:tr>
      <w:tr w:rsidR="005D56A5" w:rsidRPr="00067537" w:rsidTr="007800FE">
        <w:trPr>
          <w:trHeight w:val="170"/>
        </w:trPr>
        <w:tc>
          <w:tcPr>
            <w:tcW w:w="2977" w:type="dxa"/>
            <w:gridSpan w:val="3"/>
            <w:shd w:val="clear" w:color="auto" w:fill="auto"/>
          </w:tcPr>
          <w:p w:rsidR="005D56A5" w:rsidRPr="00067537" w:rsidRDefault="005D56A5" w:rsidP="007800FE">
            <w:pPr>
              <w:jc w:val="left"/>
              <w:rPr>
                <w:rFonts w:ascii="Arial Narrow" w:hAnsi="Arial Narrow"/>
                <w:b/>
                <w:bCs/>
                <w:iCs/>
                <w:sz w:val="18"/>
                <w:szCs w:val="18"/>
                <w:lang w:val="es-MX"/>
              </w:rPr>
            </w:pPr>
            <w:proofErr w:type="spellStart"/>
            <w:r w:rsidRPr="00067537">
              <w:rPr>
                <w:rFonts w:ascii="Arial Narrow" w:hAnsi="Arial Narrow"/>
                <w:b/>
                <w:bCs/>
                <w:iCs/>
                <w:sz w:val="18"/>
                <w:szCs w:val="18"/>
                <w:lang w:val="es-MX"/>
              </w:rPr>
              <w:t>Direct</w:t>
            </w:r>
            <w:proofErr w:type="spellEnd"/>
            <w:r w:rsidRPr="00067537">
              <w:rPr>
                <w:rFonts w:ascii="Arial Narrow" w:hAnsi="Arial Narrow"/>
                <w:b/>
                <w:bCs/>
                <w:iCs/>
                <w:sz w:val="18"/>
                <w:szCs w:val="18"/>
                <w:lang w:val="es-MX"/>
              </w:rPr>
              <w:t> : GUS versus ADA Wk16</w:t>
            </w:r>
          </w:p>
        </w:tc>
        <w:tc>
          <w:tcPr>
            <w:tcW w:w="1560" w:type="dxa"/>
            <w:vMerge/>
            <w:tcBorders>
              <w:right w:val="nil"/>
            </w:tcBorders>
            <w:shd w:val="clear" w:color="auto" w:fill="auto"/>
          </w:tcPr>
          <w:p w:rsidR="005D56A5" w:rsidRPr="00067537" w:rsidRDefault="005D56A5" w:rsidP="007800FE">
            <w:pPr>
              <w:jc w:val="left"/>
              <w:rPr>
                <w:rFonts w:ascii="Arial Narrow" w:hAnsi="Arial Narrow"/>
                <w:iCs/>
                <w:sz w:val="18"/>
                <w:szCs w:val="18"/>
                <w:lang w:val="es-MX"/>
              </w:rPr>
            </w:pPr>
          </w:p>
        </w:tc>
        <w:tc>
          <w:tcPr>
            <w:tcW w:w="1560" w:type="dxa"/>
            <w:tcBorders>
              <w:top w:val="nil"/>
              <w:left w:val="nil"/>
              <w:bottom w:val="nil"/>
            </w:tcBorders>
            <w:shd w:val="clear" w:color="auto" w:fill="auto"/>
            <w:vAlign w:val="center"/>
          </w:tcPr>
          <w:p w:rsidR="005D56A5" w:rsidRPr="00067537" w:rsidRDefault="005D56A5" w:rsidP="007800FE">
            <w:pPr>
              <w:jc w:val="center"/>
              <w:rPr>
                <w:rFonts w:ascii="Arial Narrow" w:hAnsi="Arial Narrow"/>
                <w:b/>
                <w:iCs/>
                <w:sz w:val="16"/>
                <w:szCs w:val="18"/>
                <w:lang w:val="es-MX"/>
              </w:rPr>
            </w:pPr>
          </w:p>
        </w:tc>
        <w:tc>
          <w:tcPr>
            <w:tcW w:w="1416" w:type="dxa"/>
            <w:vMerge/>
            <w:tcBorders>
              <w:right w:val="nil"/>
            </w:tcBorders>
            <w:shd w:val="clear" w:color="auto" w:fill="D9D9D9"/>
          </w:tcPr>
          <w:p w:rsidR="005D56A5" w:rsidRPr="00067537" w:rsidRDefault="005D56A5" w:rsidP="007800FE">
            <w:pPr>
              <w:rPr>
                <w:rFonts w:ascii="Arial Narrow" w:hAnsi="Arial Narrow"/>
                <w:iCs/>
                <w:sz w:val="18"/>
                <w:szCs w:val="18"/>
                <w:lang w:val="es-MX"/>
              </w:rPr>
            </w:pPr>
          </w:p>
        </w:tc>
        <w:tc>
          <w:tcPr>
            <w:tcW w:w="1134" w:type="dxa"/>
            <w:tcBorders>
              <w:top w:val="nil"/>
              <w:left w:val="nil"/>
              <w:bottom w:val="nil"/>
              <w:right w:val="single" w:sz="4" w:space="0" w:color="auto"/>
            </w:tcBorders>
            <w:shd w:val="clear" w:color="auto" w:fill="auto"/>
            <w:vAlign w:val="center"/>
          </w:tcPr>
          <w:p w:rsidR="005D56A5" w:rsidRPr="00067537" w:rsidRDefault="005D56A5" w:rsidP="007800FE">
            <w:pPr>
              <w:jc w:val="center"/>
              <w:rPr>
                <w:rFonts w:ascii="Arial Narrow" w:hAnsi="Arial Narrow"/>
                <w:b/>
                <w:iCs/>
                <w:sz w:val="16"/>
                <w:szCs w:val="18"/>
                <w:lang w:val="es-MX"/>
              </w:rPr>
            </w:pP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lang w:val="es-MX"/>
              </w:rPr>
            </w:pPr>
          </w:p>
        </w:tc>
      </w:tr>
      <w:tr w:rsidR="005D56A5" w:rsidRPr="00067537" w:rsidTr="007800FE">
        <w:trPr>
          <w:trHeight w:val="170"/>
        </w:trPr>
        <w:tc>
          <w:tcPr>
            <w:tcW w:w="709" w:type="dxa"/>
            <w:vAlign w:val="center"/>
          </w:tcPr>
          <w:p w:rsidR="005D56A5" w:rsidRPr="00067537" w:rsidRDefault="005D56A5" w:rsidP="007800FE">
            <w:pPr>
              <w:jc w:val="left"/>
              <w:rPr>
                <w:rFonts w:ascii="Arial Narrow" w:hAnsi="Arial Narrow"/>
                <w:iCs/>
                <w:sz w:val="18"/>
                <w:szCs w:val="18"/>
                <w:lang w:val="es-MX"/>
              </w:rPr>
            </w:pPr>
            <w:r w:rsidRPr="00067537">
              <w:rPr>
                <w:rFonts w:ascii="Arial Narrow" w:hAnsi="Arial Narrow"/>
                <w:iCs/>
                <w:sz w:val="18"/>
                <w:szCs w:val="18"/>
                <w:lang w:val="es-MX"/>
              </w:rPr>
              <w:t>GUS1</w:t>
            </w:r>
          </w:p>
        </w:tc>
        <w:tc>
          <w:tcPr>
            <w:tcW w:w="1134" w:type="dxa"/>
            <w:vAlign w:val="center"/>
          </w:tcPr>
          <w:p w:rsidR="005D56A5" w:rsidRPr="00067537" w:rsidRDefault="005D56A5" w:rsidP="007800FE">
            <w:pPr>
              <w:jc w:val="center"/>
              <w:rPr>
                <w:rFonts w:ascii="Arial Narrow" w:hAnsi="Arial Narrow"/>
                <w:i/>
                <w:sz w:val="18"/>
                <w:szCs w:val="18"/>
                <w:lang w:val="es-MX"/>
              </w:rPr>
            </w:pPr>
            <w:r w:rsidRPr="00067537">
              <w:rPr>
                <w:rFonts w:ascii="Arial Narrow" w:hAnsi="Arial Narrow"/>
                <w:i/>
                <w:sz w:val="18"/>
                <w:szCs w:val="18"/>
                <w:lang w:val="es-MX"/>
              </w:rPr>
              <w:t>300/329 (91.2)</w:t>
            </w:r>
          </w:p>
        </w:tc>
        <w:tc>
          <w:tcPr>
            <w:tcW w:w="1134" w:type="dxa"/>
            <w:vAlign w:val="center"/>
          </w:tcPr>
          <w:p w:rsidR="005D56A5" w:rsidRPr="00067537" w:rsidRDefault="005D56A5" w:rsidP="007800FE">
            <w:pPr>
              <w:jc w:val="center"/>
              <w:rPr>
                <w:rFonts w:ascii="Arial Narrow" w:hAnsi="Arial Narrow"/>
                <w:i/>
                <w:sz w:val="18"/>
                <w:szCs w:val="18"/>
                <w:lang w:val="es-MX"/>
              </w:rPr>
            </w:pPr>
            <w:r w:rsidRPr="00067537">
              <w:rPr>
                <w:rFonts w:ascii="Arial Narrow" w:hAnsi="Arial Narrow"/>
                <w:i/>
                <w:sz w:val="18"/>
                <w:szCs w:val="18"/>
                <w:lang w:val="es-MX"/>
              </w:rPr>
              <w:t>244/334 (73.1)</w:t>
            </w:r>
          </w:p>
        </w:tc>
        <w:tc>
          <w:tcPr>
            <w:tcW w:w="1560" w:type="dxa"/>
            <w:vMerge/>
            <w:tcBorders>
              <w:right w:val="nil"/>
            </w:tcBorders>
          </w:tcPr>
          <w:p w:rsidR="005D56A5" w:rsidRPr="00067537" w:rsidRDefault="005D56A5" w:rsidP="007800FE">
            <w:pPr>
              <w:jc w:val="center"/>
              <w:rPr>
                <w:rFonts w:ascii="Arial Narrow" w:hAnsi="Arial Narrow"/>
                <w:i/>
                <w:sz w:val="18"/>
                <w:szCs w:val="18"/>
                <w:lang w:val="es-MX"/>
              </w:rPr>
            </w:pPr>
          </w:p>
        </w:tc>
        <w:tc>
          <w:tcPr>
            <w:tcW w:w="1560" w:type="dxa"/>
            <w:tcBorders>
              <w:top w:val="nil"/>
              <w:left w:val="nil"/>
              <w:bottom w:val="nil"/>
            </w:tcBorders>
            <w:shd w:val="clear" w:color="auto" w:fill="auto"/>
            <w:vAlign w:val="center"/>
          </w:tcPr>
          <w:p w:rsidR="005D56A5" w:rsidRPr="00067537" w:rsidRDefault="005D56A5" w:rsidP="007800FE">
            <w:pPr>
              <w:jc w:val="center"/>
              <w:rPr>
                <w:rFonts w:ascii="Arial Narrow" w:hAnsi="Arial Narrow"/>
                <w:b/>
                <w:i/>
                <w:sz w:val="16"/>
                <w:szCs w:val="18"/>
                <w:lang w:val="es-MX"/>
              </w:rPr>
            </w:pPr>
            <w:r w:rsidRPr="00067537">
              <w:rPr>
                <w:rFonts w:ascii="Arial Narrow" w:hAnsi="Arial Narrow"/>
                <w:b/>
                <w:i/>
                <w:sz w:val="16"/>
                <w:szCs w:val="18"/>
                <w:lang w:val="es-MX"/>
              </w:rPr>
              <w:t>3.8 (2.4, 6.0)</w:t>
            </w:r>
          </w:p>
        </w:tc>
        <w:tc>
          <w:tcPr>
            <w:tcW w:w="1416" w:type="dxa"/>
            <w:vMerge/>
            <w:tcBorders>
              <w:right w:val="nil"/>
            </w:tcBorders>
            <w:shd w:val="clear" w:color="auto" w:fill="D9D9D9"/>
          </w:tcPr>
          <w:p w:rsidR="005D56A5" w:rsidRPr="00067537" w:rsidRDefault="005D56A5" w:rsidP="007800FE">
            <w:pPr>
              <w:rPr>
                <w:rFonts w:ascii="Arial Narrow" w:hAnsi="Arial Narrow"/>
                <w:iCs/>
                <w:sz w:val="18"/>
                <w:szCs w:val="18"/>
                <w:lang w:val="es-MX"/>
              </w:rPr>
            </w:pPr>
          </w:p>
        </w:tc>
        <w:tc>
          <w:tcPr>
            <w:tcW w:w="1134" w:type="dxa"/>
            <w:tcBorders>
              <w:top w:val="nil"/>
              <w:left w:val="nil"/>
              <w:bottom w:val="nil"/>
              <w:right w:val="single" w:sz="4" w:space="0" w:color="auto"/>
            </w:tcBorders>
            <w:shd w:val="clear" w:color="auto" w:fill="auto"/>
            <w:vAlign w:val="center"/>
          </w:tcPr>
          <w:p w:rsidR="005D56A5" w:rsidRPr="00067537" w:rsidRDefault="005D56A5" w:rsidP="007800FE">
            <w:pPr>
              <w:jc w:val="center"/>
              <w:rPr>
                <w:rFonts w:ascii="Arial Narrow" w:hAnsi="Arial Narrow"/>
                <w:b/>
                <w:i/>
                <w:sz w:val="16"/>
                <w:szCs w:val="18"/>
                <w:lang w:val="es-MX"/>
              </w:rPr>
            </w:pPr>
            <w:r w:rsidRPr="00067537">
              <w:rPr>
                <w:rFonts w:ascii="Arial Narrow" w:hAnsi="Arial Narrow"/>
                <w:b/>
                <w:i/>
                <w:sz w:val="16"/>
                <w:szCs w:val="18"/>
                <w:lang w:val="es-MX"/>
              </w:rPr>
              <w:t>0.18 (0.12, 0.24)</w:t>
            </w:r>
          </w:p>
        </w:tc>
        <w:tc>
          <w:tcPr>
            <w:tcW w:w="709" w:type="dxa"/>
            <w:tcBorders>
              <w:top w:val="nil"/>
              <w:left w:val="single" w:sz="4" w:space="0" w:color="auto"/>
              <w:bottom w:val="nil"/>
            </w:tcBorders>
            <w:vAlign w:val="center"/>
          </w:tcPr>
          <w:p w:rsidR="005D56A5" w:rsidRPr="00067537" w:rsidRDefault="005D56A5" w:rsidP="007800FE">
            <w:pPr>
              <w:jc w:val="center"/>
              <w:rPr>
                <w:rFonts w:ascii="Arial Narrow" w:hAnsi="Arial Narrow"/>
                <w:i/>
                <w:sz w:val="16"/>
                <w:szCs w:val="16"/>
                <w:lang w:val="es-MX"/>
              </w:rPr>
            </w:pPr>
            <w:r w:rsidRPr="00067537">
              <w:rPr>
                <w:rFonts w:ascii="Arial Narrow" w:hAnsi="Arial Narrow"/>
                <w:i/>
                <w:sz w:val="16"/>
                <w:szCs w:val="16"/>
                <w:lang w:val="es-MX"/>
              </w:rPr>
              <w:t>6 (4, 8)</w:t>
            </w:r>
          </w:p>
        </w:tc>
      </w:tr>
      <w:tr w:rsidR="005D56A5" w:rsidRPr="00C725E4" w:rsidTr="007800FE">
        <w:trPr>
          <w:trHeight w:val="170"/>
        </w:trPr>
        <w:tc>
          <w:tcPr>
            <w:tcW w:w="709" w:type="dxa"/>
            <w:vAlign w:val="center"/>
          </w:tcPr>
          <w:p w:rsidR="005D56A5" w:rsidRPr="00067537" w:rsidRDefault="005D56A5" w:rsidP="007800FE">
            <w:pPr>
              <w:jc w:val="left"/>
              <w:rPr>
                <w:rFonts w:ascii="Arial Narrow" w:hAnsi="Arial Narrow"/>
                <w:iCs/>
                <w:sz w:val="18"/>
                <w:szCs w:val="18"/>
                <w:lang w:val="es-MX"/>
              </w:rPr>
            </w:pPr>
            <w:r w:rsidRPr="00067537">
              <w:rPr>
                <w:rFonts w:ascii="Arial Narrow" w:hAnsi="Arial Narrow"/>
                <w:iCs/>
                <w:sz w:val="18"/>
                <w:szCs w:val="18"/>
                <w:lang w:val="es-MX"/>
              </w:rPr>
              <w:t>GUS2</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428/496 (86.3)</w:t>
            </w:r>
          </w:p>
        </w:tc>
        <w:tc>
          <w:tcPr>
            <w:tcW w:w="1134" w:type="dxa"/>
            <w:vAlign w:val="center"/>
          </w:tcPr>
          <w:p w:rsidR="005D56A5" w:rsidRPr="00067537" w:rsidRDefault="005D56A5" w:rsidP="007800FE">
            <w:pPr>
              <w:jc w:val="center"/>
              <w:rPr>
                <w:rFonts w:ascii="Arial Narrow" w:hAnsi="Arial Narrow"/>
                <w:i/>
                <w:sz w:val="18"/>
                <w:szCs w:val="18"/>
              </w:rPr>
            </w:pPr>
            <w:r w:rsidRPr="00067537">
              <w:rPr>
                <w:rFonts w:ascii="Arial Narrow" w:hAnsi="Arial Narrow"/>
                <w:i/>
                <w:sz w:val="18"/>
                <w:szCs w:val="18"/>
              </w:rPr>
              <w:t>170/248 (68.5)</w:t>
            </w:r>
          </w:p>
        </w:tc>
        <w:tc>
          <w:tcPr>
            <w:tcW w:w="1560" w:type="dxa"/>
            <w:vMerge/>
            <w:tcBorders>
              <w:right w:val="nil"/>
            </w:tcBorders>
          </w:tcPr>
          <w:p w:rsidR="005D56A5" w:rsidRPr="00067537" w:rsidRDefault="005D56A5" w:rsidP="007800FE">
            <w:pPr>
              <w:jc w:val="center"/>
              <w:rPr>
                <w:rFonts w:ascii="Arial Narrow" w:hAnsi="Arial Narrow"/>
                <w:i/>
                <w:sz w:val="18"/>
                <w:szCs w:val="18"/>
              </w:rPr>
            </w:pPr>
          </w:p>
        </w:tc>
        <w:tc>
          <w:tcPr>
            <w:tcW w:w="1560" w:type="dxa"/>
            <w:tcBorders>
              <w:top w:val="nil"/>
              <w:left w:val="nil"/>
              <w:bottom w:val="nil"/>
            </w:tcBorders>
            <w:shd w:val="clear" w:color="auto" w:fill="auto"/>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2.9 (2.0, 4.2)</w:t>
            </w:r>
          </w:p>
        </w:tc>
        <w:tc>
          <w:tcPr>
            <w:tcW w:w="1416" w:type="dxa"/>
            <w:vMerge/>
            <w:tcBorders>
              <w:right w:val="nil"/>
            </w:tcBorders>
            <w:shd w:val="clear" w:color="auto" w:fill="D9D9D9"/>
          </w:tcPr>
          <w:p w:rsidR="005D56A5" w:rsidRPr="00067537" w:rsidRDefault="005D56A5" w:rsidP="007800FE">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5D56A5" w:rsidRPr="00067537" w:rsidRDefault="005D56A5" w:rsidP="007800FE">
            <w:pPr>
              <w:jc w:val="center"/>
              <w:rPr>
                <w:rFonts w:ascii="Arial Narrow" w:hAnsi="Arial Narrow"/>
                <w:b/>
                <w:i/>
                <w:sz w:val="16"/>
                <w:szCs w:val="18"/>
              </w:rPr>
            </w:pPr>
            <w:r w:rsidRPr="00067537">
              <w:rPr>
                <w:rFonts w:ascii="Arial Narrow" w:hAnsi="Arial Narrow"/>
                <w:b/>
                <w:i/>
                <w:sz w:val="16"/>
                <w:szCs w:val="18"/>
              </w:rPr>
              <w:t>0.18 (0.11, 0.24)</w:t>
            </w:r>
          </w:p>
        </w:tc>
        <w:tc>
          <w:tcPr>
            <w:tcW w:w="709" w:type="dxa"/>
            <w:tcBorders>
              <w:top w:val="nil"/>
              <w:left w:val="single" w:sz="4" w:space="0" w:color="auto"/>
              <w:bottom w:val="nil"/>
            </w:tcBorders>
            <w:vAlign w:val="center"/>
          </w:tcPr>
          <w:p w:rsidR="005D56A5" w:rsidRPr="00C725E4" w:rsidRDefault="005D56A5" w:rsidP="007800FE">
            <w:pPr>
              <w:jc w:val="center"/>
              <w:rPr>
                <w:rFonts w:ascii="Arial Narrow" w:hAnsi="Arial Narrow"/>
                <w:i/>
                <w:sz w:val="16"/>
                <w:szCs w:val="16"/>
              </w:rPr>
            </w:pPr>
            <w:r w:rsidRPr="00067537">
              <w:rPr>
                <w:rFonts w:ascii="Arial Narrow" w:hAnsi="Arial Narrow"/>
                <w:i/>
                <w:sz w:val="16"/>
                <w:szCs w:val="16"/>
              </w:rPr>
              <w:t>6 (4, 9)</w:t>
            </w:r>
          </w:p>
        </w:tc>
      </w:tr>
      <w:tr w:rsidR="005D56A5" w:rsidRPr="00C725E4" w:rsidTr="007800FE">
        <w:trPr>
          <w:trHeight w:val="170"/>
        </w:trPr>
        <w:tc>
          <w:tcPr>
            <w:tcW w:w="709" w:type="dxa"/>
            <w:tcBorders>
              <w:bottom w:val="single" w:sz="4" w:space="0" w:color="auto"/>
            </w:tcBorders>
            <w:vAlign w:val="center"/>
          </w:tcPr>
          <w:p w:rsidR="005D56A5" w:rsidRPr="00C725E4" w:rsidRDefault="005D56A5" w:rsidP="007800FE">
            <w:pPr>
              <w:jc w:val="right"/>
              <w:rPr>
                <w:rFonts w:ascii="Arial Narrow" w:hAnsi="Arial Narrow"/>
                <w:iCs/>
                <w:sz w:val="18"/>
                <w:szCs w:val="18"/>
              </w:rPr>
            </w:pPr>
            <w:r w:rsidRPr="00C725E4">
              <w:rPr>
                <w:rFonts w:ascii="Arial Narrow" w:hAnsi="Arial Narrow"/>
                <w:b/>
                <w:bCs/>
                <w:iCs/>
                <w:sz w:val="18"/>
                <w:szCs w:val="18"/>
              </w:rPr>
              <w:t>Pooled</w:t>
            </w:r>
          </w:p>
        </w:tc>
        <w:tc>
          <w:tcPr>
            <w:tcW w:w="1134" w:type="dxa"/>
            <w:tcBorders>
              <w:bottom w:val="single" w:sz="4" w:space="0" w:color="auto"/>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728/825 (88.2)</w:t>
            </w:r>
          </w:p>
        </w:tc>
        <w:tc>
          <w:tcPr>
            <w:tcW w:w="1134" w:type="dxa"/>
            <w:tcBorders>
              <w:bottom w:val="single" w:sz="4" w:space="0" w:color="auto"/>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414/582 (71.1)</w:t>
            </w:r>
          </w:p>
        </w:tc>
        <w:tc>
          <w:tcPr>
            <w:tcW w:w="1560" w:type="dxa"/>
            <w:vMerge/>
            <w:tcBorders>
              <w:right w:val="nil"/>
            </w:tcBorders>
          </w:tcPr>
          <w:p w:rsidR="005D56A5" w:rsidRPr="00C725E4" w:rsidRDefault="005D56A5" w:rsidP="007800FE">
            <w:pPr>
              <w:jc w:val="center"/>
              <w:rPr>
                <w:rFonts w:ascii="Arial Narrow" w:hAnsi="Arial Narrow"/>
                <w:i/>
                <w:sz w:val="18"/>
                <w:szCs w:val="18"/>
              </w:rPr>
            </w:pPr>
          </w:p>
        </w:tc>
        <w:tc>
          <w:tcPr>
            <w:tcW w:w="1560" w:type="dxa"/>
            <w:tcBorders>
              <w:top w:val="nil"/>
              <w:left w:val="nil"/>
              <w:bottom w:val="nil"/>
            </w:tcBorders>
            <w:shd w:val="clear" w:color="auto" w:fill="auto"/>
            <w:vAlign w:val="center"/>
          </w:tcPr>
          <w:p w:rsidR="005D56A5" w:rsidRPr="00C725E4" w:rsidRDefault="005D56A5" w:rsidP="007800FE">
            <w:pPr>
              <w:jc w:val="center"/>
              <w:rPr>
                <w:rFonts w:ascii="Arial Narrow" w:hAnsi="Arial Narrow"/>
                <w:b/>
                <w:i/>
                <w:sz w:val="16"/>
                <w:szCs w:val="18"/>
              </w:rPr>
            </w:pPr>
            <w:r w:rsidRPr="00C725E4">
              <w:rPr>
                <w:rFonts w:ascii="Arial Narrow" w:hAnsi="Arial Narrow"/>
                <w:b/>
                <w:i/>
                <w:sz w:val="16"/>
                <w:szCs w:val="18"/>
              </w:rPr>
              <w:t>3.2 (2.4, 4.3)</w:t>
            </w:r>
          </w:p>
        </w:tc>
        <w:tc>
          <w:tcPr>
            <w:tcW w:w="1416" w:type="dxa"/>
            <w:vMerge/>
            <w:tcBorders>
              <w:right w:val="nil"/>
            </w:tcBorders>
            <w:shd w:val="clear" w:color="auto" w:fill="D9D9D9"/>
          </w:tcPr>
          <w:p w:rsidR="005D56A5" w:rsidRPr="00C725E4" w:rsidRDefault="005D56A5" w:rsidP="007800FE">
            <w:pPr>
              <w:rPr>
                <w:rFonts w:ascii="Arial Narrow" w:hAnsi="Arial Narrow"/>
                <w:iCs/>
                <w:sz w:val="18"/>
                <w:szCs w:val="18"/>
              </w:rPr>
            </w:pPr>
          </w:p>
        </w:tc>
        <w:tc>
          <w:tcPr>
            <w:tcW w:w="1134" w:type="dxa"/>
            <w:tcBorders>
              <w:top w:val="nil"/>
              <w:left w:val="nil"/>
              <w:bottom w:val="nil"/>
              <w:right w:val="single" w:sz="4" w:space="0" w:color="auto"/>
            </w:tcBorders>
            <w:shd w:val="clear" w:color="auto" w:fill="auto"/>
            <w:vAlign w:val="center"/>
          </w:tcPr>
          <w:p w:rsidR="005D56A5" w:rsidRPr="00C725E4" w:rsidRDefault="005D56A5" w:rsidP="007800FE">
            <w:pPr>
              <w:jc w:val="center"/>
              <w:rPr>
                <w:rFonts w:ascii="Arial Narrow" w:hAnsi="Arial Narrow"/>
                <w:b/>
                <w:i/>
                <w:sz w:val="16"/>
                <w:szCs w:val="18"/>
              </w:rPr>
            </w:pPr>
            <w:r w:rsidRPr="00C725E4">
              <w:rPr>
                <w:rFonts w:ascii="Arial Narrow" w:hAnsi="Arial Narrow"/>
                <w:b/>
                <w:i/>
                <w:sz w:val="16"/>
                <w:szCs w:val="18"/>
              </w:rPr>
              <w:t>0.18 (0.14, 0.22)</w:t>
            </w:r>
          </w:p>
        </w:tc>
        <w:tc>
          <w:tcPr>
            <w:tcW w:w="709" w:type="dxa"/>
            <w:tcBorders>
              <w:top w:val="nil"/>
              <w:left w:val="single" w:sz="4" w:space="0" w:color="auto"/>
              <w:bottom w:val="nil"/>
            </w:tcBorders>
            <w:vAlign w:val="center"/>
          </w:tcPr>
          <w:p w:rsidR="005D56A5" w:rsidRPr="00C725E4" w:rsidRDefault="005D56A5" w:rsidP="007800FE">
            <w:pPr>
              <w:jc w:val="center"/>
              <w:rPr>
                <w:rFonts w:ascii="Arial Narrow" w:hAnsi="Arial Narrow"/>
                <w:i/>
                <w:sz w:val="16"/>
                <w:szCs w:val="16"/>
              </w:rPr>
            </w:pPr>
            <w:r w:rsidRPr="00C725E4">
              <w:rPr>
                <w:rFonts w:ascii="Arial Narrow" w:hAnsi="Arial Narrow"/>
                <w:i/>
                <w:sz w:val="16"/>
                <w:szCs w:val="16"/>
              </w:rPr>
              <w:t>6 (5, 7)</w:t>
            </w:r>
          </w:p>
        </w:tc>
      </w:tr>
      <w:tr w:rsidR="005D56A5" w:rsidRPr="00C725E4" w:rsidTr="007800FE">
        <w:trPr>
          <w:trHeight w:val="135"/>
        </w:trPr>
        <w:tc>
          <w:tcPr>
            <w:tcW w:w="709" w:type="dxa"/>
            <w:tcBorders>
              <w:left w:val="nil"/>
              <w:bottom w:val="nil"/>
              <w:right w:val="nil"/>
            </w:tcBorders>
            <w:vAlign w:val="center"/>
          </w:tcPr>
          <w:p w:rsidR="005D56A5" w:rsidRPr="00C725E4" w:rsidRDefault="005D56A5" w:rsidP="007800FE">
            <w:pPr>
              <w:jc w:val="right"/>
              <w:rPr>
                <w:rFonts w:ascii="Arial Narrow" w:hAnsi="Arial Narrow"/>
                <w:b/>
                <w:bCs/>
                <w:iCs/>
                <w:sz w:val="18"/>
                <w:szCs w:val="18"/>
              </w:rPr>
            </w:pPr>
          </w:p>
        </w:tc>
        <w:tc>
          <w:tcPr>
            <w:tcW w:w="1134" w:type="dxa"/>
            <w:tcBorders>
              <w:left w:val="nil"/>
              <w:bottom w:val="nil"/>
              <w:right w:val="nil"/>
            </w:tcBorders>
            <w:vAlign w:val="center"/>
          </w:tcPr>
          <w:p w:rsidR="005D56A5" w:rsidRPr="00C725E4" w:rsidRDefault="005D56A5" w:rsidP="007800FE">
            <w:pPr>
              <w:jc w:val="center"/>
              <w:rPr>
                <w:rFonts w:ascii="Arial Narrow" w:hAnsi="Arial Narrow"/>
                <w:i/>
                <w:sz w:val="18"/>
                <w:szCs w:val="18"/>
              </w:rPr>
            </w:pPr>
          </w:p>
        </w:tc>
        <w:tc>
          <w:tcPr>
            <w:tcW w:w="1134" w:type="dxa"/>
            <w:tcBorders>
              <w:left w:val="nil"/>
              <w:bottom w:val="nil"/>
            </w:tcBorders>
            <w:vAlign w:val="center"/>
          </w:tcPr>
          <w:p w:rsidR="005D56A5" w:rsidRPr="00C725E4" w:rsidRDefault="005D56A5" w:rsidP="007800FE">
            <w:pPr>
              <w:jc w:val="center"/>
              <w:rPr>
                <w:rFonts w:ascii="Arial Narrow" w:hAnsi="Arial Narrow"/>
                <w:i/>
                <w:sz w:val="18"/>
                <w:szCs w:val="18"/>
              </w:rPr>
            </w:pPr>
          </w:p>
        </w:tc>
        <w:tc>
          <w:tcPr>
            <w:tcW w:w="1560" w:type="dxa"/>
            <w:vMerge/>
            <w:tcBorders>
              <w:right w:val="nil"/>
            </w:tcBorders>
          </w:tcPr>
          <w:p w:rsidR="005D56A5" w:rsidRPr="00C725E4" w:rsidRDefault="005D56A5" w:rsidP="007800FE">
            <w:pPr>
              <w:jc w:val="center"/>
              <w:rPr>
                <w:rFonts w:ascii="Arial Narrow" w:hAnsi="Arial Narrow"/>
                <w:i/>
                <w:sz w:val="18"/>
                <w:szCs w:val="18"/>
              </w:rPr>
            </w:pPr>
          </w:p>
        </w:tc>
        <w:tc>
          <w:tcPr>
            <w:tcW w:w="1560" w:type="dxa"/>
            <w:tcBorders>
              <w:top w:val="nil"/>
              <w:left w:val="nil"/>
            </w:tcBorders>
            <w:shd w:val="clear" w:color="auto" w:fill="auto"/>
            <w:vAlign w:val="center"/>
          </w:tcPr>
          <w:p w:rsidR="005D56A5" w:rsidRPr="00C725E4" w:rsidRDefault="005D56A5" w:rsidP="007800FE">
            <w:pPr>
              <w:jc w:val="center"/>
              <w:rPr>
                <w:rFonts w:ascii="Arial Narrow" w:hAnsi="Arial Narrow"/>
                <w:b/>
                <w:i/>
                <w:sz w:val="16"/>
                <w:szCs w:val="18"/>
              </w:rPr>
            </w:pPr>
          </w:p>
        </w:tc>
        <w:tc>
          <w:tcPr>
            <w:tcW w:w="1416" w:type="dxa"/>
            <w:vMerge/>
            <w:tcBorders>
              <w:right w:val="nil"/>
            </w:tcBorders>
            <w:shd w:val="clear" w:color="auto" w:fill="D9D9D9"/>
          </w:tcPr>
          <w:p w:rsidR="005D56A5" w:rsidRPr="00C725E4" w:rsidRDefault="005D56A5" w:rsidP="007800FE">
            <w:pPr>
              <w:rPr>
                <w:rFonts w:ascii="Arial Narrow" w:hAnsi="Arial Narrow"/>
                <w:iCs/>
                <w:sz w:val="18"/>
                <w:szCs w:val="18"/>
              </w:rPr>
            </w:pPr>
          </w:p>
        </w:tc>
        <w:tc>
          <w:tcPr>
            <w:tcW w:w="1134" w:type="dxa"/>
            <w:tcBorders>
              <w:top w:val="nil"/>
              <w:left w:val="nil"/>
              <w:right w:val="single" w:sz="4" w:space="0" w:color="auto"/>
            </w:tcBorders>
            <w:shd w:val="clear" w:color="auto" w:fill="auto"/>
            <w:vAlign w:val="center"/>
          </w:tcPr>
          <w:p w:rsidR="005D56A5" w:rsidRPr="00C725E4" w:rsidRDefault="005D56A5" w:rsidP="007800FE">
            <w:pPr>
              <w:jc w:val="center"/>
              <w:rPr>
                <w:rFonts w:ascii="Arial Narrow" w:hAnsi="Arial Narrow"/>
                <w:b/>
                <w:i/>
                <w:sz w:val="16"/>
                <w:szCs w:val="18"/>
              </w:rPr>
            </w:pPr>
          </w:p>
        </w:tc>
        <w:tc>
          <w:tcPr>
            <w:tcW w:w="709" w:type="dxa"/>
            <w:tcBorders>
              <w:top w:val="nil"/>
              <w:left w:val="single" w:sz="4" w:space="0" w:color="auto"/>
            </w:tcBorders>
            <w:vAlign w:val="center"/>
          </w:tcPr>
          <w:p w:rsidR="005D56A5" w:rsidRPr="00C725E4" w:rsidRDefault="005D56A5" w:rsidP="007800FE">
            <w:pPr>
              <w:jc w:val="center"/>
              <w:rPr>
                <w:rFonts w:ascii="Arial Narrow" w:hAnsi="Arial Narrow"/>
                <w:iCs/>
                <w:sz w:val="18"/>
                <w:szCs w:val="18"/>
              </w:rPr>
            </w:pPr>
          </w:p>
        </w:tc>
      </w:tr>
    </w:tbl>
    <w:p w:rsidR="005D56A5" w:rsidRPr="00E72BED" w:rsidRDefault="005D56A5" w:rsidP="005D56A5">
      <w:pPr>
        <w:rPr>
          <w:rStyle w:val="CommentReference"/>
          <w:b w:val="0"/>
          <w:i/>
          <w:iCs/>
          <w:sz w:val="18"/>
          <w:szCs w:val="18"/>
        </w:rPr>
      </w:pPr>
      <w:r w:rsidRPr="00E72BED">
        <w:rPr>
          <w:rStyle w:val="CommentReference"/>
          <w:b w:val="0"/>
          <w:i/>
          <w:iCs/>
          <w:sz w:val="18"/>
          <w:szCs w:val="18"/>
        </w:rPr>
        <w:t xml:space="preserve">Italics indicate results </w:t>
      </w:r>
      <w:r w:rsidR="00E72BED">
        <w:rPr>
          <w:rStyle w:val="CommentReference"/>
          <w:b w:val="0"/>
          <w:i/>
          <w:iCs/>
          <w:sz w:val="18"/>
          <w:szCs w:val="18"/>
        </w:rPr>
        <w:t xml:space="preserve">estimated during the evaluation; </w:t>
      </w:r>
      <w:r w:rsidRPr="00E72BED">
        <w:rPr>
          <w:rStyle w:val="CommentReference"/>
          <w:b w:val="0"/>
          <w:i/>
          <w:iCs/>
          <w:sz w:val="18"/>
          <w:szCs w:val="18"/>
        </w:rPr>
        <w:t>Bold typography indicate</w:t>
      </w:r>
      <w:r w:rsidR="00E72BED">
        <w:rPr>
          <w:rStyle w:val="CommentReference"/>
          <w:b w:val="0"/>
          <w:i/>
          <w:iCs/>
          <w:sz w:val="18"/>
          <w:szCs w:val="18"/>
        </w:rPr>
        <w:t>s</w:t>
      </w:r>
      <w:r w:rsidRPr="00E72BED">
        <w:rPr>
          <w:rStyle w:val="CommentReference"/>
          <w:b w:val="0"/>
          <w:i/>
          <w:iCs/>
          <w:sz w:val="18"/>
          <w:szCs w:val="18"/>
        </w:rPr>
        <w:t xml:space="preserve"> statistically significant differences.</w:t>
      </w:r>
    </w:p>
    <w:p w:rsidR="005D56A5" w:rsidRPr="00E72BED" w:rsidRDefault="005D56A5" w:rsidP="005D56A5">
      <w:pPr>
        <w:spacing w:after="120"/>
        <w:contextualSpacing/>
        <w:rPr>
          <w:rStyle w:val="CommentReference"/>
          <w:b w:val="0"/>
          <w:sz w:val="18"/>
          <w:szCs w:val="18"/>
        </w:rPr>
      </w:pPr>
      <w:r w:rsidRPr="00E72BED">
        <w:rPr>
          <w:rFonts w:ascii="Arial Narrow" w:hAnsi="Arial Narrow"/>
          <w:sz w:val="18"/>
          <w:szCs w:val="18"/>
        </w:rPr>
        <w:t>Abbreviations: GUS</w:t>
      </w:r>
      <w:r w:rsidRPr="00E72BED">
        <w:rPr>
          <w:rFonts w:ascii="Arial Narrow" w:hAnsi="Arial Narrow"/>
          <w:sz w:val="18"/>
          <w:szCs w:val="18"/>
          <w:vertAlign w:val="subscript"/>
        </w:rPr>
        <w:t>1</w:t>
      </w:r>
      <w:r w:rsidRPr="00E72BED">
        <w:rPr>
          <w:rFonts w:ascii="Arial Narrow" w:hAnsi="Arial Narrow"/>
          <w:sz w:val="18"/>
          <w:szCs w:val="18"/>
        </w:rPr>
        <w:t>=VOYAGE-1; GUS</w:t>
      </w:r>
      <w:r w:rsidRPr="00E72BED">
        <w:rPr>
          <w:rFonts w:ascii="Arial Narrow" w:hAnsi="Arial Narrow"/>
          <w:sz w:val="18"/>
          <w:szCs w:val="18"/>
          <w:vertAlign w:val="subscript"/>
        </w:rPr>
        <w:t>2</w:t>
      </w:r>
      <w:r w:rsidRPr="00E72BED">
        <w:rPr>
          <w:rFonts w:ascii="Arial Narrow" w:hAnsi="Arial Narrow"/>
          <w:sz w:val="18"/>
          <w:szCs w:val="18"/>
        </w:rPr>
        <w:t>=VOYAGE-2; GUS</w:t>
      </w:r>
      <w:r w:rsidRPr="00E72BED">
        <w:rPr>
          <w:rFonts w:ascii="Arial Narrow" w:hAnsi="Arial Narrow"/>
          <w:sz w:val="18"/>
          <w:szCs w:val="18"/>
          <w:vertAlign w:val="subscript"/>
        </w:rPr>
        <w:t>3</w:t>
      </w:r>
      <w:r w:rsidRPr="00E72BED">
        <w:rPr>
          <w:rFonts w:ascii="Arial Narrow" w:hAnsi="Arial Narrow"/>
          <w:sz w:val="18"/>
          <w:szCs w:val="18"/>
        </w:rPr>
        <w:t>=NAVIGATE; UST</w:t>
      </w:r>
      <w:r w:rsidRPr="00E72BED">
        <w:rPr>
          <w:rFonts w:ascii="Arial Narrow" w:hAnsi="Arial Narrow"/>
          <w:sz w:val="18"/>
          <w:szCs w:val="18"/>
          <w:vertAlign w:val="subscript"/>
        </w:rPr>
        <w:t>1</w:t>
      </w:r>
      <w:r w:rsidRPr="00E72BED">
        <w:rPr>
          <w:rFonts w:ascii="Arial Narrow" w:hAnsi="Arial Narrow"/>
          <w:sz w:val="18"/>
          <w:szCs w:val="18"/>
        </w:rPr>
        <w:t>=PHOENIX-1; UST</w:t>
      </w:r>
      <w:r w:rsidRPr="00E72BED">
        <w:rPr>
          <w:rFonts w:ascii="Arial Narrow" w:hAnsi="Arial Narrow"/>
          <w:sz w:val="18"/>
          <w:szCs w:val="18"/>
          <w:vertAlign w:val="subscript"/>
        </w:rPr>
        <w:t>2</w:t>
      </w:r>
      <w:r w:rsidRPr="00E72BED">
        <w:rPr>
          <w:rFonts w:ascii="Arial Narrow" w:hAnsi="Arial Narrow"/>
          <w:sz w:val="18"/>
          <w:szCs w:val="18"/>
        </w:rPr>
        <w:t>=PHOENIX-2;  UST</w:t>
      </w:r>
      <w:r w:rsidRPr="00E72BED">
        <w:rPr>
          <w:rFonts w:ascii="Arial Narrow" w:hAnsi="Arial Narrow"/>
          <w:sz w:val="18"/>
          <w:szCs w:val="18"/>
          <w:vertAlign w:val="subscript"/>
        </w:rPr>
        <w:t>3</w:t>
      </w:r>
      <w:r w:rsidRPr="00E72BED">
        <w:rPr>
          <w:rFonts w:ascii="Arial Narrow" w:hAnsi="Arial Narrow"/>
          <w:sz w:val="18"/>
          <w:szCs w:val="18"/>
        </w:rPr>
        <w:t>=PEARL; UST</w:t>
      </w:r>
      <w:r w:rsidRPr="00E72BED">
        <w:rPr>
          <w:rFonts w:ascii="Arial Narrow" w:hAnsi="Arial Narrow"/>
          <w:sz w:val="18"/>
          <w:szCs w:val="18"/>
          <w:vertAlign w:val="subscript"/>
        </w:rPr>
        <w:t>4</w:t>
      </w:r>
      <w:r w:rsidRPr="00E72BED">
        <w:rPr>
          <w:rFonts w:ascii="Arial Narrow" w:hAnsi="Arial Narrow"/>
          <w:sz w:val="18"/>
          <w:szCs w:val="18"/>
        </w:rPr>
        <w:t>=LOTUS;  UST</w:t>
      </w:r>
      <w:r w:rsidRPr="00E72BED">
        <w:rPr>
          <w:rFonts w:ascii="Arial Narrow" w:hAnsi="Arial Narrow"/>
          <w:sz w:val="18"/>
          <w:szCs w:val="18"/>
          <w:vertAlign w:val="subscript"/>
        </w:rPr>
        <w:t>5</w:t>
      </w:r>
      <w:r w:rsidRPr="00E72BED">
        <w:rPr>
          <w:rFonts w:ascii="Arial Narrow" w:hAnsi="Arial Narrow"/>
          <w:sz w:val="18"/>
          <w:szCs w:val="18"/>
        </w:rPr>
        <w:t>=Igarashi 2012;  UST</w:t>
      </w:r>
      <w:r w:rsidRPr="00E72BED">
        <w:rPr>
          <w:rFonts w:ascii="Arial Narrow" w:hAnsi="Arial Narrow"/>
          <w:sz w:val="18"/>
          <w:szCs w:val="18"/>
          <w:vertAlign w:val="subscript"/>
        </w:rPr>
        <w:t>6</w:t>
      </w:r>
      <w:r w:rsidRPr="00E72BED">
        <w:rPr>
          <w:rFonts w:ascii="Arial Narrow" w:hAnsi="Arial Narrow"/>
          <w:sz w:val="18"/>
          <w:szCs w:val="18"/>
        </w:rPr>
        <w:t>=AMAGINE-2;  UST</w:t>
      </w:r>
      <w:r w:rsidRPr="00E72BED">
        <w:rPr>
          <w:rFonts w:ascii="Arial Narrow" w:hAnsi="Arial Narrow"/>
          <w:sz w:val="18"/>
          <w:szCs w:val="18"/>
          <w:vertAlign w:val="subscript"/>
        </w:rPr>
        <w:t>7</w:t>
      </w:r>
      <w:r w:rsidRPr="00E72BED">
        <w:rPr>
          <w:rFonts w:ascii="Arial Narrow" w:hAnsi="Arial Narrow"/>
          <w:sz w:val="18"/>
          <w:szCs w:val="18"/>
        </w:rPr>
        <w:t xml:space="preserve">=AMAGINE-3; </w:t>
      </w:r>
      <w:r w:rsidRPr="00E72BED">
        <w:rPr>
          <w:rStyle w:val="CommentReference"/>
          <w:b w:val="0"/>
          <w:sz w:val="18"/>
          <w:szCs w:val="18"/>
        </w:rPr>
        <w:t xml:space="preserve">UST Label refers to weight-based dosing for UST (UST 45 mg for patients </w:t>
      </w:r>
      <w:r w:rsidRPr="00E72BED">
        <w:rPr>
          <w:rStyle w:val="CommentReference"/>
          <w:b w:val="0"/>
          <w:sz w:val="18"/>
          <w:szCs w:val="18"/>
          <w:u w:val="single"/>
        </w:rPr>
        <w:t>&lt;</w:t>
      </w:r>
      <w:r w:rsidRPr="00E72BED">
        <w:rPr>
          <w:rStyle w:val="CommentReference"/>
          <w:b w:val="0"/>
          <w:sz w:val="18"/>
          <w:szCs w:val="18"/>
        </w:rPr>
        <w:t xml:space="preserve"> 100 kg; UST 90 mg for patients &gt; 100 kg); </w:t>
      </w:r>
      <w:proofErr w:type="spellStart"/>
      <w:r w:rsidRPr="00E72BED">
        <w:rPr>
          <w:rStyle w:val="CommentReference"/>
          <w:b w:val="0"/>
          <w:sz w:val="18"/>
          <w:szCs w:val="18"/>
        </w:rPr>
        <w:t>Wk</w:t>
      </w:r>
      <w:proofErr w:type="spellEnd"/>
      <w:r w:rsidRPr="00E72BED">
        <w:rPr>
          <w:rStyle w:val="CommentReference"/>
          <w:b w:val="0"/>
          <w:sz w:val="18"/>
          <w:szCs w:val="18"/>
        </w:rPr>
        <w:t>=week; PBO=placebo, UST=ustekinumab, GUS=</w:t>
      </w:r>
      <w:proofErr w:type="spellStart"/>
      <w:r w:rsidRPr="00E72BED">
        <w:rPr>
          <w:rStyle w:val="CommentReference"/>
          <w:b w:val="0"/>
          <w:sz w:val="18"/>
          <w:szCs w:val="18"/>
        </w:rPr>
        <w:t>guselkumab</w:t>
      </w:r>
      <w:proofErr w:type="spellEnd"/>
      <w:r w:rsidRPr="00E72BED">
        <w:rPr>
          <w:rStyle w:val="CommentReference"/>
          <w:b w:val="0"/>
          <w:sz w:val="18"/>
          <w:szCs w:val="18"/>
        </w:rPr>
        <w:t>, ADA=adalimumab.</w:t>
      </w:r>
    </w:p>
    <w:p w:rsidR="005D56A5" w:rsidRPr="00E72BED" w:rsidRDefault="005D56A5" w:rsidP="005D56A5">
      <w:pPr>
        <w:rPr>
          <w:rStyle w:val="CommentReference"/>
          <w:b w:val="0"/>
          <w:sz w:val="18"/>
          <w:szCs w:val="18"/>
        </w:rPr>
      </w:pPr>
      <w:r w:rsidRPr="00E72BED">
        <w:rPr>
          <w:rStyle w:val="CommentReference"/>
          <w:b w:val="0"/>
          <w:sz w:val="18"/>
          <w:szCs w:val="18"/>
        </w:rPr>
        <w:t>^</w:t>
      </w:r>
      <w:r w:rsidRPr="00E72BED">
        <w:rPr>
          <w:rStyle w:val="CommentReference"/>
          <w:b w:val="0"/>
          <w:sz w:val="18"/>
          <w:szCs w:val="18"/>
        </w:rPr>
        <w:tab/>
        <w:t xml:space="preserve">estimated using random effects meta-analysis using </w:t>
      </w:r>
      <w:proofErr w:type="spellStart"/>
      <w:r w:rsidRPr="00E72BED">
        <w:rPr>
          <w:rStyle w:val="CommentReference"/>
          <w:b w:val="0"/>
          <w:sz w:val="18"/>
          <w:szCs w:val="18"/>
        </w:rPr>
        <w:t>RevMan</w:t>
      </w:r>
      <w:proofErr w:type="spellEnd"/>
      <w:r w:rsidRPr="00E72BED">
        <w:rPr>
          <w:rStyle w:val="CommentReference"/>
          <w:b w:val="0"/>
          <w:sz w:val="18"/>
          <w:szCs w:val="18"/>
        </w:rPr>
        <w:t xml:space="preserve"> Version 5.3</w:t>
      </w:r>
    </w:p>
    <w:p w:rsidR="005D56A5" w:rsidRPr="00E72BED" w:rsidRDefault="005D56A5" w:rsidP="005D56A5">
      <w:pPr>
        <w:ind w:left="165" w:hanging="165"/>
        <w:rPr>
          <w:rStyle w:val="CommentReference"/>
          <w:b w:val="0"/>
          <w:sz w:val="18"/>
          <w:szCs w:val="18"/>
        </w:rPr>
      </w:pPr>
      <w:r w:rsidRPr="00E72BED">
        <w:rPr>
          <w:rStyle w:val="CommentReference"/>
          <w:b w:val="0"/>
          <w:sz w:val="18"/>
          <w:szCs w:val="18"/>
        </w:rPr>
        <w:t>*</w:t>
      </w:r>
      <w:r w:rsidRPr="00E72BED">
        <w:rPr>
          <w:rStyle w:val="CommentReference"/>
          <w:b w:val="0"/>
          <w:sz w:val="18"/>
          <w:szCs w:val="18"/>
        </w:rPr>
        <w:tab/>
        <w:t xml:space="preserve">From IPD data supplied by the submission (from subgroup of patients in the trial who received the TGA approved UST dose: 45mg for patients </w:t>
      </w:r>
      <w:r w:rsidRPr="00E72BED">
        <w:rPr>
          <w:rFonts w:ascii="Arial Narrow" w:hAnsi="Arial Narrow"/>
          <w:sz w:val="18"/>
          <w:szCs w:val="18"/>
        </w:rPr>
        <w:t>weighing ≤ 100 kg and UST 90 mg for patients weighing &gt; 100 kg</w:t>
      </w:r>
      <w:r w:rsidRPr="00E72BED">
        <w:rPr>
          <w:rStyle w:val="CommentReference"/>
          <w:b w:val="0"/>
          <w:sz w:val="18"/>
          <w:szCs w:val="18"/>
        </w:rPr>
        <w:t xml:space="preserve"> ).  </w:t>
      </w:r>
      <w:r w:rsidRPr="00E72BED">
        <w:rPr>
          <w:rFonts w:ascii="Arial Narrow" w:hAnsi="Arial Narrow"/>
          <w:sz w:val="18"/>
          <w:szCs w:val="18"/>
        </w:rPr>
        <w:t>Placebo data also presented according to weight (comparison of UST 45 mg to PBO in patients weighing ≤ 100 kg and UST 90 mg to PBO in patients weighing &gt; 100 kg).</w:t>
      </w:r>
    </w:p>
    <w:p w:rsidR="005D56A5" w:rsidRPr="00E72BED" w:rsidRDefault="005D56A5" w:rsidP="005D56A5">
      <w:pPr>
        <w:rPr>
          <w:rFonts w:ascii="Arial Narrow" w:hAnsi="Arial Narrow"/>
          <w:iCs/>
          <w:sz w:val="18"/>
          <w:szCs w:val="18"/>
        </w:rPr>
      </w:pPr>
      <w:r w:rsidRPr="00E72BED">
        <w:rPr>
          <w:rStyle w:val="CommentReference"/>
          <w:b w:val="0"/>
          <w:sz w:val="18"/>
          <w:szCs w:val="18"/>
        </w:rPr>
        <w:t xml:space="preserve">Source: constructed during the evaluation using results reported in </w:t>
      </w:r>
      <w:r w:rsidRPr="00E72BED">
        <w:rPr>
          <w:rFonts w:ascii="Arial Narrow" w:hAnsi="Arial Narrow" w:cs="TimesNewRoman,Bold"/>
          <w:sz w:val="18"/>
          <w:szCs w:val="18"/>
          <w:lang w:eastAsia="zh-CN"/>
        </w:rPr>
        <w:t xml:space="preserve">Table 2.49, p156 of submission; </w:t>
      </w:r>
      <w:r w:rsidRPr="00E72BED">
        <w:rPr>
          <w:rFonts w:ascii="Arial Narrow" w:hAnsi="Arial Narrow" w:cs="TimesNewRoman,Bold"/>
          <w:i/>
          <w:iCs/>
          <w:sz w:val="18"/>
          <w:szCs w:val="18"/>
          <w:lang w:eastAsia="zh-CN"/>
        </w:rPr>
        <w:t xml:space="preserve">Attachment TEFMS8910A, p412 of CSR for VOYAGE-1, Attachment TEFMS678A, p509 of CSR for VOYAGE-2; Table 2, p158 of PEARL publication; Table 2, p170 of LOTUS publication; Table 2, p247 of Igarashi 2012; </w:t>
      </w:r>
      <w:r w:rsidRPr="00E72BED">
        <w:rPr>
          <w:rFonts w:ascii="Arial Narrow" w:hAnsi="Arial Narrow"/>
          <w:i/>
          <w:iCs/>
          <w:sz w:val="18"/>
          <w:szCs w:val="18"/>
        </w:rPr>
        <w:t>Table 2, p1323 of AIMAGINE-2 and -3 publication.</w:t>
      </w:r>
      <w:r w:rsidRPr="00E72BED">
        <w:rPr>
          <w:rFonts w:ascii="Arial Narrow" w:hAnsi="Arial Narrow"/>
          <w:sz w:val="18"/>
          <w:szCs w:val="18"/>
        </w:rPr>
        <w:t xml:space="preserve">  PHOENIX 1 and 2 trials: Data sourced from Week 12 results from</w:t>
      </w:r>
      <w:r w:rsidRPr="00E72BED">
        <w:rPr>
          <w:rFonts w:ascii="Arial Narrow" w:hAnsi="Arial Narrow"/>
          <w:i/>
          <w:sz w:val="18"/>
          <w:szCs w:val="18"/>
        </w:rPr>
        <w:t xml:space="preserve"> </w:t>
      </w:r>
      <w:r w:rsidRPr="00E72BED">
        <w:rPr>
          <w:rFonts w:ascii="Arial Narrow" w:hAnsi="Arial Narrow"/>
          <w:iCs/>
          <w:sz w:val="18"/>
          <w:szCs w:val="18"/>
        </w:rPr>
        <w:t>Attachment 3.45-3.46, pp.400-401; Attachment 3.53, pp.408-409; Attachment 3.54, pp.410-411 of PHOENIX-1 Week 52 CSR; Attachment 3.31, p295; Attachment 3.32, p296 of PHOENIX-2 Week 28 CSR.</w:t>
      </w:r>
    </w:p>
    <w:p w:rsidR="00DC114B" w:rsidRDefault="00DC114B" w:rsidP="005D56A5">
      <w:pPr>
        <w:rPr>
          <w:rFonts w:ascii="Arial Narrow" w:hAnsi="Arial Narrow"/>
          <w:iCs/>
          <w:sz w:val="16"/>
          <w:szCs w:val="16"/>
        </w:rPr>
      </w:pPr>
    </w:p>
    <w:p w:rsidR="005D56A5" w:rsidRDefault="005D56A5">
      <w:pPr>
        <w:widowControl/>
        <w:jc w:val="left"/>
        <w:rPr>
          <w:rFonts w:ascii="Arial Narrow" w:hAnsi="Arial Narrow"/>
          <w:iCs/>
          <w:sz w:val="16"/>
          <w:szCs w:val="16"/>
        </w:rPr>
      </w:pPr>
      <w:r>
        <w:rPr>
          <w:rFonts w:ascii="Arial Narrow" w:hAnsi="Arial Narrow"/>
          <w:iCs/>
          <w:sz w:val="16"/>
          <w:szCs w:val="16"/>
        </w:rPr>
        <w:br w:type="page"/>
      </w:r>
    </w:p>
    <w:p w:rsidR="005D56A5" w:rsidRPr="000D3E43" w:rsidRDefault="005D56A5" w:rsidP="005D56A5">
      <w:pPr>
        <w:rPr>
          <w:rFonts w:ascii="Arial Narrow" w:hAnsi="Arial Narrow"/>
          <w:iCs/>
          <w:sz w:val="16"/>
          <w:szCs w:val="16"/>
        </w:rPr>
      </w:pPr>
    </w:p>
    <w:p w:rsidR="0051424E" w:rsidRDefault="0051424E" w:rsidP="0051424E">
      <w:pPr>
        <w:widowControl/>
        <w:jc w:val="left"/>
        <w:rPr>
          <w:rStyle w:val="CommentReference"/>
        </w:rPr>
      </w:pPr>
      <w:r w:rsidRPr="00C725E4">
        <w:rPr>
          <w:rStyle w:val="CommentReference"/>
        </w:rPr>
        <w:t xml:space="preserve">Table </w:t>
      </w:r>
      <w:r>
        <w:rPr>
          <w:rStyle w:val="CommentReference"/>
        </w:rPr>
        <w:t>5</w:t>
      </w:r>
      <w:r w:rsidRPr="00C725E4">
        <w:rPr>
          <w:rStyle w:val="CommentReference"/>
        </w:rPr>
        <w:t>: Initial PASI 90 response at Weeks 16/12 across the trials</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3"/>
        <w:gridCol w:w="1134"/>
        <w:gridCol w:w="1134"/>
        <w:gridCol w:w="1277"/>
        <w:gridCol w:w="1419"/>
        <w:gridCol w:w="1418"/>
        <w:gridCol w:w="1275"/>
        <w:gridCol w:w="708"/>
      </w:tblGrid>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b/>
                <w:bCs/>
                <w:i/>
                <w:iCs/>
                <w:sz w:val="18"/>
                <w:szCs w:val="18"/>
              </w:rPr>
            </w:pPr>
            <w:r w:rsidRPr="00C725E4">
              <w:rPr>
                <w:rFonts w:ascii="Arial Narrow" w:hAnsi="Arial Narrow"/>
                <w:b/>
                <w:bCs/>
                <w:i/>
                <w:iCs/>
                <w:sz w:val="18"/>
                <w:szCs w:val="18"/>
              </w:rPr>
              <w:t>Trial</w:t>
            </w:r>
          </w:p>
        </w:tc>
        <w:tc>
          <w:tcPr>
            <w:tcW w:w="1134" w:type="dxa"/>
            <w:vAlign w:val="center"/>
          </w:tcPr>
          <w:p w:rsidR="005D56A5" w:rsidRPr="00C725E4" w:rsidRDefault="005D56A5" w:rsidP="007800FE">
            <w:pPr>
              <w:jc w:val="center"/>
              <w:rPr>
                <w:rFonts w:ascii="Arial Narrow" w:hAnsi="Arial Narrow"/>
                <w:b/>
                <w:bCs/>
                <w:i/>
                <w:iCs/>
                <w:sz w:val="18"/>
                <w:szCs w:val="18"/>
              </w:rPr>
            </w:pPr>
            <w:r w:rsidRPr="00C725E4">
              <w:rPr>
                <w:rFonts w:ascii="Arial Narrow" w:hAnsi="Arial Narrow"/>
                <w:b/>
                <w:bCs/>
                <w:i/>
                <w:iCs/>
                <w:sz w:val="18"/>
                <w:szCs w:val="18"/>
              </w:rPr>
              <w:t>Drug</w:t>
            </w:r>
          </w:p>
          <w:p w:rsidR="005D56A5" w:rsidRPr="00C725E4" w:rsidRDefault="005D56A5" w:rsidP="007800FE">
            <w:pPr>
              <w:jc w:val="center"/>
              <w:rPr>
                <w:rFonts w:ascii="Arial Narrow" w:hAnsi="Arial Narrow"/>
                <w:b/>
                <w:bCs/>
                <w:i/>
                <w:iCs/>
                <w:sz w:val="18"/>
                <w:szCs w:val="18"/>
              </w:rPr>
            </w:pPr>
            <w:r w:rsidRPr="00C725E4">
              <w:rPr>
                <w:rFonts w:ascii="Arial Narrow" w:hAnsi="Arial Narrow"/>
                <w:b/>
                <w:bCs/>
                <w:i/>
                <w:iCs/>
                <w:sz w:val="18"/>
                <w:szCs w:val="18"/>
              </w:rPr>
              <w:t>n/N (%)</w:t>
            </w:r>
          </w:p>
        </w:tc>
        <w:tc>
          <w:tcPr>
            <w:tcW w:w="1134" w:type="dxa"/>
            <w:vAlign w:val="center"/>
          </w:tcPr>
          <w:p w:rsidR="005D56A5" w:rsidRPr="00C725E4" w:rsidRDefault="005D56A5" w:rsidP="007800FE">
            <w:pPr>
              <w:jc w:val="center"/>
              <w:rPr>
                <w:rFonts w:ascii="Arial Narrow" w:hAnsi="Arial Narrow"/>
                <w:b/>
                <w:bCs/>
                <w:i/>
                <w:iCs/>
                <w:sz w:val="18"/>
                <w:szCs w:val="18"/>
              </w:rPr>
            </w:pPr>
            <w:r w:rsidRPr="00C725E4">
              <w:rPr>
                <w:rFonts w:ascii="Arial Narrow" w:hAnsi="Arial Narrow"/>
                <w:b/>
                <w:bCs/>
                <w:i/>
                <w:iCs/>
                <w:sz w:val="18"/>
                <w:szCs w:val="18"/>
              </w:rPr>
              <w:t>Control</w:t>
            </w:r>
          </w:p>
          <w:p w:rsidR="005D56A5" w:rsidRPr="00C725E4" w:rsidRDefault="005D56A5" w:rsidP="007800FE">
            <w:pPr>
              <w:jc w:val="center"/>
              <w:rPr>
                <w:rFonts w:ascii="Arial Narrow" w:hAnsi="Arial Narrow"/>
                <w:b/>
                <w:bCs/>
                <w:i/>
                <w:iCs/>
                <w:sz w:val="18"/>
                <w:szCs w:val="18"/>
              </w:rPr>
            </w:pPr>
            <w:r w:rsidRPr="00C725E4">
              <w:rPr>
                <w:rFonts w:ascii="Arial Narrow" w:hAnsi="Arial Narrow"/>
                <w:b/>
                <w:bCs/>
                <w:i/>
                <w:iCs/>
                <w:sz w:val="18"/>
                <w:szCs w:val="18"/>
              </w:rPr>
              <w:t>n/N (%)</w:t>
            </w:r>
          </w:p>
        </w:tc>
        <w:tc>
          <w:tcPr>
            <w:tcW w:w="2696" w:type="dxa"/>
            <w:gridSpan w:val="2"/>
            <w:tcBorders>
              <w:bottom w:val="single" w:sz="4" w:space="0" w:color="auto"/>
            </w:tcBorders>
            <w:vAlign w:val="center"/>
          </w:tcPr>
          <w:p w:rsidR="005D56A5" w:rsidRPr="00C725E4" w:rsidRDefault="005D56A5" w:rsidP="007800FE">
            <w:pPr>
              <w:jc w:val="center"/>
              <w:rPr>
                <w:rFonts w:ascii="Arial Narrow" w:hAnsi="Arial Narrow"/>
                <w:b/>
                <w:bCs/>
                <w:i/>
                <w:iCs/>
                <w:noProof/>
                <w:sz w:val="18"/>
                <w:szCs w:val="18"/>
              </w:rPr>
            </w:pPr>
            <w:r w:rsidRPr="00C725E4">
              <w:rPr>
                <w:rFonts w:ascii="Arial Narrow" w:hAnsi="Arial Narrow"/>
                <w:b/>
                <w:bCs/>
                <w:i/>
                <w:iCs/>
                <w:noProof/>
                <w:sz w:val="18"/>
                <w:szCs w:val="18"/>
              </w:rPr>
              <w:t>OR (95% CI)^</w:t>
            </w:r>
          </w:p>
        </w:tc>
        <w:tc>
          <w:tcPr>
            <w:tcW w:w="2693" w:type="dxa"/>
            <w:gridSpan w:val="2"/>
            <w:tcBorders>
              <w:bottom w:val="single" w:sz="4" w:space="0" w:color="auto"/>
            </w:tcBorders>
            <w:vAlign w:val="center"/>
          </w:tcPr>
          <w:p w:rsidR="005D56A5" w:rsidRPr="00C725E4" w:rsidRDefault="005D56A5" w:rsidP="007800FE">
            <w:pPr>
              <w:jc w:val="center"/>
              <w:rPr>
                <w:rFonts w:ascii="Arial Narrow" w:hAnsi="Arial Narrow"/>
                <w:b/>
                <w:bCs/>
                <w:i/>
                <w:iCs/>
                <w:noProof/>
                <w:sz w:val="18"/>
                <w:szCs w:val="18"/>
              </w:rPr>
            </w:pPr>
            <w:r w:rsidRPr="00C725E4">
              <w:rPr>
                <w:rFonts w:ascii="Arial Narrow" w:hAnsi="Arial Narrow"/>
                <w:b/>
                <w:bCs/>
                <w:i/>
                <w:iCs/>
                <w:noProof/>
                <w:sz w:val="18"/>
                <w:szCs w:val="18"/>
              </w:rPr>
              <w:t>RD (95% CI)^</w:t>
            </w:r>
          </w:p>
        </w:tc>
        <w:tc>
          <w:tcPr>
            <w:tcW w:w="708" w:type="dxa"/>
            <w:tcBorders>
              <w:bottom w:val="single" w:sz="4" w:space="0" w:color="auto"/>
            </w:tcBorders>
          </w:tcPr>
          <w:p w:rsidR="005D56A5" w:rsidRPr="00C725E4" w:rsidRDefault="005D56A5" w:rsidP="007800FE">
            <w:pPr>
              <w:jc w:val="center"/>
              <w:rPr>
                <w:rFonts w:ascii="Arial Narrow" w:hAnsi="Arial Narrow"/>
                <w:b/>
                <w:bCs/>
                <w:i/>
                <w:iCs/>
                <w:noProof/>
                <w:sz w:val="18"/>
                <w:szCs w:val="18"/>
              </w:rPr>
            </w:pPr>
            <w:r w:rsidRPr="00C725E4">
              <w:rPr>
                <w:rFonts w:ascii="Arial Narrow" w:hAnsi="Arial Narrow"/>
                <w:b/>
                <w:bCs/>
                <w:i/>
                <w:iCs/>
                <w:noProof/>
                <w:sz w:val="18"/>
                <w:szCs w:val="18"/>
              </w:rPr>
              <w:t>NNT (95%CI)</w:t>
            </w:r>
          </w:p>
        </w:tc>
      </w:tr>
      <w:tr w:rsidR="005D56A5" w:rsidRPr="00C725E4" w:rsidTr="007800FE">
        <w:trPr>
          <w:trHeight w:val="112"/>
        </w:trPr>
        <w:tc>
          <w:tcPr>
            <w:tcW w:w="2971" w:type="dxa"/>
            <w:gridSpan w:val="3"/>
          </w:tcPr>
          <w:p w:rsidR="005D56A5" w:rsidRPr="00C725E4" w:rsidRDefault="005D56A5" w:rsidP="007800FE">
            <w:pPr>
              <w:jc w:val="left"/>
              <w:rPr>
                <w:rFonts w:ascii="Arial Narrow" w:hAnsi="Arial Narrow"/>
                <w:i/>
                <w:iCs/>
                <w:sz w:val="18"/>
                <w:szCs w:val="18"/>
              </w:rPr>
            </w:pPr>
            <w:r w:rsidRPr="00C725E4">
              <w:rPr>
                <w:rFonts w:ascii="Arial Narrow" w:hAnsi="Arial Narrow"/>
                <w:b/>
                <w:bCs/>
                <w:i/>
                <w:iCs/>
                <w:sz w:val="18"/>
                <w:szCs w:val="18"/>
              </w:rPr>
              <w:t>GUS vs. PBO Wk16</w:t>
            </w:r>
          </w:p>
        </w:tc>
        <w:tc>
          <w:tcPr>
            <w:tcW w:w="1277" w:type="dxa"/>
            <w:vMerge w:val="restart"/>
            <w:tcBorders>
              <w:right w:val="nil"/>
            </w:tcBorders>
          </w:tcPr>
          <w:p w:rsidR="005D56A5" w:rsidRDefault="005D56A5" w:rsidP="007800FE">
            <w:pPr>
              <w:rPr>
                <w:rFonts w:ascii="Arial Narrow" w:hAnsi="Arial Narrow"/>
                <w:i/>
                <w:iCs/>
                <w:sz w:val="18"/>
                <w:szCs w:val="18"/>
              </w:rPr>
            </w:pPr>
          </w:p>
          <w:p w:rsidR="005D56A5" w:rsidRPr="00AE71D6" w:rsidRDefault="005D56A5" w:rsidP="007800FE">
            <w:pPr>
              <w:rPr>
                <w:rFonts w:ascii="Arial Narrow" w:hAnsi="Arial Narrow"/>
                <w:sz w:val="18"/>
                <w:szCs w:val="18"/>
              </w:rPr>
            </w:pPr>
            <w:r>
              <w:rPr>
                <w:noProof/>
                <w:snapToGrid/>
                <w:lang w:eastAsia="en-AU"/>
              </w:rPr>
              <w:drawing>
                <wp:inline distT="0" distB="0" distL="0" distR="0" wp14:anchorId="6A5AE37F" wp14:editId="71559F04">
                  <wp:extent cx="1123950" cy="3550492"/>
                  <wp:effectExtent l="0" t="0" r="0" b="0"/>
                  <wp:docPr id="25" name="Picture 25" title="OR (95%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23950" cy="3550492"/>
                          </a:xfrm>
                          <a:prstGeom prst="rect">
                            <a:avLst/>
                          </a:prstGeom>
                        </pic:spPr>
                      </pic:pic>
                    </a:graphicData>
                  </a:graphic>
                </wp:inline>
              </w:drawing>
            </w:r>
          </w:p>
        </w:tc>
        <w:tc>
          <w:tcPr>
            <w:tcW w:w="1419" w:type="dxa"/>
            <w:tcBorders>
              <w:left w:val="nil"/>
              <w:bottom w:val="nil"/>
            </w:tcBorders>
            <w:vAlign w:val="center"/>
          </w:tcPr>
          <w:p w:rsidR="005D56A5" w:rsidRPr="00C725E4" w:rsidRDefault="005D56A5" w:rsidP="007800FE">
            <w:pPr>
              <w:jc w:val="center"/>
              <w:rPr>
                <w:rFonts w:ascii="Arial Narrow" w:hAnsi="Arial Narrow"/>
                <w:i/>
                <w:iCs/>
                <w:sz w:val="18"/>
                <w:szCs w:val="18"/>
              </w:rPr>
            </w:pPr>
          </w:p>
        </w:tc>
        <w:tc>
          <w:tcPr>
            <w:tcW w:w="1418" w:type="dxa"/>
            <w:vMerge w:val="restart"/>
            <w:tcBorders>
              <w:right w:val="nil"/>
            </w:tcBorders>
          </w:tcPr>
          <w:p w:rsidR="005D56A5" w:rsidRDefault="005D56A5" w:rsidP="007800FE">
            <w:pPr>
              <w:rPr>
                <w:rFonts w:ascii="Arial Narrow" w:hAnsi="Arial Narrow"/>
                <w:i/>
                <w:iCs/>
                <w:sz w:val="18"/>
                <w:szCs w:val="18"/>
              </w:rPr>
            </w:pPr>
          </w:p>
          <w:p w:rsidR="005D56A5" w:rsidRPr="00C725E4" w:rsidRDefault="005D56A5" w:rsidP="007800FE">
            <w:pPr>
              <w:rPr>
                <w:rFonts w:ascii="Arial Narrow" w:hAnsi="Arial Narrow"/>
                <w:i/>
                <w:iCs/>
                <w:sz w:val="18"/>
                <w:szCs w:val="18"/>
              </w:rPr>
            </w:pPr>
            <w:r>
              <w:rPr>
                <w:noProof/>
                <w:lang w:eastAsia="en-AU"/>
              </w:rPr>
              <w:drawing>
                <wp:inline distT="0" distB="0" distL="0" distR="0" wp14:anchorId="2C731A37" wp14:editId="2F7AA335">
                  <wp:extent cx="866775" cy="3561715"/>
                  <wp:effectExtent l="0" t="0" r="9525" b="635"/>
                  <wp:docPr id="224" name="Picture 224" title="RD (95%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0-16-ADA-UST-UA.PNG"/>
                          <pic:cNvPicPr/>
                        </pic:nvPicPr>
                        <pic:blipFill>
                          <a:blip r:embed="rId17">
                            <a:extLst>
                              <a:ext uri="{28A0092B-C50C-407E-A947-70E740481C1C}">
                                <a14:useLocalDpi xmlns:a14="http://schemas.microsoft.com/office/drawing/2010/main" val="0"/>
                              </a:ext>
                            </a:extLst>
                          </a:blip>
                          <a:stretch>
                            <a:fillRect/>
                          </a:stretch>
                        </pic:blipFill>
                        <pic:spPr>
                          <a:xfrm>
                            <a:off x="0" y="0"/>
                            <a:ext cx="871823" cy="3582458"/>
                          </a:xfrm>
                          <a:prstGeom prst="rect">
                            <a:avLst/>
                          </a:prstGeom>
                        </pic:spPr>
                      </pic:pic>
                    </a:graphicData>
                  </a:graphic>
                </wp:inline>
              </w:drawing>
            </w:r>
          </w:p>
        </w:tc>
        <w:tc>
          <w:tcPr>
            <w:tcW w:w="1275" w:type="dxa"/>
            <w:tcBorders>
              <w:left w:val="nil"/>
              <w:bottom w:val="nil"/>
            </w:tcBorders>
            <w:vAlign w:val="center"/>
          </w:tcPr>
          <w:p w:rsidR="005D56A5" w:rsidRPr="00C725E4" w:rsidRDefault="005D56A5" w:rsidP="007800FE">
            <w:pPr>
              <w:jc w:val="center"/>
              <w:rPr>
                <w:rFonts w:ascii="Arial Narrow" w:hAnsi="Arial Narrow"/>
                <w:i/>
                <w:iCs/>
                <w:sz w:val="18"/>
                <w:szCs w:val="18"/>
              </w:rPr>
            </w:pPr>
          </w:p>
        </w:tc>
        <w:tc>
          <w:tcPr>
            <w:tcW w:w="708" w:type="dxa"/>
            <w:tcBorders>
              <w:bottom w:val="nil"/>
            </w:tcBorders>
            <w:vAlign w:val="center"/>
          </w:tcPr>
          <w:p w:rsidR="005D56A5" w:rsidRPr="00C725E4" w:rsidRDefault="005D56A5" w:rsidP="007800FE">
            <w:pPr>
              <w:jc w:val="center"/>
              <w:rPr>
                <w:rFonts w:ascii="Arial Narrow" w:hAnsi="Arial Narrow"/>
                <w:i/>
                <w:iCs/>
                <w:sz w:val="18"/>
                <w:szCs w:val="18"/>
              </w:rPr>
            </w:pPr>
          </w:p>
        </w:tc>
      </w:tr>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i/>
                <w:iCs/>
                <w:sz w:val="18"/>
                <w:szCs w:val="18"/>
              </w:rPr>
            </w:pPr>
            <w:r w:rsidRPr="00C725E4">
              <w:rPr>
                <w:rFonts w:ascii="Arial Narrow" w:hAnsi="Arial Narrow"/>
                <w:i/>
                <w:iCs/>
                <w:sz w:val="18"/>
                <w:szCs w:val="18"/>
              </w:rPr>
              <w:t>GUS1</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241/329 (73.3)</w:t>
            </w:r>
          </w:p>
        </w:tc>
        <w:tc>
          <w:tcPr>
            <w:tcW w:w="1134" w:type="dxa"/>
            <w:vAlign w:val="center"/>
          </w:tcPr>
          <w:p w:rsidR="005D56A5" w:rsidRPr="00C725E4" w:rsidRDefault="005D56A5" w:rsidP="007800FE">
            <w:pPr>
              <w:jc w:val="center"/>
              <w:rPr>
                <w:rFonts w:ascii="Arial Narrow" w:hAnsi="Arial Narrow"/>
                <w:i/>
                <w:iCs/>
                <w:sz w:val="18"/>
                <w:szCs w:val="18"/>
              </w:rPr>
            </w:pPr>
            <w:r w:rsidRPr="00C725E4">
              <w:rPr>
                <w:rFonts w:ascii="Arial Narrow" w:hAnsi="Arial Narrow"/>
                <w:i/>
                <w:iCs/>
                <w:sz w:val="18"/>
                <w:szCs w:val="18"/>
              </w:rPr>
              <w:t>5/174 (2.9)</w:t>
            </w: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bottom w:val="nil"/>
            </w:tcBorders>
            <w:vAlign w:val="center"/>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92.6 (36.8, 232.8)</w:t>
            </w:r>
          </w:p>
        </w:tc>
        <w:tc>
          <w:tcPr>
            <w:tcW w:w="1418" w:type="dxa"/>
            <w:vMerge/>
            <w:tcBorders>
              <w:right w:val="nil"/>
            </w:tcBorders>
          </w:tcPr>
          <w:p w:rsidR="005D56A5" w:rsidRPr="00C725E4" w:rsidRDefault="005D56A5" w:rsidP="007800FE">
            <w:pPr>
              <w:jc w:val="center"/>
              <w:rPr>
                <w:rFonts w:ascii="Arial Narrow" w:hAnsi="Arial Narrow"/>
                <w:i/>
                <w:sz w:val="18"/>
                <w:szCs w:val="18"/>
              </w:rPr>
            </w:pPr>
          </w:p>
        </w:tc>
        <w:tc>
          <w:tcPr>
            <w:tcW w:w="1275" w:type="dxa"/>
            <w:tcBorders>
              <w:top w:val="nil"/>
              <w:left w:val="nil"/>
              <w:bottom w:val="nil"/>
            </w:tcBorders>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0.70 (0.65, 0.76)</w:t>
            </w:r>
          </w:p>
        </w:tc>
        <w:tc>
          <w:tcPr>
            <w:tcW w:w="708" w:type="dxa"/>
            <w:tcBorders>
              <w:top w:val="nil"/>
              <w:bottom w:val="nil"/>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1 (1, 2)</w:t>
            </w:r>
          </w:p>
        </w:tc>
      </w:tr>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i/>
                <w:iCs/>
                <w:sz w:val="18"/>
                <w:szCs w:val="18"/>
              </w:rPr>
            </w:pPr>
            <w:r w:rsidRPr="00C725E4">
              <w:rPr>
                <w:rFonts w:ascii="Arial Narrow" w:hAnsi="Arial Narrow"/>
                <w:i/>
                <w:iCs/>
                <w:sz w:val="18"/>
                <w:szCs w:val="18"/>
              </w:rPr>
              <w:t>GUS2</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347/496 (70.0)</w:t>
            </w:r>
          </w:p>
        </w:tc>
        <w:tc>
          <w:tcPr>
            <w:tcW w:w="1134" w:type="dxa"/>
            <w:vAlign w:val="center"/>
          </w:tcPr>
          <w:p w:rsidR="005D56A5" w:rsidRPr="00C725E4" w:rsidRDefault="005D56A5" w:rsidP="007800FE">
            <w:pPr>
              <w:jc w:val="center"/>
              <w:rPr>
                <w:rFonts w:ascii="Arial Narrow" w:hAnsi="Arial Narrow"/>
                <w:i/>
                <w:iCs/>
                <w:sz w:val="18"/>
                <w:szCs w:val="18"/>
              </w:rPr>
            </w:pPr>
            <w:r w:rsidRPr="00C725E4">
              <w:rPr>
                <w:rFonts w:ascii="Arial Narrow" w:hAnsi="Arial Narrow"/>
                <w:i/>
                <w:iCs/>
                <w:sz w:val="18"/>
                <w:szCs w:val="18"/>
              </w:rPr>
              <w:t>6/248 (2.4)</w:t>
            </w: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bottom w:val="nil"/>
            </w:tcBorders>
            <w:vAlign w:val="center"/>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93.9 (40.9, 215.9)</w:t>
            </w:r>
          </w:p>
        </w:tc>
        <w:tc>
          <w:tcPr>
            <w:tcW w:w="1418" w:type="dxa"/>
            <w:vMerge/>
            <w:tcBorders>
              <w:right w:val="nil"/>
            </w:tcBorders>
          </w:tcPr>
          <w:p w:rsidR="005D56A5" w:rsidRPr="00C725E4" w:rsidRDefault="005D56A5" w:rsidP="007800FE">
            <w:pPr>
              <w:jc w:val="center"/>
              <w:rPr>
                <w:rFonts w:ascii="Arial Narrow" w:hAnsi="Arial Narrow"/>
                <w:i/>
                <w:sz w:val="18"/>
                <w:szCs w:val="18"/>
              </w:rPr>
            </w:pPr>
          </w:p>
        </w:tc>
        <w:tc>
          <w:tcPr>
            <w:tcW w:w="1275" w:type="dxa"/>
            <w:tcBorders>
              <w:top w:val="nil"/>
              <w:left w:val="nil"/>
              <w:bottom w:val="nil"/>
            </w:tcBorders>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0.68 (0.63, 0.72)</w:t>
            </w:r>
          </w:p>
        </w:tc>
        <w:tc>
          <w:tcPr>
            <w:tcW w:w="708" w:type="dxa"/>
            <w:tcBorders>
              <w:top w:val="nil"/>
              <w:bottom w:val="nil"/>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1 (1, 2)</w:t>
            </w:r>
          </w:p>
        </w:tc>
      </w:tr>
      <w:tr w:rsidR="005D56A5" w:rsidRPr="00C725E4" w:rsidTr="007800FE">
        <w:trPr>
          <w:trHeight w:val="170"/>
        </w:trPr>
        <w:tc>
          <w:tcPr>
            <w:tcW w:w="703" w:type="dxa"/>
            <w:vAlign w:val="center"/>
          </w:tcPr>
          <w:p w:rsidR="005D56A5" w:rsidRPr="00C725E4" w:rsidRDefault="005D56A5" w:rsidP="007800FE">
            <w:pPr>
              <w:jc w:val="right"/>
              <w:rPr>
                <w:rFonts w:ascii="Arial Narrow" w:hAnsi="Arial Narrow"/>
                <w:i/>
                <w:iCs/>
                <w:sz w:val="18"/>
                <w:szCs w:val="18"/>
              </w:rPr>
            </w:pPr>
            <w:r w:rsidRPr="00C725E4">
              <w:rPr>
                <w:rFonts w:ascii="Arial Narrow" w:hAnsi="Arial Narrow"/>
                <w:bCs/>
                <w:i/>
                <w:iCs/>
                <w:sz w:val="18"/>
                <w:szCs w:val="18"/>
              </w:rPr>
              <w:t>Pooled</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588/825 (71.3)</w:t>
            </w:r>
          </w:p>
        </w:tc>
        <w:tc>
          <w:tcPr>
            <w:tcW w:w="1134" w:type="dxa"/>
            <w:vAlign w:val="center"/>
          </w:tcPr>
          <w:p w:rsidR="005D56A5" w:rsidRPr="00C725E4" w:rsidRDefault="005D56A5" w:rsidP="007800FE">
            <w:pPr>
              <w:jc w:val="center"/>
              <w:rPr>
                <w:rFonts w:ascii="Arial Narrow" w:hAnsi="Arial Narrow"/>
                <w:i/>
                <w:iCs/>
                <w:sz w:val="18"/>
                <w:szCs w:val="18"/>
              </w:rPr>
            </w:pPr>
            <w:r w:rsidRPr="00C725E4">
              <w:rPr>
                <w:rFonts w:ascii="Arial Narrow" w:hAnsi="Arial Narrow"/>
                <w:i/>
                <w:iCs/>
                <w:sz w:val="18"/>
                <w:szCs w:val="18"/>
              </w:rPr>
              <w:t>11/422 (2.6)</w:t>
            </w: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bottom w:val="nil"/>
            </w:tcBorders>
            <w:vAlign w:val="center"/>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93.3 (50.3, 173.1)</w:t>
            </w:r>
          </w:p>
        </w:tc>
        <w:tc>
          <w:tcPr>
            <w:tcW w:w="1418" w:type="dxa"/>
            <w:vMerge/>
            <w:tcBorders>
              <w:right w:val="nil"/>
            </w:tcBorders>
          </w:tcPr>
          <w:p w:rsidR="005D56A5" w:rsidRPr="00C725E4" w:rsidRDefault="005D56A5" w:rsidP="007800FE">
            <w:pPr>
              <w:jc w:val="center"/>
              <w:rPr>
                <w:rFonts w:ascii="Arial Narrow" w:hAnsi="Arial Narrow"/>
                <w:i/>
                <w:sz w:val="18"/>
                <w:szCs w:val="18"/>
              </w:rPr>
            </w:pPr>
          </w:p>
        </w:tc>
        <w:tc>
          <w:tcPr>
            <w:tcW w:w="1275" w:type="dxa"/>
            <w:tcBorders>
              <w:top w:val="nil"/>
              <w:left w:val="nil"/>
              <w:bottom w:val="nil"/>
            </w:tcBorders>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0.69 (0.65, 0.72)</w:t>
            </w:r>
          </w:p>
        </w:tc>
        <w:tc>
          <w:tcPr>
            <w:tcW w:w="708" w:type="dxa"/>
            <w:tcBorders>
              <w:top w:val="nil"/>
              <w:bottom w:val="nil"/>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1 (1, 2)</w:t>
            </w:r>
          </w:p>
        </w:tc>
      </w:tr>
      <w:tr w:rsidR="005D56A5" w:rsidRPr="00C725E4" w:rsidTr="007800FE">
        <w:trPr>
          <w:trHeight w:val="170"/>
        </w:trPr>
        <w:tc>
          <w:tcPr>
            <w:tcW w:w="2971" w:type="dxa"/>
            <w:gridSpan w:val="3"/>
            <w:vAlign w:val="center"/>
          </w:tcPr>
          <w:p w:rsidR="005D56A5" w:rsidRPr="00C725E4" w:rsidRDefault="005D56A5" w:rsidP="007800FE">
            <w:pPr>
              <w:jc w:val="left"/>
              <w:rPr>
                <w:rFonts w:ascii="Arial Narrow" w:hAnsi="Arial Narrow"/>
                <w:b/>
                <w:i/>
                <w:iCs/>
                <w:sz w:val="18"/>
                <w:szCs w:val="18"/>
              </w:rPr>
            </w:pPr>
            <w:r w:rsidRPr="00C725E4">
              <w:rPr>
                <w:rFonts w:ascii="Arial Narrow" w:hAnsi="Arial Narrow"/>
                <w:b/>
                <w:i/>
                <w:iCs/>
                <w:sz w:val="18"/>
                <w:szCs w:val="18"/>
              </w:rPr>
              <w:t>UST 45mg (</w:t>
            </w:r>
            <w:r w:rsidRPr="00C725E4">
              <w:rPr>
                <w:rFonts w:ascii="Arial Narrow" w:hAnsi="Arial Narrow"/>
                <w:b/>
                <w:i/>
                <w:iCs/>
                <w:sz w:val="18"/>
                <w:szCs w:val="18"/>
                <w:u w:val="single"/>
              </w:rPr>
              <w:t>&lt;</w:t>
            </w:r>
            <w:r w:rsidRPr="00C725E4">
              <w:rPr>
                <w:rFonts w:ascii="Arial Narrow" w:hAnsi="Arial Narrow"/>
                <w:b/>
                <w:i/>
                <w:iCs/>
                <w:sz w:val="18"/>
                <w:szCs w:val="18"/>
              </w:rPr>
              <w:t xml:space="preserve">100kg) vs PBO </w:t>
            </w:r>
            <w:proofErr w:type="spellStart"/>
            <w:r w:rsidRPr="00C725E4">
              <w:rPr>
                <w:rFonts w:ascii="Arial Narrow" w:hAnsi="Arial Narrow"/>
                <w:b/>
                <w:i/>
                <w:iCs/>
                <w:sz w:val="18"/>
                <w:szCs w:val="18"/>
              </w:rPr>
              <w:t>Wk</w:t>
            </w:r>
            <w:proofErr w:type="spellEnd"/>
            <w:r w:rsidRPr="00C725E4">
              <w:rPr>
                <w:rFonts w:ascii="Arial Narrow" w:hAnsi="Arial Narrow"/>
                <w:b/>
                <w:i/>
                <w:iCs/>
                <w:sz w:val="18"/>
                <w:szCs w:val="18"/>
              </w:rPr>
              <w:t xml:space="preserve"> 12</w:t>
            </w:r>
          </w:p>
        </w:tc>
        <w:tc>
          <w:tcPr>
            <w:tcW w:w="1277" w:type="dxa"/>
            <w:vMerge/>
            <w:tcBorders>
              <w:right w:val="nil"/>
            </w:tcBorders>
          </w:tcPr>
          <w:p w:rsidR="005D56A5" w:rsidRPr="00C725E4" w:rsidRDefault="005D56A5" w:rsidP="007800FE">
            <w:pPr>
              <w:rPr>
                <w:rFonts w:ascii="Arial Narrow" w:hAnsi="Arial Narrow"/>
                <w:i/>
                <w:noProof/>
                <w:sz w:val="18"/>
                <w:szCs w:val="18"/>
              </w:rPr>
            </w:pPr>
          </w:p>
        </w:tc>
        <w:tc>
          <w:tcPr>
            <w:tcW w:w="1419" w:type="dxa"/>
            <w:tcBorders>
              <w:top w:val="nil"/>
              <w:left w:val="nil"/>
              <w:bottom w:val="nil"/>
            </w:tcBorders>
            <w:vAlign w:val="center"/>
          </w:tcPr>
          <w:p w:rsidR="005D56A5" w:rsidRPr="00C725E4" w:rsidRDefault="005D56A5" w:rsidP="007800FE">
            <w:pPr>
              <w:jc w:val="center"/>
              <w:rPr>
                <w:rFonts w:ascii="Arial Narrow" w:hAnsi="Arial Narrow"/>
                <w:b/>
                <w:bCs/>
                <w:i/>
                <w:noProof/>
                <w:sz w:val="18"/>
                <w:szCs w:val="18"/>
              </w:rPr>
            </w:pPr>
          </w:p>
        </w:tc>
        <w:tc>
          <w:tcPr>
            <w:tcW w:w="1418" w:type="dxa"/>
            <w:vMerge/>
            <w:tcBorders>
              <w:right w:val="nil"/>
            </w:tcBorders>
          </w:tcPr>
          <w:p w:rsidR="005D56A5" w:rsidRPr="00C725E4" w:rsidRDefault="005D56A5" w:rsidP="007800FE">
            <w:pPr>
              <w:rPr>
                <w:rFonts w:ascii="Arial Narrow" w:hAnsi="Arial Narrow"/>
                <w:i/>
                <w:noProof/>
                <w:sz w:val="18"/>
                <w:szCs w:val="18"/>
              </w:rPr>
            </w:pPr>
          </w:p>
        </w:tc>
        <w:tc>
          <w:tcPr>
            <w:tcW w:w="1275" w:type="dxa"/>
            <w:tcBorders>
              <w:top w:val="nil"/>
              <w:left w:val="nil"/>
              <w:bottom w:val="nil"/>
            </w:tcBorders>
            <w:vAlign w:val="center"/>
          </w:tcPr>
          <w:p w:rsidR="005D56A5" w:rsidRPr="00C725E4" w:rsidRDefault="005D56A5" w:rsidP="007800FE">
            <w:pPr>
              <w:jc w:val="center"/>
              <w:rPr>
                <w:rFonts w:ascii="Arial Narrow" w:hAnsi="Arial Narrow"/>
                <w:b/>
                <w:bCs/>
                <w:i/>
                <w:noProof/>
                <w:sz w:val="18"/>
                <w:szCs w:val="18"/>
              </w:rPr>
            </w:pPr>
          </w:p>
        </w:tc>
        <w:tc>
          <w:tcPr>
            <w:tcW w:w="708" w:type="dxa"/>
            <w:tcBorders>
              <w:top w:val="nil"/>
              <w:bottom w:val="nil"/>
            </w:tcBorders>
            <w:vAlign w:val="center"/>
          </w:tcPr>
          <w:p w:rsidR="005D56A5" w:rsidRPr="00C725E4" w:rsidRDefault="005D56A5" w:rsidP="007800FE">
            <w:pPr>
              <w:jc w:val="center"/>
              <w:rPr>
                <w:rFonts w:ascii="Arial Narrow" w:hAnsi="Arial Narrow"/>
                <w:i/>
                <w:noProof/>
                <w:sz w:val="18"/>
                <w:szCs w:val="18"/>
              </w:rPr>
            </w:pPr>
          </w:p>
        </w:tc>
      </w:tr>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i/>
                <w:iCs/>
                <w:sz w:val="18"/>
                <w:szCs w:val="18"/>
              </w:rPr>
            </w:pPr>
            <w:r w:rsidRPr="00C725E4">
              <w:rPr>
                <w:rFonts w:ascii="Arial Narrow" w:hAnsi="Arial Narrow"/>
                <w:i/>
                <w:iCs/>
                <w:sz w:val="18"/>
                <w:szCs w:val="18"/>
              </w:rPr>
              <w:t>UST1</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i/>
                <w:noProof/>
                <w:sz w:val="18"/>
                <w:szCs w:val="18"/>
                <w:highlight w:val="black"/>
              </w:rPr>
            </w:pPr>
            <w:r>
              <w:rPr>
                <w:rFonts w:ascii="Arial Narrow" w:hAnsi="Arial Narrow"/>
                <w:i/>
                <w:noProof/>
                <w:color w:val="000000"/>
                <w:sz w:val="18"/>
                <w:szCs w:val="18"/>
                <w:highlight w:val="black"/>
              </w:rPr>
              <w:t>'''' '''''' ''''''</w:t>
            </w:r>
          </w:p>
        </w:tc>
      </w:tr>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i/>
                <w:iCs/>
                <w:sz w:val="18"/>
                <w:szCs w:val="18"/>
              </w:rPr>
            </w:pPr>
            <w:r w:rsidRPr="00C725E4">
              <w:rPr>
                <w:rFonts w:ascii="Arial Narrow" w:hAnsi="Arial Narrow"/>
                <w:i/>
                <w:iCs/>
                <w:sz w:val="18"/>
                <w:szCs w:val="18"/>
              </w:rPr>
              <w:t>UST2</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i/>
                <w:noProof/>
                <w:sz w:val="18"/>
                <w:szCs w:val="18"/>
                <w:highlight w:val="black"/>
              </w:rPr>
            </w:pPr>
            <w:r>
              <w:rPr>
                <w:rFonts w:ascii="Arial Narrow" w:hAnsi="Arial Narrow"/>
                <w:i/>
                <w:noProof/>
                <w:color w:val="000000"/>
                <w:sz w:val="18"/>
                <w:szCs w:val="18"/>
                <w:highlight w:val="black"/>
              </w:rPr>
              <w:t>''' ''''''' ''''''</w:t>
            </w:r>
          </w:p>
        </w:tc>
      </w:tr>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i/>
                <w:iCs/>
                <w:sz w:val="18"/>
                <w:szCs w:val="18"/>
              </w:rPr>
            </w:pPr>
            <w:r w:rsidRPr="00C725E4">
              <w:rPr>
                <w:rFonts w:ascii="Arial Narrow" w:hAnsi="Arial Narrow"/>
                <w:i/>
                <w:iCs/>
                <w:sz w:val="18"/>
                <w:szCs w:val="18"/>
              </w:rPr>
              <w:t>UST3</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30/61 (49.2)</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1/60 (1.7)</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C725E4" w:rsidRDefault="005D56A5" w:rsidP="007800FE">
            <w:pPr>
              <w:jc w:val="center"/>
              <w:rPr>
                <w:rFonts w:ascii="Arial Narrow" w:hAnsi="Arial Narrow"/>
                <w:b/>
                <w:bCs/>
                <w:i/>
                <w:noProof/>
                <w:sz w:val="18"/>
                <w:szCs w:val="18"/>
              </w:rPr>
            </w:pPr>
            <w:r w:rsidRPr="00C725E4">
              <w:rPr>
                <w:rFonts w:ascii="Arial Narrow" w:hAnsi="Arial Narrow"/>
                <w:b/>
                <w:bCs/>
                <w:i/>
                <w:noProof/>
                <w:sz w:val="18"/>
                <w:szCs w:val="18"/>
              </w:rPr>
              <w:t>57.1 (7.4, 438.8)</w:t>
            </w: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C725E4" w:rsidRDefault="005D56A5" w:rsidP="007800FE">
            <w:pPr>
              <w:jc w:val="center"/>
              <w:rPr>
                <w:rFonts w:ascii="Arial Narrow" w:hAnsi="Arial Narrow"/>
                <w:b/>
                <w:bCs/>
                <w:i/>
                <w:noProof/>
                <w:sz w:val="18"/>
                <w:szCs w:val="18"/>
              </w:rPr>
            </w:pPr>
            <w:r w:rsidRPr="00C725E4">
              <w:rPr>
                <w:rFonts w:ascii="Arial Narrow" w:hAnsi="Arial Narrow"/>
                <w:b/>
                <w:bCs/>
                <w:i/>
                <w:noProof/>
                <w:sz w:val="18"/>
                <w:szCs w:val="18"/>
              </w:rPr>
              <w:t>0.48 (0.35, 0.60)</w:t>
            </w:r>
          </w:p>
        </w:tc>
        <w:tc>
          <w:tcPr>
            <w:tcW w:w="708" w:type="dxa"/>
            <w:tcBorders>
              <w:top w:val="nil"/>
              <w:bottom w:val="nil"/>
            </w:tcBorders>
            <w:vAlign w:val="center"/>
          </w:tcPr>
          <w:p w:rsidR="005D56A5" w:rsidRPr="00C725E4" w:rsidRDefault="005D56A5" w:rsidP="007800FE">
            <w:pPr>
              <w:jc w:val="center"/>
              <w:rPr>
                <w:rFonts w:ascii="Arial Narrow" w:hAnsi="Arial Narrow"/>
                <w:i/>
                <w:noProof/>
                <w:sz w:val="18"/>
                <w:szCs w:val="18"/>
              </w:rPr>
            </w:pPr>
            <w:r w:rsidRPr="00C725E4">
              <w:rPr>
                <w:rFonts w:ascii="Arial Narrow" w:hAnsi="Arial Narrow"/>
                <w:i/>
                <w:noProof/>
                <w:sz w:val="18"/>
                <w:szCs w:val="18"/>
              </w:rPr>
              <w:t>2 (2, 3)</w:t>
            </w:r>
          </w:p>
        </w:tc>
      </w:tr>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i/>
                <w:iCs/>
                <w:sz w:val="18"/>
                <w:szCs w:val="18"/>
              </w:rPr>
            </w:pPr>
            <w:r w:rsidRPr="00C725E4">
              <w:rPr>
                <w:rFonts w:ascii="Arial Narrow" w:hAnsi="Arial Narrow"/>
                <w:i/>
                <w:iCs/>
                <w:sz w:val="18"/>
                <w:szCs w:val="18"/>
              </w:rPr>
              <w:t>UST4</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107/160 (66.9)</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5/162 (3.1)</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C725E4" w:rsidRDefault="005D56A5" w:rsidP="007800FE">
            <w:pPr>
              <w:jc w:val="center"/>
              <w:rPr>
                <w:rFonts w:ascii="Arial Narrow" w:hAnsi="Arial Narrow"/>
                <w:b/>
                <w:bCs/>
                <w:i/>
                <w:noProof/>
                <w:sz w:val="18"/>
                <w:szCs w:val="18"/>
              </w:rPr>
            </w:pPr>
            <w:r w:rsidRPr="00C725E4">
              <w:rPr>
                <w:rFonts w:ascii="Arial Narrow" w:hAnsi="Arial Narrow"/>
                <w:b/>
                <w:bCs/>
                <w:i/>
                <w:noProof/>
                <w:sz w:val="18"/>
                <w:szCs w:val="18"/>
              </w:rPr>
              <w:t>63.49 (24.5, 163.8)</w:t>
            </w: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C725E4" w:rsidRDefault="005D56A5" w:rsidP="007800FE">
            <w:pPr>
              <w:jc w:val="center"/>
              <w:rPr>
                <w:rFonts w:ascii="Arial Narrow" w:hAnsi="Arial Narrow"/>
                <w:b/>
                <w:bCs/>
                <w:i/>
                <w:noProof/>
                <w:sz w:val="18"/>
                <w:szCs w:val="18"/>
              </w:rPr>
            </w:pPr>
            <w:r w:rsidRPr="00C725E4">
              <w:rPr>
                <w:rFonts w:ascii="Arial Narrow" w:hAnsi="Arial Narrow"/>
                <w:b/>
                <w:bCs/>
                <w:i/>
                <w:noProof/>
                <w:sz w:val="18"/>
                <w:szCs w:val="18"/>
              </w:rPr>
              <w:t>0.64 (0.56, 0.72)</w:t>
            </w:r>
          </w:p>
        </w:tc>
        <w:tc>
          <w:tcPr>
            <w:tcW w:w="708" w:type="dxa"/>
            <w:tcBorders>
              <w:top w:val="nil"/>
              <w:bottom w:val="nil"/>
            </w:tcBorders>
            <w:vAlign w:val="center"/>
          </w:tcPr>
          <w:p w:rsidR="005D56A5" w:rsidRPr="00C725E4" w:rsidRDefault="005D56A5" w:rsidP="007800FE">
            <w:pPr>
              <w:jc w:val="center"/>
              <w:rPr>
                <w:rFonts w:ascii="Arial Narrow" w:hAnsi="Arial Narrow"/>
                <w:i/>
                <w:noProof/>
                <w:sz w:val="18"/>
                <w:szCs w:val="18"/>
              </w:rPr>
            </w:pPr>
            <w:r w:rsidRPr="00C725E4">
              <w:rPr>
                <w:rFonts w:ascii="Arial Narrow" w:hAnsi="Arial Narrow"/>
                <w:i/>
                <w:noProof/>
                <w:sz w:val="18"/>
                <w:szCs w:val="18"/>
              </w:rPr>
              <w:t>2 (1, 2)</w:t>
            </w:r>
          </w:p>
        </w:tc>
      </w:tr>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i/>
                <w:iCs/>
                <w:sz w:val="18"/>
                <w:szCs w:val="18"/>
              </w:rPr>
            </w:pPr>
            <w:r w:rsidRPr="00C725E4">
              <w:rPr>
                <w:rFonts w:ascii="Arial Narrow" w:hAnsi="Arial Narrow"/>
                <w:i/>
                <w:iCs/>
                <w:sz w:val="18"/>
                <w:szCs w:val="18"/>
              </w:rPr>
              <w:t>UST5</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21/64 (32.8)</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1/31 (3.2)</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C725E4" w:rsidRDefault="005D56A5" w:rsidP="007800FE">
            <w:pPr>
              <w:jc w:val="center"/>
              <w:rPr>
                <w:rFonts w:ascii="Arial Narrow" w:hAnsi="Arial Narrow"/>
                <w:b/>
                <w:bCs/>
                <w:i/>
                <w:noProof/>
                <w:sz w:val="18"/>
                <w:szCs w:val="18"/>
              </w:rPr>
            </w:pPr>
            <w:r w:rsidRPr="00C725E4">
              <w:rPr>
                <w:rFonts w:ascii="Arial Narrow" w:hAnsi="Arial Narrow"/>
                <w:b/>
                <w:bCs/>
                <w:i/>
                <w:noProof/>
                <w:sz w:val="18"/>
                <w:szCs w:val="18"/>
              </w:rPr>
              <w:t>14.7 (1.87, 114.9)</w:t>
            </w: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C725E4" w:rsidRDefault="005D56A5" w:rsidP="007800FE">
            <w:pPr>
              <w:jc w:val="center"/>
              <w:rPr>
                <w:rFonts w:ascii="Arial Narrow" w:hAnsi="Arial Narrow"/>
                <w:b/>
                <w:bCs/>
                <w:i/>
                <w:noProof/>
                <w:sz w:val="18"/>
                <w:szCs w:val="18"/>
              </w:rPr>
            </w:pPr>
            <w:r w:rsidRPr="00C725E4">
              <w:rPr>
                <w:rFonts w:ascii="Arial Narrow" w:hAnsi="Arial Narrow"/>
                <w:b/>
                <w:bCs/>
                <w:i/>
                <w:noProof/>
                <w:sz w:val="18"/>
                <w:szCs w:val="18"/>
              </w:rPr>
              <w:t>0.30 (0.17, 0.43)</w:t>
            </w:r>
          </w:p>
        </w:tc>
        <w:tc>
          <w:tcPr>
            <w:tcW w:w="708" w:type="dxa"/>
            <w:tcBorders>
              <w:top w:val="nil"/>
              <w:bottom w:val="nil"/>
            </w:tcBorders>
            <w:vAlign w:val="center"/>
          </w:tcPr>
          <w:p w:rsidR="005D56A5" w:rsidRPr="00C725E4" w:rsidRDefault="005D56A5" w:rsidP="007800FE">
            <w:pPr>
              <w:jc w:val="center"/>
              <w:rPr>
                <w:rFonts w:ascii="Arial Narrow" w:hAnsi="Arial Narrow"/>
                <w:i/>
                <w:noProof/>
                <w:sz w:val="18"/>
                <w:szCs w:val="18"/>
              </w:rPr>
            </w:pPr>
            <w:r w:rsidRPr="00C725E4">
              <w:rPr>
                <w:rFonts w:ascii="Arial Narrow" w:hAnsi="Arial Narrow"/>
                <w:i/>
                <w:noProof/>
                <w:sz w:val="18"/>
                <w:szCs w:val="18"/>
              </w:rPr>
              <w:t>3 (2, 6)</w:t>
            </w:r>
          </w:p>
        </w:tc>
      </w:tr>
      <w:tr w:rsidR="005D56A5" w:rsidRPr="00C725E4" w:rsidTr="007800FE">
        <w:trPr>
          <w:trHeight w:val="170"/>
        </w:trPr>
        <w:tc>
          <w:tcPr>
            <w:tcW w:w="703" w:type="dxa"/>
            <w:vAlign w:val="center"/>
          </w:tcPr>
          <w:p w:rsidR="005D56A5" w:rsidRPr="00C725E4" w:rsidRDefault="005D56A5" w:rsidP="007800FE">
            <w:pPr>
              <w:jc w:val="right"/>
              <w:rPr>
                <w:rFonts w:ascii="Arial Narrow" w:hAnsi="Arial Narrow"/>
                <w:i/>
                <w:iCs/>
                <w:sz w:val="18"/>
                <w:szCs w:val="18"/>
              </w:rPr>
            </w:pPr>
            <w:r w:rsidRPr="00C725E4">
              <w:rPr>
                <w:rFonts w:ascii="Arial Narrow" w:hAnsi="Arial Narrow"/>
                <w:bCs/>
                <w:i/>
                <w:sz w:val="18"/>
                <w:szCs w:val="18"/>
              </w:rPr>
              <w:t xml:space="preserve">Pooled </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i/>
                <w:noProof/>
                <w:sz w:val="18"/>
                <w:szCs w:val="18"/>
                <w:highlight w:val="black"/>
              </w:rPr>
            </w:pPr>
            <w:r>
              <w:rPr>
                <w:rFonts w:ascii="Arial Narrow" w:hAnsi="Arial Narrow"/>
                <w:i/>
                <w:noProof/>
                <w:color w:val="000000"/>
                <w:sz w:val="18"/>
                <w:szCs w:val="18"/>
                <w:highlight w:val="black"/>
              </w:rPr>
              <w:t>''' '''''' ''''''</w:t>
            </w:r>
          </w:p>
        </w:tc>
      </w:tr>
      <w:tr w:rsidR="005D56A5" w:rsidRPr="00C725E4" w:rsidTr="007800FE">
        <w:trPr>
          <w:trHeight w:val="170"/>
        </w:trPr>
        <w:tc>
          <w:tcPr>
            <w:tcW w:w="2971" w:type="dxa"/>
            <w:gridSpan w:val="3"/>
          </w:tcPr>
          <w:p w:rsidR="005D56A5" w:rsidRPr="00C725E4" w:rsidRDefault="005D56A5" w:rsidP="007800FE">
            <w:pPr>
              <w:jc w:val="left"/>
              <w:rPr>
                <w:rFonts w:ascii="Arial Narrow" w:hAnsi="Arial Narrow"/>
                <w:b/>
                <w:i/>
                <w:iCs/>
                <w:sz w:val="18"/>
                <w:szCs w:val="18"/>
              </w:rPr>
            </w:pPr>
            <w:r w:rsidRPr="00C725E4">
              <w:rPr>
                <w:rFonts w:ascii="Arial Narrow" w:hAnsi="Arial Narrow"/>
                <w:b/>
                <w:i/>
                <w:iCs/>
                <w:sz w:val="18"/>
                <w:szCs w:val="18"/>
              </w:rPr>
              <w:t xml:space="preserve">UST 90mg (&gt;100kg) vs PBO </w:t>
            </w:r>
            <w:proofErr w:type="spellStart"/>
            <w:r w:rsidRPr="00C725E4">
              <w:rPr>
                <w:rFonts w:ascii="Arial Narrow" w:hAnsi="Arial Narrow"/>
                <w:b/>
                <w:i/>
                <w:iCs/>
                <w:sz w:val="18"/>
                <w:szCs w:val="18"/>
              </w:rPr>
              <w:t>Wk</w:t>
            </w:r>
            <w:proofErr w:type="spellEnd"/>
            <w:r w:rsidRPr="00C725E4">
              <w:rPr>
                <w:rFonts w:ascii="Arial Narrow" w:hAnsi="Arial Narrow"/>
                <w:b/>
                <w:i/>
                <w:iCs/>
                <w:sz w:val="18"/>
                <w:szCs w:val="18"/>
              </w:rPr>
              <w:t xml:space="preserve"> 12</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C725E4" w:rsidRDefault="005D56A5" w:rsidP="007800FE">
            <w:pPr>
              <w:jc w:val="center"/>
              <w:rPr>
                <w:rFonts w:ascii="Arial Narrow" w:hAnsi="Arial Narrow"/>
                <w:b/>
                <w:bCs/>
                <w:i/>
                <w:noProof/>
                <w:sz w:val="18"/>
                <w:szCs w:val="18"/>
              </w:rPr>
            </w:pP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C725E4" w:rsidRDefault="005D56A5" w:rsidP="007800FE">
            <w:pPr>
              <w:jc w:val="center"/>
              <w:rPr>
                <w:rFonts w:ascii="Arial Narrow" w:hAnsi="Arial Narrow"/>
                <w:b/>
                <w:bCs/>
                <w:i/>
                <w:noProof/>
                <w:sz w:val="18"/>
                <w:szCs w:val="18"/>
              </w:rPr>
            </w:pPr>
          </w:p>
        </w:tc>
        <w:tc>
          <w:tcPr>
            <w:tcW w:w="708" w:type="dxa"/>
            <w:tcBorders>
              <w:top w:val="nil"/>
              <w:bottom w:val="nil"/>
            </w:tcBorders>
            <w:vAlign w:val="center"/>
          </w:tcPr>
          <w:p w:rsidR="005D56A5" w:rsidRPr="00C725E4" w:rsidRDefault="005D56A5" w:rsidP="007800FE">
            <w:pPr>
              <w:jc w:val="center"/>
              <w:rPr>
                <w:rFonts w:ascii="Arial Narrow" w:hAnsi="Arial Narrow"/>
                <w:i/>
                <w:noProof/>
                <w:sz w:val="18"/>
                <w:szCs w:val="18"/>
              </w:rPr>
            </w:pPr>
          </w:p>
        </w:tc>
      </w:tr>
      <w:tr w:rsidR="005D56A5" w:rsidRPr="00C725E4" w:rsidTr="007800FE">
        <w:trPr>
          <w:trHeight w:val="170"/>
        </w:trPr>
        <w:tc>
          <w:tcPr>
            <w:tcW w:w="703" w:type="dxa"/>
            <w:vAlign w:val="center"/>
          </w:tcPr>
          <w:p w:rsidR="005D56A5" w:rsidRPr="00C725E4" w:rsidRDefault="005D56A5" w:rsidP="007800FE">
            <w:pPr>
              <w:rPr>
                <w:rFonts w:ascii="Arial Narrow" w:hAnsi="Arial Narrow"/>
                <w:i/>
                <w:sz w:val="18"/>
                <w:szCs w:val="18"/>
              </w:rPr>
            </w:pPr>
            <w:r w:rsidRPr="00C725E4">
              <w:rPr>
                <w:rFonts w:ascii="Arial Narrow" w:hAnsi="Arial Narrow"/>
                <w:i/>
                <w:sz w:val="18"/>
                <w:szCs w:val="18"/>
              </w:rPr>
              <w:t>UST1</w:t>
            </w:r>
          </w:p>
        </w:tc>
        <w:tc>
          <w:tcPr>
            <w:tcW w:w="1134" w:type="dxa"/>
            <w:vAlign w:val="center"/>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i/>
                <w:noProof/>
                <w:sz w:val="18"/>
                <w:szCs w:val="18"/>
                <w:highlight w:val="black"/>
              </w:rPr>
            </w:pPr>
            <w:r>
              <w:rPr>
                <w:rFonts w:ascii="Arial Narrow" w:hAnsi="Arial Narrow"/>
                <w:i/>
                <w:noProof/>
                <w:color w:val="000000"/>
                <w:sz w:val="18"/>
                <w:szCs w:val="18"/>
                <w:highlight w:val="black"/>
              </w:rPr>
              <w:t>''' '''''' '''''</w:t>
            </w:r>
          </w:p>
        </w:tc>
      </w:tr>
      <w:tr w:rsidR="005D56A5" w:rsidRPr="00C725E4" w:rsidTr="007800FE">
        <w:trPr>
          <w:trHeight w:val="170"/>
        </w:trPr>
        <w:tc>
          <w:tcPr>
            <w:tcW w:w="703" w:type="dxa"/>
            <w:vAlign w:val="center"/>
          </w:tcPr>
          <w:p w:rsidR="005D56A5" w:rsidRPr="00C725E4" w:rsidRDefault="005D56A5" w:rsidP="007800FE">
            <w:pPr>
              <w:rPr>
                <w:rFonts w:ascii="Arial Narrow" w:hAnsi="Arial Narrow"/>
                <w:i/>
                <w:sz w:val="18"/>
                <w:szCs w:val="18"/>
              </w:rPr>
            </w:pPr>
            <w:r w:rsidRPr="00C725E4">
              <w:rPr>
                <w:rFonts w:ascii="Arial Narrow" w:hAnsi="Arial Narrow"/>
                <w:i/>
                <w:sz w:val="18"/>
                <w:szCs w:val="18"/>
              </w:rPr>
              <w:t>UST2</w:t>
            </w:r>
          </w:p>
        </w:tc>
        <w:tc>
          <w:tcPr>
            <w:tcW w:w="1134" w:type="dxa"/>
            <w:vAlign w:val="center"/>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i/>
                <w:noProof/>
                <w:sz w:val="18"/>
                <w:szCs w:val="18"/>
                <w:highlight w:val="black"/>
              </w:rPr>
            </w:pPr>
            <w:r>
              <w:rPr>
                <w:rFonts w:ascii="Arial Narrow" w:hAnsi="Arial Narrow"/>
                <w:i/>
                <w:noProof/>
                <w:color w:val="000000"/>
                <w:sz w:val="18"/>
                <w:szCs w:val="18"/>
                <w:highlight w:val="black"/>
              </w:rPr>
              <w:t>'''' '''''' '''''</w:t>
            </w:r>
          </w:p>
        </w:tc>
      </w:tr>
      <w:tr w:rsidR="005D56A5" w:rsidRPr="00C725E4" w:rsidTr="007800FE">
        <w:trPr>
          <w:trHeight w:val="170"/>
        </w:trPr>
        <w:tc>
          <w:tcPr>
            <w:tcW w:w="703" w:type="dxa"/>
            <w:vAlign w:val="center"/>
          </w:tcPr>
          <w:p w:rsidR="005D56A5" w:rsidRPr="00C725E4" w:rsidRDefault="005D56A5" w:rsidP="007800FE">
            <w:pPr>
              <w:jc w:val="right"/>
              <w:rPr>
                <w:rFonts w:ascii="Arial Narrow" w:hAnsi="Arial Narrow"/>
                <w:i/>
                <w:sz w:val="18"/>
                <w:szCs w:val="18"/>
              </w:rPr>
            </w:pPr>
            <w:r w:rsidRPr="00C725E4">
              <w:rPr>
                <w:rFonts w:ascii="Arial Narrow" w:hAnsi="Arial Narrow"/>
                <w:bCs/>
                <w:i/>
                <w:sz w:val="18"/>
                <w:szCs w:val="18"/>
              </w:rPr>
              <w:t>Pooled</w:t>
            </w:r>
          </w:p>
        </w:tc>
        <w:tc>
          <w:tcPr>
            <w:tcW w:w="1134" w:type="dxa"/>
            <w:vAlign w:val="center"/>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277" w:type="dxa"/>
            <w:vMerge/>
            <w:tcBorders>
              <w:right w:val="nil"/>
            </w:tcBorders>
          </w:tcPr>
          <w:p w:rsidR="005D56A5" w:rsidRPr="00C725E4"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1418" w:type="dxa"/>
            <w:vMerge/>
            <w:tcBorders>
              <w:right w:val="nil"/>
            </w:tcBorders>
          </w:tcPr>
          <w:p w:rsidR="005D56A5" w:rsidRPr="00C725E4"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i/>
                <w:noProof/>
                <w:sz w:val="18"/>
                <w:szCs w:val="18"/>
                <w:highlight w:val="black"/>
              </w:rPr>
            </w:pPr>
            <w:r>
              <w:rPr>
                <w:rFonts w:ascii="Arial Narrow" w:hAnsi="Arial Narrow"/>
                <w:i/>
                <w:noProof/>
                <w:color w:val="000000"/>
                <w:sz w:val="18"/>
                <w:szCs w:val="18"/>
                <w:highlight w:val="black"/>
              </w:rPr>
              <w:t>''' ''''''' ''''''</w:t>
            </w:r>
          </w:p>
        </w:tc>
      </w:tr>
      <w:tr w:rsidR="005D56A5" w:rsidRPr="00C725E4" w:rsidTr="007800FE">
        <w:trPr>
          <w:trHeight w:val="170"/>
        </w:trPr>
        <w:tc>
          <w:tcPr>
            <w:tcW w:w="703" w:type="dxa"/>
            <w:vAlign w:val="center"/>
          </w:tcPr>
          <w:p w:rsidR="005D56A5" w:rsidRPr="00F230F9" w:rsidRDefault="005D56A5" w:rsidP="007800FE">
            <w:pPr>
              <w:jc w:val="right"/>
              <w:rPr>
                <w:rFonts w:ascii="Arial Narrow" w:hAnsi="Arial Narrow"/>
                <w:bCs/>
                <w:i/>
                <w:sz w:val="18"/>
                <w:szCs w:val="18"/>
              </w:rPr>
            </w:pPr>
            <w:r w:rsidRPr="00F230F9">
              <w:rPr>
                <w:rFonts w:ascii="Arial Narrow" w:hAnsi="Arial Narrow"/>
                <w:bCs/>
                <w:i/>
                <w:sz w:val="18"/>
                <w:szCs w:val="18"/>
              </w:rPr>
              <w:t xml:space="preserve">UST  (all) </w:t>
            </w:r>
          </w:p>
        </w:tc>
        <w:tc>
          <w:tcPr>
            <w:tcW w:w="1134" w:type="dxa"/>
            <w:vAlign w:val="center"/>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w:t>
            </w:r>
          </w:p>
        </w:tc>
        <w:tc>
          <w:tcPr>
            <w:tcW w:w="1134" w:type="dxa"/>
            <w:vAlign w:val="center"/>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1277" w:type="dxa"/>
            <w:vMerge/>
            <w:tcBorders>
              <w:right w:val="nil"/>
            </w:tcBorders>
          </w:tcPr>
          <w:p w:rsidR="005D56A5" w:rsidRPr="00F230F9" w:rsidRDefault="005D56A5" w:rsidP="007800FE">
            <w:pPr>
              <w:jc w:val="center"/>
              <w:rPr>
                <w:rFonts w:ascii="Arial Narrow" w:hAnsi="Arial Narrow"/>
                <w:i/>
                <w:noProof/>
                <w:sz w:val="18"/>
                <w:szCs w:val="18"/>
              </w:rPr>
            </w:pPr>
          </w:p>
        </w:tc>
        <w:tc>
          <w:tcPr>
            <w:tcW w:w="1419"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1418" w:type="dxa"/>
            <w:vMerge/>
            <w:tcBorders>
              <w:right w:val="nil"/>
            </w:tcBorders>
          </w:tcPr>
          <w:p w:rsidR="005D56A5" w:rsidRPr="00F230F9" w:rsidRDefault="005D56A5" w:rsidP="007800FE">
            <w:pPr>
              <w:jc w:val="center"/>
              <w:rPr>
                <w:rFonts w:ascii="Arial Narrow" w:hAnsi="Arial Narrow"/>
                <w:i/>
                <w:noProof/>
                <w:sz w:val="18"/>
                <w:szCs w:val="18"/>
              </w:rPr>
            </w:pPr>
          </w:p>
        </w:tc>
        <w:tc>
          <w:tcPr>
            <w:tcW w:w="1275" w:type="dxa"/>
            <w:tcBorders>
              <w:top w:val="nil"/>
              <w:left w:val="nil"/>
              <w:bottom w:val="nil"/>
            </w:tcBorders>
          </w:tcPr>
          <w:p w:rsidR="005D56A5" w:rsidRPr="00F87F3F" w:rsidRDefault="00F87F3F" w:rsidP="007800FE">
            <w:pPr>
              <w:jc w:val="center"/>
              <w:rPr>
                <w:rFonts w:ascii="Arial Narrow" w:hAnsi="Arial Narrow"/>
                <w:b/>
                <w:bCs/>
                <w:i/>
                <w:noProof/>
                <w:sz w:val="18"/>
                <w:szCs w:val="18"/>
                <w:highlight w:val="black"/>
              </w:rPr>
            </w:pPr>
            <w:r>
              <w:rPr>
                <w:rFonts w:ascii="Arial Narrow" w:hAnsi="Arial Narrow"/>
                <w:b/>
                <w:bCs/>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i/>
                <w:noProof/>
                <w:sz w:val="18"/>
                <w:szCs w:val="18"/>
                <w:highlight w:val="black"/>
              </w:rPr>
            </w:pPr>
            <w:r>
              <w:rPr>
                <w:rFonts w:ascii="Arial Narrow" w:hAnsi="Arial Narrow"/>
                <w:i/>
                <w:noProof/>
                <w:color w:val="000000"/>
                <w:sz w:val="18"/>
                <w:szCs w:val="18"/>
                <w:highlight w:val="black"/>
              </w:rPr>
              <w:t>'''' '''''' ''''''</w:t>
            </w:r>
          </w:p>
        </w:tc>
      </w:tr>
      <w:tr w:rsidR="005D56A5" w:rsidRPr="00C725E4" w:rsidTr="007800FE">
        <w:trPr>
          <w:trHeight w:val="104"/>
        </w:trPr>
        <w:tc>
          <w:tcPr>
            <w:tcW w:w="2971" w:type="dxa"/>
            <w:gridSpan w:val="3"/>
            <w:tcBorders>
              <w:top w:val="nil"/>
            </w:tcBorders>
            <w:shd w:val="clear" w:color="auto" w:fill="auto"/>
          </w:tcPr>
          <w:p w:rsidR="005D56A5" w:rsidRPr="00C725E4" w:rsidRDefault="005D56A5" w:rsidP="007800FE">
            <w:pPr>
              <w:jc w:val="left"/>
              <w:rPr>
                <w:rFonts w:ascii="Arial Narrow" w:hAnsi="Arial Narrow"/>
                <w:b/>
                <w:i/>
                <w:iCs/>
                <w:sz w:val="18"/>
                <w:szCs w:val="18"/>
              </w:rPr>
            </w:pPr>
            <w:r w:rsidRPr="00C725E4">
              <w:rPr>
                <w:rFonts w:ascii="Arial Narrow" w:hAnsi="Arial Narrow"/>
                <w:b/>
                <w:i/>
                <w:iCs/>
                <w:sz w:val="18"/>
                <w:szCs w:val="18"/>
              </w:rPr>
              <w:t>Indirect : GUS vs UST</w:t>
            </w:r>
          </w:p>
        </w:tc>
        <w:tc>
          <w:tcPr>
            <w:tcW w:w="1277" w:type="dxa"/>
            <w:vMerge/>
            <w:tcBorders>
              <w:right w:val="nil"/>
            </w:tcBorders>
            <w:shd w:val="clear" w:color="auto" w:fill="auto"/>
          </w:tcPr>
          <w:p w:rsidR="005D56A5" w:rsidRPr="00C725E4" w:rsidRDefault="005D56A5" w:rsidP="007800FE">
            <w:pPr>
              <w:jc w:val="left"/>
              <w:rPr>
                <w:rFonts w:ascii="Arial Narrow" w:hAnsi="Arial Narrow"/>
                <w:i/>
                <w:iCs/>
                <w:sz w:val="18"/>
                <w:szCs w:val="18"/>
              </w:rPr>
            </w:pPr>
          </w:p>
        </w:tc>
        <w:tc>
          <w:tcPr>
            <w:tcW w:w="1419" w:type="dxa"/>
            <w:tcBorders>
              <w:top w:val="nil"/>
              <w:left w:val="nil"/>
              <w:bottom w:val="nil"/>
            </w:tcBorders>
            <w:shd w:val="clear" w:color="auto" w:fill="auto"/>
          </w:tcPr>
          <w:p w:rsidR="005D56A5" w:rsidRPr="00C725E4" w:rsidRDefault="005D56A5" w:rsidP="007800FE">
            <w:pPr>
              <w:jc w:val="left"/>
              <w:rPr>
                <w:rFonts w:ascii="Arial Narrow" w:hAnsi="Arial Narrow"/>
                <w:i/>
                <w:iCs/>
                <w:sz w:val="18"/>
                <w:szCs w:val="18"/>
              </w:rPr>
            </w:pPr>
          </w:p>
        </w:tc>
        <w:tc>
          <w:tcPr>
            <w:tcW w:w="1418" w:type="dxa"/>
            <w:vMerge/>
            <w:tcBorders>
              <w:right w:val="nil"/>
            </w:tcBorders>
          </w:tcPr>
          <w:p w:rsidR="005D56A5" w:rsidRPr="00C725E4" w:rsidRDefault="005D56A5" w:rsidP="007800FE">
            <w:pPr>
              <w:rPr>
                <w:rFonts w:ascii="Arial Narrow" w:hAnsi="Arial Narrow"/>
                <w:i/>
                <w:iCs/>
                <w:sz w:val="18"/>
                <w:szCs w:val="18"/>
              </w:rPr>
            </w:pPr>
          </w:p>
        </w:tc>
        <w:tc>
          <w:tcPr>
            <w:tcW w:w="1275" w:type="dxa"/>
            <w:tcBorders>
              <w:top w:val="nil"/>
              <w:left w:val="nil"/>
              <w:bottom w:val="nil"/>
            </w:tcBorders>
            <w:shd w:val="clear" w:color="auto" w:fill="auto"/>
            <w:vAlign w:val="center"/>
          </w:tcPr>
          <w:p w:rsidR="005D56A5" w:rsidRPr="00C725E4" w:rsidRDefault="005D56A5" w:rsidP="007800FE">
            <w:pPr>
              <w:jc w:val="center"/>
              <w:rPr>
                <w:rFonts w:ascii="Arial Narrow" w:hAnsi="Arial Narrow"/>
                <w:i/>
                <w:iCs/>
                <w:sz w:val="18"/>
                <w:szCs w:val="18"/>
              </w:rPr>
            </w:pPr>
          </w:p>
        </w:tc>
        <w:tc>
          <w:tcPr>
            <w:tcW w:w="708" w:type="dxa"/>
            <w:tcBorders>
              <w:top w:val="nil"/>
              <w:bottom w:val="nil"/>
            </w:tcBorders>
            <w:vAlign w:val="center"/>
          </w:tcPr>
          <w:p w:rsidR="005D56A5" w:rsidRPr="00C725E4" w:rsidRDefault="005D56A5" w:rsidP="007800FE">
            <w:pPr>
              <w:jc w:val="center"/>
              <w:rPr>
                <w:rFonts w:ascii="Arial Narrow" w:hAnsi="Arial Narrow"/>
                <w:i/>
                <w:iCs/>
                <w:sz w:val="18"/>
                <w:szCs w:val="18"/>
              </w:rPr>
            </w:pPr>
          </w:p>
        </w:tc>
      </w:tr>
      <w:tr w:rsidR="005D56A5" w:rsidRPr="00C725E4" w:rsidTr="007800FE">
        <w:trPr>
          <w:trHeight w:val="170"/>
        </w:trPr>
        <w:tc>
          <w:tcPr>
            <w:tcW w:w="2971" w:type="dxa"/>
            <w:gridSpan w:val="3"/>
            <w:shd w:val="clear" w:color="auto" w:fill="auto"/>
          </w:tcPr>
          <w:p w:rsidR="005D56A5" w:rsidRPr="00C725E4" w:rsidRDefault="005D56A5" w:rsidP="007800FE">
            <w:pPr>
              <w:jc w:val="right"/>
              <w:rPr>
                <w:rFonts w:ascii="Arial Narrow" w:hAnsi="Arial Narrow"/>
                <w:i/>
                <w:iCs/>
                <w:sz w:val="18"/>
                <w:szCs w:val="18"/>
              </w:rPr>
            </w:pPr>
            <w:r w:rsidRPr="00C725E4">
              <w:rPr>
                <w:rFonts w:ascii="Arial Narrow" w:hAnsi="Arial Narrow"/>
                <w:i/>
                <w:iCs/>
                <w:sz w:val="18"/>
                <w:szCs w:val="18"/>
              </w:rPr>
              <w:t xml:space="preserve">GUS versus UST 45mg </w:t>
            </w: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bottom w:val="nil"/>
            </w:tcBorders>
            <w:shd w:val="clear" w:color="auto" w:fill="auto"/>
          </w:tcPr>
          <w:p w:rsidR="005D56A5" w:rsidRPr="00F87F3F" w:rsidRDefault="00F87F3F" w:rsidP="007800FE">
            <w:pPr>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1418" w:type="dxa"/>
            <w:vMerge/>
            <w:tcBorders>
              <w:right w:val="nil"/>
            </w:tcBorders>
          </w:tcPr>
          <w:p w:rsidR="005D56A5" w:rsidRPr="00C725E4" w:rsidRDefault="005D56A5" w:rsidP="007800FE">
            <w:pPr>
              <w:jc w:val="center"/>
              <w:rPr>
                <w:rFonts w:ascii="Arial Narrow" w:hAnsi="Arial Narrow" w:cstheme="minorHAnsi"/>
                <w:bCs/>
                <w:i/>
                <w:sz w:val="18"/>
                <w:szCs w:val="18"/>
              </w:rPr>
            </w:pPr>
          </w:p>
        </w:tc>
        <w:tc>
          <w:tcPr>
            <w:tcW w:w="1275" w:type="dxa"/>
            <w:tcBorders>
              <w:top w:val="nil"/>
              <w:left w:val="nil"/>
              <w:bottom w:val="nil"/>
            </w:tcBorders>
            <w:shd w:val="clear" w:color="auto" w:fill="auto"/>
            <w:vAlign w:val="center"/>
          </w:tcPr>
          <w:p w:rsidR="005D56A5" w:rsidRPr="00F87F3F" w:rsidRDefault="00F87F3F" w:rsidP="007800FE">
            <w:pPr>
              <w:jc w:val="center"/>
              <w:rPr>
                <w:rFonts w:ascii="Arial Narrow" w:hAnsi="Arial Narrow" w:cstheme="minorHAnsi"/>
                <w:b/>
                <w:i/>
                <w:sz w:val="18"/>
                <w:szCs w:val="18"/>
                <w:highlight w:val="black"/>
              </w:rPr>
            </w:pPr>
            <w:r>
              <w:rPr>
                <w:rFonts w:ascii="Arial Narrow" w:hAnsi="Arial Narrow" w:cstheme="minorHAnsi"/>
                <w:b/>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cstheme="minorHAnsi"/>
                <w:bCs/>
                <w:i/>
                <w:sz w:val="18"/>
                <w:szCs w:val="18"/>
                <w:highlight w:val="black"/>
              </w:rPr>
            </w:pPr>
            <w:r>
              <w:rPr>
                <w:rFonts w:ascii="Arial Narrow" w:hAnsi="Arial Narrow" w:cstheme="minorHAnsi"/>
                <w:bCs/>
                <w:i/>
                <w:noProof/>
                <w:color w:val="000000"/>
                <w:sz w:val="18"/>
                <w:szCs w:val="18"/>
                <w:highlight w:val="black"/>
              </w:rPr>
              <w:t>'''' '''''' '''''</w:t>
            </w:r>
          </w:p>
        </w:tc>
      </w:tr>
      <w:tr w:rsidR="005D56A5" w:rsidRPr="00C725E4" w:rsidTr="007800FE">
        <w:trPr>
          <w:trHeight w:val="170"/>
        </w:trPr>
        <w:tc>
          <w:tcPr>
            <w:tcW w:w="2971" w:type="dxa"/>
            <w:gridSpan w:val="3"/>
            <w:shd w:val="clear" w:color="auto" w:fill="auto"/>
          </w:tcPr>
          <w:p w:rsidR="005D56A5" w:rsidRPr="00C725E4" w:rsidRDefault="005D56A5" w:rsidP="007800FE">
            <w:pPr>
              <w:jc w:val="right"/>
              <w:rPr>
                <w:rFonts w:ascii="Arial Narrow" w:hAnsi="Arial Narrow"/>
                <w:i/>
                <w:iCs/>
                <w:sz w:val="18"/>
                <w:szCs w:val="18"/>
              </w:rPr>
            </w:pPr>
            <w:r w:rsidRPr="00C725E4">
              <w:rPr>
                <w:rFonts w:ascii="Arial Narrow" w:hAnsi="Arial Narrow"/>
                <w:i/>
                <w:iCs/>
                <w:sz w:val="18"/>
                <w:szCs w:val="18"/>
              </w:rPr>
              <w:t xml:space="preserve">GUS versus UST 90mg  </w:t>
            </w:r>
          </w:p>
        </w:tc>
        <w:tc>
          <w:tcPr>
            <w:tcW w:w="1277" w:type="dxa"/>
            <w:vMerge/>
            <w:tcBorders>
              <w:right w:val="nil"/>
            </w:tcBorders>
          </w:tcPr>
          <w:p w:rsidR="005D56A5" w:rsidRPr="00C725E4" w:rsidRDefault="005D56A5" w:rsidP="007800FE">
            <w:pPr>
              <w:jc w:val="center"/>
              <w:rPr>
                <w:rFonts w:ascii="Arial Narrow" w:hAnsi="Arial Narrow"/>
                <w:i/>
                <w:iCs/>
                <w:sz w:val="18"/>
                <w:szCs w:val="18"/>
              </w:rPr>
            </w:pPr>
          </w:p>
        </w:tc>
        <w:tc>
          <w:tcPr>
            <w:tcW w:w="1419" w:type="dxa"/>
            <w:tcBorders>
              <w:top w:val="nil"/>
              <w:left w:val="nil"/>
              <w:bottom w:val="nil"/>
            </w:tcBorders>
            <w:shd w:val="clear" w:color="auto" w:fill="auto"/>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 ''''''''''</w:t>
            </w:r>
          </w:p>
        </w:tc>
        <w:tc>
          <w:tcPr>
            <w:tcW w:w="1418" w:type="dxa"/>
            <w:vMerge/>
            <w:tcBorders>
              <w:right w:val="nil"/>
            </w:tcBorders>
          </w:tcPr>
          <w:p w:rsidR="005D56A5" w:rsidRPr="00C725E4" w:rsidRDefault="005D56A5" w:rsidP="007800FE">
            <w:pPr>
              <w:jc w:val="center"/>
              <w:rPr>
                <w:rFonts w:ascii="Arial Narrow" w:hAnsi="Arial Narrow" w:cstheme="minorHAnsi"/>
                <w:bCs/>
                <w:i/>
                <w:sz w:val="18"/>
                <w:szCs w:val="18"/>
              </w:rPr>
            </w:pPr>
          </w:p>
        </w:tc>
        <w:tc>
          <w:tcPr>
            <w:tcW w:w="1275" w:type="dxa"/>
            <w:tcBorders>
              <w:top w:val="nil"/>
              <w:left w:val="nil"/>
              <w:bottom w:val="nil"/>
            </w:tcBorders>
            <w:shd w:val="clear" w:color="auto" w:fill="auto"/>
            <w:vAlign w:val="center"/>
          </w:tcPr>
          <w:p w:rsidR="005D56A5" w:rsidRPr="00F87F3F" w:rsidRDefault="00F87F3F" w:rsidP="007800FE">
            <w:pPr>
              <w:jc w:val="center"/>
              <w:rPr>
                <w:rFonts w:ascii="Arial Narrow" w:hAnsi="Arial Narrow" w:cstheme="minorHAnsi"/>
                <w:b/>
                <w:i/>
                <w:sz w:val="18"/>
                <w:szCs w:val="18"/>
                <w:highlight w:val="black"/>
              </w:rPr>
            </w:pPr>
            <w:r>
              <w:rPr>
                <w:rFonts w:ascii="Arial Narrow" w:hAnsi="Arial Narrow" w:cstheme="minorHAnsi"/>
                <w:b/>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cstheme="minorHAnsi"/>
                <w:bCs/>
                <w:i/>
                <w:sz w:val="18"/>
                <w:szCs w:val="18"/>
                <w:highlight w:val="black"/>
              </w:rPr>
            </w:pPr>
            <w:r>
              <w:rPr>
                <w:rFonts w:ascii="Arial Narrow" w:hAnsi="Arial Narrow" w:cstheme="minorHAnsi"/>
                <w:bCs/>
                <w:i/>
                <w:noProof/>
                <w:color w:val="000000"/>
                <w:sz w:val="18"/>
                <w:szCs w:val="18"/>
                <w:highlight w:val="black"/>
              </w:rPr>
              <w:t>'''' ''''''' '''''</w:t>
            </w:r>
          </w:p>
        </w:tc>
      </w:tr>
      <w:tr w:rsidR="005D56A5" w:rsidRPr="00C725E4" w:rsidTr="007800FE">
        <w:trPr>
          <w:trHeight w:val="170"/>
        </w:trPr>
        <w:tc>
          <w:tcPr>
            <w:tcW w:w="2971" w:type="dxa"/>
            <w:gridSpan w:val="3"/>
            <w:shd w:val="clear" w:color="auto" w:fill="auto"/>
          </w:tcPr>
          <w:p w:rsidR="005D56A5" w:rsidRPr="00F230F9" w:rsidRDefault="005D56A5" w:rsidP="007800FE">
            <w:pPr>
              <w:jc w:val="right"/>
              <w:rPr>
                <w:rFonts w:ascii="Arial Narrow" w:hAnsi="Arial Narrow"/>
                <w:i/>
                <w:iCs/>
                <w:sz w:val="18"/>
                <w:szCs w:val="18"/>
              </w:rPr>
            </w:pPr>
            <w:r w:rsidRPr="00F230F9">
              <w:rPr>
                <w:rFonts w:ascii="Arial Narrow" w:hAnsi="Arial Narrow"/>
                <w:i/>
                <w:iCs/>
                <w:sz w:val="18"/>
                <w:szCs w:val="18"/>
              </w:rPr>
              <w:t>GUS versus UST (all doses pooled)</w:t>
            </w:r>
          </w:p>
        </w:tc>
        <w:tc>
          <w:tcPr>
            <w:tcW w:w="1277" w:type="dxa"/>
            <w:vMerge/>
            <w:tcBorders>
              <w:right w:val="nil"/>
            </w:tcBorders>
          </w:tcPr>
          <w:p w:rsidR="005D56A5" w:rsidRPr="00F230F9" w:rsidRDefault="005D56A5" w:rsidP="007800FE">
            <w:pPr>
              <w:jc w:val="center"/>
              <w:rPr>
                <w:rFonts w:ascii="Arial Narrow" w:hAnsi="Arial Narrow"/>
                <w:i/>
                <w:iCs/>
                <w:sz w:val="18"/>
                <w:szCs w:val="18"/>
              </w:rPr>
            </w:pPr>
          </w:p>
        </w:tc>
        <w:tc>
          <w:tcPr>
            <w:tcW w:w="1419" w:type="dxa"/>
            <w:tcBorders>
              <w:top w:val="nil"/>
              <w:left w:val="nil"/>
              <w:bottom w:val="nil"/>
            </w:tcBorders>
            <w:shd w:val="clear" w:color="auto" w:fill="auto"/>
          </w:tcPr>
          <w:p w:rsidR="005D56A5" w:rsidRPr="00F87F3F" w:rsidRDefault="00F87F3F" w:rsidP="007800FE">
            <w:pPr>
              <w:jc w:val="center"/>
              <w:rPr>
                <w:rFonts w:ascii="Arial Narrow" w:hAnsi="Arial Narrow"/>
                <w:i/>
                <w:iCs/>
                <w:sz w:val="18"/>
                <w:szCs w:val="18"/>
                <w:highlight w:val="black"/>
              </w:rPr>
            </w:pPr>
            <w:r>
              <w:rPr>
                <w:rFonts w:ascii="Arial Narrow" w:hAnsi="Arial Narrow"/>
                <w:i/>
                <w:iCs/>
                <w:noProof/>
                <w:color w:val="000000"/>
                <w:sz w:val="18"/>
                <w:szCs w:val="18"/>
                <w:highlight w:val="black"/>
              </w:rPr>
              <w:t>''''''' '''''''''''' '''''''''</w:t>
            </w:r>
          </w:p>
        </w:tc>
        <w:tc>
          <w:tcPr>
            <w:tcW w:w="1418" w:type="dxa"/>
            <w:vMerge/>
            <w:tcBorders>
              <w:right w:val="nil"/>
            </w:tcBorders>
          </w:tcPr>
          <w:p w:rsidR="005D56A5" w:rsidRPr="00F230F9" w:rsidRDefault="005D56A5" w:rsidP="007800FE">
            <w:pPr>
              <w:jc w:val="center"/>
              <w:rPr>
                <w:rFonts w:ascii="Arial Narrow" w:hAnsi="Arial Narrow" w:cstheme="minorHAnsi"/>
                <w:bCs/>
                <w:i/>
                <w:sz w:val="18"/>
                <w:szCs w:val="18"/>
              </w:rPr>
            </w:pPr>
          </w:p>
        </w:tc>
        <w:tc>
          <w:tcPr>
            <w:tcW w:w="1275" w:type="dxa"/>
            <w:tcBorders>
              <w:top w:val="nil"/>
              <w:left w:val="nil"/>
              <w:bottom w:val="nil"/>
            </w:tcBorders>
            <w:shd w:val="clear" w:color="auto" w:fill="auto"/>
            <w:vAlign w:val="center"/>
          </w:tcPr>
          <w:p w:rsidR="005D56A5" w:rsidRPr="00F87F3F" w:rsidRDefault="00F87F3F" w:rsidP="007800FE">
            <w:pPr>
              <w:jc w:val="center"/>
              <w:rPr>
                <w:rFonts w:ascii="Arial Narrow" w:hAnsi="Arial Narrow" w:cstheme="minorHAnsi"/>
                <w:b/>
                <w:i/>
                <w:sz w:val="18"/>
                <w:szCs w:val="18"/>
                <w:highlight w:val="black"/>
              </w:rPr>
            </w:pPr>
            <w:r>
              <w:rPr>
                <w:rFonts w:ascii="Arial Narrow" w:hAnsi="Arial Narrow" w:cstheme="minorHAnsi"/>
                <w:b/>
                <w:i/>
                <w:noProof/>
                <w:color w:val="000000"/>
                <w:sz w:val="18"/>
                <w:szCs w:val="18"/>
                <w:highlight w:val="black"/>
              </w:rPr>
              <w:t>'''''''' '''''''''' ''''''''''</w:t>
            </w:r>
          </w:p>
        </w:tc>
        <w:tc>
          <w:tcPr>
            <w:tcW w:w="708" w:type="dxa"/>
            <w:tcBorders>
              <w:top w:val="nil"/>
              <w:bottom w:val="nil"/>
            </w:tcBorders>
            <w:vAlign w:val="center"/>
          </w:tcPr>
          <w:p w:rsidR="005D56A5" w:rsidRPr="00F87F3F" w:rsidRDefault="00F87F3F" w:rsidP="007800FE">
            <w:pPr>
              <w:jc w:val="center"/>
              <w:rPr>
                <w:rFonts w:ascii="Arial Narrow" w:hAnsi="Arial Narrow" w:cstheme="minorHAnsi"/>
                <w:bCs/>
                <w:i/>
                <w:sz w:val="18"/>
                <w:szCs w:val="18"/>
                <w:highlight w:val="black"/>
              </w:rPr>
            </w:pPr>
            <w:r>
              <w:rPr>
                <w:rFonts w:ascii="Arial Narrow" w:hAnsi="Arial Narrow" w:cstheme="minorHAnsi"/>
                <w:bCs/>
                <w:i/>
                <w:noProof/>
                <w:color w:val="000000"/>
                <w:sz w:val="18"/>
                <w:szCs w:val="18"/>
                <w:highlight w:val="black"/>
              </w:rPr>
              <w:t>''' ''''''' '''''</w:t>
            </w:r>
          </w:p>
        </w:tc>
      </w:tr>
      <w:tr w:rsidR="005D56A5" w:rsidRPr="00364658" w:rsidTr="007800FE">
        <w:trPr>
          <w:trHeight w:val="170"/>
        </w:trPr>
        <w:tc>
          <w:tcPr>
            <w:tcW w:w="2971" w:type="dxa"/>
            <w:gridSpan w:val="3"/>
            <w:shd w:val="clear" w:color="auto" w:fill="auto"/>
          </w:tcPr>
          <w:p w:rsidR="005D56A5" w:rsidRPr="00514200" w:rsidRDefault="005D56A5" w:rsidP="007800FE">
            <w:pPr>
              <w:jc w:val="left"/>
              <w:rPr>
                <w:rFonts w:ascii="Arial Narrow" w:hAnsi="Arial Narrow"/>
                <w:b/>
                <w:bCs/>
                <w:i/>
                <w:iCs/>
                <w:sz w:val="18"/>
                <w:szCs w:val="18"/>
                <w:lang w:val="es-MX"/>
              </w:rPr>
            </w:pPr>
            <w:proofErr w:type="spellStart"/>
            <w:r w:rsidRPr="00514200">
              <w:rPr>
                <w:rFonts w:ascii="Arial Narrow" w:hAnsi="Arial Narrow"/>
                <w:b/>
                <w:bCs/>
                <w:i/>
                <w:iCs/>
                <w:sz w:val="18"/>
                <w:szCs w:val="18"/>
                <w:lang w:val="es-MX"/>
              </w:rPr>
              <w:t>Direct</w:t>
            </w:r>
            <w:proofErr w:type="spellEnd"/>
            <w:r w:rsidRPr="00514200">
              <w:rPr>
                <w:rFonts w:ascii="Arial Narrow" w:hAnsi="Arial Narrow"/>
                <w:b/>
                <w:bCs/>
                <w:i/>
                <w:iCs/>
                <w:sz w:val="18"/>
                <w:szCs w:val="18"/>
                <w:lang w:val="es-MX"/>
              </w:rPr>
              <w:t>: GUS vs ADA Wk16</w:t>
            </w:r>
          </w:p>
        </w:tc>
        <w:tc>
          <w:tcPr>
            <w:tcW w:w="1277" w:type="dxa"/>
            <w:vMerge/>
            <w:tcBorders>
              <w:right w:val="nil"/>
            </w:tcBorders>
            <w:shd w:val="clear" w:color="auto" w:fill="auto"/>
          </w:tcPr>
          <w:p w:rsidR="005D56A5" w:rsidRPr="00514200" w:rsidRDefault="005D56A5" w:rsidP="007800FE">
            <w:pPr>
              <w:jc w:val="left"/>
              <w:rPr>
                <w:rFonts w:ascii="Arial Narrow" w:hAnsi="Arial Narrow"/>
                <w:i/>
                <w:iCs/>
                <w:sz w:val="18"/>
                <w:szCs w:val="18"/>
                <w:lang w:val="es-MX"/>
              </w:rPr>
            </w:pPr>
          </w:p>
        </w:tc>
        <w:tc>
          <w:tcPr>
            <w:tcW w:w="1419" w:type="dxa"/>
            <w:tcBorders>
              <w:top w:val="nil"/>
              <w:left w:val="nil"/>
              <w:bottom w:val="nil"/>
            </w:tcBorders>
            <w:shd w:val="clear" w:color="auto" w:fill="auto"/>
          </w:tcPr>
          <w:p w:rsidR="005D56A5" w:rsidRPr="00514200" w:rsidRDefault="005D56A5" w:rsidP="007800FE">
            <w:pPr>
              <w:jc w:val="left"/>
              <w:rPr>
                <w:rFonts w:ascii="Arial Narrow" w:hAnsi="Arial Narrow"/>
                <w:i/>
                <w:iCs/>
                <w:sz w:val="18"/>
                <w:szCs w:val="18"/>
                <w:lang w:val="es-MX"/>
              </w:rPr>
            </w:pPr>
          </w:p>
        </w:tc>
        <w:tc>
          <w:tcPr>
            <w:tcW w:w="1418" w:type="dxa"/>
            <w:vMerge/>
            <w:tcBorders>
              <w:right w:val="nil"/>
            </w:tcBorders>
          </w:tcPr>
          <w:p w:rsidR="005D56A5" w:rsidRPr="00514200" w:rsidRDefault="005D56A5" w:rsidP="007800FE">
            <w:pPr>
              <w:rPr>
                <w:rFonts w:ascii="Arial Narrow" w:hAnsi="Arial Narrow"/>
                <w:i/>
                <w:iCs/>
                <w:sz w:val="18"/>
                <w:szCs w:val="18"/>
                <w:lang w:val="es-MX"/>
              </w:rPr>
            </w:pPr>
          </w:p>
        </w:tc>
        <w:tc>
          <w:tcPr>
            <w:tcW w:w="1275" w:type="dxa"/>
            <w:tcBorders>
              <w:top w:val="nil"/>
              <w:left w:val="nil"/>
              <w:bottom w:val="nil"/>
            </w:tcBorders>
            <w:shd w:val="clear" w:color="auto" w:fill="auto"/>
            <w:vAlign w:val="center"/>
          </w:tcPr>
          <w:p w:rsidR="005D56A5" w:rsidRPr="00514200" w:rsidRDefault="005D56A5" w:rsidP="007800FE">
            <w:pPr>
              <w:jc w:val="center"/>
              <w:rPr>
                <w:rFonts w:ascii="Arial Narrow" w:hAnsi="Arial Narrow"/>
                <w:i/>
                <w:iCs/>
                <w:sz w:val="18"/>
                <w:szCs w:val="18"/>
                <w:lang w:val="es-MX"/>
              </w:rPr>
            </w:pPr>
          </w:p>
        </w:tc>
        <w:tc>
          <w:tcPr>
            <w:tcW w:w="708" w:type="dxa"/>
            <w:tcBorders>
              <w:top w:val="nil"/>
              <w:bottom w:val="nil"/>
            </w:tcBorders>
            <w:vAlign w:val="center"/>
          </w:tcPr>
          <w:p w:rsidR="005D56A5" w:rsidRPr="00514200" w:rsidRDefault="005D56A5" w:rsidP="007800FE">
            <w:pPr>
              <w:jc w:val="center"/>
              <w:rPr>
                <w:rFonts w:ascii="Arial Narrow" w:hAnsi="Arial Narrow"/>
                <w:i/>
                <w:iCs/>
                <w:sz w:val="18"/>
                <w:szCs w:val="18"/>
                <w:lang w:val="es-MX"/>
              </w:rPr>
            </w:pPr>
          </w:p>
        </w:tc>
      </w:tr>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i/>
                <w:iCs/>
                <w:sz w:val="18"/>
                <w:szCs w:val="18"/>
              </w:rPr>
            </w:pPr>
            <w:r w:rsidRPr="00C725E4">
              <w:rPr>
                <w:rFonts w:ascii="Arial Narrow" w:hAnsi="Arial Narrow"/>
                <w:i/>
                <w:iCs/>
                <w:sz w:val="18"/>
                <w:szCs w:val="18"/>
              </w:rPr>
              <w:t>GUS1</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241/329 (73.3)</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166/334 (49.7)</w:t>
            </w: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2.8 (2.0, 3.8)</w:t>
            </w:r>
          </w:p>
        </w:tc>
        <w:tc>
          <w:tcPr>
            <w:tcW w:w="1418" w:type="dxa"/>
            <w:vMerge/>
            <w:tcBorders>
              <w:right w:val="nil"/>
            </w:tcBorders>
          </w:tcPr>
          <w:p w:rsidR="005D56A5" w:rsidRPr="00C725E4" w:rsidRDefault="005D56A5" w:rsidP="007800FE">
            <w:pPr>
              <w:jc w:val="center"/>
              <w:rPr>
                <w:rFonts w:ascii="Arial Narrow" w:hAnsi="Arial Narrow"/>
                <w:i/>
                <w:sz w:val="18"/>
                <w:szCs w:val="18"/>
              </w:rPr>
            </w:pPr>
          </w:p>
        </w:tc>
        <w:tc>
          <w:tcPr>
            <w:tcW w:w="1275"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0.24 (0.16, 0.31)</w:t>
            </w:r>
          </w:p>
        </w:tc>
        <w:tc>
          <w:tcPr>
            <w:tcW w:w="708" w:type="dxa"/>
            <w:tcBorders>
              <w:top w:val="nil"/>
              <w:bottom w:val="nil"/>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4 (3, 6)</w:t>
            </w:r>
          </w:p>
        </w:tc>
      </w:tr>
      <w:tr w:rsidR="005D56A5" w:rsidRPr="00C725E4" w:rsidTr="007800FE">
        <w:trPr>
          <w:trHeight w:val="170"/>
        </w:trPr>
        <w:tc>
          <w:tcPr>
            <w:tcW w:w="703" w:type="dxa"/>
            <w:vAlign w:val="center"/>
          </w:tcPr>
          <w:p w:rsidR="005D56A5" w:rsidRPr="00C725E4" w:rsidRDefault="005D56A5" w:rsidP="007800FE">
            <w:pPr>
              <w:jc w:val="left"/>
              <w:rPr>
                <w:rFonts w:ascii="Arial Narrow" w:hAnsi="Arial Narrow"/>
                <w:i/>
                <w:iCs/>
                <w:sz w:val="18"/>
                <w:szCs w:val="18"/>
              </w:rPr>
            </w:pPr>
            <w:r w:rsidRPr="00C725E4">
              <w:rPr>
                <w:rFonts w:ascii="Arial Narrow" w:hAnsi="Arial Narrow"/>
                <w:i/>
                <w:iCs/>
                <w:sz w:val="18"/>
                <w:szCs w:val="18"/>
              </w:rPr>
              <w:t>GUS2</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347/496 (70.0)</w:t>
            </w:r>
          </w:p>
        </w:tc>
        <w:tc>
          <w:tcPr>
            <w:tcW w:w="1134" w:type="dxa"/>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116/248 (46.8)</w:t>
            </w: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2.7 (1.9, 3.6)</w:t>
            </w:r>
          </w:p>
        </w:tc>
        <w:tc>
          <w:tcPr>
            <w:tcW w:w="1418" w:type="dxa"/>
            <w:vMerge/>
            <w:tcBorders>
              <w:right w:val="nil"/>
            </w:tcBorders>
          </w:tcPr>
          <w:p w:rsidR="005D56A5" w:rsidRPr="00C725E4" w:rsidRDefault="005D56A5" w:rsidP="007800FE">
            <w:pPr>
              <w:jc w:val="center"/>
              <w:rPr>
                <w:rFonts w:ascii="Arial Narrow" w:hAnsi="Arial Narrow"/>
                <w:i/>
                <w:sz w:val="18"/>
                <w:szCs w:val="18"/>
              </w:rPr>
            </w:pPr>
          </w:p>
        </w:tc>
        <w:tc>
          <w:tcPr>
            <w:tcW w:w="1275"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0.23 (0.16, 0.31)</w:t>
            </w:r>
          </w:p>
        </w:tc>
        <w:tc>
          <w:tcPr>
            <w:tcW w:w="708" w:type="dxa"/>
            <w:tcBorders>
              <w:top w:val="nil"/>
              <w:bottom w:val="nil"/>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4 (3, 6)</w:t>
            </w:r>
          </w:p>
        </w:tc>
      </w:tr>
      <w:tr w:rsidR="005D56A5" w:rsidRPr="00C725E4" w:rsidTr="007800FE">
        <w:trPr>
          <w:trHeight w:val="170"/>
        </w:trPr>
        <w:tc>
          <w:tcPr>
            <w:tcW w:w="703" w:type="dxa"/>
            <w:tcBorders>
              <w:bottom w:val="single" w:sz="4" w:space="0" w:color="auto"/>
            </w:tcBorders>
            <w:vAlign w:val="center"/>
          </w:tcPr>
          <w:p w:rsidR="005D56A5" w:rsidRPr="00C725E4" w:rsidRDefault="005D56A5" w:rsidP="007800FE">
            <w:pPr>
              <w:jc w:val="right"/>
              <w:rPr>
                <w:rFonts w:ascii="Arial Narrow" w:hAnsi="Arial Narrow"/>
                <w:i/>
                <w:iCs/>
                <w:sz w:val="18"/>
                <w:szCs w:val="18"/>
              </w:rPr>
            </w:pPr>
            <w:r w:rsidRPr="00C725E4">
              <w:rPr>
                <w:rFonts w:ascii="Arial Narrow" w:hAnsi="Arial Narrow"/>
                <w:bCs/>
                <w:i/>
                <w:iCs/>
                <w:sz w:val="18"/>
                <w:szCs w:val="18"/>
              </w:rPr>
              <w:t>Pooled</w:t>
            </w:r>
          </w:p>
        </w:tc>
        <w:tc>
          <w:tcPr>
            <w:tcW w:w="1134" w:type="dxa"/>
            <w:tcBorders>
              <w:bottom w:val="single" w:sz="4" w:space="0" w:color="auto"/>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588/825 (71.3)</w:t>
            </w:r>
          </w:p>
        </w:tc>
        <w:tc>
          <w:tcPr>
            <w:tcW w:w="1134" w:type="dxa"/>
            <w:tcBorders>
              <w:bottom w:val="single" w:sz="4" w:space="0" w:color="auto"/>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282/582 (48.5)</w:t>
            </w: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2.7 (2.2, 3.4)</w:t>
            </w:r>
          </w:p>
        </w:tc>
        <w:tc>
          <w:tcPr>
            <w:tcW w:w="1418" w:type="dxa"/>
            <w:vMerge/>
            <w:tcBorders>
              <w:right w:val="nil"/>
            </w:tcBorders>
          </w:tcPr>
          <w:p w:rsidR="005D56A5" w:rsidRPr="00C725E4" w:rsidRDefault="005D56A5" w:rsidP="007800FE">
            <w:pPr>
              <w:jc w:val="center"/>
              <w:rPr>
                <w:rFonts w:ascii="Arial Narrow" w:hAnsi="Arial Narrow"/>
                <w:i/>
                <w:sz w:val="18"/>
                <w:szCs w:val="18"/>
              </w:rPr>
            </w:pPr>
          </w:p>
        </w:tc>
        <w:tc>
          <w:tcPr>
            <w:tcW w:w="1275"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0.23 (0.18, 0.29)</w:t>
            </w:r>
          </w:p>
        </w:tc>
        <w:tc>
          <w:tcPr>
            <w:tcW w:w="708" w:type="dxa"/>
            <w:tcBorders>
              <w:top w:val="nil"/>
              <w:bottom w:val="nil"/>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4 (3, 6)</w:t>
            </w:r>
          </w:p>
        </w:tc>
      </w:tr>
      <w:tr w:rsidR="005D56A5" w:rsidRPr="00C725E4" w:rsidTr="007800FE">
        <w:trPr>
          <w:trHeight w:val="170"/>
        </w:trPr>
        <w:tc>
          <w:tcPr>
            <w:tcW w:w="2971" w:type="dxa"/>
            <w:gridSpan w:val="3"/>
            <w:tcBorders>
              <w:bottom w:val="single" w:sz="4" w:space="0" w:color="auto"/>
            </w:tcBorders>
            <w:vAlign w:val="center"/>
          </w:tcPr>
          <w:p w:rsidR="005D56A5" w:rsidRPr="00C725E4" w:rsidRDefault="005D56A5" w:rsidP="007800FE">
            <w:pPr>
              <w:jc w:val="left"/>
              <w:rPr>
                <w:rFonts w:ascii="Arial Narrow" w:hAnsi="Arial Narrow"/>
                <w:b/>
                <w:i/>
                <w:sz w:val="18"/>
                <w:szCs w:val="18"/>
              </w:rPr>
            </w:pPr>
            <w:r w:rsidRPr="00C725E4">
              <w:rPr>
                <w:rFonts w:ascii="Arial Narrow" w:hAnsi="Arial Narrow"/>
                <w:b/>
                <w:i/>
                <w:sz w:val="18"/>
                <w:szCs w:val="18"/>
              </w:rPr>
              <w:t xml:space="preserve">Direct: GUS vs UST </w:t>
            </w:r>
            <w:proofErr w:type="spellStart"/>
            <w:r w:rsidRPr="00C725E4">
              <w:rPr>
                <w:rFonts w:ascii="Arial Narrow" w:hAnsi="Arial Narrow"/>
                <w:b/>
                <w:i/>
                <w:sz w:val="18"/>
                <w:szCs w:val="18"/>
              </w:rPr>
              <w:t>Wk</w:t>
            </w:r>
            <w:proofErr w:type="spellEnd"/>
            <w:r w:rsidRPr="00C725E4">
              <w:rPr>
                <w:rFonts w:ascii="Arial Narrow" w:hAnsi="Arial Narrow"/>
                <w:b/>
                <w:i/>
                <w:sz w:val="18"/>
                <w:szCs w:val="18"/>
              </w:rPr>
              <w:t xml:space="preserve"> 12 </w:t>
            </w:r>
            <w:r w:rsidRPr="00C725E4">
              <w:rPr>
                <w:rFonts w:ascii="Arial Narrow" w:hAnsi="Arial Narrow"/>
                <w:b/>
                <w:i/>
                <w:color w:val="FF0000"/>
                <w:sz w:val="18"/>
                <w:szCs w:val="18"/>
              </w:rPr>
              <w:t>(UST failures)</w:t>
            </w: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p>
        </w:tc>
        <w:tc>
          <w:tcPr>
            <w:tcW w:w="1418" w:type="dxa"/>
            <w:vMerge/>
            <w:tcBorders>
              <w:right w:val="nil"/>
            </w:tcBorders>
          </w:tcPr>
          <w:p w:rsidR="005D56A5" w:rsidRPr="00C725E4" w:rsidRDefault="005D56A5" w:rsidP="007800FE">
            <w:pPr>
              <w:jc w:val="center"/>
              <w:rPr>
                <w:rFonts w:ascii="Arial Narrow" w:hAnsi="Arial Narrow"/>
                <w:i/>
                <w:sz w:val="18"/>
                <w:szCs w:val="18"/>
              </w:rPr>
            </w:pPr>
          </w:p>
        </w:tc>
        <w:tc>
          <w:tcPr>
            <w:tcW w:w="1275"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p>
        </w:tc>
        <w:tc>
          <w:tcPr>
            <w:tcW w:w="708" w:type="dxa"/>
            <w:tcBorders>
              <w:top w:val="nil"/>
              <w:bottom w:val="nil"/>
            </w:tcBorders>
            <w:vAlign w:val="center"/>
          </w:tcPr>
          <w:p w:rsidR="005D56A5" w:rsidRPr="00C725E4" w:rsidRDefault="005D56A5" w:rsidP="007800FE">
            <w:pPr>
              <w:jc w:val="center"/>
              <w:rPr>
                <w:rFonts w:ascii="Arial Narrow" w:hAnsi="Arial Narrow"/>
                <w:i/>
                <w:sz w:val="18"/>
                <w:szCs w:val="18"/>
              </w:rPr>
            </w:pPr>
          </w:p>
        </w:tc>
      </w:tr>
      <w:tr w:rsidR="005D56A5" w:rsidRPr="00C725E4" w:rsidTr="007800FE">
        <w:trPr>
          <w:trHeight w:val="170"/>
        </w:trPr>
        <w:tc>
          <w:tcPr>
            <w:tcW w:w="703" w:type="dxa"/>
            <w:tcBorders>
              <w:bottom w:val="single" w:sz="4" w:space="0" w:color="auto"/>
            </w:tcBorders>
            <w:vAlign w:val="center"/>
          </w:tcPr>
          <w:p w:rsidR="005D56A5" w:rsidRPr="00C725E4" w:rsidRDefault="005D56A5" w:rsidP="007800FE">
            <w:pPr>
              <w:jc w:val="left"/>
              <w:rPr>
                <w:rFonts w:ascii="Arial Narrow" w:hAnsi="Arial Narrow"/>
                <w:bCs/>
                <w:i/>
                <w:iCs/>
                <w:sz w:val="18"/>
                <w:szCs w:val="18"/>
              </w:rPr>
            </w:pPr>
            <w:r w:rsidRPr="00C725E4">
              <w:rPr>
                <w:rFonts w:ascii="Arial Narrow" w:hAnsi="Arial Narrow"/>
                <w:bCs/>
                <w:i/>
                <w:iCs/>
                <w:sz w:val="18"/>
                <w:szCs w:val="18"/>
              </w:rPr>
              <w:t>GUS3</w:t>
            </w:r>
          </w:p>
        </w:tc>
        <w:tc>
          <w:tcPr>
            <w:tcW w:w="1134" w:type="dxa"/>
            <w:tcBorders>
              <w:bottom w:val="single" w:sz="4" w:space="0" w:color="auto"/>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65/135 (48.1)</w:t>
            </w:r>
          </w:p>
        </w:tc>
        <w:tc>
          <w:tcPr>
            <w:tcW w:w="1134" w:type="dxa"/>
            <w:tcBorders>
              <w:bottom w:val="single" w:sz="4" w:space="0" w:color="auto"/>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30/133 (22.6)</w:t>
            </w: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3.19 (1.88, 5.41)</w:t>
            </w:r>
          </w:p>
        </w:tc>
        <w:tc>
          <w:tcPr>
            <w:tcW w:w="1418" w:type="dxa"/>
            <w:vMerge/>
            <w:tcBorders>
              <w:right w:val="nil"/>
            </w:tcBorders>
          </w:tcPr>
          <w:p w:rsidR="005D56A5" w:rsidRPr="00C725E4" w:rsidRDefault="005D56A5" w:rsidP="007800FE">
            <w:pPr>
              <w:jc w:val="center"/>
              <w:rPr>
                <w:rFonts w:ascii="Arial Narrow" w:hAnsi="Arial Narrow"/>
                <w:i/>
                <w:sz w:val="18"/>
                <w:szCs w:val="18"/>
              </w:rPr>
            </w:pPr>
          </w:p>
        </w:tc>
        <w:tc>
          <w:tcPr>
            <w:tcW w:w="1275" w:type="dxa"/>
            <w:tcBorders>
              <w:top w:val="nil"/>
              <w:left w:val="nil"/>
              <w:bottom w:val="nil"/>
            </w:tcBorders>
            <w:shd w:val="clear" w:color="auto" w:fill="auto"/>
          </w:tcPr>
          <w:p w:rsidR="005D56A5" w:rsidRPr="00C725E4" w:rsidRDefault="005D56A5" w:rsidP="007800FE">
            <w:pPr>
              <w:jc w:val="center"/>
              <w:rPr>
                <w:rFonts w:ascii="Arial Narrow" w:hAnsi="Arial Narrow"/>
                <w:b/>
                <w:bCs/>
                <w:i/>
                <w:sz w:val="18"/>
                <w:szCs w:val="18"/>
              </w:rPr>
            </w:pPr>
            <w:r w:rsidRPr="00C725E4">
              <w:rPr>
                <w:rFonts w:ascii="Arial Narrow" w:hAnsi="Arial Narrow"/>
                <w:b/>
                <w:bCs/>
                <w:i/>
                <w:sz w:val="18"/>
                <w:szCs w:val="18"/>
              </w:rPr>
              <w:t>0.26 (0.15, 0.37)</w:t>
            </w:r>
          </w:p>
        </w:tc>
        <w:tc>
          <w:tcPr>
            <w:tcW w:w="708" w:type="dxa"/>
            <w:tcBorders>
              <w:top w:val="nil"/>
              <w:bottom w:val="nil"/>
            </w:tcBorders>
            <w:vAlign w:val="center"/>
          </w:tcPr>
          <w:p w:rsidR="005D56A5" w:rsidRPr="00C725E4" w:rsidRDefault="005D56A5" w:rsidP="007800FE">
            <w:pPr>
              <w:jc w:val="center"/>
              <w:rPr>
                <w:rFonts w:ascii="Arial Narrow" w:hAnsi="Arial Narrow"/>
                <w:i/>
                <w:sz w:val="18"/>
                <w:szCs w:val="18"/>
              </w:rPr>
            </w:pPr>
            <w:r w:rsidRPr="00C725E4">
              <w:rPr>
                <w:rFonts w:ascii="Arial Narrow" w:hAnsi="Arial Narrow"/>
                <w:i/>
                <w:sz w:val="18"/>
                <w:szCs w:val="18"/>
              </w:rPr>
              <w:t>4 (3, 7)</w:t>
            </w:r>
          </w:p>
        </w:tc>
      </w:tr>
      <w:tr w:rsidR="005D56A5" w:rsidRPr="00C725E4" w:rsidTr="007800FE">
        <w:trPr>
          <w:trHeight w:val="170"/>
        </w:trPr>
        <w:tc>
          <w:tcPr>
            <w:tcW w:w="703" w:type="dxa"/>
            <w:tcBorders>
              <w:left w:val="nil"/>
              <w:bottom w:val="nil"/>
              <w:right w:val="nil"/>
            </w:tcBorders>
            <w:vAlign w:val="center"/>
          </w:tcPr>
          <w:p w:rsidR="005D56A5" w:rsidRPr="00C725E4" w:rsidRDefault="005D56A5" w:rsidP="007800FE">
            <w:pPr>
              <w:jc w:val="right"/>
              <w:rPr>
                <w:rFonts w:ascii="Arial Narrow" w:hAnsi="Arial Narrow"/>
                <w:b/>
                <w:bCs/>
                <w:i/>
                <w:iCs/>
                <w:sz w:val="18"/>
                <w:szCs w:val="18"/>
              </w:rPr>
            </w:pPr>
          </w:p>
        </w:tc>
        <w:tc>
          <w:tcPr>
            <w:tcW w:w="1134" w:type="dxa"/>
            <w:tcBorders>
              <w:left w:val="nil"/>
              <w:bottom w:val="nil"/>
              <w:right w:val="nil"/>
            </w:tcBorders>
            <w:vAlign w:val="center"/>
          </w:tcPr>
          <w:p w:rsidR="005D56A5" w:rsidRPr="00C725E4" w:rsidRDefault="005D56A5" w:rsidP="007800FE">
            <w:pPr>
              <w:jc w:val="center"/>
              <w:rPr>
                <w:rFonts w:ascii="Arial Narrow" w:hAnsi="Arial Narrow"/>
                <w:i/>
                <w:sz w:val="18"/>
                <w:szCs w:val="18"/>
              </w:rPr>
            </w:pPr>
          </w:p>
        </w:tc>
        <w:tc>
          <w:tcPr>
            <w:tcW w:w="1134" w:type="dxa"/>
            <w:tcBorders>
              <w:left w:val="nil"/>
              <w:bottom w:val="nil"/>
            </w:tcBorders>
            <w:vAlign w:val="center"/>
          </w:tcPr>
          <w:p w:rsidR="005D56A5" w:rsidRPr="00C725E4" w:rsidRDefault="005D56A5" w:rsidP="007800FE">
            <w:pPr>
              <w:jc w:val="center"/>
              <w:rPr>
                <w:rFonts w:ascii="Arial Narrow" w:hAnsi="Arial Narrow"/>
                <w:i/>
                <w:sz w:val="18"/>
                <w:szCs w:val="18"/>
              </w:rPr>
            </w:pPr>
          </w:p>
        </w:tc>
        <w:tc>
          <w:tcPr>
            <w:tcW w:w="1277" w:type="dxa"/>
            <w:vMerge/>
            <w:tcBorders>
              <w:right w:val="nil"/>
            </w:tcBorders>
          </w:tcPr>
          <w:p w:rsidR="005D56A5" w:rsidRPr="00C725E4" w:rsidRDefault="005D56A5" w:rsidP="007800FE">
            <w:pPr>
              <w:jc w:val="center"/>
              <w:rPr>
                <w:rFonts w:ascii="Arial Narrow" w:hAnsi="Arial Narrow"/>
                <w:i/>
                <w:sz w:val="18"/>
                <w:szCs w:val="18"/>
              </w:rPr>
            </w:pPr>
          </w:p>
        </w:tc>
        <w:tc>
          <w:tcPr>
            <w:tcW w:w="1419" w:type="dxa"/>
            <w:tcBorders>
              <w:top w:val="nil"/>
              <w:left w:val="nil"/>
            </w:tcBorders>
            <w:shd w:val="clear" w:color="auto" w:fill="auto"/>
          </w:tcPr>
          <w:p w:rsidR="005D56A5" w:rsidRPr="00C725E4" w:rsidRDefault="005D56A5" w:rsidP="007800FE">
            <w:pPr>
              <w:jc w:val="center"/>
              <w:rPr>
                <w:rFonts w:ascii="Arial Narrow" w:hAnsi="Arial Narrow"/>
                <w:b/>
                <w:bCs/>
                <w:i/>
                <w:sz w:val="18"/>
                <w:szCs w:val="18"/>
              </w:rPr>
            </w:pPr>
          </w:p>
        </w:tc>
        <w:tc>
          <w:tcPr>
            <w:tcW w:w="1418" w:type="dxa"/>
            <w:vMerge/>
            <w:tcBorders>
              <w:right w:val="nil"/>
            </w:tcBorders>
          </w:tcPr>
          <w:p w:rsidR="005D56A5" w:rsidRPr="00C725E4" w:rsidRDefault="005D56A5" w:rsidP="007800FE">
            <w:pPr>
              <w:jc w:val="center"/>
              <w:rPr>
                <w:rFonts w:ascii="Arial Narrow" w:hAnsi="Arial Narrow"/>
                <w:i/>
                <w:sz w:val="18"/>
                <w:szCs w:val="18"/>
              </w:rPr>
            </w:pPr>
          </w:p>
        </w:tc>
        <w:tc>
          <w:tcPr>
            <w:tcW w:w="1275" w:type="dxa"/>
            <w:tcBorders>
              <w:top w:val="nil"/>
              <w:left w:val="nil"/>
            </w:tcBorders>
            <w:shd w:val="clear" w:color="auto" w:fill="auto"/>
          </w:tcPr>
          <w:p w:rsidR="005D56A5" w:rsidRPr="00C725E4" w:rsidRDefault="005D56A5" w:rsidP="007800FE">
            <w:pPr>
              <w:jc w:val="center"/>
              <w:rPr>
                <w:rFonts w:ascii="Arial Narrow" w:hAnsi="Arial Narrow"/>
                <w:b/>
                <w:bCs/>
                <w:i/>
                <w:sz w:val="18"/>
                <w:szCs w:val="18"/>
              </w:rPr>
            </w:pPr>
          </w:p>
        </w:tc>
        <w:tc>
          <w:tcPr>
            <w:tcW w:w="708" w:type="dxa"/>
            <w:tcBorders>
              <w:top w:val="nil"/>
            </w:tcBorders>
            <w:vAlign w:val="center"/>
          </w:tcPr>
          <w:p w:rsidR="005D56A5" w:rsidRPr="00C725E4" w:rsidRDefault="005D56A5" w:rsidP="007800FE">
            <w:pPr>
              <w:jc w:val="center"/>
              <w:rPr>
                <w:rFonts w:ascii="Arial Narrow" w:hAnsi="Arial Narrow"/>
                <w:i/>
                <w:sz w:val="18"/>
                <w:szCs w:val="18"/>
              </w:rPr>
            </w:pPr>
          </w:p>
        </w:tc>
      </w:tr>
    </w:tbl>
    <w:p w:rsidR="005D56A5" w:rsidRPr="00E72BED" w:rsidRDefault="005D56A5" w:rsidP="005D56A5">
      <w:pPr>
        <w:rPr>
          <w:rStyle w:val="CommentReference"/>
          <w:b w:val="0"/>
          <w:i/>
          <w:iCs/>
          <w:sz w:val="18"/>
          <w:szCs w:val="18"/>
        </w:rPr>
      </w:pPr>
      <w:r w:rsidRPr="00E72BED">
        <w:rPr>
          <w:rStyle w:val="CommentReference"/>
          <w:b w:val="0"/>
          <w:i/>
          <w:iCs/>
          <w:sz w:val="18"/>
          <w:szCs w:val="18"/>
        </w:rPr>
        <w:t>Italics indicate results estimated during the evaluation</w:t>
      </w:r>
      <w:r w:rsidR="00E72BED">
        <w:rPr>
          <w:rStyle w:val="CommentReference"/>
          <w:b w:val="0"/>
          <w:i/>
          <w:iCs/>
          <w:sz w:val="18"/>
          <w:szCs w:val="18"/>
        </w:rPr>
        <w:t>;</w:t>
      </w:r>
      <w:r w:rsidRPr="00E72BED">
        <w:rPr>
          <w:rStyle w:val="CommentReference"/>
          <w:b w:val="0"/>
          <w:i/>
          <w:iCs/>
          <w:sz w:val="18"/>
          <w:szCs w:val="18"/>
        </w:rPr>
        <w:t xml:space="preserve"> Bold typography indicate</w:t>
      </w:r>
      <w:r w:rsidR="00E72BED">
        <w:rPr>
          <w:rStyle w:val="CommentReference"/>
          <w:b w:val="0"/>
          <w:i/>
          <w:iCs/>
          <w:sz w:val="18"/>
          <w:szCs w:val="18"/>
        </w:rPr>
        <w:t>s</w:t>
      </w:r>
      <w:r w:rsidRPr="00E72BED">
        <w:rPr>
          <w:rStyle w:val="CommentReference"/>
          <w:b w:val="0"/>
          <w:i/>
          <w:iCs/>
          <w:sz w:val="18"/>
          <w:szCs w:val="18"/>
        </w:rPr>
        <w:t xml:space="preserve"> statistically significant differences.</w:t>
      </w:r>
    </w:p>
    <w:p w:rsidR="005D56A5" w:rsidRPr="00E72BED" w:rsidRDefault="005D56A5" w:rsidP="005D56A5">
      <w:pPr>
        <w:spacing w:after="120"/>
        <w:contextualSpacing/>
        <w:jc w:val="left"/>
        <w:rPr>
          <w:rStyle w:val="CommentReference"/>
          <w:b w:val="0"/>
          <w:sz w:val="18"/>
          <w:szCs w:val="18"/>
        </w:rPr>
      </w:pPr>
      <w:r w:rsidRPr="00E72BED">
        <w:rPr>
          <w:rFonts w:ascii="Arial Narrow" w:hAnsi="Arial Narrow"/>
          <w:sz w:val="18"/>
          <w:szCs w:val="18"/>
        </w:rPr>
        <w:t>Abbreviations: GUS</w:t>
      </w:r>
      <w:r w:rsidRPr="00E72BED">
        <w:rPr>
          <w:rFonts w:ascii="Arial Narrow" w:hAnsi="Arial Narrow"/>
          <w:sz w:val="18"/>
          <w:szCs w:val="18"/>
          <w:vertAlign w:val="subscript"/>
        </w:rPr>
        <w:t>1</w:t>
      </w:r>
      <w:r w:rsidRPr="00E72BED">
        <w:rPr>
          <w:rFonts w:ascii="Arial Narrow" w:hAnsi="Arial Narrow"/>
          <w:sz w:val="18"/>
          <w:szCs w:val="18"/>
        </w:rPr>
        <w:t>=VOYAGE-1; GUS</w:t>
      </w:r>
      <w:r w:rsidRPr="00E72BED">
        <w:rPr>
          <w:rFonts w:ascii="Arial Narrow" w:hAnsi="Arial Narrow"/>
          <w:sz w:val="18"/>
          <w:szCs w:val="18"/>
          <w:vertAlign w:val="subscript"/>
        </w:rPr>
        <w:t>2</w:t>
      </w:r>
      <w:r w:rsidRPr="00E72BED">
        <w:rPr>
          <w:rFonts w:ascii="Arial Narrow" w:hAnsi="Arial Narrow"/>
          <w:sz w:val="18"/>
          <w:szCs w:val="18"/>
        </w:rPr>
        <w:t>=VOYAGE-2; GUS</w:t>
      </w:r>
      <w:r w:rsidRPr="00E72BED">
        <w:rPr>
          <w:rFonts w:ascii="Arial Narrow" w:hAnsi="Arial Narrow"/>
          <w:sz w:val="18"/>
          <w:szCs w:val="18"/>
          <w:vertAlign w:val="subscript"/>
        </w:rPr>
        <w:t>3</w:t>
      </w:r>
      <w:r w:rsidRPr="00E72BED">
        <w:rPr>
          <w:rFonts w:ascii="Arial Narrow" w:hAnsi="Arial Narrow"/>
          <w:sz w:val="18"/>
          <w:szCs w:val="18"/>
        </w:rPr>
        <w:t>=NAVIGATE; UST</w:t>
      </w:r>
      <w:r w:rsidRPr="00E72BED">
        <w:rPr>
          <w:rFonts w:ascii="Arial Narrow" w:hAnsi="Arial Narrow"/>
          <w:sz w:val="18"/>
          <w:szCs w:val="18"/>
          <w:vertAlign w:val="subscript"/>
        </w:rPr>
        <w:t>1</w:t>
      </w:r>
      <w:r w:rsidRPr="00E72BED">
        <w:rPr>
          <w:rFonts w:ascii="Arial Narrow" w:hAnsi="Arial Narrow"/>
          <w:sz w:val="18"/>
          <w:szCs w:val="18"/>
        </w:rPr>
        <w:t>=PHOENIX-1; UST</w:t>
      </w:r>
      <w:r w:rsidRPr="00E72BED">
        <w:rPr>
          <w:rFonts w:ascii="Arial Narrow" w:hAnsi="Arial Narrow"/>
          <w:sz w:val="18"/>
          <w:szCs w:val="18"/>
          <w:vertAlign w:val="subscript"/>
        </w:rPr>
        <w:t>2</w:t>
      </w:r>
      <w:r w:rsidRPr="00E72BED">
        <w:rPr>
          <w:rFonts w:ascii="Arial Narrow" w:hAnsi="Arial Narrow"/>
          <w:sz w:val="18"/>
          <w:szCs w:val="18"/>
        </w:rPr>
        <w:t>=PHOENIX-2; UST</w:t>
      </w:r>
      <w:r w:rsidRPr="00E72BED">
        <w:rPr>
          <w:rFonts w:ascii="Arial Narrow" w:hAnsi="Arial Narrow"/>
          <w:sz w:val="18"/>
          <w:szCs w:val="18"/>
          <w:vertAlign w:val="subscript"/>
        </w:rPr>
        <w:t>3</w:t>
      </w:r>
      <w:r w:rsidRPr="00E72BED">
        <w:rPr>
          <w:rFonts w:ascii="Arial Narrow" w:hAnsi="Arial Narrow"/>
          <w:sz w:val="18"/>
          <w:szCs w:val="18"/>
        </w:rPr>
        <w:t>=PEARL; UST</w:t>
      </w:r>
      <w:r w:rsidRPr="00E72BED">
        <w:rPr>
          <w:rFonts w:ascii="Arial Narrow" w:hAnsi="Arial Narrow"/>
          <w:sz w:val="18"/>
          <w:szCs w:val="18"/>
          <w:vertAlign w:val="subscript"/>
        </w:rPr>
        <w:t>4</w:t>
      </w:r>
      <w:r w:rsidRPr="00E72BED">
        <w:rPr>
          <w:rFonts w:ascii="Arial Narrow" w:hAnsi="Arial Narrow"/>
          <w:sz w:val="18"/>
          <w:szCs w:val="18"/>
        </w:rPr>
        <w:t>=LOTUS; UST</w:t>
      </w:r>
      <w:r w:rsidRPr="00E72BED">
        <w:rPr>
          <w:rFonts w:ascii="Arial Narrow" w:hAnsi="Arial Narrow"/>
          <w:sz w:val="18"/>
          <w:szCs w:val="18"/>
          <w:vertAlign w:val="subscript"/>
        </w:rPr>
        <w:t>5</w:t>
      </w:r>
      <w:r w:rsidRPr="00E72BED">
        <w:rPr>
          <w:rFonts w:ascii="Arial Narrow" w:hAnsi="Arial Narrow"/>
          <w:sz w:val="18"/>
          <w:szCs w:val="18"/>
        </w:rPr>
        <w:t>=Igarashi 2012; UST</w:t>
      </w:r>
      <w:r w:rsidRPr="00E72BED">
        <w:rPr>
          <w:rFonts w:ascii="Arial Narrow" w:hAnsi="Arial Narrow"/>
          <w:sz w:val="18"/>
          <w:szCs w:val="18"/>
          <w:vertAlign w:val="subscript"/>
        </w:rPr>
        <w:t>6</w:t>
      </w:r>
      <w:r w:rsidRPr="00E72BED">
        <w:rPr>
          <w:rFonts w:ascii="Arial Narrow" w:hAnsi="Arial Narrow"/>
          <w:sz w:val="18"/>
          <w:szCs w:val="18"/>
        </w:rPr>
        <w:t>=AMAGINE-2; UST</w:t>
      </w:r>
      <w:r w:rsidRPr="00E72BED">
        <w:rPr>
          <w:rFonts w:ascii="Arial Narrow" w:hAnsi="Arial Narrow"/>
          <w:sz w:val="18"/>
          <w:szCs w:val="18"/>
          <w:vertAlign w:val="subscript"/>
        </w:rPr>
        <w:t>7</w:t>
      </w:r>
      <w:r w:rsidRPr="00E72BED">
        <w:rPr>
          <w:rFonts w:ascii="Arial Narrow" w:hAnsi="Arial Narrow"/>
          <w:sz w:val="18"/>
          <w:szCs w:val="18"/>
        </w:rPr>
        <w:t xml:space="preserve">=AMAGINE-3; </w:t>
      </w:r>
      <w:r w:rsidRPr="00E72BED">
        <w:rPr>
          <w:rStyle w:val="CommentReference"/>
          <w:b w:val="0"/>
          <w:sz w:val="18"/>
          <w:szCs w:val="18"/>
        </w:rPr>
        <w:t xml:space="preserve">UST Label refers to weight-based dosing for UST (UST 45 mg for patients </w:t>
      </w:r>
      <w:r w:rsidRPr="00E72BED">
        <w:rPr>
          <w:rStyle w:val="CommentReference"/>
          <w:b w:val="0"/>
          <w:sz w:val="18"/>
          <w:szCs w:val="18"/>
          <w:u w:val="single"/>
        </w:rPr>
        <w:t>&lt;</w:t>
      </w:r>
      <w:r w:rsidRPr="00E72BED">
        <w:rPr>
          <w:rStyle w:val="CommentReference"/>
          <w:b w:val="0"/>
          <w:sz w:val="18"/>
          <w:szCs w:val="18"/>
        </w:rPr>
        <w:t xml:space="preserve"> 100 kg; UST 90 mg for patients &gt; 100 kg), </w:t>
      </w:r>
      <w:proofErr w:type="spellStart"/>
      <w:r w:rsidRPr="00E72BED">
        <w:rPr>
          <w:rStyle w:val="CommentReference"/>
          <w:b w:val="0"/>
          <w:sz w:val="18"/>
          <w:szCs w:val="18"/>
        </w:rPr>
        <w:t>Wk</w:t>
      </w:r>
      <w:proofErr w:type="spellEnd"/>
      <w:r w:rsidRPr="00E72BED">
        <w:rPr>
          <w:rStyle w:val="CommentReference"/>
          <w:b w:val="0"/>
          <w:sz w:val="18"/>
          <w:szCs w:val="18"/>
        </w:rPr>
        <w:t>=week; PBO=placebo, UST=ustekinumab, GUS=</w:t>
      </w:r>
      <w:proofErr w:type="spellStart"/>
      <w:r w:rsidRPr="00E72BED">
        <w:rPr>
          <w:rStyle w:val="CommentReference"/>
          <w:b w:val="0"/>
          <w:sz w:val="18"/>
          <w:szCs w:val="18"/>
        </w:rPr>
        <w:t>guselkumab</w:t>
      </w:r>
      <w:proofErr w:type="spellEnd"/>
      <w:r w:rsidRPr="00E72BED">
        <w:rPr>
          <w:rStyle w:val="CommentReference"/>
          <w:b w:val="0"/>
          <w:sz w:val="18"/>
          <w:szCs w:val="18"/>
        </w:rPr>
        <w:t>, ADA=adalimumab.</w:t>
      </w:r>
    </w:p>
    <w:p w:rsidR="005D56A5" w:rsidRPr="00E72BED" w:rsidRDefault="005D56A5" w:rsidP="005D56A5">
      <w:pPr>
        <w:spacing w:after="120"/>
        <w:contextualSpacing/>
        <w:jc w:val="left"/>
        <w:rPr>
          <w:rStyle w:val="CommentReference"/>
          <w:b w:val="0"/>
          <w:sz w:val="18"/>
          <w:szCs w:val="18"/>
        </w:rPr>
      </w:pPr>
      <w:r w:rsidRPr="00E72BED">
        <w:rPr>
          <w:rStyle w:val="CommentReference"/>
          <w:b w:val="0"/>
          <w:sz w:val="18"/>
          <w:szCs w:val="18"/>
        </w:rPr>
        <w:t>^</w:t>
      </w:r>
      <w:r w:rsidRPr="00E72BED">
        <w:rPr>
          <w:rStyle w:val="CommentReference"/>
          <w:b w:val="0"/>
          <w:sz w:val="18"/>
          <w:szCs w:val="18"/>
        </w:rPr>
        <w:tab/>
        <w:t xml:space="preserve">estimated using random effects meta-analysis using </w:t>
      </w:r>
      <w:proofErr w:type="spellStart"/>
      <w:r w:rsidRPr="00E72BED">
        <w:rPr>
          <w:rStyle w:val="CommentReference"/>
          <w:b w:val="0"/>
          <w:sz w:val="18"/>
          <w:szCs w:val="18"/>
        </w:rPr>
        <w:t>RevMan</w:t>
      </w:r>
      <w:proofErr w:type="spellEnd"/>
      <w:r w:rsidRPr="00E72BED">
        <w:rPr>
          <w:rStyle w:val="CommentReference"/>
          <w:b w:val="0"/>
          <w:sz w:val="18"/>
          <w:szCs w:val="18"/>
        </w:rPr>
        <w:t xml:space="preserve"> Version 5.3</w:t>
      </w:r>
    </w:p>
    <w:p w:rsidR="005D56A5" w:rsidRPr="00E72BED" w:rsidRDefault="005D56A5" w:rsidP="005D56A5">
      <w:pPr>
        <w:ind w:left="165" w:hanging="165"/>
        <w:rPr>
          <w:rStyle w:val="CommentReference"/>
          <w:b w:val="0"/>
          <w:sz w:val="18"/>
          <w:szCs w:val="18"/>
        </w:rPr>
      </w:pPr>
      <w:r w:rsidRPr="00E72BED">
        <w:rPr>
          <w:rStyle w:val="CommentReference"/>
          <w:b w:val="0"/>
          <w:sz w:val="18"/>
          <w:szCs w:val="18"/>
        </w:rPr>
        <w:t>*</w:t>
      </w:r>
      <w:r w:rsidRPr="00E72BED">
        <w:rPr>
          <w:rStyle w:val="CommentReference"/>
          <w:b w:val="0"/>
          <w:sz w:val="18"/>
          <w:szCs w:val="18"/>
        </w:rPr>
        <w:tab/>
        <w:t xml:space="preserve">From IPD data supplied by the submission (from subgroup of patients in the trial who received the TGA approved UST dose: 45mg for patients </w:t>
      </w:r>
      <w:r w:rsidRPr="00E72BED">
        <w:rPr>
          <w:rFonts w:ascii="Arial Narrow" w:hAnsi="Arial Narrow"/>
          <w:sz w:val="18"/>
          <w:szCs w:val="18"/>
        </w:rPr>
        <w:t>weighing ≤ 100 kg and UST 90 mg for patients weighing &gt; 100 kg</w:t>
      </w:r>
      <w:r w:rsidRPr="00E72BED">
        <w:rPr>
          <w:rStyle w:val="CommentReference"/>
          <w:b w:val="0"/>
          <w:sz w:val="18"/>
          <w:szCs w:val="18"/>
        </w:rPr>
        <w:t xml:space="preserve"> ).  </w:t>
      </w:r>
      <w:r w:rsidRPr="00E72BED">
        <w:rPr>
          <w:rFonts w:ascii="Arial Narrow" w:hAnsi="Arial Narrow"/>
          <w:sz w:val="18"/>
          <w:szCs w:val="18"/>
        </w:rPr>
        <w:t>Placebo data also presented according to weight (comparison of UST 45 mg to PBO in patients weighing ≤ 100 kg and UST 90 mg to PBO in patients weighing &gt; 100 kg).</w:t>
      </w:r>
    </w:p>
    <w:p w:rsidR="005D56A5" w:rsidRPr="00E72BED" w:rsidRDefault="005D56A5" w:rsidP="005D56A5">
      <w:pPr>
        <w:rPr>
          <w:rFonts w:ascii="Arial Narrow" w:hAnsi="Arial Narrow"/>
          <w:i/>
          <w:sz w:val="18"/>
          <w:szCs w:val="18"/>
        </w:rPr>
      </w:pPr>
      <w:r w:rsidRPr="00E72BED">
        <w:rPr>
          <w:rStyle w:val="CommentReference"/>
          <w:b w:val="0"/>
          <w:i/>
          <w:sz w:val="18"/>
          <w:szCs w:val="18"/>
        </w:rPr>
        <w:t>Source: constructed during the evaluation using results reported in</w:t>
      </w:r>
      <w:r w:rsidRPr="00E72BED">
        <w:rPr>
          <w:rStyle w:val="CommentReference"/>
          <w:i/>
          <w:sz w:val="18"/>
          <w:szCs w:val="18"/>
        </w:rPr>
        <w:t xml:space="preserve"> </w:t>
      </w:r>
      <w:r w:rsidRPr="00E72BED">
        <w:rPr>
          <w:rFonts w:ascii="Arial Narrow" w:hAnsi="Arial Narrow" w:cs="TimesNewRoman,Bold"/>
          <w:i/>
          <w:sz w:val="18"/>
          <w:szCs w:val="18"/>
          <w:lang w:eastAsia="zh-CN"/>
        </w:rPr>
        <w:t xml:space="preserve">Table 2.31, Table 2.34, pp127-130 of submission; </w:t>
      </w:r>
      <w:r w:rsidRPr="00E72BED">
        <w:rPr>
          <w:rFonts w:ascii="Arial Narrow" w:hAnsi="Arial Narrow" w:cs="TimesNewRoman,Bold"/>
          <w:i/>
          <w:iCs/>
          <w:sz w:val="18"/>
          <w:szCs w:val="18"/>
          <w:lang w:eastAsia="zh-CN"/>
        </w:rPr>
        <w:t xml:space="preserve">Attachment TEFMS8910A, p412 of CSR for VOYAGE-1, Attachment TEFMS678A, p509 of CSR for VOYAGE-2; Table 2, p158 of PEARL publication; Table 2, p170 of LOTUS publication; Table 2, p247 of Igarashi 2012.  </w:t>
      </w:r>
      <w:r w:rsidRPr="00E72BED">
        <w:rPr>
          <w:rFonts w:ascii="Arial Narrow" w:hAnsi="Arial Narrow"/>
          <w:i/>
          <w:iCs/>
          <w:sz w:val="18"/>
          <w:szCs w:val="18"/>
        </w:rPr>
        <w:t xml:space="preserve">AMAGINE-2 and -3: study publication did not report PASI 90 results. </w:t>
      </w:r>
      <w:r w:rsidRPr="00E72BED">
        <w:rPr>
          <w:rFonts w:ascii="Arial Narrow" w:hAnsi="Arial Narrow"/>
          <w:i/>
          <w:sz w:val="18"/>
          <w:szCs w:val="18"/>
        </w:rPr>
        <w:t xml:space="preserve">PHOENIX-1 and PHOENIX-2 trials: data sourced from Week 12 results from Attachment 3.45-3.46, pp.400-401; Attachment 3.53, pp.408-409; Attachment 3.54, pp.410-411 of PHOENIX-1 Week 52 CSR; Attachment 3.31, p295; Attachment 3.32, p296 of PHOENIX-2 Week 28 CSR; </w:t>
      </w:r>
      <w:r w:rsidRPr="00E72BED">
        <w:rPr>
          <w:rFonts w:ascii="Arial Narrow" w:hAnsi="Arial Narrow"/>
          <w:i/>
          <w:iCs/>
          <w:sz w:val="18"/>
          <w:szCs w:val="18"/>
        </w:rPr>
        <w:t>Table 2 of NAVIGATE publication.</w:t>
      </w:r>
    </w:p>
    <w:p w:rsidR="0051424E" w:rsidRPr="00C725E4" w:rsidRDefault="0051424E" w:rsidP="0051424E"/>
    <w:p w:rsidR="006314BD" w:rsidRPr="009F3167" w:rsidRDefault="0051424E" w:rsidP="004D7463">
      <w:pPr>
        <w:pStyle w:val="ListParagraph"/>
        <w:widowControl/>
        <w:numPr>
          <w:ilvl w:val="1"/>
          <w:numId w:val="3"/>
        </w:numPr>
      </w:pPr>
      <w:r w:rsidRPr="00027404">
        <w:rPr>
          <w:iCs/>
        </w:rPr>
        <w:t>As the Commentary updated a number of comparisons</w:t>
      </w:r>
      <w:r w:rsidRPr="009F3167">
        <w:rPr>
          <w:iCs/>
        </w:rPr>
        <w:t xml:space="preserve"> (with added data and alternate assessment time points), </w:t>
      </w:r>
      <w:r w:rsidR="00A64D11" w:rsidRPr="009F3167">
        <w:rPr>
          <w:iCs/>
        </w:rPr>
        <w:t xml:space="preserve">Table </w:t>
      </w:r>
      <w:r w:rsidR="00CC2D90" w:rsidRPr="009F3167">
        <w:rPr>
          <w:iCs/>
        </w:rPr>
        <w:t>6</w:t>
      </w:r>
      <w:r w:rsidR="00A64D11" w:rsidRPr="009F3167">
        <w:rPr>
          <w:iCs/>
        </w:rPr>
        <w:t xml:space="preserve"> presents a qualitative summary of results of indirect comparisons for PASI 75 and PASI 90 </w:t>
      </w:r>
      <w:r w:rsidR="004D7463" w:rsidRPr="009F3167">
        <w:rPr>
          <w:iCs/>
        </w:rPr>
        <w:t xml:space="preserve">outcomes.  </w:t>
      </w:r>
      <w:r w:rsidRPr="009F3167">
        <w:t xml:space="preserve">As pointed out by the submission, results </w:t>
      </w:r>
      <w:r w:rsidR="004D7463" w:rsidRPr="009F3167">
        <w:t xml:space="preserve">of indirect comparisons </w:t>
      </w:r>
      <w:r w:rsidRPr="009F3167">
        <w:t xml:space="preserve">using RR is prone to framing and the conclusions varied depending </w:t>
      </w:r>
      <w:r w:rsidR="004D7463" w:rsidRPr="009F3167">
        <w:t xml:space="preserve">on </w:t>
      </w:r>
      <w:r w:rsidRPr="009F3167">
        <w:t>if the outcomes were framed as losses or gains.</w:t>
      </w:r>
    </w:p>
    <w:p w:rsidR="00A64D11" w:rsidRPr="00A64D11" w:rsidRDefault="00A64D11" w:rsidP="00083A5D">
      <w:pPr>
        <w:pStyle w:val="PBACHeading1"/>
        <w:keepNext/>
        <w:keepLines/>
        <w:rPr>
          <w:rFonts w:ascii="Arial Narrow" w:hAnsi="Arial Narrow"/>
          <w:sz w:val="20"/>
          <w:szCs w:val="20"/>
        </w:rPr>
      </w:pPr>
      <w:bookmarkStart w:id="11" w:name="_Toc503212790"/>
      <w:r w:rsidRPr="009F3167">
        <w:rPr>
          <w:rFonts w:ascii="Arial Narrow" w:hAnsi="Arial Narrow"/>
          <w:sz w:val="20"/>
          <w:szCs w:val="20"/>
        </w:rPr>
        <w:lastRenderedPageBreak/>
        <w:t xml:space="preserve">Table </w:t>
      </w:r>
      <w:r w:rsidR="00693C72" w:rsidRPr="009F3167">
        <w:rPr>
          <w:rFonts w:ascii="Arial Narrow" w:hAnsi="Arial Narrow"/>
          <w:sz w:val="20"/>
          <w:szCs w:val="20"/>
        </w:rPr>
        <w:t>6</w:t>
      </w:r>
      <w:r w:rsidRPr="009F3167">
        <w:rPr>
          <w:rFonts w:ascii="Arial Narrow" w:hAnsi="Arial Narrow"/>
          <w:sz w:val="20"/>
          <w:szCs w:val="20"/>
        </w:rPr>
        <w:t>: Qualitative summary of indirect comparison results for PASI 75 and PASI 90 at 16/12 weeks and 24 weeks</w:t>
      </w:r>
      <w:r w:rsidRPr="00A64D11">
        <w:rPr>
          <w:rFonts w:ascii="Arial Narrow" w:hAnsi="Arial Narrow"/>
          <w:sz w:val="20"/>
          <w:szCs w:val="20"/>
        </w:rPr>
        <w:t xml:space="preserve"> for all risk statistics</w:t>
      </w:r>
      <w:bookmarkEnd w:id="11"/>
    </w:p>
    <w:tbl>
      <w:tblPr>
        <w:tblStyle w:val="TableGrid"/>
        <w:tblW w:w="9067" w:type="dxa"/>
        <w:tblLayout w:type="fixed"/>
        <w:tblCellMar>
          <w:left w:w="28" w:type="dxa"/>
          <w:right w:w="28" w:type="dxa"/>
        </w:tblCellMar>
        <w:tblLook w:val="04A0" w:firstRow="1" w:lastRow="0" w:firstColumn="1" w:lastColumn="0" w:noHBand="0" w:noVBand="1"/>
        <w:tblCaption w:val="Table 6: Qualitative summary of indirect comparison results for PASI 75 and PASI 90 at 16/12 weeks and 24 weeks for all risk statistics"/>
      </w:tblPr>
      <w:tblGrid>
        <w:gridCol w:w="2689"/>
        <w:gridCol w:w="567"/>
        <w:gridCol w:w="904"/>
        <w:gridCol w:w="903"/>
        <w:gridCol w:w="744"/>
        <w:gridCol w:w="567"/>
        <w:gridCol w:w="903"/>
        <w:gridCol w:w="904"/>
        <w:gridCol w:w="886"/>
      </w:tblGrid>
      <w:tr w:rsidR="00CC2D90" w:rsidRPr="006A6B13" w:rsidTr="00E00025">
        <w:trPr>
          <w:tblHeader/>
        </w:trPr>
        <w:tc>
          <w:tcPr>
            <w:tcW w:w="2689" w:type="dxa"/>
            <w:vMerge w:val="restart"/>
            <w:vAlign w:val="center"/>
          </w:tcPr>
          <w:p w:rsidR="00CC2D90" w:rsidRPr="006A6B13" w:rsidRDefault="00CC2D90" w:rsidP="00083A5D">
            <w:pPr>
              <w:keepNext/>
              <w:keepLines/>
              <w:snapToGrid w:val="0"/>
              <w:contextualSpacing/>
              <w:jc w:val="left"/>
              <w:rPr>
                <w:rFonts w:ascii="Arial Narrow" w:hAnsi="Arial Narrow" w:cstheme="minorHAnsi"/>
                <w:b/>
                <w:i/>
                <w:snapToGrid/>
                <w:sz w:val="20"/>
                <w:szCs w:val="20"/>
              </w:rPr>
            </w:pPr>
            <w:r w:rsidRPr="006A6B13">
              <w:rPr>
                <w:rFonts w:ascii="Arial Narrow" w:hAnsi="Arial Narrow" w:cstheme="minorHAnsi"/>
                <w:b/>
                <w:i/>
                <w:snapToGrid/>
                <w:sz w:val="20"/>
                <w:szCs w:val="20"/>
              </w:rPr>
              <w:t>Treatment with numerically superior result</w:t>
            </w:r>
          </w:p>
        </w:tc>
        <w:tc>
          <w:tcPr>
            <w:tcW w:w="3118" w:type="dxa"/>
            <w:gridSpan w:val="4"/>
            <w:tcBorders>
              <w:right w:val="double" w:sz="4" w:space="0" w:color="auto"/>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PASI 75</w:t>
            </w:r>
          </w:p>
        </w:tc>
        <w:tc>
          <w:tcPr>
            <w:tcW w:w="3260" w:type="dxa"/>
            <w:gridSpan w:val="4"/>
            <w:tcBorders>
              <w:left w:val="double" w:sz="4" w:space="0" w:color="auto"/>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PASI 90</w:t>
            </w:r>
          </w:p>
        </w:tc>
      </w:tr>
      <w:tr w:rsidR="00CC2D90" w:rsidRPr="006A6B13" w:rsidTr="00E00025">
        <w:trPr>
          <w:tblHeader/>
        </w:trPr>
        <w:tc>
          <w:tcPr>
            <w:tcW w:w="2689" w:type="dxa"/>
            <w:vMerge/>
          </w:tcPr>
          <w:p w:rsidR="00CC2D90" w:rsidRPr="006A6B13" w:rsidRDefault="00CC2D90" w:rsidP="00083A5D">
            <w:pPr>
              <w:keepNext/>
              <w:keepLines/>
              <w:snapToGrid w:val="0"/>
              <w:contextualSpacing/>
              <w:jc w:val="left"/>
              <w:rPr>
                <w:rFonts w:ascii="Arial Narrow" w:hAnsi="Arial Narrow" w:cstheme="minorHAnsi"/>
                <w:i/>
                <w:snapToGrid/>
                <w:sz w:val="20"/>
                <w:szCs w:val="20"/>
              </w:rPr>
            </w:pPr>
          </w:p>
        </w:tc>
        <w:tc>
          <w:tcPr>
            <w:tcW w:w="567"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OR</w:t>
            </w:r>
          </w:p>
        </w:tc>
        <w:tc>
          <w:tcPr>
            <w:tcW w:w="904"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RR (response)</w:t>
            </w:r>
          </w:p>
        </w:tc>
        <w:tc>
          <w:tcPr>
            <w:tcW w:w="903"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RR (non-response)</w:t>
            </w:r>
          </w:p>
        </w:tc>
        <w:tc>
          <w:tcPr>
            <w:tcW w:w="744" w:type="dxa"/>
            <w:tcBorders>
              <w:bottom w:val="single" w:sz="4" w:space="0" w:color="auto"/>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RD</w:t>
            </w:r>
          </w:p>
        </w:tc>
        <w:tc>
          <w:tcPr>
            <w:tcW w:w="567" w:type="dxa"/>
            <w:tcBorders>
              <w:left w:val="double" w:sz="4" w:space="0" w:color="auto"/>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OR</w:t>
            </w:r>
          </w:p>
        </w:tc>
        <w:tc>
          <w:tcPr>
            <w:tcW w:w="903"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RR (response)</w:t>
            </w:r>
          </w:p>
        </w:tc>
        <w:tc>
          <w:tcPr>
            <w:tcW w:w="904"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RR (non-response)</w:t>
            </w:r>
          </w:p>
        </w:tc>
        <w:tc>
          <w:tcPr>
            <w:tcW w:w="886"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RD</w:t>
            </w:r>
          </w:p>
        </w:tc>
      </w:tr>
      <w:tr w:rsidR="00CC2D90" w:rsidRPr="006A6B13" w:rsidTr="00A83222">
        <w:tc>
          <w:tcPr>
            <w:tcW w:w="2689" w:type="dxa"/>
            <w:tcBorders>
              <w:right w:val="nil"/>
            </w:tcBorders>
          </w:tcPr>
          <w:p w:rsidR="00CC2D90" w:rsidRPr="006A6B13" w:rsidRDefault="00CC2D90" w:rsidP="00083A5D">
            <w:pPr>
              <w:keepNext/>
              <w:keepLines/>
              <w:snapToGrid w:val="0"/>
              <w:contextualSpacing/>
              <w:jc w:val="left"/>
              <w:rPr>
                <w:rFonts w:ascii="Arial Narrow" w:hAnsi="Arial Narrow" w:cstheme="minorHAnsi"/>
                <w:i/>
                <w:snapToGrid/>
                <w:sz w:val="20"/>
                <w:szCs w:val="20"/>
              </w:rPr>
            </w:pPr>
            <w:r w:rsidRPr="006A6B13">
              <w:rPr>
                <w:rFonts w:ascii="Arial Narrow" w:hAnsi="Arial Narrow" w:cstheme="minorHAnsi"/>
                <w:b/>
                <w:i/>
                <w:snapToGrid/>
                <w:sz w:val="20"/>
                <w:szCs w:val="20"/>
              </w:rPr>
              <w:t>All trials 16/12 weeks</w:t>
            </w:r>
          </w:p>
        </w:tc>
        <w:tc>
          <w:tcPr>
            <w:tcW w:w="567"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c>
          <w:tcPr>
            <w:tcW w:w="904"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c>
          <w:tcPr>
            <w:tcW w:w="903"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c>
          <w:tcPr>
            <w:tcW w:w="744" w:type="dxa"/>
            <w:tcBorders>
              <w:left w:val="nil"/>
              <w:right w:val="single" w:sz="4" w:space="0" w:color="auto"/>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c>
          <w:tcPr>
            <w:tcW w:w="567" w:type="dxa"/>
            <w:tcBorders>
              <w:left w:val="single" w:sz="4" w:space="0" w:color="auto"/>
              <w:right w:val="nil"/>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c>
          <w:tcPr>
            <w:tcW w:w="903"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c>
          <w:tcPr>
            <w:tcW w:w="904"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c>
          <w:tcPr>
            <w:tcW w:w="886" w:type="dxa"/>
            <w:tcBorders>
              <w:left w:val="nil"/>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
                <w:snapToGrid/>
                <w:sz w:val="20"/>
                <w:szCs w:val="20"/>
              </w:rPr>
            </w:pPr>
            <w:r w:rsidRPr="006A6B13">
              <w:rPr>
                <w:rFonts w:ascii="Arial Narrow" w:hAnsi="Arial Narrow" w:cstheme="minorHAnsi"/>
                <w:i/>
                <w:snapToGrid/>
                <w:sz w:val="20"/>
                <w:szCs w:val="20"/>
              </w:rPr>
              <w:t>UST45mg</w:t>
            </w:r>
          </w:p>
        </w:tc>
        <w:tc>
          <w:tcPr>
            <w:tcW w:w="567" w:type="dxa"/>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i/>
                <w:snapToGrid/>
                <w:sz w:val="20"/>
                <w:szCs w:val="20"/>
              </w:rPr>
              <w:t>GUS</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UST</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744" w:type="dxa"/>
            <w:tcBorders>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i/>
                <w:snapToGrid/>
                <w:sz w:val="20"/>
                <w:szCs w:val="20"/>
              </w:rPr>
              <w:t>GUS</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886"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
                <w:snapToGrid/>
                <w:sz w:val="20"/>
                <w:szCs w:val="20"/>
              </w:rPr>
            </w:pPr>
            <w:r w:rsidRPr="006A6B13">
              <w:rPr>
                <w:rFonts w:ascii="Arial Narrow" w:hAnsi="Arial Narrow" w:cstheme="minorHAnsi"/>
                <w:i/>
                <w:snapToGrid/>
                <w:sz w:val="20"/>
                <w:szCs w:val="20"/>
              </w:rPr>
              <w:t>UST 90mg</w:t>
            </w:r>
          </w:p>
        </w:tc>
        <w:tc>
          <w:tcPr>
            <w:tcW w:w="567" w:type="dxa"/>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i/>
                <w:snapToGrid/>
                <w:sz w:val="20"/>
                <w:szCs w:val="20"/>
              </w:rPr>
              <w:t>GUS</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UST</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744" w:type="dxa"/>
            <w:tcBorders>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i/>
                <w:snapToGrid/>
                <w:sz w:val="20"/>
                <w:szCs w:val="20"/>
              </w:rPr>
              <w:t>GUS</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886"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
                <w:snapToGrid/>
                <w:sz w:val="20"/>
                <w:szCs w:val="20"/>
              </w:rPr>
            </w:pPr>
            <w:r w:rsidRPr="006A6B13">
              <w:rPr>
                <w:rFonts w:ascii="Arial Narrow" w:hAnsi="Arial Narrow" w:cstheme="minorHAnsi"/>
                <w:i/>
                <w:snapToGrid/>
                <w:sz w:val="20"/>
                <w:szCs w:val="20"/>
              </w:rPr>
              <w:t>UST label</w:t>
            </w:r>
          </w:p>
        </w:tc>
        <w:tc>
          <w:tcPr>
            <w:tcW w:w="567" w:type="dxa"/>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GUS</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744" w:type="dxa"/>
            <w:tcBorders>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886"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
                <w:snapToGrid/>
                <w:sz w:val="20"/>
                <w:szCs w:val="20"/>
              </w:rPr>
            </w:pPr>
            <w:r w:rsidRPr="006A6B13">
              <w:rPr>
                <w:rFonts w:ascii="Arial Narrow" w:hAnsi="Arial Narrow" w:cstheme="minorHAnsi"/>
                <w:i/>
                <w:snapToGrid/>
                <w:sz w:val="20"/>
                <w:szCs w:val="20"/>
              </w:rPr>
              <w:t>UST (all doses pooled)</w:t>
            </w:r>
          </w:p>
        </w:tc>
        <w:tc>
          <w:tcPr>
            <w:tcW w:w="567"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GUS</w:t>
            </w:r>
          </w:p>
        </w:tc>
        <w:tc>
          <w:tcPr>
            <w:tcW w:w="904"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w:t>
            </w:r>
          </w:p>
        </w:tc>
        <w:tc>
          <w:tcPr>
            <w:tcW w:w="903"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744" w:type="dxa"/>
            <w:tcBorders>
              <w:bottom w:val="single" w:sz="4" w:space="0" w:color="auto"/>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w:t>
            </w:r>
          </w:p>
        </w:tc>
        <w:tc>
          <w:tcPr>
            <w:tcW w:w="904"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886" w:type="dxa"/>
            <w:tcBorders>
              <w:bottom w:val="sing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r>
      <w:tr w:rsidR="00CC2D90" w:rsidRPr="006A6B13" w:rsidTr="00A83222">
        <w:tc>
          <w:tcPr>
            <w:tcW w:w="2689" w:type="dxa"/>
            <w:tcBorders>
              <w:right w:val="nil"/>
            </w:tcBorders>
          </w:tcPr>
          <w:p w:rsidR="00CC2D90" w:rsidRPr="006A6B13" w:rsidRDefault="00CC2D90" w:rsidP="00083A5D">
            <w:pPr>
              <w:keepNext/>
              <w:keepLines/>
              <w:snapToGrid w:val="0"/>
              <w:contextualSpacing/>
              <w:jc w:val="left"/>
              <w:rPr>
                <w:rFonts w:ascii="Arial Narrow" w:hAnsi="Arial Narrow" w:cstheme="minorHAnsi"/>
                <w:i/>
                <w:snapToGrid/>
                <w:sz w:val="20"/>
                <w:szCs w:val="20"/>
                <w:highlight w:val="green"/>
              </w:rPr>
            </w:pPr>
            <w:r w:rsidRPr="006A6B13">
              <w:rPr>
                <w:rFonts w:ascii="Arial Narrow" w:hAnsi="Arial Narrow" w:cstheme="minorHAnsi"/>
                <w:b/>
                <w:i/>
                <w:snapToGrid/>
                <w:sz w:val="20"/>
                <w:szCs w:val="20"/>
              </w:rPr>
              <w:t>All trials 24 weeks</w:t>
            </w:r>
          </w:p>
        </w:tc>
        <w:tc>
          <w:tcPr>
            <w:tcW w:w="567"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c>
          <w:tcPr>
            <w:tcW w:w="904"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i/>
                <w:snapToGrid/>
                <w:sz w:val="20"/>
                <w:szCs w:val="20"/>
              </w:rPr>
            </w:pPr>
          </w:p>
        </w:tc>
        <w:tc>
          <w:tcPr>
            <w:tcW w:w="903"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i/>
                <w:snapToGrid/>
                <w:sz w:val="20"/>
                <w:szCs w:val="20"/>
              </w:rPr>
            </w:pPr>
          </w:p>
        </w:tc>
        <w:tc>
          <w:tcPr>
            <w:tcW w:w="744" w:type="dxa"/>
            <w:tcBorders>
              <w:left w:val="nil"/>
              <w:right w:val="single" w:sz="4" w:space="0" w:color="auto"/>
            </w:tcBorders>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p>
        </w:tc>
        <w:tc>
          <w:tcPr>
            <w:tcW w:w="567" w:type="dxa"/>
            <w:tcBorders>
              <w:left w:val="single" w:sz="4" w:space="0" w:color="auto"/>
              <w:right w:val="nil"/>
            </w:tcBorders>
          </w:tcPr>
          <w:p w:rsidR="00CC2D90" w:rsidRPr="006A6B13" w:rsidRDefault="00CC2D90" w:rsidP="00083A5D">
            <w:pPr>
              <w:keepNext/>
              <w:keepLines/>
              <w:snapToGrid w:val="0"/>
              <w:contextualSpacing/>
              <w:jc w:val="center"/>
              <w:rPr>
                <w:rFonts w:ascii="Arial Narrow" w:hAnsi="Arial Narrow" w:cstheme="minorHAnsi"/>
                <w:i/>
                <w:snapToGrid/>
                <w:sz w:val="20"/>
                <w:szCs w:val="20"/>
              </w:rPr>
            </w:pPr>
          </w:p>
        </w:tc>
        <w:tc>
          <w:tcPr>
            <w:tcW w:w="903"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i/>
                <w:snapToGrid/>
                <w:sz w:val="20"/>
                <w:szCs w:val="20"/>
              </w:rPr>
            </w:pPr>
          </w:p>
        </w:tc>
        <w:tc>
          <w:tcPr>
            <w:tcW w:w="904" w:type="dxa"/>
            <w:tcBorders>
              <w:left w:val="nil"/>
              <w:right w:val="nil"/>
            </w:tcBorders>
          </w:tcPr>
          <w:p w:rsidR="00CC2D90" w:rsidRPr="006A6B13" w:rsidRDefault="00CC2D90" w:rsidP="00083A5D">
            <w:pPr>
              <w:keepNext/>
              <w:keepLines/>
              <w:snapToGrid w:val="0"/>
              <w:contextualSpacing/>
              <w:jc w:val="center"/>
              <w:rPr>
                <w:rFonts w:ascii="Arial Narrow" w:hAnsi="Arial Narrow" w:cstheme="minorHAnsi"/>
                <w:i/>
                <w:snapToGrid/>
                <w:sz w:val="20"/>
                <w:szCs w:val="20"/>
              </w:rPr>
            </w:pPr>
          </w:p>
        </w:tc>
        <w:tc>
          <w:tcPr>
            <w:tcW w:w="886" w:type="dxa"/>
            <w:tcBorders>
              <w:left w:val="nil"/>
            </w:tcBorders>
          </w:tcPr>
          <w:p w:rsidR="00CC2D90" w:rsidRPr="006A6B13" w:rsidRDefault="00CC2D90" w:rsidP="00083A5D">
            <w:pPr>
              <w:keepNext/>
              <w:keepLines/>
              <w:snapToGrid w:val="0"/>
              <w:contextualSpacing/>
              <w:jc w:val="center"/>
              <w:rPr>
                <w:rFonts w:ascii="Arial Narrow" w:hAnsi="Arial Narrow" w:cstheme="minorHAnsi"/>
                <w:i/>
                <w:snapToGrid/>
                <w:sz w:val="20"/>
                <w:szCs w:val="20"/>
              </w:rPr>
            </w:pP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
                <w:snapToGrid/>
                <w:sz w:val="20"/>
                <w:szCs w:val="20"/>
              </w:rPr>
            </w:pPr>
            <w:r w:rsidRPr="006A6B13">
              <w:rPr>
                <w:rFonts w:ascii="Arial Narrow" w:hAnsi="Arial Narrow" w:cstheme="minorHAnsi"/>
                <w:i/>
                <w:snapToGrid/>
                <w:sz w:val="20"/>
                <w:szCs w:val="20"/>
              </w:rPr>
              <w:t>UST45mg</w:t>
            </w:r>
          </w:p>
        </w:tc>
        <w:tc>
          <w:tcPr>
            <w:tcW w:w="567" w:type="dxa"/>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i/>
                <w:snapToGrid/>
                <w:sz w:val="20"/>
                <w:szCs w:val="20"/>
              </w:rPr>
              <w:t>GUS</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UST</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744" w:type="dxa"/>
            <w:tcBorders>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i/>
                <w:snapToGrid/>
                <w:sz w:val="20"/>
                <w:szCs w:val="20"/>
              </w:rPr>
              <w:t>GUS</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UST</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886"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
                <w:snapToGrid/>
                <w:sz w:val="20"/>
                <w:szCs w:val="20"/>
              </w:rPr>
            </w:pPr>
            <w:r w:rsidRPr="006A6B13">
              <w:rPr>
                <w:rFonts w:ascii="Arial Narrow" w:hAnsi="Arial Narrow" w:cstheme="minorHAnsi"/>
                <w:i/>
                <w:snapToGrid/>
                <w:sz w:val="20"/>
                <w:szCs w:val="20"/>
              </w:rPr>
              <w:t>UST 90mg</w:t>
            </w:r>
          </w:p>
        </w:tc>
        <w:tc>
          <w:tcPr>
            <w:tcW w:w="567"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UST</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UST</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744" w:type="dxa"/>
            <w:tcBorders>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 (</w:t>
            </w:r>
            <w:r w:rsidRPr="006A6B13">
              <w:rPr>
                <w:rFonts w:ascii="Arial Narrow" w:hAnsi="Arial Narrow" w:cstheme="minorHAnsi"/>
                <w:i/>
                <w:snapToGrid/>
                <w:sz w:val="20"/>
                <w:szCs w:val="20"/>
              </w:rPr>
              <w:sym w:font="Symbol" w:char="F0D6"/>
            </w:r>
            <w:r w:rsidRPr="006A6B13">
              <w:rPr>
                <w:rFonts w:ascii="Arial Narrow" w:hAnsi="Arial Narrow" w:cstheme="minorHAnsi"/>
                <w:i/>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i/>
                <w:snapToGrid/>
                <w:sz w:val="20"/>
                <w:szCs w:val="20"/>
              </w:rPr>
              <w:t>GUS</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UST</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886"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
                <w:snapToGrid/>
                <w:sz w:val="20"/>
                <w:szCs w:val="20"/>
              </w:rPr>
            </w:pPr>
            <w:r w:rsidRPr="006A6B13">
              <w:rPr>
                <w:rFonts w:ascii="Arial Narrow" w:hAnsi="Arial Narrow" w:cstheme="minorHAnsi"/>
                <w:i/>
                <w:snapToGrid/>
                <w:sz w:val="20"/>
                <w:szCs w:val="20"/>
              </w:rPr>
              <w:t>UST label</w:t>
            </w:r>
          </w:p>
        </w:tc>
        <w:tc>
          <w:tcPr>
            <w:tcW w:w="567" w:type="dxa"/>
            <w:vAlign w:val="center"/>
          </w:tcPr>
          <w:p w:rsidR="00CC2D90" w:rsidRPr="006A6B13" w:rsidRDefault="00CC2D90" w:rsidP="00083A5D">
            <w:pPr>
              <w:keepNext/>
              <w:keepLines/>
              <w:snapToGrid w:val="0"/>
              <w:contextualSpacing/>
              <w:jc w:val="center"/>
              <w:rPr>
                <w:rFonts w:ascii="Arial Narrow" w:hAnsi="Arial Narrow" w:cstheme="minorHAnsi"/>
                <w:b/>
                <w:i/>
                <w:snapToGrid/>
                <w:sz w:val="20"/>
                <w:szCs w:val="20"/>
              </w:rPr>
            </w:pPr>
            <w:r w:rsidRPr="006A6B13">
              <w:rPr>
                <w:rFonts w:ascii="Arial Narrow" w:hAnsi="Arial Narrow" w:cstheme="minorHAnsi"/>
                <w:b/>
                <w:i/>
                <w:snapToGrid/>
                <w:sz w:val="20"/>
                <w:szCs w:val="20"/>
              </w:rPr>
              <w:t>GUS</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744" w:type="dxa"/>
            <w:tcBorders>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bCs/>
                <w:i/>
                <w:snapToGrid/>
                <w:sz w:val="20"/>
                <w:szCs w:val="20"/>
              </w:rPr>
            </w:pPr>
            <w:r w:rsidRPr="006A6B13">
              <w:rPr>
                <w:rFonts w:ascii="Arial Narrow" w:hAnsi="Arial Narrow" w:cstheme="minorHAnsi"/>
                <w:b/>
                <w:bCs/>
                <w:i/>
                <w:snapToGrid/>
                <w:sz w:val="20"/>
                <w:szCs w:val="20"/>
              </w:rPr>
              <w:t>GUS (</w:t>
            </w:r>
            <w:r w:rsidRPr="006A6B13">
              <w:rPr>
                <w:rFonts w:ascii="Arial Narrow" w:hAnsi="Arial Narrow" w:cstheme="minorHAnsi"/>
                <w:b/>
                <w:bCs/>
                <w:i/>
                <w:snapToGrid/>
                <w:sz w:val="20"/>
                <w:szCs w:val="20"/>
              </w:rPr>
              <w:sym w:font="Symbol" w:char="F0D6"/>
            </w:r>
            <w:r w:rsidRPr="006A6B13">
              <w:rPr>
                <w:rFonts w:ascii="Arial Narrow" w:hAnsi="Arial Narrow" w:cstheme="minorHAnsi"/>
                <w:b/>
                <w:bCs/>
                <w:i/>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886"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Cs/>
                <w:snapToGrid/>
                <w:sz w:val="20"/>
                <w:szCs w:val="20"/>
              </w:rPr>
            </w:pPr>
            <w:r w:rsidRPr="006A6B13">
              <w:rPr>
                <w:rFonts w:ascii="Arial Narrow" w:hAnsi="Arial Narrow" w:cstheme="minorHAnsi"/>
                <w:iCs/>
                <w:snapToGrid/>
                <w:sz w:val="20"/>
                <w:szCs w:val="20"/>
              </w:rPr>
              <w:t>UST 45mg (PHOENIX trials only)*</w:t>
            </w:r>
          </w:p>
        </w:tc>
        <w:tc>
          <w:tcPr>
            <w:tcW w:w="567" w:type="dxa"/>
            <w:vAlign w:val="center"/>
          </w:tcPr>
          <w:p w:rsidR="00CC2D90" w:rsidRPr="006A6B13" w:rsidRDefault="00CC2D90" w:rsidP="00083A5D">
            <w:pPr>
              <w:keepNext/>
              <w:keepLines/>
              <w:snapToGrid w:val="0"/>
              <w:contextualSpacing/>
              <w:jc w:val="center"/>
              <w:rPr>
                <w:rFonts w:ascii="Arial Narrow" w:hAnsi="Arial Narrow" w:cstheme="minorHAnsi"/>
                <w:b/>
                <w:iCs/>
                <w:snapToGrid/>
                <w:sz w:val="20"/>
                <w:szCs w:val="20"/>
              </w:rPr>
            </w:pPr>
            <w:r w:rsidRPr="006A6B13">
              <w:rPr>
                <w:rFonts w:ascii="Arial Narrow" w:hAnsi="Arial Narrow" w:cstheme="minorHAnsi"/>
                <w:iCs/>
                <w:snapToGrid/>
                <w:sz w:val="20"/>
                <w:szCs w:val="20"/>
              </w:rPr>
              <w:t>GUS</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iCs/>
                <w:snapToGrid/>
                <w:sz w:val="20"/>
                <w:szCs w:val="20"/>
              </w:rPr>
              <w:t>UST</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b/>
                <w:iCs/>
                <w:snapToGrid/>
                <w:sz w:val="20"/>
                <w:szCs w:val="20"/>
              </w:rPr>
            </w:pPr>
            <w:r w:rsidRPr="006A6B13">
              <w:rPr>
                <w:rFonts w:ascii="Arial Narrow" w:hAnsi="Arial Narrow" w:cstheme="minorHAnsi"/>
                <w:b/>
                <w:iCs/>
                <w:snapToGrid/>
                <w:sz w:val="20"/>
                <w:szCs w:val="20"/>
              </w:rPr>
              <w:t>GUS</w:t>
            </w:r>
          </w:p>
        </w:tc>
        <w:tc>
          <w:tcPr>
            <w:tcW w:w="744" w:type="dxa"/>
            <w:tcBorders>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b/>
                <w:iCs/>
                <w:snapToGrid/>
                <w:sz w:val="20"/>
                <w:szCs w:val="20"/>
              </w:rPr>
            </w:pPr>
            <w:r w:rsidRPr="006A6B13">
              <w:rPr>
                <w:rFonts w:ascii="Arial Narrow" w:hAnsi="Arial Narrow" w:cstheme="minorHAnsi"/>
                <w:b/>
                <w:iCs/>
                <w:snapToGrid/>
                <w:sz w:val="20"/>
                <w:szCs w:val="20"/>
              </w:rPr>
              <w:t>GUS (</w:t>
            </w:r>
            <w:r w:rsidRPr="006A6B13">
              <w:rPr>
                <w:rFonts w:ascii="Arial Narrow" w:hAnsi="Arial Narrow" w:cstheme="minorHAnsi"/>
                <w:b/>
                <w:iCs/>
                <w:snapToGrid/>
                <w:sz w:val="20"/>
                <w:szCs w:val="20"/>
              </w:rPr>
              <w:sym w:font="Symbol" w:char="F0D6"/>
            </w:r>
            <w:r w:rsidRPr="006A6B13">
              <w:rPr>
                <w:rFonts w:ascii="Arial Narrow" w:hAnsi="Arial Narrow" w:cstheme="minorHAnsi"/>
                <w:b/>
                <w:iCs/>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iCs/>
                <w:snapToGrid/>
                <w:sz w:val="20"/>
                <w:szCs w:val="20"/>
              </w:rPr>
              <w:t>UST</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iCs/>
                <w:snapToGrid/>
                <w:sz w:val="20"/>
                <w:szCs w:val="20"/>
              </w:rPr>
              <w:t>UST</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b/>
                <w:bCs/>
                <w:iCs/>
                <w:snapToGrid/>
                <w:sz w:val="20"/>
                <w:szCs w:val="20"/>
              </w:rPr>
            </w:pPr>
            <w:r w:rsidRPr="006A6B13">
              <w:rPr>
                <w:rFonts w:ascii="Arial Narrow" w:hAnsi="Arial Narrow" w:cstheme="minorHAnsi"/>
                <w:b/>
                <w:bCs/>
                <w:iCs/>
                <w:snapToGrid/>
                <w:sz w:val="20"/>
                <w:szCs w:val="20"/>
              </w:rPr>
              <w:t>GUS</w:t>
            </w:r>
          </w:p>
        </w:tc>
        <w:tc>
          <w:tcPr>
            <w:tcW w:w="886" w:type="dxa"/>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b/>
                <w:iCs/>
                <w:snapToGrid/>
                <w:sz w:val="20"/>
                <w:szCs w:val="20"/>
              </w:rPr>
              <w:t>GUS (</w:t>
            </w:r>
            <w:r w:rsidRPr="006A6B13">
              <w:rPr>
                <w:rFonts w:ascii="Arial Narrow" w:hAnsi="Arial Narrow" w:cstheme="minorHAnsi"/>
                <w:b/>
                <w:iCs/>
                <w:snapToGrid/>
                <w:sz w:val="20"/>
                <w:szCs w:val="20"/>
              </w:rPr>
              <w:sym w:font="Symbol" w:char="F0D6"/>
            </w:r>
            <w:r w:rsidRPr="006A6B13">
              <w:rPr>
                <w:rFonts w:ascii="Arial Narrow" w:hAnsi="Arial Narrow" w:cstheme="minorHAnsi"/>
                <w:b/>
                <w:iCs/>
                <w:snapToGrid/>
                <w:sz w:val="20"/>
                <w:szCs w:val="20"/>
              </w:rPr>
              <w:t xml:space="preserve"> ) </w:t>
            </w: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Cs/>
                <w:snapToGrid/>
                <w:sz w:val="20"/>
                <w:szCs w:val="20"/>
              </w:rPr>
            </w:pPr>
            <w:r w:rsidRPr="006A6B13">
              <w:rPr>
                <w:rFonts w:ascii="Arial Narrow" w:hAnsi="Arial Narrow" w:cstheme="minorHAnsi"/>
                <w:iCs/>
                <w:snapToGrid/>
                <w:sz w:val="20"/>
                <w:szCs w:val="20"/>
              </w:rPr>
              <w:t>UST 90mg (PHOENIX trials only)*</w:t>
            </w:r>
          </w:p>
        </w:tc>
        <w:tc>
          <w:tcPr>
            <w:tcW w:w="567" w:type="dxa"/>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iCs/>
                <w:snapToGrid/>
                <w:sz w:val="20"/>
                <w:szCs w:val="20"/>
              </w:rPr>
              <w:t>UST</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iCs/>
                <w:snapToGrid/>
                <w:sz w:val="20"/>
                <w:szCs w:val="20"/>
              </w:rPr>
              <w:t>UST</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b/>
                <w:iCs/>
                <w:snapToGrid/>
                <w:sz w:val="20"/>
                <w:szCs w:val="20"/>
              </w:rPr>
            </w:pPr>
            <w:r w:rsidRPr="006A6B13">
              <w:rPr>
                <w:rFonts w:ascii="Arial Narrow" w:hAnsi="Arial Narrow" w:cstheme="minorHAnsi"/>
                <w:b/>
                <w:iCs/>
                <w:snapToGrid/>
                <w:sz w:val="20"/>
                <w:szCs w:val="20"/>
              </w:rPr>
              <w:t>GUS</w:t>
            </w:r>
          </w:p>
        </w:tc>
        <w:tc>
          <w:tcPr>
            <w:tcW w:w="744" w:type="dxa"/>
            <w:tcBorders>
              <w:righ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iCs/>
                <w:snapToGrid/>
                <w:sz w:val="20"/>
                <w:szCs w:val="20"/>
              </w:rPr>
              <w:t>GUS (</w:t>
            </w:r>
            <w:r w:rsidRPr="006A6B13">
              <w:rPr>
                <w:rFonts w:ascii="Arial Narrow" w:hAnsi="Arial Narrow" w:cstheme="minorHAnsi"/>
                <w:iCs/>
                <w:snapToGrid/>
                <w:sz w:val="20"/>
                <w:szCs w:val="20"/>
              </w:rPr>
              <w:sym w:font="Symbol" w:char="F0D6"/>
            </w:r>
            <w:r w:rsidRPr="006A6B13">
              <w:rPr>
                <w:rFonts w:ascii="Arial Narrow" w:hAnsi="Arial Narrow" w:cstheme="minorHAnsi"/>
                <w:iCs/>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iCs/>
                <w:snapToGrid/>
                <w:sz w:val="20"/>
                <w:szCs w:val="20"/>
              </w:rPr>
              <w:t>GUS</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iCs/>
                <w:snapToGrid/>
                <w:sz w:val="20"/>
                <w:szCs w:val="20"/>
              </w:rPr>
              <w:t>UST</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b/>
                <w:bCs/>
                <w:iCs/>
                <w:snapToGrid/>
                <w:sz w:val="20"/>
                <w:szCs w:val="20"/>
              </w:rPr>
            </w:pPr>
            <w:r w:rsidRPr="006A6B13">
              <w:rPr>
                <w:rFonts w:ascii="Arial Narrow" w:hAnsi="Arial Narrow" w:cstheme="minorHAnsi"/>
                <w:b/>
                <w:bCs/>
                <w:iCs/>
                <w:snapToGrid/>
                <w:sz w:val="20"/>
                <w:szCs w:val="20"/>
              </w:rPr>
              <w:t>GUS</w:t>
            </w:r>
          </w:p>
        </w:tc>
        <w:tc>
          <w:tcPr>
            <w:tcW w:w="886" w:type="dxa"/>
            <w:vAlign w:val="center"/>
          </w:tcPr>
          <w:p w:rsidR="00CC2D90" w:rsidRPr="006A6B13" w:rsidRDefault="00CC2D90" w:rsidP="00083A5D">
            <w:pPr>
              <w:keepNext/>
              <w:keepLines/>
              <w:snapToGrid w:val="0"/>
              <w:contextualSpacing/>
              <w:jc w:val="center"/>
              <w:rPr>
                <w:rFonts w:ascii="Arial Narrow" w:hAnsi="Arial Narrow" w:cstheme="minorHAnsi"/>
                <w:iCs/>
                <w:snapToGrid/>
                <w:sz w:val="20"/>
                <w:szCs w:val="20"/>
              </w:rPr>
            </w:pPr>
            <w:r w:rsidRPr="006A6B13">
              <w:rPr>
                <w:rFonts w:ascii="Arial Narrow" w:hAnsi="Arial Narrow" w:cstheme="minorHAnsi"/>
                <w:b/>
                <w:iCs/>
                <w:snapToGrid/>
                <w:sz w:val="20"/>
                <w:szCs w:val="20"/>
              </w:rPr>
              <w:t>GUS (</w:t>
            </w:r>
            <w:r w:rsidRPr="006A6B13">
              <w:rPr>
                <w:rFonts w:ascii="Arial Narrow" w:hAnsi="Arial Narrow" w:cstheme="minorHAnsi"/>
                <w:b/>
                <w:iCs/>
                <w:snapToGrid/>
                <w:sz w:val="20"/>
                <w:szCs w:val="20"/>
              </w:rPr>
              <w:sym w:font="Symbol" w:char="F0D6"/>
            </w:r>
            <w:r w:rsidRPr="006A6B13">
              <w:rPr>
                <w:rFonts w:ascii="Arial Narrow" w:hAnsi="Arial Narrow" w:cstheme="minorHAnsi"/>
                <w:b/>
                <w:iCs/>
                <w:snapToGrid/>
                <w:sz w:val="20"/>
                <w:szCs w:val="20"/>
              </w:rPr>
              <w:t xml:space="preserve">  )</w:t>
            </w:r>
          </w:p>
        </w:tc>
      </w:tr>
      <w:tr w:rsidR="00CC2D90" w:rsidRPr="006A6B13" w:rsidTr="00A83222">
        <w:tc>
          <w:tcPr>
            <w:tcW w:w="2689" w:type="dxa"/>
          </w:tcPr>
          <w:p w:rsidR="00CC2D90" w:rsidRPr="006A6B13" w:rsidRDefault="00CC2D90" w:rsidP="00083A5D">
            <w:pPr>
              <w:keepNext/>
              <w:keepLines/>
              <w:snapToGrid w:val="0"/>
              <w:ind w:left="110"/>
              <w:contextualSpacing/>
              <w:jc w:val="left"/>
              <w:rPr>
                <w:rFonts w:ascii="Arial Narrow" w:hAnsi="Arial Narrow" w:cstheme="minorHAnsi"/>
                <w:i/>
                <w:snapToGrid/>
                <w:sz w:val="20"/>
                <w:szCs w:val="20"/>
              </w:rPr>
            </w:pPr>
            <w:r w:rsidRPr="006A6B13">
              <w:rPr>
                <w:rFonts w:ascii="Arial Narrow" w:hAnsi="Arial Narrow" w:cstheme="minorHAnsi"/>
                <w:i/>
                <w:snapToGrid/>
                <w:sz w:val="20"/>
                <w:szCs w:val="20"/>
              </w:rPr>
              <w:t>UST (all doses pooled)</w:t>
            </w:r>
          </w:p>
        </w:tc>
        <w:tc>
          <w:tcPr>
            <w:tcW w:w="567" w:type="dxa"/>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w:t>
            </w:r>
          </w:p>
        </w:tc>
        <w:tc>
          <w:tcPr>
            <w:tcW w:w="904" w:type="dxa"/>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UST</w:t>
            </w:r>
          </w:p>
        </w:tc>
        <w:tc>
          <w:tcPr>
            <w:tcW w:w="903" w:type="dxa"/>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744" w:type="dxa"/>
            <w:tcBorders>
              <w:right w:val="double" w:sz="4" w:space="0" w:color="auto"/>
            </w:tcBorders>
          </w:tcPr>
          <w:p w:rsidR="00CC2D90" w:rsidRPr="006A6B13" w:rsidRDefault="00CC2D90" w:rsidP="00083A5D">
            <w:pPr>
              <w:keepNext/>
              <w:keepLines/>
              <w:snapToGrid w:val="0"/>
              <w:contextualSpacing/>
              <w:jc w:val="center"/>
              <w:rPr>
                <w:rFonts w:ascii="Arial Narrow" w:hAnsi="Arial Narrow" w:cstheme="minorHAnsi"/>
                <w:b/>
                <w:bCs/>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c>
          <w:tcPr>
            <w:tcW w:w="567" w:type="dxa"/>
            <w:tcBorders>
              <w:left w:val="double" w:sz="4" w:space="0" w:color="auto"/>
            </w:tcBorders>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GUS</w:t>
            </w:r>
          </w:p>
        </w:tc>
        <w:tc>
          <w:tcPr>
            <w:tcW w:w="903"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UST</w:t>
            </w:r>
          </w:p>
        </w:tc>
        <w:tc>
          <w:tcPr>
            <w:tcW w:w="904"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i/>
                <w:snapToGrid/>
                <w:sz w:val="20"/>
                <w:szCs w:val="20"/>
              </w:rPr>
              <w:t>NE</w:t>
            </w:r>
          </w:p>
        </w:tc>
        <w:tc>
          <w:tcPr>
            <w:tcW w:w="886" w:type="dxa"/>
            <w:vAlign w:val="center"/>
          </w:tcPr>
          <w:p w:rsidR="00CC2D90" w:rsidRPr="006A6B13" w:rsidRDefault="00CC2D90" w:rsidP="00083A5D">
            <w:pPr>
              <w:keepNext/>
              <w:keepLines/>
              <w:snapToGrid w:val="0"/>
              <w:contextualSpacing/>
              <w:jc w:val="center"/>
              <w:rPr>
                <w:rFonts w:ascii="Arial Narrow" w:hAnsi="Arial Narrow" w:cstheme="minorHAnsi"/>
                <w:i/>
                <w:snapToGrid/>
                <w:sz w:val="20"/>
                <w:szCs w:val="20"/>
              </w:rPr>
            </w:pPr>
            <w:r w:rsidRPr="006A6B13">
              <w:rPr>
                <w:rFonts w:ascii="Arial Narrow" w:hAnsi="Arial Narrow" w:cstheme="minorHAnsi"/>
                <w:b/>
                <w:i/>
                <w:snapToGrid/>
                <w:sz w:val="20"/>
                <w:szCs w:val="20"/>
              </w:rPr>
              <w:t>GUS (</w:t>
            </w:r>
            <w:r w:rsidRPr="006A6B13">
              <w:rPr>
                <w:rFonts w:ascii="Arial Narrow" w:hAnsi="Arial Narrow" w:cstheme="minorHAnsi"/>
                <w:b/>
                <w:i/>
                <w:snapToGrid/>
                <w:sz w:val="20"/>
                <w:szCs w:val="20"/>
              </w:rPr>
              <w:sym w:font="Symbol" w:char="F0D6"/>
            </w:r>
            <w:r w:rsidRPr="006A6B13">
              <w:rPr>
                <w:rFonts w:ascii="Arial Narrow" w:hAnsi="Arial Narrow" w:cstheme="minorHAnsi"/>
                <w:b/>
                <w:i/>
                <w:snapToGrid/>
                <w:sz w:val="20"/>
                <w:szCs w:val="20"/>
              </w:rPr>
              <w:t xml:space="preserve"> )</w:t>
            </w:r>
          </w:p>
        </w:tc>
      </w:tr>
    </w:tbl>
    <w:p w:rsidR="00CC2D90" w:rsidRDefault="00CC2D90" w:rsidP="00083A5D">
      <w:pPr>
        <w:keepNext/>
        <w:keepLines/>
        <w:snapToGrid w:val="0"/>
        <w:contextualSpacing/>
        <w:rPr>
          <w:rFonts w:ascii="Arial Narrow" w:hAnsi="Arial Narrow" w:cstheme="minorHAnsi"/>
          <w:i/>
          <w:snapToGrid/>
          <w:sz w:val="18"/>
          <w:szCs w:val="18"/>
        </w:rPr>
      </w:pPr>
      <w:r w:rsidRPr="00747BAC">
        <w:rPr>
          <w:rFonts w:ascii="Arial Narrow" w:hAnsi="Arial Narrow" w:cstheme="minorHAnsi"/>
          <w:i/>
          <w:snapToGrid/>
          <w:sz w:val="18"/>
          <w:szCs w:val="18"/>
        </w:rPr>
        <w:t>Bold typography indicates that the indirect comparison reached statistical significance favouring the named drug.</w:t>
      </w:r>
      <w:r>
        <w:rPr>
          <w:rFonts w:ascii="Arial Narrow" w:hAnsi="Arial Narrow" w:cstheme="minorHAnsi"/>
          <w:i/>
          <w:snapToGrid/>
          <w:sz w:val="18"/>
          <w:szCs w:val="18"/>
        </w:rPr>
        <w:t xml:space="preserve"> Italics represent comparisons that were conducted during the evaluation.</w:t>
      </w:r>
    </w:p>
    <w:p w:rsidR="00CC2D90" w:rsidRPr="00F230F9" w:rsidRDefault="00CC2D90" w:rsidP="00083A5D">
      <w:pPr>
        <w:keepNext/>
        <w:keepLines/>
        <w:snapToGrid w:val="0"/>
        <w:contextualSpacing/>
        <w:rPr>
          <w:rFonts w:ascii="Arial Narrow" w:hAnsi="Arial Narrow" w:cstheme="minorHAnsi"/>
          <w:i/>
          <w:snapToGrid/>
          <w:sz w:val="18"/>
          <w:szCs w:val="18"/>
        </w:rPr>
      </w:pPr>
      <w:r w:rsidRPr="00F230F9">
        <w:rPr>
          <w:rFonts w:ascii="Arial Narrow" w:hAnsi="Arial Narrow" w:cstheme="minorHAnsi"/>
          <w:i/>
          <w:snapToGrid/>
          <w:sz w:val="18"/>
          <w:szCs w:val="18"/>
        </w:rPr>
        <w:t>*</w:t>
      </w:r>
      <w:r>
        <w:rPr>
          <w:rFonts w:ascii="Arial Narrow" w:hAnsi="Arial Narrow" w:cstheme="minorHAnsi"/>
          <w:i/>
          <w:snapToGrid/>
          <w:sz w:val="18"/>
          <w:szCs w:val="18"/>
        </w:rPr>
        <w:tab/>
      </w:r>
      <w:r w:rsidRPr="00F230F9">
        <w:rPr>
          <w:rFonts w:ascii="Arial Narrow" w:hAnsi="Arial Narrow" w:cstheme="minorHAnsi"/>
          <w:i/>
          <w:snapToGrid/>
          <w:sz w:val="18"/>
          <w:szCs w:val="18"/>
        </w:rPr>
        <w:t>Submissions’ results</w:t>
      </w:r>
      <w:r>
        <w:rPr>
          <w:rFonts w:ascii="Arial Narrow" w:hAnsi="Arial Narrow" w:cstheme="minorHAnsi"/>
          <w:i/>
          <w:snapToGrid/>
          <w:sz w:val="18"/>
          <w:szCs w:val="18"/>
        </w:rPr>
        <w:t>.</w:t>
      </w:r>
    </w:p>
    <w:p w:rsidR="00CC2D90" w:rsidRPr="00747BAC" w:rsidRDefault="00CC2D90" w:rsidP="00083A5D">
      <w:pPr>
        <w:keepNext/>
        <w:keepLines/>
        <w:snapToGrid w:val="0"/>
        <w:contextualSpacing/>
        <w:rPr>
          <w:rFonts w:ascii="Arial Narrow" w:hAnsi="Arial Narrow" w:cstheme="minorHAnsi"/>
          <w:i/>
          <w:snapToGrid/>
          <w:sz w:val="18"/>
          <w:szCs w:val="18"/>
        </w:rPr>
      </w:pPr>
      <w:r w:rsidRPr="00747BAC">
        <w:rPr>
          <w:rFonts w:ascii="Arial Narrow" w:hAnsi="Arial Narrow" w:cstheme="minorHAnsi"/>
          <w:i/>
          <w:snapToGrid/>
          <w:sz w:val="18"/>
          <w:szCs w:val="18"/>
        </w:rPr>
        <w:t xml:space="preserve">Abbreviations: NE=not estimated. </w:t>
      </w:r>
      <w:r w:rsidRPr="00747BAC">
        <w:rPr>
          <w:rFonts w:ascii="Arial Narrow" w:hAnsi="Arial Narrow" w:cstheme="minorHAnsi"/>
          <w:i/>
          <w:snapToGrid/>
          <w:sz w:val="18"/>
          <w:szCs w:val="18"/>
        </w:rPr>
        <w:sym w:font="Symbol" w:char="F0D6"/>
      </w:r>
      <w:r w:rsidRPr="00747BAC">
        <w:rPr>
          <w:rFonts w:ascii="Arial Narrow" w:hAnsi="Arial Narrow" w:cstheme="minorHAnsi"/>
          <w:i/>
          <w:snapToGrid/>
          <w:sz w:val="18"/>
          <w:szCs w:val="18"/>
        </w:rPr>
        <w:t>=</w:t>
      </w:r>
      <w:r w:rsidRPr="00747BAC">
        <w:rPr>
          <w:rFonts w:ascii="Arial Narrow" w:hAnsi="Arial Narrow" w:cstheme="minorHAnsi"/>
          <w:i/>
          <w:snapToGrid/>
          <w:sz w:val="18"/>
          <w:szCs w:val="18"/>
        </w:rPr>
        <w:tab/>
        <w:t>the lower 95%CI meets the -10% non-inferiority margin in RD. X=the lower 95%CI does not meet the -10% non-inferiority margin in RD.</w:t>
      </w:r>
    </w:p>
    <w:p w:rsidR="00CC2D90" w:rsidRPr="00747BAC" w:rsidRDefault="00CC2D90" w:rsidP="00083A5D">
      <w:pPr>
        <w:keepNext/>
        <w:keepLines/>
        <w:snapToGrid w:val="0"/>
        <w:contextualSpacing/>
        <w:rPr>
          <w:rFonts w:ascii="Arial Narrow" w:hAnsi="Arial Narrow" w:cstheme="minorHAnsi"/>
          <w:i/>
          <w:snapToGrid/>
          <w:sz w:val="18"/>
          <w:szCs w:val="18"/>
        </w:rPr>
      </w:pPr>
      <w:r w:rsidRPr="00747BAC">
        <w:rPr>
          <w:rFonts w:ascii="Arial Narrow" w:hAnsi="Arial Narrow" w:cstheme="minorHAnsi"/>
          <w:i/>
          <w:snapToGrid/>
          <w:sz w:val="18"/>
          <w:szCs w:val="18"/>
        </w:rPr>
        <w:t>Source compiled during the evaluation.</w:t>
      </w:r>
    </w:p>
    <w:p w:rsidR="00C960B9" w:rsidRDefault="00C960B9" w:rsidP="006314BD">
      <w:pPr>
        <w:widowControl/>
        <w:rPr>
          <w:rStyle w:val="CommentReference"/>
          <w:b w:val="0"/>
          <w:sz w:val="16"/>
        </w:rPr>
      </w:pPr>
    </w:p>
    <w:p w:rsidR="00C960B9" w:rsidRPr="00C960B9" w:rsidRDefault="00C960B9" w:rsidP="00C960B9">
      <w:pPr>
        <w:rPr>
          <w:b/>
          <w:bCs/>
          <w:u w:val="single"/>
        </w:rPr>
      </w:pPr>
      <w:r w:rsidRPr="00C960B9">
        <w:rPr>
          <w:b/>
          <w:bCs/>
          <w:u w:val="single"/>
        </w:rPr>
        <w:t>Summary of efficacy results</w:t>
      </w:r>
    </w:p>
    <w:p w:rsidR="00C960B9" w:rsidRDefault="00C960B9" w:rsidP="00C960B9">
      <w:pPr>
        <w:rPr>
          <w:b/>
          <w:bCs/>
        </w:rPr>
      </w:pPr>
    </w:p>
    <w:p w:rsidR="006314BD" w:rsidRDefault="00C960B9" w:rsidP="004A44A7">
      <w:pPr>
        <w:spacing w:after="120"/>
        <w:rPr>
          <w:b/>
          <w:bCs/>
        </w:rPr>
      </w:pPr>
      <w:r w:rsidRPr="00C960B9">
        <w:rPr>
          <w:b/>
          <w:bCs/>
        </w:rPr>
        <w:t>GUS</w:t>
      </w:r>
      <w:r w:rsidR="00594775">
        <w:rPr>
          <w:b/>
          <w:bCs/>
        </w:rPr>
        <w:t>ELKUMAB</w:t>
      </w:r>
      <w:r w:rsidRPr="00C960B9">
        <w:rPr>
          <w:b/>
          <w:bCs/>
        </w:rPr>
        <w:t xml:space="preserve"> versus UST</w:t>
      </w:r>
      <w:r w:rsidR="00594775">
        <w:rPr>
          <w:b/>
          <w:bCs/>
        </w:rPr>
        <w:t>EKINUMAB</w:t>
      </w:r>
    </w:p>
    <w:p w:rsidR="00C960B9" w:rsidRPr="009F3167" w:rsidRDefault="00AF7230" w:rsidP="00C960B9">
      <w:pPr>
        <w:pStyle w:val="ListParagraph"/>
        <w:widowControl/>
        <w:numPr>
          <w:ilvl w:val="1"/>
          <w:numId w:val="3"/>
        </w:numPr>
        <w:rPr>
          <w:iCs/>
          <w:snapToGrid/>
        </w:rPr>
      </w:pPr>
      <w:r w:rsidRPr="009F3167">
        <w:rPr>
          <w:iCs/>
          <w:snapToGrid/>
        </w:rPr>
        <w:t>Both guselkumab and ustekinumab</w:t>
      </w:r>
      <w:r w:rsidR="00C960B9" w:rsidRPr="009F3167">
        <w:rPr>
          <w:iCs/>
          <w:snapToGrid/>
        </w:rPr>
        <w:t xml:space="preserve"> were significantly more effective than placebo in terms of proportions of patients attaining either PASI 90 or PASI 75 response</w:t>
      </w:r>
      <w:r w:rsidR="004D7463" w:rsidRPr="009F3167">
        <w:rPr>
          <w:iCs/>
          <w:snapToGrid/>
        </w:rPr>
        <w:t>s</w:t>
      </w:r>
      <w:r w:rsidR="00C960B9" w:rsidRPr="009F3167">
        <w:rPr>
          <w:iCs/>
          <w:snapToGrid/>
        </w:rPr>
        <w:t xml:space="preserve">.  This was also affirmed by result of investigator assessed responses (IGA in the </w:t>
      </w:r>
      <w:proofErr w:type="spellStart"/>
      <w:r w:rsidR="00DE69CD" w:rsidRPr="009F3167">
        <w:rPr>
          <w:iCs/>
          <w:snapToGrid/>
        </w:rPr>
        <w:t>guselkumab</w:t>
      </w:r>
      <w:proofErr w:type="spellEnd"/>
      <w:r w:rsidR="00DE69CD" w:rsidRPr="009F3167">
        <w:rPr>
          <w:iCs/>
          <w:snapToGrid/>
        </w:rPr>
        <w:t xml:space="preserve"> </w:t>
      </w:r>
      <w:r w:rsidR="00C960B9" w:rsidRPr="009F3167">
        <w:rPr>
          <w:iCs/>
          <w:snapToGrid/>
        </w:rPr>
        <w:t>trial</w:t>
      </w:r>
      <w:r w:rsidR="00442641">
        <w:rPr>
          <w:iCs/>
          <w:snapToGrid/>
        </w:rPr>
        <w:t>s</w:t>
      </w:r>
      <w:r w:rsidR="00C960B9" w:rsidRPr="009F3167">
        <w:rPr>
          <w:iCs/>
          <w:snapToGrid/>
        </w:rPr>
        <w:t xml:space="preserve"> </w:t>
      </w:r>
      <w:r w:rsidRPr="009F3167">
        <w:rPr>
          <w:iCs/>
          <w:snapToGrid/>
        </w:rPr>
        <w:t xml:space="preserve">and </w:t>
      </w:r>
      <w:proofErr w:type="spellStart"/>
      <w:r w:rsidRPr="009F3167">
        <w:rPr>
          <w:iCs/>
          <w:snapToGrid/>
        </w:rPr>
        <w:t>sPGA</w:t>
      </w:r>
      <w:proofErr w:type="spellEnd"/>
      <w:r w:rsidRPr="009F3167">
        <w:rPr>
          <w:iCs/>
          <w:snapToGrid/>
        </w:rPr>
        <w:t xml:space="preserve"> in the ustekinumab</w:t>
      </w:r>
      <w:r w:rsidR="00C960B9" w:rsidRPr="009F3167">
        <w:rPr>
          <w:iCs/>
          <w:snapToGrid/>
        </w:rPr>
        <w:t xml:space="preserve"> trials</w:t>
      </w:r>
      <w:r w:rsidR="00442641">
        <w:rPr>
          <w:iCs/>
          <w:snapToGrid/>
        </w:rPr>
        <w:t>)</w:t>
      </w:r>
      <w:r w:rsidR="00C960B9" w:rsidRPr="009F3167">
        <w:rPr>
          <w:iCs/>
          <w:snapToGrid/>
        </w:rPr>
        <w:t xml:space="preserve">. </w:t>
      </w:r>
    </w:p>
    <w:p w:rsidR="00C960B9" w:rsidRPr="009F3167" w:rsidRDefault="00C960B9" w:rsidP="004D7463">
      <w:pPr>
        <w:pStyle w:val="ListParagraph"/>
        <w:widowControl/>
        <w:numPr>
          <w:ilvl w:val="1"/>
          <w:numId w:val="3"/>
        </w:numPr>
        <w:rPr>
          <w:iCs/>
          <w:snapToGrid/>
        </w:rPr>
      </w:pPr>
      <w:r w:rsidRPr="009F3167">
        <w:rPr>
          <w:iCs/>
          <w:snapToGrid/>
        </w:rPr>
        <w:t>Based on indirect comparisons using placebo as common reference (assessed at the end of trial</w:t>
      </w:r>
      <w:r w:rsidR="00AF7230" w:rsidRPr="009F3167">
        <w:rPr>
          <w:iCs/>
          <w:snapToGrid/>
        </w:rPr>
        <w:t xml:space="preserve"> placebo controlled periods) guselkumab was numerically superior to ustekinumab</w:t>
      </w:r>
      <w:r w:rsidRPr="009F3167">
        <w:rPr>
          <w:iCs/>
          <w:snapToGrid/>
        </w:rPr>
        <w:t xml:space="preserve"> 45mg, 90mg </w:t>
      </w:r>
      <w:r w:rsidR="004D7463" w:rsidRPr="009F3167">
        <w:rPr>
          <w:iCs/>
          <w:snapToGrid/>
        </w:rPr>
        <w:t xml:space="preserve">with </w:t>
      </w:r>
      <w:r w:rsidRPr="009F3167">
        <w:rPr>
          <w:iCs/>
          <w:snapToGrid/>
        </w:rPr>
        <w:t xml:space="preserve">respect to both PASI 75 and PASI 90 responses when comparisons were conducted using OR </w:t>
      </w:r>
      <w:proofErr w:type="spellStart"/>
      <w:r w:rsidRPr="009F3167">
        <w:rPr>
          <w:iCs/>
          <w:snapToGrid/>
        </w:rPr>
        <w:t>or</w:t>
      </w:r>
      <w:proofErr w:type="spellEnd"/>
      <w:r w:rsidRPr="009F3167">
        <w:rPr>
          <w:iCs/>
          <w:snapToGrid/>
        </w:rPr>
        <w:t xml:space="preserve"> RD.  The results also reached statistical significance in the RD statistic for both PASI 75 and PASI 90 responses for all comparisons.  In the OR statistic, the resul</w:t>
      </w:r>
      <w:r w:rsidR="00AF7230" w:rsidRPr="009F3167">
        <w:rPr>
          <w:iCs/>
          <w:snapToGrid/>
        </w:rPr>
        <w:t>ts were also significant for guselkumab versus ustekinumab (labelled dosing) and ustekinumab</w:t>
      </w:r>
      <w:r w:rsidRPr="009F3167">
        <w:rPr>
          <w:iCs/>
          <w:snapToGrid/>
        </w:rPr>
        <w:t xml:space="preserve"> (all doses pooled) for PASI 75.  Using the RR statistic, n</w:t>
      </w:r>
      <w:r w:rsidR="00A20A2C">
        <w:rPr>
          <w:iCs/>
          <w:snapToGrid/>
        </w:rPr>
        <w:t xml:space="preserve">o </w:t>
      </w:r>
      <w:r w:rsidR="00A20A2C" w:rsidRPr="00442641">
        <w:rPr>
          <w:iCs/>
          <w:snapToGrid/>
        </w:rPr>
        <w:t>statistically</w:t>
      </w:r>
      <w:r w:rsidR="00A20A2C">
        <w:rPr>
          <w:iCs/>
          <w:snapToGrid/>
        </w:rPr>
        <w:t xml:space="preserve"> </w:t>
      </w:r>
      <w:r w:rsidRPr="009F3167">
        <w:rPr>
          <w:iCs/>
          <w:snapToGrid/>
        </w:rPr>
        <w:t>significant diffe</w:t>
      </w:r>
      <w:r w:rsidR="00AF7230" w:rsidRPr="009F3167">
        <w:rPr>
          <w:iCs/>
          <w:snapToGrid/>
        </w:rPr>
        <w:t>rences were detected between guselkumab</w:t>
      </w:r>
      <w:r w:rsidR="00DE69CD" w:rsidRPr="009F3167">
        <w:rPr>
          <w:iCs/>
          <w:snapToGrid/>
        </w:rPr>
        <w:t xml:space="preserve"> in</w:t>
      </w:r>
      <w:r w:rsidR="00AF7230" w:rsidRPr="009F3167">
        <w:rPr>
          <w:iCs/>
          <w:snapToGrid/>
        </w:rPr>
        <w:t xml:space="preserve"> any of the ustekinumab</w:t>
      </w:r>
      <w:r w:rsidRPr="009F3167">
        <w:rPr>
          <w:iCs/>
          <w:snapToGrid/>
        </w:rPr>
        <w:t xml:space="preserve"> comparisons, </w:t>
      </w:r>
      <w:r w:rsidR="003E03E2" w:rsidRPr="009F3167">
        <w:rPr>
          <w:iCs/>
          <w:snapToGrid/>
        </w:rPr>
        <w:t xml:space="preserve">and </w:t>
      </w:r>
      <w:r w:rsidRPr="009F3167">
        <w:rPr>
          <w:iCs/>
          <w:snapToGrid/>
        </w:rPr>
        <w:t xml:space="preserve">the direction of effect varied </w:t>
      </w:r>
      <w:r w:rsidR="00AF7230" w:rsidRPr="009F3167">
        <w:rPr>
          <w:iCs/>
          <w:snapToGrid/>
        </w:rPr>
        <w:t>depending on which dosage of ustekinumab</w:t>
      </w:r>
      <w:r w:rsidRPr="009F3167">
        <w:rPr>
          <w:iCs/>
          <w:snapToGrid/>
        </w:rPr>
        <w:t xml:space="preserve"> was </w:t>
      </w:r>
      <w:r w:rsidR="004D7463" w:rsidRPr="009F3167">
        <w:rPr>
          <w:iCs/>
          <w:snapToGrid/>
        </w:rPr>
        <w:t>compared</w:t>
      </w:r>
      <w:r w:rsidRPr="009F3167">
        <w:rPr>
          <w:iCs/>
          <w:snapToGrid/>
        </w:rPr>
        <w:t>.</w:t>
      </w:r>
    </w:p>
    <w:p w:rsidR="00C960B9" w:rsidRPr="009F3167" w:rsidRDefault="00C960B9" w:rsidP="00A40891">
      <w:pPr>
        <w:pStyle w:val="ListParagraph"/>
        <w:widowControl/>
        <w:numPr>
          <w:ilvl w:val="1"/>
          <w:numId w:val="3"/>
        </w:numPr>
        <w:rPr>
          <w:iCs/>
          <w:snapToGrid/>
        </w:rPr>
      </w:pPr>
      <w:r w:rsidRPr="009F3167">
        <w:rPr>
          <w:iCs/>
          <w:snapToGrid/>
        </w:rPr>
        <w:t>At 24 weeks, results of indirect comparisons using placebo response mea</w:t>
      </w:r>
      <w:r w:rsidR="00AF7230" w:rsidRPr="009F3167">
        <w:rPr>
          <w:iCs/>
          <w:snapToGrid/>
        </w:rPr>
        <w:t>sured at Weeks 16/12 for the guselkumab and ustekinumab</w:t>
      </w:r>
      <w:r w:rsidRPr="009F3167">
        <w:rPr>
          <w:iCs/>
          <w:snapToGrid/>
        </w:rPr>
        <w:t xml:space="preserve"> trials as common comparator gave similar conclusions based on RD for both PASI 75 and PASI 90 with results </w:t>
      </w:r>
      <w:r w:rsidR="00AF7230" w:rsidRPr="009F3167">
        <w:rPr>
          <w:iCs/>
          <w:snapToGrid/>
        </w:rPr>
        <w:t>favouring guselkumab</w:t>
      </w:r>
      <w:r w:rsidRPr="009F3167">
        <w:rPr>
          <w:iCs/>
          <w:snapToGrid/>
        </w:rPr>
        <w:t>, although fewer comparisons were statistically significant, all met the non-inferiority margin of -10%.  Using OR, the results</w:t>
      </w:r>
      <w:r w:rsidR="00AF7230" w:rsidRPr="009F3167">
        <w:rPr>
          <w:iCs/>
          <w:snapToGrid/>
        </w:rPr>
        <w:t xml:space="preserve"> were more varied, favouring guselkumab for some comparisons and ustekinumab</w:t>
      </w:r>
      <w:r w:rsidRPr="009F3167">
        <w:rPr>
          <w:iCs/>
          <w:snapToGrid/>
        </w:rPr>
        <w:t xml:space="preserve"> for others.  However, none </w:t>
      </w:r>
      <w:r w:rsidR="00AF7230" w:rsidRPr="009F3167">
        <w:rPr>
          <w:iCs/>
          <w:snapToGrid/>
        </w:rPr>
        <w:t>of the results that favoured ustekinumab</w:t>
      </w:r>
      <w:r w:rsidRPr="009F3167">
        <w:rPr>
          <w:iCs/>
          <w:snapToGrid/>
        </w:rPr>
        <w:t xml:space="preserve"> reached statistical significance.  </w:t>
      </w:r>
      <w:r w:rsidRPr="009F3167">
        <w:rPr>
          <w:iCs/>
          <w:snapToGrid/>
        </w:rPr>
        <w:lastRenderedPageBreak/>
        <w:t xml:space="preserve">Results for response expressed in RR, like OR were also varied, but the comparison versus </w:t>
      </w:r>
      <w:r w:rsidR="00DE69CD" w:rsidRPr="009F3167">
        <w:rPr>
          <w:iCs/>
          <w:snapToGrid/>
        </w:rPr>
        <w:t xml:space="preserve">ustekinumab </w:t>
      </w:r>
      <w:r w:rsidRPr="009F3167">
        <w:rPr>
          <w:iCs/>
          <w:snapToGrid/>
        </w:rPr>
        <w:t xml:space="preserve">90mg </w:t>
      </w:r>
      <w:r w:rsidR="00A40891" w:rsidRPr="009F3167">
        <w:rPr>
          <w:iCs/>
          <w:snapToGrid/>
        </w:rPr>
        <w:t xml:space="preserve">for PASI 75 </w:t>
      </w:r>
      <w:r w:rsidRPr="009F3167">
        <w:rPr>
          <w:iCs/>
          <w:snapToGrid/>
        </w:rPr>
        <w:t xml:space="preserve">did reach statistical significance </w:t>
      </w:r>
      <w:r w:rsidR="00A40891" w:rsidRPr="009F3167">
        <w:rPr>
          <w:iCs/>
          <w:snapToGrid/>
        </w:rPr>
        <w:t xml:space="preserve">RR (response) (95%CI): </w:t>
      </w:r>
      <w:r w:rsidR="00F87F3F">
        <w:rPr>
          <w:iCs/>
          <w:noProof/>
          <w:snapToGrid/>
          <w:color w:val="000000"/>
          <w:highlight w:val="black"/>
        </w:rPr>
        <w:t>''''''''' '''''''''' '''''''''</w:t>
      </w:r>
      <w:r w:rsidRPr="009F3167">
        <w:rPr>
          <w:iCs/>
          <w:snapToGrid/>
        </w:rPr>
        <w:t xml:space="preserve"> sugg</w:t>
      </w:r>
      <w:r w:rsidR="00AF7230" w:rsidRPr="009F3167">
        <w:rPr>
          <w:iCs/>
          <w:snapToGrid/>
        </w:rPr>
        <w:t>esting fewer responders with guselkumab than ustekinumab</w:t>
      </w:r>
      <w:r w:rsidRPr="009F3167">
        <w:rPr>
          <w:iCs/>
          <w:snapToGrid/>
        </w:rPr>
        <w:t xml:space="preserve"> 90mg.</w:t>
      </w:r>
    </w:p>
    <w:p w:rsidR="00C960B9" w:rsidRPr="009F3167" w:rsidRDefault="00C960B9" w:rsidP="00C960B9">
      <w:pPr>
        <w:pStyle w:val="ListParagraph"/>
        <w:widowControl/>
        <w:numPr>
          <w:ilvl w:val="1"/>
          <w:numId w:val="3"/>
        </w:numPr>
        <w:rPr>
          <w:iCs/>
          <w:snapToGrid/>
        </w:rPr>
      </w:pPr>
      <w:r w:rsidRPr="009F3167">
        <w:rPr>
          <w:iCs/>
          <w:snapToGrid/>
        </w:rPr>
        <w:t xml:space="preserve">In the second line population, the NAVIGATE trial reported a composite outcome of proportion of patients with IGA 0/1 and &gt; 2-grade improvement.  </w:t>
      </w:r>
      <w:r w:rsidR="00442641">
        <w:rPr>
          <w:iCs/>
          <w:snapToGrid/>
        </w:rPr>
        <w:t>G</w:t>
      </w:r>
      <w:r w:rsidR="00AF7230" w:rsidRPr="009F3167">
        <w:rPr>
          <w:iCs/>
          <w:snapToGrid/>
        </w:rPr>
        <w:t>uselkumab</w:t>
      </w:r>
      <w:r w:rsidRPr="009F3167">
        <w:rPr>
          <w:iCs/>
          <w:snapToGrid/>
        </w:rPr>
        <w:t xml:space="preserve"> was stati</w:t>
      </w:r>
      <w:r w:rsidR="00AF7230" w:rsidRPr="009F3167">
        <w:rPr>
          <w:iCs/>
          <w:snapToGrid/>
        </w:rPr>
        <w:t>stically more effective than ustekinumab</w:t>
      </w:r>
      <w:r w:rsidRPr="009F3167">
        <w:rPr>
          <w:iCs/>
          <w:snapToGrid/>
        </w:rPr>
        <w:t>, however giv</w:t>
      </w:r>
      <w:r w:rsidR="00AF7230" w:rsidRPr="009F3167">
        <w:rPr>
          <w:iCs/>
          <w:snapToGrid/>
        </w:rPr>
        <w:t>en the trial was conducted in ustekinumab</w:t>
      </w:r>
      <w:r w:rsidRPr="009F3167">
        <w:rPr>
          <w:iCs/>
          <w:snapToGrid/>
        </w:rPr>
        <w:t xml:space="preserve"> non-responders, the re</w:t>
      </w:r>
      <w:r w:rsidR="00AF7230" w:rsidRPr="009F3167">
        <w:rPr>
          <w:iCs/>
          <w:snapToGrid/>
        </w:rPr>
        <w:t>sults would naturally favour guselkumab</w:t>
      </w:r>
      <w:r w:rsidRPr="009F3167">
        <w:rPr>
          <w:iCs/>
          <w:snapToGrid/>
        </w:rPr>
        <w:t>.</w:t>
      </w:r>
    </w:p>
    <w:p w:rsidR="00C960B9" w:rsidRPr="009F3167" w:rsidRDefault="00DE69CD" w:rsidP="00C960B9">
      <w:pPr>
        <w:pStyle w:val="ListParagraph"/>
        <w:widowControl/>
        <w:numPr>
          <w:ilvl w:val="1"/>
          <w:numId w:val="3"/>
        </w:numPr>
        <w:rPr>
          <w:iCs/>
          <w:snapToGrid/>
        </w:rPr>
      </w:pPr>
      <w:r w:rsidRPr="009F3167">
        <w:rPr>
          <w:iCs/>
          <w:snapToGrid/>
        </w:rPr>
        <w:t>Overall, the</w:t>
      </w:r>
      <w:r w:rsidR="00C960B9" w:rsidRPr="009F3167">
        <w:rPr>
          <w:iCs/>
          <w:snapToGrid/>
        </w:rPr>
        <w:t xml:space="preserve"> results suggest that a conc</w:t>
      </w:r>
      <w:r w:rsidR="00AF7230" w:rsidRPr="009F3167">
        <w:rPr>
          <w:iCs/>
          <w:snapToGrid/>
        </w:rPr>
        <w:t>lusion of non-inferiority of guselkumab versus ustekinumab</w:t>
      </w:r>
      <w:r w:rsidR="00C960B9" w:rsidRPr="009F3167">
        <w:rPr>
          <w:iCs/>
          <w:snapToGrid/>
        </w:rPr>
        <w:t xml:space="preserve"> would be reasonable.  </w:t>
      </w:r>
    </w:p>
    <w:p w:rsidR="00C960B9" w:rsidRPr="009F3167" w:rsidRDefault="00C960B9" w:rsidP="00C960B9">
      <w:pPr>
        <w:pStyle w:val="ListParagraph"/>
        <w:widowControl/>
        <w:numPr>
          <w:ilvl w:val="1"/>
          <w:numId w:val="3"/>
        </w:numPr>
        <w:rPr>
          <w:iCs/>
          <w:snapToGrid/>
        </w:rPr>
      </w:pPr>
      <w:r w:rsidRPr="009F3167">
        <w:rPr>
          <w:iCs/>
          <w:snapToGrid/>
        </w:rPr>
        <w:t>The results from the indirect comparisons however need to</w:t>
      </w:r>
      <w:r w:rsidR="00722300" w:rsidRPr="009F3167">
        <w:rPr>
          <w:iCs/>
          <w:snapToGrid/>
        </w:rPr>
        <w:t xml:space="preserve"> be</w:t>
      </w:r>
      <w:r w:rsidRPr="009F3167">
        <w:rPr>
          <w:iCs/>
          <w:snapToGrid/>
        </w:rPr>
        <w:t xml:space="preserve"> considered with caution, as a number of differences across trials (</w:t>
      </w:r>
      <w:r w:rsidR="00EC3E0F" w:rsidRPr="009F3167">
        <w:rPr>
          <w:iCs/>
          <w:snapToGrid/>
        </w:rPr>
        <w:t>e.g.</w:t>
      </w:r>
      <w:r w:rsidRPr="009F3167">
        <w:rPr>
          <w:iCs/>
          <w:snapToGrid/>
        </w:rPr>
        <w:t xml:space="preserve">, prior biologic experience and proportions of patients with psoriatic arthritis) could impact on the transitivity assumption and impact on the validity of the indirect comparison results.  The placebo group PASI 75 response was also found </w:t>
      </w:r>
      <w:r w:rsidR="00A40891" w:rsidRPr="009F3167">
        <w:rPr>
          <w:iCs/>
          <w:snapToGrid/>
        </w:rPr>
        <w:t xml:space="preserve">to </w:t>
      </w:r>
      <w:r w:rsidRPr="009F3167">
        <w:rPr>
          <w:iCs/>
          <w:snapToGrid/>
        </w:rPr>
        <w:t xml:space="preserve">differ across the trials ranging from 3.1% and 3.7% (PHOENIX- 1 and -2 </w:t>
      </w:r>
      <w:r w:rsidR="00DE69CD" w:rsidRPr="009F3167">
        <w:rPr>
          <w:iCs/>
          <w:snapToGrid/>
        </w:rPr>
        <w:t xml:space="preserve">ustekinumab </w:t>
      </w:r>
      <w:r w:rsidRPr="009F3167">
        <w:rPr>
          <w:iCs/>
          <w:snapToGrid/>
        </w:rPr>
        <w:t xml:space="preserve">trials), to 5.7% and 8.1% (in VOYAGE-1 and -2 </w:t>
      </w:r>
      <w:r w:rsidR="00DE69CD" w:rsidRPr="009F3167">
        <w:rPr>
          <w:iCs/>
          <w:snapToGrid/>
        </w:rPr>
        <w:t xml:space="preserve"> guselkumab </w:t>
      </w:r>
      <w:r w:rsidRPr="009F3167">
        <w:rPr>
          <w:iCs/>
          <w:snapToGrid/>
        </w:rPr>
        <w:t xml:space="preserve"> trials</w:t>
      </w:r>
      <w:r w:rsidR="006D506C" w:rsidRPr="009F3167">
        <w:rPr>
          <w:iCs/>
          <w:snapToGrid/>
        </w:rPr>
        <w:t>)</w:t>
      </w:r>
      <w:r w:rsidRPr="009F3167">
        <w:rPr>
          <w:iCs/>
          <w:snapToGrid/>
        </w:rPr>
        <w:t xml:space="preserve"> up to 11.1% </w:t>
      </w:r>
      <w:r w:rsidR="006D506C" w:rsidRPr="009F3167">
        <w:rPr>
          <w:iCs/>
          <w:snapToGrid/>
        </w:rPr>
        <w:t>(</w:t>
      </w:r>
      <w:r w:rsidRPr="009F3167">
        <w:rPr>
          <w:iCs/>
          <w:snapToGrid/>
        </w:rPr>
        <w:t xml:space="preserve">in the LOTUS </w:t>
      </w:r>
      <w:r w:rsidR="00423054" w:rsidRPr="009F3167">
        <w:rPr>
          <w:iCs/>
          <w:snapToGrid/>
        </w:rPr>
        <w:t xml:space="preserve">ustekinumab </w:t>
      </w:r>
      <w:r w:rsidRPr="009F3167">
        <w:rPr>
          <w:iCs/>
          <w:snapToGrid/>
        </w:rPr>
        <w:t>trial</w:t>
      </w:r>
      <w:r w:rsidR="006D506C" w:rsidRPr="009F3167">
        <w:rPr>
          <w:iCs/>
          <w:snapToGrid/>
        </w:rPr>
        <w:t>)</w:t>
      </w:r>
      <w:r w:rsidRPr="009F3167">
        <w:rPr>
          <w:iCs/>
          <w:snapToGrid/>
        </w:rPr>
        <w:t>.</w:t>
      </w:r>
    </w:p>
    <w:p w:rsidR="00C960B9" w:rsidRPr="009F3167" w:rsidRDefault="00C960B9" w:rsidP="004A44A7">
      <w:pPr>
        <w:widowControl/>
        <w:spacing w:after="120"/>
        <w:rPr>
          <w:b/>
          <w:bCs/>
          <w:snapToGrid/>
        </w:rPr>
      </w:pPr>
      <w:r w:rsidRPr="009F3167">
        <w:rPr>
          <w:b/>
          <w:bCs/>
          <w:snapToGrid/>
        </w:rPr>
        <w:t>GUS</w:t>
      </w:r>
      <w:r w:rsidR="00594775" w:rsidRPr="009F3167">
        <w:rPr>
          <w:b/>
          <w:bCs/>
          <w:snapToGrid/>
        </w:rPr>
        <w:t>ELKUMAB</w:t>
      </w:r>
      <w:r w:rsidRPr="009F3167">
        <w:rPr>
          <w:b/>
          <w:bCs/>
          <w:snapToGrid/>
        </w:rPr>
        <w:t xml:space="preserve"> versus ADA</w:t>
      </w:r>
      <w:r w:rsidR="00594775" w:rsidRPr="009F3167">
        <w:rPr>
          <w:b/>
          <w:bCs/>
          <w:snapToGrid/>
        </w:rPr>
        <w:t>LIMUMAB</w:t>
      </w:r>
    </w:p>
    <w:p w:rsidR="00FE70C3" w:rsidRPr="00A01F82" w:rsidRDefault="00BC3632" w:rsidP="004D7463">
      <w:pPr>
        <w:pStyle w:val="ListParagraph"/>
        <w:widowControl/>
        <w:numPr>
          <w:ilvl w:val="1"/>
          <w:numId w:val="3"/>
        </w:numPr>
        <w:rPr>
          <w:snapToGrid/>
        </w:rPr>
      </w:pPr>
      <w:r w:rsidRPr="00A01F82">
        <w:rPr>
          <w:iCs/>
          <w:snapToGrid/>
        </w:rPr>
        <w:t>Compared to adalimumab</w:t>
      </w:r>
      <w:r w:rsidR="00C960B9" w:rsidRPr="00A01F82">
        <w:rPr>
          <w:iCs/>
          <w:snapToGrid/>
        </w:rPr>
        <w:t>, at 16 weeks, significantly</w:t>
      </w:r>
      <w:r w:rsidRPr="00A01F82">
        <w:rPr>
          <w:iCs/>
          <w:snapToGrid/>
        </w:rPr>
        <w:t xml:space="preserve"> more patients randomised to guselkumab</w:t>
      </w:r>
      <w:r w:rsidR="00C960B9" w:rsidRPr="00A01F82">
        <w:rPr>
          <w:iCs/>
          <w:snapToGrid/>
        </w:rPr>
        <w:t xml:space="preserve"> attained PASI 75 and PASI 90 responses in both VOYAGE-1 and -2 trials (pooled results: RD (95%CI): 0.18 (0.14, 0.22) and 0.23 (0.18, 0.29) for PASI 75 and PASI 90 respectively).  Si</w:t>
      </w:r>
      <w:r w:rsidRPr="00A01F82">
        <w:rPr>
          <w:iCs/>
          <w:snapToGrid/>
        </w:rPr>
        <w:t>gnificant</w:t>
      </w:r>
      <w:r w:rsidR="00442641">
        <w:rPr>
          <w:iCs/>
          <w:snapToGrid/>
        </w:rPr>
        <w:t>ly</w:t>
      </w:r>
      <w:r w:rsidRPr="00A01F82">
        <w:rPr>
          <w:iCs/>
          <w:snapToGrid/>
        </w:rPr>
        <w:t xml:space="preserve"> better response to guselkumab versus adalimumab</w:t>
      </w:r>
      <w:r w:rsidR="00C960B9" w:rsidRPr="00A01F82">
        <w:rPr>
          <w:iCs/>
          <w:snapToGrid/>
        </w:rPr>
        <w:t xml:space="preserve"> was also maintained at Weeks 24 and 48.  This conclusion was also supported by IGA results indicating a higher proportion of patients </w:t>
      </w:r>
      <w:r w:rsidR="00A40891" w:rsidRPr="00A01F82">
        <w:rPr>
          <w:iCs/>
          <w:snapToGrid/>
        </w:rPr>
        <w:t xml:space="preserve">had </w:t>
      </w:r>
      <w:r w:rsidR="00C960B9" w:rsidRPr="00A01F82">
        <w:rPr>
          <w:iCs/>
          <w:snapToGrid/>
        </w:rPr>
        <w:t>attained an IGA 0/1 rating (indicating clear to minimal symptoms) at Week 24 and 48.</w:t>
      </w:r>
      <w:r w:rsidR="00B35DE5" w:rsidRPr="00A01F82" w:rsidDel="00B35DE5">
        <w:rPr>
          <w:iCs/>
          <w:snapToGrid/>
        </w:rPr>
        <w:t xml:space="preserve"> </w:t>
      </w:r>
    </w:p>
    <w:p w:rsidR="00B60939" w:rsidRPr="00AF65C5" w:rsidRDefault="00B60939" w:rsidP="00CA4AA0">
      <w:pPr>
        <w:pStyle w:val="Heading2"/>
        <w:spacing w:after="120"/>
      </w:pPr>
      <w:bookmarkStart w:id="12" w:name="_Toc503212791"/>
      <w:r w:rsidRPr="00AF65C5">
        <w:t>Comparative harms</w:t>
      </w:r>
      <w:bookmarkEnd w:id="12"/>
    </w:p>
    <w:p w:rsidR="00040601" w:rsidRPr="009F3167" w:rsidRDefault="00A40891" w:rsidP="00A40891">
      <w:pPr>
        <w:pStyle w:val="ListParagraph"/>
        <w:widowControl/>
        <w:numPr>
          <w:ilvl w:val="1"/>
          <w:numId w:val="3"/>
        </w:numPr>
      </w:pPr>
      <w:r w:rsidRPr="009F3167">
        <w:rPr>
          <w:iCs/>
        </w:rPr>
        <w:t xml:space="preserve">Based on direct comparative data up to Week 16, </w:t>
      </w:r>
      <w:r w:rsidR="003E03E2" w:rsidRPr="009F3167">
        <w:rPr>
          <w:iCs/>
          <w:snapToGrid/>
        </w:rPr>
        <w:t xml:space="preserve">guselkumab </w:t>
      </w:r>
      <w:r w:rsidRPr="009F3167">
        <w:rPr>
          <w:iCs/>
        </w:rPr>
        <w:t>appear</w:t>
      </w:r>
      <w:r w:rsidR="003E03E2" w:rsidRPr="009F3167">
        <w:rPr>
          <w:iCs/>
        </w:rPr>
        <w:t>s</w:t>
      </w:r>
      <w:r w:rsidRPr="009F3167">
        <w:rPr>
          <w:iCs/>
        </w:rPr>
        <w:t xml:space="preserve"> to have</w:t>
      </w:r>
      <w:r w:rsidR="003E03E2" w:rsidRPr="009F3167">
        <w:rPr>
          <w:iCs/>
        </w:rPr>
        <w:t xml:space="preserve"> a</w:t>
      </w:r>
      <w:r w:rsidRPr="009F3167">
        <w:rPr>
          <w:iCs/>
        </w:rPr>
        <w:t xml:space="preserve"> </w:t>
      </w:r>
      <w:r w:rsidR="00040601" w:rsidRPr="009F3167">
        <w:rPr>
          <w:iCs/>
        </w:rPr>
        <w:t>similar safety pro</w:t>
      </w:r>
      <w:r w:rsidR="00BC3632" w:rsidRPr="009F3167">
        <w:rPr>
          <w:iCs/>
        </w:rPr>
        <w:t>file compared to placebo and adalimumab</w:t>
      </w:r>
      <w:r w:rsidR="00040601" w:rsidRPr="009F3167">
        <w:rPr>
          <w:iCs/>
        </w:rPr>
        <w:t xml:space="preserve"> (any adverse events (AE), serious AE, discontinuations due to AE, infections)</w:t>
      </w:r>
      <w:r w:rsidRPr="009F3167">
        <w:rPr>
          <w:iCs/>
        </w:rPr>
        <w:t xml:space="preserve">. </w:t>
      </w:r>
      <w:r w:rsidR="00040601" w:rsidRPr="009F3167">
        <w:rPr>
          <w:iCs/>
        </w:rPr>
        <w:t xml:space="preserve"> Longer term </w:t>
      </w:r>
      <w:r w:rsidRPr="009F3167">
        <w:rPr>
          <w:iCs/>
        </w:rPr>
        <w:t xml:space="preserve">data (to Week 48) </w:t>
      </w:r>
      <w:r w:rsidR="00BC3632" w:rsidRPr="009F3167">
        <w:rPr>
          <w:iCs/>
        </w:rPr>
        <w:t>versus adalimumab</w:t>
      </w:r>
      <w:r w:rsidR="00040601" w:rsidRPr="009F3167">
        <w:rPr>
          <w:iCs/>
        </w:rPr>
        <w:t xml:space="preserve"> also indicated a similar conclusion.  </w:t>
      </w:r>
      <w:r w:rsidR="00BC3632" w:rsidRPr="009F3167">
        <w:t xml:space="preserve">In </w:t>
      </w:r>
      <w:r w:rsidR="00EC3E0F" w:rsidRPr="009F3167">
        <w:t>an</w:t>
      </w:r>
      <w:r w:rsidR="00BC3632" w:rsidRPr="009F3167">
        <w:t xml:space="preserve"> ustekinumab</w:t>
      </w:r>
      <w:r w:rsidR="00040601" w:rsidRPr="009F3167">
        <w:t xml:space="preserve"> non-responsive population (NAVIGATE), although the inciden</w:t>
      </w:r>
      <w:r w:rsidR="00BC3632" w:rsidRPr="009F3167">
        <w:t>ce of AEs were higher in the guselkumab</w:t>
      </w:r>
      <w:r w:rsidR="00040601" w:rsidRPr="009F3167">
        <w:t xml:space="preserve"> </w:t>
      </w:r>
      <w:r w:rsidRPr="009F3167">
        <w:t xml:space="preserve">treatment arm </w:t>
      </w:r>
      <w:r w:rsidR="00BC3632" w:rsidRPr="009F3167">
        <w:t>versus ustekinumab</w:t>
      </w:r>
      <w:r w:rsidR="00040601" w:rsidRPr="009F3167">
        <w:t>, the differences were not stat</w:t>
      </w:r>
      <w:r w:rsidR="00BC3632" w:rsidRPr="009F3167">
        <w:t>istically significant.  Like ustekinumab</w:t>
      </w:r>
      <w:r w:rsidR="00040601" w:rsidRPr="009F3167">
        <w:t>, the most</w:t>
      </w:r>
      <w:r w:rsidR="00BC3632" w:rsidRPr="009F3167">
        <w:t xml:space="preserve"> frequently reported AEs for </w:t>
      </w:r>
      <w:proofErr w:type="spellStart"/>
      <w:r w:rsidR="00BC3632" w:rsidRPr="009F3167">
        <w:t>guselkumab</w:t>
      </w:r>
      <w:proofErr w:type="spellEnd"/>
      <w:r w:rsidR="00040601" w:rsidRPr="009F3167">
        <w:t xml:space="preserve"> were nasopharyngitis, upper respiratory tract infections and headaches</w:t>
      </w:r>
      <w:r w:rsidR="00040601" w:rsidRPr="00A01F82">
        <w:t>.</w:t>
      </w:r>
    </w:p>
    <w:p w:rsidR="004F2871" w:rsidRDefault="004F2871" w:rsidP="00A40891">
      <w:pPr>
        <w:pStyle w:val="ListParagraph"/>
        <w:widowControl/>
        <w:numPr>
          <w:ilvl w:val="1"/>
          <w:numId w:val="3"/>
        </w:numPr>
      </w:pPr>
      <w:r w:rsidRPr="009F3167">
        <w:t xml:space="preserve">The results of the indirect comparison of safety outcomes for </w:t>
      </w:r>
      <w:r w:rsidR="003E03E2" w:rsidRPr="009F3167">
        <w:t xml:space="preserve">guselkumab </w:t>
      </w:r>
      <w:r w:rsidRPr="009F3167">
        <w:t xml:space="preserve">vs </w:t>
      </w:r>
      <w:r w:rsidR="003E03E2" w:rsidRPr="009F3167">
        <w:t>ustekinumab</w:t>
      </w:r>
      <w:r w:rsidR="003E03E2" w:rsidRPr="009F3167" w:rsidDel="003E03E2">
        <w:t xml:space="preserve"> </w:t>
      </w:r>
      <w:r w:rsidRPr="009F3167">
        <w:t>at the end of the placebo-controlled periods</w:t>
      </w:r>
      <w:r w:rsidR="00040601" w:rsidRPr="009F3167">
        <w:t xml:space="preserve"> Weeks 16/12</w:t>
      </w:r>
      <w:r w:rsidRPr="009F3167">
        <w:t xml:space="preserve"> are </w:t>
      </w:r>
      <w:r w:rsidR="00CC2D90" w:rsidRPr="009F3167">
        <w:t>presented in Table 7</w:t>
      </w:r>
      <w:r w:rsidRPr="009F3167">
        <w:t>.</w:t>
      </w:r>
      <w:r w:rsidR="00040601" w:rsidRPr="009F3167">
        <w:t xml:space="preserve">  Despite a significantly higher discontinuation rate due to AE for </w:t>
      </w:r>
      <w:r w:rsidR="002B0FD9" w:rsidRPr="009F3167">
        <w:t xml:space="preserve">guselkumab </w:t>
      </w:r>
      <w:r w:rsidR="00040601" w:rsidRPr="009F3167">
        <w:t>(based on the RR statistic only), the results would appear to support a conclusio</w:t>
      </w:r>
      <w:r w:rsidR="00BC3632" w:rsidRPr="009F3167">
        <w:t>n of non-inferior safety for guselkumab versus ustekinumab</w:t>
      </w:r>
      <w:r w:rsidR="00040601" w:rsidRPr="009F3167">
        <w:t>.</w:t>
      </w:r>
    </w:p>
    <w:p w:rsidR="00B523DB" w:rsidRPr="009F3167" w:rsidRDefault="00B523DB" w:rsidP="00B523DB">
      <w:pPr>
        <w:widowControl/>
      </w:pPr>
    </w:p>
    <w:p w:rsidR="004F2871" w:rsidRPr="00C725E4" w:rsidRDefault="004F2871" w:rsidP="00B523DB">
      <w:pPr>
        <w:pStyle w:val="PBACHeading1"/>
        <w:keepNext/>
        <w:keepLines/>
        <w:rPr>
          <w:rFonts w:ascii="Arial Narrow" w:hAnsi="Arial Narrow"/>
          <w:snapToGrid/>
          <w:sz w:val="20"/>
          <w:szCs w:val="20"/>
        </w:rPr>
      </w:pPr>
      <w:bookmarkStart w:id="13" w:name="_Toc503212792"/>
      <w:r w:rsidRPr="00C725E4">
        <w:rPr>
          <w:rFonts w:ascii="Arial Narrow" w:hAnsi="Arial Narrow"/>
          <w:snapToGrid/>
          <w:sz w:val="20"/>
          <w:szCs w:val="20"/>
        </w:rPr>
        <w:lastRenderedPageBreak/>
        <w:t xml:space="preserve">Table </w:t>
      </w:r>
      <w:r w:rsidR="00CC2D90">
        <w:rPr>
          <w:rFonts w:ascii="Arial Narrow" w:hAnsi="Arial Narrow"/>
          <w:snapToGrid/>
          <w:sz w:val="20"/>
          <w:szCs w:val="20"/>
        </w:rPr>
        <w:t>7</w:t>
      </w:r>
      <w:r w:rsidRPr="00C725E4">
        <w:rPr>
          <w:rFonts w:ascii="Arial Narrow" w:hAnsi="Arial Narrow"/>
          <w:snapToGrid/>
          <w:sz w:val="20"/>
          <w:szCs w:val="20"/>
        </w:rPr>
        <w:t>: Summary of safety indirect comparisons: GUS vs UST – placebo-controlled periods (16 weeks for GUS; 12 weeks for UST)</w:t>
      </w:r>
      <w:bookmarkEnd w:id="13"/>
    </w:p>
    <w:tbl>
      <w:tblPr>
        <w:tblStyle w:val="TableGrid11"/>
        <w:tblW w:w="5107" w:type="pct"/>
        <w:tblCellMar>
          <w:left w:w="28" w:type="dxa"/>
          <w:right w:w="28" w:type="dxa"/>
        </w:tblCellMar>
        <w:tblLook w:val="04A0" w:firstRow="1" w:lastRow="0" w:firstColumn="1" w:lastColumn="0" w:noHBand="0" w:noVBand="1"/>
        <w:tblCaption w:val="Table 7: Summary of safety indirect comparisons: GUS vs UST – placebo-controlled periods (16 weeks for GUS; 12 weeks for UST)"/>
      </w:tblPr>
      <w:tblGrid>
        <w:gridCol w:w="2139"/>
        <w:gridCol w:w="2106"/>
        <w:gridCol w:w="1536"/>
        <w:gridCol w:w="3496"/>
      </w:tblGrid>
      <w:tr w:rsidR="00CC2D90" w:rsidRPr="006A6B13" w:rsidTr="00E00025">
        <w:trPr>
          <w:tblHeader/>
        </w:trPr>
        <w:tc>
          <w:tcPr>
            <w:tcW w:w="1153" w:type="pct"/>
            <w:vAlign w:val="center"/>
          </w:tcPr>
          <w:p w:rsidR="00CC2D90" w:rsidRPr="006A6B13" w:rsidRDefault="00CC2D90" w:rsidP="00B523DB">
            <w:pPr>
              <w:keepNext/>
              <w:keepLines/>
              <w:widowControl/>
              <w:snapToGrid w:val="0"/>
              <w:jc w:val="center"/>
              <w:rPr>
                <w:rFonts w:ascii="Arial Narrow" w:hAnsi="Arial Narrow"/>
                <w:b/>
                <w:snapToGrid/>
                <w:sz w:val="20"/>
                <w:szCs w:val="20"/>
                <w:lang w:eastAsia="en-AU"/>
              </w:rPr>
            </w:pPr>
          </w:p>
        </w:tc>
        <w:tc>
          <w:tcPr>
            <w:tcW w:w="1135" w:type="pct"/>
            <w:vAlign w:val="center"/>
          </w:tcPr>
          <w:p w:rsidR="00CC2D90" w:rsidRPr="006A6B13" w:rsidRDefault="00CC2D90" w:rsidP="00B523DB">
            <w:pPr>
              <w:keepNext/>
              <w:keepLines/>
              <w:widowControl/>
              <w:snapToGrid w:val="0"/>
              <w:jc w:val="center"/>
              <w:rPr>
                <w:rFonts w:ascii="Arial Narrow" w:hAnsi="Arial Narrow"/>
                <w:b/>
                <w:snapToGrid/>
                <w:sz w:val="20"/>
                <w:szCs w:val="20"/>
                <w:lang w:eastAsia="en-AU"/>
              </w:rPr>
            </w:pPr>
            <w:r w:rsidRPr="006A6B13">
              <w:rPr>
                <w:rFonts w:ascii="Arial Narrow" w:hAnsi="Arial Narrow"/>
                <w:b/>
                <w:snapToGrid/>
                <w:sz w:val="20"/>
                <w:szCs w:val="20"/>
                <w:lang w:eastAsia="en-AU"/>
              </w:rPr>
              <w:t>Pooled Indirect RR^ (95% CI)</w:t>
            </w:r>
          </w:p>
        </w:tc>
        <w:tc>
          <w:tcPr>
            <w:tcW w:w="828" w:type="pct"/>
          </w:tcPr>
          <w:p w:rsidR="00CC2D90" w:rsidRPr="006A6B13" w:rsidRDefault="00CC2D90" w:rsidP="00B523DB">
            <w:pPr>
              <w:keepNext/>
              <w:keepLines/>
              <w:widowControl/>
              <w:snapToGrid w:val="0"/>
              <w:jc w:val="center"/>
              <w:rPr>
                <w:rFonts w:ascii="Arial Narrow" w:hAnsi="Arial Narrow"/>
                <w:b/>
                <w:snapToGrid/>
                <w:sz w:val="20"/>
                <w:szCs w:val="20"/>
                <w:lang w:eastAsia="en-AU"/>
              </w:rPr>
            </w:pPr>
            <w:r w:rsidRPr="006A6B13">
              <w:rPr>
                <w:rFonts w:ascii="Arial Narrow" w:hAnsi="Arial Narrow"/>
                <w:b/>
                <w:snapToGrid/>
                <w:sz w:val="20"/>
                <w:szCs w:val="20"/>
                <w:lang w:eastAsia="en-AU"/>
              </w:rPr>
              <w:t xml:space="preserve">Pooled Indirect RD^ </w:t>
            </w:r>
          </w:p>
          <w:p w:rsidR="00CC2D90" w:rsidRPr="006A6B13" w:rsidRDefault="00CC2D90" w:rsidP="00B523DB">
            <w:pPr>
              <w:keepNext/>
              <w:keepLines/>
              <w:widowControl/>
              <w:snapToGrid w:val="0"/>
              <w:jc w:val="center"/>
              <w:rPr>
                <w:rFonts w:ascii="Arial Narrow" w:hAnsi="Arial Narrow"/>
                <w:b/>
                <w:snapToGrid/>
                <w:sz w:val="20"/>
                <w:szCs w:val="20"/>
                <w:lang w:eastAsia="en-AU"/>
              </w:rPr>
            </w:pPr>
            <w:r w:rsidRPr="006A6B13">
              <w:rPr>
                <w:rFonts w:ascii="Arial Narrow" w:hAnsi="Arial Narrow"/>
                <w:b/>
                <w:snapToGrid/>
                <w:sz w:val="20"/>
                <w:szCs w:val="20"/>
                <w:lang w:eastAsia="en-AU"/>
              </w:rPr>
              <w:t>(95% CI)</w:t>
            </w:r>
          </w:p>
        </w:tc>
        <w:tc>
          <w:tcPr>
            <w:tcW w:w="1885" w:type="pct"/>
            <w:vAlign w:val="center"/>
          </w:tcPr>
          <w:p w:rsidR="00CC2D90" w:rsidRPr="006A6B13" w:rsidRDefault="00CC2D90" w:rsidP="00B523DB">
            <w:pPr>
              <w:keepNext/>
              <w:keepLines/>
              <w:widowControl/>
              <w:snapToGrid w:val="0"/>
              <w:jc w:val="center"/>
              <w:rPr>
                <w:rFonts w:ascii="Arial Narrow" w:hAnsi="Arial Narrow"/>
                <w:b/>
                <w:snapToGrid/>
                <w:sz w:val="20"/>
                <w:szCs w:val="20"/>
                <w:lang w:eastAsia="en-AU"/>
              </w:rPr>
            </w:pPr>
            <w:r w:rsidRPr="006A6B13">
              <w:rPr>
                <w:rFonts w:ascii="Arial Narrow" w:hAnsi="Arial Narrow"/>
                <w:b/>
                <w:snapToGrid/>
                <w:sz w:val="20"/>
                <w:szCs w:val="20"/>
                <w:lang w:eastAsia="en-AU"/>
              </w:rPr>
              <w:t>Conclusion for GUS vs UST</w:t>
            </w:r>
          </w:p>
        </w:tc>
      </w:tr>
      <w:tr w:rsidR="00CC2D90" w:rsidRPr="006A6B13" w:rsidTr="00DF63F7">
        <w:tc>
          <w:tcPr>
            <w:tcW w:w="5000" w:type="pct"/>
            <w:gridSpan w:val="4"/>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b/>
                <w:snapToGrid/>
                <w:sz w:val="20"/>
                <w:szCs w:val="20"/>
                <w:lang w:eastAsia="en-AU"/>
              </w:rPr>
              <w:t>GUS vs UST 45 mg</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Any AE</w:t>
            </w:r>
          </w:p>
        </w:tc>
        <w:tc>
          <w:tcPr>
            <w:tcW w:w="1135" w:type="pct"/>
            <w:vAlign w:val="center"/>
          </w:tcPr>
          <w:p w:rsidR="00CC2D90" w:rsidRPr="006A6B13" w:rsidRDefault="00CC2D90" w:rsidP="00B523DB">
            <w:pPr>
              <w:keepNext/>
              <w:keepLines/>
              <w:widowControl/>
              <w:snapToGrid w:val="0"/>
              <w:jc w:val="center"/>
              <w:rPr>
                <w:rFonts w:ascii="Arial Narrow" w:hAnsi="Arial Narrow"/>
                <w:snapToGrid/>
                <w:sz w:val="20"/>
                <w:szCs w:val="20"/>
                <w:highlight w:val="cyan"/>
                <w:lang w:eastAsia="en-AU"/>
              </w:rPr>
            </w:pPr>
            <w:r w:rsidRPr="006A6B13">
              <w:rPr>
                <w:rFonts w:ascii="Arial Narrow" w:hAnsi="Arial Narrow"/>
                <w:i/>
                <w:iCs/>
                <w:snapToGrid/>
                <w:sz w:val="20"/>
                <w:szCs w:val="20"/>
                <w:lang w:eastAsia="en-AU"/>
              </w:rPr>
              <w:t>0.97 (0.84, 1.13)</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(-0.08, 0.06)</w:t>
            </w:r>
          </w:p>
        </w:tc>
        <w:tc>
          <w:tcPr>
            <w:tcW w:w="1885" w:type="pct"/>
            <w:vAlign w:val="center"/>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Discontinuation due to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b/>
                <w:bCs/>
                <w:i/>
                <w:iCs/>
                <w:snapToGrid/>
                <w:sz w:val="20"/>
                <w:szCs w:val="20"/>
                <w:lang w:eastAsia="en-AU"/>
              </w:rPr>
              <w:t>5.15 (1.03, 25.77)</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0.02 (-0, 0.04)</w:t>
            </w:r>
          </w:p>
        </w:tc>
        <w:tc>
          <w:tcPr>
            <w:tcW w:w="1885"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Significant difference using RR but not on RD</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Serious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i/>
                <w:iCs/>
                <w:snapToGrid/>
                <w:sz w:val="20"/>
                <w:szCs w:val="20"/>
                <w:lang w:eastAsia="en-AU"/>
              </w:rPr>
              <w:t>1.78 (0.53, 5.97)</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(-0.01, 0.03)</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highlight w:val="yellow"/>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Severe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0.80 (0.18, 3.51)</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(-0.03, 0.01)</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Infections</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i/>
                <w:iCs/>
                <w:snapToGrid/>
                <w:sz w:val="20"/>
                <w:szCs w:val="20"/>
                <w:lang w:eastAsia="en-AU"/>
              </w:rPr>
              <w:t>0.93 (0.71, 1.23)</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-0.02 (-0.08, 0.04)</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5000" w:type="pct"/>
            <w:gridSpan w:val="4"/>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b/>
                <w:bCs/>
                <w:snapToGrid/>
                <w:sz w:val="20"/>
                <w:szCs w:val="20"/>
                <w:lang w:eastAsia="en-AU"/>
              </w:rPr>
              <w:t>GUS vs UST 90 mg</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Any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i/>
                <w:iCs/>
                <w:snapToGrid/>
                <w:sz w:val="20"/>
                <w:szCs w:val="20"/>
                <w:lang w:eastAsia="en-AU"/>
              </w:rPr>
              <w:t>1.05 (0.89, 1.23)</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0.03 (-0.04, 0.10)</w:t>
            </w:r>
          </w:p>
        </w:tc>
        <w:tc>
          <w:tcPr>
            <w:tcW w:w="1885" w:type="pct"/>
            <w:vAlign w:val="center"/>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Discontinuation due to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i/>
                <w:iCs/>
                <w:snapToGrid/>
                <w:sz w:val="20"/>
                <w:szCs w:val="20"/>
                <w:lang w:eastAsia="en-AU"/>
              </w:rPr>
              <w:t>1.81 (0.46, 7.03)</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(-0.01, 0.03)</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Serious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i/>
                <w:iCs/>
                <w:snapToGrid/>
                <w:sz w:val="20"/>
                <w:szCs w:val="20"/>
                <w:lang w:eastAsia="en-AU"/>
              </w:rPr>
              <w:t>1.59 (0.46, 5.51)</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(-0.01, 0.03)</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Severe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0.43 (0.06, 3.21)</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(-0.04, 0.02)</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Infections</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i/>
                <w:iCs/>
                <w:snapToGrid/>
                <w:sz w:val="20"/>
                <w:szCs w:val="20"/>
                <w:lang w:eastAsia="en-AU"/>
              </w:rPr>
              <w:t>1.05 (0.78, 1.41)</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(-0.05, 0.07)</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5000" w:type="pct"/>
            <w:gridSpan w:val="4"/>
          </w:tcPr>
          <w:p w:rsidR="00CC2D90" w:rsidRPr="006A6B13" w:rsidRDefault="00CC2D90" w:rsidP="00B523DB">
            <w:pPr>
              <w:keepNext/>
              <w:keepLines/>
              <w:widowControl/>
              <w:snapToGrid w:val="0"/>
              <w:jc w:val="left"/>
              <w:rPr>
                <w:rFonts w:ascii="Arial Narrow" w:hAnsi="Arial Narrow"/>
                <w:b/>
                <w:bCs/>
                <w:snapToGrid/>
                <w:sz w:val="20"/>
                <w:szCs w:val="20"/>
                <w:lang w:eastAsia="en-AU"/>
              </w:rPr>
            </w:pPr>
            <w:r w:rsidRPr="006A6B13">
              <w:rPr>
                <w:rFonts w:ascii="Arial Narrow" w:hAnsi="Arial Narrow"/>
                <w:b/>
                <w:bCs/>
                <w:snapToGrid/>
                <w:sz w:val="20"/>
                <w:szCs w:val="20"/>
                <w:lang w:eastAsia="en-AU"/>
              </w:rPr>
              <w:t xml:space="preserve">GUS vs UST 45mg for </w:t>
            </w:r>
            <w:r w:rsidRPr="006A6B13">
              <w:rPr>
                <w:rFonts w:ascii="Arial Narrow" w:hAnsi="Arial Narrow"/>
                <w:b/>
                <w:bCs/>
                <w:snapToGrid/>
                <w:sz w:val="20"/>
                <w:szCs w:val="20"/>
                <w:u w:val="single"/>
                <w:lang w:eastAsia="en-AU"/>
              </w:rPr>
              <w:t xml:space="preserve">&lt; </w:t>
            </w:r>
            <w:r w:rsidRPr="006A6B13">
              <w:rPr>
                <w:rFonts w:ascii="Arial Narrow" w:hAnsi="Arial Narrow"/>
                <w:b/>
                <w:bCs/>
                <w:snapToGrid/>
                <w:sz w:val="20"/>
                <w:szCs w:val="20"/>
                <w:lang w:eastAsia="en-AU"/>
              </w:rPr>
              <w:t xml:space="preserve">100 kg; 90 mg for &lt; 100 </w:t>
            </w:r>
            <w:proofErr w:type="spellStart"/>
            <w:r w:rsidRPr="006A6B13">
              <w:rPr>
                <w:rFonts w:ascii="Arial Narrow" w:hAnsi="Arial Narrow"/>
                <w:b/>
                <w:bCs/>
                <w:snapToGrid/>
                <w:sz w:val="20"/>
                <w:szCs w:val="20"/>
                <w:lang w:eastAsia="en-AU"/>
              </w:rPr>
              <w:t>kg</w:t>
            </w:r>
            <w:r w:rsidRPr="006A6B13">
              <w:rPr>
                <w:rFonts w:ascii="Arial Narrow" w:hAnsi="Arial Narrow"/>
                <w:snapToGrid/>
                <w:sz w:val="20"/>
                <w:szCs w:val="20"/>
                <w:vertAlign w:val="superscript"/>
                <w:lang w:eastAsia="en-AU"/>
              </w:rPr>
              <w:t>a</w:t>
            </w:r>
            <w:proofErr w:type="spellEnd"/>
            <w:r w:rsidRPr="006A6B13">
              <w:rPr>
                <w:rFonts w:ascii="Arial Narrow" w:hAnsi="Arial Narrow"/>
                <w:snapToGrid/>
                <w:sz w:val="20"/>
                <w:szCs w:val="20"/>
                <w:vertAlign w:val="superscript"/>
                <w:lang w:eastAsia="en-AU"/>
              </w:rPr>
              <w:t>, b</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Any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i/>
                <w:iCs/>
                <w:snapToGrid/>
                <w:sz w:val="20"/>
                <w:szCs w:val="20"/>
                <w:lang w:eastAsia="en-AU"/>
              </w:rPr>
              <w:t>0.97 (0.84, 1.12)</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(-0.08, 0.06)</w:t>
            </w:r>
          </w:p>
        </w:tc>
        <w:tc>
          <w:tcPr>
            <w:tcW w:w="1885" w:type="pct"/>
            <w:vAlign w:val="center"/>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Discontinuation due to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i/>
                <w:iCs/>
                <w:snapToGrid/>
                <w:sz w:val="20"/>
                <w:szCs w:val="20"/>
              </w:rPr>
            </w:pPr>
            <w:r w:rsidRPr="006A6B13">
              <w:rPr>
                <w:rFonts w:ascii="Arial Narrow" w:hAnsi="Arial Narrow"/>
                <w:i/>
                <w:iCs/>
                <w:snapToGrid/>
                <w:sz w:val="20"/>
                <w:szCs w:val="20"/>
                <w:lang w:eastAsia="en-AU"/>
              </w:rPr>
              <w:t>2.73 (0.62, 12.00)</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(-0.01, 0.03)</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Serious AE</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i/>
                <w:iCs/>
                <w:snapToGrid/>
                <w:sz w:val="20"/>
                <w:szCs w:val="20"/>
                <w:lang w:eastAsia="en-AU"/>
              </w:rPr>
              <w:t>2.05 (0.67, 6.22)</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0.01 (-0.01, 0.03)</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r w:rsidR="00CC2D90" w:rsidRPr="006A6B13" w:rsidTr="00DF63F7">
        <w:tc>
          <w:tcPr>
            <w:tcW w:w="1153" w:type="pct"/>
            <w:vAlign w:val="center"/>
          </w:tcPr>
          <w:p w:rsidR="00CC2D90" w:rsidRPr="006A6B13" w:rsidRDefault="00CC2D90" w:rsidP="00B523DB">
            <w:pPr>
              <w:keepNext/>
              <w:keepLines/>
              <w:widowControl/>
              <w:snapToGrid w:val="0"/>
              <w:jc w:val="left"/>
              <w:rPr>
                <w:rFonts w:ascii="Arial Narrow" w:hAnsi="Arial Narrow"/>
                <w:snapToGrid/>
                <w:sz w:val="20"/>
                <w:szCs w:val="20"/>
                <w:lang w:eastAsia="en-AU"/>
              </w:rPr>
            </w:pPr>
            <w:r w:rsidRPr="006A6B13">
              <w:rPr>
                <w:rFonts w:ascii="Arial Narrow" w:hAnsi="Arial Narrow"/>
                <w:snapToGrid/>
                <w:sz w:val="20"/>
                <w:szCs w:val="20"/>
                <w:lang w:eastAsia="en-AU"/>
              </w:rPr>
              <w:t>Infections</w:t>
            </w:r>
          </w:p>
        </w:tc>
        <w:tc>
          <w:tcPr>
            <w:tcW w:w="1135" w:type="pct"/>
            <w:vAlign w:val="center"/>
          </w:tcPr>
          <w:p w:rsidR="00CC2D90" w:rsidRPr="006A6B13" w:rsidRDefault="00CC2D90" w:rsidP="00B523DB">
            <w:pPr>
              <w:keepNext/>
              <w:keepLines/>
              <w:widowControl/>
              <w:snapToGrid w:val="0"/>
              <w:contextualSpacing/>
              <w:jc w:val="center"/>
              <w:rPr>
                <w:rFonts w:ascii="Arial Narrow" w:hAnsi="Arial Narrow"/>
                <w:snapToGrid/>
                <w:sz w:val="20"/>
                <w:szCs w:val="20"/>
              </w:rPr>
            </w:pPr>
            <w:r w:rsidRPr="006A6B13">
              <w:rPr>
                <w:rFonts w:ascii="Arial Narrow" w:hAnsi="Arial Narrow"/>
                <w:i/>
                <w:iCs/>
                <w:snapToGrid/>
                <w:sz w:val="20"/>
                <w:szCs w:val="20"/>
                <w:lang w:eastAsia="en-AU"/>
              </w:rPr>
              <w:t>0.92 (0.70, 1.22)</w:t>
            </w:r>
          </w:p>
        </w:tc>
        <w:tc>
          <w:tcPr>
            <w:tcW w:w="828" w:type="pct"/>
          </w:tcPr>
          <w:p w:rsidR="00CC2D90" w:rsidRPr="006A6B13" w:rsidRDefault="00CC2D90" w:rsidP="00B523DB">
            <w:pPr>
              <w:keepNext/>
              <w:keepLines/>
              <w:widowControl/>
              <w:snapToGrid w:val="0"/>
              <w:jc w:val="center"/>
              <w:rPr>
                <w:rFonts w:ascii="Arial Narrow" w:hAnsi="Arial Narrow"/>
                <w:i/>
                <w:iCs/>
                <w:snapToGrid/>
                <w:sz w:val="20"/>
                <w:szCs w:val="20"/>
                <w:lang w:eastAsia="en-AU"/>
              </w:rPr>
            </w:pPr>
            <w:r w:rsidRPr="006A6B13">
              <w:rPr>
                <w:rFonts w:ascii="Arial Narrow" w:hAnsi="Arial Narrow"/>
                <w:i/>
                <w:iCs/>
                <w:snapToGrid/>
                <w:sz w:val="20"/>
                <w:szCs w:val="20"/>
                <w:lang w:eastAsia="en-AU"/>
              </w:rPr>
              <w:t>-0.02 (-0.08, 0.04)</w:t>
            </w:r>
          </w:p>
        </w:tc>
        <w:tc>
          <w:tcPr>
            <w:tcW w:w="1885" w:type="pct"/>
          </w:tcPr>
          <w:p w:rsidR="00CC2D90" w:rsidRPr="006A6B13" w:rsidRDefault="00CC2D90" w:rsidP="00B523DB">
            <w:pPr>
              <w:keepNext/>
              <w:keepLines/>
              <w:widowControl/>
              <w:snapToGrid w:val="0"/>
              <w:jc w:val="center"/>
              <w:rPr>
                <w:rFonts w:ascii="Arial Narrow" w:hAnsi="Arial Narrow"/>
                <w:snapToGrid/>
                <w:sz w:val="20"/>
                <w:szCs w:val="20"/>
                <w:lang w:eastAsia="en-AU"/>
              </w:rPr>
            </w:pPr>
            <w:r w:rsidRPr="006A6B13">
              <w:rPr>
                <w:rFonts w:ascii="Arial Narrow" w:hAnsi="Arial Narrow"/>
                <w:snapToGrid/>
                <w:sz w:val="20"/>
                <w:szCs w:val="20"/>
                <w:lang w:eastAsia="en-AU"/>
              </w:rPr>
              <w:t>No significant difference</w:t>
            </w:r>
          </w:p>
        </w:tc>
      </w:tr>
    </w:tbl>
    <w:p w:rsidR="00CC2D90" w:rsidRPr="004E7F56" w:rsidRDefault="00CC2D90" w:rsidP="00CC2D90">
      <w:pPr>
        <w:pStyle w:val="PBACHeading1"/>
        <w:rPr>
          <w:rFonts w:ascii="Arial Narrow" w:hAnsi="Arial Narrow"/>
          <w:b w:val="0"/>
          <w:bCs/>
          <w:i/>
          <w:snapToGrid/>
          <w:sz w:val="18"/>
          <w:szCs w:val="18"/>
        </w:rPr>
      </w:pPr>
      <w:bookmarkStart w:id="14" w:name="_Toc503212793"/>
      <w:r w:rsidRPr="004E7F56">
        <w:rPr>
          <w:rFonts w:ascii="Arial Narrow" w:hAnsi="Arial Narrow"/>
          <w:b w:val="0"/>
          <w:bCs/>
          <w:i/>
          <w:snapToGrid/>
          <w:sz w:val="18"/>
          <w:szCs w:val="18"/>
        </w:rPr>
        <w:t>Italics indicate results estimated during the evaluation</w:t>
      </w:r>
      <w:r>
        <w:rPr>
          <w:rFonts w:ascii="Arial Narrow" w:hAnsi="Arial Narrow"/>
          <w:b w:val="0"/>
          <w:bCs/>
          <w:i/>
          <w:snapToGrid/>
          <w:sz w:val="18"/>
          <w:szCs w:val="18"/>
        </w:rPr>
        <w:t xml:space="preserve">, bold typography </w:t>
      </w:r>
      <w:r w:rsidR="00EC3E0F">
        <w:rPr>
          <w:rFonts w:ascii="Arial Narrow" w:hAnsi="Arial Narrow"/>
          <w:b w:val="0"/>
          <w:bCs/>
          <w:i/>
          <w:snapToGrid/>
          <w:sz w:val="18"/>
          <w:szCs w:val="18"/>
        </w:rPr>
        <w:t>indicates</w:t>
      </w:r>
      <w:r>
        <w:rPr>
          <w:rFonts w:ascii="Arial Narrow" w:hAnsi="Arial Narrow"/>
          <w:b w:val="0"/>
          <w:bCs/>
          <w:i/>
          <w:snapToGrid/>
          <w:sz w:val="18"/>
          <w:szCs w:val="18"/>
        </w:rPr>
        <w:t xml:space="preserve"> statistically significant results.</w:t>
      </w:r>
      <w:bookmarkEnd w:id="14"/>
      <w:r w:rsidRPr="004E7F56">
        <w:rPr>
          <w:rFonts w:ascii="Arial Narrow" w:hAnsi="Arial Narrow"/>
          <w:b w:val="0"/>
          <w:bCs/>
          <w:i/>
          <w:snapToGrid/>
          <w:sz w:val="18"/>
          <w:szCs w:val="18"/>
        </w:rPr>
        <w:t xml:space="preserve"> </w:t>
      </w:r>
    </w:p>
    <w:p w:rsidR="00CC2D90" w:rsidRPr="00747BAC" w:rsidRDefault="00CC2D90" w:rsidP="00CC2D90">
      <w:pPr>
        <w:pStyle w:val="PBACHeading1"/>
        <w:rPr>
          <w:rFonts w:ascii="Arial Narrow" w:hAnsi="Arial Narrow"/>
          <w:b w:val="0"/>
          <w:bCs/>
          <w:snapToGrid/>
          <w:sz w:val="18"/>
          <w:szCs w:val="18"/>
        </w:rPr>
      </w:pPr>
      <w:bookmarkStart w:id="15" w:name="_Toc503212794"/>
      <w:r w:rsidRPr="00747BAC">
        <w:rPr>
          <w:rFonts w:ascii="Arial Narrow" w:hAnsi="Arial Narrow"/>
          <w:b w:val="0"/>
          <w:bCs/>
          <w:snapToGrid/>
          <w:sz w:val="18"/>
          <w:szCs w:val="18"/>
        </w:rPr>
        <w:t>Abbreviations: AE, adverse event; CI, confidence interval; RR, Relative Risk.</w:t>
      </w:r>
      <w:bookmarkEnd w:id="15"/>
      <w:r w:rsidRPr="00747BAC">
        <w:rPr>
          <w:rFonts w:ascii="Arial Narrow" w:hAnsi="Arial Narrow"/>
          <w:b w:val="0"/>
          <w:bCs/>
          <w:snapToGrid/>
          <w:sz w:val="18"/>
          <w:szCs w:val="18"/>
        </w:rPr>
        <w:t xml:space="preserve"> </w:t>
      </w:r>
    </w:p>
    <w:p w:rsidR="00CC2D90" w:rsidRPr="00747BAC" w:rsidRDefault="00CC2D90" w:rsidP="00CC2D90">
      <w:pPr>
        <w:pStyle w:val="PBACHeading1"/>
        <w:rPr>
          <w:rFonts w:ascii="Arial Narrow" w:hAnsi="Arial Narrow"/>
          <w:b w:val="0"/>
          <w:bCs/>
          <w:snapToGrid/>
          <w:sz w:val="18"/>
          <w:szCs w:val="18"/>
        </w:rPr>
      </w:pPr>
      <w:bookmarkStart w:id="16" w:name="_Toc503212795"/>
      <w:r w:rsidRPr="00747BAC">
        <w:rPr>
          <w:rFonts w:ascii="Arial Narrow" w:hAnsi="Arial Narrow"/>
          <w:b w:val="0"/>
          <w:bCs/>
          <w:snapToGrid/>
          <w:sz w:val="18"/>
          <w:szCs w:val="18"/>
          <w:vertAlign w:val="superscript"/>
        </w:rPr>
        <w:t>a</w:t>
      </w:r>
      <w:r w:rsidRPr="00747BAC">
        <w:rPr>
          <w:rFonts w:ascii="Arial Narrow" w:hAnsi="Arial Narrow"/>
          <w:b w:val="0"/>
          <w:bCs/>
          <w:snapToGrid/>
          <w:sz w:val="18"/>
          <w:szCs w:val="18"/>
          <w:vertAlign w:val="superscript"/>
        </w:rPr>
        <w:tab/>
      </w:r>
      <w:r w:rsidRPr="00747BAC">
        <w:rPr>
          <w:rFonts w:ascii="Arial Narrow" w:hAnsi="Arial Narrow"/>
          <w:b w:val="0"/>
          <w:bCs/>
          <w:snapToGrid/>
          <w:sz w:val="18"/>
          <w:szCs w:val="18"/>
        </w:rPr>
        <w:t>Used the UST 45 mg results from the Asian studies (Igarashi 2012, PEARL and LOTUS)</w:t>
      </w:r>
      <w:bookmarkEnd w:id="16"/>
    </w:p>
    <w:p w:rsidR="00CC2D90" w:rsidRPr="00747BAC" w:rsidRDefault="00CC2D90" w:rsidP="00CC2D90">
      <w:pPr>
        <w:pStyle w:val="PBACHeading1"/>
        <w:ind w:left="165" w:hanging="165"/>
        <w:rPr>
          <w:rFonts w:ascii="Arial Narrow" w:hAnsi="Arial Narrow"/>
          <w:b w:val="0"/>
          <w:bCs/>
          <w:snapToGrid/>
          <w:sz w:val="18"/>
          <w:szCs w:val="18"/>
        </w:rPr>
      </w:pPr>
      <w:bookmarkStart w:id="17" w:name="_Toc503212796"/>
      <w:r w:rsidRPr="00747BAC">
        <w:rPr>
          <w:rFonts w:ascii="Arial Narrow" w:hAnsi="Arial Narrow"/>
          <w:b w:val="0"/>
          <w:bCs/>
          <w:snapToGrid/>
          <w:sz w:val="18"/>
          <w:szCs w:val="18"/>
          <w:vertAlign w:val="superscript"/>
        </w:rPr>
        <w:t>b</w:t>
      </w:r>
      <w:r w:rsidRPr="00747BAC">
        <w:rPr>
          <w:rFonts w:ascii="Arial Narrow" w:hAnsi="Arial Narrow"/>
          <w:b w:val="0"/>
          <w:bCs/>
          <w:snapToGrid/>
          <w:sz w:val="18"/>
          <w:szCs w:val="18"/>
        </w:rPr>
        <w:tab/>
        <w:t>The submission did not report severe AE data for patients who received UST according to the weight-based dosing regimen (Table 2.62, p173 of submission.</w:t>
      </w:r>
      <w:bookmarkEnd w:id="17"/>
    </w:p>
    <w:p w:rsidR="00CC2D90" w:rsidRPr="00747BAC" w:rsidRDefault="00CC2D90" w:rsidP="00CC2D90">
      <w:pPr>
        <w:pStyle w:val="PBACHeading1"/>
        <w:ind w:left="165" w:hanging="165"/>
        <w:rPr>
          <w:rFonts w:ascii="Arial Narrow" w:hAnsi="Arial Narrow"/>
          <w:b w:val="0"/>
          <w:bCs/>
          <w:i/>
          <w:snapToGrid/>
          <w:sz w:val="18"/>
          <w:szCs w:val="18"/>
        </w:rPr>
      </w:pPr>
      <w:bookmarkStart w:id="18" w:name="_Toc503212797"/>
      <w:r w:rsidRPr="00747BAC">
        <w:rPr>
          <w:rFonts w:ascii="Arial Narrow" w:hAnsi="Arial Narrow"/>
          <w:b w:val="0"/>
          <w:bCs/>
          <w:i/>
          <w:snapToGrid/>
          <w:sz w:val="18"/>
          <w:szCs w:val="18"/>
        </w:rPr>
        <w:t>^</w:t>
      </w:r>
      <w:r w:rsidRPr="00747BAC">
        <w:rPr>
          <w:rFonts w:ascii="Arial Narrow" w:hAnsi="Arial Narrow"/>
          <w:b w:val="0"/>
          <w:bCs/>
          <w:i/>
          <w:snapToGrid/>
          <w:sz w:val="18"/>
          <w:szCs w:val="18"/>
        </w:rPr>
        <w:tab/>
        <w:t xml:space="preserve">estimated during the evaluation in </w:t>
      </w:r>
      <w:proofErr w:type="spellStart"/>
      <w:r w:rsidRPr="00747BAC">
        <w:rPr>
          <w:rFonts w:ascii="Arial Narrow" w:hAnsi="Arial Narrow"/>
          <w:b w:val="0"/>
          <w:bCs/>
          <w:i/>
          <w:snapToGrid/>
          <w:sz w:val="18"/>
          <w:szCs w:val="18"/>
        </w:rPr>
        <w:t>RevMan</w:t>
      </w:r>
      <w:proofErr w:type="spellEnd"/>
      <w:r w:rsidRPr="00747BAC">
        <w:rPr>
          <w:rFonts w:ascii="Arial Narrow" w:hAnsi="Arial Narrow"/>
          <w:b w:val="0"/>
          <w:bCs/>
          <w:i/>
          <w:snapToGrid/>
          <w:sz w:val="18"/>
          <w:szCs w:val="18"/>
        </w:rPr>
        <w:t xml:space="preserve"> Version 5.3 following the Bucher 1997 method.</w:t>
      </w:r>
      <w:bookmarkEnd w:id="18"/>
    </w:p>
    <w:p w:rsidR="00A40891" w:rsidRDefault="00CC2D90" w:rsidP="00B621B6">
      <w:pPr>
        <w:pStyle w:val="PBACHeading1"/>
        <w:ind w:left="720" w:hanging="720"/>
        <w:rPr>
          <w:rFonts w:ascii="Arial Narrow" w:hAnsi="Arial Narrow"/>
          <w:b w:val="0"/>
          <w:bCs/>
          <w:sz w:val="18"/>
          <w:szCs w:val="18"/>
        </w:rPr>
      </w:pPr>
      <w:bookmarkStart w:id="19" w:name="_Toc503212798"/>
      <w:r w:rsidRPr="00747BAC">
        <w:rPr>
          <w:rFonts w:ascii="Arial Narrow" w:hAnsi="Arial Narrow"/>
          <w:b w:val="0"/>
          <w:bCs/>
          <w:snapToGrid/>
          <w:sz w:val="18"/>
          <w:szCs w:val="18"/>
        </w:rPr>
        <w:t xml:space="preserve">Source: Estimated during the evaluation using results reported in </w:t>
      </w:r>
      <w:r w:rsidRPr="00747BAC">
        <w:rPr>
          <w:rFonts w:ascii="Arial Narrow" w:hAnsi="Arial Narrow"/>
          <w:b w:val="0"/>
          <w:bCs/>
          <w:sz w:val="18"/>
          <w:szCs w:val="18"/>
        </w:rPr>
        <w:t>Tables 2.60-2.62, pp,172-173 of submission.</w:t>
      </w:r>
      <w:bookmarkEnd w:id="19"/>
    </w:p>
    <w:p w:rsidR="004A44A7" w:rsidRPr="00B621B6" w:rsidRDefault="004A44A7" w:rsidP="00CA4AA0">
      <w:pPr>
        <w:pStyle w:val="PBACHeading1"/>
        <w:spacing w:after="120"/>
        <w:ind w:left="720" w:hanging="720"/>
        <w:rPr>
          <w:rFonts w:ascii="Arial Narrow" w:hAnsi="Arial Narrow"/>
          <w:b w:val="0"/>
          <w:bCs/>
          <w:sz w:val="18"/>
          <w:szCs w:val="18"/>
        </w:rPr>
      </w:pPr>
    </w:p>
    <w:p w:rsidR="004151CF" w:rsidRPr="00AF65C5" w:rsidRDefault="007F1017" w:rsidP="00CA4AA0">
      <w:pPr>
        <w:pStyle w:val="Heading2"/>
        <w:spacing w:after="120"/>
      </w:pPr>
      <w:bookmarkStart w:id="20" w:name="_Toc503212799"/>
      <w:r w:rsidRPr="00AF65C5">
        <w:t>Benefits/harms</w:t>
      </w:r>
      <w:bookmarkEnd w:id="20"/>
    </w:p>
    <w:p w:rsidR="00EC00C9" w:rsidRPr="008D175F" w:rsidRDefault="00EC00C9" w:rsidP="00D354F7">
      <w:pPr>
        <w:pStyle w:val="ListParagraph"/>
        <w:widowControl/>
        <w:numPr>
          <w:ilvl w:val="1"/>
          <w:numId w:val="3"/>
        </w:numPr>
      </w:pPr>
      <w:r w:rsidRPr="00C725E4">
        <w:t>A summary of the compar</w:t>
      </w:r>
      <w:r w:rsidR="00BC3632">
        <w:t>ative benefits for guselkumab</w:t>
      </w:r>
      <w:r w:rsidR="006C60B7" w:rsidRPr="00C725E4">
        <w:t xml:space="preserve"> versus </w:t>
      </w:r>
      <w:r w:rsidR="00956882">
        <w:t xml:space="preserve">nominated comparators </w:t>
      </w:r>
      <w:r w:rsidR="00861F08" w:rsidRPr="00C725E4">
        <w:t xml:space="preserve">is </w:t>
      </w:r>
      <w:r w:rsidR="00861F08" w:rsidRPr="008D175F">
        <w:t xml:space="preserve">presented in Table </w:t>
      </w:r>
      <w:r w:rsidR="00CC2D90" w:rsidRPr="008D175F">
        <w:t>8</w:t>
      </w:r>
      <w:r w:rsidRPr="008D175F">
        <w:t>.</w:t>
      </w:r>
      <w:r w:rsidR="00410708" w:rsidRPr="008D175F">
        <w:t xml:space="preserve"> </w:t>
      </w:r>
      <w:r w:rsidR="00956882" w:rsidRPr="008D175F">
        <w:t xml:space="preserve"> A sum</w:t>
      </w:r>
      <w:r w:rsidR="00BC3632">
        <w:t>mary of comparative harms of guselkumab</w:t>
      </w:r>
      <w:r w:rsidR="00956882" w:rsidRPr="008D175F">
        <w:t xml:space="preserve"> versus comparators is not presented given the results</w:t>
      </w:r>
      <w:r w:rsidR="008D175F" w:rsidRPr="008D175F">
        <w:t xml:space="preserve"> support</w:t>
      </w:r>
      <w:r w:rsidR="00BC3632">
        <w:t xml:space="preserve"> </w:t>
      </w:r>
      <w:r w:rsidR="00956882" w:rsidRPr="008D175F">
        <w:t>non-inferior safety.</w:t>
      </w:r>
    </w:p>
    <w:p w:rsidR="00AF4927" w:rsidRDefault="00AF4927" w:rsidP="00A40891">
      <w:pPr>
        <w:keepNext/>
        <w:keepLines/>
        <w:rPr>
          <w:rStyle w:val="CommentReference"/>
        </w:rPr>
      </w:pPr>
      <w:r w:rsidRPr="00C725E4">
        <w:rPr>
          <w:rStyle w:val="CommentReference"/>
        </w:rPr>
        <w:lastRenderedPageBreak/>
        <w:t xml:space="preserve">Table </w:t>
      </w:r>
      <w:r w:rsidR="00CC2D90">
        <w:rPr>
          <w:rStyle w:val="CommentReference"/>
        </w:rPr>
        <w:t>8</w:t>
      </w:r>
      <w:r w:rsidRPr="00C725E4">
        <w:rPr>
          <w:rStyle w:val="CommentReference"/>
        </w:rPr>
        <w:t xml:space="preserve">: Summary of comparative benefits and harms for GUS and </w:t>
      </w:r>
      <w:r w:rsidR="004202CE">
        <w:rPr>
          <w:rStyle w:val="CommentReference"/>
        </w:rPr>
        <w:t xml:space="preserve">nominated </w:t>
      </w:r>
      <w:r w:rsidRPr="00C725E4">
        <w:rPr>
          <w:rStyle w:val="CommentReference"/>
        </w:rPr>
        <w:t>comparato</w:t>
      </w:r>
      <w:r w:rsidR="004202CE">
        <w:rPr>
          <w:rStyle w:val="CommentReference"/>
        </w:rPr>
        <w:t>rs</w:t>
      </w:r>
      <w:r w:rsidRPr="00C725E4">
        <w:rPr>
          <w:rStyle w:val="CommentReference"/>
        </w:rPr>
        <w:t xml:space="preserve"> </w:t>
      </w:r>
    </w:p>
    <w:tbl>
      <w:tblPr>
        <w:tblW w:w="5000" w:type="pct"/>
        <w:tblCellMar>
          <w:left w:w="28" w:type="dxa"/>
          <w:right w:w="28" w:type="dxa"/>
        </w:tblCellMar>
        <w:tblLook w:val="04A0" w:firstRow="1" w:lastRow="0" w:firstColumn="1" w:lastColumn="0" w:noHBand="0" w:noVBand="1"/>
      </w:tblPr>
      <w:tblGrid>
        <w:gridCol w:w="1140"/>
        <w:gridCol w:w="843"/>
        <w:gridCol w:w="705"/>
        <w:gridCol w:w="854"/>
        <w:gridCol w:w="1849"/>
        <w:gridCol w:w="569"/>
        <w:gridCol w:w="354"/>
        <w:gridCol w:w="323"/>
        <w:gridCol w:w="609"/>
        <w:gridCol w:w="1837"/>
      </w:tblGrid>
      <w:tr w:rsidR="004202CE" w:rsidRPr="006A6B13" w:rsidTr="006A6B13">
        <w:trPr>
          <w:trHeight w:val="620"/>
        </w:trPr>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b/>
                <w:color w:val="000000"/>
                <w:sz w:val="20"/>
                <w:szCs w:val="20"/>
              </w:rPr>
            </w:pPr>
            <w:r w:rsidRPr="006A6B13">
              <w:rPr>
                <w:rFonts w:ascii="Arial Narrow" w:hAnsi="Arial Narrow"/>
                <w:b/>
                <w:color w:val="000000"/>
                <w:sz w:val="20"/>
                <w:szCs w:val="20"/>
              </w:rPr>
              <w:t>Trial</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Drug</w:t>
            </w:r>
          </w:p>
        </w:tc>
        <w:tc>
          <w:tcPr>
            <w:tcW w:w="857"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common reference</w:t>
            </w:r>
            <w:r w:rsidRPr="006A6B13" w:rsidDel="00333A2F">
              <w:rPr>
                <w:rFonts w:ascii="Arial Narrow" w:hAnsi="Arial Narrow"/>
                <w:b/>
                <w:color w:val="000000"/>
                <w:sz w:val="20"/>
                <w:szCs w:val="20"/>
              </w:rPr>
              <w:t xml:space="preserve"> </w:t>
            </w:r>
            <w:r w:rsidRPr="006A6B13">
              <w:rPr>
                <w:rFonts w:ascii="Arial Narrow" w:hAnsi="Arial Narrow"/>
                <w:b/>
                <w:color w:val="000000"/>
                <w:sz w:val="20"/>
                <w:szCs w:val="20"/>
              </w:rPr>
              <w:t>/comparator</w:t>
            </w:r>
          </w:p>
        </w:tc>
        <w:tc>
          <w:tcPr>
            <w:tcW w:w="1018"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OR (95%CI)</w:t>
            </w:r>
          </w:p>
        </w:tc>
        <w:tc>
          <w:tcPr>
            <w:tcW w:w="1021" w:type="pct"/>
            <w:gridSpan w:val="4"/>
            <w:tcBorders>
              <w:top w:val="single" w:sz="4" w:space="0" w:color="auto"/>
              <w:left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Event rate/100 patients*</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RD (95% CI)</w:t>
            </w:r>
          </w:p>
        </w:tc>
      </w:tr>
      <w:tr w:rsidR="004202CE" w:rsidRPr="006A6B13" w:rsidTr="006A6B13">
        <w:tc>
          <w:tcPr>
            <w:tcW w:w="5000" w:type="pct"/>
            <w:gridSpan w:val="10"/>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202CE" w:rsidRPr="006A6B13" w:rsidRDefault="00956882" w:rsidP="00A40891">
            <w:pPr>
              <w:keepNext/>
              <w:keepLines/>
              <w:rPr>
                <w:rFonts w:ascii="Arial Narrow" w:hAnsi="Arial Narrow"/>
                <w:b/>
                <w:color w:val="000000"/>
                <w:sz w:val="20"/>
                <w:szCs w:val="20"/>
              </w:rPr>
            </w:pPr>
            <w:r w:rsidRPr="006A6B13">
              <w:rPr>
                <w:rFonts w:ascii="Arial Narrow" w:hAnsi="Arial Narrow"/>
                <w:b/>
                <w:color w:val="000000"/>
                <w:sz w:val="20"/>
                <w:szCs w:val="20"/>
              </w:rPr>
              <w:t>Be</w:t>
            </w:r>
            <w:r w:rsidR="004202CE" w:rsidRPr="006A6B13">
              <w:rPr>
                <w:rFonts w:ascii="Arial Narrow" w:hAnsi="Arial Narrow"/>
                <w:b/>
                <w:color w:val="000000"/>
                <w:sz w:val="20"/>
                <w:szCs w:val="20"/>
              </w:rPr>
              <w:t>nefits: GUS versus UST</w:t>
            </w:r>
          </w:p>
        </w:tc>
      </w:tr>
      <w:tr w:rsidR="004202CE" w:rsidRPr="006A6B13" w:rsidTr="006A6B13">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b/>
                <w:color w:val="000000"/>
                <w:sz w:val="20"/>
                <w:szCs w:val="20"/>
              </w:rPr>
            </w:pPr>
            <w:r w:rsidRPr="006A6B13">
              <w:rPr>
                <w:rFonts w:ascii="Arial Narrow" w:hAnsi="Arial Narrow"/>
                <w:b/>
                <w:color w:val="000000"/>
                <w:sz w:val="20"/>
                <w:szCs w:val="20"/>
              </w:rPr>
              <w:t>PASI 75 response at Week 16 (GUS) and Week 12 (UST) using placebo as common reference</w:t>
            </w:r>
          </w:p>
        </w:tc>
      </w:tr>
      <w:tr w:rsidR="004202CE" w:rsidRPr="006A6B13" w:rsidTr="006A6B13">
        <w:trPr>
          <w:trHeight w:val="105"/>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GUS</w:t>
            </w:r>
          </w:p>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n/N</w:t>
            </w:r>
          </w:p>
        </w:tc>
        <w:tc>
          <w:tcPr>
            <w:tcW w:w="388" w:type="pct"/>
            <w:vMerge w:val="restar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PBO</w:t>
            </w:r>
          </w:p>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n/N</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UST</w:t>
            </w:r>
          </w:p>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n/N</w:t>
            </w:r>
          </w:p>
        </w:tc>
        <w:tc>
          <w:tcPr>
            <w:tcW w:w="1018" w:type="pct"/>
            <w:vMerge w:val="restar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roofErr w:type="spellStart"/>
            <w:r w:rsidRPr="006A6B13">
              <w:rPr>
                <w:rFonts w:ascii="Arial Narrow" w:hAnsi="Arial Narrow"/>
                <w:b/>
                <w:color w:val="000000"/>
                <w:sz w:val="20"/>
                <w:szCs w:val="20"/>
              </w:rPr>
              <w:t>OR</w:t>
            </w:r>
            <w:r w:rsidRPr="006A6B13">
              <w:rPr>
                <w:rFonts w:ascii="Arial Narrow" w:hAnsi="Arial Narrow"/>
                <w:b/>
                <w:color w:val="000000"/>
                <w:sz w:val="20"/>
                <w:szCs w:val="20"/>
                <w:vertAlign w:val="superscript"/>
              </w:rPr>
              <w:t>a</w:t>
            </w:r>
            <w:proofErr w:type="spellEnd"/>
          </w:p>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b/>
                <w:color w:val="000000"/>
                <w:sz w:val="20"/>
                <w:szCs w:val="20"/>
              </w:rPr>
              <w:t>(95% CI)</w:t>
            </w:r>
          </w:p>
        </w:tc>
        <w:tc>
          <w:tcPr>
            <w:tcW w:w="1021" w:type="pct"/>
            <w:gridSpan w:val="4"/>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 xml:space="preserve">Event rate/100 patients* </w:t>
            </w:r>
          </w:p>
        </w:tc>
        <w:tc>
          <w:tcPr>
            <w:tcW w:w="1011" w:type="pct"/>
            <w:vMerge w:val="restar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RD</w:t>
            </w:r>
          </w:p>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b/>
                <w:color w:val="000000"/>
                <w:sz w:val="20"/>
                <w:szCs w:val="20"/>
              </w:rPr>
              <w:t>(95% CI)</w:t>
            </w:r>
          </w:p>
        </w:tc>
      </w:tr>
      <w:tr w:rsidR="004202CE" w:rsidRPr="006A6B13" w:rsidTr="006A6B13">
        <w:trPr>
          <w:trHeight w:val="7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
        </w:tc>
        <w:tc>
          <w:tcPr>
            <w:tcW w:w="1018" w:type="pct"/>
            <w:vMerge/>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GUS</w:t>
            </w:r>
          </w:p>
        </w:tc>
        <w:tc>
          <w:tcPr>
            <w:tcW w:w="37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PBO</w:t>
            </w:r>
          </w:p>
        </w:tc>
        <w:tc>
          <w:tcPr>
            <w:tcW w:w="335"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UST</w:t>
            </w:r>
          </w:p>
        </w:tc>
        <w:tc>
          <w:tcPr>
            <w:tcW w:w="1011" w:type="pct"/>
            <w:vMerge/>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r w:rsidRPr="006A6B13">
              <w:rPr>
                <w:rFonts w:ascii="Arial Narrow" w:hAnsi="Arial Narrow"/>
                <w:color w:val="000000"/>
                <w:sz w:val="20"/>
                <w:szCs w:val="20"/>
              </w:rPr>
              <w:t>GUS (pooled)</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728/825</w:t>
            </w:r>
          </w:p>
        </w:tc>
        <w:tc>
          <w:tcPr>
            <w:tcW w:w="388"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30/422</w:t>
            </w:r>
          </w:p>
        </w:tc>
        <w:tc>
          <w:tcPr>
            <w:tcW w:w="469"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w:t>
            </w:r>
          </w:p>
        </w:tc>
        <w:tc>
          <w:tcPr>
            <w:tcW w:w="1018"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b/>
                <w:bCs/>
                <w:sz w:val="20"/>
                <w:szCs w:val="20"/>
              </w:rPr>
              <w:t>105.78 (45.70, 244.85)</w:t>
            </w:r>
          </w:p>
        </w:tc>
        <w:tc>
          <w:tcPr>
            <w:tcW w:w="313"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88.2</w:t>
            </w:r>
          </w:p>
        </w:tc>
        <w:tc>
          <w:tcPr>
            <w:tcW w:w="37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7.1</w:t>
            </w:r>
          </w:p>
        </w:tc>
        <w:tc>
          <w:tcPr>
            <w:tcW w:w="335"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b/>
                <w:bCs/>
                <w:color w:val="000000"/>
                <w:sz w:val="20"/>
                <w:szCs w:val="20"/>
              </w:rPr>
              <w:t>0.82 (0.75, 0.89)</w:t>
            </w: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6A6B13">
            <w:pPr>
              <w:keepNext/>
              <w:keepLines/>
              <w:jc w:val="left"/>
              <w:rPr>
                <w:rFonts w:ascii="Arial Narrow" w:hAnsi="Arial Narrow"/>
                <w:color w:val="000000"/>
                <w:sz w:val="20"/>
                <w:szCs w:val="20"/>
              </w:rPr>
            </w:pPr>
            <w:r w:rsidRPr="006A6B13">
              <w:rPr>
                <w:rFonts w:ascii="Arial Narrow" w:hAnsi="Arial Narrow"/>
                <w:color w:val="000000"/>
                <w:sz w:val="20"/>
                <w:szCs w:val="20"/>
              </w:rPr>
              <w:t>UST (all doses)</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8"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69"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18"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b/>
                <w:bCs/>
                <w:sz w:val="20"/>
                <w:szCs w:val="20"/>
                <w:highlight w:val="black"/>
              </w:rPr>
            </w:pPr>
            <w:r>
              <w:rPr>
                <w:rFonts w:ascii="Arial Narrow" w:hAnsi="Arial Narrow"/>
                <w:b/>
                <w:bCs/>
                <w:noProof/>
                <w:color w:val="000000"/>
                <w:sz w:val="20"/>
                <w:szCs w:val="20"/>
                <w:highlight w:val="black"/>
              </w:rPr>
              <w:t>'''''''''' ''''''''''''' ''''''''''''</w:t>
            </w:r>
          </w:p>
        </w:tc>
        <w:tc>
          <w:tcPr>
            <w:tcW w:w="313"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373" w:type="pct"/>
            <w:gridSpan w:val="2"/>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335"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b/>
                <w:bCs/>
                <w:color w:val="000000"/>
                <w:sz w:val="20"/>
                <w:szCs w:val="20"/>
                <w:highlight w:val="black"/>
              </w:rPr>
            </w:pPr>
            <w:r>
              <w:rPr>
                <w:rFonts w:ascii="Arial Narrow" w:hAnsi="Arial Narrow"/>
                <w:b/>
                <w:bCs/>
                <w:noProof/>
                <w:color w:val="000000"/>
                <w:sz w:val="20"/>
                <w:szCs w:val="20"/>
                <w:highlight w:val="black"/>
              </w:rPr>
              <w:t>'''''''''' ''''''''''' ''''''''''</w:t>
            </w:r>
          </w:p>
        </w:tc>
      </w:tr>
      <w:tr w:rsidR="004202CE" w:rsidRPr="006A6B13" w:rsidTr="006A6B13">
        <w:tc>
          <w:tcPr>
            <w:tcW w:w="1950" w:type="pct"/>
            <w:gridSpan w:val="4"/>
            <w:tcBorders>
              <w:top w:val="single" w:sz="4" w:space="0" w:color="auto"/>
              <w:left w:val="single" w:sz="4" w:space="0" w:color="auto"/>
              <w:bottom w:val="double" w:sz="4" w:space="0" w:color="auto"/>
              <w:right w:val="single" w:sz="4" w:space="0" w:color="auto"/>
            </w:tcBorders>
            <w:shd w:val="clear" w:color="auto" w:fill="auto"/>
            <w:vAlign w:val="center"/>
          </w:tcPr>
          <w:p w:rsidR="004202CE" w:rsidRPr="006A6B13" w:rsidRDefault="004202CE" w:rsidP="00A40891">
            <w:pPr>
              <w:keepNext/>
              <w:keepLines/>
              <w:jc w:val="right"/>
              <w:rPr>
                <w:rFonts w:ascii="Arial Narrow" w:hAnsi="Arial Narrow"/>
                <w:b/>
                <w:bCs/>
                <w:color w:val="000000"/>
                <w:sz w:val="20"/>
                <w:szCs w:val="20"/>
              </w:rPr>
            </w:pPr>
            <w:r w:rsidRPr="006A6B13">
              <w:rPr>
                <w:rFonts w:ascii="Arial Narrow" w:hAnsi="Arial Narrow"/>
                <w:b/>
                <w:bCs/>
                <w:color w:val="000000"/>
                <w:sz w:val="20"/>
                <w:szCs w:val="20"/>
              </w:rPr>
              <w:t>Indirect comparison: GUS vs UST (all doses)</w:t>
            </w:r>
          </w:p>
        </w:tc>
        <w:tc>
          <w:tcPr>
            <w:tcW w:w="1018" w:type="pct"/>
            <w:tcBorders>
              <w:top w:val="single" w:sz="4" w:space="0" w:color="auto"/>
              <w:left w:val="single" w:sz="4" w:space="0" w:color="auto"/>
              <w:bottom w:val="double" w:sz="4" w:space="0" w:color="auto"/>
              <w:right w:val="single" w:sz="4" w:space="0" w:color="auto"/>
            </w:tcBorders>
            <w:vAlign w:val="center"/>
          </w:tcPr>
          <w:p w:rsidR="004202CE" w:rsidRPr="00F87F3F" w:rsidRDefault="00F87F3F" w:rsidP="00A40891">
            <w:pPr>
              <w:keepNext/>
              <w:keepLines/>
              <w:jc w:val="center"/>
              <w:rPr>
                <w:rFonts w:ascii="Arial Narrow" w:hAnsi="Arial Narrow"/>
                <w:iCs/>
                <w:sz w:val="20"/>
                <w:szCs w:val="20"/>
                <w:highlight w:val="black"/>
              </w:rPr>
            </w:pPr>
            <w:r>
              <w:rPr>
                <w:rFonts w:ascii="Arial Narrow" w:hAnsi="Arial Narrow"/>
                <w:b/>
                <w:iCs/>
                <w:noProof/>
                <w:color w:val="000000"/>
                <w:sz w:val="20"/>
                <w:szCs w:val="20"/>
                <w:highlight w:val="black"/>
              </w:rPr>
              <w:t>'''''''' ''''''''''''' '''''''''''</w:t>
            </w:r>
          </w:p>
        </w:tc>
        <w:tc>
          <w:tcPr>
            <w:tcW w:w="1021" w:type="pct"/>
            <w:gridSpan w:val="4"/>
            <w:tcBorders>
              <w:top w:val="single" w:sz="4" w:space="0" w:color="auto"/>
              <w:left w:val="single" w:sz="4" w:space="0" w:color="auto"/>
              <w:bottom w:val="double" w:sz="4" w:space="0" w:color="auto"/>
              <w:right w:val="single" w:sz="4" w:space="0" w:color="auto"/>
            </w:tcBorders>
            <w:shd w:val="clear" w:color="auto" w:fill="auto"/>
            <w:vAlign w:val="center"/>
          </w:tcPr>
          <w:p w:rsidR="004202CE" w:rsidRPr="006A6B13" w:rsidRDefault="004202CE" w:rsidP="00A40891">
            <w:pPr>
              <w:keepNext/>
              <w:keepLines/>
              <w:jc w:val="center"/>
              <w:rPr>
                <w:rFonts w:ascii="Arial Narrow" w:hAnsi="Arial Narrow"/>
                <w:color w:val="000000"/>
                <w:sz w:val="20"/>
                <w:szCs w:val="20"/>
              </w:rPr>
            </w:pPr>
          </w:p>
        </w:tc>
        <w:tc>
          <w:tcPr>
            <w:tcW w:w="1011" w:type="pct"/>
            <w:tcBorders>
              <w:top w:val="single" w:sz="4" w:space="0" w:color="auto"/>
              <w:left w:val="single" w:sz="4" w:space="0" w:color="auto"/>
              <w:bottom w:val="double" w:sz="4" w:space="0" w:color="auto"/>
              <w:right w:val="single" w:sz="4" w:space="0" w:color="auto"/>
            </w:tcBorders>
            <w:vAlign w:val="center"/>
          </w:tcPr>
          <w:p w:rsidR="004202CE" w:rsidRPr="00F87F3F" w:rsidRDefault="00F87F3F" w:rsidP="00A40891">
            <w:pPr>
              <w:keepNext/>
              <w:keepLines/>
              <w:jc w:val="center"/>
              <w:rPr>
                <w:rFonts w:ascii="Arial Narrow" w:hAnsi="Arial Narrow"/>
                <w:b/>
                <w:bCs/>
                <w:iCs/>
                <w:sz w:val="20"/>
                <w:szCs w:val="20"/>
                <w:highlight w:val="black"/>
              </w:rPr>
            </w:pPr>
            <w:r>
              <w:rPr>
                <w:rFonts w:ascii="Arial Narrow" w:hAnsi="Arial Narrow"/>
                <w:b/>
                <w:bCs/>
                <w:iCs/>
                <w:noProof/>
                <w:color w:val="000000"/>
                <w:sz w:val="20"/>
                <w:szCs w:val="20"/>
                <w:highlight w:val="black"/>
              </w:rPr>
              <w:t>'''''''' '''''''''''' ''''''''''</w:t>
            </w:r>
          </w:p>
        </w:tc>
      </w:tr>
      <w:tr w:rsidR="004202CE" w:rsidRPr="006A6B13" w:rsidTr="006A6B13">
        <w:trPr>
          <w:trHeight w:val="10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jc w:val="left"/>
              <w:rPr>
                <w:rFonts w:ascii="Arial Narrow" w:hAnsi="Arial Narrow"/>
                <w:b/>
                <w:color w:val="000000"/>
                <w:sz w:val="20"/>
                <w:szCs w:val="20"/>
              </w:rPr>
            </w:pPr>
            <w:r w:rsidRPr="006A6B13">
              <w:rPr>
                <w:rFonts w:ascii="Arial Narrow" w:hAnsi="Arial Narrow"/>
                <w:b/>
                <w:color w:val="000000"/>
                <w:sz w:val="20"/>
                <w:szCs w:val="20"/>
              </w:rPr>
              <w:t>PASI 90 response at Week 16 (GUS) and Week 12 (UST) using placebo as common reference</w:t>
            </w: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r w:rsidRPr="006A6B13">
              <w:rPr>
                <w:rFonts w:ascii="Arial Narrow" w:hAnsi="Arial Narrow"/>
                <w:color w:val="000000"/>
                <w:sz w:val="20"/>
                <w:szCs w:val="20"/>
              </w:rPr>
              <w:t>GUS (pooled)</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588/825</w:t>
            </w:r>
          </w:p>
        </w:tc>
        <w:tc>
          <w:tcPr>
            <w:tcW w:w="388"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11/422</w:t>
            </w:r>
          </w:p>
        </w:tc>
        <w:tc>
          <w:tcPr>
            <w:tcW w:w="469"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w:t>
            </w:r>
          </w:p>
        </w:tc>
        <w:tc>
          <w:tcPr>
            <w:tcW w:w="1018"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b/>
                <w:bCs/>
                <w:sz w:val="20"/>
                <w:szCs w:val="20"/>
              </w:rPr>
              <w:t>93.32 (50.3, 173.11)</w:t>
            </w:r>
          </w:p>
        </w:tc>
        <w:tc>
          <w:tcPr>
            <w:tcW w:w="313"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71.3</w:t>
            </w:r>
          </w:p>
        </w:tc>
        <w:tc>
          <w:tcPr>
            <w:tcW w:w="37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2.6</w:t>
            </w:r>
          </w:p>
        </w:tc>
        <w:tc>
          <w:tcPr>
            <w:tcW w:w="335"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b/>
                <w:bCs/>
                <w:color w:val="000000"/>
                <w:sz w:val="20"/>
                <w:szCs w:val="20"/>
              </w:rPr>
              <w:t>0.69 (0.65, 0.72)</w:t>
            </w: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6A6B13">
            <w:pPr>
              <w:keepNext/>
              <w:keepLines/>
              <w:jc w:val="left"/>
              <w:rPr>
                <w:rFonts w:ascii="Arial Narrow" w:hAnsi="Arial Narrow"/>
                <w:color w:val="000000"/>
                <w:sz w:val="20"/>
                <w:szCs w:val="20"/>
              </w:rPr>
            </w:pPr>
            <w:r w:rsidRPr="006A6B13">
              <w:rPr>
                <w:rFonts w:ascii="Arial Narrow" w:hAnsi="Arial Narrow"/>
                <w:color w:val="000000"/>
                <w:sz w:val="20"/>
                <w:szCs w:val="20"/>
              </w:rPr>
              <w:t>UST (</w:t>
            </w:r>
            <w:r w:rsidR="006A6B13" w:rsidRPr="006A6B13">
              <w:rPr>
                <w:rFonts w:ascii="Arial Narrow" w:hAnsi="Arial Narrow"/>
                <w:color w:val="000000"/>
                <w:sz w:val="20"/>
                <w:szCs w:val="20"/>
              </w:rPr>
              <w:t xml:space="preserve">all </w:t>
            </w:r>
            <w:r w:rsidRPr="006A6B13">
              <w:rPr>
                <w:rFonts w:ascii="Arial Narrow" w:hAnsi="Arial Narrow"/>
                <w:color w:val="000000"/>
                <w:sz w:val="20"/>
                <w:szCs w:val="20"/>
              </w:rPr>
              <w:t xml:space="preserve">doses) </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8"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69"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18"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b/>
                <w:bCs/>
                <w:sz w:val="20"/>
                <w:szCs w:val="20"/>
                <w:highlight w:val="black"/>
              </w:rPr>
            </w:pPr>
            <w:r>
              <w:rPr>
                <w:rFonts w:ascii="Arial Narrow" w:hAnsi="Arial Narrow"/>
                <w:b/>
                <w:bCs/>
                <w:noProof/>
                <w:color w:val="000000"/>
                <w:sz w:val="20"/>
                <w:szCs w:val="20"/>
                <w:highlight w:val="black"/>
              </w:rPr>
              <w:t>'''''''''''' ''''''''''''' '''''''''''''</w:t>
            </w:r>
          </w:p>
        </w:tc>
        <w:tc>
          <w:tcPr>
            <w:tcW w:w="313"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373" w:type="pct"/>
            <w:gridSpan w:val="2"/>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335"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F87F3F" w:rsidRDefault="00F87F3F" w:rsidP="00A40891">
            <w:pPr>
              <w:keepNext/>
              <w:keepLines/>
              <w:jc w:val="center"/>
              <w:rPr>
                <w:rFonts w:ascii="Arial Narrow" w:hAnsi="Arial Narrow"/>
                <w:b/>
                <w:bCs/>
                <w:color w:val="000000"/>
                <w:sz w:val="20"/>
                <w:szCs w:val="20"/>
                <w:highlight w:val="black"/>
              </w:rPr>
            </w:pPr>
            <w:r>
              <w:rPr>
                <w:rFonts w:ascii="Arial Narrow" w:hAnsi="Arial Narrow"/>
                <w:b/>
                <w:bCs/>
                <w:noProof/>
                <w:color w:val="000000"/>
                <w:sz w:val="20"/>
                <w:szCs w:val="20"/>
                <w:highlight w:val="black"/>
              </w:rPr>
              <w:t>''''''''' '''''''''' ''''''''''</w:t>
            </w:r>
          </w:p>
        </w:tc>
      </w:tr>
      <w:tr w:rsidR="004202CE" w:rsidRPr="006A6B13" w:rsidTr="006A6B13">
        <w:tc>
          <w:tcPr>
            <w:tcW w:w="1950" w:type="pct"/>
            <w:gridSpan w:val="4"/>
            <w:tcBorders>
              <w:top w:val="single" w:sz="4" w:space="0" w:color="auto"/>
              <w:left w:val="single" w:sz="4" w:space="0" w:color="auto"/>
              <w:bottom w:val="double" w:sz="4" w:space="0" w:color="auto"/>
              <w:right w:val="single" w:sz="4" w:space="0" w:color="auto"/>
            </w:tcBorders>
            <w:shd w:val="clear" w:color="auto" w:fill="auto"/>
            <w:vAlign w:val="center"/>
          </w:tcPr>
          <w:p w:rsidR="004202CE" w:rsidRPr="006A6B13" w:rsidRDefault="004202CE" w:rsidP="00A40891">
            <w:pPr>
              <w:keepNext/>
              <w:keepLines/>
              <w:jc w:val="right"/>
              <w:rPr>
                <w:rFonts w:ascii="Arial Narrow" w:hAnsi="Arial Narrow"/>
                <w:b/>
                <w:bCs/>
                <w:color w:val="000000"/>
                <w:sz w:val="20"/>
                <w:szCs w:val="20"/>
              </w:rPr>
            </w:pPr>
            <w:r w:rsidRPr="006A6B13">
              <w:rPr>
                <w:rFonts w:ascii="Arial Narrow" w:hAnsi="Arial Narrow"/>
                <w:b/>
                <w:bCs/>
                <w:color w:val="000000"/>
                <w:sz w:val="20"/>
                <w:szCs w:val="20"/>
              </w:rPr>
              <w:t>Indirect comparison</w:t>
            </w:r>
            <w:r w:rsidR="00956882" w:rsidRPr="006A6B13">
              <w:rPr>
                <w:rFonts w:ascii="Arial Narrow" w:hAnsi="Arial Narrow"/>
                <w:b/>
                <w:bCs/>
                <w:color w:val="000000"/>
                <w:sz w:val="20"/>
                <w:szCs w:val="20"/>
              </w:rPr>
              <w:t>:</w:t>
            </w:r>
            <w:r w:rsidRPr="006A6B13">
              <w:rPr>
                <w:rFonts w:ascii="Arial Narrow" w:hAnsi="Arial Narrow"/>
                <w:b/>
                <w:bCs/>
                <w:color w:val="000000"/>
                <w:sz w:val="20"/>
                <w:szCs w:val="20"/>
              </w:rPr>
              <w:t xml:space="preserve"> GUS vs UST all doses </w:t>
            </w:r>
          </w:p>
        </w:tc>
        <w:tc>
          <w:tcPr>
            <w:tcW w:w="1018" w:type="pct"/>
            <w:tcBorders>
              <w:top w:val="single" w:sz="4" w:space="0" w:color="auto"/>
              <w:left w:val="single" w:sz="4" w:space="0" w:color="auto"/>
              <w:bottom w:val="double" w:sz="4" w:space="0" w:color="auto"/>
              <w:right w:val="single" w:sz="4" w:space="0" w:color="auto"/>
            </w:tcBorders>
            <w:vAlign w:val="center"/>
          </w:tcPr>
          <w:p w:rsidR="004202CE" w:rsidRPr="00F87F3F" w:rsidRDefault="00F87F3F" w:rsidP="00A40891">
            <w:pPr>
              <w:keepNext/>
              <w:keepLines/>
              <w:jc w:val="center"/>
              <w:rPr>
                <w:rFonts w:ascii="Arial Narrow" w:hAnsi="Arial Narrow"/>
                <w:iCs/>
                <w:sz w:val="20"/>
                <w:szCs w:val="20"/>
                <w:highlight w:val="black"/>
              </w:rPr>
            </w:pPr>
            <w:r>
              <w:rPr>
                <w:rFonts w:ascii="Arial Narrow" w:hAnsi="Arial Narrow"/>
                <w:iCs/>
                <w:noProof/>
                <w:color w:val="000000"/>
                <w:sz w:val="20"/>
                <w:szCs w:val="20"/>
                <w:highlight w:val="black"/>
              </w:rPr>
              <w:t>''''''''''' '''''''''''' ''''''''''''''''</w:t>
            </w:r>
          </w:p>
        </w:tc>
        <w:tc>
          <w:tcPr>
            <w:tcW w:w="1021" w:type="pct"/>
            <w:gridSpan w:val="4"/>
            <w:tcBorders>
              <w:top w:val="single" w:sz="4" w:space="0" w:color="auto"/>
              <w:left w:val="single" w:sz="4" w:space="0" w:color="auto"/>
              <w:bottom w:val="double" w:sz="4" w:space="0" w:color="auto"/>
              <w:right w:val="single" w:sz="4" w:space="0" w:color="auto"/>
            </w:tcBorders>
            <w:shd w:val="clear" w:color="auto" w:fill="auto"/>
            <w:vAlign w:val="center"/>
          </w:tcPr>
          <w:p w:rsidR="004202CE" w:rsidRPr="006A6B13" w:rsidRDefault="004202CE" w:rsidP="00A40891">
            <w:pPr>
              <w:keepNext/>
              <w:keepLines/>
              <w:jc w:val="center"/>
              <w:rPr>
                <w:rFonts w:ascii="Arial Narrow" w:hAnsi="Arial Narrow"/>
                <w:iCs/>
                <w:color w:val="000000"/>
                <w:sz w:val="20"/>
                <w:szCs w:val="20"/>
              </w:rPr>
            </w:pPr>
          </w:p>
        </w:tc>
        <w:tc>
          <w:tcPr>
            <w:tcW w:w="1011" w:type="pct"/>
            <w:tcBorders>
              <w:top w:val="single" w:sz="4" w:space="0" w:color="auto"/>
              <w:left w:val="single" w:sz="4" w:space="0" w:color="auto"/>
              <w:bottom w:val="double" w:sz="4" w:space="0" w:color="auto"/>
              <w:right w:val="single" w:sz="4" w:space="0" w:color="auto"/>
            </w:tcBorders>
            <w:vAlign w:val="center"/>
          </w:tcPr>
          <w:p w:rsidR="004202CE" w:rsidRPr="00F87F3F" w:rsidRDefault="00F87F3F" w:rsidP="00A40891">
            <w:pPr>
              <w:keepNext/>
              <w:keepLines/>
              <w:jc w:val="center"/>
              <w:rPr>
                <w:rFonts w:ascii="Arial Narrow" w:hAnsi="Arial Narrow"/>
                <w:b/>
                <w:bCs/>
                <w:iCs/>
                <w:sz w:val="20"/>
                <w:szCs w:val="20"/>
                <w:highlight w:val="black"/>
              </w:rPr>
            </w:pPr>
            <w:r>
              <w:rPr>
                <w:rFonts w:ascii="Arial Narrow" w:hAnsi="Arial Narrow"/>
                <w:b/>
                <w:bCs/>
                <w:iCs/>
                <w:noProof/>
                <w:color w:val="000000"/>
                <w:sz w:val="20"/>
                <w:szCs w:val="20"/>
                <w:highlight w:val="black"/>
              </w:rPr>
              <w:t>''''''''' '''''''''' ''''''''''</w:t>
            </w:r>
          </w:p>
        </w:tc>
      </w:tr>
      <w:tr w:rsidR="004202CE" w:rsidRPr="006A6B13" w:rsidTr="006A6B13">
        <w:tc>
          <w:tcPr>
            <w:tcW w:w="1950" w:type="pct"/>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02CE" w:rsidRPr="006A6B13" w:rsidRDefault="004202CE" w:rsidP="00A40891">
            <w:pPr>
              <w:keepNext/>
              <w:keepLines/>
              <w:rPr>
                <w:rFonts w:ascii="Arial Narrow" w:hAnsi="Arial Narrow"/>
                <w:b/>
                <w:bCs/>
                <w:color w:val="000000"/>
                <w:sz w:val="20"/>
                <w:szCs w:val="20"/>
              </w:rPr>
            </w:pPr>
            <w:r w:rsidRPr="006A6B13">
              <w:rPr>
                <w:rFonts w:ascii="Arial Narrow" w:hAnsi="Arial Narrow"/>
                <w:b/>
                <w:bCs/>
                <w:color w:val="000000"/>
                <w:sz w:val="20"/>
                <w:szCs w:val="20"/>
              </w:rPr>
              <w:t>Benefits: GUS vs ADA</w:t>
            </w:r>
          </w:p>
        </w:tc>
        <w:tc>
          <w:tcPr>
            <w:tcW w:w="1018"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02CE" w:rsidRPr="006A6B13" w:rsidRDefault="004202CE" w:rsidP="00A40891">
            <w:pPr>
              <w:keepNext/>
              <w:keepLines/>
              <w:jc w:val="center"/>
              <w:rPr>
                <w:rFonts w:ascii="Arial Narrow" w:hAnsi="Arial Narrow"/>
                <w:b/>
                <w:bCs/>
                <w:sz w:val="20"/>
                <w:szCs w:val="20"/>
              </w:rPr>
            </w:pPr>
          </w:p>
        </w:tc>
        <w:tc>
          <w:tcPr>
            <w:tcW w:w="1021" w:type="pct"/>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02CE" w:rsidRPr="006A6B13" w:rsidRDefault="004202CE" w:rsidP="00A40891">
            <w:pPr>
              <w:keepNext/>
              <w:keepLines/>
              <w:jc w:val="center"/>
              <w:rPr>
                <w:rFonts w:ascii="Arial Narrow" w:hAnsi="Arial Narrow"/>
                <w:b/>
                <w:bCs/>
                <w:color w:val="000000"/>
                <w:sz w:val="20"/>
                <w:szCs w:val="20"/>
              </w:rPr>
            </w:pPr>
          </w:p>
        </w:tc>
        <w:tc>
          <w:tcPr>
            <w:tcW w:w="1011"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02CE" w:rsidRPr="006A6B13" w:rsidRDefault="004202CE" w:rsidP="00A40891">
            <w:pPr>
              <w:keepNext/>
              <w:keepLines/>
              <w:jc w:val="center"/>
              <w:rPr>
                <w:rFonts w:ascii="Arial Narrow" w:hAnsi="Arial Narrow"/>
                <w:b/>
                <w:bCs/>
                <w:sz w:val="20"/>
                <w:szCs w:val="20"/>
              </w:rPr>
            </w:pPr>
          </w:p>
        </w:tc>
      </w:tr>
      <w:tr w:rsidR="004202CE" w:rsidRPr="006A6B13" w:rsidTr="006A6B13">
        <w:trPr>
          <w:trHeight w:val="105"/>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 xml:space="preserve">GUS </w:t>
            </w:r>
          </w:p>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n/N</w:t>
            </w:r>
          </w:p>
        </w:tc>
        <w:tc>
          <w:tcPr>
            <w:tcW w:w="857" w:type="pct"/>
            <w:gridSpan w:val="2"/>
            <w:vMerge w:val="restart"/>
            <w:tcBorders>
              <w:top w:val="single" w:sz="4" w:space="0" w:color="auto"/>
              <w:left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ADA</w:t>
            </w:r>
          </w:p>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n/N</w:t>
            </w:r>
          </w:p>
        </w:tc>
        <w:tc>
          <w:tcPr>
            <w:tcW w:w="1018" w:type="pct"/>
            <w:vMerge w:val="restar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roofErr w:type="spellStart"/>
            <w:r w:rsidRPr="006A6B13">
              <w:rPr>
                <w:rFonts w:ascii="Arial Narrow" w:hAnsi="Arial Narrow"/>
                <w:b/>
                <w:color w:val="000000"/>
                <w:sz w:val="20"/>
                <w:szCs w:val="20"/>
              </w:rPr>
              <w:t>OR</w:t>
            </w:r>
            <w:r w:rsidRPr="006A6B13">
              <w:rPr>
                <w:rFonts w:ascii="Arial Narrow" w:hAnsi="Arial Narrow"/>
                <w:b/>
                <w:color w:val="000000"/>
                <w:sz w:val="20"/>
                <w:szCs w:val="20"/>
                <w:vertAlign w:val="superscript"/>
              </w:rPr>
              <w:t>a</w:t>
            </w:r>
            <w:proofErr w:type="spellEnd"/>
          </w:p>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b/>
                <w:color w:val="000000"/>
                <w:sz w:val="20"/>
                <w:szCs w:val="20"/>
              </w:rPr>
              <w:t>(95% CI)</w:t>
            </w:r>
          </w:p>
        </w:tc>
        <w:tc>
          <w:tcPr>
            <w:tcW w:w="1021" w:type="pct"/>
            <w:gridSpan w:val="4"/>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 xml:space="preserve">Event rate/100 patients* </w:t>
            </w:r>
          </w:p>
        </w:tc>
        <w:tc>
          <w:tcPr>
            <w:tcW w:w="1011" w:type="pct"/>
            <w:vMerge w:val="restar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b/>
                <w:color w:val="000000"/>
                <w:sz w:val="20"/>
                <w:szCs w:val="20"/>
              </w:rPr>
              <w:t>RD (95% CI)</w:t>
            </w:r>
          </w:p>
        </w:tc>
      </w:tr>
      <w:tr w:rsidR="004202CE" w:rsidRPr="006A6B13" w:rsidTr="006A6B13">
        <w:trPr>
          <w:trHeight w:val="70"/>
        </w:trPr>
        <w:tc>
          <w:tcPr>
            <w:tcW w:w="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
        </w:tc>
        <w:tc>
          <w:tcPr>
            <w:tcW w:w="857" w:type="pct"/>
            <w:gridSpan w:val="2"/>
            <w:vMerge/>
            <w:tcBorders>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
        </w:tc>
        <w:tc>
          <w:tcPr>
            <w:tcW w:w="1018" w:type="pct"/>
            <w:vMerge/>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
        </w:tc>
        <w:tc>
          <w:tcPr>
            <w:tcW w:w="508"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GUS</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r w:rsidRPr="006A6B13">
              <w:rPr>
                <w:rFonts w:ascii="Arial Narrow" w:hAnsi="Arial Narrow"/>
                <w:b/>
                <w:color w:val="000000"/>
                <w:sz w:val="20"/>
                <w:szCs w:val="20"/>
              </w:rPr>
              <w:t>ADA</w:t>
            </w:r>
          </w:p>
        </w:tc>
        <w:tc>
          <w:tcPr>
            <w:tcW w:w="1011" w:type="pct"/>
            <w:vMerge/>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color w:val="000000"/>
                <w:sz w:val="20"/>
                <w:szCs w:val="20"/>
              </w:rPr>
            </w:pPr>
          </w:p>
        </w:tc>
      </w:tr>
      <w:tr w:rsidR="004202CE" w:rsidRPr="006A6B13" w:rsidTr="006A6B13">
        <w:trPr>
          <w:trHeight w:val="10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jc w:val="left"/>
              <w:rPr>
                <w:rFonts w:ascii="Arial Narrow" w:hAnsi="Arial Narrow"/>
                <w:b/>
                <w:color w:val="000000"/>
                <w:sz w:val="20"/>
                <w:szCs w:val="20"/>
                <w:lang w:val="es-MX"/>
              </w:rPr>
            </w:pPr>
            <w:r w:rsidRPr="006A6B13">
              <w:rPr>
                <w:rFonts w:ascii="Arial Narrow" w:hAnsi="Arial Narrow"/>
                <w:b/>
                <w:color w:val="000000"/>
                <w:sz w:val="20"/>
                <w:szCs w:val="20"/>
                <w:lang w:val="es-MX"/>
              </w:rPr>
              <w:t>PASI 75 (</w:t>
            </w:r>
            <w:proofErr w:type="spellStart"/>
            <w:r w:rsidRPr="006A6B13">
              <w:rPr>
                <w:rFonts w:ascii="Arial Narrow" w:hAnsi="Arial Narrow"/>
                <w:b/>
                <w:color w:val="000000"/>
                <w:sz w:val="20"/>
                <w:szCs w:val="20"/>
                <w:lang w:val="es-MX"/>
              </w:rPr>
              <w:t>Week</w:t>
            </w:r>
            <w:proofErr w:type="spellEnd"/>
            <w:r w:rsidRPr="006A6B13">
              <w:rPr>
                <w:rFonts w:ascii="Arial Narrow" w:hAnsi="Arial Narrow"/>
                <w:b/>
                <w:color w:val="000000"/>
                <w:sz w:val="20"/>
                <w:szCs w:val="20"/>
                <w:lang w:val="es-MX"/>
              </w:rPr>
              <w:t xml:space="preserve"> 16)</w:t>
            </w: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r w:rsidRPr="006A6B13">
              <w:rPr>
                <w:rFonts w:ascii="Arial Narrow" w:hAnsi="Arial Narrow"/>
                <w:color w:val="000000"/>
                <w:sz w:val="20"/>
                <w:szCs w:val="20"/>
              </w:rPr>
              <w:t>GUS (pooled)</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728/825</w:t>
            </w:r>
          </w:p>
        </w:tc>
        <w:tc>
          <w:tcPr>
            <w:tcW w:w="857"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414/582</w:t>
            </w:r>
          </w:p>
        </w:tc>
        <w:tc>
          <w:tcPr>
            <w:tcW w:w="1018"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iCs/>
                <w:sz w:val="20"/>
                <w:szCs w:val="20"/>
              </w:rPr>
            </w:pPr>
            <w:r w:rsidRPr="006A6B13">
              <w:rPr>
                <w:rFonts w:ascii="Arial Narrow" w:hAnsi="Arial Narrow"/>
                <w:b/>
                <w:bCs/>
                <w:iCs/>
                <w:sz w:val="20"/>
                <w:szCs w:val="20"/>
              </w:rPr>
              <w:t>3.23 (2.43, 4.30)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88.2</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71.1</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iCs/>
                <w:color w:val="000000"/>
                <w:sz w:val="20"/>
                <w:szCs w:val="20"/>
              </w:rPr>
            </w:pPr>
            <w:r w:rsidRPr="006A6B13">
              <w:rPr>
                <w:rFonts w:ascii="Arial Narrow" w:hAnsi="Arial Narrow"/>
                <w:b/>
                <w:bCs/>
                <w:iCs/>
                <w:sz w:val="20"/>
                <w:szCs w:val="20"/>
              </w:rPr>
              <w:t>0.18 (0.14, 0.22)</w:t>
            </w:r>
          </w:p>
        </w:tc>
      </w:tr>
      <w:tr w:rsidR="004202CE" w:rsidRPr="006A6B13" w:rsidTr="006A6B13">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jc w:val="left"/>
              <w:rPr>
                <w:rFonts w:ascii="Arial Narrow" w:hAnsi="Arial Narrow"/>
                <w:b/>
                <w:bCs/>
                <w:color w:val="000000"/>
                <w:sz w:val="20"/>
                <w:szCs w:val="20"/>
              </w:rPr>
            </w:pPr>
            <w:r w:rsidRPr="006A6B13">
              <w:rPr>
                <w:rFonts w:ascii="Arial Narrow" w:hAnsi="Arial Narrow"/>
                <w:b/>
                <w:bCs/>
                <w:color w:val="000000"/>
                <w:sz w:val="20"/>
                <w:szCs w:val="20"/>
              </w:rPr>
              <w:t>PASI 75 (Week 24)</w:t>
            </w: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r w:rsidRPr="006A6B13">
              <w:rPr>
                <w:rFonts w:ascii="Arial Narrow" w:hAnsi="Arial Narrow"/>
                <w:color w:val="000000"/>
                <w:sz w:val="20"/>
                <w:szCs w:val="20"/>
              </w:rPr>
              <w:t>GUS (pooled)</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742/825</w:t>
            </w:r>
          </w:p>
        </w:tc>
        <w:tc>
          <w:tcPr>
            <w:tcW w:w="857"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417/582</w:t>
            </w:r>
          </w:p>
        </w:tc>
        <w:tc>
          <w:tcPr>
            <w:tcW w:w="1018"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bCs/>
                <w:sz w:val="20"/>
                <w:szCs w:val="20"/>
              </w:rPr>
            </w:pPr>
            <w:r w:rsidRPr="006A6B13">
              <w:rPr>
                <w:rFonts w:ascii="Arial Narrow" w:hAnsi="Arial Narrow"/>
                <w:b/>
                <w:bCs/>
                <w:sz w:val="20"/>
                <w:szCs w:val="20"/>
              </w:rPr>
              <w:t>3.61 (2.69, 4.86)</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89.9</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71.6</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bCs/>
                <w:color w:val="000000"/>
                <w:sz w:val="20"/>
                <w:szCs w:val="20"/>
              </w:rPr>
            </w:pPr>
            <w:r w:rsidRPr="006A6B13">
              <w:rPr>
                <w:rFonts w:ascii="Arial Narrow" w:hAnsi="Arial Narrow"/>
                <w:b/>
                <w:bCs/>
                <w:sz w:val="20"/>
                <w:szCs w:val="20"/>
              </w:rPr>
              <w:t>0.19 (0.14, 0.23)</w:t>
            </w:r>
          </w:p>
        </w:tc>
      </w:tr>
      <w:tr w:rsidR="004202CE" w:rsidRPr="006A6B13" w:rsidTr="006A6B13">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jc w:val="left"/>
              <w:rPr>
                <w:rFonts w:ascii="Arial Narrow" w:hAnsi="Arial Narrow"/>
                <w:b/>
                <w:bCs/>
                <w:color w:val="000000"/>
                <w:sz w:val="20"/>
                <w:szCs w:val="20"/>
              </w:rPr>
            </w:pPr>
            <w:r w:rsidRPr="006A6B13">
              <w:rPr>
                <w:rFonts w:ascii="Arial Narrow" w:hAnsi="Arial Narrow"/>
                <w:b/>
                <w:bCs/>
                <w:color w:val="000000"/>
                <w:sz w:val="20"/>
                <w:szCs w:val="20"/>
              </w:rPr>
              <w:t>PASI 75 (Week 48)</w:t>
            </w: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r w:rsidRPr="006A6B13">
              <w:rPr>
                <w:rFonts w:ascii="Arial Narrow" w:hAnsi="Arial Narrow"/>
                <w:color w:val="000000"/>
                <w:sz w:val="20"/>
                <w:szCs w:val="20"/>
              </w:rPr>
              <w:t>GUS</w:t>
            </w:r>
            <w:r w:rsidRPr="006A6B13">
              <w:rPr>
                <w:rFonts w:ascii="Arial Narrow" w:hAnsi="Arial Narrow"/>
                <w:color w:val="000000"/>
                <w:sz w:val="20"/>
                <w:szCs w:val="20"/>
                <w:vertAlign w:val="subscript"/>
              </w:rPr>
              <w:t>1</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289/329</w:t>
            </w:r>
          </w:p>
        </w:tc>
        <w:tc>
          <w:tcPr>
            <w:tcW w:w="857"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209/334</w:t>
            </w:r>
          </w:p>
        </w:tc>
        <w:tc>
          <w:tcPr>
            <w:tcW w:w="1018"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bCs/>
                <w:sz w:val="20"/>
                <w:szCs w:val="20"/>
              </w:rPr>
            </w:pPr>
            <w:r w:rsidRPr="006A6B13">
              <w:rPr>
                <w:rFonts w:ascii="Arial Narrow" w:hAnsi="Arial Narrow"/>
                <w:b/>
                <w:bCs/>
                <w:sz w:val="20"/>
                <w:szCs w:val="20"/>
              </w:rPr>
              <w:t>4.32 (2.90, 6.43)</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87.8</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62.6</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bCs/>
                <w:color w:val="000000"/>
                <w:sz w:val="20"/>
                <w:szCs w:val="20"/>
              </w:rPr>
            </w:pPr>
            <w:r w:rsidRPr="006A6B13">
              <w:rPr>
                <w:rFonts w:ascii="Arial Narrow" w:hAnsi="Arial Narrow"/>
                <w:b/>
                <w:bCs/>
                <w:sz w:val="20"/>
                <w:szCs w:val="20"/>
              </w:rPr>
              <w:t>0.25 (0.19, 0.32)</w:t>
            </w:r>
          </w:p>
        </w:tc>
      </w:tr>
      <w:tr w:rsidR="004202CE" w:rsidRPr="006A6B13" w:rsidTr="006A6B13">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jc w:val="left"/>
              <w:rPr>
                <w:rFonts w:ascii="Arial Narrow" w:hAnsi="Arial Narrow"/>
                <w:b/>
                <w:bCs/>
                <w:color w:val="000000"/>
                <w:sz w:val="20"/>
                <w:szCs w:val="20"/>
              </w:rPr>
            </w:pPr>
            <w:r w:rsidRPr="006A6B13">
              <w:rPr>
                <w:rFonts w:ascii="Arial Narrow" w:hAnsi="Arial Narrow"/>
                <w:b/>
                <w:bCs/>
                <w:color w:val="000000"/>
                <w:sz w:val="20"/>
                <w:szCs w:val="20"/>
              </w:rPr>
              <w:t>PASI 90 (Week 16)</w:t>
            </w: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r w:rsidRPr="006A6B13">
              <w:rPr>
                <w:rFonts w:ascii="Arial Narrow" w:hAnsi="Arial Narrow"/>
                <w:color w:val="000000"/>
                <w:sz w:val="20"/>
                <w:szCs w:val="20"/>
              </w:rPr>
              <w:t>GUS (pooled)</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588/825</w:t>
            </w:r>
          </w:p>
        </w:tc>
        <w:tc>
          <w:tcPr>
            <w:tcW w:w="857"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282/582</w:t>
            </w:r>
          </w:p>
        </w:tc>
        <w:tc>
          <w:tcPr>
            <w:tcW w:w="1018" w:type="pct"/>
            <w:tcBorders>
              <w:top w:val="single" w:sz="4" w:space="0" w:color="auto"/>
              <w:left w:val="single" w:sz="4" w:space="0" w:color="auto"/>
              <w:bottom w:val="single" w:sz="4" w:space="0" w:color="auto"/>
              <w:right w:val="single" w:sz="4" w:space="0" w:color="auto"/>
            </w:tcBorders>
          </w:tcPr>
          <w:p w:rsidR="004202CE" w:rsidRPr="006A6B13" w:rsidRDefault="004202CE" w:rsidP="00A40891">
            <w:pPr>
              <w:keepNext/>
              <w:keepLines/>
              <w:jc w:val="center"/>
              <w:rPr>
                <w:rFonts w:ascii="Arial Narrow" w:hAnsi="Arial Narrow"/>
                <w:iCs/>
                <w:sz w:val="20"/>
                <w:szCs w:val="20"/>
              </w:rPr>
            </w:pPr>
            <w:r w:rsidRPr="006A6B13">
              <w:rPr>
                <w:rFonts w:ascii="Arial Narrow" w:hAnsi="Arial Narrow"/>
                <w:b/>
                <w:bCs/>
                <w:iCs/>
                <w:sz w:val="20"/>
                <w:szCs w:val="20"/>
              </w:rPr>
              <w:t>2.71 (2.16, 3.40)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71.3</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48.5</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iCs/>
                <w:color w:val="000000"/>
                <w:sz w:val="20"/>
                <w:szCs w:val="20"/>
              </w:rPr>
            </w:pPr>
            <w:r w:rsidRPr="006A6B13">
              <w:rPr>
                <w:rFonts w:ascii="Arial Narrow" w:hAnsi="Arial Narrow"/>
                <w:b/>
                <w:bCs/>
                <w:iCs/>
                <w:sz w:val="20"/>
                <w:szCs w:val="20"/>
              </w:rPr>
              <w:t>0.23 (0.18, 0.29)</w:t>
            </w:r>
          </w:p>
        </w:tc>
      </w:tr>
      <w:tr w:rsidR="004202CE" w:rsidRPr="006A6B13" w:rsidTr="006A6B13">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jc w:val="left"/>
              <w:rPr>
                <w:rFonts w:ascii="Arial Narrow" w:hAnsi="Arial Narrow"/>
                <w:b/>
                <w:bCs/>
                <w:color w:val="000000"/>
                <w:sz w:val="20"/>
                <w:szCs w:val="20"/>
              </w:rPr>
            </w:pPr>
            <w:r w:rsidRPr="006A6B13">
              <w:rPr>
                <w:rFonts w:ascii="Arial Narrow" w:hAnsi="Arial Narrow"/>
                <w:b/>
                <w:bCs/>
                <w:color w:val="000000"/>
                <w:sz w:val="20"/>
                <w:szCs w:val="20"/>
              </w:rPr>
              <w:t>PASI  90 (Week 24)</w:t>
            </w: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r w:rsidRPr="006A6B13">
              <w:rPr>
                <w:rFonts w:ascii="Arial Narrow" w:hAnsi="Arial Narrow"/>
                <w:color w:val="000000"/>
                <w:sz w:val="20"/>
                <w:szCs w:val="20"/>
              </w:rPr>
              <w:t>GUS (pooled)</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637/825</w:t>
            </w:r>
          </w:p>
        </w:tc>
        <w:tc>
          <w:tcPr>
            <w:tcW w:w="857"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313/582</w:t>
            </w:r>
          </w:p>
        </w:tc>
        <w:tc>
          <w:tcPr>
            <w:tcW w:w="1018" w:type="pct"/>
            <w:tcBorders>
              <w:top w:val="single" w:sz="4" w:space="0" w:color="auto"/>
              <w:left w:val="single" w:sz="4" w:space="0" w:color="auto"/>
              <w:bottom w:val="single" w:sz="4" w:space="0" w:color="auto"/>
              <w:right w:val="single" w:sz="4" w:space="0" w:color="auto"/>
            </w:tcBorders>
          </w:tcPr>
          <w:p w:rsidR="004202CE" w:rsidRPr="006A6B13" w:rsidRDefault="004202CE" w:rsidP="00A40891">
            <w:pPr>
              <w:keepNext/>
              <w:keepLines/>
              <w:jc w:val="center"/>
              <w:rPr>
                <w:rFonts w:ascii="Arial Narrow" w:hAnsi="Arial Narrow"/>
                <w:b/>
                <w:bCs/>
                <w:sz w:val="20"/>
                <w:szCs w:val="20"/>
              </w:rPr>
            </w:pPr>
            <w:r w:rsidRPr="006A6B13">
              <w:rPr>
                <w:rFonts w:ascii="Arial Narrow" w:hAnsi="Arial Narrow"/>
                <w:b/>
                <w:bCs/>
                <w:sz w:val="20"/>
                <w:szCs w:val="20"/>
              </w:rPr>
              <w:t>2.98 (2.08, 4.27)</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77.2</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53.8</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bCs/>
                <w:color w:val="000000"/>
                <w:sz w:val="20"/>
                <w:szCs w:val="20"/>
              </w:rPr>
            </w:pPr>
            <w:r w:rsidRPr="006A6B13">
              <w:rPr>
                <w:rFonts w:ascii="Arial Narrow" w:hAnsi="Arial Narrow"/>
                <w:b/>
                <w:bCs/>
                <w:sz w:val="20"/>
                <w:szCs w:val="20"/>
              </w:rPr>
              <w:t>0.24 (0.17, 0.31</w:t>
            </w:r>
            <w:r w:rsidRPr="006A6B13">
              <w:rPr>
                <w:rFonts w:ascii="Arial Narrow" w:hAnsi="Arial Narrow"/>
                <w:b/>
                <w:bCs/>
                <w:i/>
                <w:iCs/>
                <w:sz w:val="20"/>
                <w:szCs w:val="20"/>
              </w:rPr>
              <w:t>)</w:t>
            </w:r>
          </w:p>
        </w:tc>
      </w:tr>
      <w:tr w:rsidR="004202CE" w:rsidRPr="006A6B13" w:rsidTr="006A6B13">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jc w:val="left"/>
              <w:rPr>
                <w:rFonts w:ascii="Arial Narrow" w:hAnsi="Arial Narrow"/>
                <w:b/>
                <w:bCs/>
                <w:color w:val="000000"/>
                <w:sz w:val="20"/>
                <w:szCs w:val="20"/>
              </w:rPr>
            </w:pPr>
            <w:r w:rsidRPr="006A6B13">
              <w:rPr>
                <w:rFonts w:ascii="Arial Narrow" w:hAnsi="Arial Narrow"/>
                <w:b/>
                <w:bCs/>
                <w:color w:val="000000"/>
                <w:sz w:val="20"/>
                <w:szCs w:val="20"/>
              </w:rPr>
              <w:t>PASI 90 (Week 48)</w:t>
            </w:r>
          </w:p>
        </w:tc>
      </w:tr>
      <w:tr w:rsidR="004202CE" w:rsidRPr="006A6B13" w:rsidTr="006A6B13">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202CE" w:rsidRPr="006A6B13" w:rsidRDefault="004202CE" w:rsidP="00A40891">
            <w:pPr>
              <w:keepNext/>
              <w:keepLines/>
              <w:rPr>
                <w:rFonts w:ascii="Arial Narrow" w:hAnsi="Arial Narrow"/>
                <w:color w:val="000000"/>
                <w:sz w:val="20"/>
                <w:szCs w:val="20"/>
              </w:rPr>
            </w:pPr>
            <w:r w:rsidRPr="006A6B13">
              <w:rPr>
                <w:rFonts w:ascii="Arial Narrow" w:hAnsi="Arial Narrow"/>
                <w:color w:val="000000"/>
                <w:sz w:val="20"/>
                <w:szCs w:val="20"/>
              </w:rPr>
              <w:t>GUS</w:t>
            </w:r>
            <w:r w:rsidRPr="006A6B13">
              <w:rPr>
                <w:rFonts w:ascii="Arial Narrow" w:hAnsi="Arial Narrow"/>
                <w:color w:val="000000"/>
                <w:sz w:val="20"/>
                <w:szCs w:val="20"/>
                <w:vertAlign w:val="subscript"/>
              </w:rPr>
              <w:t>1</w:t>
            </w:r>
          </w:p>
        </w:tc>
        <w:tc>
          <w:tcPr>
            <w:tcW w:w="464"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251/329</w:t>
            </w:r>
          </w:p>
        </w:tc>
        <w:tc>
          <w:tcPr>
            <w:tcW w:w="857"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sz w:val="20"/>
                <w:szCs w:val="20"/>
              </w:rPr>
            </w:pPr>
            <w:r w:rsidRPr="006A6B13">
              <w:rPr>
                <w:rFonts w:ascii="Arial Narrow" w:hAnsi="Arial Narrow"/>
                <w:sz w:val="20"/>
                <w:szCs w:val="20"/>
              </w:rPr>
              <w:t>160/334</w:t>
            </w:r>
          </w:p>
        </w:tc>
        <w:tc>
          <w:tcPr>
            <w:tcW w:w="1018"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bCs/>
                <w:sz w:val="20"/>
                <w:szCs w:val="20"/>
              </w:rPr>
            </w:pPr>
            <w:r w:rsidRPr="006A6B13">
              <w:rPr>
                <w:rFonts w:ascii="Arial Narrow" w:hAnsi="Arial Narrow"/>
                <w:b/>
                <w:bCs/>
                <w:sz w:val="20"/>
                <w:szCs w:val="20"/>
              </w:rPr>
              <w:t>3.50 (2.51, 4.88)</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76.3</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color w:val="000000"/>
                <w:sz w:val="20"/>
                <w:szCs w:val="20"/>
              </w:rPr>
            </w:pPr>
            <w:r w:rsidRPr="006A6B13">
              <w:rPr>
                <w:rFonts w:ascii="Arial Narrow" w:hAnsi="Arial Narrow"/>
                <w:color w:val="000000"/>
                <w:sz w:val="20"/>
                <w:szCs w:val="20"/>
              </w:rPr>
              <w:t>47.9</w:t>
            </w:r>
          </w:p>
        </w:tc>
        <w:tc>
          <w:tcPr>
            <w:tcW w:w="1011" w:type="pct"/>
            <w:tcBorders>
              <w:top w:val="single" w:sz="4" w:space="0" w:color="auto"/>
              <w:left w:val="single" w:sz="4" w:space="0" w:color="auto"/>
              <w:bottom w:val="single" w:sz="4" w:space="0" w:color="auto"/>
              <w:right w:val="single" w:sz="4" w:space="0" w:color="auto"/>
            </w:tcBorders>
            <w:vAlign w:val="center"/>
          </w:tcPr>
          <w:p w:rsidR="004202CE" w:rsidRPr="006A6B13" w:rsidRDefault="004202CE" w:rsidP="00A40891">
            <w:pPr>
              <w:keepNext/>
              <w:keepLines/>
              <w:jc w:val="center"/>
              <w:rPr>
                <w:rFonts w:ascii="Arial Narrow" w:hAnsi="Arial Narrow"/>
                <w:b/>
                <w:bCs/>
                <w:color w:val="000000"/>
                <w:sz w:val="20"/>
                <w:szCs w:val="20"/>
              </w:rPr>
            </w:pPr>
            <w:r w:rsidRPr="006A6B13">
              <w:rPr>
                <w:rFonts w:ascii="Arial Narrow" w:hAnsi="Arial Narrow"/>
                <w:b/>
                <w:bCs/>
                <w:sz w:val="20"/>
                <w:szCs w:val="20"/>
              </w:rPr>
              <w:t>0.28 (0.21, 0.35)</w:t>
            </w:r>
          </w:p>
        </w:tc>
      </w:tr>
    </w:tbl>
    <w:p w:rsidR="004202CE" w:rsidRPr="00F86DB2" w:rsidRDefault="004202CE" w:rsidP="00A40891">
      <w:pPr>
        <w:keepNext/>
        <w:keepLines/>
        <w:rPr>
          <w:rFonts w:ascii="Arial Narrow" w:hAnsi="Arial Narrow"/>
          <w:b/>
          <w:bCs/>
          <w:sz w:val="18"/>
          <w:szCs w:val="18"/>
        </w:rPr>
      </w:pPr>
      <w:r w:rsidRPr="00C725E4">
        <w:rPr>
          <w:rFonts w:ascii="Arial Narrow" w:hAnsi="Arial Narrow"/>
          <w:sz w:val="18"/>
          <w:szCs w:val="18"/>
        </w:rPr>
        <w:t xml:space="preserve">Abbreviations: GUS=guselkumab; </w:t>
      </w:r>
      <w:r>
        <w:rPr>
          <w:rFonts w:ascii="Arial Narrow" w:hAnsi="Arial Narrow"/>
          <w:sz w:val="18"/>
          <w:szCs w:val="18"/>
        </w:rPr>
        <w:t>GUS (</w:t>
      </w:r>
      <w:r w:rsidR="00F217EB">
        <w:rPr>
          <w:rFonts w:ascii="Arial Narrow" w:hAnsi="Arial Narrow"/>
          <w:sz w:val="18"/>
          <w:szCs w:val="18"/>
        </w:rPr>
        <w:t>pooled</w:t>
      </w:r>
      <w:r>
        <w:rPr>
          <w:rFonts w:ascii="Arial Narrow" w:hAnsi="Arial Narrow"/>
          <w:sz w:val="18"/>
          <w:szCs w:val="18"/>
        </w:rPr>
        <w:t>) = VOYAGE-1 and VOYAGE-2; GUS</w:t>
      </w:r>
      <w:r w:rsidRPr="00E63DBC">
        <w:rPr>
          <w:rFonts w:ascii="Arial Narrow" w:hAnsi="Arial Narrow"/>
          <w:sz w:val="18"/>
          <w:szCs w:val="18"/>
          <w:vertAlign w:val="subscript"/>
        </w:rPr>
        <w:t>1</w:t>
      </w:r>
      <w:r>
        <w:rPr>
          <w:rFonts w:ascii="Arial Narrow" w:hAnsi="Arial Narrow"/>
          <w:sz w:val="18"/>
          <w:szCs w:val="18"/>
        </w:rPr>
        <w:t xml:space="preserve">=VOYAGE-1; </w:t>
      </w:r>
      <w:r w:rsidRPr="00C725E4">
        <w:rPr>
          <w:rFonts w:ascii="Arial Narrow" w:hAnsi="Arial Narrow"/>
          <w:sz w:val="18"/>
          <w:szCs w:val="18"/>
        </w:rPr>
        <w:t>PBO = placebo; OR=odds ratio; RD = risk difference; RR = risk ratio; UST= ustekinumab</w:t>
      </w:r>
      <w:r w:rsidRPr="00F86DB2">
        <w:rPr>
          <w:rFonts w:ascii="Arial Narrow" w:hAnsi="Arial Narrow"/>
          <w:b/>
          <w:bCs/>
          <w:sz w:val="18"/>
          <w:szCs w:val="18"/>
        </w:rPr>
        <w:t xml:space="preserve">; </w:t>
      </w:r>
      <w:r>
        <w:rPr>
          <w:rStyle w:val="CommentReference"/>
          <w:b w:val="0"/>
          <w:bCs/>
          <w:sz w:val="18"/>
          <w:szCs w:val="18"/>
        </w:rPr>
        <w:t>UST (all doses)</w:t>
      </w:r>
      <w:r w:rsidRPr="00F86DB2">
        <w:rPr>
          <w:rStyle w:val="CommentReference"/>
          <w:b w:val="0"/>
          <w:bCs/>
          <w:sz w:val="18"/>
          <w:szCs w:val="18"/>
        </w:rPr>
        <w:t xml:space="preserve"> refers to weight-based dosing for UST (UST 45 mg for patients </w:t>
      </w:r>
      <w:r w:rsidRPr="00F86DB2">
        <w:rPr>
          <w:rStyle w:val="CommentReference"/>
          <w:b w:val="0"/>
          <w:bCs/>
          <w:sz w:val="18"/>
          <w:szCs w:val="18"/>
          <w:u w:val="single"/>
        </w:rPr>
        <w:t>&lt;</w:t>
      </w:r>
      <w:r w:rsidRPr="00F86DB2">
        <w:rPr>
          <w:rStyle w:val="CommentReference"/>
          <w:b w:val="0"/>
          <w:bCs/>
          <w:sz w:val="18"/>
          <w:szCs w:val="18"/>
        </w:rPr>
        <w:t xml:space="preserve"> 100 kg; </w:t>
      </w:r>
      <w:r>
        <w:rPr>
          <w:rStyle w:val="CommentReference"/>
          <w:b w:val="0"/>
          <w:bCs/>
          <w:sz w:val="18"/>
          <w:szCs w:val="18"/>
        </w:rPr>
        <w:t xml:space="preserve">UST 90 mg for patients &gt; 100 kg, with resulted pulled across all included trials (for UST: </w:t>
      </w:r>
      <w:r w:rsidRPr="00C725E4">
        <w:rPr>
          <w:rFonts w:ascii="Arial Narrow" w:hAnsi="Arial Narrow"/>
          <w:sz w:val="16"/>
          <w:szCs w:val="18"/>
        </w:rPr>
        <w:t>UST</w:t>
      </w:r>
      <w:r w:rsidRPr="00C725E4">
        <w:rPr>
          <w:rFonts w:ascii="Arial Narrow" w:hAnsi="Arial Narrow"/>
          <w:sz w:val="16"/>
          <w:szCs w:val="18"/>
          <w:vertAlign w:val="subscript"/>
        </w:rPr>
        <w:t>1</w:t>
      </w:r>
      <w:r w:rsidRPr="00C725E4">
        <w:rPr>
          <w:rFonts w:ascii="Arial Narrow" w:hAnsi="Arial Narrow"/>
          <w:sz w:val="16"/>
          <w:szCs w:val="18"/>
        </w:rPr>
        <w:t>=PHOENIX-1; UST</w:t>
      </w:r>
      <w:r w:rsidRPr="00C725E4">
        <w:rPr>
          <w:rFonts w:ascii="Arial Narrow" w:hAnsi="Arial Narrow"/>
          <w:sz w:val="16"/>
          <w:szCs w:val="18"/>
          <w:vertAlign w:val="subscript"/>
        </w:rPr>
        <w:t>2</w:t>
      </w:r>
      <w:r w:rsidRPr="00C725E4">
        <w:rPr>
          <w:rFonts w:ascii="Arial Narrow" w:hAnsi="Arial Narrow"/>
          <w:sz w:val="16"/>
          <w:szCs w:val="18"/>
        </w:rPr>
        <w:t>=PHOENIX-2; UST</w:t>
      </w:r>
      <w:r w:rsidRPr="00C725E4">
        <w:rPr>
          <w:rFonts w:ascii="Arial Narrow" w:hAnsi="Arial Narrow"/>
          <w:sz w:val="16"/>
          <w:szCs w:val="18"/>
          <w:vertAlign w:val="subscript"/>
        </w:rPr>
        <w:t>3</w:t>
      </w:r>
      <w:r w:rsidRPr="00C725E4">
        <w:rPr>
          <w:rFonts w:ascii="Arial Narrow" w:hAnsi="Arial Narrow"/>
          <w:sz w:val="16"/>
          <w:szCs w:val="18"/>
        </w:rPr>
        <w:t>=PEARL; UST</w:t>
      </w:r>
      <w:r w:rsidRPr="00C725E4">
        <w:rPr>
          <w:rFonts w:ascii="Arial Narrow" w:hAnsi="Arial Narrow"/>
          <w:sz w:val="16"/>
          <w:szCs w:val="18"/>
          <w:vertAlign w:val="subscript"/>
        </w:rPr>
        <w:t>4</w:t>
      </w:r>
      <w:r w:rsidRPr="00C725E4">
        <w:rPr>
          <w:rFonts w:ascii="Arial Narrow" w:hAnsi="Arial Narrow"/>
          <w:sz w:val="16"/>
          <w:szCs w:val="18"/>
        </w:rPr>
        <w:t>=LOTUS; UST</w:t>
      </w:r>
      <w:r w:rsidRPr="00C725E4">
        <w:rPr>
          <w:rFonts w:ascii="Arial Narrow" w:hAnsi="Arial Narrow"/>
          <w:sz w:val="16"/>
          <w:szCs w:val="18"/>
          <w:vertAlign w:val="subscript"/>
        </w:rPr>
        <w:t>5</w:t>
      </w:r>
      <w:r w:rsidRPr="00C725E4">
        <w:rPr>
          <w:rFonts w:ascii="Arial Narrow" w:hAnsi="Arial Narrow"/>
          <w:sz w:val="16"/>
          <w:szCs w:val="18"/>
        </w:rPr>
        <w:t>=Igarashi 2012; UST</w:t>
      </w:r>
      <w:r w:rsidRPr="00C725E4">
        <w:rPr>
          <w:rFonts w:ascii="Arial Narrow" w:hAnsi="Arial Narrow"/>
          <w:sz w:val="16"/>
          <w:szCs w:val="18"/>
          <w:vertAlign w:val="subscript"/>
        </w:rPr>
        <w:t>6</w:t>
      </w:r>
      <w:r w:rsidRPr="00C725E4">
        <w:rPr>
          <w:rFonts w:ascii="Arial Narrow" w:hAnsi="Arial Narrow"/>
          <w:sz w:val="16"/>
          <w:szCs w:val="18"/>
        </w:rPr>
        <w:t>=AMAGINE-2; UST</w:t>
      </w:r>
      <w:r w:rsidRPr="00C725E4">
        <w:rPr>
          <w:rFonts w:ascii="Arial Narrow" w:hAnsi="Arial Narrow"/>
          <w:sz w:val="16"/>
          <w:szCs w:val="18"/>
          <w:vertAlign w:val="subscript"/>
        </w:rPr>
        <w:t>7</w:t>
      </w:r>
      <w:r>
        <w:rPr>
          <w:rFonts w:ascii="Arial Narrow" w:hAnsi="Arial Narrow"/>
          <w:sz w:val="16"/>
          <w:szCs w:val="18"/>
        </w:rPr>
        <w:t>=AMAGINE-3).</w:t>
      </w:r>
    </w:p>
    <w:p w:rsidR="004202CE" w:rsidRPr="00C725E4" w:rsidRDefault="004202CE" w:rsidP="00A40891">
      <w:pPr>
        <w:pStyle w:val="TableFooter"/>
        <w:keepNext/>
        <w:keepLines/>
        <w:ind w:left="165" w:hanging="165"/>
      </w:pPr>
      <w:r w:rsidRPr="00C725E4">
        <w:t>*</w:t>
      </w:r>
      <w:r w:rsidRPr="00C725E4">
        <w:tab/>
        <w:t>Maximum duration of exposure during placebo-controlled phases: 16 weeks for GUS trials; 12 weeks for UST trials.</w:t>
      </w:r>
      <w:r>
        <w:t xml:space="preserve">  Maximum duration of exposure during DB phases: 48 weeks for VOYAGE-1; 28 weeks for VOYAGE-2. </w:t>
      </w:r>
    </w:p>
    <w:p w:rsidR="004202CE" w:rsidRPr="00C725E4" w:rsidRDefault="004202CE" w:rsidP="00A40891">
      <w:pPr>
        <w:pStyle w:val="TableFooter"/>
        <w:keepNext/>
        <w:keepLines/>
        <w:ind w:left="165" w:hanging="165"/>
        <w:rPr>
          <w:i/>
          <w:iCs/>
          <w:szCs w:val="20"/>
        </w:rPr>
      </w:pPr>
      <w:proofErr w:type="spellStart"/>
      <w:r w:rsidRPr="00C725E4">
        <w:rPr>
          <w:i/>
          <w:iCs/>
          <w:vertAlign w:val="superscript"/>
        </w:rPr>
        <w:t>a</w:t>
      </w:r>
      <w:proofErr w:type="spellEnd"/>
      <w:r>
        <w:rPr>
          <w:i/>
          <w:iCs/>
          <w:vertAlign w:val="superscript"/>
        </w:rPr>
        <w:tab/>
      </w:r>
      <w:r w:rsidRPr="00C725E4">
        <w:rPr>
          <w:i/>
          <w:iCs/>
        </w:rPr>
        <w:t xml:space="preserve">The OR is used here instead of the RR, due to the </w:t>
      </w:r>
      <w:r w:rsidRPr="00C725E4">
        <w:rPr>
          <w:i/>
          <w:iCs/>
          <w:szCs w:val="20"/>
        </w:rPr>
        <w:t>non-symmetry of the variance of the RR; which can lead to different estimates depending on framing of outcomes as positive or negative outcomes.</w:t>
      </w:r>
    </w:p>
    <w:p w:rsidR="004202CE" w:rsidRDefault="004202CE" w:rsidP="00A40891">
      <w:pPr>
        <w:pStyle w:val="TableFooter"/>
        <w:keepNext/>
        <w:keepLines/>
        <w:rPr>
          <w:i/>
          <w:iCs/>
        </w:rPr>
      </w:pPr>
      <w:r w:rsidRPr="00333A2F">
        <w:rPr>
          <w:i/>
          <w:iCs/>
        </w:rPr>
        <w:t>Source: Compiled during the evaluation.</w:t>
      </w:r>
    </w:p>
    <w:p w:rsidR="00083A5D" w:rsidRPr="00333A2F" w:rsidRDefault="00083A5D" w:rsidP="004202CE">
      <w:pPr>
        <w:pStyle w:val="TableFooter"/>
        <w:rPr>
          <w:i/>
          <w:iCs/>
        </w:rPr>
      </w:pPr>
    </w:p>
    <w:p w:rsidR="00B66E7C" w:rsidRPr="00C725E4" w:rsidRDefault="00B66E7C" w:rsidP="008D4604">
      <w:pPr>
        <w:pStyle w:val="ListParagraph"/>
        <w:widowControl/>
        <w:numPr>
          <w:ilvl w:val="1"/>
          <w:numId w:val="3"/>
        </w:numPr>
        <w:spacing w:after="0"/>
      </w:pPr>
      <w:r w:rsidRPr="00C725E4">
        <w:t>On the basis of indirect evidence presented by the submission, for eve</w:t>
      </w:r>
      <w:r w:rsidR="00BC3632">
        <w:t>ry 100 patients treated with guselkumab</w:t>
      </w:r>
      <w:r w:rsidRPr="00C725E4">
        <w:t xml:space="preserve"> in comparison</w:t>
      </w:r>
      <w:r w:rsidR="00BC3632">
        <w:t xml:space="preserve"> to ustekinumab</w:t>
      </w:r>
      <w:r w:rsidRPr="00C725E4">
        <w:t xml:space="preserve"> over a maximum duration</w:t>
      </w:r>
      <w:r w:rsidR="00BC3632">
        <w:t xml:space="preserve"> of exposure of 16 weeks for guselkumab and 12 weeks for ustekinumab</w:t>
      </w:r>
      <w:r w:rsidR="008D4604">
        <w:t>, it is expected</w:t>
      </w:r>
      <w:r w:rsidRPr="00C725E4">
        <w:t>:</w:t>
      </w:r>
    </w:p>
    <w:p w:rsidR="00B66E7C" w:rsidRPr="00C725E4" w:rsidRDefault="00B66E7C" w:rsidP="008D4604">
      <w:pPr>
        <w:pStyle w:val="ListParagraph"/>
        <w:widowControl/>
        <w:numPr>
          <w:ilvl w:val="0"/>
          <w:numId w:val="2"/>
        </w:numPr>
        <w:spacing w:after="0"/>
        <w:ind w:left="993" w:hanging="284"/>
      </w:pPr>
      <w:r w:rsidRPr="00C725E4">
        <w:t>Approximately 1</w:t>
      </w:r>
      <w:r w:rsidR="00956882">
        <w:t>6</w:t>
      </w:r>
      <w:r w:rsidRPr="00C725E4">
        <w:t xml:space="preserve"> additional patients would achieve a PASI 7</w:t>
      </w:r>
      <w:r w:rsidR="00BC3632">
        <w:t>5 response versus ustekinumab</w:t>
      </w:r>
      <w:r w:rsidRPr="00C725E4">
        <w:t xml:space="preserve"> </w:t>
      </w:r>
      <w:r w:rsidR="00956882">
        <w:t>(all doses</w:t>
      </w:r>
      <w:r w:rsidR="008D4604">
        <w:t xml:space="preserve"> pooled</w:t>
      </w:r>
      <w:r w:rsidR="00956882">
        <w:t>); and</w:t>
      </w:r>
    </w:p>
    <w:p w:rsidR="00956882" w:rsidRDefault="00B66E7C" w:rsidP="008D4604">
      <w:pPr>
        <w:pStyle w:val="ListParagraph"/>
        <w:widowControl/>
        <w:numPr>
          <w:ilvl w:val="0"/>
          <w:numId w:val="2"/>
        </w:numPr>
        <w:spacing w:after="0"/>
        <w:ind w:left="993" w:hanging="284"/>
      </w:pPr>
      <w:r w:rsidRPr="00C725E4">
        <w:t>Approximately 2</w:t>
      </w:r>
      <w:r w:rsidR="00956882">
        <w:t>3</w:t>
      </w:r>
      <w:r w:rsidRPr="00C725E4">
        <w:t xml:space="preserve"> additional patients would achieve a PASI 90 response versus </w:t>
      </w:r>
      <w:r w:rsidR="00BC3632">
        <w:t>ustekinumab</w:t>
      </w:r>
      <w:r w:rsidR="00956882">
        <w:t xml:space="preserve"> </w:t>
      </w:r>
      <w:r w:rsidR="008D4604">
        <w:t>(</w:t>
      </w:r>
      <w:r w:rsidR="00956882">
        <w:t>all doses</w:t>
      </w:r>
      <w:r w:rsidR="008D4604">
        <w:t xml:space="preserve"> pooled)</w:t>
      </w:r>
      <w:r w:rsidR="00956882">
        <w:t>.</w:t>
      </w:r>
    </w:p>
    <w:p w:rsidR="00956882" w:rsidRDefault="00956882" w:rsidP="00956882">
      <w:pPr>
        <w:pStyle w:val="ListParagraph"/>
        <w:widowControl/>
        <w:spacing w:after="0"/>
        <w:ind w:left="993"/>
      </w:pPr>
    </w:p>
    <w:p w:rsidR="00956882" w:rsidRPr="009F3167" w:rsidRDefault="00956882" w:rsidP="00956882">
      <w:pPr>
        <w:pStyle w:val="ListParagraph"/>
        <w:widowControl/>
        <w:numPr>
          <w:ilvl w:val="1"/>
          <w:numId w:val="3"/>
        </w:numPr>
        <w:spacing w:after="0"/>
      </w:pPr>
      <w:r w:rsidRPr="009F3167">
        <w:lastRenderedPageBreak/>
        <w:t>On the basis of direct evidence presented by the submission, for eve</w:t>
      </w:r>
      <w:r w:rsidR="00BC3632" w:rsidRPr="009F3167">
        <w:t>ry 100 patients treated with guselkumab</w:t>
      </w:r>
      <w:r w:rsidRPr="009F3167">
        <w:t xml:space="preserve"> in comparison to </w:t>
      </w:r>
      <w:r w:rsidR="00BC3632" w:rsidRPr="009F3167">
        <w:t>adalimumab</w:t>
      </w:r>
      <w:r w:rsidRPr="009F3167">
        <w:t xml:space="preserve"> over a maximum duration of exposure of 48 weeks</w:t>
      </w:r>
      <w:r w:rsidR="008D4604" w:rsidRPr="009F3167">
        <w:t>, it is expected:</w:t>
      </w:r>
    </w:p>
    <w:p w:rsidR="00956882" w:rsidRPr="009F3167" w:rsidRDefault="00956882" w:rsidP="008D4604">
      <w:pPr>
        <w:pStyle w:val="ListParagraph"/>
        <w:widowControl/>
        <w:numPr>
          <w:ilvl w:val="0"/>
          <w:numId w:val="2"/>
        </w:numPr>
        <w:spacing w:after="0"/>
        <w:ind w:left="993" w:hanging="284"/>
      </w:pPr>
      <w:r w:rsidRPr="009F3167">
        <w:t xml:space="preserve">Approximately 18, 19 and 25 additional patients would </w:t>
      </w:r>
      <w:r w:rsidR="008D4604" w:rsidRPr="009F3167">
        <w:t>achieve</w:t>
      </w:r>
      <w:r w:rsidRPr="009F3167">
        <w:t xml:space="preserve"> a PASI 75 response at Weeks 16, 24 and 48 respectively, and</w:t>
      </w:r>
    </w:p>
    <w:p w:rsidR="00B66E7C" w:rsidRDefault="00956882" w:rsidP="00956882">
      <w:pPr>
        <w:pStyle w:val="ListParagraph"/>
        <w:widowControl/>
        <w:numPr>
          <w:ilvl w:val="0"/>
          <w:numId w:val="2"/>
        </w:numPr>
        <w:spacing w:after="0"/>
        <w:ind w:left="993" w:hanging="284"/>
      </w:pPr>
      <w:r w:rsidRPr="009F3167">
        <w:t>Approximately 23, 24 and 28 additional patients would achieve a PASI 90 response at Weeks 16, 24 and 48 respectively.</w:t>
      </w:r>
    </w:p>
    <w:p w:rsidR="00CA4AA0" w:rsidRPr="009F3167" w:rsidRDefault="00CA4AA0" w:rsidP="00CA4AA0">
      <w:pPr>
        <w:pStyle w:val="ListParagraph"/>
        <w:widowControl/>
        <w:spacing w:after="0"/>
        <w:ind w:left="993"/>
      </w:pPr>
    </w:p>
    <w:p w:rsidR="00B60939" w:rsidRPr="00B621B6" w:rsidRDefault="00B60939" w:rsidP="00CA4AA0">
      <w:pPr>
        <w:pStyle w:val="Heading2"/>
        <w:spacing w:after="120"/>
      </w:pPr>
      <w:bookmarkStart w:id="21" w:name="_Toc503212800"/>
      <w:r w:rsidRPr="00B621B6">
        <w:t>Clinical claim</w:t>
      </w:r>
      <w:bookmarkEnd w:id="21"/>
    </w:p>
    <w:p w:rsidR="00824AD7" w:rsidRPr="009F3167" w:rsidRDefault="00BC3632" w:rsidP="00824AD7">
      <w:pPr>
        <w:pStyle w:val="ListParagraph"/>
        <w:widowControl/>
        <w:numPr>
          <w:ilvl w:val="1"/>
          <w:numId w:val="3"/>
        </w:numPr>
        <w:spacing w:after="120"/>
      </w:pPr>
      <w:r w:rsidRPr="009F3167">
        <w:t>The submission described guselkumab</w:t>
      </w:r>
      <w:r w:rsidR="00824AD7" w:rsidRPr="009F3167">
        <w:t xml:space="preserve"> as:</w:t>
      </w:r>
    </w:p>
    <w:p w:rsidR="00824AD7" w:rsidRPr="009F3167" w:rsidRDefault="00824AD7" w:rsidP="005B7283">
      <w:pPr>
        <w:pStyle w:val="ListParagraph"/>
        <w:numPr>
          <w:ilvl w:val="0"/>
          <w:numId w:val="23"/>
        </w:numPr>
        <w:ind w:left="1135" w:hanging="284"/>
        <w:contextualSpacing/>
      </w:pPr>
      <w:r w:rsidRPr="009F3167">
        <w:t>non-inferior (and likely superior) in terms of effectiveness and non-inferior in</w:t>
      </w:r>
      <w:r w:rsidR="00BC3632" w:rsidRPr="009F3167">
        <w:t xml:space="preserve"> terms of safety compared to ustekinumab</w:t>
      </w:r>
      <w:r w:rsidRPr="009F3167">
        <w:t xml:space="preserve"> and</w:t>
      </w:r>
    </w:p>
    <w:p w:rsidR="00824AD7" w:rsidRPr="00C0268D" w:rsidRDefault="00824AD7" w:rsidP="00E234BD">
      <w:pPr>
        <w:pStyle w:val="ListParagraph"/>
        <w:numPr>
          <w:ilvl w:val="0"/>
          <w:numId w:val="23"/>
        </w:numPr>
        <w:ind w:left="1134" w:hanging="284"/>
      </w:pPr>
      <w:r w:rsidRPr="009F3167">
        <w:t>superior in terms of effectiveness and non-inferior in</w:t>
      </w:r>
      <w:r w:rsidR="00BC3632" w:rsidRPr="009F3167">
        <w:t xml:space="preserve"> terms of safety compared </w:t>
      </w:r>
      <w:r w:rsidR="00BC3632" w:rsidRPr="00C0268D">
        <w:t>to adalimumab</w:t>
      </w:r>
      <w:r w:rsidRPr="00C0268D">
        <w:t xml:space="preserve">.  </w:t>
      </w:r>
    </w:p>
    <w:p w:rsidR="00824AD7" w:rsidRPr="00C0268D" w:rsidRDefault="00824AD7" w:rsidP="0085666C">
      <w:pPr>
        <w:pStyle w:val="ListParagraph"/>
        <w:widowControl/>
        <w:numPr>
          <w:ilvl w:val="1"/>
          <w:numId w:val="3"/>
        </w:numPr>
        <w:spacing w:after="120"/>
        <w:rPr>
          <w:iCs/>
        </w:rPr>
      </w:pPr>
      <w:r w:rsidRPr="00C0268D">
        <w:rPr>
          <w:iCs/>
        </w:rPr>
        <w:t>The safety claims and the efficacy claim</w:t>
      </w:r>
      <w:r w:rsidR="00BC3632" w:rsidRPr="00C0268D">
        <w:rPr>
          <w:iCs/>
        </w:rPr>
        <w:t>s of non-inferiority against ustekinumab and superiority versus adalimumab</w:t>
      </w:r>
      <w:r w:rsidRPr="00C0268D">
        <w:rPr>
          <w:iCs/>
        </w:rPr>
        <w:t xml:space="preserve"> appear to be adequately supported by the results presented in the submission. </w:t>
      </w:r>
      <w:r w:rsidR="006F62A5" w:rsidRPr="00C0268D">
        <w:rPr>
          <w:iCs/>
        </w:rPr>
        <w:t>The evidence however would not adequately support a conclusion of superior efficacy for guselkumab versus ustekinumab</w:t>
      </w:r>
      <w:r w:rsidRPr="00C0268D">
        <w:rPr>
          <w:iCs/>
        </w:rPr>
        <w:t xml:space="preserve"> </w:t>
      </w:r>
      <w:r w:rsidR="008D4604" w:rsidRPr="00C0268D">
        <w:rPr>
          <w:iCs/>
        </w:rPr>
        <w:t xml:space="preserve">as the claim </w:t>
      </w:r>
      <w:r w:rsidRPr="00C0268D">
        <w:rPr>
          <w:iCs/>
        </w:rPr>
        <w:t>relied on indirect comparisons</w:t>
      </w:r>
      <w:r w:rsidR="002B0FD9" w:rsidRPr="00C0268D">
        <w:rPr>
          <w:iCs/>
        </w:rPr>
        <w:t xml:space="preserve"> and there were a</w:t>
      </w:r>
      <w:r w:rsidRPr="00C0268D">
        <w:rPr>
          <w:iCs/>
        </w:rPr>
        <w:t xml:space="preserve"> number of differences across the included trials </w:t>
      </w:r>
      <w:r w:rsidR="002B0FD9" w:rsidRPr="00C0268D">
        <w:rPr>
          <w:iCs/>
        </w:rPr>
        <w:t xml:space="preserve">that </w:t>
      </w:r>
      <w:r w:rsidRPr="00C0268D">
        <w:rPr>
          <w:iCs/>
        </w:rPr>
        <w:t>could impact on the transitivity assumption</w:t>
      </w:r>
      <w:r w:rsidR="006D506C" w:rsidRPr="00C0268D">
        <w:rPr>
          <w:iCs/>
        </w:rPr>
        <w:t xml:space="preserve"> (see 5.25 above)</w:t>
      </w:r>
      <w:r w:rsidRPr="00C0268D">
        <w:rPr>
          <w:iCs/>
        </w:rPr>
        <w:t>.</w:t>
      </w:r>
      <w:r w:rsidR="00B032B4" w:rsidRPr="00C0268D">
        <w:rPr>
          <w:iCs/>
        </w:rPr>
        <w:t xml:space="preserve"> The</w:t>
      </w:r>
      <w:r w:rsidR="00A01F82" w:rsidRPr="00C0268D">
        <w:rPr>
          <w:iCs/>
        </w:rPr>
        <w:t xml:space="preserve"> ESC noted the</w:t>
      </w:r>
      <w:r w:rsidR="00B032B4" w:rsidRPr="00C0268D">
        <w:rPr>
          <w:iCs/>
        </w:rPr>
        <w:t xml:space="preserve"> PSCR</w:t>
      </w:r>
      <w:r w:rsidR="0014542F" w:rsidRPr="00C0268D">
        <w:rPr>
          <w:iCs/>
        </w:rPr>
        <w:t xml:space="preserve"> </w:t>
      </w:r>
      <w:r w:rsidR="00A01F82" w:rsidRPr="00C0268D">
        <w:rPr>
          <w:iCs/>
        </w:rPr>
        <w:t>confirmed</w:t>
      </w:r>
      <w:r w:rsidR="00B032B4" w:rsidRPr="00C0268D">
        <w:rPr>
          <w:iCs/>
        </w:rPr>
        <w:t xml:space="preserve"> </w:t>
      </w:r>
      <w:r w:rsidR="0085666C" w:rsidRPr="00C0268D">
        <w:rPr>
          <w:iCs/>
        </w:rPr>
        <w:t xml:space="preserve">the clinical claim </w:t>
      </w:r>
      <w:r w:rsidR="00A01F82" w:rsidRPr="00C0268D">
        <w:rPr>
          <w:iCs/>
        </w:rPr>
        <w:t xml:space="preserve">in the submission </w:t>
      </w:r>
      <w:r w:rsidR="0085666C" w:rsidRPr="00C0268D">
        <w:rPr>
          <w:iCs/>
        </w:rPr>
        <w:t>is that guselkumab is non-inferior to ustekinumab.</w:t>
      </w:r>
      <w:r w:rsidRPr="00C0268D">
        <w:rPr>
          <w:iCs/>
        </w:rPr>
        <w:t xml:space="preserve">  </w:t>
      </w:r>
    </w:p>
    <w:p w:rsidR="00116033" w:rsidRDefault="00BD7561" w:rsidP="0085666C">
      <w:pPr>
        <w:pStyle w:val="ListParagraph"/>
        <w:widowControl/>
        <w:numPr>
          <w:ilvl w:val="1"/>
          <w:numId w:val="3"/>
        </w:numPr>
        <w:spacing w:after="120"/>
        <w:rPr>
          <w:iCs/>
        </w:rPr>
      </w:pPr>
      <w:r w:rsidRPr="00C0268D">
        <w:rPr>
          <w:iCs/>
        </w:rPr>
        <w:t>The</w:t>
      </w:r>
      <w:r w:rsidR="00116033">
        <w:rPr>
          <w:iCs/>
        </w:rPr>
        <w:t xml:space="preserve"> PBAC agreed with the</w:t>
      </w:r>
      <w:r w:rsidRPr="00C0268D">
        <w:rPr>
          <w:iCs/>
        </w:rPr>
        <w:t xml:space="preserve"> ESC </w:t>
      </w:r>
      <w:r w:rsidR="00116033">
        <w:rPr>
          <w:iCs/>
        </w:rPr>
        <w:t>consideration that;</w:t>
      </w:r>
    </w:p>
    <w:p w:rsidR="00116033" w:rsidRPr="00116033" w:rsidRDefault="00116033" w:rsidP="005B7283">
      <w:pPr>
        <w:pStyle w:val="ListParagraph"/>
        <w:numPr>
          <w:ilvl w:val="0"/>
          <w:numId w:val="23"/>
        </w:numPr>
        <w:ind w:left="1135" w:hanging="284"/>
        <w:contextualSpacing/>
      </w:pPr>
      <w:r w:rsidRPr="00116033">
        <w:t xml:space="preserve"> </w:t>
      </w:r>
      <w:r w:rsidR="00BD7561" w:rsidRPr="00116033">
        <w:t xml:space="preserve">the claim of </w:t>
      </w:r>
      <w:r w:rsidR="0059329C" w:rsidRPr="00116033">
        <w:t>non-inferior efficacy and safety versus ustekinumab to be reasonable</w:t>
      </w:r>
      <w:r w:rsidRPr="00116033">
        <w:t>; and</w:t>
      </w:r>
    </w:p>
    <w:p w:rsidR="00BD7561" w:rsidRDefault="0059329C" w:rsidP="00116033">
      <w:pPr>
        <w:pStyle w:val="ListParagraph"/>
        <w:numPr>
          <w:ilvl w:val="0"/>
          <w:numId w:val="23"/>
        </w:numPr>
        <w:ind w:left="1134" w:hanging="284"/>
      </w:pPr>
      <w:r w:rsidRPr="00116033">
        <w:t>the claim of superior efficacy and non-inferior safety versus adalimumab to be reasonable.</w:t>
      </w:r>
    </w:p>
    <w:p w:rsidR="00EF1AB3" w:rsidRPr="00EF1AB3" w:rsidRDefault="007370E8" w:rsidP="00EF1AB3">
      <w:pPr>
        <w:pStyle w:val="ListParagraph"/>
        <w:widowControl/>
        <w:numPr>
          <w:ilvl w:val="1"/>
          <w:numId w:val="3"/>
        </w:numPr>
        <w:spacing w:after="120"/>
        <w:rPr>
          <w:iCs/>
        </w:rPr>
      </w:pPr>
      <w:r>
        <w:rPr>
          <w:iCs/>
        </w:rPr>
        <w:t>The PBAC restated that even though the clinical evidence supported the clinical claim made by the submission,</w:t>
      </w:r>
      <w:r w:rsidR="00EF1AB3">
        <w:rPr>
          <w:iCs/>
        </w:rPr>
        <w:t xml:space="preserve"> t</w:t>
      </w:r>
      <w:r w:rsidR="00EF1AB3" w:rsidRPr="00EF1AB3">
        <w:rPr>
          <w:iCs/>
        </w:rPr>
        <w:t>he PBAC considered that the comparative evidence provided was not informative as the comparator</w:t>
      </w:r>
      <w:r w:rsidR="00D67CAE">
        <w:rPr>
          <w:iCs/>
        </w:rPr>
        <w:t>s</w:t>
      </w:r>
      <w:r w:rsidR="00EF1AB3" w:rsidRPr="00EF1AB3">
        <w:rPr>
          <w:iCs/>
        </w:rPr>
        <w:t xml:space="preserve"> w</w:t>
      </w:r>
      <w:r w:rsidR="00D67CAE">
        <w:rPr>
          <w:iCs/>
        </w:rPr>
        <w:t>ere</w:t>
      </w:r>
      <w:r w:rsidR="00EF1AB3" w:rsidRPr="00EF1AB3">
        <w:rPr>
          <w:iCs/>
        </w:rPr>
        <w:t xml:space="preserve"> incorrect</w:t>
      </w:r>
      <w:r w:rsidR="002227D1">
        <w:rPr>
          <w:iCs/>
        </w:rPr>
        <w:t>.</w:t>
      </w:r>
    </w:p>
    <w:p w:rsidR="00B621B6" w:rsidRPr="00B621B6" w:rsidRDefault="00B60939" w:rsidP="00CA4AA0">
      <w:pPr>
        <w:pStyle w:val="Heading2"/>
        <w:spacing w:before="240" w:after="120"/>
      </w:pPr>
      <w:bookmarkStart w:id="22" w:name="_Toc503212801"/>
      <w:r w:rsidRPr="00B621B6">
        <w:t>Economic analysis</w:t>
      </w:r>
      <w:bookmarkEnd w:id="22"/>
      <w:r w:rsidR="00491B3A" w:rsidRPr="00B621B6">
        <w:t xml:space="preserve"> </w:t>
      </w:r>
    </w:p>
    <w:p w:rsidR="008269DC" w:rsidRPr="009F3167" w:rsidRDefault="002C74EA" w:rsidP="008269DC">
      <w:pPr>
        <w:pStyle w:val="ListParagraph"/>
        <w:widowControl/>
        <w:numPr>
          <w:ilvl w:val="1"/>
          <w:numId w:val="3"/>
        </w:numPr>
      </w:pPr>
      <w:r w:rsidRPr="009F3167">
        <w:t>The submission presented a cost-min</w:t>
      </w:r>
      <w:r w:rsidR="00BC3632" w:rsidRPr="009F3167">
        <w:t>imisation analysis comparing guselkumab with ustekinumab</w:t>
      </w:r>
      <w:r w:rsidRPr="009F3167">
        <w:t>.</w:t>
      </w:r>
      <w:r w:rsidR="008A555F">
        <w:t xml:space="preserve"> </w:t>
      </w:r>
      <w:r w:rsidR="008A555F" w:rsidRPr="009F3167">
        <w:t>The analys</w:t>
      </w:r>
      <w:r w:rsidR="008A555F">
        <w:t>i</w:t>
      </w:r>
      <w:r w:rsidR="008A555F" w:rsidRPr="009F3167">
        <w:t>s compared total costs over a 2-year treatment period (without discounting and despite different initiation periods).</w:t>
      </w:r>
      <w:r w:rsidRPr="009F3167">
        <w:t xml:space="preserve">  </w:t>
      </w:r>
      <w:r w:rsidRPr="009F3167">
        <w:rPr>
          <w:iCs/>
        </w:rPr>
        <w:t>Consistent with the clinical claim, a cost-min</w:t>
      </w:r>
      <w:r w:rsidR="00F45B71" w:rsidRPr="009F3167">
        <w:rPr>
          <w:iCs/>
        </w:rPr>
        <w:t>imisation analysis comparing guselk</w:t>
      </w:r>
      <w:r w:rsidR="00911AC1" w:rsidRPr="009F3167">
        <w:rPr>
          <w:iCs/>
        </w:rPr>
        <w:t>u</w:t>
      </w:r>
      <w:r w:rsidR="00F45B71" w:rsidRPr="009F3167">
        <w:rPr>
          <w:iCs/>
        </w:rPr>
        <w:t>mab with adalimumab</w:t>
      </w:r>
      <w:r w:rsidRPr="009F3167">
        <w:rPr>
          <w:iCs/>
        </w:rPr>
        <w:t xml:space="preserve"> was not presented.</w:t>
      </w:r>
      <w:r w:rsidRPr="009F3167">
        <w:t xml:space="preserve">  </w:t>
      </w:r>
    </w:p>
    <w:p w:rsidR="00DB2362" w:rsidRPr="009F3167" w:rsidRDefault="00DB2362" w:rsidP="002C74EA">
      <w:pPr>
        <w:pStyle w:val="ListParagraph"/>
        <w:widowControl/>
        <w:numPr>
          <w:ilvl w:val="1"/>
          <w:numId w:val="3"/>
        </w:numPr>
      </w:pPr>
      <w:r w:rsidRPr="009F3167">
        <w:t xml:space="preserve">The </w:t>
      </w:r>
      <w:proofErr w:type="spellStart"/>
      <w:r w:rsidRPr="009F3167">
        <w:t>equi</w:t>
      </w:r>
      <w:proofErr w:type="spellEnd"/>
      <w:r w:rsidRPr="009F3167">
        <w:t>-effec</w:t>
      </w:r>
      <w:r w:rsidR="00F45B71" w:rsidRPr="009F3167">
        <w:t>tive doses were estimated as guselkumab</w:t>
      </w:r>
      <w:r w:rsidRPr="009F3167">
        <w:t xml:space="preserve"> 100 mg at Weeks 0, 4 and e</w:t>
      </w:r>
      <w:r w:rsidR="00F45B71" w:rsidRPr="009F3167">
        <w:t>very 8 weeks thereafter, and ustekinumab</w:t>
      </w:r>
      <w:r w:rsidRPr="009F3167">
        <w:t xml:space="preserve"> weight-based dosing (45 mg for patients weighing </w:t>
      </w:r>
      <w:r w:rsidRPr="009F3167">
        <w:rPr>
          <w:u w:val="single"/>
        </w:rPr>
        <w:t>&lt;</w:t>
      </w:r>
      <w:r w:rsidRPr="009F3167">
        <w:t xml:space="preserve"> 100 kg, and 90 mg for patients weighing &gt; 100 kg) at Weeks 0, 4 and every 12 weeks thereafter.</w:t>
      </w:r>
      <w:r w:rsidRPr="009F3167">
        <w:rPr>
          <w:color w:val="3366FF"/>
        </w:rPr>
        <w:t xml:space="preserve"> </w:t>
      </w:r>
      <w:r w:rsidR="00F45B71" w:rsidRPr="009F3167">
        <w:t>The guselkumab</w:t>
      </w:r>
      <w:r w:rsidRPr="009F3167">
        <w:t xml:space="preserve"> dosing was based on trial evidence from </w:t>
      </w:r>
      <w:r w:rsidRPr="009F3167">
        <w:lastRenderedPageBreak/>
        <w:t>the VOYAGE</w:t>
      </w:r>
      <w:r w:rsidR="002C74EA" w:rsidRPr="009F3167">
        <w:t xml:space="preserve"> 1 and 2</w:t>
      </w:r>
      <w:r w:rsidRPr="009F3167">
        <w:t xml:space="preserve"> trials.  The dosing for </w:t>
      </w:r>
      <w:r w:rsidR="00C56D92" w:rsidRPr="009F3167">
        <w:t xml:space="preserve">ustekinumab </w:t>
      </w:r>
      <w:r w:rsidRPr="009F3167">
        <w:t>was based on the weight-based dosi</w:t>
      </w:r>
      <w:r w:rsidR="00F45B71" w:rsidRPr="009F3167">
        <w:t>ng recommended in the PI for ustekinumab</w:t>
      </w:r>
      <w:r w:rsidRPr="009F3167">
        <w:t xml:space="preserve">.  </w:t>
      </w:r>
      <w:r w:rsidR="00F45B71" w:rsidRPr="009F3167">
        <w:rPr>
          <w:iCs/>
        </w:rPr>
        <w:t>The PHOENIX trials for ustekinumab</w:t>
      </w:r>
      <w:r w:rsidRPr="009F3167">
        <w:rPr>
          <w:iCs/>
        </w:rPr>
        <w:t xml:space="preserve"> vs placebo did not asses</w:t>
      </w:r>
      <w:r w:rsidR="00F45B71" w:rsidRPr="009F3167">
        <w:rPr>
          <w:iCs/>
        </w:rPr>
        <w:t>s the efficacy and safety of ustekinumab</w:t>
      </w:r>
      <w:r w:rsidRPr="009F3167">
        <w:rPr>
          <w:iCs/>
        </w:rPr>
        <w:t xml:space="preserve"> according to the weight-based dosing</w:t>
      </w:r>
      <w:r w:rsidR="002C74EA" w:rsidRPr="009F3167">
        <w:rPr>
          <w:iCs/>
        </w:rPr>
        <w:t>,</w:t>
      </w:r>
      <w:r w:rsidRPr="009F3167">
        <w:rPr>
          <w:iCs/>
        </w:rPr>
        <w:t xml:space="preserve"> </w:t>
      </w:r>
      <w:r w:rsidR="002C74EA" w:rsidRPr="009F3167">
        <w:rPr>
          <w:iCs/>
        </w:rPr>
        <w:t xml:space="preserve">however post hoc analysis by the submission using </w:t>
      </w:r>
      <w:r w:rsidR="004D0449">
        <w:rPr>
          <w:iCs/>
        </w:rPr>
        <w:t>individual patient</w:t>
      </w:r>
      <w:r w:rsidR="002C74EA" w:rsidRPr="009F3167">
        <w:rPr>
          <w:iCs/>
        </w:rPr>
        <w:t xml:space="preserve"> data</w:t>
      </w:r>
      <w:r w:rsidR="004D0449">
        <w:rPr>
          <w:iCs/>
        </w:rPr>
        <w:t xml:space="preserve"> (IPD)</w:t>
      </w:r>
      <w:r w:rsidR="002C74EA" w:rsidRPr="009F3167">
        <w:rPr>
          <w:iCs/>
        </w:rPr>
        <w:t xml:space="preserve"> did analyse results for those correctly dosed </w:t>
      </w:r>
      <w:r w:rsidR="004D0449">
        <w:rPr>
          <w:iCs/>
        </w:rPr>
        <w:t>(</w:t>
      </w:r>
      <w:r w:rsidR="002C74EA" w:rsidRPr="009F3167">
        <w:rPr>
          <w:iCs/>
        </w:rPr>
        <w:t xml:space="preserve">based on the recommended TGA approved dosing).  Furthermore, </w:t>
      </w:r>
      <w:r w:rsidR="00F87F3F">
        <w:rPr>
          <w:iCs/>
          <w:noProof/>
          <w:color w:val="000000"/>
          <w:highlight w:val="black"/>
        </w:rPr>
        <w:t>''''''''' '''''' '''''''' '''''' '''''''''''''''''''''''''' '''' '''' '''''''''''''' '''''' ''''''''''''''''''' '''''''' ''''''''''''''''' '''''' '''''' ''''''''''''''''''''''' ''''' ''''''' ''''''''''''''''''''''</w:t>
      </w:r>
      <w:r w:rsidRPr="009F3167">
        <w:rPr>
          <w:iCs/>
        </w:rPr>
        <w:t>, application of weight-based dosing does no</w:t>
      </w:r>
      <w:r w:rsidR="00F45B71" w:rsidRPr="009F3167">
        <w:rPr>
          <w:iCs/>
        </w:rPr>
        <w:t>t affect the overall cost of ustekinumab.</w:t>
      </w:r>
    </w:p>
    <w:p w:rsidR="00DB2362" w:rsidRPr="00C0268D" w:rsidRDefault="00DB2362" w:rsidP="002C74EA">
      <w:pPr>
        <w:pStyle w:val="ListParagraph"/>
        <w:widowControl/>
        <w:numPr>
          <w:ilvl w:val="1"/>
          <w:numId w:val="3"/>
        </w:numPr>
        <w:rPr>
          <w:iCs/>
        </w:rPr>
      </w:pPr>
      <w:r w:rsidRPr="009F3167">
        <w:rPr>
          <w:iCs/>
        </w:rPr>
        <w:t>The submission did not count the continuat</w:t>
      </w:r>
      <w:r w:rsidR="00F45B71" w:rsidRPr="009F3167">
        <w:rPr>
          <w:iCs/>
        </w:rPr>
        <w:t>ion dose at Week 28 for both guselkumab and ustekinumab</w:t>
      </w:r>
      <w:r w:rsidR="002C74EA" w:rsidRPr="009F3167">
        <w:rPr>
          <w:iCs/>
        </w:rPr>
        <w:t xml:space="preserve"> in the cost minimisation analysis</w:t>
      </w:r>
      <w:r w:rsidRPr="009F3167">
        <w:rPr>
          <w:iCs/>
        </w:rPr>
        <w:t xml:space="preserve">, this </w:t>
      </w:r>
      <w:r w:rsidR="002C74EA" w:rsidRPr="009F3167">
        <w:rPr>
          <w:iCs/>
        </w:rPr>
        <w:t xml:space="preserve">was </w:t>
      </w:r>
      <w:r w:rsidRPr="009F3167">
        <w:rPr>
          <w:iCs/>
        </w:rPr>
        <w:t xml:space="preserve">corrected during the evaluation.  The revised </w:t>
      </w:r>
      <w:r w:rsidR="00911AC1" w:rsidRPr="009F3167">
        <w:t>Approved Ex-Manufacturer Price (</w:t>
      </w:r>
      <w:r w:rsidRPr="009F3167">
        <w:rPr>
          <w:iCs/>
        </w:rPr>
        <w:t>A</w:t>
      </w:r>
      <w:r w:rsidR="00F45B71" w:rsidRPr="009F3167">
        <w:rPr>
          <w:iCs/>
        </w:rPr>
        <w:t>EMP</w:t>
      </w:r>
      <w:r w:rsidR="00911AC1" w:rsidRPr="009F3167">
        <w:rPr>
          <w:iCs/>
        </w:rPr>
        <w:t>)</w:t>
      </w:r>
      <w:r w:rsidR="00F45B71" w:rsidRPr="009F3167">
        <w:rPr>
          <w:iCs/>
        </w:rPr>
        <w:t xml:space="preserve"> of </w:t>
      </w:r>
      <w:r w:rsidR="00C56D92" w:rsidRPr="009F3167">
        <w:rPr>
          <w:iCs/>
        </w:rPr>
        <w:t xml:space="preserve">guselkumab </w:t>
      </w:r>
      <w:r w:rsidR="00F45B71" w:rsidRPr="009F3167">
        <w:rPr>
          <w:iCs/>
        </w:rPr>
        <w:t>cost-minimised to ustekinumab</w:t>
      </w:r>
      <w:r w:rsidRPr="009F3167">
        <w:rPr>
          <w:iCs/>
        </w:rPr>
        <w:t xml:space="preserve"> over a 104-week period </w:t>
      </w:r>
      <w:r w:rsidR="002C74EA" w:rsidRPr="009F3167">
        <w:rPr>
          <w:iCs/>
        </w:rPr>
        <w:t>was</w:t>
      </w:r>
      <w:r w:rsidRPr="009F3167">
        <w:rPr>
          <w:iCs/>
        </w:rPr>
        <w:t xml:space="preserve"> </w:t>
      </w:r>
      <w:r w:rsidRPr="00C0268D">
        <w:rPr>
          <w:iCs/>
        </w:rPr>
        <w:t>estimated to be $</w:t>
      </w:r>
      <w:r w:rsidR="00F87F3F">
        <w:rPr>
          <w:iCs/>
          <w:noProof/>
          <w:color w:val="000000"/>
          <w:highlight w:val="black"/>
        </w:rPr>
        <w:t>'''''''''''''''</w:t>
      </w:r>
      <w:r w:rsidRPr="00C0268D">
        <w:rPr>
          <w:iCs/>
        </w:rPr>
        <w:t>0</w:t>
      </w:r>
      <w:r w:rsidR="002C74EA" w:rsidRPr="00C0268D">
        <w:rPr>
          <w:iCs/>
        </w:rPr>
        <w:t xml:space="preserve"> (versus an </w:t>
      </w:r>
      <w:r w:rsidRPr="00C0268D">
        <w:rPr>
          <w:iCs/>
        </w:rPr>
        <w:t xml:space="preserve">AEMP </w:t>
      </w:r>
      <w:r w:rsidR="002C74EA" w:rsidRPr="00C0268D">
        <w:rPr>
          <w:iCs/>
        </w:rPr>
        <w:t xml:space="preserve">of </w:t>
      </w:r>
      <w:r w:rsidRPr="00C0268D">
        <w:rPr>
          <w:iCs/>
        </w:rPr>
        <w:t>$</w:t>
      </w:r>
      <w:r w:rsidR="00F87F3F">
        <w:rPr>
          <w:iCs/>
          <w:noProof/>
          <w:color w:val="000000"/>
          <w:highlight w:val="black"/>
        </w:rPr>
        <w:t>''''''''''''''''''</w:t>
      </w:r>
      <w:r w:rsidR="002C74EA" w:rsidRPr="00C0268D">
        <w:rPr>
          <w:iCs/>
        </w:rPr>
        <w:t xml:space="preserve"> estimated by the submission).</w:t>
      </w:r>
    </w:p>
    <w:p w:rsidR="00DB2362" w:rsidRPr="00C0268D" w:rsidRDefault="006F65DE" w:rsidP="00DB2362">
      <w:pPr>
        <w:pStyle w:val="ListParagraph"/>
        <w:widowControl/>
        <w:numPr>
          <w:ilvl w:val="1"/>
          <w:numId w:val="3"/>
        </w:numPr>
      </w:pPr>
      <w:r w:rsidRPr="00C0268D">
        <w:rPr>
          <w:szCs w:val="24"/>
        </w:rPr>
        <w:t>The</w:t>
      </w:r>
      <w:r w:rsidR="00A34C65" w:rsidRPr="00C0268D">
        <w:rPr>
          <w:szCs w:val="24"/>
        </w:rPr>
        <w:t xml:space="preserve"> C</w:t>
      </w:r>
      <w:r w:rsidRPr="00C0268D">
        <w:rPr>
          <w:szCs w:val="24"/>
        </w:rPr>
        <w:t xml:space="preserve">ommentary </w:t>
      </w:r>
      <w:r w:rsidR="00A34C65" w:rsidRPr="00C0268D">
        <w:rPr>
          <w:szCs w:val="24"/>
        </w:rPr>
        <w:t>included a cost-minimisation analysis using the effective AEMP for the 45</w:t>
      </w:r>
      <w:r w:rsidR="00D67CAE">
        <w:rPr>
          <w:szCs w:val="24"/>
        </w:rPr>
        <w:t xml:space="preserve"> </w:t>
      </w:r>
      <w:r w:rsidR="00A34C65" w:rsidRPr="00C0268D">
        <w:rPr>
          <w:szCs w:val="24"/>
        </w:rPr>
        <w:t xml:space="preserve">mg vial of </w:t>
      </w:r>
      <w:r w:rsidR="00D67CAE" w:rsidRPr="009F3167">
        <w:rPr>
          <w:iCs/>
        </w:rPr>
        <w:t>ustekinumab</w:t>
      </w:r>
      <w:r w:rsidR="00A34C65" w:rsidRPr="00C0268D">
        <w:rPr>
          <w:szCs w:val="24"/>
        </w:rPr>
        <w:t xml:space="preserve">. The ESC agreed with the PSCR </w:t>
      </w:r>
      <w:r w:rsidRPr="00C0268D">
        <w:rPr>
          <w:szCs w:val="24"/>
        </w:rPr>
        <w:t xml:space="preserve">that the AEMP for </w:t>
      </w:r>
      <w:r w:rsidR="00D67CAE" w:rsidRPr="009F3167">
        <w:rPr>
          <w:iCs/>
        </w:rPr>
        <w:t xml:space="preserve">ustekinumab </w:t>
      </w:r>
      <w:r w:rsidRPr="00C0268D">
        <w:rPr>
          <w:szCs w:val="24"/>
        </w:rPr>
        <w:t>is $</w:t>
      </w:r>
      <w:r w:rsidRPr="006A718C">
        <w:rPr>
          <w:szCs w:val="24"/>
        </w:rPr>
        <w:t>4,232.31</w:t>
      </w:r>
      <w:r w:rsidRPr="00C0268D">
        <w:rPr>
          <w:szCs w:val="24"/>
        </w:rPr>
        <w:t xml:space="preserve"> and </w:t>
      </w:r>
      <w:r w:rsidR="00F87F3F">
        <w:rPr>
          <w:noProof/>
          <w:color w:val="000000"/>
          <w:szCs w:val="24"/>
          <w:highlight w:val="black"/>
        </w:rPr>
        <w:t>'''''''' '''''' '''''''''''''''''''''''''' '''''''''''''''''' ''''''' ''''''''''''''''''''' '''' ''''''''''''''' ''''''''' ''''''''''' ''''''''''''''' ''''' ''''''' '''''''' '''' ''''' ''''''</w:t>
      </w:r>
      <w:r w:rsidRPr="00C0268D">
        <w:rPr>
          <w:szCs w:val="24"/>
        </w:rPr>
        <w:t>.</w:t>
      </w:r>
    </w:p>
    <w:p w:rsidR="002C74EA" w:rsidRPr="00DD034B" w:rsidRDefault="002C74EA" w:rsidP="00BB3FB1">
      <w:pPr>
        <w:pStyle w:val="ListParagraph"/>
        <w:widowControl/>
        <w:numPr>
          <w:ilvl w:val="1"/>
          <w:numId w:val="3"/>
        </w:numPr>
      </w:pPr>
      <w:r w:rsidRPr="009F3167">
        <w:t xml:space="preserve">The submission </w:t>
      </w:r>
      <w:r w:rsidR="00BB3FB1" w:rsidRPr="009F3167">
        <w:t xml:space="preserve">assumed that there would be no </w:t>
      </w:r>
      <w:r w:rsidR="00DB2362" w:rsidRPr="009F3167">
        <w:rPr>
          <w:iCs/>
        </w:rPr>
        <w:t>additio</w:t>
      </w:r>
      <w:r w:rsidR="00F45B71" w:rsidRPr="009F3167">
        <w:rPr>
          <w:iCs/>
        </w:rPr>
        <w:t xml:space="preserve">nal administration costs for </w:t>
      </w:r>
      <w:r w:rsidR="00F45B71" w:rsidRPr="009F3167">
        <w:t>guselkumab</w:t>
      </w:r>
      <w:r w:rsidR="00BB3FB1" w:rsidRPr="009F3167">
        <w:rPr>
          <w:iCs/>
        </w:rPr>
        <w:t>, despite its more frequen</w:t>
      </w:r>
      <w:r w:rsidR="00F45B71" w:rsidRPr="009F3167">
        <w:rPr>
          <w:iCs/>
        </w:rPr>
        <w:t>t dosing regimen compared to ustekinumab</w:t>
      </w:r>
      <w:r w:rsidR="00BB3FB1" w:rsidRPr="009F3167">
        <w:rPr>
          <w:iCs/>
        </w:rPr>
        <w:t xml:space="preserve">.  </w:t>
      </w:r>
      <w:r w:rsidR="00BB3FB1" w:rsidRPr="009F3167">
        <w:t xml:space="preserve">This </w:t>
      </w:r>
      <w:r w:rsidR="00BB3FB1" w:rsidRPr="009F3167">
        <w:rPr>
          <w:iCs/>
        </w:rPr>
        <w:t>assumption may not be appropriate.  Over two years, there would be on average additional 4</w:t>
      </w:r>
      <w:r w:rsidR="00F45B71" w:rsidRPr="009F3167">
        <w:rPr>
          <w:iCs/>
        </w:rPr>
        <w:t xml:space="preserve"> injections per patient with guselkumab</w:t>
      </w:r>
      <w:r w:rsidR="00BB3FB1" w:rsidRPr="009F3167">
        <w:rPr>
          <w:iCs/>
        </w:rPr>
        <w:t xml:space="preserve">.  Given </w:t>
      </w:r>
      <w:r w:rsidR="00BB3FB1" w:rsidRPr="009F3167">
        <w:t xml:space="preserve">the PBAC had previously accepted that </w:t>
      </w:r>
      <w:r w:rsidR="00BB3FB1" w:rsidRPr="00C0268D">
        <w:t xml:space="preserve">10 % of patients may require assistance with subcutaneous </w:t>
      </w:r>
      <w:r w:rsidR="00BB3FB1" w:rsidRPr="00C0268D">
        <w:rPr>
          <w:iCs/>
        </w:rPr>
        <w:t>administration</w:t>
      </w:r>
      <w:r w:rsidR="00BB3FB1" w:rsidRPr="00C0268D">
        <w:t xml:space="preserve"> of bDMARDs (golimumab for </w:t>
      </w:r>
      <w:r w:rsidR="001B23AB">
        <w:t>ankylosing spondylitis (</w:t>
      </w:r>
      <w:r w:rsidR="00BB3FB1" w:rsidRPr="00C0268D">
        <w:t>AS</w:t>
      </w:r>
      <w:r w:rsidR="001B23AB">
        <w:t>)</w:t>
      </w:r>
      <w:r w:rsidR="00BB3FB1" w:rsidRPr="00C0268D">
        <w:t xml:space="preserve"> March 2010, paragraph 4 Section 12; golimumab for </w:t>
      </w:r>
      <w:r w:rsidR="001B23AB">
        <w:t>psoriatic arthritis (</w:t>
      </w:r>
      <w:proofErr w:type="spellStart"/>
      <w:r w:rsidR="00BB3FB1" w:rsidRPr="00C0268D">
        <w:t>PsA</w:t>
      </w:r>
      <w:proofErr w:type="spellEnd"/>
      <w:r w:rsidR="001B23AB">
        <w:t>)</w:t>
      </w:r>
      <w:r w:rsidR="00BB3FB1" w:rsidRPr="00C0268D">
        <w:t xml:space="preserve"> March 2010 PSD, paragraph 5 Section 12; golimumab for RA March 2010 PSD, paragraph 2 Section 10, paragraph 4 </w:t>
      </w:r>
      <w:r w:rsidR="00FB1506" w:rsidRPr="00C0268D">
        <w:t>c</w:t>
      </w:r>
      <w:r w:rsidR="00BB3FB1" w:rsidRPr="00C0268D">
        <w:t xml:space="preserve"> 12), a similar assumption was made during the evaluation.  </w:t>
      </w:r>
      <w:r w:rsidRPr="00C0268D">
        <w:t>It was</w:t>
      </w:r>
      <w:r w:rsidR="00F45B71" w:rsidRPr="00C0268D">
        <w:t xml:space="preserve"> assumed that 10% of </w:t>
      </w:r>
      <w:r w:rsidR="00D20F18" w:rsidRPr="00C0268D">
        <w:rPr>
          <w:iCs/>
        </w:rPr>
        <w:t xml:space="preserve">guselkumab </w:t>
      </w:r>
      <w:r w:rsidR="00F45B71" w:rsidRPr="00C0268D">
        <w:t>and ustekinumab</w:t>
      </w:r>
      <w:r w:rsidRPr="00C0268D">
        <w:t xml:space="preserve"> pat</w:t>
      </w:r>
      <w:r w:rsidR="00412958" w:rsidRPr="00C0268D">
        <w:t>ients will require a level ‘A‘ General P</w:t>
      </w:r>
      <w:r w:rsidRPr="00C0268D">
        <w:t>ractitioner consultation per injection (MBS item 3), incurring $16.95 per visit.</w:t>
      </w:r>
      <w:r w:rsidR="00DD034B" w:rsidRPr="00C0268D">
        <w:rPr>
          <w:iCs/>
        </w:rPr>
        <w:t xml:space="preserve"> The PSCR states that patients with chronic plaque psoriasis are less likely to require assistance with administration compared to patients with arthritic type conditions. The PSCR argues that extrapolating </w:t>
      </w:r>
      <w:r w:rsidR="00DD034B" w:rsidRPr="00C0268D">
        <w:t>the assumed percentage requiring assistance from spondylitis and arthritis submissions to CPP is inappropriate as CPP does not involve joints, and therefore should not require the same degree of assistance.</w:t>
      </w:r>
      <w:r w:rsidR="008F2353" w:rsidRPr="00C0268D">
        <w:rPr>
          <w:iCs/>
        </w:rPr>
        <w:t xml:space="preserve"> The ESC acknowledged that fewer than 10% of patient with psoriasis may require assistance with the administration of guselkumab.</w:t>
      </w:r>
      <w:r w:rsidR="00053042">
        <w:rPr>
          <w:iCs/>
        </w:rPr>
        <w:t xml:space="preserve"> </w:t>
      </w:r>
    </w:p>
    <w:p w:rsidR="0051424E" w:rsidRPr="00AF65C5" w:rsidRDefault="0002588E" w:rsidP="00CA4AA0">
      <w:pPr>
        <w:pStyle w:val="Heading2"/>
        <w:spacing w:before="240" w:after="120"/>
      </w:pPr>
      <w:r w:rsidRPr="00AF65C5">
        <w:t xml:space="preserve">Drug cost/patient/year: </w:t>
      </w:r>
      <w:r w:rsidR="00B621B6" w:rsidRPr="00AF65C5">
        <w:t>$</w:t>
      </w:r>
      <w:r w:rsidR="00F87F3F">
        <w:rPr>
          <w:noProof/>
          <w:color w:val="000000"/>
          <w:highlight w:val="black"/>
        </w:rPr>
        <w:t>''''''''''''''</w:t>
      </w:r>
    </w:p>
    <w:p w:rsidR="0002588E" w:rsidRPr="00AF65C5" w:rsidRDefault="0002588E" w:rsidP="00AD7389">
      <w:pPr>
        <w:pStyle w:val="ListParagraph"/>
        <w:widowControl/>
        <w:numPr>
          <w:ilvl w:val="1"/>
          <w:numId w:val="3"/>
        </w:numPr>
      </w:pPr>
      <w:r w:rsidRPr="009F3167">
        <w:rPr>
          <w:snapToGrid/>
          <w:lang w:eastAsia="en-AU"/>
        </w:rPr>
        <w:t>Using the requested DPMQ of $</w:t>
      </w:r>
      <w:r w:rsidR="00F87F3F">
        <w:rPr>
          <w:noProof/>
          <w:snapToGrid/>
          <w:color w:val="000000"/>
          <w:highlight w:val="black"/>
          <w:lang w:eastAsia="en-AU"/>
        </w:rPr>
        <w:t>'''''''''''''''</w:t>
      </w:r>
      <w:r w:rsidRPr="009F3167">
        <w:rPr>
          <w:snapToGrid/>
          <w:lang w:eastAsia="en-AU"/>
        </w:rPr>
        <w:t xml:space="preserve"> per</w:t>
      </w:r>
      <w:r w:rsidR="00F45B71" w:rsidRPr="009F3167">
        <w:rPr>
          <w:snapToGrid/>
          <w:lang w:eastAsia="en-AU"/>
        </w:rPr>
        <w:t xml:space="preserve"> injection, and assuming </w:t>
      </w:r>
      <w:r w:rsidR="00F87F3F">
        <w:rPr>
          <w:noProof/>
          <w:snapToGrid/>
          <w:color w:val="000000"/>
          <w:highlight w:val="black"/>
          <w:lang w:eastAsia="en-AU"/>
        </w:rPr>
        <w:t>'''''''</w:t>
      </w:r>
      <w:r w:rsidR="00F45B71" w:rsidRPr="009F3167">
        <w:rPr>
          <w:snapToGrid/>
          <w:lang w:eastAsia="en-AU"/>
        </w:rPr>
        <w:t xml:space="preserve"> </w:t>
      </w:r>
      <w:r w:rsidR="00F45B71" w:rsidRPr="009F3167">
        <w:t>guselkumab</w:t>
      </w:r>
      <w:r w:rsidRPr="009F3167">
        <w:rPr>
          <w:snapToGrid/>
          <w:lang w:eastAsia="en-AU"/>
        </w:rPr>
        <w:t xml:space="preserve"> injections per patient per year </w:t>
      </w:r>
      <w:r w:rsidR="007A6800" w:rsidRPr="009F3167">
        <w:rPr>
          <w:snapToGrid/>
          <w:lang w:eastAsia="en-AU"/>
        </w:rPr>
        <w:t xml:space="preserve">will be used </w:t>
      </w:r>
      <w:r w:rsidRPr="009F3167">
        <w:rPr>
          <w:snapToGrid/>
          <w:lang w:eastAsia="en-AU"/>
        </w:rPr>
        <w:t>in the maintenance treat</w:t>
      </w:r>
      <w:r w:rsidR="00F45B71" w:rsidRPr="009F3167">
        <w:rPr>
          <w:snapToGrid/>
          <w:lang w:eastAsia="en-AU"/>
        </w:rPr>
        <w:t xml:space="preserve">ment phase, the drug cost of </w:t>
      </w:r>
      <w:r w:rsidR="00F45B71" w:rsidRPr="009F3167">
        <w:t>guselkumab</w:t>
      </w:r>
      <w:r w:rsidRPr="009F3167">
        <w:rPr>
          <w:snapToGrid/>
          <w:lang w:eastAsia="en-AU"/>
        </w:rPr>
        <w:t xml:space="preserve"> </w:t>
      </w:r>
      <w:r w:rsidR="007A6800" w:rsidRPr="009F3167">
        <w:rPr>
          <w:snapToGrid/>
          <w:lang w:eastAsia="en-AU"/>
        </w:rPr>
        <w:t>wa</w:t>
      </w:r>
      <w:r w:rsidRPr="009F3167">
        <w:rPr>
          <w:snapToGrid/>
          <w:lang w:eastAsia="en-AU"/>
        </w:rPr>
        <w:t>s estimated to be $</w:t>
      </w:r>
      <w:r w:rsidR="00F87F3F">
        <w:rPr>
          <w:noProof/>
          <w:snapToGrid/>
          <w:color w:val="000000"/>
          <w:highlight w:val="black"/>
          <w:lang w:eastAsia="en-AU"/>
        </w:rPr>
        <w:t>''''''''''''''</w:t>
      </w:r>
      <w:r w:rsidRPr="009F3167">
        <w:rPr>
          <w:snapToGrid/>
          <w:lang w:eastAsia="en-AU"/>
        </w:rPr>
        <w:t xml:space="preserve"> per patient per year.  </w:t>
      </w:r>
      <w:r w:rsidR="007A6800" w:rsidRPr="009F3167">
        <w:rPr>
          <w:snapToGrid/>
          <w:lang w:eastAsia="en-AU"/>
        </w:rPr>
        <w:t xml:space="preserve">PBS treatment is only permitted to continue </w:t>
      </w:r>
      <w:r w:rsidRPr="009F3167">
        <w:rPr>
          <w:snapToGrid/>
          <w:lang w:eastAsia="en-AU"/>
        </w:rPr>
        <w:t xml:space="preserve">if the </w:t>
      </w:r>
      <w:r w:rsidRPr="009F3167">
        <w:t>patient</w:t>
      </w:r>
      <w:r w:rsidR="007A6800" w:rsidRPr="009F3167">
        <w:t>s</w:t>
      </w:r>
      <w:r w:rsidRPr="009F3167">
        <w:rPr>
          <w:snapToGrid/>
          <w:lang w:eastAsia="en-AU"/>
        </w:rPr>
        <w:t xml:space="preserve"> </w:t>
      </w:r>
      <w:r w:rsidR="007A6800" w:rsidRPr="009F3167">
        <w:rPr>
          <w:snapToGrid/>
          <w:lang w:eastAsia="en-AU"/>
        </w:rPr>
        <w:t>achiev</w:t>
      </w:r>
      <w:r w:rsidR="00D20F18" w:rsidRPr="009F3167">
        <w:rPr>
          <w:snapToGrid/>
          <w:lang w:eastAsia="en-AU"/>
        </w:rPr>
        <w:t>e</w:t>
      </w:r>
      <w:r w:rsidR="007A6800" w:rsidRPr="009F3167">
        <w:rPr>
          <w:snapToGrid/>
          <w:lang w:eastAsia="en-AU"/>
        </w:rPr>
        <w:t xml:space="preserve"> and maintain a PASI 75 response.</w:t>
      </w:r>
      <w:r w:rsidRPr="009F3167">
        <w:rPr>
          <w:snapToGrid/>
          <w:lang w:eastAsia="en-AU"/>
        </w:rPr>
        <w:t xml:space="preserve">  Using the DPMQ for </w:t>
      </w:r>
      <w:r w:rsidR="00D20F18" w:rsidRPr="009F3167">
        <w:t xml:space="preserve">ustekinumab </w:t>
      </w:r>
      <w:r w:rsidR="00CC2D90" w:rsidRPr="009F3167">
        <w:rPr>
          <w:snapToGrid/>
          <w:lang w:eastAsia="en-AU"/>
        </w:rPr>
        <w:t xml:space="preserve">of </w:t>
      </w:r>
      <w:r w:rsidRPr="009F3167">
        <w:rPr>
          <w:snapToGrid/>
          <w:lang w:eastAsia="en-AU"/>
        </w:rPr>
        <w:t>$4,3</w:t>
      </w:r>
      <w:r w:rsidR="00CC2D90" w:rsidRPr="009F3167">
        <w:rPr>
          <w:snapToGrid/>
          <w:lang w:eastAsia="en-AU"/>
        </w:rPr>
        <w:t>46.86</w:t>
      </w:r>
      <w:r w:rsidRPr="009F3167">
        <w:rPr>
          <w:snapToGrid/>
          <w:lang w:eastAsia="en-AU"/>
        </w:rPr>
        <w:t xml:space="preserve"> </w:t>
      </w:r>
      <w:r w:rsidR="00CC2D90" w:rsidRPr="009F3167">
        <w:rPr>
          <w:snapToGrid/>
          <w:lang w:eastAsia="en-AU"/>
        </w:rPr>
        <w:t>a</w:t>
      </w:r>
      <w:r w:rsidRPr="009F3167">
        <w:rPr>
          <w:snapToGrid/>
          <w:lang w:eastAsia="en-AU"/>
        </w:rPr>
        <w:t xml:space="preserve">nd assuming </w:t>
      </w:r>
      <w:r w:rsidRPr="00BB7933">
        <w:rPr>
          <w:snapToGrid/>
          <w:lang w:eastAsia="en-AU"/>
        </w:rPr>
        <w:t>4.33</w:t>
      </w:r>
      <w:r w:rsidRPr="009F3167">
        <w:rPr>
          <w:snapToGrid/>
          <w:lang w:eastAsia="en-AU"/>
        </w:rPr>
        <w:t xml:space="preserve"> </w:t>
      </w:r>
      <w:r w:rsidR="00D20F18" w:rsidRPr="009F3167">
        <w:lastRenderedPageBreak/>
        <w:t xml:space="preserve">ustekinumab </w:t>
      </w:r>
      <w:r w:rsidRPr="009F3167">
        <w:rPr>
          <w:snapToGrid/>
          <w:lang w:eastAsia="en-AU"/>
        </w:rPr>
        <w:t>injections per patient per year dispensed in the maintenance treat</w:t>
      </w:r>
      <w:r w:rsidR="00F45B71" w:rsidRPr="009F3167">
        <w:rPr>
          <w:snapToGrid/>
          <w:lang w:eastAsia="en-AU"/>
        </w:rPr>
        <w:t>ment phase, the drug cost of ustekinumab</w:t>
      </w:r>
      <w:r w:rsidRPr="009F3167">
        <w:rPr>
          <w:snapToGrid/>
          <w:lang w:eastAsia="en-AU"/>
        </w:rPr>
        <w:t xml:space="preserve"> </w:t>
      </w:r>
      <w:r w:rsidR="007A6800" w:rsidRPr="009F3167">
        <w:rPr>
          <w:snapToGrid/>
          <w:lang w:eastAsia="en-AU"/>
        </w:rPr>
        <w:t>wa</w:t>
      </w:r>
      <w:r w:rsidRPr="009F3167">
        <w:rPr>
          <w:snapToGrid/>
          <w:lang w:eastAsia="en-AU"/>
        </w:rPr>
        <w:t>s e</w:t>
      </w:r>
      <w:r w:rsidR="00CC2D90" w:rsidRPr="009F3167">
        <w:rPr>
          <w:snapToGrid/>
          <w:lang w:eastAsia="en-AU"/>
        </w:rPr>
        <w:t>stimated to be $</w:t>
      </w:r>
      <w:r w:rsidR="00CC2D90" w:rsidRPr="00BB7933">
        <w:rPr>
          <w:snapToGrid/>
          <w:lang w:eastAsia="en-AU"/>
        </w:rPr>
        <w:t>18,836</w:t>
      </w:r>
      <w:r w:rsidR="00CC2D90" w:rsidRPr="009F3167">
        <w:rPr>
          <w:snapToGrid/>
          <w:lang w:eastAsia="en-AU"/>
        </w:rPr>
        <w:t xml:space="preserve"> </w:t>
      </w:r>
      <w:r w:rsidR="00D20F18" w:rsidRPr="009F3167">
        <w:rPr>
          <w:snapToGrid/>
          <w:lang w:eastAsia="en-AU"/>
        </w:rPr>
        <w:t>for</w:t>
      </w:r>
      <w:r w:rsidR="00CC2D90" w:rsidRPr="009F3167">
        <w:rPr>
          <w:snapToGrid/>
          <w:lang w:eastAsia="en-AU"/>
        </w:rPr>
        <w:t xml:space="preserve"> maintenance</w:t>
      </w:r>
      <w:r w:rsidRPr="009F3167">
        <w:rPr>
          <w:snapToGrid/>
          <w:lang w:eastAsia="en-AU"/>
        </w:rPr>
        <w:t>.</w:t>
      </w:r>
    </w:p>
    <w:p w:rsidR="00CC2D90" w:rsidRPr="00AF65C5" w:rsidRDefault="00B60939" w:rsidP="00CA4AA0">
      <w:pPr>
        <w:pStyle w:val="Heading2"/>
        <w:spacing w:before="240" w:after="120"/>
      </w:pPr>
      <w:bookmarkStart w:id="23" w:name="_Toc503212802"/>
      <w:r w:rsidRPr="00AF65C5">
        <w:t>Estimated PBS usage &amp; financial implications</w:t>
      </w:r>
      <w:bookmarkEnd w:id="23"/>
    </w:p>
    <w:p w:rsidR="009305AF" w:rsidRPr="009F3167" w:rsidRDefault="00C25D9C" w:rsidP="00AD7389">
      <w:pPr>
        <w:pStyle w:val="ListParagraph"/>
        <w:widowControl/>
        <w:numPr>
          <w:ilvl w:val="1"/>
          <w:numId w:val="3"/>
        </w:numPr>
      </w:pPr>
      <w:r w:rsidRPr="009F3167">
        <w:t xml:space="preserve">This submission </w:t>
      </w:r>
      <w:r w:rsidR="00D804B1">
        <w:t>was</w:t>
      </w:r>
      <w:r w:rsidR="00D804B1" w:rsidRPr="009F3167">
        <w:t xml:space="preserve"> </w:t>
      </w:r>
      <w:r w:rsidRPr="009F3167">
        <w:t xml:space="preserve">not considered by DUSC.  </w:t>
      </w:r>
      <w:r w:rsidR="007A6800" w:rsidRPr="009F3167">
        <w:t>The submission used a market share approach to estimate the financia</w:t>
      </w:r>
      <w:r w:rsidR="00F45B71" w:rsidRPr="009F3167">
        <w:t>l implications of listing of guselkumab</w:t>
      </w:r>
      <w:r w:rsidR="007A6800" w:rsidRPr="009F3167">
        <w:t xml:space="preserve"> for CPP.  Historical PBS usage data were used to estimate the number of </w:t>
      </w:r>
      <w:r w:rsidR="008A555F">
        <w:t>prescriptions</w:t>
      </w:r>
      <w:r w:rsidR="008A555F" w:rsidRPr="009F3167">
        <w:t xml:space="preserve"> </w:t>
      </w:r>
      <w:r w:rsidR="007A6800" w:rsidRPr="009F3167">
        <w:t>for all listed bDMARDs and to project uti</w:t>
      </w:r>
      <w:r w:rsidR="009305AF" w:rsidRPr="009F3167">
        <w:t>lisations in the next six years</w:t>
      </w:r>
      <w:r w:rsidR="007A6800" w:rsidRPr="009F3167">
        <w:t xml:space="preserve"> </w:t>
      </w:r>
      <w:r w:rsidR="009305AF" w:rsidRPr="009F3167">
        <w:t xml:space="preserve">as </w:t>
      </w:r>
      <w:r w:rsidR="007A6800" w:rsidRPr="009F3167">
        <w:t xml:space="preserve">summarised in Table </w:t>
      </w:r>
      <w:r w:rsidR="00CC2D90" w:rsidRPr="009F3167">
        <w:t>9</w:t>
      </w:r>
      <w:r w:rsidR="009305AF" w:rsidRPr="009F3167">
        <w:t>.  The key assumptions in the submission’s estimates were:</w:t>
      </w:r>
    </w:p>
    <w:p w:rsidR="009305AF" w:rsidRPr="009F3167" w:rsidRDefault="00F45B71" w:rsidP="00E234BD">
      <w:pPr>
        <w:pStyle w:val="ListParagraph"/>
        <w:widowControl/>
        <w:numPr>
          <w:ilvl w:val="0"/>
          <w:numId w:val="25"/>
        </w:numPr>
        <w:spacing w:after="0"/>
        <w:ind w:left="993"/>
      </w:pPr>
      <w:r w:rsidRPr="009F3167">
        <w:t>Guselkumab would only substitute for ustekinumab</w:t>
      </w:r>
      <w:r w:rsidR="009305AF" w:rsidRPr="009F3167">
        <w:t xml:space="preserve"> </w:t>
      </w:r>
      <w:r w:rsidR="00FC7EDC" w:rsidRPr="009F3167">
        <w:t>(</w:t>
      </w:r>
      <w:r w:rsidR="00F87F3F">
        <w:rPr>
          <w:noProof/>
          <w:color w:val="000000"/>
          <w:highlight w:val="black"/>
        </w:rPr>
        <w:t>'''''</w:t>
      </w:r>
      <w:r w:rsidR="00FC7EDC" w:rsidRPr="009F3167">
        <w:t xml:space="preserve">% of project utilisations in Year 1 and </w:t>
      </w:r>
      <w:r w:rsidR="00F87F3F">
        <w:rPr>
          <w:noProof/>
          <w:color w:val="000000"/>
          <w:highlight w:val="black"/>
        </w:rPr>
        <w:t>'''''</w:t>
      </w:r>
      <w:r w:rsidR="00FC7EDC" w:rsidRPr="009F3167">
        <w:t xml:space="preserve">% from Year 2 onwards) </w:t>
      </w:r>
      <w:r w:rsidRPr="009F3167">
        <w:t>and adalimumab</w:t>
      </w:r>
      <w:r w:rsidR="00FC7EDC" w:rsidRPr="009F3167">
        <w:t xml:space="preserve"> (</w:t>
      </w:r>
      <w:r w:rsidR="00F87F3F">
        <w:rPr>
          <w:noProof/>
          <w:color w:val="000000"/>
          <w:highlight w:val="black"/>
        </w:rPr>
        <w:t>'''''</w:t>
      </w:r>
      <w:r w:rsidR="00FC7EDC" w:rsidRPr="009F3167">
        <w:t xml:space="preserve">% in Year 1 and </w:t>
      </w:r>
      <w:r w:rsidR="00F87F3F">
        <w:rPr>
          <w:noProof/>
          <w:color w:val="000000"/>
          <w:highlight w:val="black"/>
        </w:rPr>
        <w:t>'''''</w:t>
      </w:r>
      <w:r w:rsidR="00FC7EDC" w:rsidRPr="009F3167">
        <w:t>% from Year 2 onwards)</w:t>
      </w:r>
      <w:r w:rsidR="009305AF" w:rsidRPr="009F3167">
        <w:t>,</w:t>
      </w:r>
    </w:p>
    <w:p w:rsidR="009305AF" w:rsidRPr="009F3167" w:rsidRDefault="009305AF" w:rsidP="00E234BD">
      <w:pPr>
        <w:pStyle w:val="ListParagraph"/>
        <w:widowControl/>
        <w:numPr>
          <w:ilvl w:val="0"/>
          <w:numId w:val="25"/>
        </w:numPr>
        <w:spacing w:after="0"/>
        <w:ind w:left="993"/>
      </w:pPr>
      <w:r w:rsidRPr="009F3167">
        <w:t>The requested listing would not increase the current growth of bDMARDs for CPP,</w:t>
      </w:r>
    </w:p>
    <w:p w:rsidR="009305AF" w:rsidRPr="009F3167" w:rsidRDefault="00F45B71" w:rsidP="00E234BD">
      <w:pPr>
        <w:pStyle w:val="ListParagraph"/>
        <w:widowControl/>
        <w:numPr>
          <w:ilvl w:val="0"/>
          <w:numId w:val="25"/>
        </w:numPr>
        <w:spacing w:after="0"/>
        <w:ind w:left="993"/>
      </w:pPr>
      <w:r w:rsidRPr="009F3167">
        <w:t>The reduction in costs for ustekinumab, adalimumab was</w:t>
      </w:r>
      <w:r w:rsidR="00FC7EDC" w:rsidRPr="009F3167">
        <w:t xml:space="preserve"> estimated based on the average published DPMQs.</w:t>
      </w:r>
    </w:p>
    <w:p w:rsidR="00AD7389" w:rsidRPr="009F3167" w:rsidRDefault="00AD7389" w:rsidP="00AD7389">
      <w:pPr>
        <w:pStyle w:val="ListParagraph"/>
        <w:widowControl/>
        <w:spacing w:after="0"/>
        <w:ind w:left="993"/>
      </w:pPr>
    </w:p>
    <w:p w:rsidR="00897766" w:rsidRPr="009F3167" w:rsidRDefault="00897766" w:rsidP="00CC2D90">
      <w:pPr>
        <w:widowControl/>
      </w:pPr>
      <w:r w:rsidRPr="009F3167">
        <w:rPr>
          <w:rStyle w:val="CommentReference"/>
        </w:rPr>
        <w:t xml:space="preserve">Table </w:t>
      </w:r>
      <w:r w:rsidR="00CC2D90" w:rsidRPr="009F3167">
        <w:rPr>
          <w:rStyle w:val="CommentReference"/>
        </w:rPr>
        <w:t>9</w:t>
      </w:r>
      <w:r w:rsidR="007A6800" w:rsidRPr="009F3167">
        <w:rPr>
          <w:rStyle w:val="CommentReference"/>
        </w:rPr>
        <w:t>:</w:t>
      </w:r>
      <w:r w:rsidRPr="009F3167">
        <w:rPr>
          <w:rStyle w:val="CommentReference"/>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8"/>
        <w:gridCol w:w="1091"/>
        <w:gridCol w:w="1092"/>
        <w:gridCol w:w="1094"/>
        <w:gridCol w:w="1092"/>
        <w:gridCol w:w="1092"/>
        <w:gridCol w:w="1094"/>
      </w:tblGrid>
      <w:tr w:rsidR="009305AF" w:rsidRPr="006A6B13" w:rsidTr="006A6B13">
        <w:trPr>
          <w:tblHeader/>
        </w:trPr>
        <w:tc>
          <w:tcPr>
            <w:tcW w:w="1392" w:type="pct"/>
            <w:shd w:val="clear" w:color="auto" w:fill="auto"/>
            <w:vAlign w:val="center"/>
          </w:tcPr>
          <w:p w:rsidR="00897766" w:rsidRPr="006A6B13" w:rsidRDefault="00897766" w:rsidP="00734DF9">
            <w:pPr>
              <w:pStyle w:val="Tabletext"/>
              <w:rPr>
                <w:szCs w:val="20"/>
              </w:rPr>
            </w:pPr>
          </w:p>
        </w:tc>
        <w:tc>
          <w:tcPr>
            <w:tcW w:w="601" w:type="pct"/>
            <w:shd w:val="clear" w:color="auto" w:fill="auto"/>
            <w:vAlign w:val="center"/>
          </w:tcPr>
          <w:p w:rsidR="00897766" w:rsidRPr="006A6B13" w:rsidRDefault="00897766" w:rsidP="00734DF9">
            <w:pPr>
              <w:pStyle w:val="Tabletext"/>
              <w:jc w:val="center"/>
              <w:rPr>
                <w:b/>
                <w:szCs w:val="20"/>
              </w:rPr>
            </w:pPr>
            <w:r w:rsidRPr="006A6B13">
              <w:rPr>
                <w:b/>
                <w:szCs w:val="20"/>
              </w:rPr>
              <w:t>Year 1</w:t>
            </w:r>
          </w:p>
        </w:tc>
        <w:tc>
          <w:tcPr>
            <w:tcW w:w="601" w:type="pct"/>
            <w:shd w:val="clear" w:color="auto" w:fill="auto"/>
            <w:vAlign w:val="center"/>
          </w:tcPr>
          <w:p w:rsidR="00897766" w:rsidRPr="006A6B13" w:rsidRDefault="00897766" w:rsidP="00734DF9">
            <w:pPr>
              <w:pStyle w:val="Tabletext"/>
              <w:jc w:val="center"/>
              <w:rPr>
                <w:b/>
                <w:szCs w:val="20"/>
              </w:rPr>
            </w:pPr>
            <w:r w:rsidRPr="006A6B13">
              <w:rPr>
                <w:b/>
                <w:szCs w:val="20"/>
              </w:rPr>
              <w:t>Year 2</w:t>
            </w:r>
          </w:p>
        </w:tc>
        <w:tc>
          <w:tcPr>
            <w:tcW w:w="602" w:type="pct"/>
            <w:shd w:val="clear" w:color="auto" w:fill="auto"/>
            <w:vAlign w:val="center"/>
          </w:tcPr>
          <w:p w:rsidR="00897766" w:rsidRPr="006A6B13" w:rsidRDefault="00897766" w:rsidP="00734DF9">
            <w:pPr>
              <w:pStyle w:val="Tabletext"/>
              <w:jc w:val="center"/>
              <w:rPr>
                <w:b/>
                <w:szCs w:val="20"/>
              </w:rPr>
            </w:pPr>
            <w:r w:rsidRPr="006A6B13">
              <w:rPr>
                <w:b/>
                <w:szCs w:val="20"/>
              </w:rPr>
              <w:t>Year 3</w:t>
            </w:r>
          </w:p>
        </w:tc>
        <w:tc>
          <w:tcPr>
            <w:tcW w:w="601" w:type="pct"/>
            <w:shd w:val="clear" w:color="auto" w:fill="auto"/>
            <w:vAlign w:val="center"/>
          </w:tcPr>
          <w:p w:rsidR="00897766" w:rsidRPr="006A6B13" w:rsidRDefault="00897766" w:rsidP="00734DF9">
            <w:pPr>
              <w:pStyle w:val="Tabletext"/>
              <w:jc w:val="center"/>
              <w:rPr>
                <w:b/>
                <w:szCs w:val="20"/>
              </w:rPr>
            </w:pPr>
            <w:r w:rsidRPr="006A6B13">
              <w:rPr>
                <w:b/>
                <w:szCs w:val="20"/>
              </w:rPr>
              <w:t>Year 4</w:t>
            </w:r>
          </w:p>
        </w:tc>
        <w:tc>
          <w:tcPr>
            <w:tcW w:w="601" w:type="pct"/>
            <w:shd w:val="clear" w:color="auto" w:fill="auto"/>
            <w:vAlign w:val="center"/>
          </w:tcPr>
          <w:p w:rsidR="00897766" w:rsidRPr="006A6B13" w:rsidRDefault="00897766" w:rsidP="00734DF9">
            <w:pPr>
              <w:pStyle w:val="Tabletext"/>
              <w:jc w:val="center"/>
              <w:rPr>
                <w:b/>
                <w:szCs w:val="20"/>
              </w:rPr>
            </w:pPr>
            <w:r w:rsidRPr="006A6B13">
              <w:rPr>
                <w:b/>
                <w:szCs w:val="20"/>
              </w:rPr>
              <w:t>Year 5</w:t>
            </w:r>
          </w:p>
        </w:tc>
        <w:tc>
          <w:tcPr>
            <w:tcW w:w="602" w:type="pct"/>
          </w:tcPr>
          <w:p w:rsidR="00897766" w:rsidRPr="006A6B13" w:rsidRDefault="00897766" w:rsidP="00734DF9">
            <w:pPr>
              <w:pStyle w:val="Tabletext"/>
              <w:jc w:val="center"/>
              <w:rPr>
                <w:b/>
                <w:szCs w:val="20"/>
              </w:rPr>
            </w:pPr>
            <w:r w:rsidRPr="006A6B13">
              <w:rPr>
                <w:b/>
                <w:szCs w:val="20"/>
              </w:rPr>
              <w:t>Year 6</w:t>
            </w:r>
          </w:p>
        </w:tc>
      </w:tr>
      <w:tr w:rsidR="00897766" w:rsidRPr="006A6B13" w:rsidTr="006A6B13">
        <w:tc>
          <w:tcPr>
            <w:tcW w:w="5000" w:type="pct"/>
            <w:gridSpan w:val="7"/>
            <w:shd w:val="clear" w:color="auto" w:fill="auto"/>
            <w:vAlign w:val="center"/>
          </w:tcPr>
          <w:p w:rsidR="00897766" w:rsidRPr="006A6B13" w:rsidRDefault="00897766" w:rsidP="00734DF9">
            <w:pPr>
              <w:pStyle w:val="Tabletext"/>
              <w:rPr>
                <w:b/>
                <w:bCs/>
                <w:color w:val="000000"/>
                <w:szCs w:val="20"/>
              </w:rPr>
            </w:pPr>
            <w:r w:rsidRPr="006A6B13">
              <w:rPr>
                <w:b/>
                <w:bCs/>
                <w:color w:val="000000"/>
                <w:szCs w:val="20"/>
              </w:rPr>
              <w:t>Estimated extent of use</w:t>
            </w:r>
          </w:p>
        </w:tc>
      </w:tr>
      <w:tr w:rsidR="009305AF" w:rsidRPr="006A6B13" w:rsidTr="006A6B13">
        <w:tc>
          <w:tcPr>
            <w:tcW w:w="1392" w:type="pct"/>
            <w:shd w:val="clear" w:color="auto" w:fill="auto"/>
            <w:vAlign w:val="center"/>
          </w:tcPr>
          <w:p w:rsidR="00897766" w:rsidRPr="006A6B13" w:rsidRDefault="00897766" w:rsidP="00734DF9">
            <w:pPr>
              <w:pStyle w:val="Tabletext"/>
              <w:rPr>
                <w:rFonts w:ascii="Times" w:hAnsi="Times"/>
                <w:szCs w:val="20"/>
              </w:rPr>
            </w:pPr>
            <w:r w:rsidRPr="006A6B13">
              <w:rPr>
                <w:szCs w:val="20"/>
              </w:rPr>
              <w:t xml:space="preserve">Number of scripts </w:t>
            </w:r>
            <w:proofErr w:type="spellStart"/>
            <w:r w:rsidRPr="006A6B13">
              <w:rPr>
                <w:szCs w:val="20"/>
              </w:rPr>
              <w:t>dispensed</w:t>
            </w:r>
            <w:r w:rsidRPr="006A6B13">
              <w:rPr>
                <w:szCs w:val="20"/>
                <w:vertAlign w:val="superscript"/>
              </w:rPr>
              <w:t>a,b</w:t>
            </w:r>
            <w:proofErr w:type="spellEnd"/>
          </w:p>
        </w:tc>
        <w:tc>
          <w:tcPr>
            <w:tcW w:w="601" w:type="pct"/>
            <w:shd w:val="clear" w:color="auto" w:fill="auto"/>
            <w:vAlign w:val="center"/>
          </w:tcPr>
          <w:p w:rsidR="00897766" w:rsidRPr="00F87F3F" w:rsidRDefault="00F87F3F" w:rsidP="009305AF">
            <w:pPr>
              <w:pStyle w:val="Tabletext"/>
              <w:jc w:val="center"/>
              <w:rPr>
                <w:bCs/>
                <w:color w:val="000000"/>
                <w:szCs w:val="20"/>
                <w:highlight w:val="black"/>
              </w:rPr>
            </w:pPr>
            <w:r>
              <w:rPr>
                <w:bCs/>
                <w:i/>
                <w:iCs/>
                <w:noProof/>
                <w:color w:val="000000"/>
                <w:szCs w:val="20"/>
                <w:highlight w:val="black"/>
              </w:rPr>
              <w:t>''''''''''''''</w:t>
            </w:r>
          </w:p>
        </w:tc>
        <w:tc>
          <w:tcPr>
            <w:tcW w:w="601" w:type="pct"/>
            <w:shd w:val="clear" w:color="auto" w:fill="auto"/>
            <w:vAlign w:val="center"/>
          </w:tcPr>
          <w:p w:rsidR="00897766" w:rsidRPr="00F87F3F" w:rsidRDefault="00F87F3F" w:rsidP="009305AF">
            <w:pPr>
              <w:pStyle w:val="Tabletext"/>
              <w:jc w:val="center"/>
              <w:rPr>
                <w:bCs/>
                <w:color w:val="000000"/>
                <w:szCs w:val="20"/>
                <w:highlight w:val="black"/>
              </w:rPr>
            </w:pPr>
            <w:r>
              <w:rPr>
                <w:bCs/>
                <w:i/>
                <w:iCs/>
                <w:noProof/>
                <w:color w:val="000000"/>
                <w:szCs w:val="20"/>
                <w:highlight w:val="black"/>
              </w:rPr>
              <w:t>''''''''''''''''</w:t>
            </w:r>
          </w:p>
        </w:tc>
        <w:tc>
          <w:tcPr>
            <w:tcW w:w="602" w:type="pct"/>
            <w:shd w:val="clear" w:color="auto" w:fill="auto"/>
            <w:vAlign w:val="center"/>
          </w:tcPr>
          <w:p w:rsidR="00897766" w:rsidRPr="00F87F3F" w:rsidRDefault="00F87F3F" w:rsidP="009305AF">
            <w:pPr>
              <w:pStyle w:val="Tabletext"/>
              <w:jc w:val="center"/>
              <w:rPr>
                <w:bCs/>
                <w:color w:val="000000"/>
                <w:szCs w:val="20"/>
                <w:highlight w:val="black"/>
              </w:rPr>
            </w:pPr>
            <w:r>
              <w:rPr>
                <w:bCs/>
                <w:i/>
                <w:iCs/>
                <w:noProof/>
                <w:color w:val="000000"/>
                <w:szCs w:val="20"/>
                <w:highlight w:val="black"/>
              </w:rPr>
              <w:t>'''''''''''''''</w:t>
            </w:r>
          </w:p>
        </w:tc>
        <w:tc>
          <w:tcPr>
            <w:tcW w:w="601" w:type="pct"/>
            <w:shd w:val="clear" w:color="auto" w:fill="auto"/>
            <w:vAlign w:val="center"/>
          </w:tcPr>
          <w:p w:rsidR="00897766" w:rsidRPr="00F87F3F" w:rsidRDefault="00F87F3F" w:rsidP="009305AF">
            <w:pPr>
              <w:pStyle w:val="Tabletext"/>
              <w:jc w:val="center"/>
              <w:rPr>
                <w:bCs/>
                <w:color w:val="000000"/>
                <w:szCs w:val="20"/>
                <w:highlight w:val="black"/>
              </w:rPr>
            </w:pPr>
            <w:r>
              <w:rPr>
                <w:bCs/>
                <w:i/>
                <w:iCs/>
                <w:noProof/>
                <w:color w:val="000000"/>
                <w:szCs w:val="20"/>
                <w:highlight w:val="black"/>
              </w:rPr>
              <w:t>''''''''''''''''''</w:t>
            </w:r>
          </w:p>
        </w:tc>
        <w:tc>
          <w:tcPr>
            <w:tcW w:w="601" w:type="pct"/>
            <w:shd w:val="clear" w:color="auto" w:fill="auto"/>
            <w:vAlign w:val="center"/>
          </w:tcPr>
          <w:p w:rsidR="00897766" w:rsidRPr="00F87F3F" w:rsidRDefault="00F87F3F" w:rsidP="009305AF">
            <w:pPr>
              <w:pStyle w:val="Tabletext"/>
              <w:jc w:val="center"/>
              <w:rPr>
                <w:bCs/>
                <w:color w:val="000000"/>
                <w:szCs w:val="20"/>
                <w:highlight w:val="black"/>
              </w:rPr>
            </w:pPr>
            <w:r>
              <w:rPr>
                <w:bCs/>
                <w:i/>
                <w:iCs/>
                <w:noProof/>
                <w:color w:val="000000"/>
                <w:szCs w:val="20"/>
                <w:highlight w:val="black"/>
              </w:rPr>
              <w:t>'''''''''''''''''</w:t>
            </w:r>
          </w:p>
        </w:tc>
        <w:tc>
          <w:tcPr>
            <w:tcW w:w="602" w:type="pct"/>
            <w:vAlign w:val="center"/>
          </w:tcPr>
          <w:p w:rsidR="00897766" w:rsidRPr="00F87F3F" w:rsidRDefault="00F87F3F" w:rsidP="009305AF">
            <w:pPr>
              <w:pStyle w:val="Tabletext"/>
              <w:jc w:val="center"/>
              <w:rPr>
                <w:bCs/>
                <w:color w:val="000000"/>
                <w:szCs w:val="20"/>
                <w:highlight w:val="black"/>
              </w:rPr>
            </w:pPr>
            <w:r>
              <w:rPr>
                <w:bCs/>
                <w:i/>
                <w:iCs/>
                <w:noProof/>
                <w:color w:val="000000"/>
                <w:szCs w:val="20"/>
                <w:highlight w:val="black"/>
              </w:rPr>
              <w:t>''''''''''''''''</w:t>
            </w:r>
          </w:p>
        </w:tc>
      </w:tr>
      <w:tr w:rsidR="00897766" w:rsidRPr="006A6B13" w:rsidTr="006A6B13">
        <w:tc>
          <w:tcPr>
            <w:tcW w:w="5000" w:type="pct"/>
            <w:gridSpan w:val="7"/>
            <w:shd w:val="clear" w:color="auto" w:fill="auto"/>
            <w:vAlign w:val="center"/>
          </w:tcPr>
          <w:p w:rsidR="00897766" w:rsidRPr="006A6B13" w:rsidRDefault="00897766" w:rsidP="00734DF9">
            <w:pPr>
              <w:pStyle w:val="Tabletext"/>
              <w:rPr>
                <w:b/>
                <w:bCs/>
                <w:color w:val="000000"/>
                <w:szCs w:val="20"/>
              </w:rPr>
            </w:pPr>
            <w:r w:rsidRPr="006A6B13">
              <w:rPr>
                <w:b/>
                <w:bCs/>
                <w:color w:val="000000"/>
                <w:szCs w:val="20"/>
              </w:rPr>
              <w:t>Estimated financial implications of GUS</w:t>
            </w:r>
          </w:p>
        </w:tc>
      </w:tr>
      <w:tr w:rsidR="009305AF" w:rsidRPr="006A6B13" w:rsidTr="006A6B13">
        <w:tc>
          <w:tcPr>
            <w:tcW w:w="1392" w:type="pct"/>
            <w:shd w:val="clear" w:color="auto" w:fill="auto"/>
            <w:vAlign w:val="center"/>
          </w:tcPr>
          <w:p w:rsidR="00897766" w:rsidRPr="006A6B13" w:rsidRDefault="00897766" w:rsidP="00734DF9">
            <w:pPr>
              <w:pStyle w:val="Tabletext"/>
              <w:rPr>
                <w:rFonts w:ascii="Times" w:hAnsi="Times"/>
                <w:szCs w:val="20"/>
              </w:rPr>
            </w:pPr>
            <w:r w:rsidRPr="006A6B13">
              <w:rPr>
                <w:szCs w:val="20"/>
              </w:rPr>
              <w:t>Cost to PBS/RPBS</w:t>
            </w:r>
          </w:p>
        </w:tc>
        <w:tc>
          <w:tcPr>
            <w:tcW w:w="601" w:type="pct"/>
            <w:shd w:val="clear" w:color="auto" w:fill="auto"/>
            <w:vAlign w:val="center"/>
          </w:tcPr>
          <w:p w:rsidR="00897766" w:rsidRPr="006A6B13" w:rsidRDefault="00897766" w:rsidP="00734DF9">
            <w:pPr>
              <w:pStyle w:val="Tabletext"/>
              <w:jc w:val="center"/>
              <w:rPr>
                <w:bCs/>
                <w:color w:val="000000"/>
                <w:szCs w:val="20"/>
              </w:rPr>
            </w:pPr>
            <w:r w:rsidRPr="006A6B13">
              <w:rPr>
                <w:i/>
                <w:iCs/>
                <w:szCs w:val="20"/>
              </w:rPr>
              <w:t>$</w:t>
            </w:r>
            <w:r w:rsidR="00F87F3F">
              <w:rPr>
                <w:i/>
                <w:iCs/>
                <w:noProof/>
                <w:color w:val="000000"/>
                <w:szCs w:val="20"/>
                <w:highlight w:val="black"/>
              </w:rPr>
              <w:t>''''''''''''''''''''''''</w:t>
            </w:r>
          </w:p>
        </w:tc>
        <w:tc>
          <w:tcPr>
            <w:tcW w:w="601" w:type="pct"/>
            <w:shd w:val="clear" w:color="auto" w:fill="auto"/>
            <w:vAlign w:val="center"/>
          </w:tcPr>
          <w:p w:rsidR="00897766" w:rsidRPr="006A6B13" w:rsidRDefault="00897766" w:rsidP="00734DF9">
            <w:pPr>
              <w:pStyle w:val="Tabletext"/>
              <w:jc w:val="center"/>
              <w:rPr>
                <w:bCs/>
                <w:color w:val="000000"/>
                <w:szCs w:val="20"/>
              </w:rPr>
            </w:pPr>
            <w:r w:rsidRPr="006A6B13">
              <w:rPr>
                <w:i/>
                <w:iCs/>
                <w:szCs w:val="20"/>
              </w:rPr>
              <w:t>$</w:t>
            </w:r>
            <w:r w:rsidR="00F87F3F">
              <w:rPr>
                <w:i/>
                <w:iCs/>
                <w:noProof/>
                <w:color w:val="000000"/>
                <w:szCs w:val="20"/>
                <w:highlight w:val="black"/>
              </w:rPr>
              <w:t>''''''''''''''''''''''''''''</w:t>
            </w:r>
          </w:p>
        </w:tc>
        <w:tc>
          <w:tcPr>
            <w:tcW w:w="602" w:type="pct"/>
            <w:shd w:val="clear" w:color="auto" w:fill="auto"/>
            <w:vAlign w:val="center"/>
          </w:tcPr>
          <w:p w:rsidR="00897766" w:rsidRPr="006A6B13" w:rsidRDefault="00897766" w:rsidP="00734DF9">
            <w:pPr>
              <w:pStyle w:val="Tabletext"/>
              <w:jc w:val="center"/>
              <w:rPr>
                <w:bCs/>
                <w:color w:val="000000"/>
                <w:szCs w:val="20"/>
              </w:rPr>
            </w:pPr>
            <w:r w:rsidRPr="006A6B13">
              <w:rPr>
                <w:i/>
                <w:iCs/>
                <w:szCs w:val="20"/>
              </w:rPr>
              <w:t>$</w:t>
            </w:r>
            <w:r w:rsidR="00F87F3F">
              <w:rPr>
                <w:i/>
                <w:iCs/>
                <w:noProof/>
                <w:color w:val="000000"/>
                <w:szCs w:val="20"/>
                <w:highlight w:val="black"/>
              </w:rPr>
              <w:t>'''''''''''''''''''''''''''</w:t>
            </w:r>
          </w:p>
        </w:tc>
        <w:tc>
          <w:tcPr>
            <w:tcW w:w="601" w:type="pct"/>
            <w:shd w:val="clear" w:color="auto" w:fill="auto"/>
            <w:vAlign w:val="center"/>
          </w:tcPr>
          <w:p w:rsidR="00897766" w:rsidRPr="006A6B13" w:rsidRDefault="00897766" w:rsidP="00734DF9">
            <w:pPr>
              <w:pStyle w:val="Tabletext"/>
              <w:jc w:val="center"/>
              <w:rPr>
                <w:bCs/>
                <w:color w:val="000000"/>
                <w:szCs w:val="20"/>
              </w:rPr>
            </w:pPr>
            <w:r w:rsidRPr="006A6B13">
              <w:rPr>
                <w:i/>
                <w:iCs/>
                <w:szCs w:val="20"/>
              </w:rPr>
              <w:t>$</w:t>
            </w:r>
            <w:r w:rsidR="00F87F3F">
              <w:rPr>
                <w:i/>
                <w:iCs/>
                <w:noProof/>
                <w:color w:val="000000"/>
                <w:szCs w:val="20"/>
                <w:highlight w:val="black"/>
              </w:rPr>
              <w:t>'''''''''''''''''''''''''</w:t>
            </w:r>
          </w:p>
        </w:tc>
        <w:tc>
          <w:tcPr>
            <w:tcW w:w="601" w:type="pct"/>
            <w:shd w:val="clear" w:color="auto" w:fill="auto"/>
            <w:vAlign w:val="center"/>
          </w:tcPr>
          <w:p w:rsidR="00897766" w:rsidRPr="006A6B13" w:rsidRDefault="00897766" w:rsidP="00734DF9">
            <w:pPr>
              <w:pStyle w:val="Tabletext"/>
              <w:jc w:val="center"/>
              <w:rPr>
                <w:bCs/>
                <w:color w:val="000000"/>
                <w:szCs w:val="20"/>
              </w:rPr>
            </w:pPr>
            <w:r w:rsidRPr="006A6B13">
              <w:rPr>
                <w:i/>
                <w:iCs/>
                <w:szCs w:val="20"/>
              </w:rPr>
              <w:t>$</w:t>
            </w:r>
            <w:r w:rsidR="00F87F3F">
              <w:rPr>
                <w:i/>
                <w:iCs/>
                <w:noProof/>
                <w:color w:val="000000"/>
                <w:szCs w:val="20"/>
                <w:highlight w:val="black"/>
              </w:rPr>
              <w:t>'''''''''''''''''''''''</w:t>
            </w:r>
          </w:p>
        </w:tc>
        <w:tc>
          <w:tcPr>
            <w:tcW w:w="602" w:type="pct"/>
            <w:shd w:val="clear" w:color="auto" w:fill="auto"/>
            <w:vAlign w:val="center"/>
          </w:tcPr>
          <w:p w:rsidR="00897766" w:rsidRPr="006A6B13" w:rsidRDefault="00897766" w:rsidP="00734DF9">
            <w:pPr>
              <w:pStyle w:val="Tabletext"/>
              <w:jc w:val="center"/>
              <w:rPr>
                <w:bCs/>
                <w:color w:val="000000"/>
                <w:szCs w:val="20"/>
              </w:rPr>
            </w:pPr>
            <w:r w:rsidRPr="006A6B13">
              <w:rPr>
                <w:i/>
                <w:iCs/>
                <w:szCs w:val="20"/>
              </w:rPr>
              <w:t>$</w:t>
            </w:r>
            <w:r w:rsidR="00F87F3F">
              <w:rPr>
                <w:i/>
                <w:iCs/>
                <w:noProof/>
                <w:color w:val="000000"/>
                <w:szCs w:val="20"/>
                <w:highlight w:val="black"/>
              </w:rPr>
              <w:t>'''''''''''''''''''''''''</w:t>
            </w:r>
          </w:p>
        </w:tc>
      </w:tr>
      <w:tr w:rsidR="009305AF" w:rsidRPr="006A6B13" w:rsidTr="006A6B13">
        <w:tc>
          <w:tcPr>
            <w:tcW w:w="1392" w:type="pct"/>
            <w:shd w:val="clear" w:color="auto" w:fill="auto"/>
            <w:vAlign w:val="center"/>
          </w:tcPr>
          <w:p w:rsidR="00897766" w:rsidRPr="006A6B13" w:rsidRDefault="00897766" w:rsidP="00734DF9">
            <w:pPr>
              <w:pStyle w:val="Tabletext"/>
              <w:rPr>
                <w:szCs w:val="20"/>
              </w:rPr>
            </w:pPr>
            <w:r w:rsidRPr="006A6B13">
              <w:rPr>
                <w:szCs w:val="20"/>
              </w:rPr>
              <w:t xml:space="preserve">Cost to PBS/RPBS less </w:t>
            </w:r>
            <w:r w:rsidR="00EC3E0F" w:rsidRPr="006A6B13">
              <w:rPr>
                <w:szCs w:val="20"/>
              </w:rPr>
              <w:t>co-payments</w:t>
            </w:r>
          </w:p>
        </w:tc>
        <w:tc>
          <w:tcPr>
            <w:tcW w:w="601" w:type="pct"/>
            <w:shd w:val="clear" w:color="auto" w:fill="auto"/>
            <w:vAlign w:val="center"/>
          </w:tcPr>
          <w:p w:rsidR="00897766" w:rsidRPr="006A6B13" w:rsidRDefault="00897766" w:rsidP="00734DF9">
            <w:pPr>
              <w:pStyle w:val="Tabletext"/>
              <w:jc w:val="center"/>
              <w:rPr>
                <w:color w:val="000000"/>
                <w:szCs w:val="20"/>
              </w:rPr>
            </w:pPr>
            <w:r w:rsidRPr="006A6B13">
              <w:rPr>
                <w:i/>
                <w:iCs/>
                <w:szCs w:val="20"/>
              </w:rPr>
              <w:t>$</w:t>
            </w:r>
            <w:r w:rsidR="00F87F3F">
              <w:rPr>
                <w:i/>
                <w:iCs/>
                <w:noProof/>
                <w:color w:val="000000"/>
                <w:szCs w:val="20"/>
                <w:highlight w:val="black"/>
              </w:rPr>
              <w:t>''''''''''''''''''''''''''</w:t>
            </w:r>
          </w:p>
        </w:tc>
        <w:tc>
          <w:tcPr>
            <w:tcW w:w="601" w:type="pct"/>
            <w:shd w:val="clear" w:color="auto" w:fill="auto"/>
            <w:vAlign w:val="center"/>
          </w:tcPr>
          <w:p w:rsidR="00897766" w:rsidRPr="006A6B13" w:rsidRDefault="00897766" w:rsidP="00734DF9">
            <w:pPr>
              <w:pStyle w:val="Tabletext"/>
              <w:jc w:val="center"/>
              <w:rPr>
                <w:color w:val="000000"/>
                <w:szCs w:val="20"/>
              </w:rPr>
            </w:pPr>
            <w:r w:rsidRPr="006A6B13">
              <w:rPr>
                <w:i/>
                <w:iCs/>
                <w:szCs w:val="20"/>
              </w:rPr>
              <w:t>$</w:t>
            </w:r>
            <w:r w:rsidR="00F87F3F">
              <w:rPr>
                <w:i/>
                <w:iCs/>
                <w:noProof/>
                <w:color w:val="000000"/>
                <w:szCs w:val="20"/>
                <w:highlight w:val="black"/>
              </w:rPr>
              <w:t>'''''''''''''''''''''''''</w:t>
            </w:r>
          </w:p>
        </w:tc>
        <w:tc>
          <w:tcPr>
            <w:tcW w:w="602" w:type="pct"/>
            <w:shd w:val="clear" w:color="auto" w:fill="auto"/>
            <w:vAlign w:val="center"/>
          </w:tcPr>
          <w:p w:rsidR="00897766" w:rsidRPr="006A6B13" w:rsidRDefault="00897766" w:rsidP="00734DF9">
            <w:pPr>
              <w:pStyle w:val="Tabletext"/>
              <w:jc w:val="center"/>
              <w:rPr>
                <w:color w:val="000000"/>
                <w:szCs w:val="20"/>
              </w:rPr>
            </w:pPr>
            <w:r w:rsidRPr="006A6B13">
              <w:rPr>
                <w:i/>
                <w:iCs/>
                <w:szCs w:val="20"/>
              </w:rPr>
              <w:t>$</w:t>
            </w:r>
            <w:r w:rsidR="00F87F3F">
              <w:rPr>
                <w:i/>
                <w:iCs/>
                <w:noProof/>
                <w:color w:val="000000"/>
                <w:szCs w:val="20"/>
                <w:highlight w:val="black"/>
              </w:rPr>
              <w:t>''''''''''''''''''''''''''</w:t>
            </w:r>
          </w:p>
        </w:tc>
        <w:tc>
          <w:tcPr>
            <w:tcW w:w="601" w:type="pct"/>
            <w:shd w:val="clear" w:color="auto" w:fill="auto"/>
            <w:vAlign w:val="center"/>
          </w:tcPr>
          <w:p w:rsidR="00897766" w:rsidRPr="006A6B13" w:rsidRDefault="00897766" w:rsidP="00734DF9">
            <w:pPr>
              <w:pStyle w:val="Tabletext"/>
              <w:jc w:val="center"/>
              <w:rPr>
                <w:color w:val="000000"/>
                <w:szCs w:val="20"/>
              </w:rPr>
            </w:pPr>
            <w:r w:rsidRPr="006A6B13">
              <w:rPr>
                <w:i/>
                <w:iCs/>
                <w:szCs w:val="20"/>
              </w:rPr>
              <w:t>$</w:t>
            </w:r>
            <w:r w:rsidR="00F87F3F">
              <w:rPr>
                <w:i/>
                <w:iCs/>
                <w:noProof/>
                <w:color w:val="000000"/>
                <w:szCs w:val="20"/>
                <w:highlight w:val="black"/>
              </w:rPr>
              <w:t>''''''''''''''''''''''''''''</w:t>
            </w:r>
          </w:p>
        </w:tc>
        <w:tc>
          <w:tcPr>
            <w:tcW w:w="601" w:type="pct"/>
            <w:shd w:val="clear" w:color="auto" w:fill="auto"/>
            <w:vAlign w:val="center"/>
          </w:tcPr>
          <w:p w:rsidR="00897766" w:rsidRPr="006A6B13" w:rsidRDefault="00897766" w:rsidP="00734DF9">
            <w:pPr>
              <w:pStyle w:val="Tabletext"/>
              <w:jc w:val="center"/>
              <w:rPr>
                <w:color w:val="000000"/>
                <w:szCs w:val="20"/>
              </w:rPr>
            </w:pPr>
            <w:r w:rsidRPr="006A6B13">
              <w:rPr>
                <w:i/>
                <w:iCs/>
                <w:szCs w:val="20"/>
              </w:rPr>
              <w:t>$</w:t>
            </w:r>
            <w:r w:rsidR="00F87F3F">
              <w:rPr>
                <w:i/>
                <w:iCs/>
                <w:noProof/>
                <w:color w:val="000000"/>
                <w:szCs w:val="20"/>
                <w:highlight w:val="black"/>
              </w:rPr>
              <w:t>'''''''''''''''''''''''''''''</w:t>
            </w:r>
          </w:p>
        </w:tc>
        <w:tc>
          <w:tcPr>
            <w:tcW w:w="602" w:type="pct"/>
            <w:shd w:val="clear" w:color="auto" w:fill="auto"/>
            <w:vAlign w:val="center"/>
          </w:tcPr>
          <w:p w:rsidR="00897766" w:rsidRPr="006A6B13" w:rsidRDefault="00897766" w:rsidP="00734DF9">
            <w:pPr>
              <w:pStyle w:val="Tabletext"/>
              <w:jc w:val="center"/>
              <w:rPr>
                <w:color w:val="000000"/>
                <w:szCs w:val="20"/>
              </w:rPr>
            </w:pPr>
            <w:r w:rsidRPr="006A6B13">
              <w:rPr>
                <w:i/>
                <w:iCs/>
                <w:szCs w:val="20"/>
              </w:rPr>
              <w:t>$</w:t>
            </w:r>
            <w:r w:rsidR="00F87F3F">
              <w:rPr>
                <w:i/>
                <w:iCs/>
                <w:noProof/>
                <w:color w:val="000000"/>
                <w:szCs w:val="20"/>
                <w:highlight w:val="black"/>
              </w:rPr>
              <w:t>'''''''''''''''''''''''''''</w:t>
            </w:r>
          </w:p>
        </w:tc>
      </w:tr>
      <w:tr w:rsidR="00897766" w:rsidRPr="006A6B13" w:rsidTr="006A6B13">
        <w:tc>
          <w:tcPr>
            <w:tcW w:w="5000" w:type="pct"/>
            <w:gridSpan w:val="7"/>
            <w:shd w:val="clear" w:color="auto" w:fill="auto"/>
            <w:vAlign w:val="center"/>
          </w:tcPr>
          <w:p w:rsidR="00897766" w:rsidRPr="006A6B13" w:rsidRDefault="00897766" w:rsidP="00734DF9">
            <w:pPr>
              <w:pStyle w:val="Tabletext"/>
              <w:rPr>
                <w:bCs/>
                <w:color w:val="000000"/>
                <w:szCs w:val="20"/>
              </w:rPr>
            </w:pPr>
            <w:r w:rsidRPr="006A6B13">
              <w:rPr>
                <w:b/>
                <w:bCs/>
                <w:color w:val="000000"/>
                <w:szCs w:val="20"/>
              </w:rPr>
              <w:t>Estimated financial implications for UST and ADA</w:t>
            </w:r>
          </w:p>
        </w:tc>
      </w:tr>
      <w:tr w:rsidR="009305AF" w:rsidRPr="006A6B13" w:rsidTr="006A6B13">
        <w:tc>
          <w:tcPr>
            <w:tcW w:w="1392" w:type="pct"/>
            <w:shd w:val="clear" w:color="auto" w:fill="auto"/>
            <w:vAlign w:val="center"/>
          </w:tcPr>
          <w:p w:rsidR="00C845FB" w:rsidRPr="006A6B13" w:rsidRDefault="00C845FB" w:rsidP="00C845FB">
            <w:pPr>
              <w:pStyle w:val="Tabletext"/>
              <w:rPr>
                <w:szCs w:val="20"/>
              </w:rPr>
            </w:pPr>
            <w:r w:rsidRPr="006A6B13">
              <w:rPr>
                <w:szCs w:val="20"/>
              </w:rPr>
              <w:t>Cost to PBS/RPBS</w:t>
            </w:r>
          </w:p>
        </w:tc>
        <w:tc>
          <w:tcPr>
            <w:tcW w:w="601" w:type="pct"/>
            <w:tcBorders>
              <w:top w:val="single" w:sz="4" w:space="0" w:color="auto"/>
              <w:left w:val="nil"/>
              <w:bottom w:val="single" w:sz="4" w:space="0" w:color="auto"/>
              <w:right w:val="single" w:sz="4" w:space="0" w:color="auto"/>
            </w:tcBorders>
            <w:shd w:val="clear" w:color="000000" w:fill="FFFFFF"/>
            <w:vAlign w:val="bottom"/>
          </w:tcPr>
          <w:p w:rsidR="00C845FB" w:rsidRPr="006A6B13" w:rsidRDefault="00C845FB" w:rsidP="00C845FB">
            <w:pPr>
              <w:pStyle w:val="Tabletext"/>
              <w:jc w:val="center"/>
              <w:rPr>
                <w:bCs/>
                <w:color w:val="000000"/>
                <w:szCs w:val="20"/>
              </w:rPr>
            </w:pPr>
            <w:r w:rsidRPr="006A6B13">
              <w:rPr>
                <w:rFonts w:cs="Arial"/>
                <w:color w:val="000000"/>
                <w:szCs w:val="20"/>
              </w:rPr>
              <w:t>$</w:t>
            </w:r>
            <w:r w:rsidR="00F87F3F">
              <w:rPr>
                <w:rFonts w:cs="Arial"/>
                <w:noProof/>
                <w:color w:val="000000"/>
                <w:szCs w:val="20"/>
                <w:highlight w:val="black"/>
              </w:rPr>
              <w:t>'''''''''''''''''''''''''''''</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bottom"/>
          </w:tcPr>
          <w:p w:rsidR="00C845FB" w:rsidRPr="006A6B13" w:rsidRDefault="00C845FB" w:rsidP="00C845FB">
            <w:pPr>
              <w:pStyle w:val="Tabletext"/>
              <w:jc w:val="center"/>
              <w:rPr>
                <w:bCs/>
                <w:color w:val="000000"/>
                <w:szCs w:val="20"/>
              </w:rPr>
            </w:pPr>
            <w:r w:rsidRPr="006A6B13">
              <w:rPr>
                <w:rFonts w:cs="Arial"/>
                <w:color w:val="000000"/>
                <w:szCs w:val="20"/>
              </w:rPr>
              <w:t>$</w:t>
            </w:r>
            <w:r w:rsidR="00F87F3F">
              <w:rPr>
                <w:rFonts w:cs="Arial"/>
                <w:noProof/>
                <w:color w:val="000000"/>
                <w:szCs w:val="20"/>
                <w:highlight w:val="black"/>
              </w:rPr>
              <w:t>''''''''''''''''''''''''</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bottom"/>
          </w:tcPr>
          <w:p w:rsidR="00C845FB" w:rsidRPr="006A6B13" w:rsidRDefault="00C845FB" w:rsidP="00C845FB">
            <w:pPr>
              <w:pStyle w:val="Tabletext"/>
              <w:jc w:val="center"/>
              <w:rPr>
                <w:bCs/>
                <w:color w:val="000000"/>
                <w:szCs w:val="20"/>
              </w:rPr>
            </w:pPr>
            <w:r w:rsidRPr="006A6B13">
              <w:rPr>
                <w:rFonts w:cs="Arial"/>
                <w:color w:val="000000"/>
                <w:szCs w:val="20"/>
              </w:rPr>
              <w:t>$</w:t>
            </w:r>
            <w:r w:rsidR="00F87F3F">
              <w:rPr>
                <w:rFonts w:cs="Arial"/>
                <w:noProof/>
                <w:color w:val="000000"/>
                <w:szCs w:val="20"/>
                <w:highlight w:val="black"/>
              </w:rPr>
              <w:t>''''''''''''''''''''''''''''</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bottom"/>
          </w:tcPr>
          <w:p w:rsidR="00C845FB" w:rsidRPr="006A6B13" w:rsidRDefault="00C845FB" w:rsidP="00C845FB">
            <w:pPr>
              <w:pStyle w:val="Tabletext"/>
              <w:jc w:val="center"/>
              <w:rPr>
                <w:bCs/>
                <w:color w:val="000000"/>
                <w:szCs w:val="20"/>
              </w:rPr>
            </w:pPr>
            <w:r w:rsidRPr="006A6B13">
              <w:rPr>
                <w:rFonts w:cs="Arial"/>
                <w:color w:val="000000"/>
                <w:szCs w:val="20"/>
              </w:rPr>
              <w:t>$</w:t>
            </w:r>
            <w:r w:rsidR="00F87F3F">
              <w:rPr>
                <w:rFonts w:cs="Arial"/>
                <w:noProof/>
                <w:color w:val="000000"/>
                <w:szCs w:val="20"/>
                <w:highlight w:val="black"/>
              </w:rPr>
              <w:t>'''''''''''''''''''''''''''</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bottom"/>
          </w:tcPr>
          <w:p w:rsidR="00C845FB" w:rsidRPr="006A6B13" w:rsidRDefault="00C845FB" w:rsidP="00C845FB">
            <w:pPr>
              <w:pStyle w:val="Tabletext"/>
              <w:jc w:val="center"/>
              <w:rPr>
                <w:bCs/>
                <w:color w:val="000000"/>
                <w:szCs w:val="20"/>
              </w:rPr>
            </w:pPr>
            <w:r w:rsidRPr="006A6B13">
              <w:rPr>
                <w:rFonts w:cs="Arial"/>
                <w:color w:val="000000"/>
                <w:szCs w:val="20"/>
              </w:rPr>
              <w:t>$</w:t>
            </w:r>
            <w:r w:rsidR="00F87F3F">
              <w:rPr>
                <w:rFonts w:cs="Arial"/>
                <w:noProof/>
                <w:color w:val="000000"/>
                <w:szCs w:val="20"/>
                <w:highlight w:val="black"/>
              </w:rPr>
              <w:t>'''''''''''''''''''''''''</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bottom"/>
          </w:tcPr>
          <w:p w:rsidR="00C845FB" w:rsidRPr="006A6B13" w:rsidRDefault="00C845FB" w:rsidP="00C845FB">
            <w:pPr>
              <w:pStyle w:val="Tabletext"/>
              <w:jc w:val="center"/>
              <w:rPr>
                <w:bCs/>
                <w:color w:val="000000"/>
                <w:szCs w:val="20"/>
              </w:rPr>
            </w:pPr>
            <w:r w:rsidRPr="006A6B13">
              <w:rPr>
                <w:rFonts w:cs="Arial"/>
                <w:color w:val="000000"/>
                <w:szCs w:val="20"/>
              </w:rPr>
              <w:t>$</w:t>
            </w:r>
            <w:r w:rsidR="00F87F3F">
              <w:rPr>
                <w:rFonts w:cs="Arial"/>
                <w:noProof/>
                <w:color w:val="000000"/>
                <w:szCs w:val="20"/>
                <w:highlight w:val="black"/>
              </w:rPr>
              <w:t>''''''''''''''''''''''''</w:t>
            </w:r>
          </w:p>
        </w:tc>
      </w:tr>
      <w:tr w:rsidR="009305AF" w:rsidRPr="006A6B13" w:rsidTr="006A6B13">
        <w:tc>
          <w:tcPr>
            <w:tcW w:w="1392" w:type="pct"/>
            <w:shd w:val="clear" w:color="auto" w:fill="auto"/>
            <w:vAlign w:val="center"/>
          </w:tcPr>
          <w:p w:rsidR="00897766" w:rsidRPr="006A6B13" w:rsidRDefault="00897766" w:rsidP="00734DF9">
            <w:pPr>
              <w:pStyle w:val="Tabletext"/>
              <w:rPr>
                <w:szCs w:val="20"/>
              </w:rPr>
            </w:pPr>
            <w:r w:rsidRPr="006A6B13">
              <w:rPr>
                <w:szCs w:val="20"/>
              </w:rPr>
              <w:t xml:space="preserve">Cost to PBS/RPBS less </w:t>
            </w:r>
            <w:r w:rsidR="00EC3E0F" w:rsidRPr="006A6B13">
              <w:rPr>
                <w:szCs w:val="20"/>
              </w:rPr>
              <w:t>co-payments</w:t>
            </w:r>
          </w:p>
        </w:tc>
        <w:tc>
          <w:tcPr>
            <w:tcW w:w="601" w:type="pct"/>
            <w:tcBorders>
              <w:top w:val="single" w:sz="4" w:space="0" w:color="auto"/>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szCs w:val="20"/>
              </w:rPr>
              <w:t>$</w:t>
            </w:r>
            <w:r w:rsidR="00F87F3F">
              <w:rPr>
                <w:noProof/>
                <w:color w:val="000000"/>
                <w:szCs w:val="20"/>
                <w:highlight w:val="black"/>
              </w:rPr>
              <w:t>'''''''''''''''''''''''''''''</w:t>
            </w:r>
          </w:p>
        </w:tc>
        <w:tc>
          <w:tcPr>
            <w:tcW w:w="601" w:type="pct"/>
            <w:tcBorders>
              <w:top w:val="single" w:sz="4" w:space="0" w:color="auto"/>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szCs w:val="20"/>
              </w:rPr>
              <w:t>$</w:t>
            </w:r>
            <w:r w:rsidR="00F87F3F">
              <w:rPr>
                <w:noProof/>
                <w:color w:val="000000"/>
                <w:szCs w:val="20"/>
                <w:highlight w:val="black"/>
              </w:rPr>
              <w:t>''''''''''''''''''''''''''</w:t>
            </w:r>
          </w:p>
        </w:tc>
        <w:tc>
          <w:tcPr>
            <w:tcW w:w="602" w:type="pct"/>
            <w:tcBorders>
              <w:top w:val="single" w:sz="4" w:space="0" w:color="auto"/>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szCs w:val="20"/>
              </w:rPr>
              <w:t>$</w:t>
            </w:r>
            <w:r w:rsidR="00F87F3F">
              <w:rPr>
                <w:noProof/>
                <w:color w:val="000000"/>
                <w:szCs w:val="20"/>
                <w:highlight w:val="black"/>
              </w:rPr>
              <w:t>'''''''''''''''''''''''''</w:t>
            </w:r>
          </w:p>
        </w:tc>
        <w:tc>
          <w:tcPr>
            <w:tcW w:w="601" w:type="pct"/>
            <w:tcBorders>
              <w:top w:val="single" w:sz="4" w:space="0" w:color="auto"/>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szCs w:val="20"/>
              </w:rPr>
              <w:t>$</w:t>
            </w:r>
            <w:r w:rsidR="00F87F3F">
              <w:rPr>
                <w:noProof/>
                <w:color w:val="000000"/>
                <w:szCs w:val="20"/>
                <w:highlight w:val="black"/>
              </w:rPr>
              <w:t>''''''''''''''''''''''''</w:t>
            </w:r>
          </w:p>
        </w:tc>
        <w:tc>
          <w:tcPr>
            <w:tcW w:w="601" w:type="pct"/>
            <w:tcBorders>
              <w:top w:val="single" w:sz="4" w:space="0" w:color="auto"/>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szCs w:val="20"/>
              </w:rPr>
              <w:t>$</w:t>
            </w:r>
            <w:r w:rsidR="00F87F3F">
              <w:rPr>
                <w:noProof/>
                <w:color w:val="000000"/>
                <w:szCs w:val="20"/>
                <w:highlight w:val="black"/>
              </w:rPr>
              <w:t>'''''''''''''''''''''''''''''</w:t>
            </w:r>
          </w:p>
        </w:tc>
        <w:tc>
          <w:tcPr>
            <w:tcW w:w="602" w:type="pct"/>
            <w:tcBorders>
              <w:top w:val="single" w:sz="4" w:space="0" w:color="auto"/>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szCs w:val="20"/>
              </w:rPr>
              <w:t>$</w:t>
            </w:r>
            <w:r w:rsidR="00F87F3F">
              <w:rPr>
                <w:noProof/>
                <w:color w:val="000000"/>
                <w:szCs w:val="20"/>
                <w:highlight w:val="black"/>
              </w:rPr>
              <w:t>''''''''''''''''''''''''''''</w:t>
            </w:r>
          </w:p>
        </w:tc>
      </w:tr>
      <w:tr w:rsidR="00897766" w:rsidRPr="006A6B13" w:rsidTr="006A6B13">
        <w:tc>
          <w:tcPr>
            <w:tcW w:w="5000" w:type="pct"/>
            <w:gridSpan w:val="7"/>
            <w:shd w:val="clear" w:color="auto" w:fill="auto"/>
            <w:vAlign w:val="center"/>
          </w:tcPr>
          <w:p w:rsidR="00897766" w:rsidRPr="006A6B13" w:rsidRDefault="00897766" w:rsidP="00734DF9">
            <w:pPr>
              <w:pStyle w:val="Tabletext"/>
              <w:rPr>
                <w:b/>
                <w:bCs/>
                <w:color w:val="000000"/>
                <w:szCs w:val="20"/>
              </w:rPr>
            </w:pPr>
            <w:r w:rsidRPr="006A6B13">
              <w:rPr>
                <w:b/>
                <w:bCs/>
                <w:color w:val="000000"/>
                <w:szCs w:val="20"/>
              </w:rPr>
              <w:t>Net financial implications</w:t>
            </w:r>
          </w:p>
        </w:tc>
      </w:tr>
      <w:tr w:rsidR="009305AF" w:rsidRPr="006A6B13" w:rsidTr="006A6B13">
        <w:tc>
          <w:tcPr>
            <w:tcW w:w="1392" w:type="pct"/>
            <w:shd w:val="clear" w:color="auto" w:fill="auto"/>
            <w:vAlign w:val="center"/>
          </w:tcPr>
          <w:p w:rsidR="00897766" w:rsidRPr="006A6B13" w:rsidRDefault="00897766" w:rsidP="00734DF9">
            <w:pPr>
              <w:pStyle w:val="Tabletext"/>
              <w:rPr>
                <w:szCs w:val="20"/>
              </w:rPr>
            </w:pPr>
            <w:r w:rsidRPr="006A6B13">
              <w:rPr>
                <w:szCs w:val="20"/>
              </w:rPr>
              <w:t>Net cost to PBS/RPBS</w:t>
            </w:r>
          </w:p>
        </w:tc>
        <w:tc>
          <w:tcPr>
            <w:tcW w:w="601" w:type="pct"/>
            <w:tcBorders>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i/>
                <w:szCs w:val="20"/>
              </w:rPr>
              <w:t>$</w:t>
            </w:r>
            <w:r w:rsidR="00F87F3F">
              <w:rPr>
                <w:i/>
                <w:noProof/>
                <w:color w:val="000000"/>
                <w:szCs w:val="20"/>
                <w:highlight w:val="black"/>
              </w:rPr>
              <w:t>'''''''''''''''''</w:t>
            </w:r>
          </w:p>
        </w:tc>
        <w:tc>
          <w:tcPr>
            <w:tcW w:w="601" w:type="pct"/>
            <w:tcBorders>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i/>
                <w:szCs w:val="20"/>
              </w:rPr>
              <w:t>$</w:t>
            </w:r>
            <w:r w:rsidR="00F87F3F">
              <w:rPr>
                <w:i/>
                <w:noProof/>
                <w:color w:val="000000"/>
                <w:szCs w:val="20"/>
                <w:highlight w:val="black"/>
              </w:rPr>
              <w:t>'''''''''''''''''''''''''</w:t>
            </w:r>
          </w:p>
        </w:tc>
        <w:tc>
          <w:tcPr>
            <w:tcW w:w="602" w:type="pct"/>
            <w:tcBorders>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i/>
                <w:szCs w:val="20"/>
              </w:rPr>
              <w:t>$</w:t>
            </w:r>
            <w:r w:rsidR="00F87F3F">
              <w:rPr>
                <w:i/>
                <w:noProof/>
                <w:color w:val="000000"/>
                <w:szCs w:val="20"/>
                <w:highlight w:val="black"/>
              </w:rPr>
              <w:t>''''''''''''''''''''''''</w:t>
            </w:r>
          </w:p>
        </w:tc>
        <w:tc>
          <w:tcPr>
            <w:tcW w:w="601" w:type="pct"/>
            <w:tcBorders>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i/>
                <w:szCs w:val="20"/>
              </w:rPr>
              <w:t>$</w:t>
            </w:r>
            <w:r w:rsidR="00F87F3F">
              <w:rPr>
                <w:i/>
                <w:noProof/>
                <w:color w:val="000000"/>
                <w:szCs w:val="20"/>
                <w:highlight w:val="black"/>
              </w:rPr>
              <w:t>'''''''''''''''''''''''</w:t>
            </w:r>
          </w:p>
        </w:tc>
        <w:tc>
          <w:tcPr>
            <w:tcW w:w="601" w:type="pct"/>
            <w:tcBorders>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i/>
                <w:szCs w:val="20"/>
              </w:rPr>
              <w:t>$</w:t>
            </w:r>
            <w:r w:rsidR="00F87F3F">
              <w:rPr>
                <w:i/>
                <w:noProof/>
                <w:color w:val="000000"/>
                <w:szCs w:val="20"/>
                <w:highlight w:val="black"/>
              </w:rPr>
              <w:t>''''''''''''''''''''''</w:t>
            </w:r>
          </w:p>
        </w:tc>
        <w:tc>
          <w:tcPr>
            <w:tcW w:w="602" w:type="pct"/>
            <w:tcBorders>
              <w:bottom w:val="single" w:sz="4" w:space="0" w:color="auto"/>
            </w:tcBorders>
            <w:shd w:val="clear" w:color="auto" w:fill="auto"/>
            <w:vAlign w:val="center"/>
          </w:tcPr>
          <w:p w:rsidR="00897766" w:rsidRPr="006A6B13" w:rsidRDefault="00897766" w:rsidP="00734DF9">
            <w:pPr>
              <w:pStyle w:val="Tabletext"/>
              <w:jc w:val="center"/>
              <w:rPr>
                <w:color w:val="000000"/>
                <w:szCs w:val="20"/>
              </w:rPr>
            </w:pPr>
            <w:r w:rsidRPr="006A6B13">
              <w:rPr>
                <w:i/>
                <w:szCs w:val="20"/>
              </w:rPr>
              <w:t>$</w:t>
            </w:r>
            <w:r w:rsidR="00F87F3F">
              <w:rPr>
                <w:i/>
                <w:noProof/>
                <w:color w:val="000000"/>
                <w:szCs w:val="20"/>
                <w:highlight w:val="black"/>
              </w:rPr>
              <w:t>'''''''''''''''''''''''</w:t>
            </w:r>
          </w:p>
        </w:tc>
      </w:tr>
      <w:tr w:rsidR="009305AF" w:rsidRPr="006A6B13" w:rsidTr="006A6B13">
        <w:tc>
          <w:tcPr>
            <w:tcW w:w="1392" w:type="pct"/>
            <w:shd w:val="clear" w:color="auto" w:fill="auto"/>
            <w:vAlign w:val="center"/>
          </w:tcPr>
          <w:p w:rsidR="00897766" w:rsidRPr="006A6B13" w:rsidRDefault="00897766" w:rsidP="00734DF9">
            <w:pPr>
              <w:pStyle w:val="Tabletext"/>
              <w:rPr>
                <w:rFonts w:ascii="Times" w:hAnsi="Times"/>
                <w:szCs w:val="20"/>
              </w:rPr>
            </w:pPr>
            <w:r w:rsidRPr="006A6B13">
              <w:rPr>
                <w:szCs w:val="20"/>
              </w:rPr>
              <w:t>Net cost to MBS</w:t>
            </w:r>
            <w:r w:rsidR="00D57DE5" w:rsidRPr="006A6B13">
              <w:rPr>
                <w:szCs w:val="20"/>
              </w:rPr>
              <w:t>/DHS/other</w:t>
            </w:r>
          </w:p>
        </w:tc>
        <w:tc>
          <w:tcPr>
            <w:tcW w:w="601" w:type="pct"/>
            <w:shd w:val="clear" w:color="auto" w:fill="auto"/>
            <w:vAlign w:val="center"/>
          </w:tcPr>
          <w:p w:rsidR="00897766" w:rsidRPr="006A6B13" w:rsidRDefault="00D57DE5" w:rsidP="00734DF9">
            <w:pPr>
              <w:pStyle w:val="Tabletext"/>
              <w:jc w:val="center"/>
              <w:rPr>
                <w:bCs/>
                <w:color w:val="000000"/>
                <w:szCs w:val="20"/>
              </w:rPr>
            </w:pPr>
            <w:r w:rsidRPr="006A6B13">
              <w:rPr>
                <w:bCs/>
                <w:color w:val="000000"/>
                <w:szCs w:val="20"/>
              </w:rPr>
              <w:t>$</w:t>
            </w:r>
            <w:r w:rsidR="00F87F3F">
              <w:rPr>
                <w:bCs/>
                <w:noProof/>
                <w:color w:val="000000"/>
                <w:szCs w:val="20"/>
                <w:highlight w:val="black"/>
              </w:rPr>
              <w:t>'''</w:t>
            </w:r>
          </w:p>
        </w:tc>
        <w:tc>
          <w:tcPr>
            <w:tcW w:w="601" w:type="pct"/>
            <w:shd w:val="clear" w:color="auto" w:fill="auto"/>
            <w:vAlign w:val="center"/>
          </w:tcPr>
          <w:p w:rsidR="00897766" w:rsidRPr="006A6B13" w:rsidRDefault="00D57DE5" w:rsidP="00734DF9">
            <w:pPr>
              <w:pStyle w:val="Tabletext"/>
              <w:jc w:val="center"/>
              <w:rPr>
                <w:bCs/>
                <w:color w:val="000000"/>
                <w:szCs w:val="20"/>
              </w:rPr>
            </w:pPr>
            <w:r w:rsidRPr="006A6B13">
              <w:rPr>
                <w:bCs/>
                <w:color w:val="000000"/>
                <w:szCs w:val="20"/>
              </w:rPr>
              <w:t>$</w:t>
            </w:r>
            <w:r w:rsidR="00F87F3F">
              <w:rPr>
                <w:bCs/>
                <w:noProof/>
                <w:color w:val="000000"/>
                <w:szCs w:val="20"/>
                <w:highlight w:val="black"/>
              </w:rPr>
              <w:t>'''</w:t>
            </w:r>
          </w:p>
        </w:tc>
        <w:tc>
          <w:tcPr>
            <w:tcW w:w="602" w:type="pct"/>
            <w:shd w:val="clear" w:color="auto" w:fill="auto"/>
            <w:vAlign w:val="center"/>
          </w:tcPr>
          <w:p w:rsidR="00897766" w:rsidRPr="006A6B13" w:rsidRDefault="00D57DE5" w:rsidP="00734DF9">
            <w:pPr>
              <w:pStyle w:val="Tabletext"/>
              <w:jc w:val="center"/>
              <w:rPr>
                <w:bCs/>
                <w:color w:val="000000"/>
                <w:szCs w:val="20"/>
              </w:rPr>
            </w:pPr>
            <w:r w:rsidRPr="006A6B13">
              <w:rPr>
                <w:bCs/>
                <w:color w:val="000000"/>
                <w:szCs w:val="20"/>
              </w:rPr>
              <w:t>$</w:t>
            </w:r>
            <w:r w:rsidR="00F87F3F">
              <w:rPr>
                <w:bCs/>
                <w:noProof/>
                <w:color w:val="000000"/>
                <w:szCs w:val="20"/>
                <w:highlight w:val="black"/>
              </w:rPr>
              <w:t>''''</w:t>
            </w:r>
          </w:p>
        </w:tc>
        <w:tc>
          <w:tcPr>
            <w:tcW w:w="601" w:type="pct"/>
            <w:shd w:val="clear" w:color="auto" w:fill="auto"/>
            <w:vAlign w:val="center"/>
          </w:tcPr>
          <w:p w:rsidR="00897766" w:rsidRPr="006A6B13" w:rsidRDefault="00D57DE5" w:rsidP="00734DF9">
            <w:pPr>
              <w:pStyle w:val="Tabletext"/>
              <w:jc w:val="center"/>
              <w:rPr>
                <w:bCs/>
                <w:color w:val="000000"/>
                <w:szCs w:val="20"/>
              </w:rPr>
            </w:pPr>
            <w:r w:rsidRPr="006A6B13">
              <w:rPr>
                <w:bCs/>
                <w:color w:val="000000"/>
                <w:szCs w:val="20"/>
              </w:rPr>
              <w:t>$</w:t>
            </w:r>
            <w:r w:rsidR="00F87F3F">
              <w:rPr>
                <w:bCs/>
                <w:noProof/>
                <w:color w:val="000000"/>
                <w:szCs w:val="20"/>
                <w:highlight w:val="black"/>
              </w:rPr>
              <w:t>''''</w:t>
            </w:r>
          </w:p>
        </w:tc>
        <w:tc>
          <w:tcPr>
            <w:tcW w:w="601" w:type="pct"/>
            <w:shd w:val="clear" w:color="auto" w:fill="auto"/>
            <w:vAlign w:val="center"/>
          </w:tcPr>
          <w:p w:rsidR="00897766" w:rsidRPr="006A6B13" w:rsidRDefault="00D57DE5" w:rsidP="00734DF9">
            <w:pPr>
              <w:pStyle w:val="Tabletext"/>
              <w:jc w:val="center"/>
              <w:rPr>
                <w:bCs/>
                <w:color w:val="000000"/>
                <w:szCs w:val="20"/>
              </w:rPr>
            </w:pPr>
            <w:r w:rsidRPr="006A6B13">
              <w:rPr>
                <w:bCs/>
                <w:color w:val="000000"/>
                <w:szCs w:val="20"/>
              </w:rPr>
              <w:t>$</w:t>
            </w:r>
            <w:r w:rsidR="00F87F3F">
              <w:rPr>
                <w:bCs/>
                <w:noProof/>
                <w:color w:val="000000"/>
                <w:szCs w:val="20"/>
                <w:highlight w:val="black"/>
              </w:rPr>
              <w:t>'''</w:t>
            </w:r>
          </w:p>
        </w:tc>
        <w:tc>
          <w:tcPr>
            <w:tcW w:w="602" w:type="pct"/>
          </w:tcPr>
          <w:p w:rsidR="00897766" w:rsidRPr="006A6B13" w:rsidRDefault="00D57DE5" w:rsidP="00734DF9">
            <w:pPr>
              <w:pStyle w:val="Tabletext"/>
              <w:jc w:val="center"/>
              <w:rPr>
                <w:bCs/>
                <w:color w:val="000000"/>
                <w:szCs w:val="20"/>
              </w:rPr>
            </w:pPr>
            <w:r w:rsidRPr="006A6B13">
              <w:rPr>
                <w:bCs/>
                <w:color w:val="000000"/>
                <w:szCs w:val="20"/>
              </w:rPr>
              <w:t>$</w:t>
            </w:r>
            <w:r w:rsidR="00F87F3F">
              <w:rPr>
                <w:bCs/>
                <w:noProof/>
                <w:color w:val="000000"/>
                <w:szCs w:val="20"/>
                <w:highlight w:val="black"/>
              </w:rPr>
              <w:t>''''</w:t>
            </w:r>
          </w:p>
        </w:tc>
      </w:tr>
      <w:tr w:rsidR="009305AF" w:rsidRPr="006A6B13" w:rsidTr="006A6B13">
        <w:tc>
          <w:tcPr>
            <w:tcW w:w="1392" w:type="pct"/>
            <w:shd w:val="clear" w:color="auto" w:fill="auto"/>
            <w:vAlign w:val="center"/>
          </w:tcPr>
          <w:p w:rsidR="00897766" w:rsidRPr="006A6B13" w:rsidRDefault="00897766" w:rsidP="00734DF9">
            <w:pPr>
              <w:pStyle w:val="Tabletext"/>
              <w:rPr>
                <w:szCs w:val="20"/>
              </w:rPr>
            </w:pPr>
            <w:r w:rsidRPr="006A6B13">
              <w:rPr>
                <w:szCs w:val="20"/>
              </w:rPr>
              <w:t xml:space="preserve">Net cost to </w:t>
            </w:r>
            <w:r w:rsidR="00D57DE5" w:rsidRPr="006A6B13">
              <w:rPr>
                <w:szCs w:val="20"/>
              </w:rPr>
              <w:t>PBS/RPBS/MBS/DHS</w:t>
            </w:r>
          </w:p>
        </w:tc>
        <w:tc>
          <w:tcPr>
            <w:tcW w:w="601" w:type="pct"/>
            <w:tcBorders>
              <w:bottom w:val="single" w:sz="4" w:space="0" w:color="auto"/>
            </w:tcBorders>
            <w:shd w:val="clear" w:color="auto" w:fill="auto"/>
            <w:vAlign w:val="center"/>
          </w:tcPr>
          <w:p w:rsidR="00897766" w:rsidRPr="006A6B13" w:rsidRDefault="00897766" w:rsidP="00734DF9">
            <w:pPr>
              <w:pStyle w:val="Tabletext"/>
              <w:jc w:val="center"/>
              <w:rPr>
                <w:bCs/>
                <w:color w:val="000000"/>
                <w:szCs w:val="20"/>
              </w:rPr>
            </w:pPr>
            <w:r w:rsidRPr="006A6B13">
              <w:rPr>
                <w:i/>
                <w:szCs w:val="20"/>
              </w:rPr>
              <w:t>$</w:t>
            </w:r>
            <w:r w:rsidR="00F87F3F">
              <w:rPr>
                <w:i/>
                <w:noProof/>
                <w:color w:val="000000"/>
                <w:szCs w:val="20"/>
                <w:highlight w:val="black"/>
              </w:rPr>
              <w:t>''''''''''''''''''''</w:t>
            </w:r>
          </w:p>
        </w:tc>
        <w:tc>
          <w:tcPr>
            <w:tcW w:w="601" w:type="pct"/>
            <w:tcBorders>
              <w:bottom w:val="single" w:sz="4" w:space="0" w:color="auto"/>
            </w:tcBorders>
            <w:shd w:val="clear" w:color="auto" w:fill="auto"/>
            <w:vAlign w:val="center"/>
          </w:tcPr>
          <w:p w:rsidR="00897766" w:rsidRPr="006A6B13" w:rsidRDefault="00897766" w:rsidP="00734DF9">
            <w:pPr>
              <w:pStyle w:val="Tabletext"/>
              <w:jc w:val="center"/>
              <w:rPr>
                <w:bCs/>
                <w:color w:val="000000"/>
                <w:szCs w:val="20"/>
              </w:rPr>
            </w:pPr>
            <w:r w:rsidRPr="006A6B13">
              <w:rPr>
                <w:i/>
                <w:szCs w:val="20"/>
              </w:rPr>
              <w:t>$</w:t>
            </w:r>
            <w:r w:rsidR="00F87F3F">
              <w:rPr>
                <w:i/>
                <w:noProof/>
                <w:color w:val="000000"/>
                <w:szCs w:val="20"/>
                <w:highlight w:val="black"/>
              </w:rPr>
              <w:t>'''''''''''''''''''''''</w:t>
            </w:r>
          </w:p>
        </w:tc>
        <w:tc>
          <w:tcPr>
            <w:tcW w:w="602" w:type="pct"/>
            <w:tcBorders>
              <w:bottom w:val="single" w:sz="4" w:space="0" w:color="auto"/>
            </w:tcBorders>
            <w:shd w:val="clear" w:color="auto" w:fill="auto"/>
            <w:vAlign w:val="center"/>
          </w:tcPr>
          <w:p w:rsidR="00897766" w:rsidRPr="006A6B13" w:rsidRDefault="00897766" w:rsidP="00734DF9">
            <w:pPr>
              <w:pStyle w:val="Tabletext"/>
              <w:jc w:val="center"/>
              <w:rPr>
                <w:bCs/>
                <w:color w:val="000000"/>
                <w:szCs w:val="20"/>
              </w:rPr>
            </w:pPr>
            <w:r w:rsidRPr="006A6B13">
              <w:rPr>
                <w:i/>
                <w:szCs w:val="20"/>
              </w:rPr>
              <w:t>$</w:t>
            </w:r>
            <w:r w:rsidR="00F87F3F">
              <w:rPr>
                <w:i/>
                <w:noProof/>
                <w:color w:val="000000"/>
                <w:szCs w:val="20"/>
                <w:highlight w:val="black"/>
              </w:rPr>
              <w:t>''''''''''''''''''''''</w:t>
            </w:r>
          </w:p>
        </w:tc>
        <w:tc>
          <w:tcPr>
            <w:tcW w:w="601" w:type="pct"/>
            <w:tcBorders>
              <w:bottom w:val="single" w:sz="4" w:space="0" w:color="auto"/>
            </w:tcBorders>
            <w:shd w:val="clear" w:color="auto" w:fill="auto"/>
            <w:vAlign w:val="center"/>
          </w:tcPr>
          <w:p w:rsidR="00897766" w:rsidRPr="006A6B13" w:rsidRDefault="00897766" w:rsidP="00734DF9">
            <w:pPr>
              <w:pStyle w:val="Tabletext"/>
              <w:jc w:val="center"/>
              <w:rPr>
                <w:bCs/>
                <w:color w:val="000000"/>
                <w:szCs w:val="20"/>
              </w:rPr>
            </w:pPr>
            <w:r w:rsidRPr="006A6B13">
              <w:rPr>
                <w:i/>
                <w:szCs w:val="20"/>
              </w:rPr>
              <w:t>$</w:t>
            </w:r>
            <w:r w:rsidR="00F87F3F">
              <w:rPr>
                <w:i/>
                <w:noProof/>
                <w:color w:val="000000"/>
                <w:szCs w:val="20"/>
                <w:highlight w:val="black"/>
              </w:rPr>
              <w:t>'''''''''''''''''''''''''</w:t>
            </w:r>
          </w:p>
        </w:tc>
        <w:tc>
          <w:tcPr>
            <w:tcW w:w="601" w:type="pct"/>
            <w:tcBorders>
              <w:bottom w:val="single" w:sz="4" w:space="0" w:color="auto"/>
            </w:tcBorders>
            <w:shd w:val="clear" w:color="auto" w:fill="auto"/>
            <w:vAlign w:val="center"/>
          </w:tcPr>
          <w:p w:rsidR="00897766" w:rsidRPr="006A6B13" w:rsidRDefault="00897766" w:rsidP="00734DF9">
            <w:pPr>
              <w:pStyle w:val="Tabletext"/>
              <w:jc w:val="center"/>
              <w:rPr>
                <w:bCs/>
                <w:color w:val="000000"/>
                <w:szCs w:val="20"/>
              </w:rPr>
            </w:pPr>
            <w:r w:rsidRPr="006A6B13">
              <w:rPr>
                <w:i/>
                <w:szCs w:val="20"/>
              </w:rPr>
              <w:t>$</w:t>
            </w:r>
            <w:r w:rsidR="00F87F3F">
              <w:rPr>
                <w:i/>
                <w:noProof/>
                <w:color w:val="000000"/>
                <w:szCs w:val="20"/>
                <w:highlight w:val="black"/>
              </w:rPr>
              <w:t>''''''''''''''''''''''''</w:t>
            </w:r>
          </w:p>
        </w:tc>
        <w:tc>
          <w:tcPr>
            <w:tcW w:w="602" w:type="pct"/>
            <w:tcBorders>
              <w:bottom w:val="single" w:sz="4" w:space="0" w:color="auto"/>
            </w:tcBorders>
            <w:shd w:val="clear" w:color="auto" w:fill="auto"/>
            <w:vAlign w:val="center"/>
          </w:tcPr>
          <w:p w:rsidR="00897766" w:rsidRPr="006A6B13" w:rsidRDefault="00897766" w:rsidP="00734DF9">
            <w:pPr>
              <w:pStyle w:val="Tabletext"/>
              <w:jc w:val="center"/>
              <w:rPr>
                <w:bCs/>
                <w:color w:val="000000"/>
                <w:szCs w:val="20"/>
              </w:rPr>
            </w:pPr>
            <w:r w:rsidRPr="006A6B13">
              <w:rPr>
                <w:i/>
                <w:szCs w:val="20"/>
              </w:rPr>
              <w:t>$</w:t>
            </w:r>
            <w:r w:rsidR="00F87F3F">
              <w:rPr>
                <w:i/>
                <w:noProof/>
                <w:color w:val="000000"/>
                <w:szCs w:val="20"/>
                <w:highlight w:val="black"/>
              </w:rPr>
              <w:t>'''''''''''''''''''''''</w:t>
            </w:r>
          </w:p>
        </w:tc>
      </w:tr>
    </w:tbl>
    <w:p w:rsidR="00897766" w:rsidRPr="009F3167" w:rsidRDefault="00897766" w:rsidP="00083A5D">
      <w:pPr>
        <w:pStyle w:val="PBACHeading1"/>
        <w:ind w:left="142" w:hanging="142"/>
        <w:rPr>
          <w:rFonts w:ascii="Arial Narrow" w:hAnsi="Arial Narrow"/>
          <w:b w:val="0"/>
          <w:bCs/>
          <w:iCs/>
          <w:sz w:val="18"/>
          <w:szCs w:val="18"/>
        </w:rPr>
      </w:pPr>
      <w:bookmarkStart w:id="24" w:name="_Toc503212803"/>
      <w:proofErr w:type="spellStart"/>
      <w:r w:rsidRPr="009F3167">
        <w:rPr>
          <w:rFonts w:ascii="Arial Narrow" w:hAnsi="Arial Narrow"/>
          <w:b w:val="0"/>
          <w:bCs/>
          <w:iCs/>
          <w:sz w:val="18"/>
          <w:szCs w:val="18"/>
          <w:vertAlign w:val="superscript"/>
        </w:rPr>
        <w:t>a</w:t>
      </w:r>
      <w:proofErr w:type="spellEnd"/>
      <w:r w:rsidRPr="009F3167">
        <w:rPr>
          <w:rFonts w:ascii="Arial Narrow" w:hAnsi="Arial Narrow"/>
          <w:b w:val="0"/>
          <w:bCs/>
          <w:iCs/>
          <w:sz w:val="18"/>
          <w:szCs w:val="18"/>
        </w:rPr>
        <w:tab/>
        <w:t>Assuming one initial GUS script is equivalent to 1.33 UST scripts and 0.89 ADA scripts.  The GUS: ADA equivalence assumed 4.5 ADA scripts in the initial treatment period of 16 weeks. This should be 5 scripts, 2x40mg at Week 0, and 40mg fortnightly starting at Week1. Assuming one continuing GUS script is equivalent to 1.5 UST scripts and 0.5 ADA scripts.</w:t>
      </w:r>
      <w:bookmarkEnd w:id="24"/>
    </w:p>
    <w:p w:rsidR="00897766" w:rsidRPr="009F3167" w:rsidRDefault="00897766" w:rsidP="00083A5D">
      <w:pPr>
        <w:pStyle w:val="PBACHeading1"/>
        <w:ind w:left="142" w:hanging="142"/>
        <w:rPr>
          <w:rFonts w:ascii="Arial Narrow" w:hAnsi="Arial Narrow"/>
          <w:b w:val="0"/>
          <w:bCs/>
          <w:iCs/>
          <w:sz w:val="18"/>
          <w:szCs w:val="18"/>
        </w:rPr>
      </w:pPr>
      <w:bookmarkStart w:id="25" w:name="_Toc503212804"/>
      <w:r w:rsidRPr="009F3167">
        <w:rPr>
          <w:rFonts w:ascii="Arial Narrow" w:hAnsi="Arial Narrow"/>
          <w:b w:val="0"/>
          <w:bCs/>
          <w:iCs/>
          <w:sz w:val="18"/>
          <w:szCs w:val="18"/>
          <w:vertAlign w:val="superscript"/>
        </w:rPr>
        <w:t>b</w:t>
      </w:r>
      <w:r w:rsidRPr="009F3167">
        <w:rPr>
          <w:rFonts w:ascii="Arial Narrow" w:hAnsi="Arial Narrow"/>
          <w:b w:val="0"/>
          <w:bCs/>
          <w:iCs/>
          <w:sz w:val="18"/>
          <w:szCs w:val="18"/>
          <w:vertAlign w:val="superscript"/>
        </w:rPr>
        <w:tab/>
      </w:r>
      <w:r w:rsidRPr="009F3167">
        <w:rPr>
          <w:rFonts w:ascii="Arial Narrow" w:hAnsi="Arial Narrow"/>
          <w:b w:val="0"/>
          <w:bCs/>
          <w:iCs/>
          <w:sz w:val="18"/>
          <w:szCs w:val="18"/>
        </w:rPr>
        <w:t>The submission estimated 4.5 ADA initial scripts. This appeared to be the result of counting the subsequent doses from Week 2 instead of Week 1 as recommended in the PI (“Dosing schedule” worksheet). This has been corrected to 5 ADA initial scripts.</w:t>
      </w:r>
      <w:bookmarkEnd w:id="25"/>
    </w:p>
    <w:p w:rsidR="00FC7EDC" w:rsidRPr="009F3167" w:rsidRDefault="00FC7EDC" w:rsidP="00FC7EDC">
      <w:pPr>
        <w:contextualSpacing/>
        <w:rPr>
          <w:rFonts w:ascii="Arial Narrow" w:hAnsi="Arial Narrow"/>
          <w:sz w:val="18"/>
          <w:szCs w:val="20"/>
        </w:rPr>
      </w:pPr>
      <w:r w:rsidRPr="009F3167">
        <w:rPr>
          <w:rFonts w:ascii="Arial Narrow" w:hAnsi="Arial Narrow"/>
          <w:bCs/>
          <w:iCs/>
          <w:sz w:val="18"/>
          <w:szCs w:val="18"/>
        </w:rPr>
        <w:t xml:space="preserve">Source: </w:t>
      </w:r>
      <w:r w:rsidRPr="009F3167">
        <w:rPr>
          <w:rFonts w:ascii="Arial Narrow" w:hAnsi="Arial Narrow"/>
          <w:sz w:val="18"/>
          <w:szCs w:val="18"/>
        </w:rPr>
        <w:t>Tables 4-6-4-12, pp242-250 of the submission.</w:t>
      </w:r>
    </w:p>
    <w:p w:rsidR="00C25D9C" w:rsidRPr="00C0268D" w:rsidRDefault="00BB7933" w:rsidP="00BB7933">
      <w:pPr>
        <w:widowControl/>
        <w:spacing w:after="120"/>
      </w:pPr>
      <w:r>
        <w:t>The redacted table shows that at Year 6, t</w:t>
      </w:r>
      <w:r w:rsidR="00670CA1">
        <w:t>he estimated number of scripts dispensed was in the range of 10,000 – 50,000 per year and the net cost to the PBS would be less than $10 million per year.</w:t>
      </w:r>
    </w:p>
    <w:p w:rsidR="00FC7EDC" w:rsidRPr="00C0268D" w:rsidRDefault="00FC7EDC" w:rsidP="00E234BD">
      <w:pPr>
        <w:pStyle w:val="ListParagraph"/>
        <w:widowControl/>
        <w:numPr>
          <w:ilvl w:val="1"/>
          <w:numId w:val="3"/>
        </w:numPr>
      </w:pPr>
      <w:r w:rsidRPr="00C0268D">
        <w:t xml:space="preserve">The predicted use and financial impacts for the proposed listing may not be </w:t>
      </w:r>
      <w:r w:rsidR="00E234BD" w:rsidRPr="00C0268D">
        <w:t>accurate</w:t>
      </w:r>
      <w:r w:rsidRPr="00C0268D">
        <w:t xml:space="preserve"> for the following reasons: </w:t>
      </w:r>
    </w:p>
    <w:p w:rsidR="00FC7EDC" w:rsidRPr="00C0268D" w:rsidRDefault="00FC7EDC" w:rsidP="00E234BD">
      <w:pPr>
        <w:pStyle w:val="ListParagraph"/>
        <w:numPr>
          <w:ilvl w:val="0"/>
          <w:numId w:val="26"/>
        </w:numPr>
      </w:pPr>
      <w:r w:rsidRPr="00C0268D">
        <w:t xml:space="preserve">the submission did not account for additional costs associated with SC administration with </w:t>
      </w:r>
      <w:r w:rsidR="00F45B71" w:rsidRPr="00C0268D">
        <w:t>guselkumab</w:t>
      </w:r>
      <w:r w:rsidRPr="00C0268D">
        <w:t xml:space="preserve"> despite requiring more frequent dosing compared to </w:t>
      </w:r>
      <w:r w:rsidR="00F45B71" w:rsidRPr="00C0268D">
        <w:t>ustekinumab</w:t>
      </w:r>
      <w:r w:rsidRPr="00C0268D">
        <w:t xml:space="preserve"> </w:t>
      </w:r>
      <w:r w:rsidRPr="00C0268D">
        <w:rPr>
          <w:iCs/>
        </w:rPr>
        <w:t xml:space="preserve">(q8w versus q12w), </w:t>
      </w:r>
      <w:r w:rsidRPr="00C0268D">
        <w:t>and</w:t>
      </w:r>
    </w:p>
    <w:p w:rsidR="00FC7EDC" w:rsidRPr="00C0268D" w:rsidRDefault="00FC7EDC" w:rsidP="00E234BD">
      <w:pPr>
        <w:pStyle w:val="ListParagraph"/>
        <w:numPr>
          <w:ilvl w:val="0"/>
          <w:numId w:val="26"/>
        </w:numPr>
        <w:spacing w:after="120"/>
        <w:rPr>
          <w:iCs/>
        </w:rPr>
      </w:pPr>
      <w:r w:rsidRPr="00C0268D">
        <w:rPr>
          <w:iCs/>
        </w:rPr>
        <w:t xml:space="preserve">the estimated overall cost to the PBS over the first 6 years </w:t>
      </w:r>
      <w:r w:rsidR="00E234BD" w:rsidRPr="00C0268D">
        <w:rPr>
          <w:iCs/>
        </w:rPr>
        <w:t>r</w:t>
      </w:r>
      <w:r w:rsidR="00F45B71" w:rsidRPr="00C0268D">
        <w:rPr>
          <w:iCs/>
        </w:rPr>
        <w:t xml:space="preserve">elied on </w:t>
      </w:r>
      <w:r w:rsidR="00F45B71" w:rsidRPr="00C0268D">
        <w:rPr>
          <w:iCs/>
        </w:rPr>
        <w:lastRenderedPageBreak/>
        <w:t>published price for adalimumab and an ustekinumab</w:t>
      </w:r>
      <w:r w:rsidR="00E234BD" w:rsidRPr="00C0268D">
        <w:rPr>
          <w:iCs/>
        </w:rPr>
        <w:t xml:space="preserve"> effective price that is equivalent to its DPMQ.</w:t>
      </w:r>
    </w:p>
    <w:p w:rsidR="00FC7EDC" w:rsidRDefault="007370E8" w:rsidP="00CC2D90">
      <w:pPr>
        <w:pStyle w:val="ListParagraph"/>
        <w:widowControl/>
        <w:numPr>
          <w:ilvl w:val="1"/>
          <w:numId w:val="3"/>
        </w:numPr>
        <w:rPr>
          <w:iCs/>
        </w:rPr>
      </w:pPr>
      <w:r>
        <w:rPr>
          <w:iCs/>
        </w:rPr>
        <w:t xml:space="preserve">The PBAC </w:t>
      </w:r>
      <w:r w:rsidR="00D804B1" w:rsidRPr="00C0268D">
        <w:rPr>
          <w:iCs/>
        </w:rPr>
        <w:t>noted the</w:t>
      </w:r>
      <w:r w:rsidR="00E234BD" w:rsidRPr="00C0268D">
        <w:rPr>
          <w:iCs/>
        </w:rPr>
        <w:t xml:space="preserve"> net expected cost to g</w:t>
      </w:r>
      <w:r w:rsidR="00F45B71" w:rsidRPr="00C0268D">
        <w:rPr>
          <w:iCs/>
        </w:rPr>
        <w:t>overnment would be higher if guselkumab</w:t>
      </w:r>
      <w:r w:rsidR="00E234BD" w:rsidRPr="00C0268D">
        <w:rPr>
          <w:iCs/>
        </w:rPr>
        <w:t xml:space="preserve"> should substitute</w:t>
      </w:r>
      <w:r>
        <w:rPr>
          <w:iCs/>
        </w:rPr>
        <w:t xml:space="preserve"> for</w:t>
      </w:r>
      <w:r w:rsidR="00E234BD" w:rsidRPr="00C0268D">
        <w:rPr>
          <w:iCs/>
        </w:rPr>
        <w:t xml:space="preserve"> </w:t>
      </w:r>
      <w:r>
        <w:rPr>
          <w:iCs/>
        </w:rPr>
        <w:t xml:space="preserve">less </w:t>
      </w:r>
      <w:r w:rsidR="00485BC2">
        <w:rPr>
          <w:iCs/>
        </w:rPr>
        <w:t xml:space="preserve">expensive </w:t>
      </w:r>
      <w:r w:rsidR="00485BC2" w:rsidRPr="00C0268D">
        <w:rPr>
          <w:iCs/>
        </w:rPr>
        <w:t>biologics</w:t>
      </w:r>
      <w:r>
        <w:rPr>
          <w:iCs/>
        </w:rPr>
        <w:t>.</w:t>
      </w:r>
    </w:p>
    <w:p w:rsidR="00576972" w:rsidRPr="00AF65C5" w:rsidRDefault="00576972" w:rsidP="00CA4AA0">
      <w:pPr>
        <w:pStyle w:val="Heading2"/>
        <w:spacing w:before="240" w:after="120"/>
      </w:pPr>
      <w:bookmarkStart w:id="26" w:name="_Toc503212805"/>
      <w:r w:rsidRPr="00AF65C5">
        <w:t>Quality Use of Medicines</w:t>
      </w:r>
      <w:bookmarkEnd w:id="26"/>
    </w:p>
    <w:p w:rsidR="00823B03" w:rsidRPr="00823B03" w:rsidRDefault="00D57DE5" w:rsidP="00823B03">
      <w:pPr>
        <w:pStyle w:val="ListParagraph"/>
        <w:widowControl/>
        <w:numPr>
          <w:ilvl w:val="1"/>
          <w:numId w:val="3"/>
        </w:numPr>
      </w:pPr>
      <w:r w:rsidRPr="009F3167">
        <w:t xml:space="preserve">The Sponsor stated in the submission that patients, prescribers, dispensers and dermatology nurses, </w:t>
      </w:r>
      <w:r w:rsidRPr="009F3167">
        <w:rPr>
          <w:rFonts w:cs="Calibri"/>
          <w:szCs w:val="24"/>
        </w:rPr>
        <w:t>will be provided with appropriate education, resources and support to promote appropriate prescribing and use.</w:t>
      </w:r>
      <w:r w:rsidRPr="009F3167">
        <w:t xml:space="preserve">  Further, the Sponsor outlined a plan for a patient support program delivered by trained nurses to patients focusin</w:t>
      </w:r>
      <w:r w:rsidR="00CC2D90" w:rsidRPr="009F3167">
        <w:t>g on quality use of medicines.</w:t>
      </w:r>
    </w:p>
    <w:p w:rsidR="00823B03" w:rsidRPr="004D577F" w:rsidRDefault="00823B03" w:rsidP="00823B03">
      <w:pPr>
        <w:pStyle w:val="ListParagraph"/>
        <w:rPr>
          <w:rFonts w:asciiTheme="minorHAnsi" w:hAnsiTheme="minorHAnsi"/>
          <w:i/>
        </w:rPr>
      </w:pPr>
      <w:r w:rsidRPr="004D577F">
        <w:rPr>
          <w:rFonts w:asciiTheme="minorHAnsi" w:hAnsiTheme="minorHAnsi"/>
          <w:i/>
        </w:rPr>
        <w:t>For more detail on PBAC’s view, see section 7 PBAC outcome.</w:t>
      </w:r>
    </w:p>
    <w:p w:rsidR="0077452E" w:rsidRPr="004D577F" w:rsidRDefault="0077452E" w:rsidP="004A44A7">
      <w:pPr>
        <w:pStyle w:val="PBACHeading1"/>
        <w:numPr>
          <w:ilvl w:val="0"/>
          <w:numId w:val="3"/>
        </w:numPr>
        <w:spacing w:before="240" w:after="120"/>
        <w:outlineLvl w:val="0"/>
        <w:rPr>
          <w:rFonts w:cs="Times New Roman"/>
          <w:snapToGrid/>
          <w:color w:val="000000" w:themeColor="text1"/>
          <w:sz w:val="24"/>
        </w:rPr>
      </w:pPr>
      <w:r w:rsidRPr="004D577F">
        <w:t>PBAC Outcome</w:t>
      </w:r>
    </w:p>
    <w:p w:rsidR="00E8251F" w:rsidRPr="00E8251F" w:rsidRDefault="004D577F" w:rsidP="00E8251F">
      <w:pPr>
        <w:numPr>
          <w:ilvl w:val="1"/>
          <w:numId w:val="3"/>
        </w:numPr>
        <w:spacing w:after="120"/>
        <w:rPr>
          <w:rFonts w:asciiTheme="minorHAnsi" w:hAnsiTheme="minorHAnsi"/>
          <w:bCs/>
          <w:lang w:val="en-GB"/>
        </w:rPr>
      </w:pPr>
      <w:r w:rsidRPr="00C43D00">
        <w:rPr>
          <w:rFonts w:asciiTheme="minorHAnsi" w:hAnsiTheme="minorHAnsi"/>
          <w:bCs/>
          <w:lang w:val="en-GB"/>
        </w:rPr>
        <w:t xml:space="preserve">The PBAC did not recommend the </w:t>
      </w:r>
      <w:r w:rsidR="00A528ED" w:rsidRPr="00C43D00">
        <w:rPr>
          <w:rFonts w:asciiTheme="minorHAnsi" w:hAnsiTheme="minorHAnsi"/>
          <w:bCs/>
          <w:lang w:val="en-GB"/>
        </w:rPr>
        <w:t xml:space="preserve">Section 85 Authority </w:t>
      </w:r>
      <w:r w:rsidR="009E7B5A">
        <w:rPr>
          <w:rFonts w:asciiTheme="minorHAnsi" w:hAnsiTheme="minorHAnsi"/>
          <w:bCs/>
          <w:lang w:val="en-GB"/>
        </w:rPr>
        <w:t>R</w:t>
      </w:r>
      <w:r w:rsidR="00A528ED" w:rsidRPr="00C43D00">
        <w:rPr>
          <w:rFonts w:asciiTheme="minorHAnsi" w:hAnsiTheme="minorHAnsi"/>
          <w:bCs/>
          <w:lang w:val="en-GB"/>
        </w:rPr>
        <w:t>equired listing of</w:t>
      </w:r>
      <w:r w:rsidRPr="00C43D00">
        <w:rPr>
          <w:rFonts w:asciiTheme="minorHAnsi" w:hAnsiTheme="minorHAnsi"/>
          <w:bCs/>
          <w:lang w:val="en-GB"/>
        </w:rPr>
        <w:t xml:space="preserve"> </w:t>
      </w:r>
      <w:proofErr w:type="spellStart"/>
      <w:r w:rsidRPr="00C43D00">
        <w:rPr>
          <w:rFonts w:asciiTheme="minorHAnsi" w:hAnsiTheme="minorHAnsi"/>
          <w:bCs/>
          <w:lang w:val="en-GB"/>
        </w:rPr>
        <w:t>guselkumab</w:t>
      </w:r>
      <w:proofErr w:type="spellEnd"/>
      <w:r w:rsidRPr="00C43D00">
        <w:rPr>
          <w:rFonts w:asciiTheme="minorHAnsi" w:hAnsiTheme="minorHAnsi"/>
          <w:bCs/>
          <w:lang w:val="en-GB"/>
        </w:rPr>
        <w:t xml:space="preserve"> for</w:t>
      </w:r>
      <w:r w:rsidR="008D1EC0">
        <w:rPr>
          <w:rFonts w:asciiTheme="minorHAnsi" w:hAnsiTheme="minorHAnsi"/>
          <w:bCs/>
          <w:lang w:val="en-GB"/>
        </w:rPr>
        <w:t xml:space="preserve"> the</w:t>
      </w:r>
      <w:r w:rsidRPr="00C43D00">
        <w:rPr>
          <w:rFonts w:asciiTheme="minorHAnsi" w:hAnsiTheme="minorHAnsi"/>
          <w:bCs/>
          <w:lang w:val="en-GB"/>
        </w:rPr>
        <w:t xml:space="preserve"> </w:t>
      </w:r>
      <w:r w:rsidR="00A528ED" w:rsidRPr="00C43D00">
        <w:rPr>
          <w:rFonts w:asciiTheme="minorHAnsi" w:hAnsiTheme="minorHAnsi"/>
          <w:bCs/>
          <w:lang w:val="en-GB"/>
        </w:rPr>
        <w:t>treatment of severe chronic plaque psoriasis</w:t>
      </w:r>
      <w:r w:rsidR="00337147">
        <w:rPr>
          <w:rFonts w:asciiTheme="minorHAnsi" w:hAnsiTheme="minorHAnsi"/>
          <w:bCs/>
          <w:lang w:val="en-GB"/>
        </w:rPr>
        <w:t xml:space="preserve"> (CPP)</w:t>
      </w:r>
      <w:r w:rsidR="00A528ED" w:rsidRPr="00C43D00">
        <w:rPr>
          <w:rFonts w:asciiTheme="minorHAnsi" w:hAnsiTheme="minorHAnsi"/>
          <w:bCs/>
          <w:lang w:val="en-GB"/>
        </w:rPr>
        <w:t xml:space="preserve">. In making its decision the PBAC </w:t>
      </w:r>
      <w:r w:rsidR="00D57D51">
        <w:rPr>
          <w:rFonts w:asciiTheme="minorHAnsi" w:hAnsiTheme="minorHAnsi"/>
          <w:bCs/>
          <w:lang w:val="en-GB"/>
        </w:rPr>
        <w:t xml:space="preserve">considered </w:t>
      </w:r>
      <w:r w:rsidR="00A42D8B">
        <w:rPr>
          <w:rFonts w:asciiTheme="minorHAnsi" w:hAnsiTheme="minorHAnsi"/>
          <w:bCs/>
          <w:lang w:val="en-GB"/>
        </w:rPr>
        <w:t xml:space="preserve">that ustekinumab was </w:t>
      </w:r>
      <w:r w:rsidR="00AB57FB">
        <w:rPr>
          <w:rFonts w:asciiTheme="minorHAnsi" w:hAnsiTheme="minorHAnsi"/>
          <w:bCs/>
          <w:lang w:val="en-GB"/>
        </w:rPr>
        <w:t xml:space="preserve">an </w:t>
      </w:r>
      <w:r w:rsidR="00A42D8B">
        <w:rPr>
          <w:rFonts w:asciiTheme="minorHAnsi" w:hAnsiTheme="minorHAnsi"/>
          <w:bCs/>
          <w:lang w:val="en-GB"/>
        </w:rPr>
        <w:t>inappropriate</w:t>
      </w:r>
      <w:r w:rsidR="00647EC4">
        <w:rPr>
          <w:rFonts w:asciiTheme="minorHAnsi" w:hAnsiTheme="minorHAnsi"/>
          <w:bCs/>
          <w:lang w:val="en-GB"/>
        </w:rPr>
        <w:t xml:space="preserve"> choice as </w:t>
      </w:r>
      <w:r w:rsidR="006A40DC">
        <w:rPr>
          <w:rFonts w:asciiTheme="minorHAnsi" w:hAnsiTheme="minorHAnsi"/>
          <w:bCs/>
          <w:lang w:val="en-GB"/>
        </w:rPr>
        <w:t>the</w:t>
      </w:r>
      <w:r w:rsidR="00A42D8B">
        <w:rPr>
          <w:rFonts w:asciiTheme="minorHAnsi" w:hAnsiTheme="minorHAnsi"/>
          <w:bCs/>
          <w:lang w:val="en-GB"/>
        </w:rPr>
        <w:t xml:space="preserve"> main comparator</w:t>
      </w:r>
      <w:r w:rsidR="00AB57FB">
        <w:rPr>
          <w:rFonts w:asciiTheme="minorHAnsi" w:hAnsiTheme="minorHAnsi"/>
          <w:bCs/>
          <w:lang w:val="en-GB"/>
        </w:rPr>
        <w:t>.</w:t>
      </w:r>
      <w:r w:rsidR="00A42D8B">
        <w:rPr>
          <w:rFonts w:asciiTheme="minorHAnsi" w:hAnsiTheme="minorHAnsi"/>
          <w:bCs/>
          <w:lang w:val="en-GB"/>
        </w:rPr>
        <w:t xml:space="preserve"> </w:t>
      </w:r>
    </w:p>
    <w:p w:rsidR="00FC609E" w:rsidRDefault="00FC609E" w:rsidP="00FC609E">
      <w:pPr>
        <w:pStyle w:val="ListParagraph"/>
        <w:widowControl/>
        <w:numPr>
          <w:ilvl w:val="1"/>
          <w:numId w:val="3"/>
        </w:numPr>
      </w:pPr>
      <w:r w:rsidRPr="00C0268D">
        <w:rPr>
          <w:rFonts w:cs="Calibri"/>
          <w:snapToGrid/>
          <w:szCs w:val="24"/>
          <w:lang w:eastAsia="en-AU"/>
        </w:rPr>
        <w:t xml:space="preserve">The submission </w:t>
      </w:r>
      <w:r w:rsidR="008A555F">
        <w:rPr>
          <w:rFonts w:cs="Calibri"/>
          <w:snapToGrid/>
          <w:szCs w:val="24"/>
          <w:lang w:eastAsia="en-AU"/>
        </w:rPr>
        <w:t>proposed</w:t>
      </w:r>
      <w:r w:rsidRPr="00C0268D">
        <w:t xml:space="preserve"> ustekinumab</w:t>
      </w:r>
      <w:r w:rsidR="008A555F">
        <w:t xml:space="preserve"> as the main comparator on the basis of</w:t>
      </w:r>
      <w:r w:rsidRPr="00C0268D">
        <w:t xml:space="preserve"> being the most commonly used PBS-subsidised biologic</w:t>
      </w:r>
      <w:r w:rsidR="00484659">
        <w:t>al</w:t>
      </w:r>
      <w:r w:rsidRPr="00C0268D">
        <w:t xml:space="preserve"> for severe CPP (47% market share); and guselkumab being an exclusive IL-23 inhibitor, having a similar mechanism of action to ustekinumab an IL-12/23 inhibitor. </w:t>
      </w:r>
      <w:r>
        <w:t xml:space="preserve"> The PBAC disagreed with the justification provided to support the nominated comparator </w:t>
      </w:r>
      <w:r w:rsidR="008A555F">
        <w:rPr>
          <w:iCs/>
        </w:rPr>
        <w:t xml:space="preserve">and </w:t>
      </w:r>
      <w:r w:rsidR="008A555F" w:rsidRPr="00C0268D">
        <w:rPr>
          <w:iCs/>
        </w:rPr>
        <w:t xml:space="preserve">considered that any of the biologic agents on the PBS for CPP may be replaced and hence be a relevant comparator. </w:t>
      </w:r>
      <w:r w:rsidR="00AA3A68" w:rsidRPr="00C0268D">
        <w:rPr>
          <w:rFonts w:cs="Calibri"/>
          <w:iCs/>
          <w:snapToGrid/>
          <w:szCs w:val="24"/>
          <w:lang w:eastAsia="en-AU"/>
        </w:rPr>
        <w:t>If treatment with guselkumab is substantially more costly than these alternative therapies, the PBAC could only recommend listing of guselkumab if it is satisfied that guselkumab provides, for some patients, a significant improvement in efficacy or reduction of toxicity over the alternative therapies (National Health Act 1953, Section 101(3B)).</w:t>
      </w:r>
      <w:r>
        <w:t xml:space="preserve"> </w:t>
      </w:r>
    </w:p>
    <w:p w:rsidR="00FC609E" w:rsidRPr="00C0268D" w:rsidRDefault="00FC609E" w:rsidP="00FC609E">
      <w:pPr>
        <w:pStyle w:val="ListParagraph"/>
        <w:widowControl/>
        <w:numPr>
          <w:ilvl w:val="1"/>
          <w:numId w:val="3"/>
        </w:numPr>
      </w:pPr>
      <w:r w:rsidRPr="00C0268D">
        <w:t xml:space="preserve">The </w:t>
      </w:r>
      <w:r w:rsidR="0038277E">
        <w:t xml:space="preserve">PBAC noted that the </w:t>
      </w:r>
      <w:r w:rsidRPr="00C0268D">
        <w:t>submission nominated adalimumab (ADA) as a supplementary efficacy comparator, based on adalimumab being the active comparator (up to 48 weeks) in the main trials supporting the submission (the VOYAGE-1 and 2 trials</w:t>
      </w:r>
      <w:r>
        <w:t xml:space="preserve">). </w:t>
      </w:r>
    </w:p>
    <w:p w:rsidR="00196C11" w:rsidRPr="00940646" w:rsidRDefault="0038277E" w:rsidP="00196C11">
      <w:pPr>
        <w:numPr>
          <w:ilvl w:val="1"/>
          <w:numId w:val="3"/>
        </w:numPr>
        <w:spacing w:after="120"/>
        <w:rPr>
          <w:rFonts w:asciiTheme="minorHAnsi" w:hAnsiTheme="minorHAnsi"/>
          <w:bCs/>
          <w:lang w:val="en-GB"/>
        </w:rPr>
      </w:pPr>
      <w:r>
        <w:rPr>
          <w:rFonts w:asciiTheme="minorHAnsi" w:hAnsiTheme="minorHAnsi"/>
          <w:bCs/>
          <w:lang w:val="en-GB"/>
        </w:rPr>
        <w:t xml:space="preserve">The PBAC recalled etanercept, adalimumab, </w:t>
      </w:r>
      <w:proofErr w:type="spellStart"/>
      <w:r>
        <w:rPr>
          <w:rFonts w:asciiTheme="minorHAnsi" w:hAnsiTheme="minorHAnsi"/>
          <w:bCs/>
          <w:lang w:val="en-GB"/>
        </w:rPr>
        <w:t>secukinumab</w:t>
      </w:r>
      <w:proofErr w:type="spellEnd"/>
      <w:r>
        <w:rPr>
          <w:rFonts w:asciiTheme="minorHAnsi" w:hAnsiTheme="minorHAnsi"/>
          <w:bCs/>
          <w:lang w:val="en-GB"/>
        </w:rPr>
        <w:t xml:space="preserve"> and ixekizumab were cost-minimised against each other or the least expensive biological. </w:t>
      </w:r>
      <w:r w:rsidRPr="0038277E">
        <w:rPr>
          <w:rFonts w:cs="Calibri"/>
          <w:iCs/>
          <w:snapToGrid/>
          <w:szCs w:val="24"/>
          <w:lang w:eastAsia="en-AU"/>
        </w:rPr>
        <w:t>The PBAC noted that the submission claimed superior</w:t>
      </w:r>
      <w:r w:rsidR="00332D4D">
        <w:rPr>
          <w:rFonts w:cs="Calibri"/>
          <w:iCs/>
          <w:snapToGrid/>
          <w:szCs w:val="24"/>
          <w:lang w:eastAsia="en-AU"/>
        </w:rPr>
        <w:t xml:space="preserve"> </w:t>
      </w:r>
      <w:r w:rsidR="006A40DC">
        <w:rPr>
          <w:rFonts w:cs="Calibri"/>
          <w:iCs/>
          <w:snapToGrid/>
          <w:szCs w:val="24"/>
          <w:lang w:eastAsia="en-AU"/>
        </w:rPr>
        <w:t>efficacy</w:t>
      </w:r>
      <w:r w:rsidRPr="0038277E">
        <w:rPr>
          <w:rFonts w:cs="Calibri"/>
          <w:iCs/>
          <w:snapToGrid/>
          <w:szCs w:val="24"/>
          <w:lang w:eastAsia="en-AU"/>
        </w:rPr>
        <w:t xml:space="preserve"> for guselkumab versus adalimumab, and thus it may be reasonable to claim for some patients there is a</w:t>
      </w:r>
      <w:r w:rsidRPr="0038277E">
        <w:rPr>
          <w:rFonts w:cs="Calibri"/>
          <w:i/>
          <w:iCs/>
          <w:snapToGrid/>
          <w:szCs w:val="24"/>
          <w:lang w:eastAsia="en-AU"/>
        </w:rPr>
        <w:t xml:space="preserve"> </w:t>
      </w:r>
      <w:r w:rsidRPr="0038277E">
        <w:rPr>
          <w:rFonts w:cs="Calibri"/>
          <w:iCs/>
          <w:snapToGrid/>
          <w:szCs w:val="24"/>
          <w:lang w:eastAsia="en-AU"/>
        </w:rPr>
        <w:t>significant improvement in efficacy versus these alternative therapies.</w:t>
      </w:r>
      <w:r w:rsidR="00EF6334">
        <w:rPr>
          <w:rFonts w:cs="Calibri"/>
          <w:iCs/>
          <w:snapToGrid/>
          <w:szCs w:val="24"/>
          <w:lang w:eastAsia="en-AU"/>
        </w:rPr>
        <w:t xml:space="preserve"> However, t</w:t>
      </w:r>
      <w:r w:rsidR="00EF6334" w:rsidRPr="00F92660">
        <w:rPr>
          <w:rFonts w:cs="Calibri"/>
          <w:iCs/>
          <w:snapToGrid/>
          <w:szCs w:val="24"/>
          <w:lang w:eastAsia="en-AU"/>
        </w:rPr>
        <w:t xml:space="preserve">he PBAC </w:t>
      </w:r>
      <w:r w:rsidR="00EF6334">
        <w:rPr>
          <w:rFonts w:cs="Calibri"/>
          <w:iCs/>
          <w:snapToGrid/>
          <w:szCs w:val="24"/>
          <w:lang w:eastAsia="en-AU"/>
        </w:rPr>
        <w:t>also noted</w:t>
      </w:r>
      <w:r w:rsidR="00EF6334" w:rsidRPr="00F92660">
        <w:rPr>
          <w:rFonts w:cs="Calibri"/>
          <w:iCs/>
          <w:snapToGrid/>
          <w:szCs w:val="24"/>
          <w:lang w:eastAsia="en-AU"/>
        </w:rPr>
        <w:t xml:space="preserve"> </w:t>
      </w:r>
      <w:r w:rsidR="00EF6334">
        <w:rPr>
          <w:rFonts w:cs="Calibri"/>
          <w:iCs/>
          <w:snapToGrid/>
          <w:szCs w:val="24"/>
          <w:lang w:eastAsia="en-AU"/>
        </w:rPr>
        <w:t xml:space="preserve">ESC’s reference to </w:t>
      </w:r>
      <w:r w:rsidR="00EF6334" w:rsidRPr="00F92660">
        <w:rPr>
          <w:rFonts w:cs="Calibri"/>
          <w:iCs/>
          <w:snapToGrid/>
          <w:szCs w:val="24"/>
          <w:lang w:eastAsia="en-AU"/>
        </w:rPr>
        <w:t>the findings of the draft post-market review (PMR) of the use of biologics in the treatment of severe CPP</w:t>
      </w:r>
      <w:r w:rsidR="00EF6334">
        <w:rPr>
          <w:rFonts w:cs="Calibri"/>
          <w:iCs/>
          <w:snapToGrid/>
          <w:szCs w:val="24"/>
          <w:lang w:eastAsia="en-AU"/>
        </w:rPr>
        <w:t xml:space="preserve"> which</w:t>
      </w:r>
      <w:r w:rsidR="00EF6334" w:rsidRPr="00F92660">
        <w:rPr>
          <w:rFonts w:cs="Calibri"/>
          <w:iCs/>
          <w:snapToGrid/>
          <w:szCs w:val="24"/>
          <w:lang w:eastAsia="en-AU"/>
        </w:rPr>
        <w:t xml:space="preserve"> shows that </w:t>
      </w:r>
      <w:r w:rsidR="00EF6334" w:rsidRPr="00F92660">
        <w:rPr>
          <w:iCs/>
          <w:lang w:eastAsia="en-AU"/>
        </w:rPr>
        <w:t xml:space="preserve">ixekizumab may be the most effective </w:t>
      </w:r>
      <w:r w:rsidR="00EF6334">
        <w:rPr>
          <w:iCs/>
          <w:lang w:eastAsia="en-AU"/>
        </w:rPr>
        <w:t>of the PBS</w:t>
      </w:r>
      <w:r w:rsidR="00940646">
        <w:rPr>
          <w:iCs/>
          <w:lang w:eastAsia="en-AU"/>
        </w:rPr>
        <w:t xml:space="preserve"> listed</w:t>
      </w:r>
      <w:r w:rsidR="00EF6334">
        <w:rPr>
          <w:iCs/>
          <w:lang w:eastAsia="en-AU"/>
        </w:rPr>
        <w:t xml:space="preserve"> biologics</w:t>
      </w:r>
      <w:r w:rsidR="00EF6334" w:rsidRPr="00F92660">
        <w:rPr>
          <w:iCs/>
          <w:lang w:eastAsia="en-AU"/>
        </w:rPr>
        <w:t>.</w:t>
      </w:r>
      <w:r w:rsidR="00196C11">
        <w:rPr>
          <w:iCs/>
          <w:lang w:eastAsia="en-AU"/>
        </w:rPr>
        <w:t xml:space="preserve"> Given this, t</w:t>
      </w:r>
      <w:r w:rsidR="00196C11">
        <w:rPr>
          <w:iCs/>
        </w:rPr>
        <w:t>he PBAC considered that a comparison versus ixekizumab would also be informative.</w:t>
      </w:r>
    </w:p>
    <w:p w:rsidR="001F689A" w:rsidRPr="00940646" w:rsidRDefault="00940646" w:rsidP="00332D4D">
      <w:pPr>
        <w:numPr>
          <w:ilvl w:val="1"/>
          <w:numId w:val="3"/>
        </w:numPr>
        <w:spacing w:after="120"/>
        <w:rPr>
          <w:rFonts w:cs="Calibri"/>
          <w:snapToGrid/>
          <w:szCs w:val="24"/>
          <w:lang w:eastAsia="en-AU"/>
        </w:rPr>
      </w:pPr>
      <w:r w:rsidRPr="00940646">
        <w:rPr>
          <w:iCs/>
        </w:rPr>
        <w:lastRenderedPageBreak/>
        <w:t>Infliximab</w:t>
      </w:r>
      <w:r w:rsidRPr="00AA3A68">
        <w:rPr>
          <w:rFonts w:asciiTheme="minorHAnsi" w:hAnsiTheme="minorHAnsi"/>
          <w:bCs/>
          <w:lang w:val="en-GB"/>
        </w:rPr>
        <w:t xml:space="preserve"> and ustekinumab were</w:t>
      </w:r>
      <w:r>
        <w:rPr>
          <w:rFonts w:asciiTheme="minorHAnsi" w:hAnsiTheme="minorHAnsi"/>
          <w:bCs/>
          <w:lang w:val="en-GB"/>
        </w:rPr>
        <w:t xml:space="preserve"> each</w:t>
      </w:r>
      <w:r w:rsidRPr="00AA3A68">
        <w:rPr>
          <w:rFonts w:asciiTheme="minorHAnsi" w:hAnsiTheme="minorHAnsi"/>
          <w:bCs/>
          <w:lang w:val="en-GB"/>
        </w:rPr>
        <w:t xml:space="preserve"> listed on a cost effectiveness basis against etanercept. </w:t>
      </w:r>
      <w:r>
        <w:t xml:space="preserve">ESC raised that </w:t>
      </w:r>
      <w:r w:rsidRPr="00C0268D">
        <w:t xml:space="preserve">the submission did not include a clinical claim </w:t>
      </w:r>
      <w:r w:rsidRPr="00196C11">
        <w:rPr>
          <w:rFonts w:cs="Calibri"/>
          <w:iCs/>
          <w:snapToGrid/>
          <w:szCs w:val="24"/>
          <w:lang w:eastAsia="en-AU"/>
        </w:rPr>
        <w:t xml:space="preserve">for guselkumab </w:t>
      </w:r>
      <w:r w:rsidRPr="00C0268D">
        <w:t xml:space="preserve">versus </w:t>
      </w:r>
      <w:r w:rsidRPr="00CF6892">
        <w:t>infliximab</w:t>
      </w:r>
      <w:r>
        <w:t xml:space="preserve"> even though</w:t>
      </w:r>
      <w:r w:rsidRPr="00C0268D">
        <w:t xml:space="preserve"> infliximab was listed on a cost-effective</w:t>
      </w:r>
      <w:r>
        <w:t>ness</w:t>
      </w:r>
      <w:r w:rsidRPr="00C0268D">
        <w:t xml:space="preserve"> basis </w:t>
      </w:r>
      <w:r>
        <w:t xml:space="preserve">against etanercept, and </w:t>
      </w:r>
      <w:r w:rsidRPr="00196C11">
        <w:rPr>
          <w:rFonts w:cs="Calibri"/>
          <w:iCs/>
          <w:snapToGrid/>
          <w:szCs w:val="24"/>
          <w:lang w:eastAsia="en-AU"/>
        </w:rPr>
        <w:t>infliximab is now less costly than ustekinumab</w:t>
      </w:r>
      <w:r>
        <w:t xml:space="preserve">. </w:t>
      </w:r>
      <w:r w:rsidRPr="00196C11">
        <w:rPr>
          <w:iCs/>
        </w:rPr>
        <w:t xml:space="preserve">The PBAC agreed with ESC that infliximab was a relevant comparator. </w:t>
      </w:r>
      <w:r w:rsidRPr="00196C11">
        <w:rPr>
          <w:rFonts w:cs="Calibri"/>
          <w:iCs/>
          <w:snapToGrid/>
          <w:szCs w:val="24"/>
          <w:lang w:eastAsia="en-AU"/>
        </w:rPr>
        <w:t xml:space="preserve">The Pre-PBAC response stated that the sponsor would be amenable to listing on a cost-minimisation basis versus infliximab. </w:t>
      </w:r>
      <w:r w:rsidRPr="00196C11">
        <w:rPr>
          <w:rFonts w:asciiTheme="minorHAnsi" w:hAnsiTheme="minorHAnsi"/>
          <w:bCs/>
          <w:lang w:val="en-GB"/>
        </w:rPr>
        <w:t>The PBAC noted that the</w:t>
      </w:r>
      <w:r w:rsidRPr="00196C11">
        <w:rPr>
          <w:rFonts w:cs="Calibri"/>
          <w:iCs/>
          <w:snapToGrid/>
          <w:szCs w:val="24"/>
          <w:lang w:eastAsia="en-AU"/>
        </w:rPr>
        <w:t xml:space="preserve"> indirect comparison of the meta-analysed results from the pivotal trials for infliximab (EXPRESS 1 and EXPRESS 2) and guselkumab (VOYAGE 1 and VOYAGE 2) presented in the Pre-PBAC response had not been evaluated</w:t>
      </w:r>
      <w:r w:rsidR="001B23AB">
        <w:rPr>
          <w:rFonts w:cs="Calibri"/>
          <w:iCs/>
          <w:snapToGrid/>
          <w:szCs w:val="24"/>
          <w:lang w:eastAsia="en-AU"/>
        </w:rPr>
        <w:t xml:space="preserve"> and considered that not all potentially relevant infliximab trials were included in the analysis</w:t>
      </w:r>
      <w:r w:rsidRPr="00196C11">
        <w:rPr>
          <w:rFonts w:cs="Calibri"/>
          <w:iCs/>
          <w:snapToGrid/>
          <w:szCs w:val="24"/>
          <w:lang w:eastAsia="en-AU"/>
        </w:rPr>
        <w:t xml:space="preserve">. The PBAC considered that this comparison would need to be presented in </w:t>
      </w:r>
      <w:r w:rsidR="00332D4D">
        <w:rPr>
          <w:rFonts w:cs="Calibri"/>
          <w:iCs/>
          <w:snapToGrid/>
          <w:szCs w:val="24"/>
          <w:lang w:eastAsia="en-AU"/>
        </w:rPr>
        <w:t xml:space="preserve">a </w:t>
      </w:r>
      <w:r w:rsidRPr="00196C11">
        <w:rPr>
          <w:rFonts w:cs="Calibri"/>
          <w:iCs/>
          <w:snapToGrid/>
          <w:szCs w:val="24"/>
          <w:lang w:eastAsia="en-AU"/>
        </w:rPr>
        <w:t>major submission to enable it to be fully evaluated.</w:t>
      </w:r>
    </w:p>
    <w:p w:rsidR="00E8251F" w:rsidRPr="00B915D2" w:rsidRDefault="00EB7AC1" w:rsidP="00B915D2">
      <w:pPr>
        <w:numPr>
          <w:ilvl w:val="1"/>
          <w:numId w:val="3"/>
        </w:numPr>
        <w:spacing w:after="120"/>
        <w:rPr>
          <w:rFonts w:asciiTheme="minorHAnsi" w:hAnsiTheme="minorHAnsi"/>
          <w:bCs/>
          <w:lang w:val="en-GB"/>
        </w:rPr>
      </w:pPr>
      <w:r>
        <w:rPr>
          <w:rFonts w:asciiTheme="minorHAnsi" w:hAnsiTheme="minorHAnsi"/>
          <w:bCs/>
          <w:lang w:val="en-GB"/>
        </w:rPr>
        <w:t xml:space="preserve">The submission was based on </w:t>
      </w:r>
      <w:r w:rsidR="00EF6334">
        <w:rPr>
          <w:rFonts w:asciiTheme="minorHAnsi" w:hAnsiTheme="minorHAnsi"/>
          <w:bCs/>
          <w:lang w:val="en-GB"/>
        </w:rPr>
        <w:t xml:space="preserve">an </w:t>
      </w:r>
      <w:r>
        <w:rPr>
          <w:rFonts w:asciiTheme="minorHAnsi" w:hAnsiTheme="minorHAnsi"/>
          <w:bCs/>
          <w:lang w:val="en-GB"/>
        </w:rPr>
        <w:t>indirect comparison of two placebo</w:t>
      </w:r>
      <w:r w:rsidR="00332D4D">
        <w:rPr>
          <w:rFonts w:asciiTheme="minorHAnsi" w:hAnsiTheme="minorHAnsi"/>
          <w:bCs/>
          <w:lang w:val="en-GB"/>
        </w:rPr>
        <w:t xml:space="preserve"> </w:t>
      </w:r>
      <w:r>
        <w:rPr>
          <w:rFonts w:asciiTheme="minorHAnsi" w:hAnsiTheme="minorHAnsi"/>
          <w:bCs/>
          <w:lang w:val="en-GB"/>
        </w:rPr>
        <w:t xml:space="preserve">and active controlled trials of </w:t>
      </w:r>
      <w:proofErr w:type="spellStart"/>
      <w:r>
        <w:rPr>
          <w:rFonts w:asciiTheme="minorHAnsi" w:hAnsiTheme="minorHAnsi"/>
          <w:bCs/>
          <w:lang w:val="en-GB"/>
        </w:rPr>
        <w:t>guselkumab</w:t>
      </w:r>
      <w:proofErr w:type="spellEnd"/>
      <w:r>
        <w:rPr>
          <w:rFonts w:asciiTheme="minorHAnsi" w:hAnsiTheme="minorHAnsi"/>
          <w:bCs/>
          <w:lang w:val="en-GB"/>
        </w:rPr>
        <w:t xml:space="preserve"> and two placebo-controlled trials of ustekinumab. The PBAC </w:t>
      </w:r>
      <w:r w:rsidR="00EF6334">
        <w:rPr>
          <w:rFonts w:asciiTheme="minorHAnsi" w:hAnsiTheme="minorHAnsi"/>
          <w:bCs/>
          <w:lang w:val="en-GB"/>
        </w:rPr>
        <w:t xml:space="preserve">noted </w:t>
      </w:r>
      <w:r>
        <w:rPr>
          <w:rFonts w:asciiTheme="minorHAnsi" w:hAnsiTheme="minorHAnsi"/>
          <w:bCs/>
          <w:lang w:val="en-GB"/>
        </w:rPr>
        <w:t>that the bias</w:t>
      </w:r>
      <w:r w:rsidR="00EF6334">
        <w:rPr>
          <w:rFonts w:asciiTheme="minorHAnsi" w:hAnsiTheme="minorHAnsi"/>
          <w:bCs/>
          <w:lang w:val="en-GB"/>
        </w:rPr>
        <w:t xml:space="preserve"> in each of the trials</w:t>
      </w:r>
      <w:r>
        <w:rPr>
          <w:rFonts w:asciiTheme="minorHAnsi" w:hAnsiTheme="minorHAnsi"/>
          <w:bCs/>
          <w:lang w:val="en-GB"/>
        </w:rPr>
        <w:t xml:space="preserve"> was low</w:t>
      </w:r>
      <w:r w:rsidR="00EF6334">
        <w:rPr>
          <w:rFonts w:asciiTheme="minorHAnsi" w:hAnsiTheme="minorHAnsi"/>
          <w:bCs/>
          <w:lang w:val="en-GB"/>
        </w:rPr>
        <w:t>,</w:t>
      </w:r>
      <w:r>
        <w:rPr>
          <w:rFonts w:asciiTheme="minorHAnsi" w:hAnsiTheme="minorHAnsi"/>
          <w:bCs/>
          <w:lang w:val="en-GB"/>
        </w:rPr>
        <w:t xml:space="preserve"> however some transitivity issues were noted </w:t>
      </w:r>
      <w:r w:rsidR="00EF6334">
        <w:rPr>
          <w:rFonts w:asciiTheme="minorHAnsi" w:hAnsiTheme="minorHAnsi"/>
          <w:bCs/>
          <w:lang w:val="en-GB"/>
        </w:rPr>
        <w:t>across the trials</w:t>
      </w:r>
      <w:r>
        <w:rPr>
          <w:rFonts w:asciiTheme="minorHAnsi" w:hAnsiTheme="minorHAnsi"/>
          <w:bCs/>
          <w:lang w:val="en-GB"/>
        </w:rPr>
        <w:t xml:space="preserve">.  </w:t>
      </w:r>
      <w:r w:rsidR="002D411F">
        <w:rPr>
          <w:rFonts w:asciiTheme="minorHAnsi" w:hAnsiTheme="minorHAnsi"/>
          <w:bCs/>
          <w:lang w:val="en-GB"/>
        </w:rPr>
        <w:t>The PBAC</w:t>
      </w:r>
      <w:r w:rsidR="003A6481">
        <w:rPr>
          <w:rFonts w:asciiTheme="minorHAnsi" w:hAnsiTheme="minorHAnsi"/>
          <w:bCs/>
          <w:lang w:val="en-GB"/>
        </w:rPr>
        <w:t xml:space="preserve"> noted that</w:t>
      </w:r>
      <w:r w:rsidR="00FA271E">
        <w:rPr>
          <w:rFonts w:asciiTheme="minorHAnsi" w:hAnsiTheme="minorHAnsi"/>
          <w:bCs/>
          <w:lang w:val="en-GB"/>
        </w:rPr>
        <w:t xml:space="preserve"> the</w:t>
      </w:r>
      <w:r w:rsidR="003A6481">
        <w:rPr>
          <w:rFonts w:asciiTheme="minorHAnsi" w:hAnsiTheme="minorHAnsi"/>
          <w:bCs/>
          <w:lang w:val="en-GB"/>
        </w:rPr>
        <w:t xml:space="preserve"> trial population</w:t>
      </w:r>
      <w:r w:rsidR="00AA071E">
        <w:rPr>
          <w:rFonts w:asciiTheme="minorHAnsi" w:hAnsiTheme="minorHAnsi"/>
          <w:bCs/>
          <w:lang w:val="en-GB"/>
        </w:rPr>
        <w:t>s were broader</w:t>
      </w:r>
      <w:r w:rsidR="003A6481">
        <w:rPr>
          <w:rFonts w:asciiTheme="minorHAnsi" w:hAnsiTheme="minorHAnsi"/>
          <w:bCs/>
          <w:lang w:val="en-GB"/>
        </w:rPr>
        <w:t xml:space="preserve"> </w:t>
      </w:r>
      <w:r w:rsidR="00AA071E">
        <w:rPr>
          <w:rFonts w:asciiTheme="minorHAnsi" w:hAnsiTheme="minorHAnsi"/>
          <w:bCs/>
          <w:lang w:val="en-GB"/>
        </w:rPr>
        <w:t>than</w:t>
      </w:r>
      <w:r w:rsidR="003A6481">
        <w:rPr>
          <w:rFonts w:asciiTheme="minorHAnsi" w:hAnsiTheme="minorHAnsi"/>
          <w:bCs/>
          <w:lang w:val="en-GB"/>
        </w:rPr>
        <w:t xml:space="preserve"> the requested PBS population, however </w:t>
      </w:r>
      <w:r w:rsidR="00AA071E">
        <w:rPr>
          <w:rFonts w:asciiTheme="minorHAnsi" w:hAnsiTheme="minorHAnsi"/>
          <w:bCs/>
          <w:lang w:val="en-GB"/>
        </w:rPr>
        <w:t>were</w:t>
      </w:r>
      <w:r w:rsidR="003A6481">
        <w:rPr>
          <w:rFonts w:asciiTheme="minorHAnsi" w:hAnsiTheme="minorHAnsi"/>
          <w:bCs/>
          <w:lang w:val="en-GB"/>
        </w:rPr>
        <w:t xml:space="preserve"> </w:t>
      </w:r>
      <w:r w:rsidR="001F689A">
        <w:rPr>
          <w:rFonts w:asciiTheme="minorHAnsi" w:hAnsiTheme="minorHAnsi"/>
          <w:bCs/>
          <w:lang w:val="en-GB"/>
        </w:rPr>
        <w:t>similar</w:t>
      </w:r>
      <w:r w:rsidR="00AA071E">
        <w:rPr>
          <w:rFonts w:asciiTheme="minorHAnsi" w:hAnsiTheme="minorHAnsi"/>
          <w:bCs/>
          <w:lang w:val="en-GB"/>
        </w:rPr>
        <w:t xml:space="preserve"> overall</w:t>
      </w:r>
      <w:r w:rsidR="003A6481">
        <w:rPr>
          <w:rFonts w:asciiTheme="minorHAnsi" w:hAnsiTheme="minorHAnsi"/>
          <w:bCs/>
          <w:lang w:val="en-GB"/>
        </w:rPr>
        <w:t xml:space="preserve"> to</w:t>
      </w:r>
      <w:r w:rsidR="00940646">
        <w:rPr>
          <w:rFonts w:asciiTheme="minorHAnsi" w:hAnsiTheme="minorHAnsi"/>
          <w:bCs/>
          <w:lang w:val="en-GB"/>
        </w:rPr>
        <w:t xml:space="preserve"> the</w:t>
      </w:r>
      <w:r w:rsidR="003A6481">
        <w:rPr>
          <w:rFonts w:asciiTheme="minorHAnsi" w:hAnsiTheme="minorHAnsi"/>
          <w:bCs/>
          <w:lang w:val="en-GB"/>
        </w:rPr>
        <w:t xml:space="preserve"> </w:t>
      </w:r>
      <w:r w:rsidR="00AA071E">
        <w:rPr>
          <w:rFonts w:asciiTheme="minorHAnsi" w:hAnsiTheme="minorHAnsi"/>
          <w:bCs/>
          <w:lang w:val="en-GB"/>
        </w:rPr>
        <w:t xml:space="preserve">trial </w:t>
      </w:r>
      <w:r w:rsidR="003A6481">
        <w:rPr>
          <w:rFonts w:asciiTheme="minorHAnsi" w:hAnsiTheme="minorHAnsi"/>
          <w:bCs/>
          <w:lang w:val="en-GB"/>
        </w:rPr>
        <w:t xml:space="preserve">populations previously considered by the PBAC. </w:t>
      </w:r>
      <w:r w:rsidR="002D411F">
        <w:rPr>
          <w:rFonts w:asciiTheme="minorHAnsi" w:hAnsiTheme="minorHAnsi"/>
          <w:bCs/>
          <w:lang w:val="en-GB"/>
        </w:rPr>
        <w:t xml:space="preserve"> </w:t>
      </w:r>
    </w:p>
    <w:p w:rsidR="0077452E" w:rsidRPr="008B66FD" w:rsidRDefault="00B915D2" w:rsidP="0077452E">
      <w:pPr>
        <w:numPr>
          <w:ilvl w:val="1"/>
          <w:numId w:val="3"/>
        </w:numPr>
        <w:spacing w:after="120"/>
        <w:rPr>
          <w:rFonts w:asciiTheme="minorHAnsi" w:hAnsiTheme="minorHAnsi"/>
          <w:bCs/>
          <w:lang w:val="en-GB"/>
        </w:rPr>
      </w:pPr>
      <w:r>
        <w:rPr>
          <w:rFonts w:asciiTheme="minorHAnsi" w:hAnsiTheme="minorHAnsi"/>
          <w:bCs/>
          <w:lang w:val="en-GB"/>
        </w:rPr>
        <w:t xml:space="preserve">The </w:t>
      </w:r>
      <w:r w:rsidR="00AA071E">
        <w:rPr>
          <w:rFonts w:asciiTheme="minorHAnsi" w:hAnsiTheme="minorHAnsi"/>
          <w:bCs/>
          <w:lang w:val="en-GB"/>
        </w:rPr>
        <w:t>PBAC considered</w:t>
      </w:r>
      <w:r>
        <w:rPr>
          <w:rFonts w:asciiTheme="minorHAnsi" w:hAnsiTheme="minorHAnsi"/>
          <w:bCs/>
          <w:lang w:val="en-GB"/>
        </w:rPr>
        <w:t xml:space="preserve"> that the safety</w:t>
      </w:r>
      <w:r w:rsidRPr="00B915D2">
        <w:rPr>
          <w:rFonts w:asciiTheme="minorHAnsi" w:hAnsiTheme="minorHAnsi"/>
          <w:bCs/>
          <w:lang w:val="en-GB"/>
        </w:rPr>
        <w:t xml:space="preserve"> and efficacy claims of non-inferiority against ustekinumab</w:t>
      </w:r>
      <w:r w:rsidR="00940646">
        <w:rPr>
          <w:rFonts w:asciiTheme="minorHAnsi" w:hAnsiTheme="minorHAnsi"/>
          <w:bCs/>
          <w:lang w:val="en-GB"/>
        </w:rPr>
        <w:t>,</w:t>
      </w:r>
      <w:r w:rsidRPr="00B915D2">
        <w:rPr>
          <w:rFonts w:asciiTheme="minorHAnsi" w:hAnsiTheme="minorHAnsi"/>
          <w:bCs/>
          <w:lang w:val="en-GB"/>
        </w:rPr>
        <w:t xml:space="preserve"> and superior</w:t>
      </w:r>
      <w:r w:rsidR="00940646">
        <w:rPr>
          <w:rFonts w:asciiTheme="minorHAnsi" w:hAnsiTheme="minorHAnsi"/>
          <w:bCs/>
          <w:lang w:val="en-GB"/>
        </w:rPr>
        <w:t xml:space="preserve"> efficacy and non-inferior safety</w:t>
      </w:r>
      <w:r w:rsidRPr="00B915D2">
        <w:rPr>
          <w:rFonts w:asciiTheme="minorHAnsi" w:hAnsiTheme="minorHAnsi"/>
          <w:bCs/>
          <w:lang w:val="en-GB"/>
        </w:rPr>
        <w:t xml:space="preserve"> versus adalimumab appear to be adequately supported by the results presented in the submission.</w:t>
      </w:r>
      <w:r>
        <w:rPr>
          <w:rFonts w:asciiTheme="minorHAnsi" w:hAnsiTheme="minorHAnsi"/>
          <w:bCs/>
          <w:lang w:val="en-GB"/>
        </w:rPr>
        <w:t xml:space="preserve"> </w:t>
      </w:r>
      <w:r w:rsidR="00AA071E">
        <w:rPr>
          <w:rFonts w:asciiTheme="minorHAnsi" w:hAnsiTheme="minorHAnsi"/>
          <w:bCs/>
          <w:lang w:val="en-GB"/>
        </w:rPr>
        <w:t>However, t</w:t>
      </w:r>
      <w:r w:rsidR="00426BFB" w:rsidRPr="00B915D2">
        <w:rPr>
          <w:rFonts w:asciiTheme="minorHAnsi" w:hAnsiTheme="minorHAnsi"/>
          <w:bCs/>
          <w:lang w:val="en-GB"/>
        </w:rPr>
        <w:t>he PBAC considered that</w:t>
      </w:r>
      <w:r w:rsidR="00AA071E">
        <w:rPr>
          <w:rFonts w:asciiTheme="minorHAnsi" w:hAnsiTheme="minorHAnsi"/>
          <w:bCs/>
          <w:lang w:val="en-GB"/>
        </w:rPr>
        <w:t xml:space="preserve"> additional comparisons are required for the Committee to be satisfied</w:t>
      </w:r>
      <w:r w:rsidR="0065118B">
        <w:rPr>
          <w:rFonts w:asciiTheme="minorHAnsi" w:hAnsiTheme="minorHAnsi"/>
          <w:bCs/>
          <w:lang w:val="en-GB"/>
        </w:rPr>
        <w:t xml:space="preserve"> that</w:t>
      </w:r>
      <w:r w:rsidR="00AA071E">
        <w:rPr>
          <w:rFonts w:asciiTheme="minorHAnsi" w:hAnsiTheme="minorHAnsi"/>
          <w:bCs/>
          <w:lang w:val="en-GB"/>
        </w:rPr>
        <w:t xml:space="preserve"> </w:t>
      </w:r>
      <w:r w:rsidR="00AA071E" w:rsidRPr="00C0268D">
        <w:rPr>
          <w:rFonts w:cs="Calibri"/>
          <w:iCs/>
          <w:snapToGrid/>
          <w:szCs w:val="24"/>
          <w:lang w:eastAsia="en-AU"/>
        </w:rPr>
        <w:t xml:space="preserve">guselkumab is </w:t>
      </w:r>
      <w:r w:rsidR="00AA071E">
        <w:rPr>
          <w:rFonts w:cs="Calibri"/>
          <w:iCs/>
          <w:snapToGrid/>
          <w:szCs w:val="24"/>
          <w:lang w:eastAsia="en-AU"/>
        </w:rPr>
        <w:t xml:space="preserve">not </w:t>
      </w:r>
      <w:r w:rsidR="00AA071E" w:rsidRPr="00C0268D">
        <w:rPr>
          <w:rFonts w:cs="Calibri"/>
          <w:iCs/>
          <w:snapToGrid/>
          <w:szCs w:val="24"/>
          <w:lang w:eastAsia="en-AU"/>
        </w:rPr>
        <w:t>substantially more costly than alternative therapies</w:t>
      </w:r>
      <w:r w:rsidR="00AA071E">
        <w:rPr>
          <w:rFonts w:cs="Calibri"/>
          <w:iCs/>
          <w:snapToGrid/>
          <w:szCs w:val="24"/>
          <w:lang w:eastAsia="en-AU"/>
        </w:rPr>
        <w:t xml:space="preserve"> </w:t>
      </w:r>
      <w:r w:rsidR="00D57D51">
        <w:rPr>
          <w:rFonts w:cs="Calibri"/>
          <w:iCs/>
          <w:snapToGrid/>
          <w:szCs w:val="24"/>
          <w:lang w:eastAsia="en-AU"/>
        </w:rPr>
        <w:t xml:space="preserve">for </w:t>
      </w:r>
      <w:r w:rsidR="00AA071E">
        <w:rPr>
          <w:rFonts w:cs="Calibri"/>
          <w:iCs/>
          <w:snapToGrid/>
          <w:szCs w:val="24"/>
          <w:lang w:eastAsia="en-AU"/>
        </w:rPr>
        <w:t>which</w:t>
      </w:r>
      <w:r w:rsidR="00D57D51">
        <w:rPr>
          <w:rFonts w:cs="Calibri"/>
          <w:iCs/>
          <w:snapToGrid/>
          <w:szCs w:val="24"/>
          <w:lang w:eastAsia="en-AU"/>
        </w:rPr>
        <w:t xml:space="preserve"> </w:t>
      </w:r>
      <w:r w:rsidR="00AA071E" w:rsidRPr="00C0268D">
        <w:rPr>
          <w:rFonts w:cs="Calibri"/>
          <w:iCs/>
          <w:snapToGrid/>
          <w:szCs w:val="24"/>
          <w:lang w:eastAsia="en-AU"/>
        </w:rPr>
        <w:t xml:space="preserve">a significant improvement in efficacy or reduction of toxicity </w:t>
      </w:r>
      <w:r w:rsidR="00AA071E">
        <w:rPr>
          <w:rFonts w:cs="Calibri"/>
          <w:iCs/>
          <w:snapToGrid/>
          <w:szCs w:val="24"/>
          <w:lang w:eastAsia="en-AU"/>
        </w:rPr>
        <w:t>has not been demonstrated</w:t>
      </w:r>
      <w:r w:rsidR="0065118B">
        <w:rPr>
          <w:rFonts w:cs="Calibri"/>
          <w:iCs/>
          <w:snapToGrid/>
          <w:szCs w:val="24"/>
          <w:lang w:eastAsia="en-AU"/>
        </w:rPr>
        <w:t xml:space="preserve"> </w:t>
      </w:r>
      <w:r w:rsidR="00D57D51">
        <w:rPr>
          <w:rFonts w:cs="Calibri"/>
          <w:iCs/>
          <w:snapToGrid/>
          <w:szCs w:val="24"/>
          <w:lang w:eastAsia="en-AU"/>
        </w:rPr>
        <w:t>for some patients</w:t>
      </w:r>
      <w:r w:rsidR="00AA071E" w:rsidRPr="00C0268D">
        <w:rPr>
          <w:rFonts w:cs="Calibri"/>
          <w:iCs/>
          <w:snapToGrid/>
          <w:szCs w:val="24"/>
          <w:lang w:eastAsia="en-AU"/>
        </w:rPr>
        <w:t>.</w:t>
      </w:r>
    </w:p>
    <w:p w:rsidR="00A62056" w:rsidRPr="00A62056" w:rsidRDefault="00A62056" w:rsidP="00A62056">
      <w:pPr>
        <w:numPr>
          <w:ilvl w:val="1"/>
          <w:numId w:val="3"/>
        </w:numPr>
        <w:spacing w:after="120"/>
        <w:rPr>
          <w:rFonts w:asciiTheme="minorHAnsi" w:hAnsiTheme="minorHAnsi"/>
          <w:bCs/>
          <w:lang w:val="en-GB"/>
        </w:rPr>
      </w:pPr>
      <w:r w:rsidRPr="00A62056">
        <w:rPr>
          <w:rFonts w:asciiTheme="minorHAnsi" w:hAnsiTheme="minorHAnsi"/>
          <w:bCs/>
          <w:lang w:val="en-GB"/>
        </w:rPr>
        <w:t xml:space="preserve"> The submission assumed that there will be </w:t>
      </w:r>
      <w:r w:rsidR="00FC609E">
        <w:rPr>
          <w:rFonts w:asciiTheme="minorHAnsi" w:hAnsiTheme="minorHAnsi"/>
          <w:bCs/>
          <w:lang w:val="en-GB"/>
        </w:rPr>
        <w:t>minimal</w:t>
      </w:r>
      <w:r w:rsidRPr="00A62056">
        <w:rPr>
          <w:rFonts w:asciiTheme="minorHAnsi" w:hAnsiTheme="minorHAnsi"/>
          <w:bCs/>
          <w:lang w:val="en-GB"/>
        </w:rPr>
        <w:t xml:space="preserve"> difference in resource use for administration </w:t>
      </w:r>
      <w:r w:rsidR="00426BFB">
        <w:rPr>
          <w:rFonts w:asciiTheme="minorHAnsi" w:hAnsiTheme="minorHAnsi"/>
          <w:bCs/>
          <w:lang w:val="en-GB"/>
        </w:rPr>
        <w:t xml:space="preserve">of </w:t>
      </w:r>
      <w:proofErr w:type="spellStart"/>
      <w:r w:rsidRPr="00A62056">
        <w:rPr>
          <w:rFonts w:asciiTheme="minorHAnsi" w:hAnsiTheme="minorHAnsi"/>
          <w:bCs/>
          <w:lang w:val="en-GB"/>
        </w:rPr>
        <w:t>guselkumab</w:t>
      </w:r>
      <w:proofErr w:type="spellEnd"/>
      <w:r w:rsidRPr="00A62056">
        <w:rPr>
          <w:rFonts w:asciiTheme="minorHAnsi" w:hAnsiTheme="minorHAnsi"/>
          <w:bCs/>
          <w:lang w:val="en-GB"/>
        </w:rPr>
        <w:t xml:space="preserve"> versus ustekinumab.  A proportion of patients who are unable to self-inject may require the assistance from a health care professional.  Given </w:t>
      </w:r>
      <w:proofErr w:type="spellStart"/>
      <w:r w:rsidRPr="00A62056">
        <w:rPr>
          <w:rFonts w:asciiTheme="minorHAnsi" w:hAnsiTheme="minorHAnsi"/>
          <w:bCs/>
          <w:lang w:val="en-GB"/>
        </w:rPr>
        <w:t>guselkumab</w:t>
      </w:r>
      <w:proofErr w:type="spellEnd"/>
      <w:r w:rsidRPr="00A62056">
        <w:rPr>
          <w:rFonts w:asciiTheme="minorHAnsi" w:hAnsiTheme="minorHAnsi"/>
          <w:bCs/>
          <w:lang w:val="en-GB"/>
        </w:rPr>
        <w:t xml:space="preserve"> is administered more frequently than ustekinumab (8 weekly versus 12 weekly) there would be additional administration costs</w:t>
      </w:r>
      <w:r w:rsidR="00E8251F">
        <w:rPr>
          <w:rFonts w:asciiTheme="minorHAnsi" w:hAnsiTheme="minorHAnsi"/>
          <w:bCs/>
          <w:lang w:val="en-GB"/>
        </w:rPr>
        <w:t xml:space="preserve">. </w:t>
      </w:r>
      <w:r w:rsidRPr="00A62056">
        <w:rPr>
          <w:rFonts w:asciiTheme="minorHAnsi" w:hAnsiTheme="minorHAnsi"/>
          <w:bCs/>
          <w:lang w:val="en-GB"/>
        </w:rPr>
        <w:t xml:space="preserve">The Pre Sub-Committee Response (PSCR) claimed that patients with chronic plaque psoriasis are less likely to require assistance with administration compared to patients with arthritic type conditions. The </w:t>
      </w:r>
      <w:r w:rsidR="00E8251F">
        <w:rPr>
          <w:rFonts w:asciiTheme="minorHAnsi" w:hAnsiTheme="minorHAnsi"/>
          <w:bCs/>
          <w:lang w:val="en-GB"/>
        </w:rPr>
        <w:t xml:space="preserve">PBAC and </w:t>
      </w:r>
      <w:r w:rsidRPr="00A62056">
        <w:rPr>
          <w:rFonts w:asciiTheme="minorHAnsi" w:hAnsiTheme="minorHAnsi"/>
          <w:bCs/>
          <w:lang w:val="en-GB"/>
        </w:rPr>
        <w:t xml:space="preserve">ESC </w:t>
      </w:r>
      <w:r w:rsidR="00E8251F">
        <w:rPr>
          <w:rFonts w:asciiTheme="minorHAnsi" w:hAnsiTheme="minorHAnsi"/>
          <w:bCs/>
          <w:lang w:val="en-GB"/>
        </w:rPr>
        <w:t>considered</w:t>
      </w:r>
      <w:r w:rsidRPr="00A62056">
        <w:rPr>
          <w:rFonts w:asciiTheme="minorHAnsi" w:hAnsiTheme="minorHAnsi"/>
          <w:bCs/>
          <w:lang w:val="en-GB"/>
        </w:rPr>
        <w:t xml:space="preserve"> that fewer than 10% of patients with psoriasis may require assistance with administration.</w:t>
      </w:r>
    </w:p>
    <w:p w:rsidR="00A62056" w:rsidRPr="00A62056" w:rsidRDefault="00A62056" w:rsidP="0077452E">
      <w:pPr>
        <w:numPr>
          <w:ilvl w:val="1"/>
          <w:numId w:val="3"/>
        </w:numPr>
        <w:spacing w:after="120"/>
        <w:rPr>
          <w:rFonts w:asciiTheme="minorHAnsi" w:hAnsiTheme="minorHAnsi"/>
          <w:bCs/>
          <w:lang w:val="en-GB"/>
        </w:rPr>
      </w:pPr>
      <w:r w:rsidRPr="00A62056">
        <w:rPr>
          <w:iCs/>
        </w:rPr>
        <w:t xml:space="preserve">The </w:t>
      </w:r>
      <w:r w:rsidR="00E8251F">
        <w:rPr>
          <w:iCs/>
        </w:rPr>
        <w:t>PBAC</w:t>
      </w:r>
      <w:r w:rsidRPr="00A62056">
        <w:rPr>
          <w:iCs/>
        </w:rPr>
        <w:t xml:space="preserve"> noted the net expected cost to government would be higher than estimated (approximately an additional $</w:t>
      </w:r>
      <w:r w:rsidR="00442395">
        <w:rPr>
          <w:iCs/>
        </w:rPr>
        <w:t>10 - 20</w:t>
      </w:r>
      <w:r w:rsidRPr="00A62056">
        <w:rPr>
          <w:iCs/>
        </w:rPr>
        <w:t xml:space="preserve"> million over </w:t>
      </w:r>
      <w:r w:rsidR="00442395">
        <w:rPr>
          <w:iCs/>
        </w:rPr>
        <w:t>6</w:t>
      </w:r>
      <w:r w:rsidR="00442395" w:rsidRPr="00A62056">
        <w:rPr>
          <w:iCs/>
        </w:rPr>
        <w:t xml:space="preserve"> </w:t>
      </w:r>
      <w:r w:rsidRPr="00A62056">
        <w:rPr>
          <w:iCs/>
        </w:rPr>
        <w:t>years) if guselkumab should substitute for listed biologics with a lower treatment cost compared to ustekinumab.</w:t>
      </w:r>
    </w:p>
    <w:p w:rsidR="00E8251F" w:rsidRPr="00F23F4C" w:rsidRDefault="00B52493" w:rsidP="000E53BA">
      <w:pPr>
        <w:numPr>
          <w:ilvl w:val="1"/>
          <w:numId w:val="3"/>
        </w:numPr>
        <w:spacing w:after="120"/>
        <w:rPr>
          <w:rFonts w:asciiTheme="minorHAnsi" w:hAnsiTheme="minorHAnsi"/>
          <w:bCs/>
          <w:lang w:val="en-GB"/>
        </w:rPr>
      </w:pPr>
      <w:r w:rsidRPr="00426BFB">
        <w:rPr>
          <w:rFonts w:asciiTheme="minorHAnsi" w:hAnsiTheme="minorHAnsi"/>
          <w:bCs/>
          <w:lang w:val="en-GB"/>
        </w:rPr>
        <w:t>The PBAC considered that any resubmission must be a major submission and should address the comparator issue</w:t>
      </w:r>
      <w:r w:rsidR="00B915D2">
        <w:rPr>
          <w:rFonts w:asciiTheme="minorHAnsi" w:hAnsiTheme="minorHAnsi"/>
          <w:bCs/>
          <w:lang w:val="en-GB"/>
        </w:rPr>
        <w:t>s as</w:t>
      </w:r>
      <w:r w:rsidRPr="00426BFB">
        <w:rPr>
          <w:rFonts w:asciiTheme="minorHAnsi" w:hAnsiTheme="minorHAnsi"/>
          <w:bCs/>
          <w:lang w:val="en-GB"/>
        </w:rPr>
        <w:t xml:space="preserve"> raised </w:t>
      </w:r>
      <w:r w:rsidR="00B915D2">
        <w:rPr>
          <w:rFonts w:asciiTheme="minorHAnsi" w:hAnsiTheme="minorHAnsi"/>
          <w:bCs/>
          <w:lang w:val="en-GB"/>
        </w:rPr>
        <w:t>above</w:t>
      </w:r>
      <w:r w:rsidRPr="00426BFB">
        <w:rPr>
          <w:rFonts w:asciiTheme="minorHAnsi" w:hAnsiTheme="minorHAnsi"/>
          <w:bCs/>
          <w:lang w:val="en-GB"/>
        </w:rPr>
        <w:t xml:space="preserve">. </w:t>
      </w:r>
    </w:p>
    <w:p w:rsidR="001F211E" w:rsidRDefault="0077452E" w:rsidP="001F211E">
      <w:pPr>
        <w:numPr>
          <w:ilvl w:val="1"/>
          <w:numId w:val="3"/>
        </w:numPr>
        <w:spacing w:after="120"/>
      </w:pPr>
      <w:r w:rsidRPr="001F211E">
        <w:rPr>
          <w:rFonts w:asciiTheme="minorHAnsi" w:hAnsiTheme="minorHAnsi"/>
          <w:bCs/>
          <w:lang w:val="en-GB"/>
        </w:rPr>
        <w:t xml:space="preserve">The PBAC noted that this submission is eligible for an Independent Review. </w:t>
      </w:r>
    </w:p>
    <w:p w:rsidR="0077452E" w:rsidRPr="00BA3ED7" w:rsidRDefault="0077452E" w:rsidP="0077452E">
      <w:pPr>
        <w:spacing w:before="240"/>
        <w:rPr>
          <w:rFonts w:asciiTheme="minorHAnsi" w:hAnsiTheme="minorHAnsi"/>
          <w:b/>
          <w:bCs/>
          <w:lang w:val="en-GB"/>
        </w:rPr>
      </w:pPr>
      <w:r w:rsidRPr="00BA3ED7">
        <w:rPr>
          <w:rFonts w:asciiTheme="minorHAnsi" w:hAnsiTheme="minorHAnsi"/>
          <w:b/>
          <w:bCs/>
          <w:lang w:val="en-GB"/>
        </w:rPr>
        <w:lastRenderedPageBreak/>
        <w:t>Outcome:</w:t>
      </w:r>
    </w:p>
    <w:p w:rsidR="0077452E" w:rsidRPr="00BA3ED7" w:rsidRDefault="0077452E" w:rsidP="0077452E">
      <w:pPr>
        <w:rPr>
          <w:rFonts w:asciiTheme="minorHAnsi" w:hAnsiTheme="minorHAnsi"/>
          <w:bCs/>
          <w:lang w:val="en-GB"/>
        </w:rPr>
      </w:pPr>
      <w:r w:rsidRPr="00BA3ED7">
        <w:rPr>
          <w:rFonts w:asciiTheme="minorHAnsi" w:hAnsiTheme="minorHAnsi"/>
          <w:bCs/>
          <w:lang w:val="en-GB"/>
        </w:rPr>
        <w:t>Reject</w:t>
      </w:r>
      <w:r w:rsidR="00BA3ED7">
        <w:rPr>
          <w:rFonts w:asciiTheme="minorHAnsi" w:hAnsiTheme="minorHAnsi"/>
          <w:bCs/>
          <w:lang w:val="en-GB"/>
        </w:rPr>
        <w:t>ed</w:t>
      </w:r>
    </w:p>
    <w:p w:rsidR="000113D4" w:rsidRDefault="000113D4">
      <w:pPr>
        <w:widowControl/>
        <w:jc w:val="left"/>
        <w:rPr>
          <w:rFonts w:ascii="Arial" w:hAnsi="Arial"/>
          <w:b/>
          <w:bCs/>
          <w:color w:val="FF0000"/>
          <w:sz w:val="22"/>
          <w:lang w:eastAsia="en-AU"/>
        </w:rPr>
      </w:pPr>
    </w:p>
    <w:p w:rsidR="000113D4" w:rsidRPr="003F53CD" w:rsidRDefault="000113D4" w:rsidP="000113D4">
      <w:pPr>
        <w:pStyle w:val="Heading1"/>
        <w:rPr>
          <w:rFonts w:eastAsiaTheme="minorHAnsi"/>
          <w:snapToGrid/>
        </w:rPr>
      </w:pPr>
      <w:r w:rsidRPr="003F53CD">
        <w:rPr>
          <w:rFonts w:eastAsiaTheme="minorHAnsi"/>
          <w:snapToGrid/>
        </w:rPr>
        <w:t>Context for Decision</w:t>
      </w:r>
    </w:p>
    <w:p w:rsidR="000113D4" w:rsidRPr="003F53CD" w:rsidRDefault="000113D4" w:rsidP="000113D4">
      <w:pPr>
        <w:rPr>
          <w:rFonts w:asciiTheme="minorHAnsi" w:eastAsiaTheme="minorHAnsi" w:hAnsiTheme="minorHAnsi"/>
        </w:rPr>
      </w:pPr>
      <w:r w:rsidRPr="003F53CD">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113D4" w:rsidRPr="003F53CD" w:rsidRDefault="000113D4" w:rsidP="000113D4">
      <w:pPr>
        <w:pStyle w:val="PBACHeading1"/>
        <w:numPr>
          <w:ilvl w:val="0"/>
          <w:numId w:val="3"/>
        </w:numPr>
        <w:spacing w:before="240" w:after="120"/>
        <w:outlineLvl w:val="0"/>
        <w:rPr>
          <w:rFonts w:asciiTheme="minorHAnsi" w:eastAsiaTheme="minorHAnsi" w:hAnsiTheme="minorHAnsi" w:cstheme="minorBidi"/>
          <w:snapToGrid/>
        </w:rPr>
      </w:pPr>
      <w:r w:rsidRPr="003F53CD">
        <w:rPr>
          <w:rFonts w:asciiTheme="minorHAnsi" w:eastAsiaTheme="minorHAnsi" w:hAnsiTheme="minorHAnsi" w:cstheme="minorBidi"/>
          <w:snapToGrid/>
        </w:rPr>
        <w:t>Sponsor’s Comment</w:t>
      </w:r>
    </w:p>
    <w:p w:rsidR="000113D4" w:rsidRPr="00852792" w:rsidRDefault="000113D4" w:rsidP="000113D4">
      <w:pPr>
        <w:spacing w:after="120"/>
        <w:rPr>
          <w:rStyle w:val="CommentReference"/>
          <w:rFonts w:asciiTheme="minorHAnsi" w:eastAsiaTheme="minorHAnsi" w:hAnsiTheme="minorHAnsi"/>
          <w:b w:val="0"/>
          <w:bCs/>
          <w:sz w:val="24"/>
          <w:szCs w:val="22"/>
        </w:rPr>
      </w:pPr>
      <w:r w:rsidRPr="00442395">
        <w:rPr>
          <w:rFonts w:asciiTheme="minorHAnsi" w:eastAsiaTheme="minorHAnsi" w:hAnsiTheme="minorHAnsi"/>
          <w:bCs/>
        </w:rPr>
        <w:t>The sponsor had no comment.</w:t>
      </w:r>
    </w:p>
    <w:p w:rsidR="00C20D8C" w:rsidRDefault="00C20D8C">
      <w:pPr>
        <w:widowControl/>
        <w:jc w:val="left"/>
        <w:rPr>
          <w:rFonts w:ascii="Arial" w:hAnsi="Arial"/>
          <w:b/>
          <w:bCs/>
          <w:color w:val="FF0000"/>
          <w:sz w:val="22"/>
          <w:lang w:eastAsia="en-AU"/>
        </w:rPr>
      </w:pPr>
      <w:r>
        <w:rPr>
          <w:rFonts w:ascii="Arial" w:hAnsi="Arial"/>
          <w:b/>
          <w:bCs/>
          <w:color w:val="FF0000"/>
          <w:sz w:val="22"/>
          <w:lang w:eastAsia="en-AU"/>
        </w:rPr>
        <w:br w:type="page"/>
      </w:r>
    </w:p>
    <w:p w:rsidR="00C20D8C" w:rsidRPr="008162D9" w:rsidRDefault="00C20D8C" w:rsidP="00C20D8C">
      <w:pPr>
        <w:outlineLvl w:val="0"/>
        <w:rPr>
          <w:rFonts w:ascii="Arial" w:hAnsi="Arial"/>
          <w:b/>
          <w:bCs/>
          <w:color w:val="FF0000"/>
          <w:sz w:val="22"/>
          <w:lang w:eastAsia="en-AU"/>
        </w:rPr>
      </w:pPr>
      <w:r w:rsidRPr="008162D9">
        <w:rPr>
          <w:rFonts w:ascii="Arial" w:hAnsi="Arial"/>
          <w:b/>
          <w:bCs/>
          <w:color w:val="FF0000"/>
          <w:sz w:val="22"/>
          <w:lang w:eastAsia="en-AU"/>
        </w:rPr>
        <w:lastRenderedPageBreak/>
        <w:t>Addendum to March 2018 PBAC Minutes</w:t>
      </w:r>
    </w:p>
    <w:p w:rsidR="00C20D8C" w:rsidRPr="008162D9" w:rsidRDefault="00C20D8C" w:rsidP="00C20D8C">
      <w:pPr>
        <w:pStyle w:val="PBACHeading1"/>
        <w:rPr>
          <w:rStyle w:val="CommentReference"/>
          <w:rFonts w:ascii="Calibri" w:hAnsi="Calibri"/>
          <w:b/>
          <w:sz w:val="24"/>
          <w:szCs w:val="22"/>
        </w:rPr>
      </w:pPr>
    </w:p>
    <w:p w:rsidR="00C20D8C" w:rsidRPr="008162D9" w:rsidRDefault="00C20D8C" w:rsidP="00C20D8C">
      <w:pPr>
        <w:jc w:val="left"/>
        <w:rPr>
          <w:b/>
          <w:sz w:val="36"/>
          <w:szCs w:val="36"/>
        </w:rPr>
      </w:pPr>
      <w:bookmarkStart w:id="27" w:name="Addendum"/>
      <w:r w:rsidRPr="008162D9">
        <w:rPr>
          <w:b/>
          <w:sz w:val="36"/>
          <w:szCs w:val="36"/>
        </w:rPr>
        <w:t>7.16 GUSELKUMAB</w:t>
      </w:r>
      <w:bookmarkEnd w:id="27"/>
      <w:r w:rsidRPr="008162D9">
        <w:rPr>
          <w:b/>
          <w:sz w:val="36"/>
          <w:szCs w:val="36"/>
        </w:rPr>
        <w:t xml:space="preserve">, </w:t>
      </w:r>
      <w:r w:rsidRPr="008162D9">
        <w:rPr>
          <w:b/>
          <w:sz w:val="36"/>
          <w:szCs w:val="36"/>
        </w:rPr>
        <w:br/>
        <w:t xml:space="preserve">Injection 100 mg in 1 mL single use pre-filled syringe, </w:t>
      </w:r>
      <w:r w:rsidRPr="008162D9">
        <w:rPr>
          <w:b/>
          <w:sz w:val="36"/>
          <w:szCs w:val="36"/>
        </w:rPr>
        <w:br/>
        <w:t>Tremfya®, Janssen-Cilag Pty Ltd</w:t>
      </w:r>
    </w:p>
    <w:p w:rsidR="00C20D8C" w:rsidRPr="008162D9" w:rsidRDefault="00C20D8C" w:rsidP="00C20D8C">
      <w:pPr>
        <w:pStyle w:val="PBACHeading1"/>
        <w:rPr>
          <w:rStyle w:val="CommentReference"/>
          <w:rFonts w:asciiTheme="minorHAnsi" w:hAnsiTheme="minorHAnsi" w:cstheme="minorHAnsi"/>
          <w:b/>
          <w:sz w:val="24"/>
          <w:szCs w:val="24"/>
        </w:rPr>
      </w:pPr>
    </w:p>
    <w:p w:rsidR="00C20D8C" w:rsidRPr="008162D9" w:rsidRDefault="00C20D8C" w:rsidP="00C20D8C">
      <w:pPr>
        <w:pStyle w:val="PBACHeading1"/>
        <w:rPr>
          <w:rStyle w:val="CommentReference"/>
          <w:rFonts w:asciiTheme="minorHAnsi" w:hAnsiTheme="minorHAnsi" w:cstheme="minorHAnsi"/>
          <w:b/>
          <w:sz w:val="24"/>
          <w:szCs w:val="24"/>
        </w:rPr>
      </w:pPr>
    </w:p>
    <w:p w:rsidR="00C20D8C" w:rsidRPr="00334B6C" w:rsidRDefault="00C20D8C" w:rsidP="00C20D8C">
      <w:pPr>
        <w:pStyle w:val="PBACHeading1"/>
        <w:numPr>
          <w:ilvl w:val="0"/>
          <w:numId w:val="36"/>
        </w:numPr>
        <w:spacing w:before="240" w:after="120"/>
        <w:outlineLvl w:val="0"/>
        <w:rPr>
          <w:rFonts w:asciiTheme="minorHAnsi" w:hAnsiTheme="minorHAnsi"/>
          <w:szCs w:val="32"/>
        </w:rPr>
      </w:pPr>
      <w:r w:rsidRPr="008162D9">
        <w:rPr>
          <w:rFonts w:asciiTheme="minorHAnsi" w:hAnsiTheme="minorHAnsi"/>
          <w:szCs w:val="32"/>
        </w:rPr>
        <w:t>Background</w:t>
      </w:r>
    </w:p>
    <w:p w:rsidR="00C20D8C" w:rsidRPr="008162D9" w:rsidRDefault="00C20D8C" w:rsidP="00C20D8C">
      <w:pPr>
        <w:pStyle w:val="ListParagraph"/>
        <w:numPr>
          <w:ilvl w:val="1"/>
          <w:numId w:val="36"/>
        </w:numPr>
        <w:spacing w:after="120"/>
      </w:pPr>
      <w:r w:rsidRPr="008162D9">
        <w:t xml:space="preserve">The sponsor submitted a minor resubmission for the July 2018 PBAC meeting which did not include </w:t>
      </w:r>
      <w:r w:rsidRPr="008162D9">
        <w:rPr>
          <w:rFonts w:asciiTheme="minorHAnsi" w:hAnsiTheme="minorHAnsi"/>
          <w:szCs w:val="24"/>
        </w:rPr>
        <w:t xml:space="preserve">a formal comparison against an alternative </w:t>
      </w:r>
      <w:proofErr w:type="spellStart"/>
      <w:r w:rsidRPr="008162D9">
        <w:rPr>
          <w:rFonts w:asciiTheme="minorHAnsi" w:hAnsiTheme="minorHAnsi"/>
          <w:szCs w:val="24"/>
        </w:rPr>
        <w:t>bDMARD</w:t>
      </w:r>
      <w:proofErr w:type="spellEnd"/>
      <w:r w:rsidRPr="008162D9">
        <w:rPr>
          <w:rFonts w:asciiTheme="minorHAnsi" w:hAnsiTheme="minorHAnsi"/>
          <w:szCs w:val="24"/>
        </w:rPr>
        <w:t xml:space="preserve"> and instead, stated acceptance of a cost minimisation approach to ixekizumab. </w:t>
      </w:r>
    </w:p>
    <w:p w:rsidR="00C20D8C" w:rsidRPr="008162D9" w:rsidRDefault="00C20D8C" w:rsidP="00C20D8C">
      <w:pPr>
        <w:pStyle w:val="ListParagraph"/>
        <w:numPr>
          <w:ilvl w:val="1"/>
          <w:numId w:val="36"/>
        </w:numPr>
        <w:spacing w:after="120"/>
      </w:pPr>
      <w:r w:rsidRPr="008162D9">
        <w:t>The sponsor considered that as guselkumab demonstrated superiority over adalimumab in the March 2018 submission, it would be eligible for a price premium over adalimumab. However, the sponsor acknowledged that in accepting a cost-minimisation approach for listing versus ixekizumab, guselkumab will also be considered therapeutically equivalent to and cost-minimised versus adalimumab and secukinumab.</w:t>
      </w:r>
    </w:p>
    <w:p w:rsidR="00C20D8C" w:rsidRPr="008162D9" w:rsidRDefault="00C20D8C" w:rsidP="00C20D8C">
      <w:pPr>
        <w:pStyle w:val="ListParagraph"/>
        <w:numPr>
          <w:ilvl w:val="1"/>
          <w:numId w:val="36"/>
        </w:numPr>
        <w:spacing w:after="120"/>
      </w:pPr>
      <w:r w:rsidRPr="008162D9">
        <w:t xml:space="preserve">The resubmission presented </w:t>
      </w:r>
      <w:proofErr w:type="spellStart"/>
      <w:r w:rsidRPr="008162D9">
        <w:t>equi</w:t>
      </w:r>
      <w:proofErr w:type="spellEnd"/>
      <w:r w:rsidRPr="008162D9">
        <w:t>-effective doses and total costs per patient based on the proposed published guselkumab price and the published prices for ixekizumab, adalimumab and secukinumab. The sponsor noted that adalimumab and secukinumab have special pricing arrangements and acknowledged that the cost-minimisation would be performed at the effective price level.</w:t>
      </w:r>
    </w:p>
    <w:p w:rsidR="00C20D8C" w:rsidRPr="008162D9" w:rsidRDefault="00C20D8C" w:rsidP="00C20D8C">
      <w:pPr>
        <w:pStyle w:val="ListParagraph"/>
        <w:numPr>
          <w:ilvl w:val="1"/>
          <w:numId w:val="36"/>
        </w:numPr>
        <w:spacing w:after="120"/>
        <w:rPr>
          <w:rFonts w:asciiTheme="minorHAnsi" w:hAnsiTheme="minorHAnsi"/>
          <w:bCs/>
        </w:rPr>
      </w:pPr>
      <w:r w:rsidRPr="008162D9">
        <w:t>The sponsor considered that differences in the frequency of administration, and potential associated differences in administration costs, do not need to be accounted for in the cost-minimisation analysis. In support of this the sponsor notes the PBAC and ESC considered that fewer than 10% of patients with psoriasis may</w:t>
      </w:r>
      <w:r w:rsidRPr="008162D9">
        <w:rPr>
          <w:rFonts w:asciiTheme="minorHAnsi" w:hAnsiTheme="minorHAnsi"/>
          <w:bCs/>
        </w:rPr>
        <w:t xml:space="preserve"> require assistance with administration (</w:t>
      </w:r>
      <w:r w:rsidR="002043DD">
        <w:rPr>
          <w:rFonts w:asciiTheme="minorHAnsi" w:hAnsiTheme="minorHAnsi"/>
          <w:bCs/>
        </w:rPr>
        <w:t xml:space="preserve">paragraph 7.9, </w:t>
      </w:r>
      <w:r w:rsidRPr="008162D9">
        <w:rPr>
          <w:rFonts w:asciiTheme="minorHAnsi" w:hAnsiTheme="minorHAnsi"/>
          <w:bCs/>
        </w:rPr>
        <w:t>March 2018</w:t>
      </w:r>
      <w:r w:rsidR="002043DD">
        <w:rPr>
          <w:rFonts w:asciiTheme="minorHAnsi" w:hAnsiTheme="minorHAnsi"/>
          <w:bCs/>
        </w:rPr>
        <w:t xml:space="preserve"> Public Summary Document (PSD)</w:t>
      </w:r>
      <w:r w:rsidRPr="008162D9">
        <w:rPr>
          <w:rFonts w:asciiTheme="minorHAnsi" w:hAnsiTheme="minorHAnsi"/>
          <w:bCs/>
        </w:rPr>
        <w:t>).</w:t>
      </w:r>
    </w:p>
    <w:p w:rsidR="00C20D8C" w:rsidRPr="00334B6C" w:rsidRDefault="00C20D8C" w:rsidP="00C20D8C">
      <w:pPr>
        <w:pStyle w:val="PBACHeading1"/>
        <w:numPr>
          <w:ilvl w:val="0"/>
          <w:numId w:val="36"/>
        </w:numPr>
        <w:spacing w:before="240" w:after="120"/>
        <w:outlineLvl w:val="0"/>
        <w:rPr>
          <w:rFonts w:asciiTheme="minorHAnsi" w:hAnsiTheme="minorHAnsi"/>
          <w:szCs w:val="32"/>
        </w:rPr>
      </w:pPr>
      <w:r w:rsidRPr="00334B6C">
        <w:rPr>
          <w:rFonts w:asciiTheme="minorHAnsi" w:hAnsiTheme="minorHAnsi"/>
          <w:szCs w:val="32"/>
        </w:rPr>
        <w:t xml:space="preserve">PBAC Outcome </w:t>
      </w:r>
    </w:p>
    <w:p w:rsidR="00C20D8C" w:rsidRPr="008162D9" w:rsidRDefault="00C20D8C" w:rsidP="00C20D8C">
      <w:pPr>
        <w:pStyle w:val="ListParagraph"/>
        <w:numPr>
          <w:ilvl w:val="1"/>
          <w:numId w:val="36"/>
        </w:numPr>
        <w:spacing w:after="120"/>
      </w:pPr>
      <w:r w:rsidRPr="008162D9">
        <w:t xml:space="preserve">The PBAC recommended an Authority </w:t>
      </w:r>
      <w:proofErr w:type="gramStart"/>
      <w:r w:rsidRPr="008162D9">
        <w:t>Required</w:t>
      </w:r>
      <w:proofErr w:type="gramEnd"/>
      <w:r w:rsidRPr="008162D9">
        <w:t xml:space="preserve"> listing of guselkumab on a cost-minimisation basis against the lowest cost biological agent available for severe CPP. In making this recommendation, the PBAC accepted </w:t>
      </w:r>
      <w:r w:rsidRPr="008162D9">
        <w:rPr>
          <w:rFonts w:asciiTheme="minorHAnsi" w:hAnsiTheme="minorHAnsi"/>
          <w:bCs/>
        </w:rPr>
        <w:t xml:space="preserve">any of the current PBS listed bDMARDs for severe CPP could be an alternative therapy to guselkumab. </w:t>
      </w:r>
    </w:p>
    <w:p w:rsidR="00C20D8C" w:rsidRPr="008162D9" w:rsidRDefault="00C20D8C" w:rsidP="00C20D8C">
      <w:pPr>
        <w:pStyle w:val="ListParagraph"/>
        <w:numPr>
          <w:ilvl w:val="1"/>
          <w:numId w:val="36"/>
        </w:numPr>
        <w:spacing w:after="120"/>
      </w:pPr>
      <w:r w:rsidRPr="008162D9">
        <w:t xml:space="preserve">The PBAC noted that six alternative bDMARDs were listed on the PBS for the treatment of severe CPP at the time of the July 2018 meeting; specifically: adalimumab, etanercept, infliximab, ixekizumab, secukinumab and ustekinumab.  The PBAC noted that </w:t>
      </w:r>
      <w:proofErr w:type="spellStart"/>
      <w:r w:rsidRPr="008162D9">
        <w:rPr>
          <w:szCs w:val="24"/>
        </w:rPr>
        <w:t>tildrakizumab</w:t>
      </w:r>
      <w:proofErr w:type="spellEnd"/>
      <w:r w:rsidRPr="008162D9">
        <w:t xml:space="preserve"> for the same indication was also considered at the same meeting. The PBAC considered that the clinical need for an additional </w:t>
      </w:r>
      <w:proofErr w:type="spellStart"/>
      <w:r w:rsidRPr="008162D9">
        <w:t>bDMARD</w:t>
      </w:r>
      <w:proofErr w:type="spellEnd"/>
      <w:r w:rsidRPr="008162D9">
        <w:t xml:space="preserve"> was low however the PBAC acknowledged the addition of another drug </w:t>
      </w:r>
      <w:r w:rsidRPr="008162D9">
        <w:lastRenderedPageBreak/>
        <w:t xml:space="preserve">may be useful to some patients. </w:t>
      </w:r>
    </w:p>
    <w:p w:rsidR="00C20D8C" w:rsidRPr="008162D9" w:rsidRDefault="00C20D8C" w:rsidP="00C20D8C">
      <w:pPr>
        <w:pStyle w:val="ListParagraph"/>
        <w:numPr>
          <w:ilvl w:val="1"/>
          <w:numId w:val="36"/>
        </w:numPr>
        <w:spacing w:after="120"/>
      </w:pPr>
      <w:r w:rsidRPr="008162D9">
        <w:t xml:space="preserve">The PBAC recalled </w:t>
      </w:r>
      <w:r w:rsidRPr="008162D9">
        <w:rPr>
          <w:rFonts w:asciiTheme="minorHAnsi" w:hAnsiTheme="minorHAnsi"/>
          <w:bCs/>
        </w:rPr>
        <w:t xml:space="preserve">that the safety and efficacy claims of non-inferiority against ustekinumab, and superior efficacy and non-inferior safety versus adalimumab appear to be adequately supported by the evidence presented in the March 2018 submission. </w:t>
      </w:r>
      <w:r w:rsidRPr="008162D9">
        <w:t xml:space="preserve">The PBAC also recalled that it considered in March 2018 that comparisons of guselkumab to ixekizumab (paragraph 7.4, March 2018 </w:t>
      </w:r>
      <w:r w:rsidR="002043DD">
        <w:t>PSD</w:t>
      </w:r>
      <w:r w:rsidRPr="008162D9">
        <w:t xml:space="preserve">) and infliximab (paragraph 7.5) would have been informative. The PBAC noted that while the sponsor was agreeable to a cost minimisation approach to either ixekizumab or infliximab, no formal comparison against these or alternative bDMARDs was presented in the resubmission. </w:t>
      </w:r>
      <w:r w:rsidRPr="008162D9">
        <w:rPr>
          <w:iCs/>
        </w:rPr>
        <w:t>In the absence of these comparisons, and noting that etanercept, adalimumab, secukinumab and ixekizumab were cost-minimised against each other or the least expensive biological, the PBAC considered it would be appropriate for guselkumab to also be cost-minimised to the least expensive biological agent for this condition.</w:t>
      </w:r>
    </w:p>
    <w:p w:rsidR="00C20D8C" w:rsidRPr="008162D9" w:rsidRDefault="00C20D8C" w:rsidP="00C20D8C">
      <w:pPr>
        <w:numPr>
          <w:ilvl w:val="1"/>
          <w:numId w:val="36"/>
        </w:numPr>
        <w:spacing w:after="120"/>
        <w:rPr>
          <w:rFonts w:asciiTheme="minorHAnsi" w:hAnsiTheme="minorHAnsi"/>
          <w:bCs/>
        </w:rPr>
      </w:pPr>
      <w:r w:rsidRPr="008162D9">
        <w:rPr>
          <w:rFonts w:asciiTheme="minorHAnsi" w:hAnsiTheme="minorHAnsi"/>
          <w:bCs/>
        </w:rPr>
        <w:t xml:space="preserve">The PBAC considered the </w:t>
      </w:r>
      <w:proofErr w:type="spellStart"/>
      <w:r w:rsidRPr="008162D9">
        <w:rPr>
          <w:rFonts w:asciiTheme="minorHAnsi" w:hAnsiTheme="minorHAnsi"/>
          <w:bCs/>
        </w:rPr>
        <w:t>equi</w:t>
      </w:r>
      <w:proofErr w:type="spellEnd"/>
      <w:r w:rsidRPr="008162D9">
        <w:rPr>
          <w:rFonts w:asciiTheme="minorHAnsi" w:hAnsiTheme="minorHAnsi"/>
          <w:bCs/>
        </w:rPr>
        <w:t xml:space="preserve">-effective doses between </w:t>
      </w:r>
      <w:proofErr w:type="spellStart"/>
      <w:r w:rsidRPr="008162D9">
        <w:rPr>
          <w:rFonts w:asciiTheme="minorHAnsi" w:hAnsiTheme="minorHAnsi"/>
          <w:bCs/>
        </w:rPr>
        <w:t>guselkumab</w:t>
      </w:r>
      <w:proofErr w:type="spellEnd"/>
      <w:r w:rsidRPr="008162D9">
        <w:rPr>
          <w:rFonts w:asciiTheme="minorHAnsi" w:hAnsiTheme="minorHAnsi"/>
          <w:bCs/>
        </w:rPr>
        <w:t xml:space="preserve"> and the alternative bDMARDs could be derived from the product information and with reference to previously recommended </w:t>
      </w:r>
      <w:proofErr w:type="spellStart"/>
      <w:r w:rsidRPr="008162D9">
        <w:rPr>
          <w:rFonts w:asciiTheme="minorHAnsi" w:hAnsiTheme="minorHAnsi"/>
          <w:bCs/>
        </w:rPr>
        <w:t>equi</w:t>
      </w:r>
      <w:proofErr w:type="spellEnd"/>
      <w:r w:rsidRPr="008162D9">
        <w:rPr>
          <w:rFonts w:asciiTheme="minorHAnsi" w:hAnsiTheme="minorHAnsi"/>
          <w:bCs/>
        </w:rPr>
        <w:t>-effective doses collated in the PBS Therapeutic Relativity Sheets.</w:t>
      </w:r>
    </w:p>
    <w:p w:rsidR="00C20D8C" w:rsidRPr="008162D9" w:rsidRDefault="00C20D8C" w:rsidP="00C20D8C">
      <w:pPr>
        <w:pStyle w:val="ListParagraph"/>
        <w:numPr>
          <w:ilvl w:val="1"/>
          <w:numId w:val="36"/>
        </w:numPr>
        <w:spacing w:after="120"/>
      </w:pPr>
      <w:r w:rsidRPr="008162D9">
        <w:t>The PBAC advised that it would be appropriate to provide grandfathered PBS supply to those patients receiving</w:t>
      </w:r>
      <w:r>
        <w:t xml:space="preserve"> non-PBS subsidised</w:t>
      </w:r>
      <w:r w:rsidRPr="008162D9">
        <w:t xml:space="preserve"> guselkumab </w:t>
      </w:r>
      <w:r>
        <w:t xml:space="preserve">including those </w:t>
      </w:r>
      <w:r w:rsidRPr="008162D9">
        <w:t xml:space="preserve">from the existing patient familiarisation program (approximately </w:t>
      </w:r>
      <w:r w:rsidR="00FF466B">
        <w:rPr>
          <w:noProof/>
          <w:color w:val="000000"/>
          <w:highlight w:val="black"/>
        </w:rPr>
        <w:t>'''''''</w:t>
      </w:r>
      <w:r w:rsidRPr="008162D9">
        <w:t xml:space="preserve">patients) and the soon to be completed ECLIPSE study (approximately </w:t>
      </w:r>
      <w:r w:rsidR="00FF466B">
        <w:rPr>
          <w:noProof/>
          <w:color w:val="000000"/>
          <w:highlight w:val="black"/>
        </w:rPr>
        <w:t>'''''</w:t>
      </w:r>
      <w:r w:rsidR="000F7AAF" w:rsidRPr="008162D9">
        <w:t xml:space="preserve"> </w:t>
      </w:r>
      <w:r w:rsidRPr="008162D9">
        <w:t xml:space="preserve"> patients). All grandfathered patients will be required to meet the PBS eligibility criteria and the grandfather provision </w:t>
      </w:r>
      <w:r>
        <w:t>will</w:t>
      </w:r>
      <w:r w:rsidRPr="008162D9">
        <w:t xml:space="preserve"> be removed from the listing after 12 months</w:t>
      </w:r>
      <w:r>
        <w:t xml:space="preserve"> in line with standard procedure</w:t>
      </w:r>
      <w:r w:rsidRPr="008162D9">
        <w:t>.</w:t>
      </w:r>
    </w:p>
    <w:p w:rsidR="00C20D8C" w:rsidRPr="008162D9" w:rsidRDefault="00C20D8C" w:rsidP="00C20D8C">
      <w:pPr>
        <w:pStyle w:val="ListParagraph"/>
        <w:numPr>
          <w:ilvl w:val="1"/>
          <w:numId w:val="36"/>
        </w:numPr>
        <w:spacing w:after="120"/>
      </w:pPr>
      <w:r w:rsidRPr="008162D9">
        <w:t xml:space="preserve">The PBAC recalled that at the March 2018 meeting the sponsor also requested inclusion of a grandfather clause for patients from the Voyage trials which are due to conclude in 2020. The PBAC advised that an additional submission would be required closer to the date of trial completion in order to transition those patients to PBS subsidised guselkumab. </w:t>
      </w:r>
    </w:p>
    <w:p w:rsidR="00C20D8C" w:rsidRPr="008162D9" w:rsidRDefault="00C20D8C" w:rsidP="00C20D8C">
      <w:pPr>
        <w:pStyle w:val="ListParagraph"/>
        <w:numPr>
          <w:ilvl w:val="1"/>
          <w:numId w:val="36"/>
        </w:numPr>
        <w:spacing w:after="120"/>
      </w:pPr>
      <w:r w:rsidRPr="008162D9">
        <w:t xml:space="preserve">Under section 101(3BA) of the </w:t>
      </w:r>
      <w:r w:rsidRPr="008162D9">
        <w:rPr>
          <w:i/>
        </w:rPr>
        <w:t>National Health Act 1953</w:t>
      </w:r>
      <w:r w:rsidRPr="008162D9">
        <w:t xml:space="preserve">, the PBAC advised that guselkumab may be treated as interchangeable on an individual patient basis with adalimumab, etanercept, infliximab, ixekizumab, secukinumab, tildrakizumab and ustekinumab for the treatment of severe CPP. </w:t>
      </w:r>
    </w:p>
    <w:p w:rsidR="00C20D8C" w:rsidRPr="008162D9" w:rsidRDefault="00C20D8C" w:rsidP="00C20D8C">
      <w:pPr>
        <w:pStyle w:val="ListParagraph"/>
        <w:numPr>
          <w:ilvl w:val="1"/>
          <w:numId w:val="36"/>
        </w:numPr>
      </w:pPr>
      <w:r w:rsidRPr="008162D9">
        <w:t>The PBAC advised that guselkumab is not suitable for prescribing by nurse practitioners.</w:t>
      </w:r>
    </w:p>
    <w:p w:rsidR="00C20D8C" w:rsidRPr="008162D9" w:rsidRDefault="00C20D8C" w:rsidP="00C20D8C">
      <w:pPr>
        <w:pStyle w:val="ListParagraph"/>
        <w:numPr>
          <w:ilvl w:val="1"/>
          <w:numId w:val="36"/>
        </w:numPr>
      </w:pPr>
      <w:r w:rsidRPr="008162D9">
        <w:t>The PBAC advised that the restriction is complex and will include an update to the administrative note which will flow on to the other biologic agents used for severe CPP.</w:t>
      </w:r>
    </w:p>
    <w:p w:rsidR="00C20D8C" w:rsidRPr="008162D9" w:rsidRDefault="00C20D8C" w:rsidP="00C20D8C">
      <w:pPr>
        <w:pStyle w:val="ListParagraph"/>
        <w:numPr>
          <w:ilvl w:val="1"/>
          <w:numId w:val="36"/>
        </w:numPr>
      </w:pPr>
      <w:r w:rsidRPr="008162D9">
        <w:t xml:space="preserve">The PBAC recommended that the Early Supply Rule should apply for the continuing treatment phase only. </w:t>
      </w:r>
    </w:p>
    <w:p w:rsidR="00C20D8C" w:rsidRPr="008162D9" w:rsidRDefault="00C20D8C" w:rsidP="00C20D8C">
      <w:pPr>
        <w:pStyle w:val="ListParagraph"/>
        <w:numPr>
          <w:ilvl w:val="1"/>
          <w:numId w:val="36"/>
        </w:numPr>
      </w:pPr>
      <w:r w:rsidRPr="008162D9">
        <w:t xml:space="preserve">The PBAC noted that this submission is not eligible for an Independent Review as it </w:t>
      </w:r>
      <w:r w:rsidRPr="008162D9">
        <w:lastRenderedPageBreak/>
        <w:t>received a positive recommendation.</w:t>
      </w:r>
    </w:p>
    <w:p w:rsidR="00C20D8C" w:rsidRPr="008162D9" w:rsidRDefault="00C20D8C" w:rsidP="00C20D8C">
      <w:pPr>
        <w:widowControl/>
        <w:rPr>
          <w:rFonts w:ascii="Arial" w:hAnsi="Arial"/>
          <w:b/>
          <w:bCs/>
          <w:sz w:val="22"/>
          <w:lang w:eastAsia="en-AU"/>
        </w:rPr>
      </w:pPr>
      <w:r w:rsidRPr="008162D9">
        <w:rPr>
          <w:rFonts w:ascii="Arial" w:hAnsi="Arial"/>
          <w:b/>
          <w:bCs/>
          <w:sz w:val="22"/>
          <w:lang w:eastAsia="en-AU"/>
        </w:rPr>
        <w:t>Outcome:</w:t>
      </w:r>
    </w:p>
    <w:p w:rsidR="00C20D8C" w:rsidRPr="00145C9D" w:rsidRDefault="00C20D8C" w:rsidP="00C20D8C">
      <w:pPr>
        <w:widowControl/>
        <w:rPr>
          <w:rFonts w:asciiTheme="minorHAnsi" w:hAnsiTheme="minorHAnsi" w:cstheme="minorHAnsi"/>
          <w:bCs/>
          <w:szCs w:val="24"/>
          <w:lang w:eastAsia="en-AU"/>
        </w:rPr>
      </w:pPr>
      <w:r w:rsidRPr="00145C9D">
        <w:rPr>
          <w:rFonts w:asciiTheme="minorHAnsi" w:hAnsiTheme="minorHAnsi" w:cstheme="minorHAnsi"/>
          <w:bCs/>
          <w:szCs w:val="24"/>
          <w:lang w:eastAsia="en-AU"/>
        </w:rPr>
        <w:t>Recommended</w:t>
      </w:r>
    </w:p>
    <w:p w:rsidR="00C20D8C" w:rsidRPr="008162D9" w:rsidRDefault="00C20D8C" w:rsidP="00C20D8C">
      <w:pPr>
        <w:widowControl/>
        <w:rPr>
          <w:rFonts w:ascii="Arial" w:hAnsi="Arial"/>
          <w:bCs/>
          <w:sz w:val="22"/>
          <w:lang w:eastAsia="en-AU"/>
        </w:rPr>
      </w:pPr>
    </w:p>
    <w:p w:rsidR="00C20D8C" w:rsidRPr="00334B6C" w:rsidRDefault="0036679A" w:rsidP="00334B6C">
      <w:pPr>
        <w:pStyle w:val="PBACHeading1"/>
        <w:numPr>
          <w:ilvl w:val="0"/>
          <w:numId w:val="36"/>
        </w:numPr>
        <w:spacing w:before="240" w:after="120"/>
        <w:outlineLvl w:val="0"/>
        <w:rPr>
          <w:rFonts w:asciiTheme="minorHAnsi" w:hAnsiTheme="minorHAnsi"/>
          <w:szCs w:val="32"/>
        </w:rPr>
      </w:pPr>
      <w:bookmarkStart w:id="28" w:name="_GoBack"/>
      <w:bookmarkEnd w:id="28"/>
      <w:r w:rsidRPr="00334B6C">
        <w:rPr>
          <w:rFonts w:asciiTheme="minorHAnsi" w:hAnsiTheme="minorHAnsi"/>
          <w:szCs w:val="32"/>
        </w:rPr>
        <w:t>Recommended listing</w:t>
      </w:r>
    </w:p>
    <w:p w:rsidR="00C20D8C" w:rsidRPr="00145C9D" w:rsidRDefault="00C20D8C" w:rsidP="00C20D8C">
      <w:pPr>
        <w:rPr>
          <w:rFonts w:asciiTheme="minorHAnsi" w:hAnsiTheme="minorHAnsi" w:cstheme="minorHAnsi"/>
          <w:bCs/>
          <w:szCs w:val="24"/>
          <w:lang w:eastAsia="en-AU"/>
        </w:rPr>
      </w:pPr>
      <w:r w:rsidRPr="00145C9D">
        <w:rPr>
          <w:rFonts w:asciiTheme="minorHAnsi" w:hAnsiTheme="minorHAnsi" w:cstheme="minorHAnsi"/>
          <w:bCs/>
          <w:szCs w:val="24"/>
          <w:lang w:eastAsia="en-AU"/>
        </w:rPr>
        <w:t>3.1</w:t>
      </w:r>
      <w:r w:rsidRPr="00145C9D">
        <w:rPr>
          <w:rFonts w:asciiTheme="minorHAnsi" w:hAnsiTheme="minorHAnsi" w:cstheme="minorHAnsi"/>
          <w:bCs/>
          <w:szCs w:val="24"/>
          <w:lang w:eastAsia="en-AU"/>
        </w:rPr>
        <w:tab/>
      </w:r>
      <w:r w:rsidRPr="00145C9D">
        <w:rPr>
          <w:rFonts w:asciiTheme="minorHAnsi" w:hAnsiTheme="minorHAnsi" w:cstheme="minorHAnsi"/>
          <w:bCs/>
          <w:szCs w:val="24"/>
          <w:lang w:eastAsia="en-AU"/>
        </w:rPr>
        <w:tab/>
      </w:r>
      <w:r w:rsidRPr="00145C9D">
        <w:rPr>
          <w:rFonts w:asciiTheme="minorHAnsi" w:hAnsiTheme="minorHAnsi" w:cstheme="minorHAnsi"/>
          <w:bCs/>
          <w:szCs w:val="24"/>
          <w:lang w:eastAsia="en-AU"/>
        </w:rPr>
        <w:tab/>
        <w:t>Add item:</w:t>
      </w:r>
    </w:p>
    <w:p w:rsidR="00C20D8C" w:rsidRDefault="00C20D8C" w:rsidP="00C20D8C">
      <w:pPr>
        <w:widowControl/>
        <w:jc w:val="left"/>
        <w:rPr>
          <w:rStyle w:val="CommentReference"/>
          <w:rFonts w:ascii="Calibri" w:hAnsi="Calibri"/>
          <w:sz w:val="24"/>
          <w:szCs w:val="22"/>
        </w:rPr>
      </w:pPr>
    </w:p>
    <w:tbl>
      <w:tblPr>
        <w:tblW w:w="5072" w:type="pct"/>
        <w:tblInd w:w="-114" w:type="dxa"/>
        <w:tblCellMar>
          <w:left w:w="28" w:type="dxa"/>
          <w:right w:w="28" w:type="dxa"/>
        </w:tblCellMar>
        <w:tblLook w:val="0000" w:firstRow="0" w:lastRow="0" w:firstColumn="0" w:lastColumn="0" w:noHBand="0" w:noVBand="0"/>
        <w:tblCaption w:val="Recommended listing "/>
      </w:tblPr>
      <w:tblGrid>
        <w:gridCol w:w="3642"/>
        <w:gridCol w:w="560"/>
        <w:gridCol w:w="698"/>
        <w:gridCol w:w="1401"/>
        <w:gridCol w:w="381"/>
        <w:gridCol w:w="757"/>
        <w:gridCol w:w="1775"/>
      </w:tblGrid>
      <w:tr w:rsidR="00334B6C" w:rsidRPr="008162D9" w:rsidTr="00334B6C">
        <w:trPr>
          <w:cantSplit/>
          <w:trHeight w:val="471"/>
        </w:trPr>
        <w:tc>
          <w:tcPr>
            <w:tcW w:w="1976" w:type="pct"/>
          </w:tcPr>
          <w:p w:rsidR="00334B6C" w:rsidRPr="008162D9" w:rsidRDefault="00334B6C" w:rsidP="002017D0">
            <w:pPr>
              <w:keepNext/>
              <w:keepLines/>
              <w:widowControl/>
              <w:jc w:val="left"/>
              <w:rPr>
                <w:rFonts w:ascii="Arial Narrow" w:hAnsi="Arial Narrow" w:cs="Times New Roman"/>
                <w:b/>
                <w:snapToGrid/>
                <w:sz w:val="20"/>
                <w:szCs w:val="24"/>
                <w:lang w:eastAsia="en-AU"/>
              </w:rPr>
            </w:pPr>
            <w:r w:rsidRPr="008162D9">
              <w:rPr>
                <w:rFonts w:ascii="Arial Narrow" w:hAnsi="Arial Narrow" w:cs="Times New Roman"/>
                <w:b/>
                <w:snapToGrid/>
                <w:sz w:val="20"/>
                <w:szCs w:val="24"/>
                <w:lang w:eastAsia="en-AU"/>
              </w:rPr>
              <w:t>Name, Restriction,</w:t>
            </w:r>
          </w:p>
          <w:p w:rsidR="00334B6C" w:rsidRPr="008162D9" w:rsidRDefault="00334B6C" w:rsidP="002017D0">
            <w:pPr>
              <w:keepNext/>
              <w:keepLines/>
              <w:widowControl/>
              <w:jc w:val="left"/>
              <w:rPr>
                <w:rFonts w:ascii="Arial Narrow" w:hAnsi="Arial Narrow" w:cs="Times New Roman"/>
                <w:b/>
                <w:snapToGrid/>
                <w:sz w:val="20"/>
                <w:szCs w:val="24"/>
                <w:lang w:eastAsia="en-AU"/>
              </w:rPr>
            </w:pPr>
            <w:r w:rsidRPr="008162D9">
              <w:rPr>
                <w:rFonts w:ascii="Arial Narrow" w:hAnsi="Arial Narrow" w:cs="Times New Roman"/>
                <w:b/>
                <w:snapToGrid/>
                <w:sz w:val="20"/>
                <w:szCs w:val="24"/>
                <w:lang w:eastAsia="en-AU"/>
              </w:rPr>
              <w:t>Manner of administration and form</w:t>
            </w:r>
          </w:p>
        </w:tc>
        <w:tc>
          <w:tcPr>
            <w:tcW w:w="304" w:type="pct"/>
          </w:tcPr>
          <w:p w:rsidR="00334B6C" w:rsidRPr="008162D9" w:rsidRDefault="00334B6C" w:rsidP="002017D0">
            <w:pPr>
              <w:keepNext/>
              <w:keepLines/>
              <w:widowControl/>
              <w:jc w:val="center"/>
              <w:rPr>
                <w:rFonts w:ascii="Arial Narrow" w:hAnsi="Arial Narrow" w:cs="Times New Roman"/>
                <w:b/>
                <w:snapToGrid/>
                <w:sz w:val="20"/>
                <w:szCs w:val="24"/>
                <w:lang w:eastAsia="en-AU"/>
              </w:rPr>
            </w:pPr>
            <w:r w:rsidRPr="008162D9">
              <w:rPr>
                <w:rFonts w:ascii="Arial Narrow" w:hAnsi="Arial Narrow" w:cs="Times New Roman"/>
                <w:b/>
                <w:snapToGrid/>
                <w:sz w:val="20"/>
                <w:szCs w:val="24"/>
                <w:lang w:eastAsia="en-AU"/>
              </w:rPr>
              <w:t>Max.</w:t>
            </w:r>
          </w:p>
          <w:p w:rsidR="00334B6C" w:rsidRPr="008162D9" w:rsidRDefault="00334B6C" w:rsidP="002017D0">
            <w:pPr>
              <w:keepNext/>
              <w:keepLines/>
              <w:widowControl/>
              <w:jc w:val="center"/>
              <w:rPr>
                <w:rFonts w:ascii="Arial Narrow" w:hAnsi="Arial Narrow" w:cs="Times New Roman"/>
                <w:b/>
                <w:snapToGrid/>
                <w:sz w:val="20"/>
                <w:szCs w:val="24"/>
                <w:lang w:eastAsia="en-AU"/>
              </w:rPr>
            </w:pPr>
            <w:r w:rsidRPr="008162D9">
              <w:rPr>
                <w:rFonts w:ascii="Arial Narrow" w:hAnsi="Arial Narrow" w:cs="Times New Roman"/>
                <w:b/>
                <w:snapToGrid/>
                <w:sz w:val="20"/>
                <w:szCs w:val="24"/>
                <w:lang w:eastAsia="en-AU"/>
              </w:rPr>
              <w:t>Qty</w:t>
            </w:r>
          </w:p>
        </w:tc>
        <w:tc>
          <w:tcPr>
            <w:tcW w:w="379" w:type="pct"/>
          </w:tcPr>
          <w:p w:rsidR="00334B6C" w:rsidRPr="008162D9" w:rsidRDefault="00334B6C" w:rsidP="002017D0">
            <w:pPr>
              <w:keepNext/>
              <w:keepLines/>
              <w:widowControl/>
              <w:jc w:val="center"/>
              <w:rPr>
                <w:rFonts w:ascii="Arial Narrow" w:hAnsi="Arial Narrow" w:cs="Times New Roman"/>
                <w:b/>
                <w:snapToGrid/>
                <w:sz w:val="20"/>
                <w:szCs w:val="24"/>
                <w:lang w:eastAsia="en-AU"/>
              </w:rPr>
            </w:pPr>
            <w:r w:rsidRPr="008162D9">
              <w:rPr>
                <w:rFonts w:ascii="Arial Narrow" w:hAnsi="Arial Narrow" w:cs="Times New Roman"/>
                <w:b/>
                <w:snapToGrid/>
                <w:sz w:val="20"/>
                <w:szCs w:val="24"/>
                <w:lang w:eastAsia="en-AU"/>
              </w:rPr>
              <w:t>№.of</w:t>
            </w:r>
          </w:p>
          <w:p w:rsidR="00334B6C" w:rsidRPr="008162D9" w:rsidRDefault="00334B6C" w:rsidP="002017D0">
            <w:pPr>
              <w:keepNext/>
              <w:keepLines/>
              <w:widowControl/>
              <w:jc w:val="center"/>
              <w:rPr>
                <w:rFonts w:ascii="Arial Narrow" w:hAnsi="Arial Narrow" w:cs="Times New Roman"/>
                <w:b/>
                <w:snapToGrid/>
                <w:sz w:val="20"/>
                <w:szCs w:val="24"/>
                <w:lang w:eastAsia="en-AU"/>
              </w:rPr>
            </w:pPr>
            <w:r w:rsidRPr="008162D9">
              <w:rPr>
                <w:rFonts w:ascii="Arial Narrow" w:hAnsi="Arial Narrow" w:cs="Times New Roman"/>
                <w:b/>
                <w:snapToGrid/>
                <w:sz w:val="20"/>
                <w:szCs w:val="24"/>
                <w:lang w:eastAsia="en-AU"/>
              </w:rPr>
              <w:t>Rpts</w:t>
            </w:r>
          </w:p>
        </w:tc>
        <w:tc>
          <w:tcPr>
            <w:tcW w:w="760" w:type="pct"/>
          </w:tcPr>
          <w:p w:rsidR="00334B6C" w:rsidRPr="008162D9" w:rsidRDefault="00334B6C" w:rsidP="002017D0">
            <w:pPr>
              <w:keepNext/>
              <w:keepLines/>
              <w:widowControl/>
              <w:jc w:val="center"/>
              <w:rPr>
                <w:rFonts w:ascii="Arial Narrow" w:hAnsi="Arial Narrow" w:cs="Times New Roman"/>
                <w:b/>
                <w:snapToGrid/>
                <w:sz w:val="20"/>
                <w:szCs w:val="24"/>
                <w:lang w:eastAsia="en-AU"/>
              </w:rPr>
            </w:pPr>
          </w:p>
        </w:tc>
        <w:tc>
          <w:tcPr>
            <w:tcW w:w="1581" w:type="pct"/>
            <w:gridSpan w:val="3"/>
          </w:tcPr>
          <w:p w:rsidR="00334B6C" w:rsidRPr="008162D9" w:rsidRDefault="00334B6C" w:rsidP="002017D0">
            <w:pPr>
              <w:keepNext/>
              <w:keepLines/>
              <w:widowControl/>
              <w:jc w:val="center"/>
              <w:rPr>
                <w:rFonts w:ascii="Arial Narrow" w:hAnsi="Arial Narrow" w:cs="Times New Roman"/>
                <w:b/>
                <w:snapToGrid/>
                <w:sz w:val="20"/>
                <w:szCs w:val="24"/>
                <w:lang w:eastAsia="en-AU"/>
              </w:rPr>
            </w:pPr>
            <w:r w:rsidRPr="008162D9">
              <w:rPr>
                <w:rFonts w:ascii="Arial Narrow" w:hAnsi="Arial Narrow" w:cs="Times New Roman"/>
                <w:b/>
                <w:snapToGrid/>
                <w:sz w:val="20"/>
                <w:szCs w:val="24"/>
                <w:lang w:eastAsia="en-AU"/>
              </w:rPr>
              <w:t>Proprietary Name and Manufacturer</w:t>
            </w:r>
          </w:p>
        </w:tc>
      </w:tr>
      <w:tr w:rsidR="00334B6C" w:rsidRPr="008162D9" w:rsidTr="00334B6C">
        <w:trPr>
          <w:cantSplit/>
          <w:trHeight w:val="577"/>
        </w:trPr>
        <w:tc>
          <w:tcPr>
            <w:tcW w:w="1976" w:type="pct"/>
          </w:tcPr>
          <w:p w:rsidR="00334B6C" w:rsidRPr="008162D9" w:rsidRDefault="00334B6C" w:rsidP="00334B6C">
            <w:pPr>
              <w:keepNext/>
              <w:keepLines/>
              <w:widowControl/>
              <w:jc w:val="left"/>
              <w:rPr>
                <w:rFonts w:ascii="Arial Narrow" w:hAnsi="Arial Narrow" w:cs="Times New Roman"/>
                <w:snapToGrid/>
                <w:sz w:val="20"/>
                <w:szCs w:val="24"/>
                <w:lang w:eastAsia="en-AU"/>
              </w:rPr>
            </w:pPr>
            <w:r w:rsidRPr="008162D9">
              <w:rPr>
                <w:rFonts w:ascii="Arial Narrow" w:hAnsi="Arial Narrow" w:cs="Times New Roman"/>
                <w:smallCaps/>
                <w:snapToGrid/>
                <w:sz w:val="20"/>
                <w:szCs w:val="24"/>
                <w:lang w:eastAsia="en-AU"/>
              </w:rPr>
              <w:t>GUSELKUMAB</w:t>
            </w:r>
          </w:p>
          <w:p w:rsidR="00334B6C" w:rsidRPr="008162D9" w:rsidRDefault="00334B6C" w:rsidP="00334B6C">
            <w:pPr>
              <w:keepNext/>
              <w:keepLines/>
              <w:widowControl/>
              <w:jc w:val="left"/>
              <w:rPr>
                <w:rFonts w:ascii="Arial Narrow" w:hAnsi="Arial Narrow" w:cs="Times New Roman"/>
                <w:snapToGrid/>
                <w:sz w:val="20"/>
                <w:szCs w:val="24"/>
                <w:lang w:eastAsia="en-AU"/>
              </w:rPr>
            </w:pPr>
            <w:r w:rsidRPr="008162D9">
              <w:rPr>
                <w:rFonts w:ascii="Arial Narrow" w:hAnsi="Arial Narrow" w:cs="Times New Roman"/>
                <w:snapToGrid/>
                <w:sz w:val="20"/>
                <w:szCs w:val="24"/>
                <w:lang w:eastAsia="en-AU"/>
              </w:rPr>
              <w:t>Injection 100 mg in 1 mL pre-filled syringe</w:t>
            </w:r>
          </w:p>
        </w:tc>
        <w:tc>
          <w:tcPr>
            <w:tcW w:w="304" w:type="pct"/>
          </w:tcPr>
          <w:p w:rsidR="00334B6C" w:rsidRPr="008162D9" w:rsidRDefault="00334B6C" w:rsidP="00334B6C">
            <w:pPr>
              <w:keepNext/>
              <w:keepLines/>
              <w:widowControl/>
              <w:jc w:val="center"/>
              <w:rPr>
                <w:rFonts w:ascii="Arial Narrow" w:hAnsi="Arial Narrow" w:cs="Times New Roman"/>
                <w:snapToGrid/>
                <w:sz w:val="20"/>
                <w:szCs w:val="24"/>
                <w:lang w:eastAsia="en-AU"/>
              </w:rPr>
            </w:pPr>
          </w:p>
          <w:p w:rsidR="00334B6C" w:rsidRPr="008162D9" w:rsidRDefault="00334B6C" w:rsidP="00334B6C">
            <w:pPr>
              <w:keepNext/>
              <w:keepLines/>
              <w:widowControl/>
              <w:jc w:val="center"/>
              <w:rPr>
                <w:rFonts w:ascii="Arial Narrow" w:hAnsi="Arial Narrow" w:cs="Times New Roman"/>
                <w:snapToGrid/>
                <w:sz w:val="20"/>
                <w:szCs w:val="24"/>
                <w:lang w:eastAsia="en-AU"/>
              </w:rPr>
            </w:pPr>
            <w:r w:rsidRPr="008162D9">
              <w:rPr>
                <w:rFonts w:ascii="Arial Narrow" w:hAnsi="Arial Narrow" w:cs="Times New Roman"/>
                <w:snapToGrid/>
                <w:sz w:val="20"/>
                <w:szCs w:val="24"/>
                <w:lang w:eastAsia="en-AU"/>
              </w:rPr>
              <w:t>1</w:t>
            </w:r>
          </w:p>
        </w:tc>
        <w:tc>
          <w:tcPr>
            <w:tcW w:w="379" w:type="pct"/>
          </w:tcPr>
          <w:p w:rsidR="00334B6C" w:rsidRPr="008162D9" w:rsidRDefault="00334B6C" w:rsidP="00334B6C">
            <w:pPr>
              <w:keepNext/>
              <w:keepLines/>
              <w:widowControl/>
              <w:jc w:val="center"/>
              <w:rPr>
                <w:rFonts w:ascii="Arial Narrow" w:hAnsi="Arial Narrow" w:cs="Times New Roman"/>
                <w:snapToGrid/>
                <w:sz w:val="20"/>
                <w:szCs w:val="24"/>
                <w:lang w:eastAsia="en-AU"/>
              </w:rPr>
            </w:pPr>
          </w:p>
          <w:p w:rsidR="00334B6C" w:rsidRPr="008162D9" w:rsidRDefault="00334B6C" w:rsidP="00334B6C">
            <w:pPr>
              <w:keepNext/>
              <w:keepLines/>
              <w:widowControl/>
              <w:jc w:val="center"/>
              <w:rPr>
                <w:rFonts w:ascii="Arial Narrow" w:hAnsi="Arial Narrow" w:cs="Times New Roman"/>
                <w:snapToGrid/>
                <w:sz w:val="20"/>
                <w:szCs w:val="24"/>
                <w:lang w:eastAsia="en-AU"/>
              </w:rPr>
            </w:pPr>
            <w:r w:rsidRPr="008162D9">
              <w:rPr>
                <w:rFonts w:ascii="Arial Narrow" w:hAnsi="Arial Narrow" w:cs="Times New Roman"/>
                <w:snapToGrid/>
                <w:sz w:val="20"/>
                <w:szCs w:val="24"/>
                <w:lang w:eastAsia="en-AU"/>
              </w:rPr>
              <w:t>2</w:t>
            </w:r>
          </w:p>
        </w:tc>
        <w:tc>
          <w:tcPr>
            <w:tcW w:w="967" w:type="pct"/>
            <w:gridSpan w:val="2"/>
            <w:vAlign w:val="center"/>
          </w:tcPr>
          <w:p w:rsidR="00334B6C" w:rsidRPr="008162D9" w:rsidRDefault="00334B6C" w:rsidP="00334B6C">
            <w:pPr>
              <w:keepNext/>
              <w:keepLines/>
              <w:widowControl/>
              <w:jc w:val="center"/>
              <w:rPr>
                <w:rFonts w:ascii="Arial Narrow" w:hAnsi="Arial Narrow" w:cs="Times New Roman"/>
                <w:snapToGrid/>
                <w:sz w:val="20"/>
                <w:szCs w:val="24"/>
                <w:lang w:eastAsia="en-AU"/>
              </w:rPr>
            </w:pPr>
            <w:proofErr w:type="spellStart"/>
            <w:r>
              <w:rPr>
                <w:rFonts w:ascii="Arial Narrow" w:hAnsi="Arial Narrow" w:cs="Times New Roman"/>
                <w:snapToGrid/>
                <w:sz w:val="20"/>
                <w:szCs w:val="24"/>
                <w:lang w:eastAsia="en-AU"/>
              </w:rPr>
              <w:t>Tremfya</w:t>
            </w:r>
            <w:proofErr w:type="spellEnd"/>
            <w:r w:rsidRPr="00CA4AA0">
              <w:rPr>
                <w:rFonts w:ascii="Arial Narrow" w:hAnsi="Arial Narrow" w:cs="Times New Roman"/>
                <w:snapToGrid/>
                <w:sz w:val="20"/>
                <w:szCs w:val="24"/>
                <w:lang w:eastAsia="en-AU"/>
              </w:rPr>
              <w:t>®</w:t>
            </w:r>
          </w:p>
        </w:tc>
        <w:tc>
          <w:tcPr>
            <w:tcW w:w="411" w:type="pct"/>
            <w:vAlign w:val="center"/>
          </w:tcPr>
          <w:p w:rsidR="00334B6C" w:rsidRPr="008162D9" w:rsidRDefault="00334B6C" w:rsidP="00334B6C">
            <w:pPr>
              <w:keepNext/>
              <w:keepLines/>
              <w:widowControl/>
              <w:jc w:val="center"/>
              <w:rPr>
                <w:rFonts w:ascii="Arial Narrow" w:hAnsi="Arial Narrow" w:cs="Times New Roman"/>
                <w:snapToGrid/>
                <w:sz w:val="20"/>
                <w:szCs w:val="24"/>
                <w:lang w:eastAsia="en-AU"/>
              </w:rPr>
            </w:pPr>
            <w:r w:rsidRPr="008162D9">
              <w:rPr>
                <w:rFonts w:ascii="Arial Narrow" w:hAnsi="Arial Narrow" w:cs="Times New Roman"/>
                <w:snapToGrid/>
                <w:sz w:val="20"/>
                <w:szCs w:val="24"/>
                <w:lang w:eastAsia="en-AU"/>
              </w:rPr>
              <w:t>Janssen- Cilag</w:t>
            </w:r>
          </w:p>
        </w:tc>
        <w:tc>
          <w:tcPr>
            <w:tcW w:w="963" w:type="pct"/>
            <w:vAlign w:val="center"/>
          </w:tcPr>
          <w:p w:rsidR="00334B6C" w:rsidRPr="008162D9" w:rsidRDefault="00334B6C" w:rsidP="00334B6C">
            <w:pPr>
              <w:keepNext/>
              <w:keepLines/>
              <w:widowControl/>
              <w:jc w:val="center"/>
              <w:rPr>
                <w:rFonts w:ascii="Arial Narrow" w:hAnsi="Arial Narrow" w:cs="Times New Roman"/>
                <w:snapToGrid/>
                <w:sz w:val="20"/>
                <w:szCs w:val="24"/>
                <w:lang w:eastAsia="en-AU"/>
              </w:rPr>
            </w:pPr>
          </w:p>
        </w:tc>
      </w:tr>
    </w:tbl>
    <w:tbl>
      <w:tblPr>
        <w:tblStyle w:val="Summarybox1"/>
        <w:tblW w:w="5000" w:type="pct"/>
        <w:tblLook w:val="04A0" w:firstRow="1" w:lastRow="0" w:firstColumn="1" w:lastColumn="0" w:noHBand="0" w:noVBand="1"/>
        <w:tblCaption w:val="Recommended listing "/>
      </w:tblPr>
      <w:tblGrid>
        <w:gridCol w:w="2235"/>
        <w:gridCol w:w="7008"/>
      </w:tblGrid>
      <w:tr w:rsidR="00334B6C" w:rsidRPr="008162D9" w:rsidTr="005705D2">
        <w:tc>
          <w:tcPr>
            <w:tcW w:w="1209" w:type="pct"/>
          </w:tcPr>
          <w:p w:rsidR="00334B6C" w:rsidRPr="00593750" w:rsidRDefault="00334B6C" w:rsidP="002017D0">
            <w:pPr>
              <w:keepNext/>
              <w:keepLines/>
              <w:widowControl/>
              <w:spacing w:before="40" w:after="40"/>
              <w:rPr>
                <w:rFonts w:ascii="Arial Narrow" w:hAnsi="Arial Narrow" w:cstheme="minorBidi"/>
                <w:b/>
                <w:sz w:val="20"/>
                <w:lang w:val="en-AU"/>
              </w:rPr>
            </w:pPr>
            <w:r>
              <w:rPr>
                <w:rFonts w:ascii="Arial Narrow" w:hAnsi="Arial Narrow" w:cstheme="minorBidi"/>
                <w:b/>
                <w:sz w:val="20"/>
                <w:lang w:val="en-AU"/>
              </w:rPr>
              <w:t>Category/</w:t>
            </w:r>
            <w:r w:rsidRPr="00593750">
              <w:rPr>
                <w:rFonts w:ascii="Arial Narrow" w:hAnsi="Arial Narrow" w:cstheme="minorBidi"/>
                <w:b/>
                <w:sz w:val="20"/>
                <w:lang w:val="en-AU"/>
              </w:rPr>
              <w:t>Program</w:t>
            </w:r>
          </w:p>
        </w:tc>
        <w:tc>
          <w:tcPr>
            <w:tcW w:w="3791" w:type="pct"/>
          </w:tcPr>
          <w:p w:rsidR="00334B6C" w:rsidRPr="008162D9" w:rsidRDefault="00334B6C" w:rsidP="002017D0">
            <w:pPr>
              <w:keepNext/>
              <w:keepLines/>
              <w:widowControl/>
              <w:spacing w:before="40" w:after="40"/>
              <w:rPr>
                <w:rFonts w:ascii="Arial Narrow" w:hAnsi="Arial Narrow" w:cstheme="minorBidi"/>
                <w:sz w:val="20"/>
                <w:lang w:val="en-AU"/>
              </w:rPr>
            </w:pPr>
            <w:r w:rsidRPr="008162D9">
              <w:rPr>
                <w:rFonts w:ascii="Arial Narrow" w:hAnsi="Arial Narrow" w:cstheme="minorBidi"/>
                <w:sz w:val="20"/>
                <w:lang w:val="en-AU"/>
              </w:rPr>
              <w:t>GENERAL – General Schedule (Code GE)</w:t>
            </w:r>
          </w:p>
        </w:tc>
      </w:tr>
      <w:tr w:rsidR="00C20D8C" w:rsidRPr="008162D9" w:rsidTr="005705D2">
        <w:tc>
          <w:tcPr>
            <w:tcW w:w="1209" w:type="pct"/>
          </w:tcPr>
          <w:p w:rsidR="00C20D8C" w:rsidRPr="00593750" w:rsidRDefault="00C20D8C" w:rsidP="000565DE">
            <w:pPr>
              <w:keepNext/>
              <w:keepLines/>
              <w:widowControl/>
              <w:spacing w:before="40" w:after="40"/>
              <w:rPr>
                <w:rFonts w:ascii="Arial Narrow" w:hAnsi="Arial Narrow" w:cstheme="minorBidi"/>
                <w:b/>
                <w:sz w:val="20"/>
                <w:lang w:val="en-AU"/>
              </w:rPr>
            </w:pPr>
            <w:r w:rsidRPr="00593750">
              <w:rPr>
                <w:rFonts w:ascii="Arial Narrow" w:hAnsi="Arial Narrow" w:cstheme="minorBidi"/>
                <w:b/>
                <w:sz w:val="20"/>
                <w:lang w:val="en-AU"/>
              </w:rPr>
              <w:t>Condition</w:t>
            </w:r>
          </w:p>
        </w:tc>
        <w:tc>
          <w:tcPr>
            <w:tcW w:w="3791" w:type="pct"/>
          </w:tcPr>
          <w:p w:rsidR="00C20D8C" w:rsidRPr="008162D9" w:rsidRDefault="00C20D8C" w:rsidP="000565DE">
            <w:pPr>
              <w:keepNext/>
              <w:keepLines/>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0565DE">
            <w:pPr>
              <w:keepNext/>
              <w:keepLines/>
              <w:widowControl/>
              <w:spacing w:before="40" w:after="40"/>
              <w:rPr>
                <w:rFonts w:ascii="Arial Narrow" w:hAnsi="Arial Narrow" w:cstheme="minorBidi"/>
                <w:b/>
                <w:sz w:val="20"/>
                <w:lang w:val="en-AU"/>
              </w:rPr>
            </w:pPr>
            <w:r w:rsidRPr="00593750">
              <w:rPr>
                <w:rFonts w:ascii="Arial Narrow" w:hAnsi="Arial Narrow" w:cstheme="minorBidi"/>
                <w:b/>
                <w:sz w:val="20"/>
                <w:lang w:val="en-AU"/>
              </w:rPr>
              <w:t>PBS indication</w:t>
            </w:r>
          </w:p>
        </w:tc>
        <w:tc>
          <w:tcPr>
            <w:tcW w:w="3791" w:type="pct"/>
          </w:tcPr>
          <w:p w:rsidR="00C20D8C" w:rsidRPr="008162D9" w:rsidRDefault="00C20D8C" w:rsidP="000565DE">
            <w:pPr>
              <w:keepNext/>
              <w:keepLines/>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0565DE">
            <w:pPr>
              <w:keepNext/>
              <w:keepLines/>
              <w:widowControl/>
              <w:spacing w:before="40" w:after="40"/>
              <w:rPr>
                <w:rFonts w:ascii="Arial Narrow" w:hAnsi="Arial Narrow" w:cstheme="minorBidi"/>
                <w:b/>
                <w:sz w:val="20"/>
                <w:lang w:val="en-AU"/>
              </w:rPr>
            </w:pPr>
            <w:r w:rsidRPr="00593750">
              <w:rPr>
                <w:rFonts w:ascii="Arial Narrow" w:hAnsi="Arial Narrow" w:cstheme="minorBidi"/>
                <w:b/>
                <w:sz w:val="20"/>
                <w:lang w:val="en-AU"/>
              </w:rPr>
              <w:t>Treatment phase</w:t>
            </w:r>
          </w:p>
        </w:tc>
        <w:tc>
          <w:tcPr>
            <w:tcW w:w="3791" w:type="pct"/>
          </w:tcPr>
          <w:p w:rsidR="00C20D8C" w:rsidRPr="008162D9" w:rsidRDefault="00C20D8C" w:rsidP="000565DE">
            <w:pPr>
              <w:keepNext/>
              <w:keepLines/>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Initial treatment – Initial 1, Whole body (new patient (no prior biological agent) or patient recommencing treatment after a break of 5 years or more) </w:t>
            </w:r>
          </w:p>
        </w:tc>
      </w:tr>
      <w:tr w:rsidR="00C20D8C" w:rsidRPr="008162D9" w:rsidTr="005705D2">
        <w:tc>
          <w:tcPr>
            <w:tcW w:w="1209" w:type="pct"/>
          </w:tcPr>
          <w:p w:rsidR="00C20D8C" w:rsidRPr="00593750" w:rsidRDefault="00C20D8C" w:rsidP="000565DE">
            <w:pPr>
              <w:keepNext/>
              <w:keepLines/>
              <w:widowControl/>
              <w:spacing w:before="40" w:after="40"/>
              <w:jc w:val="left"/>
              <w:rPr>
                <w:rFonts w:ascii="Arial Narrow" w:hAnsi="Arial Narrow" w:cstheme="minorBidi"/>
                <w:b/>
                <w:sz w:val="20"/>
                <w:lang w:val="en-AU"/>
              </w:rPr>
            </w:pPr>
            <w:r w:rsidRPr="00593750">
              <w:rPr>
                <w:rFonts w:ascii="Arial Narrow" w:hAnsi="Arial Narrow" w:cstheme="minorBidi"/>
                <w:b/>
                <w:sz w:val="20"/>
                <w:lang w:val="en-AU"/>
              </w:rPr>
              <w:t xml:space="preserve">Restriction </w:t>
            </w:r>
            <w:r>
              <w:rPr>
                <w:rFonts w:ascii="Arial Narrow" w:hAnsi="Arial Narrow" w:cstheme="minorBidi"/>
                <w:b/>
                <w:sz w:val="20"/>
                <w:lang w:val="en-AU"/>
              </w:rPr>
              <w:t>Level/</w:t>
            </w:r>
            <w:r w:rsidRPr="00593750">
              <w:rPr>
                <w:rFonts w:ascii="Arial Narrow" w:hAnsi="Arial Narrow" w:cstheme="minorBidi"/>
                <w:b/>
                <w:sz w:val="20"/>
                <w:lang w:val="en-AU"/>
              </w:rPr>
              <w:t>Method</w:t>
            </w:r>
          </w:p>
        </w:tc>
        <w:tc>
          <w:tcPr>
            <w:tcW w:w="3791" w:type="pct"/>
          </w:tcPr>
          <w:p w:rsidR="00C20D8C" w:rsidRPr="008162D9" w:rsidRDefault="00C20D8C" w:rsidP="000565DE">
            <w:pPr>
              <w:keepNext/>
              <w:keepLines/>
              <w:widowControl/>
              <w:spacing w:before="40" w:after="40"/>
              <w:rPr>
                <w:rFonts w:ascii="Arial Narrow" w:hAnsi="Arial Narrow" w:cstheme="minorBidi"/>
                <w:sz w:val="20"/>
                <w:lang w:val="en-AU"/>
              </w:rPr>
            </w:pPr>
            <w:r w:rsidRPr="008162D9">
              <w:rPr>
                <w:rFonts w:ascii="Arial Narrow" w:hAnsi="Arial Narrow" w:cstheme="minorBidi"/>
                <w:sz w:val="20"/>
                <w:lang w:val="en-AU"/>
              </w:rPr>
              <w:t>Authority Required - written</w:t>
            </w:r>
          </w:p>
        </w:tc>
      </w:tr>
      <w:tr w:rsidR="00C20D8C" w:rsidRPr="008162D9" w:rsidTr="005705D2">
        <w:tc>
          <w:tcPr>
            <w:tcW w:w="1209" w:type="pct"/>
          </w:tcPr>
          <w:p w:rsidR="00C20D8C" w:rsidRPr="00593750" w:rsidRDefault="00C20D8C" w:rsidP="005705D2">
            <w:pPr>
              <w:widowControl/>
              <w:spacing w:before="40" w:after="40"/>
              <w:jc w:val="left"/>
              <w:rPr>
                <w:rFonts w:ascii="Arial Narrow" w:hAnsi="Arial Narrow" w:cstheme="minorBidi"/>
                <w:b/>
                <w:sz w:val="20"/>
                <w:lang w:val="en-AU"/>
              </w:rPr>
            </w:pPr>
            <w:r w:rsidRPr="00593750">
              <w:rPr>
                <w:rFonts w:ascii="Arial Narrow" w:hAnsi="Arial Narrow" w:cstheme="minorBidi"/>
                <w:b/>
                <w:sz w:val="20"/>
                <w:lang w:val="en-AU"/>
              </w:rPr>
              <w:t>Clinical criteria</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severe chronic plaque psoriasis where lesions have been present for at least 6 months from the time of initial diagnosis,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not have received any prior PBS-subsidised treatment with a biological agent for this condition; OR</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not have received PBS-subsidised treatment with a biological agent for at least 5 years, if they have previously received PBS-subsidised treatment with a biological agent for this condition and wish to commence a new Treatment Cycle,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Patient must have failed to achieve an adequate response, as demonstrated by a Psoriasis Area and Severity Index (PASI) assessment, to at least 3 of the following 4 treatments: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w:t>
            </w:r>
            <w:proofErr w:type="spellStart"/>
            <w:r w:rsidRPr="008162D9">
              <w:rPr>
                <w:rFonts w:ascii="Arial Narrow" w:hAnsi="Arial Narrow" w:cstheme="minorBidi"/>
                <w:sz w:val="20"/>
                <w:lang w:val="en-AU"/>
              </w:rPr>
              <w:t>i</w:t>
            </w:r>
            <w:proofErr w:type="spellEnd"/>
            <w:r w:rsidRPr="008162D9">
              <w:rPr>
                <w:rFonts w:ascii="Arial Narrow" w:hAnsi="Arial Narrow" w:cstheme="minorBidi"/>
                <w:sz w:val="20"/>
                <w:lang w:val="en-AU"/>
              </w:rPr>
              <w:t xml:space="preserve">) phototherapy (UVB or PUVA) for 3 treatments per week for at least 6 weeks; and/or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(ii) methotrexate at a dose of at least 10 mg weekly for at least 6 weeks; and/or</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(iii) cyclosporin at a dose of at least 2 mg per kg per day for at least 6 weeks; and/or (iv) acitretin at a dose of at least 0.4 mg per kg per day for at least 6 weeks,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signed a patient and prescriber acknowledgement indicating they understand and acknowledge that PBS-subsidised treatment will cease if they do not meet the predetermined response criterion for ongoing PBS-subsidised treatment, as outlined in the restriction for continuing treatment (whole body),</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treatment must be as systemic monotherapy (other than methotrexate),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not receive more than 20</w:t>
            </w:r>
            <w:r w:rsidRPr="008162D9">
              <w:rPr>
                <w:rFonts w:ascii="Arial Narrow" w:hAnsi="Arial Narrow" w:cstheme="minorBidi"/>
                <w:i/>
                <w:sz w:val="20"/>
                <w:lang w:val="en-AU"/>
              </w:rPr>
              <w:t xml:space="preserve"> </w:t>
            </w:r>
            <w:r w:rsidRPr="008162D9">
              <w:rPr>
                <w:rFonts w:ascii="Arial Narrow" w:hAnsi="Arial Narrow" w:cstheme="minorBidi"/>
                <w:sz w:val="20"/>
                <w:lang w:val="en-AU"/>
              </w:rPr>
              <w:t>weeks of treatment under this restriction.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Must be treated by a dermatologist.</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Population criteria</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be aged 18 years or older.</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 xml:space="preserve">Prescribing Instructions: </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For the purposes of this restriction 'biological agent' means adalimumab, etanercept, </w:t>
            </w:r>
            <w:r w:rsidRPr="008162D9">
              <w:rPr>
                <w:rFonts w:ascii="Arial Narrow" w:hAnsi="Arial Narrow" w:cstheme="minorBidi"/>
                <w:i/>
                <w:sz w:val="20"/>
                <w:lang w:val="en-AU"/>
              </w:rPr>
              <w:t>guselkumab</w:t>
            </w:r>
            <w:r w:rsidRPr="008162D9">
              <w:rPr>
                <w:rFonts w:ascii="Arial Narrow" w:hAnsi="Arial Narrow" w:cstheme="minorBidi"/>
                <w:sz w:val="20"/>
                <w:lang w:val="en-AU"/>
              </w:rPr>
              <w:t>, infliximab, ixekizumab, secukinumab or ustekinumab.</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Where treatment with methotrexate, cyclosporin or acitretin is contraindicated according to the relevant TGA-approved Product Information, or where phototherapy is contraindicated, </w:t>
            </w:r>
            <w:r w:rsidRPr="008162D9">
              <w:rPr>
                <w:rFonts w:ascii="Arial Narrow" w:hAnsi="Arial Narrow" w:cstheme="minorBidi"/>
                <w:sz w:val="20"/>
                <w:lang w:val="en-AU"/>
              </w:rPr>
              <w:lastRenderedPageBreak/>
              <w:t>details must be provided at the time of application.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following criterion indicates failure to achieve an adequate response to prior treatment and must be demonstrated in the patient at the time of the application: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A current Psoriasis Area and Severity Index (PASI) score of greater than 15, as assessed, preferably whilst still on treatment, but no longer than 1 month following cessation of the most recent prior treatment.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(b) A PASI assessment must be completed for each prior treatment course, preferably whilst still on treatment, but no longer than 1 month following cessation of each course of treatment.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(c) The most recent PASI assessment must be no more than 1 month old at the time of application.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authority application must be made in writing and must include: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a completed authority prescription form;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(b) a completed Severe Chronic Plaque Psoriasis PBS Authority Application - Supporting Information Form which includes the following: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w:t>
            </w:r>
            <w:proofErr w:type="spellStart"/>
            <w:r w:rsidRPr="008162D9">
              <w:rPr>
                <w:rFonts w:ascii="Arial Narrow" w:hAnsi="Arial Narrow" w:cstheme="minorBidi"/>
                <w:sz w:val="20"/>
                <w:lang w:val="en-AU"/>
              </w:rPr>
              <w:t>i</w:t>
            </w:r>
            <w:proofErr w:type="spellEnd"/>
            <w:r w:rsidRPr="008162D9">
              <w:rPr>
                <w:rFonts w:ascii="Arial Narrow" w:hAnsi="Arial Narrow" w:cstheme="minorBidi"/>
                <w:sz w:val="20"/>
                <w:lang w:val="en-AU"/>
              </w:rPr>
              <w:t>) the completed current and previous Psoriasis Area and Severity Index (PASI) calculation sheets including the dates of assessment of the patient's condition;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(ii) details of previous phototherapy and systemic drug therapy [dosage (where applicable), date of commencement and duration of therapy];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(iii) the signed patient and prescriber acknowledgements.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lastRenderedPageBreak/>
              <w:t xml:space="preserve">Administrative Advice: </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Details of the toxicities, including severity, which will be accepted as a reason for exempting a patient from the requirement for 6 weeks treatment with phototherapy, methotrexate, cyclosporin or acitretin can be found on the Department of Human Services website (www.humanservices.gov.au)</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In circumstances where it is not possible to submit a response assessment within these timeframes, please call the Department of Human Services on 1800 700 270 to discuss.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It is recommended that an application is posted to the Department of Human Services no later than 2 weeks prior to the patient completing their current treatment course to ensure continuity of treatment for those patients who meet the continuation criterion for PBS</w:t>
            </w:r>
            <w:r w:rsidRPr="008162D9">
              <w:rPr>
                <w:rFonts w:ascii="Arial Narrow" w:hAnsi="Arial Narrow" w:cstheme="minorBidi"/>
                <w:sz w:val="20"/>
                <w:lang w:val="en-AU"/>
              </w:rPr>
              <w:noBreakHyphen/>
              <w:t>subsidised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Any queries concerning the arrangements to prescribe may be directed to the Department of Human Services on 1800 700 270 (hours of operation 8 a.m. to 5 p.m. EST Monday to Friday).</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Prescribing information (including Authority Application forms and other relevant documentation as applicable) is available on the Department of Human Services website at www.humanservices.gov.au</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Applications for authority to prescribe should be forwarded to:</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Department of Human Services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Complex Drugs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Reply Paid 9826</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HOBART TAS 7001</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No increase in the maximum number of repeats may be authorised.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No increase in the maximum number of units may </w:t>
            </w:r>
            <w:r>
              <w:rPr>
                <w:rFonts w:ascii="Arial Narrow" w:hAnsi="Arial Narrow" w:cstheme="minorBidi"/>
                <w:sz w:val="20"/>
                <w:lang w:val="en-AU"/>
              </w:rPr>
              <w:t xml:space="preserve">be </w:t>
            </w:r>
            <w:r w:rsidRPr="008162D9">
              <w:rPr>
                <w:rFonts w:ascii="Arial Narrow" w:hAnsi="Arial Narrow" w:cstheme="minorBidi"/>
                <w:sz w:val="20"/>
                <w:lang w:val="en-AU"/>
              </w:rPr>
              <w:t xml:space="preserve">authorised.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lastRenderedPageBreak/>
              <w:t xml:space="preserve">Special Pricing Arrangements apply. </w:t>
            </w:r>
          </w:p>
        </w:tc>
      </w:tr>
    </w:tbl>
    <w:p w:rsidR="00C20D8C" w:rsidRPr="008162D9" w:rsidRDefault="00C20D8C" w:rsidP="00C20D8C">
      <w:pPr>
        <w:pStyle w:val="PBACHeading1"/>
        <w:rPr>
          <w:rStyle w:val="CommentReference"/>
          <w:rFonts w:ascii="Calibri" w:hAnsi="Calibri"/>
          <w:sz w:val="24"/>
          <w:szCs w:val="22"/>
        </w:rPr>
      </w:pPr>
    </w:p>
    <w:tbl>
      <w:tblPr>
        <w:tblStyle w:val="Summarybox2"/>
        <w:tblW w:w="5000" w:type="pct"/>
        <w:tblLook w:val="04A0" w:firstRow="1" w:lastRow="0" w:firstColumn="1" w:lastColumn="0" w:noHBand="0" w:noVBand="1"/>
        <w:tblCaption w:val="Recommended listing "/>
      </w:tblPr>
      <w:tblGrid>
        <w:gridCol w:w="2235"/>
        <w:gridCol w:w="7008"/>
      </w:tblGrid>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Category/Program</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GENERAL – General Schedule (Code GE)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Prescriber type</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Dermatologists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Condition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PBS indication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Del="007A0628"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Treatment phase</w:t>
            </w:r>
          </w:p>
        </w:tc>
        <w:tc>
          <w:tcPr>
            <w:tcW w:w="3791" w:type="pct"/>
          </w:tcPr>
          <w:p w:rsidR="00C20D8C" w:rsidRPr="008162D9" w:rsidDel="007A0628"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Treatment Phase: Initial treatment – Initial 2, Whole body (change or recommencement of treatment after a break of less than 5 years) </w:t>
            </w:r>
          </w:p>
        </w:tc>
      </w:tr>
      <w:tr w:rsidR="00C20D8C" w:rsidRPr="008162D9" w:rsidDel="007A0628"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Restriction Level/Method</w:t>
            </w:r>
          </w:p>
        </w:tc>
        <w:tc>
          <w:tcPr>
            <w:tcW w:w="3791" w:type="pct"/>
          </w:tcPr>
          <w:p w:rsidR="00C20D8C" w:rsidRPr="008162D9" w:rsidDel="007A0628"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Authority Required - written</w:t>
            </w:r>
          </w:p>
        </w:tc>
      </w:tr>
      <w:tr w:rsidR="00C20D8C" w:rsidRPr="008162D9" w:rsidDel="007A0628"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Clinical criteria</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a documented history of severe chronic plaque psoriasis,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received prior PBS-subsidised treatment with a biological agent for this condition in this Treatment Cycle,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not have already failed, or ceased to respond to, PBS-subsidised treatment with 3 biological agents for this condition within this Treatment Cycle,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not have failed, or ceased to respond to, PBS-subsidised therapy with this drug for the treatment of this condition in the current Treatment Cycle,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treatment must be as systemic monotherapy (other than methotrexate),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not receive more than 20 weeks of treatment under this restriction.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AND </w:t>
            </w:r>
          </w:p>
          <w:p w:rsidR="00C20D8C" w:rsidRPr="008162D9" w:rsidDel="007A0628"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Must be treated by a dermatologist.</w:t>
            </w:r>
          </w:p>
        </w:tc>
      </w:tr>
      <w:tr w:rsidR="00C20D8C" w:rsidRPr="008162D9" w:rsidDel="007A0628"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Population criteria</w:t>
            </w:r>
          </w:p>
        </w:tc>
        <w:tc>
          <w:tcPr>
            <w:tcW w:w="3791" w:type="pct"/>
          </w:tcPr>
          <w:p w:rsidR="00C20D8C" w:rsidRPr="008162D9" w:rsidDel="007A0628"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be aged 18 years or older.</w:t>
            </w:r>
          </w:p>
        </w:tc>
      </w:tr>
      <w:tr w:rsidR="00C20D8C" w:rsidRPr="008162D9" w:rsidDel="007A0628"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 xml:space="preserve">Prescribing Instructions </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For the purposes of this restriction 'biological agent' means adalimumab, etanercept, </w:t>
            </w:r>
            <w:r w:rsidRPr="008162D9">
              <w:rPr>
                <w:rFonts w:ascii="Arial Narrow" w:hAnsi="Arial Narrow" w:cstheme="minorBidi"/>
                <w:i/>
                <w:sz w:val="20"/>
                <w:lang w:val="en-AU"/>
              </w:rPr>
              <w:t>guselkumab</w:t>
            </w:r>
            <w:r w:rsidRPr="008162D9">
              <w:rPr>
                <w:rFonts w:ascii="Arial Narrow" w:hAnsi="Arial Narrow" w:cstheme="minorBidi"/>
                <w:sz w:val="20"/>
                <w:lang w:val="en-AU"/>
              </w:rPr>
              <w:t xml:space="preserve"> infliximab, ixekizumab, secukinumab or ustekinumab.</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authority application must be made in writing and must include: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a completed authority prescription form;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(b) a completed Severe Chronic Plaque Psoriasis PBS Authority Application - Supporting Information Form which includes the following: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w:t>
            </w:r>
            <w:proofErr w:type="spellStart"/>
            <w:r w:rsidRPr="008162D9">
              <w:rPr>
                <w:rFonts w:ascii="Arial Narrow" w:hAnsi="Arial Narrow" w:cstheme="minorBidi"/>
                <w:sz w:val="20"/>
                <w:lang w:val="en-AU"/>
              </w:rPr>
              <w:t>i</w:t>
            </w:r>
            <w:proofErr w:type="spellEnd"/>
            <w:r w:rsidRPr="008162D9">
              <w:rPr>
                <w:rFonts w:ascii="Arial Narrow" w:hAnsi="Arial Narrow" w:cstheme="minorBidi"/>
                <w:sz w:val="20"/>
                <w:lang w:val="en-AU"/>
              </w:rPr>
              <w:t>) the completed current Psoriasis Area and Severity Index (PASI) calculation sheets including the dates of assessment of the patient's condition;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(ii) details of prior biological treatment, including dosage, date and duration of treatment.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Applications for patients who have demonstrated a response to PBS-subsidised treatment with this drug within this Treatment Cycle and who wish to recommence treatment with this drug within the same Cycle following a break in therapy, will only be approved where evidence of the patient's response to their most recent course of PBS-subsidised treatment with this drug has been submitted within 1 month of cessation of treatment.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 adequate response to treatment is defined as:</w:t>
            </w:r>
          </w:p>
          <w:p w:rsidR="00C20D8C" w:rsidRPr="008162D9" w:rsidDel="007A0628"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 Psoriasis Area and Severity Index (PASI) score which is reduced by 75% or more, or is sustained at this level, when compared with the </w:t>
            </w:r>
            <w:proofErr w:type="spellStart"/>
            <w:r w:rsidRPr="008162D9">
              <w:rPr>
                <w:rFonts w:ascii="Arial Narrow" w:hAnsi="Arial Narrow" w:cstheme="minorBidi"/>
                <w:sz w:val="20"/>
                <w:lang w:val="en-AU"/>
              </w:rPr>
              <w:t>prebiological</w:t>
            </w:r>
            <w:proofErr w:type="spellEnd"/>
            <w:r w:rsidRPr="008162D9">
              <w:rPr>
                <w:rFonts w:ascii="Arial Narrow" w:hAnsi="Arial Narrow" w:cstheme="minorBidi"/>
                <w:sz w:val="20"/>
                <w:lang w:val="en-AU"/>
              </w:rPr>
              <w:t xml:space="preserve"> treatment baseline value for this Treatment Cycle.</w:t>
            </w:r>
          </w:p>
        </w:tc>
      </w:tr>
      <w:tr w:rsidR="00C20D8C" w:rsidRPr="008162D9" w:rsidDel="007A0628"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Administrative Advice:</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w:t>
            </w:r>
            <w:r w:rsidRPr="008162D9">
              <w:rPr>
                <w:rFonts w:ascii="Arial Narrow" w:hAnsi="Arial Narrow" w:cstheme="minorBidi"/>
                <w:sz w:val="20"/>
                <w:lang w:val="en-AU"/>
              </w:rPr>
              <w:lastRenderedPageBreak/>
              <w:t>timeframes, the patient will be deemed to have failed to respond to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In circumstances where it is not possible to submit a response assessment within these timeframes, please call the Department of Human Services on 1800 700 270 to discuss.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Any queries concerning the arrangements to prescribe may be directed to the Department of Human Services on 1800 700 270 (hours of operation 8 a.m. to 5 p.m. EST Monday to Friday).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Prescribing information (including Authority Application forms and other relevant documentation as applicable) is available on the Department of Human Services website at www.humanservices.gov.au</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Applications for authority to prescribe should be forwarded to: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Department of Human Services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Complex Drugs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Reply Paid 9826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HOBART TAS 7001</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No increase in the maximum number of repeats may be authorised.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No increase in the maximum number of units may </w:t>
            </w:r>
            <w:r>
              <w:rPr>
                <w:rFonts w:ascii="Arial Narrow" w:hAnsi="Arial Narrow" w:cstheme="minorBidi"/>
                <w:sz w:val="20"/>
                <w:lang w:val="en-AU"/>
              </w:rPr>
              <w:t xml:space="preserve">be </w:t>
            </w:r>
            <w:r w:rsidRPr="008162D9">
              <w:rPr>
                <w:rFonts w:ascii="Arial Narrow" w:hAnsi="Arial Narrow" w:cstheme="minorBidi"/>
                <w:sz w:val="20"/>
                <w:lang w:val="en-AU"/>
              </w:rPr>
              <w:t xml:space="preserve">authorised. </w:t>
            </w:r>
          </w:p>
          <w:p w:rsidR="00C20D8C" w:rsidRPr="008162D9" w:rsidDel="007A0628"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Special Pricing Arrangements apply.</w:t>
            </w:r>
          </w:p>
        </w:tc>
      </w:tr>
    </w:tbl>
    <w:p w:rsidR="00C20D8C" w:rsidRDefault="00C20D8C" w:rsidP="00C20D8C">
      <w:pPr>
        <w:pStyle w:val="PBACHeading1"/>
        <w:rPr>
          <w:rStyle w:val="CommentReference"/>
          <w:rFonts w:ascii="Calibri" w:hAnsi="Calibri"/>
          <w:sz w:val="24"/>
          <w:szCs w:val="22"/>
        </w:rPr>
      </w:pPr>
    </w:p>
    <w:tbl>
      <w:tblPr>
        <w:tblStyle w:val="Summarybox3"/>
        <w:tblW w:w="4966" w:type="pct"/>
        <w:tblLook w:val="04A0" w:firstRow="1" w:lastRow="0" w:firstColumn="1" w:lastColumn="0" w:noHBand="0" w:noVBand="1"/>
        <w:tblCaption w:val="Recommended listing "/>
      </w:tblPr>
      <w:tblGrid>
        <w:gridCol w:w="2234"/>
        <w:gridCol w:w="6946"/>
      </w:tblGrid>
      <w:tr w:rsidR="000565DE" w:rsidRPr="008162D9" w:rsidTr="000565DE">
        <w:tc>
          <w:tcPr>
            <w:tcW w:w="1217" w:type="pct"/>
          </w:tcPr>
          <w:p w:rsidR="000565DE" w:rsidRPr="00593750" w:rsidRDefault="000565DE" w:rsidP="000565DE">
            <w:pPr>
              <w:pStyle w:val="TableText0"/>
              <w:keepNext w:val="0"/>
              <w:rPr>
                <w:b/>
                <w:lang w:val="en-AU"/>
              </w:rPr>
            </w:pPr>
            <w:r>
              <w:rPr>
                <w:b/>
                <w:lang w:val="en-AU"/>
              </w:rPr>
              <w:t>Category/</w:t>
            </w:r>
            <w:r w:rsidRPr="00593750">
              <w:rPr>
                <w:b/>
                <w:lang w:val="en-AU"/>
              </w:rPr>
              <w:t>Program</w:t>
            </w:r>
          </w:p>
        </w:tc>
        <w:tc>
          <w:tcPr>
            <w:tcW w:w="3783" w:type="pct"/>
          </w:tcPr>
          <w:p w:rsidR="000565DE" w:rsidRPr="008162D9" w:rsidRDefault="000565DE" w:rsidP="000565DE">
            <w:pPr>
              <w:pStyle w:val="TableText0"/>
              <w:keepNext w:val="0"/>
              <w:rPr>
                <w:lang w:val="en-AU"/>
              </w:rPr>
            </w:pPr>
            <w:r w:rsidRPr="008162D9">
              <w:rPr>
                <w:lang w:val="en-AU"/>
              </w:rPr>
              <w:t>GENERAL – General Schedule (Code GE)</w:t>
            </w:r>
          </w:p>
        </w:tc>
      </w:tr>
      <w:tr w:rsidR="000565DE" w:rsidRPr="008162D9" w:rsidTr="000565DE">
        <w:tc>
          <w:tcPr>
            <w:tcW w:w="1217" w:type="pct"/>
          </w:tcPr>
          <w:p w:rsidR="000565DE" w:rsidRPr="00593750" w:rsidRDefault="000565DE" w:rsidP="000565DE">
            <w:pPr>
              <w:pStyle w:val="TableText0"/>
              <w:keepNext w:val="0"/>
              <w:rPr>
                <w:b/>
                <w:lang w:val="en-AU"/>
              </w:rPr>
            </w:pPr>
            <w:r w:rsidRPr="00593750">
              <w:rPr>
                <w:b/>
                <w:lang w:val="en-AU"/>
              </w:rPr>
              <w:t>Condition</w:t>
            </w:r>
          </w:p>
        </w:tc>
        <w:tc>
          <w:tcPr>
            <w:tcW w:w="3783" w:type="pct"/>
          </w:tcPr>
          <w:p w:rsidR="000565DE" w:rsidRPr="008162D9" w:rsidRDefault="000565DE" w:rsidP="000565DE">
            <w:pPr>
              <w:pStyle w:val="TableText0"/>
              <w:keepNext w:val="0"/>
              <w:rPr>
                <w:lang w:val="en-AU"/>
              </w:rPr>
            </w:pPr>
            <w:r w:rsidRPr="008162D9">
              <w:rPr>
                <w:lang w:val="en-AU"/>
              </w:rPr>
              <w:t>Severe chronic plaque psoriasis</w:t>
            </w:r>
          </w:p>
        </w:tc>
      </w:tr>
      <w:tr w:rsidR="000565DE" w:rsidRPr="008162D9" w:rsidTr="000565DE">
        <w:tc>
          <w:tcPr>
            <w:tcW w:w="1217" w:type="pct"/>
          </w:tcPr>
          <w:p w:rsidR="000565DE" w:rsidRPr="00593750" w:rsidRDefault="000565DE" w:rsidP="000565DE">
            <w:pPr>
              <w:pStyle w:val="TableText0"/>
              <w:keepNext w:val="0"/>
              <w:rPr>
                <w:b/>
                <w:lang w:val="en-AU"/>
              </w:rPr>
            </w:pPr>
            <w:r w:rsidRPr="00593750">
              <w:rPr>
                <w:b/>
                <w:lang w:val="en-AU"/>
              </w:rPr>
              <w:t>PBS indication</w:t>
            </w:r>
          </w:p>
        </w:tc>
        <w:tc>
          <w:tcPr>
            <w:tcW w:w="3783" w:type="pct"/>
          </w:tcPr>
          <w:p w:rsidR="000565DE" w:rsidRPr="008162D9" w:rsidRDefault="000565DE" w:rsidP="000565DE">
            <w:pPr>
              <w:pStyle w:val="TableText0"/>
              <w:keepNext w:val="0"/>
              <w:rPr>
                <w:lang w:val="en-AU"/>
              </w:rPr>
            </w:pPr>
            <w:r w:rsidRPr="008162D9">
              <w:rPr>
                <w:lang w:val="en-AU"/>
              </w:rPr>
              <w:t>Severe chronic plaque psoriasis</w:t>
            </w:r>
          </w:p>
        </w:tc>
      </w:tr>
      <w:tr w:rsidR="000565DE" w:rsidRPr="008162D9" w:rsidTr="000565DE">
        <w:tc>
          <w:tcPr>
            <w:tcW w:w="1217" w:type="pct"/>
          </w:tcPr>
          <w:p w:rsidR="000565DE" w:rsidRPr="00593750" w:rsidRDefault="000565DE" w:rsidP="000565DE">
            <w:pPr>
              <w:pStyle w:val="TableText0"/>
              <w:keepNext w:val="0"/>
              <w:rPr>
                <w:b/>
                <w:lang w:val="en-AU"/>
              </w:rPr>
            </w:pPr>
            <w:r w:rsidRPr="00593750">
              <w:rPr>
                <w:b/>
                <w:lang w:val="en-AU"/>
              </w:rPr>
              <w:t>Treatment phase</w:t>
            </w:r>
          </w:p>
        </w:tc>
        <w:tc>
          <w:tcPr>
            <w:tcW w:w="3783" w:type="pct"/>
          </w:tcPr>
          <w:p w:rsidR="000565DE" w:rsidRPr="008162D9" w:rsidRDefault="000565DE" w:rsidP="000565DE">
            <w:pPr>
              <w:pStyle w:val="TableText0"/>
              <w:keepNext w:val="0"/>
              <w:rPr>
                <w:lang w:val="en-AU"/>
              </w:rPr>
            </w:pPr>
            <w:r w:rsidRPr="008162D9">
              <w:rPr>
                <w:lang w:val="en-AU"/>
              </w:rPr>
              <w:t xml:space="preserve">Treatment Phase: Initial treatment – Initial 1, Face, hand, foot (new patient (no prior biological agent) or patient recommencing treatment after a break of 5 years or more) </w:t>
            </w:r>
          </w:p>
        </w:tc>
      </w:tr>
      <w:tr w:rsidR="000565DE" w:rsidRPr="008162D9" w:rsidTr="000565DE">
        <w:tc>
          <w:tcPr>
            <w:tcW w:w="1217" w:type="pct"/>
          </w:tcPr>
          <w:p w:rsidR="000565DE" w:rsidRPr="00593750" w:rsidRDefault="000565DE" w:rsidP="000565DE">
            <w:pPr>
              <w:pStyle w:val="TableText0"/>
              <w:keepNext w:val="0"/>
              <w:rPr>
                <w:b/>
                <w:lang w:val="en-AU"/>
              </w:rPr>
            </w:pPr>
            <w:r>
              <w:rPr>
                <w:b/>
                <w:lang w:val="en-AU"/>
              </w:rPr>
              <w:t>Restriction Level/</w:t>
            </w:r>
            <w:r w:rsidRPr="00593750">
              <w:rPr>
                <w:b/>
                <w:lang w:val="en-AU"/>
              </w:rPr>
              <w:t>Method</w:t>
            </w:r>
          </w:p>
        </w:tc>
        <w:tc>
          <w:tcPr>
            <w:tcW w:w="3783" w:type="pct"/>
          </w:tcPr>
          <w:p w:rsidR="000565DE" w:rsidRPr="008162D9" w:rsidRDefault="000565DE" w:rsidP="000565DE">
            <w:pPr>
              <w:pStyle w:val="TableText0"/>
              <w:keepNext w:val="0"/>
              <w:rPr>
                <w:lang w:val="en-AU"/>
              </w:rPr>
            </w:pPr>
            <w:r w:rsidRPr="008162D9">
              <w:rPr>
                <w:lang w:val="en-AU"/>
              </w:rPr>
              <w:t>Authority Required - written</w:t>
            </w:r>
          </w:p>
        </w:tc>
      </w:tr>
      <w:tr w:rsidR="000565DE" w:rsidRPr="008162D9" w:rsidTr="000565DE">
        <w:tc>
          <w:tcPr>
            <w:tcW w:w="1217" w:type="pct"/>
          </w:tcPr>
          <w:p w:rsidR="000565DE" w:rsidRPr="00593750" w:rsidRDefault="000565DE" w:rsidP="000565DE">
            <w:pPr>
              <w:pStyle w:val="TableText0"/>
              <w:keepNext w:val="0"/>
              <w:rPr>
                <w:b/>
                <w:lang w:val="en-AU"/>
              </w:rPr>
            </w:pPr>
            <w:r w:rsidRPr="00593750">
              <w:rPr>
                <w:b/>
                <w:lang w:val="en-AU"/>
              </w:rPr>
              <w:t>Clinical criteria</w:t>
            </w:r>
          </w:p>
        </w:tc>
        <w:tc>
          <w:tcPr>
            <w:tcW w:w="3783" w:type="pct"/>
          </w:tcPr>
          <w:p w:rsidR="000565DE" w:rsidRPr="008162D9" w:rsidRDefault="000565DE" w:rsidP="000565DE">
            <w:pPr>
              <w:pStyle w:val="TableText0"/>
              <w:keepNext w:val="0"/>
              <w:rPr>
                <w:lang w:val="en-AU"/>
              </w:rPr>
            </w:pPr>
            <w:r w:rsidRPr="008162D9">
              <w:rPr>
                <w:lang w:val="en-AU"/>
              </w:rPr>
              <w:t>Patient must have severe chronic plaque psoriasis of the face, or palm of a hand or sole of a foot where the plaque or plaques have been present for at least 6 months from the time of initial diagnosis,</w:t>
            </w:r>
          </w:p>
          <w:p w:rsidR="000565DE" w:rsidRPr="008162D9" w:rsidRDefault="000565DE" w:rsidP="000565DE">
            <w:pPr>
              <w:pStyle w:val="TableText0"/>
              <w:keepNext w:val="0"/>
              <w:rPr>
                <w:lang w:val="en-AU"/>
              </w:rPr>
            </w:pPr>
            <w:r w:rsidRPr="008162D9">
              <w:rPr>
                <w:lang w:val="en-AU"/>
              </w:rPr>
              <w:t>AND</w:t>
            </w:r>
          </w:p>
          <w:p w:rsidR="000565DE" w:rsidRPr="008162D9" w:rsidRDefault="000565DE" w:rsidP="000565DE">
            <w:pPr>
              <w:pStyle w:val="TableText0"/>
              <w:keepNext w:val="0"/>
              <w:rPr>
                <w:lang w:val="en-AU"/>
              </w:rPr>
            </w:pPr>
            <w:r w:rsidRPr="008162D9">
              <w:rPr>
                <w:lang w:val="en-AU"/>
              </w:rPr>
              <w:t>Patient must not have received any prior PBS-subsidised treatment with a biological agent for this condition; OR</w:t>
            </w:r>
          </w:p>
          <w:p w:rsidR="000565DE" w:rsidRPr="008162D9" w:rsidRDefault="000565DE" w:rsidP="000565DE">
            <w:pPr>
              <w:pStyle w:val="TableText0"/>
              <w:keepNext w:val="0"/>
              <w:rPr>
                <w:lang w:val="en-AU"/>
              </w:rPr>
            </w:pPr>
            <w:r w:rsidRPr="008162D9">
              <w:rPr>
                <w:lang w:val="en-AU"/>
              </w:rPr>
              <w:t>Patient must not have received PBS-subsidised treatment with a biological agent for at least 5 years, if they have previously received PBS-subsidised treatment with a biological agent for this condition and wish to commence a new Treatment Cycle,</w:t>
            </w:r>
          </w:p>
          <w:p w:rsidR="000565DE" w:rsidRPr="008162D9" w:rsidRDefault="000565DE" w:rsidP="000565DE">
            <w:pPr>
              <w:pStyle w:val="TableText0"/>
              <w:keepNext w:val="0"/>
              <w:rPr>
                <w:lang w:val="en-AU"/>
              </w:rPr>
            </w:pPr>
            <w:r w:rsidRPr="008162D9">
              <w:rPr>
                <w:lang w:val="en-AU"/>
              </w:rPr>
              <w:t>AND</w:t>
            </w:r>
          </w:p>
          <w:p w:rsidR="000565DE" w:rsidRPr="008162D9" w:rsidRDefault="000565DE" w:rsidP="000565DE">
            <w:pPr>
              <w:pStyle w:val="TableText0"/>
              <w:keepNext w:val="0"/>
              <w:rPr>
                <w:lang w:val="en-AU"/>
              </w:rPr>
            </w:pPr>
            <w:r w:rsidRPr="008162D9">
              <w:rPr>
                <w:lang w:val="en-AU"/>
              </w:rPr>
              <w:t>Patient must have failed to achieve an adequate response, as demonstrated by a Psoriasis Area and Severity Index (PASI) assessment, to at least 3 of the following 4 treatments: (</w:t>
            </w:r>
            <w:proofErr w:type="spellStart"/>
            <w:r w:rsidRPr="008162D9">
              <w:rPr>
                <w:lang w:val="en-AU"/>
              </w:rPr>
              <w:t>i</w:t>
            </w:r>
            <w:proofErr w:type="spellEnd"/>
            <w:r w:rsidRPr="008162D9">
              <w:rPr>
                <w:lang w:val="en-AU"/>
              </w:rPr>
              <w:t>)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w:t>
            </w:r>
          </w:p>
          <w:p w:rsidR="000565DE" w:rsidRPr="008162D9" w:rsidRDefault="000565DE" w:rsidP="000565DE">
            <w:pPr>
              <w:pStyle w:val="TableText0"/>
              <w:keepNext w:val="0"/>
              <w:rPr>
                <w:lang w:val="en-AU"/>
              </w:rPr>
            </w:pPr>
            <w:r w:rsidRPr="008162D9">
              <w:rPr>
                <w:lang w:val="en-AU"/>
              </w:rPr>
              <w:t>AND</w:t>
            </w:r>
          </w:p>
          <w:p w:rsidR="000565DE" w:rsidRPr="008162D9" w:rsidRDefault="000565DE" w:rsidP="000565DE">
            <w:pPr>
              <w:pStyle w:val="TableText0"/>
              <w:keepNext w:val="0"/>
              <w:rPr>
                <w:lang w:val="en-AU"/>
              </w:rPr>
            </w:pPr>
            <w:r w:rsidRPr="008162D9">
              <w:rPr>
                <w:lang w:val="en-AU"/>
              </w:rPr>
              <w:t xml:space="preserve">Patient must have signed a patient and prescriber acknowledgement indicating they understand and acknowledge that PBS-subsidised treatment will cease if they do not meet </w:t>
            </w:r>
            <w:r w:rsidRPr="008162D9">
              <w:rPr>
                <w:lang w:val="en-AU"/>
              </w:rPr>
              <w:lastRenderedPageBreak/>
              <w:t>the predetermined response criterion for ongoing PBS-subsidised treatment, as outlined in the restriction for continuing treatment (face, hand, foot),</w:t>
            </w:r>
          </w:p>
          <w:p w:rsidR="000565DE" w:rsidRPr="008162D9" w:rsidRDefault="000565DE" w:rsidP="000565DE">
            <w:pPr>
              <w:pStyle w:val="TableText0"/>
              <w:keepNext w:val="0"/>
              <w:rPr>
                <w:lang w:val="en-AU"/>
              </w:rPr>
            </w:pPr>
            <w:r w:rsidRPr="008162D9">
              <w:rPr>
                <w:lang w:val="en-AU"/>
              </w:rPr>
              <w:t>AND</w:t>
            </w:r>
          </w:p>
          <w:p w:rsidR="000565DE" w:rsidRPr="008162D9" w:rsidRDefault="000565DE" w:rsidP="000565DE">
            <w:pPr>
              <w:pStyle w:val="TableText0"/>
              <w:keepNext w:val="0"/>
              <w:rPr>
                <w:lang w:val="en-AU"/>
              </w:rPr>
            </w:pPr>
            <w:r w:rsidRPr="008162D9">
              <w:rPr>
                <w:lang w:val="en-AU"/>
              </w:rPr>
              <w:t>The treatment must be as systemic monotherapy (other than methotrexate),</w:t>
            </w:r>
          </w:p>
          <w:p w:rsidR="000565DE" w:rsidRPr="008162D9" w:rsidRDefault="000565DE" w:rsidP="000565DE">
            <w:pPr>
              <w:pStyle w:val="TableText0"/>
              <w:keepNext w:val="0"/>
              <w:rPr>
                <w:lang w:val="en-AU"/>
              </w:rPr>
            </w:pPr>
            <w:r w:rsidRPr="008162D9">
              <w:rPr>
                <w:lang w:val="en-AU"/>
              </w:rPr>
              <w:t>AND</w:t>
            </w:r>
          </w:p>
          <w:p w:rsidR="000565DE" w:rsidRPr="008162D9" w:rsidRDefault="000565DE" w:rsidP="000565DE">
            <w:pPr>
              <w:pStyle w:val="TableText0"/>
              <w:keepNext w:val="0"/>
              <w:rPr>
                <w:lang w:val="en-AU"/>
              </w:rPr>
            </w:pPr>
            <w:r w:rsidRPr="008162D9">
              <w:rPr>
                <w:lang w:val="en-AU"/>
              </w:rPr>
              <w:t>Patient must not receive more than 20 weeks of treatment under this restriction.</w:t>
            </w:r>
          </w:p>
          <w:p w:rsidR="000565DE" w:rsidRPr="008162D9" w:rsidRDefault="000565DE" w:rsidP="000565DE">
            <w:pPr>
              <w:pStyle w:val="TableText0"/>
              <w:keepNext w:val="0"/>
              <w:rPr>
                <w:lang w:val="en-AU"/>
              </w:rPr>
            </w:pPr>
            <w:r w:rsidRPr="008162D9">
              <w:rPr>
                <w:lang w:val="en-AU"/>
              </w:rPr>
              <w:t>AND</w:t>
            </w:r>
          </w:p>
          <w:p w:rsidR="000565DE" w:rsidRPr="008162D9" w:rsidRDefault="000565DE" w:rsidP="000565DE">
            <w:pPr>
              <w:pStyle w:val="TableText0"/>
              <w:keepNext w:val="0"/>
              <w:rPr>
                <w:lang w:val="en-AU"/>
              </w:rPr>
            </w:pPr>
            <w:r w:rsidRPr="008162D9">
              <w:rPr>
                <w:lang w:val="en-AU"/>
              </w:rPr>
              <w:t>Must be treated by a dermatologist.</w:t>
            </w:r>
          </w:p>
        </w:tc>
      </w:tr>
      <w:tr w:rsidR="000565DE" w:rsidRPr="008162D9" w:rsidTr="000565DE">
        <w:tc>
          <w:tcPr>
            <w:tcW w:w="1217" w:type="pct"/>
          </w:tcPr>
          <w:p w:rsidR="000565DE" w:rsidRPr="00593750" w:rsidRDefault="000565DE" w:rsidP="000565DE">
            <w:pPr>
              <w:pStyle w:val="TableText0"/>
              <w:keepNext w:val="0"/>
              <w:rPr>
                <w:b/>
                <w:lang w:val="en-AU"/>
              </w:rPr>
            </w:pPr>
            <w:r w:rsidRPr="00593750">
              <w:rPr>
                <w:b/>
                <w:lang w:val="en-AU"/>
              </w:rPr>
              <w:lastRenderedPageBreak/>
              <w:t>Population criteria</w:t>
            </w:r>
          </w:p>
        </w:tc>
        <w:tc>
          <w:tcPr>
            <w:tcW w:w="3783" w:type="pct"/>
          </w:tcPr>
          <w:p w:rsidR="000565DE" w:rsidRPr="008162D9" w:rsidRDefault="000565DE" w:rsidP="000565DE">
            <w:pPr>
              <w:pStyle w:val="TableText0"/>
              <w:keepNext w:val="0"/>
              <w:rPr>
                <w:lang w:val="en-AU"/>
              </w:rPr>
            </w:pPr>
            <w:r w:rsidRPr="008162D9">
              <w:rPr>
                <w:lang w:val="en-AU"/>
              </w:rPr>
              <w:t>Patient must be aged 18 years or older</w:t>
            </w:r>
          </w:p>
        </w:tc>
      </w:tr>
      <w:tr w:rsidR="000565DE" w:rsidRPr="008162D9" w:rsidTr="000565DE">
        <w:tc>
          <w:tcPr>
            <w:tcW w:w="1217" w:type="pct"/>
          </w:tcPr>
          <w:p w:rsidR="000565DE" w:rsidRPr="00593750" w:rsidRDefault="000565DE" w:rsidP="000565DE">
            <w:pPr>
              <w:pStyle w:val="TableText0"/>
              <w:keepNext w:val="0"/>
              <w:rPr>
                <w:b/>
                <w:lang w:val="en-AU"/>
              </w:rPr>
            </w:pPr>
            <w:r w:rsidRPr="00593750">
              <w:rPr>
                <w:b/>
                <w:lang w:val="en-AU"/>
              </w:rPr>
              <w:t xml:space="preserve">Prescriber Instructions: </w:t>
            </w:r>
          </w:p>
        </w:tc>
        <w:tc>
          <w:tcPr>
            <w:tcW w:w="3783" w:type="pct"/>
          </w:tcPr>
          <w:p w:rsidR="000565DE" w:rsidRPr="008162D9" w:rsidRDefault="000565DE" w:rsidP="000565DE">
            <w:pPr>
              <w:pStyle w:val="TableText0"/>
              <w:keepNext w:val="0"/>
              <w:rPr>
                <w:lang w:val="en-AU"/>
              </w:rPr>
            </w:pPr>
            <w:r w:rsidRPr="008162D9">
              <w:rPr>
                <w:lang w:val="en-AU"/>
              </w:rPr>
              <w:t xml:space="preserve">For the purposes of this restriction 'biological agent' means adalimumab, etanercept, </w:t>
            </w:r>
            <w:proofErr w:type="spellStart"/>
            <w:r w:rsidRPr="008162D9">
              <w:rPr>
                <w:i/>
                <w:lang w:val="en-AU"/>
              </w:rPr>
              <w:t>guselkumab</w:t>
            </w:r>
            <w:proofErr w:type="spellEnd"/>
            <w:r w:rsidRPr="008162D9">
              <w:rPr>
                <w:i/>
                <w:lang w:val="en-AU"/>
              </w:rPr>
              <w:t>,</w:t>
            </w:r>
            <w:r w:rsidRPr="008162D9">
              <w:rPr>
                <w:lang w:val="en-AU"/>
              </w:rPr>
              <w:t xml:space="preserve"> infliximab, ixekizumab, </w:t>
            </w:r>
            <w:proofErr w:type="spellStart"/>
            <w:r w:rsidRPr="008162D9">
              <w:rPr>
                <w:lang w:val="en-AU"/>
              </w:rPr>
              <w:t>secukinumab</w:t>
            </w:r>
            <w:proofErr w:type="spellEnd"/>
            <w:r w:rsidRPr="008162D9">
              <w:rPr>
                <w:lang w:val="en-AU"/>
              </w:rPr>
              <w:t xml:space="preserve"> or ustekinumab.</w:t>
            </w:r>
          </w:p>
          <w:p w:rsidR="000565DE" w:rsidRPr="008162D9" w:rsidRDefault="000565DE" w:rsidP="000565DE">
            <w:pPr>
              <w:pStyle w:val="TableText0"/>
              <w:keepNext w:val="0"/>
              <w:rPr>
                <w:lang w:val="en-AU"/>
              </w:rPr>
            </w:pPr>
            <w:r w:rsidRPr="008162D9">
              <w:rPr>
                <w:lang w:val="en-AU"/>
              </w:rPr>
              <w:t>Where treatment with methotrexate, cyclosporin or acitretin is contraindicated according to the relevant TGA-approved Product Information, or where phototherapy is contraindicated, details must be provided at the time of application.</w:t>
            </w:r>
          </w:p>
          <w:p w:rsidR="000565DE" w:rsidRPr="008162D9" w:rsidRDefault="000565DE" w:rsidP="000565DE">
            <w:pPr>
              <w:pStyle w:val="TableText0"/>
              <w:keepNext w:val="0"/>
              <w:rPr>
                <w:lang w:val="en-AU"/>
              </w:rPr>
            </w:pPr>
            <w:r w:rsidRPr="008162D9">
              <w:rPr>
                <w:lang w:val="en-AU"/>
              </w:rP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p>
          <w:p w:rsidR="000565DE" w:rsidRPr="008162D9" w:rsidRDefault="000565DE" w:rsidP="000565DE">
            <w:pPr>
              <w:pStyle w:val="TableText0"/>
              <w:keepNext w:val="0"/>
              <w:rPr>
                <w:lang w:val="en-AU"/>
              </w:rPr>
            </w:pPr>
            <w:r w:rsidRPr="008162D9">
              <w:rPr>
                <w:lang w:val="en-AU"/>
              </w:rPr>
              <w:t>The following criterion indicates failure to achieve an adequate response to prior treatment and must be demonstrated in the patient at the time of the application:</w:t>
            </w:r>
          </w:p>
          <w:p w:rsidR="000565DE" w:rsidRPr="008162D9" w:rsidRDefault="000565DE" w:rsidP="000565DE">
            <w:pPr>
              <w:pStyle w:val="TableText0"/>
              <w:keepNext w:val="0"/>
              <w:rPr>
                <w:lang w:val="en-AU"/>
              </w:rPr>
            </w:pPr>
            <w:r w:rsidRPr="008162D9">
              <w:rPr>
                <w:lang w:val="en-AU"/>
              </w:rPr>
              <w:t>(a) Chronic plaque psoriasis classified as severe due to a plaque or plaques on the face, palm of a hand or sole of a foot where:</w:t>
            </w:r>
          </w:p>
          <w:p w:rsidR="000565DE" w:rsidRPr="008162D9" w:rsidRDefault="000565DE" w:rsidP="000565DE">
            <w:pPr>
              <w:pStyle w:val="TableText0"/>
              <w:keepNext w:val="0"/>
              <w:rPr>
                <w:lang w:val="en-AU"/>
              </w:rPr>
            </w:pPr>
            <w:r w:rsidRPr="008162D9">
              <w:rPr>
                <w:lang w:val="en-AU"/>
              </w:rPr>
              <w:t>(</w:t>
            </w:r>
            <w:proofErr w:type="spellStart"/>
            <w:r w:rsidRPr="008162D9">
              <w:rPr>
                <w:lang w:val="en-AU"/>
              </w:rPr>
              <w:t>i</w:t>
            </w:r>
            <w:proofErr w:type="spellEnd"/>
            <w:r w:rsidRPr="008162D9">
              <w:rPr>
                <w:lang w:val="en-AU"/>
              </w:rPr>
              <w:t xml:space="preserve">) at least 2 of the 3 Psoriasis Area and Severity Index (PASI) symptom </w:t>
            </w:r>
            <w:proofErr w:type="spellStart"/>
            <w:r w:rsidRPr="008162D9">
              <w:rPr>
                <w:lang w:val="en-AU"/>
              </w:rPr>
              <w:t>subscores</w:t>
            </w:r>
            <w:proofErr w:type="spellEnd"/>
            <w:r w:rsidRPr="008162D9">
              <w:rPr>
                <w:lang w:val="en-AU"/>
              </w:rPr>
              <w:t xml:space="preserve"> for erythema, thickness and scaling are rated as severe or very severe, as assessed, preferably whilst still on treatment, but no longer than 1 month following cessation of the most recent prior treatment; or</w:t>
            </w:r>
          </w:p>
          <w:p w:rsidR="000565DE" w:rsidRPr="008162D9" w:rsidRDefault="000565DE" w:rsidP="000565DE">
            <w:pPr>
              <w:pStyle w:val="TableText0"/>
              <w:keepNext w:val="0"/>
              <w:rPr>
                <w:lang w:val="en-AU"/>
              </w:rPr>
            </w:pPr>
            <w:r w:rsidRPr="008162D9">
              <w:rPr>
                <w:lang w:val="en-AU"/>
              </w:rPr>
              <w:t>(ii) the skin area affected is 30% or more of the face, palm of a hand or sole of a foot, as assessed, preferably whilst still on treatment, but no longer than 1 month following cessation of the most recent prior treatment;</w:t>
            </w:r>
          </w:p>
          <w:p w:rsidR="000565DE" w:rsidRPr="008162D9" w:rsidRDefault="000565DE" w:rsidP="000565DE">
            <w:pPr>
              <w:pStyle w:val="TableText0"/>
              <w:keepNext w:val="0"/>
              <w:rPr>
                <w:lang w:val="en-AU"/>
              </w:rPr>
            </w:pPr>
            <w:r w:rsidRPr="008162D9">
              <w:rPr>
                <w:lang w:val="en-AU"/>
              </w:rPr>
              <w:t>(b) A PASI assessment must be completed for each prior treatment course, preferably whilst still on treatment, but no longer than 1 month following cessation of each course of treatment.</w:t>
            </w:r>
          </w:p>
          <w:p w:rsidR="000565DE" w:rsidRPr="008162D9" w:rsidRDefault="000565DE" w:rsidP="000565DE">
            <w:pPr>
              <w:pStyle w:val="TableText0"/>
              <w:keepNext w:val="0"/>
              <w:rPr>
                <w:lang w:val="en-AU"/>
              </w:rPr>
            </w:pPr>
            <w:r w:rsidRPr="008162D9">
              <w:rPr>
                <w:lang w:val="en-AU"/>
              </w:rPr>
              <w:t>(</w:t>
            </w:r>
            <w:proofErr w:type="gramStart"/>
            <w:r w:rsidRPr="008162D9">
              <w:rPr>
                <w:lang w:val="en-AU"/>
              </w:rPr>
              <w:t>c</w:t>
            </w:r>
            <w:proofErr w:type="gramEnd"/>
            <w:r w:rsidRPr="008162D9">
              <w:rPr>
                <w:lang w:val="en-AU"/>
              </w:rPr>
              <w:t>) The most recent PASI assessment must be no more than 1 month old at the time of application.</w:t>
            </w:r>
          </w:p>
          <w:p w:rsidR="000565DE" w:rsidRPr="008162D9" w:rsidRDefault="000565DE" w:rsidP="000565DE">
            <w:pPr>
              <w:pStyle w:val="TableText0"/>
              <w:keepNext w:val="0"/>
              <w:rPr>
                <w:lang w:val="en-AU"/>
              </w:rPr>
            </w:pPr>
            <w:r w:rsidRPr="008162D9">
              <w:rPr>
                <w:lang w:val="en-AU"/>
              </w:rPr>
              <w:t>The authority application must be made in writing and must include:</w:t>
            </w:r>
          </w:p>
          <w:p w:rsidR="000565DE" w:rsidRPr="008162D9" w:rsidRDefault="000565DE" w:rsidP="000565DE">
            <w:pPr>
              <w:pStyle w:val="TableText0"/>
              <w:keepNext w:val="0"/>
              <w:rPr>
                <w:lang w:val="en-AU"/>
              </w:rPr>
            </w:pPr>
            <w:r w:rsidRPr="008162D9">
              <w:rPr>
                <w:lang w:val="en-AU"/>
              </w:rPr>
              <w:t>(a) a completed authority prescription form; and</w:t>
            </w:r>
          </w:p>
          <w:p w:rsidR="000565DE" w:rsidRPr="008162D9" w:rsidRDefault="000565DE" w:rsidP="000565DE">
            <w:pPr>
              <w:pStyle w:val="TableText0"/>
              <w:keepNext w:val="0"/>
              <w:rPr>
                <w:lang w:val="en-AU"/>
              </w:rPr>
            </w:pPr>
            <w:r w:rsidRPr="008162D9">
              <w:rPr>
                <w:lang w:val="en-AU"/>
              </w:rPr>
              <w:t>(b) a completed Severe Chronic Plaque Psoriasis PBS Authority Application - Supporting Information Form which includes the following:</w:t>
            </w:r>
          </w:p>
          <w:p w:rsidR="000565DE" w:rsidRPr="008162D9" w:rsidRDefault="000565DE" w:rsidP="000565DE">
            <w:pPr>
              <w:pStyle w:val="TableText0"/>
              <w:keepNext w:val="0"/>
              <w:rPr>
                <w:lang w:val="en-AU"/>
              </w:rPr>
            </w:pPr>
            <w:r w:rsidRPr="008162D9">
              <w:rPr>
                <w:lang w:val="en-AU"/>
              </w:rPr>
              <w:t>(</w:t>
            </w:r>
            <w:proofErr w:type="spellStart"/>
            <w:r w:rsidRPr="008162D9">
              <w:rPr>
                <w:lang w:val="en-AU"/>
              </w:rPr>
              <w:t>i</w:t>
            </w:r>
            <w:proofErr w:type="spellEnd"/>
            <w:r w:rsidRPr="008162D9">
              <w:rPr>
                <w:lang w:val="en-AU"/>
              </w:rPr>
              <w:t>) the completed current and previous Psoriasis Area and Severity Index (PASI) calculation sheets and face, hand, foot area diagrams including the dates of assessment of the patient's condition; and</w:t>
            </w:r>
          </w:p>
          <w:p w:rsidR="000565DE" w:rsidRPr="008162D9" w:rsidRDefault="000565DE" w:rsidP="000565DE">
            <w:pPr>
              <w:pStyle w:val="TableText0"/>
              <w:keepNext w:val="0"/>
              <w:rPr>
                <w:lang w:val="en-AU"/>
              </w:rPr>
            </w:pPr>
            <w:r w:rsidRPr="008162D9">
              <w:rPr>
                <w:lang w:val="en-AU"/>
              </w:rPr>
              <w:t>(ii) details of previous phototherapy and systemic drug therapy [dosage (where applicable), date of commencement and duration of therapy]; and</w:t>
            </w:r>
          </w:p>
          <w:p w:rsidR="000565DE" w:rsidRPr="008162D9" w:rsidRDefault="000565DE" w:rsidP="000565DE">
            <w:pPr>
              <w:pStyle w:val="TableText0"/>
              <w:keepNext w:val="0"/>
              <w:rPr>
                <w:lang w:val="en-AU"/>
              </w:rPr>
            </w:pPr>
            <w:r w:rsidRPr="008162D9">
              <w:rPr>
                <w:lang w:val="en-AU"/>
              </w:rPr>
              <w:t xml:space="preserve">(iii) </w:t>
            </w:r>
            <w:proofErr w:type="gramStart"/>
            <w:r w:rsidRPr="008162D9">
              <w:rPr>
                <w:lang w:val="en-AU"/>
              </w:rPr>
              <w:t>the</w:t>
            </w:r>
            <w:proofErr w:type="gramEnd"/>
            <w:r w:rsidRPr="008162D9">
              <w:rPr>
                <w:lang w:val="en-AU"/>
              </w:rPr>
              <w:t xml:space="preserve"> signed patient and prescriber acknowledgements.</w:t>
            </w:r>
          </w:p>
        </w:tc>
      </w:tr>
      <w:tr w:rsidR="000565DE" w:rsidRPr="008162D9" w:rsidTr="000565DE">
        <w:tc>
          <w:tcPr>
            <w:tcW w:w="1217" w:type="pct"/>
          </w:tcPr>
          <w:p w:rsidR="000565DE" w:rsidRPr="008162D9" w:rsidRDefault="000565DE" w:rsidP="000565DE">
            <w:pPr>
              <w:pStyle w:val="TableText0"/>
              <w:keepNext w:val="0"/>
              <w:rPr>
                <w:lang w:val="en-AU"/>
              </w:rPr>
            </w:pPr>
            <w:r w:rsidRPr="008162D9">
              <w:rPr>
                <w:lang w:val="en-AU"/>
              </w:rPr>
              <w:t xml:space="preserve">Administrative Advice: </w:t>
            </w:r>
          </w:p>
        </w:tc>
        <w:tc>
          <w:tcPr>
            <w:tcW w:w="3783" w:type="pct"/>
          </w:tcPr>
          <w:p w:rsidR="000565DE" w:rsidRPr="008162D9" w:rsidRDefault="000565DE" w:rsidP="000565DE">
            <w:pPr>
              <w:pStyle w:val="TableText0"/>
              <w:keepNext w:val="0"/>
              <w:rPr>
                <w:lang w:val="en-AU"/>
              </w:rPr>
            </w:pPr>
            <w:r w:rsidRPr="008162D9">
              <w:rPr>
                <w:lang w:val="en-AU"/>
              </w:rPr>
              <w:t>Details of the toxicities, including severity, which will be accepted as a reason for exempting a patient from the requirement for 6 weeks treatment with phototherapy, methotrexate, cyclosporin or acitretin can be found on the Department of Human Services website (www.humanservices.gov.au)</w:t>
            </w:r>
          </w:p>
          <w:p w:rsidR="000565DE" w:rsidRPr="008162D9" w:rsidRDefault="000565DE" w:rsidP="000565DE">
            <w:pPr>
              <w:pStyle w:val="TableText0"/>
              <w:keepNext w:val="0"/>
              <w:rPr>
                <w:u w:val="single"/>
                <w:lang w:val="en-AU"/>
              </w:rPr>
            </w:pPr>
          </w:p>
          <w:p w:rsidR="000565DE" w:rsidRPr="008162D9" w:rsidRDefault="000565DE" w:rsidP="000565DE">
            <w:pPr>
              <w:pStyle w:val="TableText0"/>
              <w:keepNext w:val="0"/>
              <w:rPr>
                <w:lang w:val="en-AU"/>
              </w:rPr>
            </w:pPr>
            <w:r w:rsidRPr="008162D9">
              <w:rPr>
                <w:lang w:val="en-AU"/>
              </w:rPr>
              <w:t xml:space="preserve">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w:t>
            </w:r>
            <w:r w:rsidRPr="008162D9">
              <w:rPr>
                <w:lang w:val="en-AU"/>
              </w:rPr>
              <w:lastRenderedPageBreak/>
              <w:t>from the date of completion of this initial course of treatment. The PASI assessment for continuing treatment must be performed on the same affected area as assessed at baseline. Where a response assessment is not undertaken and submitted to the Department of Human Services within these timeframes, the patient will be deemed to have failed to respond to treatment with this drug.</w:t>
            </w:r>
          </w:p>
          <w:p w:rsidR="000565DE" w:rsidRPr="008162D9" w:rsidRDefault="000565DE" w:rsidP="000565DE">
            <w:pPr>
              <w:pStyle w:val="TableText0"/>
              <w:keepNext w:val="0"/>
              <w:rPr>
                <w:lang w:val="en-AU"/>
              </w:rPr>
            </w:pPr>
            <w:r w:rsidRPr="008162D9">
              <w:rPr>
                <w:lang w:val="en-AU"/>
              </w:rPr>
              <w:t>In circumstances where it is not possible to submit a response assessment within these timeframes, please call the Department of Human Services on 1800 700 270 to discuss.</w:t>
            </w:r>
          </w:p>
          <w:p w:rsidR="000565DE" w:rsidRPr="008162D9" w:rsidRDefault="000565DE" w:rsidP="000565DE">
            <w:pPr>
              <w:pStyle w:val="TableText0"/>
              <w:keepNext w:val="0"/>
              <w:rPr>
                <w:lang w:val="en-AU"/>
              </w:rPr>
            </w:pPr>
            <w:r w:rsidRPr="008162D9">
              <w:rPr>
                <w:lang w:val="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0565DE" w:rsidRPr="008162D9" w:rsidRDefault="000565DE" w:rsidP="000565DE">
            <w:pPr>
              <w:pStyle w:val="TableText0"/>
              <w:keepNext w:val="0"/>
              <w:rPr>
                <w:u w:val="single"/>
                <w:lang w:val="en-AU"/>
              </w:rPr>
            </w:pPr>
          </w:p>
          <w:p w:rsidR="000565DE" w:rsidRPr="008162D9" w:rsidRDefault="000565DE" w:rsidP="000565DE">
            <w:pPr>
              <w:pStyle w:val="TableText0"/>
              <w:keepNext w:val="0"/>
              <w:rPr>
                <w:lang w:val="en-AU"/>
              </w:rPr>
            </w:pPr>
            <w:r w:rsidRPr="008162D9">
              <w:rPr>
                <w:lang w:val="en-AU"/>
              </w:rPr>
              <w:t>Any queries concerning the arrangements to prescribe may be directed to the Department of Human Services on 1800 700 270 (hours of operation 8 a.m. to 5 p.m. EST Monday to Friday).</w:t>
            </w:r>
          </w:p>
          <w:p w:rsidR="000565DE" w:rsidRPr="008162D9" w:rsidRDefault="000565DE" w:rsidP="000565DE">
            <w:pPr>
              <w:pStyle w:val="TableText0"/>
              <w:keepNext w:val="0"/>
              <w:rPr>
                <w:lang w:val="en-AU"/>
              </w:rPr>
            </w:pPr>
            <w:r w:rsidRPr="008162D9">
              <w:rPr>
                <w:lang w:val="en-AU"/>
              </w:rPr>
              <w:t>Prescribing information (including Authority Application forms and other relevant documentation as applicable) is available on the Department of Human Services website at www.humanservices.gov.au</w:t>
            </w:r>
          </w:p>
          <w:p w:rsidR="000565DE" w:rsidRPr="008162D9" w:rsidRDefault="000565DE" w:rsidP="000565DE">
            <w:pPr>
              <w:pStyle w:val="TableText0"/>
              <w:keepNext w:val="0"/>
              <w:rPr>
                <w:lang w:val="en-AU"/>
              </w:rPr>
            </w:pPr>
            <w:r w:rsidRPr="008162D9">
              <w:rPr>
                <w:lang w:val="en-AU"/>
              </w:rPr>
              <w:t>Applications for authority to prescribe should be forwarded to:</w:t>
            </w:r>
          </w:p>
          <w:p w:rsidR="000565DE" w:rsidRPr="008162D9" w:rsidRDefault="000565DE" w:rsidP="000565DE">
            <w:pPr>
              <w:pStyle w:val="TableText0"/>
              <w:keepNext w:val="0"/>
              <w:rPr>
                <w:lang w:val="en-AU"/>
              </w:rPr>
            </w:pPr>
            <w:r w:rsidRPr="008162D9">
              <w:rPr>
                <w:lang w:val="en-AU"/>
              </w:rPr>
              <w:t>Department of Human Services</w:t>
            </w:r>
          </w:p>
          <w:p w:rsidR="000565DE" w:rsidRPr="008162D9" w:rsidRDefault="000565DE" w:rsidP="000565DE">
            <w:pPr>
              <w:pStyle w:val="TableText0"/>
              <w:keepNext w:val="0"/>
              <w:rPr>
                <w:lang w:val="en-AU"/>
              </w:rPr>
            </w:pPr>
            <w:r w:rsidRPr="008162D9">
              <w:rPr>
                <w:lang w:val="en-AU"/>
              </w:rPr>
              <w:t>Complex Drugs</w:t>
            </w:r>
          </w:p>
          <w:p w:rsidR="000565DE" w:rsidRPr="008162D9" w:rsidRDefault="000565DE" w:rsidP="000565DE">
            <w:pPr>
              <w:pStyle w:val="TableText0"/>
              <w:keepNext w:val="0"/>
              <w:rPr>
                <w:lang w:val="en-AU"/>
              </w:rPr>
            </w:pPr>
            <w:r w:rsidRPr="008162D9">
              <w:rPr>
                <w:lang w:val="en-AU"/>
              </w:rPr>
              <w:t>Reply Paid 9826</w:t>
            </w:r>
          </w:p>
          <w:p w:rsidR="000565DE" w:rsidRPr="008162D9" w:rsidRDefault="000565DE" w:rsidP="000565DE">
            <w:pPr>
              <w:pStyle w:val="TableText0"/>
              <w:keepNext w:val="0"/>
              <w:rPr>
                <w:lang w:val="en-AU"/>
              </w:rPr>
            </w:pPr>
            <w:r w:rsidRPr="008162D9">
              <w:rPr>
                <w:lang w:val="en-AU"/>
              </w:rPr>
              <w:t>HOBART TAS 7001</w:t>
            </w:r>
          </w:p>
          <w:p w:rsidR="000565DE" w:rsidRPr="008162D9" w:rsidRDefault="000565DE" w:rsidP="000565DE">
            <w:pPr>
              <w:pStyle w:val="TableText0"/>
              <w:keepNext w:val="0"/>
              <w:rPr>
                <w:u w:val="single"/>
                <w:lang w:val="en-AU"/>
              </w:rPr>
            </w:pPr>
          </w:p>
          <w:p w:rsidR="000565DE" w:rsidRPr="008162D9" w:rsidRDefault="000565DE" w:rsidP="000565DE">
            <w:pPr>
              <w:pStyle w:val="TableText0"/>
              <w:keepNext w:val="0"/>
              <w:rPr>
                <w:lang w:val="en-AU"/>
              </w:rPr>
            </w:pPr>
            <w:r w:rsidRPr="008162D9">
              <w:rPr>
                <w:lang w:val="en-AU"/>
              </w:rPr>
              <w:t>No increase in the maximum number of repeats may be authorised.</w:t>
            </w:r>
          </w:p>
          <w:p w:rsidR="000565DE" w:rsidRPr="008162D9" w:rsidRDefault="000565DE" w:rsidP="000565DE">
            <w:pPr>
              <w:pStyle w:val="TableText0"/>
              <w:keepNext w:val="0"/>
              <w:rPr>
                <w:lang w:val="en-AU"/>
              </w:rPr>
            </w:pPr>
            <w:r w:rsidRPr="008162D9">
              <w:rPr>
                <w:lang w:val="en-AU"/>
              </w:rPr>
              <w:t xml:space="preserve">No increase in the maximum number of units may </w:t>
            </w:r>
            <w:r>
              <w:rPr>
                <w:lang w:val="en-AU"/>
              </w:rPr>
              <w:t xml:space="preserve">be </w:t>
            </w:r>
            <w:r w:rsidRPr="008162D9">
              <w:rPr>
                <w:lang w:val="en-AU"/>
              </w:rPr>
              <w:t xml:space="preserve">authorised. </w:t>
            </w:r>
          </w:p>
          <w:p w:rsidR="000565DE" w:rsidRPr="008162D9" w:rsidRDefault="000565DE" w:rsidP="000565DE">
            <w:pPr>
              <w:pStyle w:val="TableText0"/>
              <w:keepNext w:val="0"/>
              <w:rPr>
                <w:lang w:val="en-AU"/>
              </w:rPr>
            </w:pPr>
            <w:r w:rsidRPr="008162D9">
              <w:rPr>
                <w:lang w:val="en-AU"/>
              </w:rPr>
              <w:t>Special Pricing Arrangements apply.</w:t>
            </w:r>
          </w:p>
        </w:tc>
      </w:tr>
    </w:tbl>
    <w:p w:rsidR="000565DE" w:rsidRDefault="000565DE" w:rsidP="00C20D8C">
      <w:pPr>
        <w:pStyle w:val="PBACHeading1"/>
        <w:rPr>
          <w:rStyle w:val="CommentReference"/>
          <w:rFonts w:ascii="Calibri" w:hAnsi="Calibri"/>
          <w:sz w:val="24"/>
          <w:szCs w:val="22"/>
        </w:rPr>
      </w:pPr>
    </w:p>
    <w:p w:rsidR="000565DE" w:rsidRPr="008162D9" w:rsidRDefault="000565DE" w:rsidP="00C20D8C">
      <w:pPr>
        <w:pStyle w:val="PBACHeading1"/>
        <w:rPr>
          <w:rStyle w:val="CommentReference"/>
          <w:rFonts w:ascii="Calibri" w:hAnsi="Calibri"/>
          <w:sz w:val="24"/>
          <w:szCs w:val="22"/>
        </w:rPr>
      </w:pPr>
    </w:p>
    <w:tbl>
      <w:tblPr>
        <w:tblStyle w:val="Summarybox4"/>
        <w:tblW w:w="5000" w:type="pct"/>
        <w:tblLook w:val="04A0" w:firstRow="1" w:lastRow="0" w:firstColumn="1" w:lastColumn="0" w:noHBand="0" w:noVBand="1"/>
        <w:tblCaption w:val="Recommended listing "/>
      </w:tblPr>
      <w:tblGrid>
        <w:gridCol w:w="2235"/>
        <w:gridCol w:w="7008"/>
      </w:tblGrid>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Category/Program</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GENERAL – General Schedule (Code GE)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Condition</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PBS indication</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Treatment phase</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 xml:space="preserve">Treatment Phase: Initial treatment – Initial 2, Face, hand, foot (change or recommencement of treatment after a break of less than 5 years) </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Restriction Level/Method</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Authority Required - written</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Clinical criteria</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have a documented history of severe chronic plaque psoriasis of the face, or palm of a hand or sole of a foot,</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have received prior PBS-subsidised treatment with a biological agent for this condition in this Treatment Cycle,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not have already failed, or ceased to respond to, PBS-subsidised treatment with 3 biological agents for this condition within this Treatment Cycle,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not have failed, or ceased to respond to, PBS-subsidised therapy with this drug for the treatment of this condition in the current Treatment Cycle,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The treatment must be as systemic monotherapy (other than methotrexate),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not receive more than 20 weeks of treatment under this restriction.</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lastRenderedPageBreak/>
              <w:t>Population criteria</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be aged 18 years or older</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Treatment criteria</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Must be treated by a dermatologist.</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 xml:space="preserve">For the purposes of this restriction 'biological agent' means adalimumab, etanercept, </w:t>
            </w:r>
            <w:r w:rsidRPr="008162D9">
              <w:rPr>
                <w:rFonts w:ascii="Arial Narrow" w:hAnsi="Arial Narrow" w:cstheme="minorBidi"/>
                <w:i/>
                <w:sz w:val="20"/>
                <w:szCs w:val="20"/>
                <w:lang w:val="en-AU"/>
              </w:rPr>
              <w:t>guselkumab,</w:t>
            </w:r>
            <w:r w:rsidRPr="008162D9">
              <w:rPr>
                <w:rFonts w:ascii="Arial Narrow" w:hAnsi="Arial Narrow" w:cstheme="minorBidi"/>
                <w:sz w:val="20"/>
                <w:szCs w:val="20"/>
                <w:lang w:val="en-AU"/>
              </w:rPr>
              <w:t xml:space="preserve"> infliximab, ixekizumab, secukinumab or ustekinumab.</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The authority application must be made in writing and must include: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 a completed authority prescription form; 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(b) a completed Severe Chronic Plaque Psoriasis PBS Authority Application - Supporting Information Form which includes the following: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w:t>
            </w:r>
            <w:proofErr w:type="spellStart"/>
            <w:r w:rsidRPr="008162D9">
              <w:rPr>
                <w:rFonts w:ascii="Arial Narrow" w:hAnsi="Arial Narrow" w:cstheme="minorBidi"/>
                <w:sz w:val="20"/>
                <w:szCs w:val="20"/>
                <w:lang w:val="en-AU"/>
              </w:rPr>
              <w:t>i</w:t>
            </w:r>
            <w:proofErr w:type="spellEnd"/>
            <w:r w:rsidRPr="008162D9">
              <w:rPr>
                <w:rFonts w:ascii="Arial Narrow" w:hAnsi="Arial Narrow" w:cstheme="minorBidi"/>
                <w:sz w:val="20"/>
                <w:szCs w:val="20"/>
                <w:lang w:val="en-AU"/>
              </w:rPr>
              <w:t>) the completed current Psoriasis Area and Severity Index (PASI) calculation sheets and face, hand, foot area diagrams including the dates of assessment of the patient's condition; 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(ii) details of prior biological treatment, including dosage, date and duration of treatment.</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Applications for patients who have demonstrated a response to PBS-subsidised treatment with this drug within this Treatment Cycle and who wish to recommence treatment with this drug within the same Cycle following a break in therapy, will only be approved where evidence of the patient's response to their most recent course of PBS-subsidised treatment with this drug has been submitted within 1 month of cessation of treatment.</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 adequate response to treatment is defined as the plaque or plaques assessed prior to biological treatment showing: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w:t>
            </w:r>
            <w:proofErr w:type="spellStart"/>
            <w:r w:rsidRPr="008162D9">
              <w:rPr>
                <w:rFonts w:ascii="Arial Narrow" w:hAnsi="Arial Narrow" w:cstheme="minorBidi"/>
                <w:sz w:val="20"/>
                <w:szCs w:val="20"/>
                <w:lang w:val="en-AU"/>
              </w:rPr>
              <w:t>i</w:t>
            </w:r>
            <w:proofErr w:type="spellEnd"/>
            <w:r w:rsidRPr="008162D9">
              <w:rPr>
                <w:rFonts w:ascii="Arial Narrow" w:hAnsi="Arial Narrow" w:cstheme="minorBidi"/>
                <w:sz w:val="20"/>
                <w:szCs w:val="20"/>
                <w:lang w:val="en-AU"/>
              </w:rPr>
              <w:t xml:space="preserve">) a reduction in the Psoriasis Area and Severity Index (PASI) symptom </w:t>
            </w:r>
            <w:proofErr w:type="spellStart"/>
            <w:r w:rsidRPr="008162D9">
              <w:rPr>
                <w:rFonts w:ascii="Arial Narrow" w:hAnsi="Arial Narrow" w:cstheme="minorBidi"/>
                <w:sz w:val="20"/>
                <w:szCs w:val="20"/>
                <w:lang w:val="en-AU"/>
              </w:rPr>
              <w:t>subscores</w:t>
            </w:r>
            <w:proofErr w:type="spellEnd"/>
            <w:r w:rsidRPr="008162D9">
              <w:rPr>
                <w:rFonts w:ascii="Arial Narrow" w:hAnsi="Arial Narrow" w:cstheme="minorBidi"/>
                <w:sz w:val="20"/>
                <w:szCs w:val="20"/>
                <w:lang w:val="en-AU"/>
              </w:rPr>
              <w:t xml:space="preserve"> for all 3 of erythema, thickness and scaling, to slight or better, or sustained at this level, as compared to the pre-biological treatment baseline values; or</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(ii) a reduction by 75% or more in the skin area affected, or sustained at this level, as compared to the pre-biological treatment baseline value.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Administrative Advice:</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 PASI assessment of the patient's response to this initial course of treatment must be made after at least 12 weeks of treatment so that there is adequate time for a response to be demonstrated. This assessment, which will be used to determine eligibility for continuing treatment, must be submitted to the Department of Human Services no later than 1 month from the date of completion of this initial course of treatment. The PASI assessment for continuing treatment must be performed on the same affected area as assessed at baseline. Where a response assessment is not undertaken and submitted to the Department of Human Services within these timeframes, the patient will be deemed to have failed to respond to treatment with this drug.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In circumstances where it is not possible to submit a response assessment within these timeframes, please call the Department of Human Services on 1800 700 270 to discuss.</w:t>
            </w:r>
          </w:p>
          <w:p w:rsidR="00C20D8C" w:rsidRPr="008162D9" w:rsidRDefault="00C20D8C" w:rsidP="005705D2">
            <w:pPr>
              <w:widowControl/>
              <w:spacing w:before="40" w:after="40"/>
              <w:rPr>
                <w:rFonts w:ascii="Arial Narrow" w:hAnsi="Arial Narrow" w:cstheme="minorBidi"/>
                <w:sz w:val="20"/>
                <w:szCs w:val="20"/>
                <w:u w:val="single"/>
                <w:lang w:val="en-AU"/>
              </w:rPr>
            </w:pPr>
            <w:r w:rsidRPr="008162D9">
              <w:rPr>
                <w:rFonts w:ascii="Arial Narrow" w:hAnsi="Arial Narrow" w:cstheme="minorBidi"/>
                <w:sz w:val="20"/>
                <w:szCs w:val="20"/>
                <w:u w:val="single"/>
                <w:lang w:val="en-AU"/>
              </w:rPr>
              <w:t>Note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C20D8C" w:rsidRPr="008162D9" w:rsidRDefault="00C20D8C" w:rsidP="005705D2">
            <w:pPr>
              <w:widowControl/>
              <w:spacing w:before="40" w:after="40"/>
              <w:rPr>
                <w:rFonts w:ascii="Arial Narrow" w:hAnsi="Arial Narrow" w:cstheme="minorBidi"/>
                <w:sz w:val="20"/>
                <w:szCs w:val="20"/>
                <w:u w:val="single"/>
                <w:lang w:val="en-AU"/>
              </w:rPr>
            </w:pPr>
            <w:r w:rsidRPr="008162D9">
              <w:rPr>
                <w:rFonts w:ascii="Arial Narrow" w:hAnsi="Arial Narrow" w:cstheme="minorBidi"/>
                <w:sz w:val="20"/>
                <w:szCs w:val="20"/>
                <w:u w:val="single"/>
                <w:lang w:val="en-AU"/>
              </w:rPr>
              <w:t>Note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C20D8C" w:rsidRPr="008162D9" w:rsidRDefault="00C20D8C" w:rsidP="005705D2">
            <w:pPr>
              <w:widowControl/>
              <w:spacing w:before="40" w:after="40"/>
              <w:rPr>
                <w:rFonts w:ascii="Arial Narrow" w:hAnsi="Arial Narrow" w:cstheme="minorBidi"/>
                <w:sz w:val="20"/>
                <w:szCs w:val="20"/>
                <w:u w:val="single"/>
                <w:lang w:val="en-AU"/>
              </w:rPr>
            </w:pPr>
            <w:r w:rsidRPr="008162D9">
              <w:rPr>
                <w:rFonts w:ascii="Arial Narrow" w:hAnsi="Arial Narrow" w:cstheme="minorBidi"/>
                <w:sz w:val="20"/>
                <w:szCs w:val="20"/>
                <w:u w:val="single"/>
                <w:lang w:val="en-AU"/>
              </w:rPr>
              <w:t>Note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Any queries concerning the arrangements to prescribe may be directed to the Department of Human Services on 1800 700 270 (hours of operation 8 a.m. to 5 p.m. EST Monday to Friday).</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Prescribing information (including Authority Application forms and other relevant documentation as applicable) is available on the Department of Human Services website at www.humanservices.gov.au</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lastRenderedPageBreak/>
              <w:t>Applications for authority to prescribe should be forwarded to:</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Department of Human Services</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Complex Drugs</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Reply Paid 9826</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HOBART TAS 7001</w:t>
            </w:r>
          </w:p>
          <w:p w:rsidR="00C20D8C" w:rsidRPr="008162D9" w:rsidRDefault="00C20D8C" w:rsidP="005705D2">
            <w:pPr>
              <w:widowControl/>
              <w:spacing w:before="40" w:after="40"/>
              <w:rPr>
                <w:rFonts w:ascii="Arial Narrow" w:hAnsi="Arial Narrow" w:cstheme="minorBidi"/>
                <w:sz w:val="20"/>
                <w:szCs w:val="20"/>
                <w:u w:val="single"/>
                <w:lang w:val="en-AU"/>
              </w:rPr>
            </w:pPr>
            <w:r w:rsidRPr="008162D9">
              <w:rPr>
                <w:rFonts w:ascii="Arial Narrow" w:hAnsi="Arial Narrow" w:cstheme="minorBidi"/>
                <w:sz w:val="20"/>
                <w:szCs w:val="20"/>
                <w:u w:val="single"/>
                <w:lang w:val="en-AU"/>
              </w:rPr>
              <w:t>Note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No increase in the maximum number of repeats may be authorised.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 xml:space="preserve">No increase in the maximum number of units may </w:t>
            </w:r>
            <w:r>
              <w:rPr>
                <w:rFonts w:ascii="Arial Narrow" w:hAnsi="Arial Narrow" w:cstheme="minorBidi"/>
                <w:sz w:val="20"/>
                <w:szCs w:val="20"/>
                <w:lang w:val="en-AU"/>
              </w:rPr>
              <w:t xml:space="preserve">be </w:t>
            </w:r>
            <w:r w:rsidRPr="008162D9">
              <w:rPr>
                <w:rFonts w:ascii="Arial Narrow" w:hAnsi="Arial Narrow" w:cstheme="minorBidi"/>
                <w:sz w:val="20"/>
                <w:szCs w:val="20"/>
                <w:lang w:val="en-AU"/>
              </w:rPr>
              <w:t xml:space="preserve">authorised. </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Special Pricing Arrangements apply.</w:t>
            </w:r>
          </w:p>
        </w:tc>
      </w:tr>
    </w:tbl>
    <w:p w:rsidR="00C20D8C" w:rsidRPr="008162D9" w:rsidRDefault="00C20D8C" w:rsidP="00C20D8C">
      <w:pPr>
        <w:pStyle w:val="PBACHeading1"/>
        <w:rPr>
          <w:rStyle w:val="CommentReference"/>
          <w:rFonts w:ascii="Calibri" w:hAnsi="Calibri"/>
          <w:sz w:val="24"/>
          <w:szCs w:val="22"/>
        </w:rPr>
      </w:pPr>
    </w:p>
    <w:tbl>
      <w:tblPr>
        <w:tblStyle w:val="Summarybox5"/>
        <w:tblW w:w="5000" w:type="pct"/>
        <w:tblLook w:val="04A0" w:firstRow="1" w:lastRow="0" w:firstColumn="1" w:lastColumn="0" w:noHBand="0" w:noVBand="1"/>
        <w:tblCaption w:val="Recommended listing "/>
      </w:tblPr>
      <w:tblGrid>
        <w:gridCol w:w="2235"/>
        <w:gridCol w:w="7008"/>
      </w:tblGrid>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Pr>
                <w:rFonts w:ascii="Arial Narrow" w:hAnsi="Arial Narrow" w:cstheme="minorBidi"/>
                <w:b/>
                <w:sz w:val="20"/>
                <w:lang w:val="en-AU"/>
              </w:rPr>
              <w:t>Category/</w:t>
            </w:r>
            <w:r w:rsidRPr="00593750">
              <w:rPr>
                <w:rFonts w:ascii="Arial Narrow" w:hAnsi="Arial Narrow" w:cstheme="minorBidi"/>
                <w:b/>
                <w:sz w:val="20"/>
                <w:lang w:val="en-AU"/>
              </w:rPr>
              <w:t>Program</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GENERAL – General Schedule (Code GE)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Condition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PBS indication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Treatment phase</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Treatment Phase: Initial treatment - Initial 1, Whole body or Face, hand, foot (new patient or patient recommencing treatment after a break of 5 years or more) or Initial 2, Whole body or Face, hand, foot (change or recommencement of treatment after a break of less than 5 years) - balance of supply  </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Pr>
                <w:rFonts w:ascii="Arial Narrow" w:hAnsi="Arial Narrow" w:cstheme="minorBidi"/>
                <w:b/>
                <w:sz w:val="20"/>
                <w:lang w:val="en-AU"/>
              </w:rPr>
              <w:t>Restriction Level/</w:t>
            </w:r>
            <w:r w:rsidRPr="00593750">
              <w:rPr>
                <w:rFonts w:ascii="Arial Narrow" w:hAnsi="Arial Narrow" w:cstheme="minorBidi"/>
                <w:b/>
                <w:sz w:val="20"/>
                <w:lang w:val="en-AU"/>
              </w:rPr>
              <w:t>Method</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Authority Required - telephone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Clinical criteria</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received insufficient therapy with this drug under the Initial 1, Whole body (new patient or patient recommencing treatment after a break of 5 years or more) restriction to complete 20 weeks treatment; OR</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received insufficient therapy with this drug under the Initial 2, Whole body (change or recommencement of treatment after a break of less than 5 years) restriction to complete 20  weeks treatment; OR</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received insufficient therapy with this drug under the Initial 1, Face, hand, foot (new patient or patient recommencing treatment after a break of 5 years or more) restriction to complete 20 weeks treatment; OR</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received insufficient therapy with this drug under the Initial 2, Face, hand, foot (change or recommencement of treatment after a break of less than 5 years) restriction to complete 20 weeks treatment,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treatment must be as systemic monotherapy (other than methotrexate),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treatment must provide no more than the balance of up to 20 weeks treatment available under the above restrictions.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Must be treated by a dermatologist.</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Administrative Advice:</w:t>
            </w:r>
          </w:p>
        </w:tc>
        <w:tc>
          <w:tcPr>
            <w:tcW w:w="3791" w:type="pct"/>
          </w:tcPr>
          <w:p w:rsidR="00C20D8C" w:rsidRPr="008162D9" w:rsidRDefault="00C20D8C" w:rsidP="005705D2">
            <w:pPr>
              <w:widowControl/>
              <w:spacing w:before="40" w:after="40"/>
              <w:rPr>
                <w:rFonts w:ascii="Arial Narrow" w:hAnsi="Arial Narrow" w:cstheme="minorBidi"/>
                <w:sz w:val="20"/>
                <w:u w:val="single"/>
                <w:lang w:val="en-AU"/>
              </w:rPr>
            </w:pPr>
            <w:r w:rsidRPr="008162D9">
              <w:rPr>
                <w:rFonts w:ascii="Arial Narrow" w:hAnsi="Arial Narrow" w:cstheme="minorBidi"/>
                <w:sz w:val="20"/>
                <w:u w:val="single"/>
                <w:lang w:val="en-AU"/>
              </w:rPr>
              <w:t>Note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Authority approval for sufficient therapy to complete a maximum of </w:t>
            </w:r>
            <w:r w:rsidRPr="008162D9">
              <w:rPr>
                <w:rFonts w:ascii="Arial Narrow" w:hAnsi="Arial Narrow" w:cstheme="minorBidi"/>
                <w:i/>
                <w:sz w:val="20"/>
                <w:lang w:val="en-AU"/>
              </w:rPr>
              <w:t>20</w:t>
            </w:r>
            <w:r w:rsidRPr="008162D9">
              <w:rPr>
                <w:rFonts w:ascii="Arial Narrow" w:hAnsi="Arial Narrow" w:cstheme="minorBidi"/>
                <w:sz w:val="20"/>
                <w:lang w:val="en-AU"/>
              </w:rPr>
              <w:t xml:space="preserve"> weeks of treatment may be requested by telephone by contacting the Department of Human Services on 1800 700 270 (hours of operation 8 a.m. to 5 p.m. EST Monday to Friday).</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No increase in the maximum number of repeats may be authorised.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No increase in the maximum number of units may </w:t>
            </w:r>
            <w:r>
              <w:rPr>
                <w:rFonts w:ascii="Arial Narrow" w:hAnsi="Arial Narrow" w:cstheme="minorBidi"/>
                <w:sz w:val="20"/>
                <w:lang w:val="en-AU"/>
              </w:rPr>
              <w:t xml:space="preserve">be </w:t>
            </w:r>
            <w:r w:rsidRPr="008162D9">
              <w:rPr>
                <w:rFonts w:ascii="Arial Narrow" w:hAnsi="Arial Narrow" w:cstheme="minorBidi"/>
                <w:sz w:val="20"/>
                <w:lang w:val="en-AU"/>
              </w:rPr>
              <w:t xml:space="preserve">authorised.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Special Pricing Arrangements apply.</w:t>
            </w:r>
          </w:p>
        </w:tc>
      </w:tr>
    </w:tbl>
    <w:p w:rsidR="00C20D8C" w:rsidRPr="008162D9" w:rsidRDefault="00C20D8C" w:rsidP="00C20D8C">
      <w:pPr>
        <w:pStyle w:val="PBACHeading1"/>
        <w:rPr>
          <w:rStyle w:val="CommentReference"/>
          <w:rFonts w:ascii="Calibri" w:hAnsi="Calibri"/>
          <w:sz w:val="24"/>
          <w:szCs w:val="22"/>
        </w:rPr>
      </w:pPr>
    </w:p>
    <w:tbl>
      <w:tblPr>
        <w:tblStyle w:val="Summarybox6"/>
        <w:tblW w:w="5000" w:type="pct"/>
        <w:tblLook w:val="04A0" w:firstRow="1" w:lastRow="0" w:firstColumn="1" w:lastColumn="0" w:noHBand="0" w:noVBand="1"/>
        <w:tblCaption w:val="Recommended listing "/>
      </w:tblPr>
      <w:tblGrid>
        <w:gridCol w:w="2235"/>
        <w:gridCol w:w="7008"/>
      </w:tblGrid>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Pr>
                <w:rFonts w:ascii="Arial Narrow" w:hAnsi="Arial Narrow" w:cstheme="minorBidi"/>
                <w:b/>
                <w:sz w:val="20"/>
                <w:szCs w:val="20"/>
                <w:lang w:val="en-AU"/>
              </w:rPr>
              <w:t>Category/</w:t>
            </w:r>
            <w:r w:rsidRPr="00593750">
              <w:rPr>
                <w:rFonts w:ascii="Arial Narrow" w:hAnsi="Arial Narrow" w:cstheme="minorBidi"/>
                <w:b/>
                <w:sz w:val="20"/>
                <w:szCs w:val="20"/>
                <w:lang w:val="en-AU"/>
              </w:rPr>
              <w:t>Program</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GENERAL – General Schedule (Code GE)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Condition</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PBS indication</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Treatment phase</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Treatment Phase: Continuing treatment, Face, hand, foot</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Pr>
                <w:rFonts w:ascii="Arial Narrow" w:hAnsi="Arial Narrow" w:cstheme="minorBidi"/>
                <w:b/>
                <w:sz w:val="20"/>
                <w:szCs w:val="20"/>
                <w:lang w:val="en-AU"/>
              </w:rPr>
              <w:lastRenderedPageBreak/>
              <w:t>Restriction Level/</w:t>
            </w:r>
            <w:r w:rsidRPr="00593750">
              <w:rPr>
                <w:rFonts w:ascii="Arial Narrow" w:hAnsi="Arial Narrow" w:cstheme="minorBidi"/>
                <w:b/>
                <w:sz w:val="20"/>
                <w:szCs w:val="20"/>
                <w:lang w:val="en-AU"/>
              </w:rPr>
              <w:t>Method</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Authority Required - written</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Clinical criteria</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have a documented history of severe chronic plaque psoriasis of the face, or palm of a hand or sole of a foot,</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have received this drug as their most recent course of PBS-subsidised treatment with a biological agent for this condition in the current Treatment Cycle,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have demonstrated an adequate response to their most recent course of treatment with this drug,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The treatment must be as systemic monotherapy (other than methotrexate),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not receive more than 24 weeks of treatment per continuing treatment course authorised under this restriction.</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 xml:space="preserve">AND </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Must be treated by a dermatologist</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Population criteria</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 must be aged 18 years or older</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For the purposes of this restriction 'biological agent' means adalimumab, etanercept, guselkumab, infliximab, ixekizumab, secukinumab or ustekinumab.</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 adequate response to treatment is defined as the plaque or plaques assessed prior to biological treatment showing: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w:t>
            </w:r>
            <w:proofErr w:type="spellStart"/>
            <w:r w:rsidRPr="008162D9">
              <w:rPr>
                <w:rFonts w:ascii="Arial Narrow" w:hAnsi="Arial Narrow" w:cstheme="minorBidi"/>
                <w:sz w:val="20"/>
                <w:szCs w:val="20"/>
                <w:lang w:val="en-AU"/>
              </w:rPr>
              <w:t>i</w:t>
            </w:r>
            <w:proofErr w:type="spellEnd"/>
            <w:r w:rsidRPr="008162D9">
              <w:rPr>
                <w:rFonts w:ascii="Arial Narrow" w:hAnsi="Arial Narrow" w:cstheme="minorBidi"/>
                <w:sz w:val="20"/>
                <w:szCs w:val="20"/>
                <w:lang w:val="en-AU"/>
              </w:rPr>
              <w:t xml:space="preserve">) a reduction in the Psoriasis Area and Severity Index (PASI) symptom </w:t>
            </w:r>
            <w:proofErr w:type="spellStart"/>
            <w:r w:rsidRPr="008162D9">
              <w:rPr>
                <w:rFonts w:ascii="Arial Narrow" w:hAnsi="Arial Narrow" w:cstheme="minorBidi"/>
                <w:sz w:val="20"/>
                <w:szCs w:val="20"/>
                <w:lang w:val="en-AU"/>
              </w:rPr>
              <w:t>subscores</w:t>
            </w:r>
            <w:proofErr w:type="spellEnd"/>
            <w:r w:rsidRPr="008162D9">
              <w:rPr>
                <w:rFonts w:ascii="Arial Narrow" w:hAnsi="Arial Narrow" w:cstheme="minorBidi"/>
                <w:sz w:val="20"/>
                <w:szCs w:val="20"/>
                <w:lang w:val="en-AU"/>
              </w:rPr>
              <w:t xml:space="preserve"> for all 3 of erythema, thickness and scaling, to slight or better, or sustained at this level, as compared to the pre-biological treatment baseline values; or</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(ii) a reduction by 75% or more in the skin area affected, or sustained at this level, as compared to the pre-biological treatment baseline value.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All applications for continuing treatment with this drug must include a measurement of response to the most recent course of PBS-subsidised therapy. This assessment must be submitted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Where a response assessment is not submitted within these timeframes, the patient will be deemed to have failed to respond to treatment with this drug.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The authority application must be made in writing and must include: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 a completed authority prescription form; and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(b) a completed Severe Chronic Plaque Psoriasis PBS Authority Application - Supporting Information Form which includes the following: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w:t>
            </w:r>
            <w:proofErr w:type="spellStart"/>
            <w:r w:rsidRPr="008162D9">
              <w:rPr>
                <w:rFonts w:ascii="Arial Narrow" w:hAnsi="Arial Narrow" w:cstheme="minorBidi"/>
                <w:sz w:val="20"/>
                <w:szCs w:val="20"/>
                <w:lang w:val="en-AU"/>
              </w:rPr>
              <w:t>i</w:t>
            </w:r>
            <w:proofErr w:type="spellEnd"/>
            <w:r w:rsidRPr="008162D9">
              <w:rPr>
                <w:rFonts w:ascii="Arial Narrow" w:hAnsi="Arial Narrow" w:cstheme="minorBidi"/>
                <w:sz w:val="20"/>
                <w:szCs w:val="20"/>
                <w:lang w:val="en-AU"/>
              </w:rPr>
              <w:t>) the completed Psoriasis Area and Severity Index (PASI) calculation sheet and face, hand, foot area diagrams including the date of the assessment of the patient's condition.</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The most recent PASI assessment must be no more than 1 month old at the time of application.</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Approval will be based on the PASI assessment of response to the most recent course of treatment with this drug.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The PASI assessment for continuing treatment must be performed on the same affected area assessed at baseline.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szCs w:val="20"/>
                <w:lang w:val="en-AU"/>
              </w:rPr>
            </w:pPr>
            <w:r w:rsidRPr="00593750">
              <w:rPr>
                <w:rFonts w:ascii="Arial Narrow" w:hAnsi="Arial Narrow" w:cstheme="minorBidi"/>
                <w:b/>
                <w:sz w:val="20"/>
                <w:szCs w:val="20"/>
                <w:lang w:val="en-AU"/>
              </w:rPr>
              <w:t xml:space="preserve">Administrative Advice: </w:t>
            </w:r>
          </w:p>
        </w:tc>
        <w:tc>
          <w:tcPr>
            <w:tcW w:w="3791" w:type="pct"/>
          </w:tcPr>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 xml:space="preserve">A PASI assessment of the patient's response must be conducted within 4 weeks prior to completion of this course of treatment. This assessment, which will be used to determine eligibility for further continuing treatment, must be submitted to the Department of Human Services no later than 1 month from the date of completion of this course of treatment. Where a response assessment is not undertaken and submitted to the Department of Human Services within these timeframes, the patient will be deemed to have failed to respond to </w:t>
            </w:r>
            <w:r w:rsidRPr="008162D9">
              <w:rPr>
                <w:rFonts w:ascii="Arial Narrow" w:hAnsi="Arial Narrow" w:cstheme="minorBidi"/>
                <w:sz w:val="20"/>
                <w:szCs w:val="20"/>
                <w:lang w:val="en-AU"/>
              </w:rPr>
              <w:lastRenderedPageBreak/>
              <w:t>treatment with this drug.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In circumstances where it is not possible to submit a response assessment within these timeframes, please call the Department of Human Services on 1800 700 270 to discuss.</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Any queries concerning the arrangements to prescribe may be directed to the Department of Human Services on 1800 700 270 (hours of operation 8 a.m. to 5 p.m. EST Monday to Friday).</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Prescribing information (including Authority Application forms and other relevant documentation as applicable) is available on the Department of Human Services website at www.humanservices.gov.au</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Applications for authority to prescribe should be forwarded to:</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Department of Human Services</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Complex Drugs</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Reply Paid 9826</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HOBART TAS 7001</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No increase in the maximum number of repeats may be authorised.</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 xml:space="preserve">No increase in the maximum number of units may </w:t>
            </w:r>
            <w:r>
              <w:rPr>
                <w:rFonts w:ascii="Arial Narrow" w:hAnsi="Arial Narrow" w:cstheme="minorBidi"/>
                <w:sz w:val="20"/>
                <w:szCs w:val="20"/>
                <w:lang w:val="en-AU"/>
              </w:rPr>
              <w:t xml:space="preserve">be </w:t>
            </w:r>
            <w:r w:rsidRPr="008162D9">
              <w:rPr>
                <w:rFonts w:ascii="Arial Narrow" w:hAnsi="Arial Narrow" w:cstheme="minorBidi"/>
                <w:sz w:val="20"/>
                <w:szCs w:val="20"/>
                <w:lang w:val="en-AU"/>
              </w:rPr>
              <w:t xml:space="preserve">authorised. </w:t>
            </w:r>
          </w:p>
          <w:p w:rsidR="00C20D8C" w:rsidRPr="008162D9" w:rsidRDefault="00C20D8C" w:rsidP="005705D2">
            <w:pPr>
              <w:widowControl/>
              <w:spacing w:before="40" w:after="40"/>
              <w:rPr>
                <w:rFonts w:ascii="Arial Narrow" w:hAnsi="Arial Narrow" w:cstheme="minorBidi"/>
                <w:sz w:val="20"/>
                <w:szCs w:val="20"/>
                <w:lang w:val="en-AU"/>
              </w:rPr>
            </w:pPr>
            <w:r w:rsidRPr="008162D9">
              <w:rPr>
                <w:rFonts w:ascii="Arial Narrow" w:hAnsi="Arial Narrow" w:cstheme="minorBidi"/>
                <w:sz w:val="20"/>
                <w:szCs w:val="20"/>
                <w:lang w:val="en-AU"/>
              </w:rPr>
              <w:t>Special Pricing Arrangements apply.</w:t>
            </w:r>
          </w:p>
        </w:tc>
      </w:tr>
    </w:tbl>
    <w:p w:rsidR="00C20D8C" w:rsidRPr="008162D9" w:rsidRDefault="00C20D8C" w:rsidP="00C20D8C">
      <w:pPr>
        <w:pStyle w:val="PBACHeading1"/>
        <w:rPr>
          <w:rStyle w:val="CommentReference"/>
          <w:rFonts w:ascii="Calibri" w:hAnsi="Calibri"/>
          <w:sz w:val="24"/>
          <w:szCs w:val="22"/>
        </w:rPr>
      </w:pPr>
    </w:p>
    <w:tbl>
      <w:tblPr>
        <w:tblStyle w:val="Summarybox7"/>
        <w:tblW w:w="5000" w:type="pct"/>
        <w:tblLook w:val="04A0" w:firstRow="1" w:lastRow="0" w:firstColumn="1" w:lastColumn="0" w:noHBand="0" w:noVBand="1"/>
        <w:tblCaption w:val="Recommended listing "/>
      </w:tblPr>
      <w:tblGrid>
        <w:gridCol w:w="2235"/>
        <w:gridCol w:w="7008"/>
      </w:tblGrid>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Categ</w:t>
            </w:r>
            <w:r>
              <w:rPr>
                <w:rFonts w:ascii="Arial Narrow" w:hAnsi="Arial Narrow" w:cstheme="minorBidi"/>
                <w:b/>
                <w:sz w:val="20"/>
                <w:lang w:val="en-AU"/>
              </w:rPr>
              <w:t>ory/</w:t>
            </w:r>
            <w:r w:rsidRPr="00593750">
              <w:rPr>
                <w:rFonts w:ascii="Arial Narrow" w:hAnsi="Arial Narrow" w:cstheme="minorBidi"/>
                <w:b/>
                <w:sz w:val="20"/>
                <w:lang w:val="en-AU"/>
              </w:rPr>
              <w:t>Program</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GENERAL – General Schedule (Code GE)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Condition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PBS indication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Treatment phase</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Treatment Phase: Continuing treatment, Whole body </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Pr>
                <w:rFonts w:ascii="Arial Narrow" w:hAnsi="Arial Narrow" w:cstheme="minorBidi"/>
                <w:b/>
                <w:sz w:val="20"/>
                <w:lang w:val="en-AU"/>
              </w:rPr>
              <w:t>Restriction Level/</w:t>
            </w:r>
            <w:r w:rsidRPr="00593750">
              <w:rPr>
                <w:rFonts w:ascii="Arial Narrow" w:hAnsi="Arial Narrow" w:cstheme="minorBidi"/>
                <w:b/>
                <w:sz w:val="20"/>
                <w:lang w:val="en-AU"/>
              </w:rPr>
              <w:t>Method</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Authority Required - written</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Clinical criteria:</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received insufficient therapy with this drug under the Continuing treatment, Whole body restriction to complete 24 weeks treatment; OR</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received insufficient therapy with this drug under the Continuing treatment, Face, hand, foot restriction to complete 24 weeks treatment,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treatment must provide no more than the balance of up to 24 weeks treatment available under the above restrictions,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treatment must be as systemic monotherapy (other than methotrexate).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Must be treated by a dermatologist.</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 xml:space="preserve">Prescriber Instructions: </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For the purposes of this restriction 'biological agent' means adalimumab, etanercept, </w:t>
            </w:r>
            <w:r w:rsidRPr="008162D9">
              <w:rPr>
                <w:rFonts w:ascii="Arial Narrow" w:hAnsi="Arial Narrow" w:cstheme="minorBidi"/>
                <w:i/>
                <w:sz w:val="20"/>
                <w:lang w:val="en-AU"/>
              </w:rPr>
              <w:t>guselkumab,</w:t>
            </w:r>
            <w:r w:rsidRPr="008162D9">
              <w:rPr>
                <w:rFonts w:ascii="Arial Narrow" w:hAnsi="Arial Narrow" w:cstheme="minorBidi"/>
                <w:sz w:val="20"/>
                <w:lang w:val="en-AU"/>
              </w:rPr>
              <w:t xml:space="preserve"> infliximab, ixekizumab, secukinumab or ustekinumab.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 adequate response to treatment is defined as: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 Psoriasis Area and Severity Index (PASI) score which is reduced by 75% or more, or is sustained at this level, when compared with the </w:t>
            </w:r>
            <w:proofErr w:type="spellStart"/>
            <w:r w:rsidRPr="008162D9">
              <w:rPr>
                <w:rFonts w:ascii="Arial Narrow" w:hAnsi="Arial Narrow" w:cstheme="minorBidi"/>
                <w:sz w:val="20"/>
                <w:lang w:val="en-AU"/>
              </w:rPr>
              <w:t>prebiological</w:t>
            </w:r>
            <w:proofErr w:type="spellEnd"/>
            <w:r w:rsidRPr="008162D9">
              <w:rPr>
                <w:rFonts w:ascii="Arial Narrow" w:hAnsi="Arial Narrow" w:cstheme="minorBidi"/>
                <w:sz w:val="20"/>
                <w:lang w:val="en-AU"/>
              </w:rPr>
              <w:t xml:space="preserve"> treatment baseline value for this Treatment Cycle.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All applications for continuing treatment with this drug must include a measurement of response to the most recent course of PBS-subsidised therapy. This assessment must be </w:t>
            </w:r>
            <w:r w:rsidRPr="008162D9">
              <w:rPr>
                <w:rFonts w:ascii="Arial Narrow" w:hAnsi="Arial Narrow" w:cstheme="minorBidi"/>
                <w:sz w:val="20"/>
                <w:lang w:val="en-AU"/>
              </w:rPr>
              <w:lastRenderedPageBreak/>
              <w:t xml:space="preserve">submitted no later than 4 weeks from the cessation of that treatment course. If the application is the first application for continuing treatment with this drug, it must be accompanied by an assessment of response to a minimum of 12 weeks of treatment with the initial treatment course.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Where a response assessment is not submitted within these timeframes, the patient will be deemed to have failed to respond to treatment with this drug.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authority application must be made in writing and must include: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a completed authority prescription form;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(b) a completed Severe Chronic Plaque Psoriasis PBS Authority Application - Supporting Information Form which includes the following: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w:t>
            </w:r>
            <w:proofErr w:type="spellStart"/>
            <w:r w:rsidRPr="008162D9">
              <w:rPr>
                <w:rFonts w:ascii="Arial Narrow" w:hAnsi="Arial Narrow" w:cstheme="minorBidi"/>
                <w:sz w:val="20"/>
                <w:lang w:val="en-AU"/>
              </w:rPr>
              <w:t>i</w:t>
            </w:r>
            <w:proofErr w:type="spellEnd"/>
            <w:r w:rsidRPr="008162D9">
              <w:rPr>
                <w:rFonts w:ascii="Arial Narrow" w:hAnsi="Arial Narrow" w:cstheme="minorBidi"/>
                <w:sz w:val="20"/>
                <w:lang w:val="en-AU"/>
              </w:rPr>
              <w:t xml:space="preserve">) the completed Psoriasis Area and Severity Index (PASI) calculation sheet including the date of the assessment of the patient's condition.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most recent PASI assessment must be no more than 1 month old at the time of application.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Approval will be based on the PASI assessment of response to the most recent course of treatment with this drug. </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lastRenderedPageBreak/>
              <w:t>Administrative Advice:</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 PASI assessment of the patient's response must be conducted within 4 weeks prior to completion of this course of treatment. This assessment, which will be used to determine eligibility for further continuing treatment, must be submitted to the Department of Human Services no later than 1 month from the date of completion of this course of treatment. Where a response assessment is not undertaken and submitted to the Department of Human Services within these timeframes, the patient will be deemed to have failed to respond to treatment with this drug.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Patients who fail to demonstrate a response to treatment with 3 biological agents are deemed to have completed this Treatment Cycle and must cease PBS-subsidised therapy. These patients may recommence a new Biological Treatment Cycle after a minimum of 5 years has elapsed between the date the last prescription for a PBS-subsidised biological agent was approved in this Cycle and the date of the first application under the new Cycle.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In circumstances where it is not possible to submit a response assessment within these timeframes, please call the Department of Human Services on 1800 700 270 to discuss. Any queries concerning the arrangements to prescribe may be directed to the Department of Human Services on 1800 700 270 (hours of operation 8 a.m. to 5 p.m. EST Monday to Friday).</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Prescribing information (including Authority Application forms and other relevant documentation as applicable) is available on the Department of Human Services website at www.humanservices.gov.au</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Applications for authority to prescribe should be forwarded to:</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Department of Human Services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Complex Drugs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Reply Paid 9826</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HOBART TAS 7001</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No increase in the maximum number of repeats may be authorised.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No increase in the maximum number of units may </w:t>
            </w:r>
            <w:r>
              <w:rPr>
                <w:rFonts w:ascii="Arial Narrow" w:hAnsi="Arial Narrow" w:cstheme="minorBidi"/>
                <w:sz w:val="20"/>
                <w:lang w:val="en-AU"/>
              </w:rPr>
              <w:t xml:space="preserve">be </w:t>
            </w:r>
            <w:r w:rsidRPr="008162D9">
              <w:rPr>
                <w:rFonts w:ascii="Arial Narrow" w:hAnsi="Arial Narrow" w:cstheme="minorBidi"/>
                <w:sz w:val="20"/>
                <w:lang w:val="en-AU"/>
              </w:rPr>
              <w:t xml:space="preserve">authorised.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Special Pricing Arrangements apply.</w:t>
            </w:r>
          </w:p>
        </w:tc>
      </w:tr>
    </w:tbl>
    <w:p w:rsidR="00C20D8C" w:rsidRPr="008162D9" w:rsidRDefault="00C20D8C" w:rsidP="00C20D8C">
      <w:pPr>
        <w:pStyle w:val="PBACHeading1"/>
        <w:rPr>
          <w:rStyle w:val="CommentReference"/>
          <w:rFonts w:ascii="Calibri" w:hAnsi="Calibri"/>
          <w:sz w:val="24"/>
          <w:szCs w:val="22"/>
        </w:rPr>
      </w:pPr>
    </w:p>
    <w:p w:rsidR="00C20D8C" w:rsidRPr="00593750" w:rsidRDefault="00C20D8C" w:rsidP="00C20D8C">
      <w:pPr>
        <w:widowControl/>
        <w:spacing w:after="200" w:line="360" w:lineRule="auto"/>
        <w:rPr>
          <w:rFonts w:asciiTheme="minorHAnsi" w:eastAsiaTheme="minorHAnsi" w:hAnsiTheme="minorHAnsi" w:cstheme="minorHAnsi"/>
          <w:b/>
          <w:snapToGrid/>
          <w:szCs w:val="24"/>
        </w:rPr>
      </w:pPr>
      <w:r w:rsidRPr="00593750">
        <w:rPr>
          <w:rFonts w:asciiTheme="minorHAnsi" w:eastAsiaTheme="minorHAnsi" w:hAnsiTheme="minorHAnsi" w:cstheme="minorHAnsi"/>
          <w:b/>
          <w:snapToGrid/>
          <w:szCs w:val="24"/>
        </w:rPr>
        <w:t>Grandfathered patients:</w:t>
      </w:r>
    </w:p>
    <w:tbl>
      <w:tblPr>
        <w:tblStyle w:val="Summarybox8"/>
        <w:tblW w:w="5000" w:type="pct"/>
        <w:tblLook w:val="04A0" w:firstRow="1" w:lastRow="0" w:firstColumn="1" w:lastColumn="0" w:noHBand="0" w:noVBand="1"/>
        <w:tblCaption w:val="Recommended listing "/>
      </w:tblPr>
      <w:tblGrid>
        <w:gridCol w:w="2235"/>
        <w:gridCol w:w="7008"/>
      </w:tblGrid>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Pr>
                <w:rFonts w:ascii="Arial Narrow" w:hAnsi="Arial Narrow" w:cstheme="minorBidi"/>
                <w:b/>
                <w:sz w:val="20"/>
                <w:lang w:val="en-AU"/>
              </w:rPr>
              <w:t>Category/</w:t>
            </w:r>
            <w:r w:rsidRPr="00593750">
              <w:rPr>
                <w:rFonts w:ascii="Arial Narrow" w:hAnsi="Arial Narrow" w:cstheme="minorBidi"/>
                <w:b/>
                <w:sz w:val="20"/>
                <w:lang w:val="en-AU"/>
              </w:rPr>
              <w:t>Program</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GENERAL – General Schedule (Code GE)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Condition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PBS indication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Treatment phase</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Treatment Phase: Initial treatment – Initial 3, Whole body (initial PBS-subsidised supply for </w:t>
            </w:r>
            <w:r w:rsidRPr="008162D9">
              <w:rPr>
                <w:rFonts w:ascii="Arial Narrow" w:hAnsi="Arial Narrow" w:cstheme="minorBidi"/>
                <w:sz w:val="20"/>
                <w:lang w:val="en-AU"/>
              </w:rPr>
              <w:lastRenderedPageBreak/>
              <w:t xml:space="preserve">continuing treatment in a patient commenced on non-PBS-subsidised therapy) </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Pr>
                <w:rFonts w:ascii="Arial Narrow" w:hAnsi="Arial Narrow" w:cstheme="minorBidi"/>
                <w:b/>
                <w:sz w:val="20"/>
                <w:lang w:val="en-AU"/>
              </w:rPr>
              <w:lastRenderedPageBreak/>
              <w:t>Restriction Level/</w:t>
            </w:r>
            <w:r w:rsidRPr="00593750">
              <w:rPr>
                <w:rFonts w:ascii="Arial Narrow" w:hAnsi="Arial Narrow" w:cstheme="minorBidi"/>
                <w:b/>
                <w:sz w:val="20"/>
                <w:lang w:val="en-AU"/>
              </w:rPr>
              <w:t>Method</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Authority Required - written</w:t>
            </w:r>
          </w:p>
        </w:tc>
      </w:tr>
      <w:tr w:rsidR="00C20D8C" w:rsidRPr="008162D9" w:rsidTr="005705D2">
        <w:trPr>
          <w:trHeight w:val="4570"/>
        </w:trPr>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Clinical criteria</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a documented history of severe chronic plaque psoriasis,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been receiving treatment with this drug for this condition prior to [insert date],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had a Psoriasis Area and Severity Index (PASI) score of greater than 15 prior to commencing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demonstrated a response to treatment as specified in the criterion included in the restriction for continuing PBS-subsidised treatment with this drug (whole body),</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signed a patient and prescriber acknowledgement indicating they understand and acknowledge that PBS-subsidised treatment will cease if they do not meet the predetermined response criterion for ongoing PBS-subsidised treatment, as outlined in the restriction for continuing treatment (whole body),</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treatment must be as systemic monotherapy (other than methotrexate),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not receive more than 24 weeks of treatment under this restriction.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i/>
                <w:sz w:val="20"/>
                <w:lang w:val="en-AU"/>
              </w:rPr>
            </w:pPr>
            <w:r w:rsidRPr="008162D9">
              <w:rPr>
                <w:rFonts w:ascii="Arial Narrow" w:hAnsi="Arial Narrow" w:cstheme="minorBidi"/>
                <w:sz w:val="20"/>
                <w:lang w:val="en-AU"/>
              </w:rPr>
              <w:t>Must be treated by a dermatologist.</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Population criteria</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Patients must be aged 18 years or older</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 xml:space="preserve">Prescribing Instructions: </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authority application must be made in writing and must include: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a completed authority prescription form;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(b) a completed Severe Chronic Plaque Psoriasis PBS Authority Application - Supporting Information Form which includes the following: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w:t>
            </w:r>
            <w:proofErr w:type="spellStart"/>
            <w:r w:rsidRPr="008162D9">
              <w:rPr>
                <w:rFonts w:ascii="Arial Narrow" w:hAnsi="Arial Narrow" w:cstheme="minorBidi"/>
                <w:sz w:val="20"/>
                <w:lang w:val="en-AU"/>
              </w:rPr>
              <w:t>i</w:t>
            </w:r>
            <w:proofErr w:type="spellEnd"/>
            <w:r w:rsidRPr="008162D9">
              <w:rPr>
                <w:rFonts w:ascii="Arial Narrow" w:hAnsi="Arial Narrow" w:cstheme="minorBidi"/>
                <w:sz w:val="20"/>
                <w:lang w:val="en-AU"/>
              </w:rPr>
              <w:t>) the completed Psoriasis Area and Severity Index (PASI) calculation sheet including the date of the assessment of the patient's condition at baseline (prior to initiation of therapy with this drug) and the most recent PASI assessment;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(ii) details of previous phototherapy and systemic drug therapy [dosage (where applicable), date of commencement and duration of therapy];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(iii) the signed patient and prescriber acknowledgements.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most recent PASI assessment must be no more than 1 month old at the time of application.</w:t>
            </w:r>
          </w:p>
          <w:p w:rsidR="00C20D8C" w:rsidRPr="008162D9" w:rsidRDefault="00C20D8C" w:rsidP="005705D2">
            <w:pPr>
              <w:widowControl/>
              <w:spacing w:before="40" w:after="40"/>
              <w:rPr>
                <w:rFonts w:ascii="Arial Narrow" w:hAnsi="Arial Narrow" w:cstheme="minorBidi"/>
                <w:strike/>
                <w:sz w:val="20"/>
                <w:lang w:val="en-AU"/>
              </w:rPr>
            </w:pPr>
            <w:r w:rsidRPr="008162D9">
              <w:rPr>
                <w:rFonts w:ascii="Arial Narrow" w:hAnsi="Arial Narrow" w:cstheme="minorBidi"/>
                <w:sz w:val="20"/>
                <w:lang w:val="en-AU"/>
              </w:rPr>
              <w:t>A patient may qualify for PBS-subsidised treatment under this restriction once only</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Administrative Advice:</w:t>
            </w:r>
          </w:p>
          <w:p w:rsidR="00C20D8C" w:rsidRPr="00593750" w:rsidRDefault="00C20D8C" w:rsidP="005705D2">
            <w:pPr>
              <w:widowControl/>
              <w:spacing w:before="40" w:after="40"/>
              <w:rPr>
                <w:rFonts w:ascii="Arial Narrow" w:hAnsi="Arial Narrow" w:cstheme="minorBidi"/>
                <w:b/>
                <w:sz w:val="20"/>
                <w:lang w:val="en-AU"/>
              </w:rPr>
            </w:pP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PASI assessment of the patient's response to this initial PBS-subsidised course of therapy must be conducted within 4 weeks prior to completion of this course of treatment.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In circumstances where it is not possible to submit a response assessment within these timeframes, please call the Department of Human Services on 1800 700 270 to discuss.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Any queries concerning the arrangements to prescribe may be directed to the Department of Human Services on 1800 700 270 (hours of operation 8 a.m. to 5 p.m. EST Monday to </w:t>
            </w:r>
            <w:r w:rsidRPr="008162D9">
              <w:rPr>
                <w:rFonts w:ascii="Arial Narrow" w:hAnsi="Arial Narrow" w:cstheme="minorBidi"/>
                <w:sz w:val="20"/>
                <w:lang w:val="en-AU"/>
              </w:rPr>
              <w:lastRenderedPageBreak/>
              <w:t xml:space="preserve">Friday).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Prescribing information (including Authority Application forms and other relevant documentation as applicable) is available on the Department of Human Services website at www.humanservices.gov.au</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Applications for authority to prescribe should be forwarded to: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Department of Human Services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Complex Drugs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Reply Paid 9826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HOBART TAS 7001</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No increase in the maximum number of repeats may be authorised.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No increase in the maximum number of units may </w:t>
            </w:r>
            <w:r>
              <w:rPr>
                <w:rFonts w:ascii="Arial Narrow" w:hAnsi="Arial Narrow" w:cstheme="minorBidi"/>
                <w:sz w:val="20"/>
                <w:lang w:val="en-AU"/>
              </w:rPr>
              <w:t xml:space="preserve">be </w:t>
            </w:r>
            <w:r w:rsidRPr="008162D9">
              <w:rPr>
                <w:rFonts w:ascii="Arial Narrow" w:hAnsi="Arial Narrow" w:cstheme="minorBidi"/>
                <w:sz w:val="20"/>
                <w:lang w:val="en-AU"/>
              </w:rPr>
              <w:t xml:space="preserve">authorised.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Special Pricing Arrangements apply.</w:t>
            </w:r>
          </w:p>
        </w:tc>
      </w:tr>
    </w:tbl>
    <w:p w:rsidR="00C20D8C" w:rsidRPr="008162D9" w:rsidRDefault="00C20D8C" w:rsidP="00C20D8C">
      <w:pPr>
        <w:widowControl/>
        <w:spacing w:after="200" w:line="360" w:lineRule="auto"/>
        <w:rPr>
          <w:rFonts w:ascii="Arial" w:eastAsiaTheme="minorHAnsi" w:hAnsi="Arial" w:cstheme="minorBidi"/>
          <w:snapToGrid/>
          <w:sz w:val="20"/>
        </w:rPr>
      </w:pPr>
    </w:p>
    <w:tbl>
      <w:tblPr>
        <w:tblStyle w:val="Summarybox8"/>
        <w:tblW w:w="5000" w:type="pct"/>
        <w:tblLook w:val="04A0" w:firstRow="1" w:lastRow="0" w:firstColumn="1" w:lastColumn="0" w:noHBand="0" w:noVBand="1"/>
        <w:tblCaption w:val="Recommended listing "/>
      </w:tblPr>
      <w:tblGrid>
        <w:gridCol w:w="2235"/>
        <w:gridCol w:w="7008"/>
      </w:tblGrid>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Pr>
                <w:rFonts w:ascii="Arial Narrow" w:hAnsi="Arial Narrow" w:cstheme="minorBidi"/>
                <w:b/>
                <w:sz w:val="20"/>
                <w:lang w:val="en-AU"/>
              </w:rPr>
              <w:t>Category/</w:t>
            </w:r>
            <w:r w:rsidRPr="00593750">
              <w:rPr>
                <w:rFonts w:ascii="Arial Narrow" w:hAnsi="Arial Narrow" w:cstheme="minorBidi"/>
                <w:b/>
                <w:sz w:val="20"/>
                <w:lang w:val="en-AU"/>
              </w:rPr>
              <w:t>Program</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GENERAL – General Schedule (Code GE)</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Condition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PBS indication</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Severe chronic plaque psoriasis</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Treatment phase</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Treatment Phase: Initial treatment – Initial 3, Face, hand, foot (initial PBS-subsidised supply for continuing treatment in a patient commenced on non-PBS-subsidised therapy) </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Pr>
                <w:rFonts w:ascii="Arial Narrow" w:hAnsi="Arial Narrow" w:cstheme="minorBidi"/>
                <w:b/>
                <w:sz w:val="20"/>
                <w:lang w:val="en-AU"/>
              </w:rPr>
              <w:t>Restriction Level/</w:t>
            </w:r>
            <w:r w:rsidRPr="00593750">
              <w:rPr>
                <w:rFonts w:ascii="Arial Narrow" w:hAnsi="Arial Narrow" w:cstheme="minorBidi"/>
                <w:b/>
                <w:sz w:val="20"/>
                <w:lang w:val="en-AU"/>
              </w:rPr>
              <w:t>Method</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Authority Required - written</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Clinical criteria</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a documented history of severe chronic plaque psoriasis of the face, or palm of a hand or sole of a foot,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been receiving treatment with this drug for this condition prior to [insert date],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had disease, prior to treatment with this drug, classified as severe due to a plaque or plaques on the face, palm of a hand or sole of a foot where: (</w:t>
            </w:r>
            <w:proofErr w:type="spellStart"/>
            <w:r w:rsidRPr="008162D9">
              <w:rPr>
                <w:rFonts w:ascii="Arial Narrow" w:hAnsi="Arial Narrow" w:cstheme="minorBidi"/>
                <w:sz w:val="20"/>
                <w:lang w:val="en-AU"/>
              </w:rPr>
              <w:t>i</w:t>
            </w:r>
            <w:proofErr w:type="spellEnd"/>
            <w:r w:rsidRPr="008162D9">
              <w:rPr>
                <w:rFonts w:ascii="Arial Narrow" w:hAnsi="Arial Narrow" w:cstheme="minorBidi"/>
                <w:sz w:val="20"/>
                <w:lang w:val="en-AU"/>
              </w:rPr>
              <w:t xml:space="preserve">) at least 2 of the 3 Psoriasis Area and Severity Index (PASI) symptom </w:t>
            </w:r>
            <w:proofErr w:type="spellStart"/>
            <w:r w:rsidRPr="008162D9">
              <w:rPr>
                <w:rFonts w:ascii="Arial Narrow" w:hAnsi="Arial Narrow" w:cstheme="minorBidi"/>
                <w:sz w:val="20"/>
                <w:lang w:val="en-AU"/>
              </w:rPr>
              <w:t>subscores</w:t>
            </w:r>
            <w:proofErr w:type="spellEnd"/>
            <w:r w:rsidRPr="008162D9">
              <w:rPr>
                <w:rFonts w:ascii="Arial Narrow" w:hAnsi="Arial Narrow" w:cstheme="minorBidi"/>
                <w:sz w:val="20"/>
                <w:lang w:val="en-AU"/>
              </w:rPr>
              <w:t xml:space="preserve"> for erythema, thickness and scaling were rated as severe or very severe; or (ii) the skin area affected was 30% or more of the face, palm of a hand or sole of a foot,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demonstrated a response to treatment as specified in the criterion included in the restriction for continuing PBS-subsidised treatment with this drug (face, hand, foot),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have signed a patient and prescriber acknowledgement indicating they understand and acknowledge that PBS-subsidised treatment will cease if they do not meet the predetermined response criterion for ongoing PBS-subsidised treatment, as outlined in the restriction for continuing treatment (face, hand, foot),</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treatment must be as systemic monotherapy (other than methotrexate),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 must not receive more than 24 weeks of treatment under this restriction.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Must be treated by a dermatologist.</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Population criteria</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Patients must be aged 18 years or older</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t xml:space="preserve">Prescribing instructions: </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authority application must be made in writing and must include:</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a completed authority prescription form;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(b) a completed Severe Chronic Plaque Psoriasis PBS Authority Application - Supporting Information Form which includes the following: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lastRenderedPageBreak/>
              <w:t>(</w:t>
            </w:r>
            <w:proofErr w:type="spellStart"/>
            <w:r w:rsidRPr="008162D9">
              <w:rPr>
                <w:rFonts w:ascii="Arial Narrow" w:hAnsi="Arial Narrow" w:cstheme="minorBidi"/>
                <w:sz w:val="20"/>
                <w:lang w:val="en-AU"/>
              </w:rPr>
              <w:t>i</w:t>
            </w:r>
            <w:proofErr w:type="spellEnd"/>
            <w:r w:rsidRPr="008162D9">
              <w:rPr>
                <w:rFonts w:ascii="Arial Narrow" w:hAnsi="Arial Narrow" w:cstheme="minorBidi"/>
                <w:sz w:val="20"/>
                <w:lang w:val="en-AU"/>
              </w:rPr>
              <w:t>) the completed Psoriasis Area and Severity Index (PASI) calculation sheet and face, hand, foot area diagrams including the date of the assessment of the patient's condition at baseline (prior to initiation of therapy with this drug) and the most recent PASI assessment;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(ii) details of previous phototherapy and systemic drug therapy [dosage (where applicable), date of commencement and duration of therapy]; and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(iii) the signed patient and prescriber acknowledgements.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most recent PASI assessment must be no more than 1 month old at the time of application.</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The PASI assessment must be performed on the same affected area as assessed at baseline or prior to initiation of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patient may qualify for PBS-subsidised treatment under this restriction once only</w:t>
            </w:r>
          </w:p>
        </w:tc>
      </w:tr>
      <w:tr w:rsidR="00C20D8C" w:rsidRPr="008162D9" w:rsidTr="005705D2">
        <w:tc>
          <w:tcPr>
            <w:tcW w:w="1209" w:type="pct"/>
          </w:tcPr>
          <w:p w:rsidR="00C20D8C" w:rsidRPr="00593750" w:rsidRDefault="00C20D8C" w:rsidP="005705D2">
            <w:pPr>
              <w:widowControl/>
              <w:spacing w:before="40" w:after="40"/>
              <w:rPr>
                <w:rFonts w:ascii="Arial Narrow" w:hAnsi="Arial Narrow" w:cstheme="minorBidi"/>
                <w:b/>
                <w:sz w:val="20"/>
                <w:lang w:val="en-AU"/>
              </w:rPr>
            </w:pPr>
            <w:r w:rsidRPr="00593750">
              <w:rPr>
                <w:rFonts w:ascii="Arial Narrow" w:hAnsi="Arial Narrow" w:cstheme="minorBidi"/>
                <w:b/>
                <w:sz w:val="20"/>
                <w:lang w:val="en-AU"/>
              </w:rPr>
              <w:lastRenderedPageBreak/>
              <w:t>Administrative Advice:</w:t>
            </w:r>
          </w:p>
        </w:tc>
        <w:tc>
          <w:tcPr>
            <w:tcW w:w="3791" w:type="pct"/>
          </w:tcPr>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A PASI assessment of the patient's response to this initial PBS-subsidised course of therapy must be conducted within 4 weeks prior to completion of this course of treatment. This assessment, which will be used to determine eligibility for continuing treatment, must be submitted to the Department of Human Services no later than 1 month from the date of completion of this initial course of treatment. Where a response assessment is not undertaken and submitted to the Department of Human Services within these timeframes, the patient will be deemed to have failed to respond to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In circumstances where it is not possible to submit a response assessment within these timeframes, please call the Department of Human Services on 1800 700 270 to discuss.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It is recommended that an application is posted to the Department of Human Services no later than 2 weeks prior to the patient completing their current treatment course to ensure continuity of treatment for those patients who meet the continuation criterion for PBS-subsidised treatment with this drug.</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Any queries concerning the arrangements to prescribe may be directed to the Department of Human Services on 1800 700 270 (hours of operation 8 a.m. to 5 p.m. EST Monday to Friday).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Prescribing information (including Authority Application forms and other relevant documentation as applicable) is available on the Department of Human Services website at www.humanservices.gov.au</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Applications for authority to prescribe should be forwarded to: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Department of Human Services</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Complex Drugs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Reply Paid 9826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HOBART TAS 7001</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No increase in the maximum number of repeats may be authorised</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 xml:space="preserve">No increase in the maximum number of units may </w:t>
            </w:r>
            <w:r>
              <w:rPr>
                <w:rFonts w:ascii="Arial Narrow" w:hAnsi="Arial Narrow" w:cstheme="minorBidi"/>
                <w:sz w:val="20"/>
                <w:lang w:val="en-AU"/>
              </w:rPr>
              <w:t xml:space="preserve">be </w:t>
            </w:r>
            <w:r w:rsidRPr="008162D9">
              <w:rPr>
                <w:rFonts w:ascii="Arial Narrow" w:hAnsi="Arial Narrow" w:cstheme="minorBidi"/>
                <w:sz w:val="20"/>
                <w:lang w:val="en-AU"/>
              </w:rPr>
              <w:t xml:space="preserve">authorised. </w:t>
            </w:r>
          </w:p>
          <w:p w:rsidR="00C20D8C" w:rsidRPr="008162D9" w:rsidRDefault="00C20D8C" w:rsidP="005705D2">
            <w:pPr>
              <w:widowControl/>
              <w:spacing w:before="40" w:after="40"/>
              <w:rPr>
                <w:rFonts w:ascii="Arial Narrow" w:hAnsi="Arial Narrow" w:cstheme="minorBidi"/>
                <w:sz w:val="20"/>
                <w:lang w:val="en-AU"/>
              </w:rPr>
            </w:pPr>
            <w:r w:rsidRPr="008162D9">
              <w:rPr>
                <w:rFonts w:ascii="Arial Narrow" w:hAnsi="Arial Narrow" w:cstheme="minorBidi"/>
                <w:sz w:val="20"/>
                <w:lang w:val="en-AU"/>
              </w:rPr>
              <w:t>Special Pricing Arrangements apply.</w:t>
            </w:r>
          </w:p>
        </w:tc>
      </w:tr>
    </w:tbl>
    <w:p w:rsidR="00C20D8C" w:rsidRPr="008162D9" w:rsidRDefault="00C20D8C" w:rsidP="00C20D8C">
      <w:pPr>
        <w:pStyle w:val="PBACHeading1"/>
        <w:rPr>
          <w:rStyle w:val="CommentReference"/>
          <w:rFonts w:ascii="Calibri" w:hAnsi="Calibri"/>
          <w:sz w:val="24"/>
          <w:szCs w:val="22"/>
        </w:rPr>
      </w:pPr>
    </w:p>
    <w:p w:rsidR="002043DD" w:rsidRPr="002043DD" w:rsidRDefault="002043DD" w:rsidP="00334B6C">
      <w:pPr>
        <w:pStyle w:val="PBACHeading1"/>
        <w:numPr>
          <w:ilvl w:val="0"/>
          <w:numId w:val="36"/>
        </w:numPr>
        <w:spacing w:before="240" w:after="120"/>
        <w:outlineLvl w:val="0"/>
        <w:rPr>
          <w:rFonts w:asciiTheme="minorHAnsi" w:hAnsiTheme="minorHAnsi"/>
          <w:szCs w:val="32"/>
        </w:rPr>
      </w:pPr>
      <w:r w:rsidRPr="002043DD">
        <w:rPr>
          <w:rFonts w:asciiTheme="minorHAnsi" w:hAnsiTheme="minorHAnsi"/>
          <w:szCs w:val="32"/>
        </w:rPr>
        <w:t>Context for Decision</w:t>
      </w:r>
    </w:p>
    <w:p w:rsidR="002043DD" w:rsidRPr="002043DD" w:rsidRDefault="002043DD" w:rsidP="002043DD">
      <w:pPr>
        <w:widowControl/>
        <w:spacing w:line="276" w:lineRule="auto"/>
        <w:rPr>
          <w:rFonts w:asciiTheme="minorHAnsi" w:eastAsiaTheme="minorHAnsi" w:hAnsiTheme="minorHAnsi"/>
          <w:snapToGrid/>
        </w:rPr>
      </w:pPr>
      <w:r w:rsidRPr="002043DD">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043DD" w:rsidRDefault="002043DD" w:rsidP="00334B6C">
      <w:pPr>
        <w:pStyle w:val="PBACHeading1"/>
        <w:numPr>
          <w:ilvl w:val="0"/>
          <w:numId w:val="36"/>
        </w:numPr>
        <w:spacing w:before="240" w:after="120"/>
        <w:outlineLvl w:val="0"/>
        <w:rPr>
          <w:rFonts w:asciiTheme="minorHAnsi" w:hAnsiTheme="minorHAnsi"/>
          <w:szCs w:val="32"/>
        </w:rPr>
      </w:pPr>
      <w:r>
        <w:rPr>
          <w:rFonts w:asciiTheme="minorHAnsi" w:hAnsiTheme="minorHAnsi"/>
          <w:szCs w:val="32"/>
        </w:rPr>
        <w:t xml:space="preserve">Sponsor’s Comment </w:t>
      </w:r>
    </w:p>
    <w:p w:rsidR="0077452E" w:rsidRPr="00342143" w:rsidRDefault="002043DD" w:rsidP="00342143">
      <w:pPr>
        <w:spacing w:after="120"/>
        <w:ind w:left="426"/>
        <w:rPr>
          <w:rFonts w:asciiTheme="minorHAnsi" w:hAnsiTheme="minorHAnsi"/>
          <w:bCs/>
        </w:rPr>
      </w:pPr>
      <w:r w:rsidRPr="00C07617">
        <w:rPr>
          <w:rFonts w:asciiTheme="minorHAnsi" w:hAnsiTheme="minorHAnsi"/>
          <w:bCs/>
        </w:rPr>
        <w:t>The sponsor had no comment.</w:t>
      </w:r>
    </w:p>
    <w:sectPr w:rsidR="0077452E" w:rsidRPr="00342143" w:rsidSect="001E084D">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1440"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4FBEEE" w15:done="0"/>
  <w15:commentEx w15:paraId="3142F8A5" w15:done="0"/>
  <w15:commentEx w15:paraId="7A4FCF5A" w15:paraIdParent="3142F8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DE" w:rsidRDefault="000565DE" w:rsidP="00124A51">
      <w:r>
        <w:separator/>
      </w:r>
    </w:p>
    <w:p w:rsidR="000565DE" w:rsidRDefault="000565DE"/>
  </w:endnote>
  <w:endnote w:type="continuationSeparator" w:id="0">
    <w:p w:rsidR="000565DE" w:rsidRDefault="000565DE" w:rsidP="00124A51">
      <w:r>
        <w:continuationSeparator/>
      </w:r>
    </w:p>
    <w:p w:rsidR="000565DE" w:rsidRDefault="000565DE"/>
  </w:endnote>
  <w:endnote w:type="continuationNotice" w:id="1">
    <w:p w:rsidR="000565DE" w:rsidRDefault="00056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DE" w:rsidRDefault="00056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36779939"/>
      <w:docPartObj>
        <w:docPartGallery w:val="Page Numbers (Bottom of Page)"/>
        <w:docPartUnique/>
      </w:docPartObj>
    </w:sdtPr>
    <w:sdtEndPr>
      <w:rPr>
        <w:noProof/>
      </w:rPr>
    </w:sdtEndPr>
    <w:sdtContent>
      <w:p w:rsidR="000565DE" w:rsidRPr="00C61A29" w:rsidRDefault="000565DE">
        <w:pPr>
          <w:pStyle w:val="Footer"/>
          <w:jc w:val="center"/>
          <w:rPr>
            <w:b/>
          </w:rPr>
        </w:pPr>
        <w:r w:rsidRPr="00C61A29">
          <w:rPr>
            <w:b/>
          </w:rPr>
          <w:fldChar w:fldCharType="begin"/>
        </w:r>
        <w:r w:rsidRPr="00C61A29">
          <w:rPr>
            <w:b/>
          </w:rPr>
          <w:instrText xml:space="preserve"> PAGE   \* MERGEFORMAT </w:instrText>
        </w:r>
        <w:r w:rsidRPr="00C61A29">
          <w:rPr>
            <w:b/>
          </w:rPr>
          <w:fldChar w:fldCharType="separate"/>
        </w:r>
        <w:r w:rsidR="00334B6C">
          <w:rPr>
            <w:b/>
            <w:noProof/>
          </w:rPr>
          <w:t>28</w:t>
        </w:r>
        <w:r w:rsidRPr="00C61A29">
          <w:rPr>
            <w:b/>
            <w:noProof/>
          </w:rPr>
          <w:fldChar w:fldCharType="end"/>
        </w:r>
      </w:p>
    </w:sdtContent>
  </w:sdt>
  <w:p w:rsidR="000565DE" w:rsidRPr="00A765E4" w:rsidRDefault="000565DE" w:rsidP="00DC6DAC">
    <w:pPr>
      <w:pStyle w:val="Footer"/>
      <w:jc w:val="center"/>
      <w:rPr>
        <w:rFonts w:asciiTheme="minorHAnsi" w:hAnsiTheme="minorHAnsi"/>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DE" w:rsidRDefault="00056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DE" w:rsidRDefault="000565DE" w:rsidP="00124A51">
      <w:r>
        <w:separator/>
      </w:r>
    </w:p>
    <w:p w:rsidR="000565DE" w:rsidRDefault="000565DE"/>
  </w:footnote>
  <w:footnote w:type="continuationSeparator" w:id="0">
    <w:p w:rsidR="000565DE" w:rsidRDefault="000565DE" w:rsidP="00124A51">
      <w:r>
        <w:continuationSeparator/>
      </w:r>
    </w:p>
    <w:p w:rsidR="000565DE" w:rsidRDefault="000565DE"/>
  </w:footnote>
  <w:footnote w:type="continuationNotice" w:id="1">
    <w:p w:rsidR="000565DE" w:rsidRDefault="000565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DE" w:rsidRDefault="00056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DE" w:rsidRPr="00F90A91" w:rsidRDefault="000565DE" w:rsidP="00C61A29">
    <w:pPr>
      <w:pStyle w:val="Header"/>
      <w:ind w:left="360"/>
      <w:jc w:val="center"/>
      <w:rPr>
        <w:rFonts w:asciiTheme="minorHAnsi" w:hAnsiTheme="minorHAnsi"/>
        <w:i/>
        <w:color w:val="808080"/>
        <w:sz w:val="22"/>
      </w:rPr>
    </w:pPr>
    <w:r>
      <w:rPr>
        <w:rFonts w:asciiTheme="minorHAnsi" w:hAnsiTheme="minorHAnsi"/>
        <w:i/>
        <w:color w:val="808080"/>
        <w:sz w:val="22"/>
      </w:rPr>
      <w:t xml:space="preserve">Public Summary Document </w:t>
    </w:r>
    <w:r w:rsidRPr="00F90A91">
      <w:rPr>
        <w:rFonts w:asciiTheme="minorHAnsi" w:hAnsiTheme="minorHAnsi"/>
        <w:i/>
        <w:color w:val="808080"/>
        <w:sz w:val="22"/>
      </w:rPr>
      <w:t xml:space="preserve">– </w:t>
    </w:r>
    <w:r>
      <w:rPr>
        <w:rFonts w:asciiTheme="minorHAnsi" w:hAnsiTheme="minorHAnsi"/>
        <w:i/>
        <w:color w:val="808080"/>
        <w:sz w:val="22"/>
      </w:rPr>
      <w:t>March 2018</w:t>
    </w:r>
    <w:r w:rsidRPr="00F90A91">
      <w:rPr>
        <w:rFonts w:asciiTheme="minorHAnsi" w:hAnsiTheme="minorHAnsi"/>
        <w:i/>
        <w:color w:val="808080"/>
        <w:sz w:val="22"/>
      </w:rPr>
      <w:t xml:space="preserve"> PBAC Meeting</w:t>
    </w:r>
  </w:p>
  <w:p w:rsidR="000565DE" w:rsidRPr="00C61A29" w:rsidRDefault="000565DE" w:rsidP="00C61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DE" w:rsidRDefault="00056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636480"/>
    <w:multiLevelType w:val="hybridMultilevel"/>
    <w:tmpl w:val="A1002F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77372A"/>
    <w:multiLevelType w:val="hybridMultilevel"/>
    <w:tmpl w:val="F9BC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EC189D"/>
    <w:multiLevelType w:val="hybridMultilevel"/>
    <w:tmpl w:val="07907A94"/>
    <w:lvl w:ilvl="0" w:tplc="72D4C0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7C2774"/>
    <w:multiLevelType w:val="multilevel"/>
    <w:tmpl w:val="46941758"/>
    <w:lvl w:ilvl="0">
      <w:start w:val="13"/>
      <w:numFmt w:val="decimal"/>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131B3F"/>
    <w:multiLevelType w:val="hybridMultilevel"/>
    <w:tmpl w:val="CCBCDB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9052E2F"/>
    <w:multiLevelType w:val="hybridMultilevel"/>
    <w:tmpl w:val="F938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E323409"/>
    <w:multiLevelType w:val="hybridMultilevel"/>
    <w:tmpl w:val="9C109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E7A0775"/>
    <w:multiLevelType w:val="hybridMultilevel"/>
    <w:tmpl w:val="7720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6373E9"/>
    <w:multiLevelType w:val="hybridMultilevel"/>
    <w:tmpl w:val="0A34B5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AE718E"/>
    <w:multiLevelType w:val="hybridMultilevel"/>
    <w:tmpl w:val="F9D645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7051A7"/>
    <w:multiLevelType w:val="hybridMultilevel"/>
    <w:tmpl w:val="5CC09A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2C4FDC"/>
    <w:multiLevelType w:val="hybridMultilevel"/>
    <w:tmpl w:val="E15C2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FD7E79"/>
    <w:multiLevelType w:val="hybridMultilevel"/>
    <w:tmpl w:val="9A5653A0"/>
    <w:lvl w:ilvl="0" w:tplc="0C090001">
      <w:start w:val="1"/>
      <w:numFmt w:val="bullet"/>
      <w:lvlText w:val=""/>
      <w:lvlJc w:val="left"/>
      <w:pPr>
        <w:ind w:left="376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1E4477"/>
    <w:multiLevelType w:val="hybridMultilevel"/>
    <w:tmpl w:val="7D7A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0F65F4"/>
    <w:multiLevelType w:val="hybridMultilevel"/>
    <w:tmpl w:val="1E82E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BC43BF"/>
    <w:multiLevelType w:val="hybridMultilevel"/>
    <w:tmpl w:val="948A1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A70B2E"/>
    <w:multiLevelType w:val="hybridMultilevel"/>
    <w:tmpl w:val="9BBAA06E"/>
    <w:lvl w:ilvl="0" w:tplc="14AEA0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A73568"/>
    <w:multiLevelType w:val="hybridMultilevel"/>
    <w:tmpl w:val="94783DFE"/>
    <w:lvl w:ilvl="0" w:tplc="6108DB88">
      <w:start w:val="1"/>
      <w:numFmt w:val="bullet"/>
      <w:lvlText w:val=""/>
      <w:lvlJc w:val="left"/>
      <w:pPr>
        <w:tabs>
          <w:tab w:val="num" w:pos="360"/>
        </w:tabs>
        <w:ind w:left="360" w:hanging="360"/>
      </w:pPr>
      <w:rPr>
        <w:rFonts w:ascii="Symbol" w:hAnsi="Symbol" w:hint="default"/>
      </w:rPr>
    </w:lvl>
    <w:lvl w:ilvl="1" w:tplc="BE020434">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227EDD"/>
    <w:multiLevelType w:val="hybridMultilevel"/>
    <w:tmpl w:val="72FA6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EA6E1C"/>
    <w:multiLevelType w:val="hybridMultilevel"/>
    <w:tmpl w:val="0324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845F92"/>
    <w:multiLevelType w:val="hybridMultilevel"/>
    <w:tmpl w:val="4D44A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1C0D9C"/>
    <w:multiLevelType w:val="hybridMultilevel"/>
    <w:tmpl w:val="A04CE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AA59C6"/>
    <w:multiLevelType w:val="hybridMultilevel"/>
    <w:tmpl w:val="7958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F56954"/>
    <w:multiLevelType w:val="multilevel"/>
    <w:tmpl w:val="46BE3F54"/>
    <w:lvl w:ilvl="0">
      <w:start w:val="10"/>
      <w:numFmt w:val="decimal"/>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1A37CEB"/>
    <w:multiLevelType w:val="hybridMultilevel"/>
    <w:tmpl w:val="424A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3401AA"/>
    <w:multiLevelType w:val="hybridMultilevel"/>
    <w:tmpl w:val="1F742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F5291C"/>
    <w:multiLevelType w:val="hybridMultilevel"/>
    <w:tmpl w:val="9E14FE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7763625C"/>
    <w:multiLevelType w:val="hybridMultilevel"/>
    <w:tmpl w:val="DA765F1C"/>
    <w:lvl w:ilvl="0" w:tplc="A3543DA2">
      <w:start w:val="5"/>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0DFE4410"/>
    <w:lvl w:ilvl="0">
      <w:start w:val="1"/>
      <w:numFmt w:val="decimal"/>
      <w:pStyle w:val="Heading1"/>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BA2591"/>
    <w:multiLevelType w:val="hybridMultilevel"/>
    <w:tmpl w:val="B5DC72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5"/>
  </w:num>
  <w:num w:numId="3">
    <w:abstractNumId w:val="35"/>
  </w:num>
  <w:num w:numId="4">
    <w:abstractNumId w:val="24"/>
  </w:num>
  <w:num w:numId="5">
    <w:abstractNumId w:val="7"/>
  </w:num>
  <w:num w:numId="6">
    <w:abstractNumId w:val="2"/>
  </w:num>
  <w:num w:numId="7">
    <w:abstractNumId w:val="28"/>
  </w:num>
  <w:num w:numId="8">
    <w:abstractNumId w:val="34"/>
  </w:num>
  <w:num w:numId="9">
    <w:abstractNumId w:val="9"/>
  </w:num>
  <w:num w:numId="10">
    <w:abstractNumId w:val="20"/>
  </w:num>
  <w:num w:numId="11">
    <w:abstractNumId w:val="3"/>
  </w:num>
  <w:num w:numId="12">
    <w:abstractNumId w:val="13"/>
  </w:num>
  <w:num w:numId="13">
    <w:abstractNumId w:val="31"/>
  </w:num>
  <w:num w:numId="14">
    <w:abstractNumId w:val="10"/>
  </w:num>
  <w:num w:numId="15">
    <w:abstractNumId w:val="17"/>
  </w:num>
  <w:num w:numId="16">
    <w:abstractNumId w:val="25"/>
  </w:num>
  <w:num w:numId="17">
    <w:abstractNumId w:val="19"/>
  </w:num>
  <w:num w:numId="18">
    <w:abstractNumId w:val="23"/>
  </w:num>
  <w:num w:numId="19">
    <w:abstractNumId w:val="29"/>
  </w:num>
  <w:num w:numId="20">
    <w:abstractNumId w:val="11"/>
  </w:num>
  <w:num w:numId="21">
    <w:abstractNumId w:val="22"/>
  </w:num>
  <w:num w:numId="22">
    <w:abstractNumId w:val="1"/>
  </w:num>
  <w:num w:numId="23">
    <w:abstractNumId w:val="27"/>
  </w:num>
  <w:num w:numId="24">
    <w:abstractNumId w:val="16"/>
  </w:num>
  <w:num w:numId="25">
    <w:abstractNumId w:val="6"/>
  </w:num>
  <w:num w:numId="26">
    <w:abstractNumId w:val="33"/>
  </w:num>
  <w:num w:numId="27">
    <w:abstractNumId w:val="15"/>
  </w:num>
  <w:num w:numId="28">
    <w:abstractNumId w:val="36"/>
  </w:num>
  <w:num w:numId="29">
    <w:abstractNumId w:val="18"/>
  </w:num>
  <w:num w:numId="30">
    <w:abstractNumId w:val="12"/>
  </w:num>
  <w:num w:numId="31">
    <w:abstractNumId w:val="32"/>
  </w:num>
  <w:num w:numId="32">
    <w:abstractNumId w:val="26"/>
  </w:num>
  <w:num w:numId="33">
    <w:abstractNumId w:val="8"/>
  </w:num>
  <w:num w:numId="34">
    <w:abstractNumId w:val="0"/>
  </w:num>
  <w:num w:numId="35">
    <w:abstractNumId w:val="14"/>
  </w:num>
  <w:num w:numId="36">
    <w:abstractNumId w:val="30"/>
  </w:num>
  <w:num w:numId="3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Newby">
    <w15:presenceInfo w15:providerId="None" w15:userId="David New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6"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MX"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de-DE" w:vendorID="64" w:dllVersion="4096" w:nlCheck="1" w:checkStyle="0"/>
  <w:activeWritingStyle w:appName="MSWord" w:lang="en-AU"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oNotTrackFormatting/>
  <w:defaultTabStop w:val="17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120"/>
    <w:rsid w:val="00000355"/>
    <w:rsid w:val="00000790"/>
    <w:rsid w:val="00000C19"/>
    <w:rsid w:val="000010F6"/>
    <w:rsid w:val="0000110B"/>
    <w:rsid w:val="00001162"/>
    <w:rsid w:val="000014E6"/>
    <w:rsid w:val="00001854"/>
    <w:rsid w:val="00001C46"/>
    <w:rsid w:val="00001D34"/>
    <w:rsid w:val="00001EB1"/>
    <w:rsid w:val="000020A8"/>
    <w:rsid w:val="00002172"/>
    <w:rsid w:val="0000278A"/>
    <w:rsid w:val="00002852"/>
    <w:rsid w:val="00003222"/>
    <w:rsid w:val="00003499"/>
    <w:rsid w:val="000039B7"/>
    <w:rsid w:val="000040FE"/>
    <w:rsid w:val="0000489A"/>
    <w:rsid w:val="00005B3E"/>
    <w:rsid w:val="00005EAD"/>
    <w:rsid w:val="000062E4"/>
    <w:rsid w:val="00006810"/>
    <w:rsid w:val="00007C27"/>
    <w:rsid w:val="00010342"/>
    <w:rsid w:val="000113D4"/>
    <w:rsid w:val="00011B8F"/>
    <w:rsid w:val="00012A5D"/>
    <w:rsid w:val="00013148"/>
    <w:rsid w:val="00013247"/>
    <w:rsid w:val="000134F9"/>
    <w:rsid w:val="000137A2"/>
    <w:rsid w:val="00013ED7"/>
    <w:rsid w:val="000141E7"/>
    <w:rsid w:val="0001444F"/>
    <w:rsid w:val="0001450E"/>
    <w:rsid w:val="0001464B"/>
    <w:rsid w:val="00014A37"/>
    <w:rsid w:val="00014AC2"/>
    <w:rsid w:val="00014F89"/>
    <w:rsid w:val="000151CB"/>
    <w:rsid w:val="0001552D"/>
    <w:rsid w:val="00015886"/>
    <w:rsid w:val="000162EF"/>
    <w:rsid w:val="00016428"/>
    <w:rsid w:val="00016820"/>
    <w:rsid w:val="00017E71"/>
    <w:rsid w:val="0002039B"/>
    <w:rsid w:val="000203DB"/>
    <w:rsid w:val="000208A8"/>
    <w:rsid w:val="00020944"/>
    <w:rsid w:val="0002225F"/>
    <w:rsid w:val="00022554"/>
    <w:rsid w:val="00022573"/>
    <w:rsid w:val="00023413"/>
    <w:rsid w:val="00023763"/>
    <w:rsid w:val="00024549"/>
    <w:rsid w:val="00024ED5"/>
    <w:rsid w:val="0002563A"/>
    <w:rsid w:val="0002588E"/>
    <w:rsid w:val="0002594F"/>
    <w:rsid w:val="00025EBF"/>
    <w:rsid w:val="00026B93"/>
    <w:rsid w:val="00026DDF"/>
    <w:rsid w:val="00027404"/>
    <w:rsid w:val="000278C3"/>
    <w:rsid w:val="00027C68"/>
    <w:rsid w:val="00027D98"/>
    <w:rsid w:val="00030F29"/>
    <w:rsid w:val="00031612"/>
    <w:rsid w:val="000320AA"/>
    <w:rsid w:val="00032174"/>
    <w:rsid w:val="00032A4A"/>
    <w:rsid w:val="00032C50"/>
    <w:rsid w:val="000331C7"/>
    <w:rsid w:val="000333FA"/>
    <w:rsid w:val="00033863"/>
    <w:rsid w:val="00034037"/>
    <w:rsid w:val="000341E4"/>
    <w:rsid w:val="0003468B"/>
    <w:rsid w:val="0003527D"/>
    <w:rsid w:val="000355F7"/>
    <w:rsid w:val="00035C7C"/>
    <w:rsid w:val="00035DC0"/>
    <w:rsid w:val="00036829"/>
    <w:rsid w:val="00036A2C"/>
    <w:rsid w:val="00036A45"/>
    <w:rsid w:val="00040601"/>
    <w:rsid w:val="00040895"/>
    <w:rsid w:val="000412D5"/>
    <w:rsid w:val="000413EE"/>
    <w:rsid w:val="00042268"/>
    <w:rsid w:val="000426FD"/>
    <w:rsid w:val="00043C37"/>
    <w:rsid w:val="00043CD4"/>
    <w:rsid w:val="00043FC9"/>
    <w:rsid w:val="00045017"/>
    <w:rsid w:val="00045374"/>
    <w:rsid w:val="000454C1"/>
    <w:rsid w:val="00045A2B"/>
    <w:rsid w:val="00046854"/>
    <w:rsid w:val="0004689B"/>
    <w:rsid w:val="0004698F"/>
    <w:rsid w:val="0004707E"/>
    <w:rsid w:val="00050522"/>
    <w:rsid w:val="00050999"/>
    <w:rsid w:val="00050D9D"/>
    <w:rsid w:val="00051D42"/>
    <w:rsid w:val="00052584"/>
    <w:rsid w:val="00052EC0"/>
    <w:rsid w:val="00053042"/>
    <w:rsid w:val="000538F6"/>
    <w:rsid w:val="000539D0"/>
    <w:rsid w:val="00053A80"/>
    <w:rsid w:val="00053B60"/>
    <w:rsid w:val="00054262"/>
    <w:rsid w:val="00054621"/>
    <w:rsid w:val="000546D7"/>
    <w:rsid w:val="000559D1"/>
    <w:rsid w:val="00055CC7"/>
    <w:rsid w:val="00055CDF"/>
    <w:rsid w:val="000565DE"/>
    <w:rsid w:val="000569D1"/>
    <w:rsid w:val="00057126"/>
    <w:rsid w:val="00057557"/>
    <w:rsid w:val="00057EC5"/>
    <w:rsid w:val="00060849"/>
    <w:rsid w:val="0006102C"/>
    <w:rsid w:val="000620C6"/>
    <w:rsid w:val="00062D7A"/>
    <w:rsid w:val="0006334E"/>
    <w:rsid w:val="000635F0"/>
    <w:rsid w:val="00063780"/>
    <w:rsid w:val="00063CE9"/>
    <w:rsid w:val="00063F38"/>
    <w:rsid w:val="00064617"/>
    <w:rsid w:val="000646C1"/>
    <w:rsid w:val="000648F1"/>
    <w:rsid w:val="0006527E"/>
    <w:rsid w:val="000653D1"/>
    <w:rsid w:val="00065C74"/>
    <w:rsid w:val="00065CB2"/>
    <w:rsid w:val="00065D3D"/>
    <w:rsid w:val="00066360"/>
    <w:rsid w:val="00067072"/>
    <w:rsid w:val="00067537"/>
    <w:rsid w:val="00071248"/>
    <w:rsid w:val="000720B9"/>
    <w:rsid w:val="00072225"/>
    <w:rsid w:val="00073406"/>
    <w:rsid w:val="000736FF"/>
    <w:rsid w:val="000737F7"/>
    <w:rsid w:val="00073D02"/>
    <w:rsid w:val="00075B95"/>
    <w:rsid w:val="0007657F"/>
    <w:rsid w:val="000765FC"/>
    <w:rsid w:val="0007672F"/>
    <w:rsid w:val="000774F0"/>
    <w:rsid w:val="000778D0"/>
    <w:rsid w:val="00080454"/>
    <w:rsid w:val="00080909"/>
    <w:rsid w:val="00080D27"/>
    <w:rsid w:val="000812CA"/>
    <w:rsid w:val="00081543"/>
    <w:rsid w:val="00081AFC"/>
    <w:rsid w:val="00081EE0"/>
    <w:rsid w:val="0008258D"/>
    <w:rsid w:val="00082D52"/>
    <w:rsid w:val="0008303E"/>
    <w:rsid w:val="00083A5D"/>
    <w:rsid w:val="00083B9A"/>
    <w:rsid w:val="00083E99"/>
    <w:rsid w:val="0008415B"/>
    <w:rsid w:val="00084C0B"/>
    <w:rsid w:val="00084DAD"/>
    <w:rsid w:val="00084E61"/>
    <w:rsid w:val="0008519E"/>
    <w:rsid w:val="000856C5"/>
    <w:rsid w:val="000857C7"/>
    <w:rsid w:val="00085AAE"/>
    <w:rsid w:val="00085EF9"/>
    <w:rsid w:val="00086617"/>
    <w:rsid w:val="000869B5"/>
    <w:rsid w:val="00087273"/>
    <w:rsid w:val="000876EC"/>
    <w:rsid w:val="00087797"/>
    <w:rsid w:val="00087D81"/>
    <w:rsid w:val="0009048E"/>
    <w:rsid w:val="00090C7E"/>
    <w:rsid w:val="000913C7"/>
    <w:rsid w:val="00091792"/>
    <w:rsid w:val="00091F7C"/>
    <w:rsid w:val="00092600"/>
    <w:rsid w:val="0009262B"/>
    <w:rsid w:val="00092BED"/>
    <w:rsid w:val="00092FC6"/>
    <w:rsid w:val="00093310"/>
    <w:rsid w:val="0009445C"/>
    <w:rsid w:val="0009491E"/>
    <w:rsid w:val="00094FDC"/>
    <w:rsid w:val="00095FE5"/>
    <w:rsid w:val="000961A6"/>
    <w:rsid w:val="00096284"/>
    <w:rsid w:val="000975C2"/>
    <w:rsid w:val="00097D54"/>
    <w:rsid w:val="00097F58"/>
    <w:rsid w:val="000A02F8"/>
    <w:rsid w:val="000A03BE"/>
    <w:rsid w:val="000A0D77"/>
    <w:rsid w:val="000A0E8E"/>
    <w:rsid w:val="000A1064"/>
    <w:rsid w:val="000A18EB"/>
    <w:rsid w:val="000A1C7A"/>
    <w:rsid w:val="000A4CB3"/>
    <w:rsid w:val="000A5661"/>
    <w:rsid w:val="000A5BBE"/>
    <w:rsid w:val="000A6BF4"/>
    <w:rsid w:val="000A6CB6"/>
    <w:rsid w:val="000A7D08"/>
    <w:rsid w:val="000B02D4"/>
    <w:rsid w:val="000B0670"/>
    <w:rsid w:val="000B0B27"/>
    <w:rsid w:val="000B0B77"/>
    <w:rsid w:val="000B0E75"/>
    <w:rsid w:val="000B1175"/>
    <w:rsid w:val="000B163C"/>
    <w:rsid w:val="000B19C7"/>
    <w:rsid w:val="000B2278"/>
    <w:rsid w:val="000B2290"/>
    <w:rsid w:val="000B2C5E"/>
    <w:rsid w:val="000B3DFB"/>
    <w:rsid w:val="000B4710"/>
    <w:rsid w:val="000B4742"/>
    <w:rsid w:val="000B5430"/>
    <w:rsid w:val="000B544F"/>
    <w:rsid w:val="000B5737"/>
    <w:rsid w:val="000B6CAC"/>
    <w:rsid w:val="000B7612"/>
    <w:rsid w:val="000C1237"/>
    <w:rsid w:val="000C1C42"/>
    <w:rsid w:val="000C1CBC"/>
    <w:rsid w:val="000C2A38"/>
    <w:rsid w:val="000C3DF9"/>
    <w:rsid w:val="000C43C3"/>
    <w:rsid w:val="000C4552"/>
    <w:rsid w:val="000C4B38"/>
    <w:rsid w:val="000C5623"/>
    <w:rsid w:val="000C6713"/>
    <w:rsid w:val="000C6DDF"/>
    <w:rsid w:val="000C7763"/>
    <w:rsid w:val="000C7C47"/>
    <w:rsid w:val="000D0844"/>
    <w:rsid w:val="000D0D38"/>
    <w:rsid w:val="000D1BFC"/>
    <w:rsid w:val="000D1F6E"/>
    <w:rsid w:val="000D2768"/>
    <w:rsid w:val="000D281A"/>
    <w:rsid w:val="000D2B8E"/>
    <w:rsid w:val="000D326A"/>
    <w:rsid w:val="000D3CF1"/>
    <w:rsid w:val="000D4116"/>
    <w:rsid w:val="000D41B5"/>
    <w:rsid w:val="000D4785"/>
    <w:rsid w:val="000D4E61"/>
    <w:rsid w:val="000D51FB"/>
    <w:rsid w:val="000D553E"/>
    <w:rsid w:val="000E0676"/>
    <w:rsid w:val="000E10B6"/>
    <w:rsid w:val="000E135D"/>
    <w:rsid w:val="000E2078"/>
    <w:rsid w:val="000E3119"/>
    <w:rsid w:val="000E377B"/>
    <w:rsid w:val="000E3F12"/>
    <w:rsid w:val="000E4735"/>
    <w:rsid w:val="000E4757"/>
    <w:rsid w:val="000E52DF"/>
    <w:rsid w:val="000E53BA"/>
    <w:rsid w:val="000E5741"/>
    <w:rsid w:val="000E6576"/>
    <w:rsid w:val="000E6688"/>
    <w:rsid w:val="000E68B0"/>
    <w:rsid w:val="000F00BA"/>
    <w:rsid w:val="000F018D"/>
    <w:rsid w:val="000F0A31"/>
    <w:rsid w:val="000F0D0D"/>
    <w:rsid w:val="000F316A"/>
    <w:rsid w:val="000F3629"/>
    <w:rsid w:val="000F381A"/>
    <w:rsid w:val="000F3C74"/>
    <w:rsid w:val="000F4147"/>
    <w:rsid w:val="000F4BB8"/>
    <w:rsid w:val="000F5036"/>
    <w:rsid w:val="000F577C"/>
    <w:rsid w:val="000F64CC"/>
    <w:rsid w:val="000F6B19"/>
    <w:rsid w:val="000F7127"/>
    <w:rsid w:val="000F79D4"/>
    <w:rsid w:val="000F79FB"/>
    <w:rsid w:val="000F7AAF"/>
    <w:rsid w:val="000F7CCC"/>
    <w:rsid w:val="001004F9"/>
    <w:rsid w:val="0010065E"/>
    <w:rsid w:val="00100F8A"/>
    <w:rsid w:val="0010180B"/>
    <w:rsid w:val="001024DA"/>
    <w:rsid w:val="0010273B"/>
    <w:rsid w:val="00102A26"/>
    <w:rsid w:val="001034F8"/>
    <w:rsid w:val="001044B4"/>
    <w:rsid w:val="00104CF0"/>
    <w:rsid w:val="0010548B"/>
    <w:rsid w:val="00105641"/>
    <w:rsid w:val="00105AE2"/>
    <w:rsid w:val="001069DC"/>
    <w:rsid w:val="00106B80"/>
    <w:rsid w:val="00107071"/>
    <w:rsid w:val="00107152"/>
    <w:rsid w:val="001071AC"/>
    <w:rsid w:val="00107A87"/>
    <w:rsid w:val="00107C1B"/>
    <w:rsid w:val="00110215"/>
    <w:rsid w:val="0011032E"/>
    <w:rsid w:val="00111483"/>
    <w:rsid w:val="0011200F"/>
    <w:rsid w:val="001124CE"/>
    <w:rsid w:val="00113060"/>
    <w:rsid w:val="00113288"/>
    <w:rsid w:val="0011348B"/>
    <w:rsid w:val="0011367F"/>
    <w:rsid w:val="001136D2"/>
    <w:rsid w:val="00113D33"/>
    <w:rsid w:val="001140B2"/>
    <w:rsid w:val="001143C8"/>
    <w:rsid w:val="00114AB8"/>
    <w:rsid w:val="00115982"/>
    <w:rsid w:val="00115D82"/>
    <w:rsid w:val="00116033"/>
    <w:rsid w:val="00116C53"/>
    <w:rsid w:val="001174F4"/>
    <w:rsid w:val="001178A8"/>
    <w:rsid w:val="00117F0D"/>
    <w:rsid w:val="00121799"/>
    <w:rsid w:val="001222FC"/>
    <w:rsid w:val="001223D7"/>
    <w:rsid w:val="00122CC4"/>
    <w:rsid w:val="00122DAE"/>
    <w:rsid w:val="00122F35"/>
    <w:rsid w:val="001230E4"/>
    <w:rsid w:val="00123789"/>
    <w:rsid w:val="0012390B"/>
    <w:rsid w:val="00124A51"/>
    <w:rsid w:val="001256F9"/>
    <w:rsid w:val="00125953"/>
    <w:rsid w:val="00126097"/>
    <w:rsid w:val="001263A9"/>
    <w:rsid w:val="00126621"/>
    <w:rsid w:val="00126720"/>
    <w:rsid w:val="00126768"/>
    <w:rsid w:val="0012689D"/>
    <w:rsid w:val="00127866"/>
    <w:rsid w:val="001301E9"/>
    <w:rsid w:val="00130BD1"/>
    <w:rsid w:val="0013154E"/>
    <w:rsid w:val="00131BBC"/>
    <w:rsid w:val="00131D82"/>
    <w:rsid w:val="00131F68"/>
    <w:rsid w:val="00132273"/>
    <w:rsid w:val="00132574"/>
    <w:rsid w:val="00132939"/>
    <w:rsid w:val="00132F4B"/>
    <w:rsid w:val="00133795"/>
    <w:rsid w:val="00133D36"/>
    <w:rsid w:val="00133EEB"/>
    <w:rsid w:val="0013481D"/>
    <w:rsid w:val="00134925"/>
    <w:rsid w:val="0013536F"/>
    <w:rsid w:val="00135687"/>
    <w:rsid w:val="001356B6"/>
    <w:rsid w:val="00136A62"/>
    <w:rsid w:val="00136C36"/>
    <w:rsid w:val="00137001"/>
    <w:rsid w:val="00137113"/>
    <w:rsid w:val="00137645"/>
    <w:rsid w:val="001376AB"/>
    <w:rsid w:val="00137B33"/>
    <w:rsid w:val="0014015A"/>
    <w:rsid w:val="0014088E"/>
    <w:rsid w:val="00140AAF"/>
    <w:rsid w:val="00140B25"/>
    <w:rsid w:val="00140C26"/>
    <w:rsid w:val="00140E99"/>
    <w:rsid w:val="0014119A"/>
    <w:rsid w:val="001418DE"/>
    <w:rsid w:val="00141FDD"/>
    <w:rsid w:val="00142476"/>
    <w:rsid w:val="00142529"/>
    <w:rsid w:val="00142EBE"/>
    <w:rsid w:val="001430C9"/>
    <w:rsid w:val="0014333A"/>
    <w:rsid w:val="00143565"/>
    <w:rsid w:val="00143B70"/>
    <w:rsid w:val="0014492C"/>
    <w:rsid w:val="0014542F"/>
    <w:rsid w:val="00145540"/>
    <w:rsid w:val="001456B0"/>
    <w:rsid w:val="00145914"/>
    <w:rsid w:val="00145B84"/>
    <w:rsid w:val="00146963"/>
    <w:rsid w:val="00146E22"/>
    <w:rsid w:val="00147616"/>
    <w:rsid w:val="00150441"/>
    <w:rsid w:val="00151516"/>
    <w:rsid w:val="00151E80"/>
    <w:rsid w:val="001524E1"/>
    <w:rsid w:val="00152F63"/>
    <w:rsid w:val="0015427A"/>
    <w:rsid w:val="001543D8"/>
    <w:rsid w:val="0015457F"/>
    <w:rsid w:val="00155475"/>
    <w:rsid w:val="0015612E"/>
    <w:rsid w:val="00156389"/>
    <w:rsid w:val="0015639A"/>
    <w:rsid w:val="00157130"/>
    <w:rsid w:val="0015734C"/>
    <w:rsid w:val="001576B1"/>
    <w:rsid w:val="00160A4C"/>
    <w:rsid w:val="00160AC2"/>
    <w:rsid w:val="00160E4F"/>
    <w:rsid w:val="0016285B"/>
    <w:rsid w:val="00162913"/>
    <w:rsid w:val="00162F05"/>
    <w:rsid w:val="00163CDC"/>
    <w:rsid w:val="00163EE8"/>
    <w:rsid w:val="00163EFF"/>
    <w:rsid w:val="00164592"/>
    <w:rsid w:val="00164B62"/>
    <w:rsid w:val="00165179"/>
    <w:rsid w:val="0016554F"/>
    <w:rsid w:val="001661FB"/>
    <w:rsid w:val="0016644B"/>
    <w:rsid w:val="00167C90"/>
    <w:rsid w:val="001702EF"/>
    <w:rsid w:val="00170943"/>
    <w:rsid w:val="00171657"/>
    <w:rsid w:val="00171A1E"/>
    <w:rsid w:val="00171E4D"/>
    <w:rsid w:val="00172340"/>
    <w:rsid w:val="00172465"/>
    <w:rsid w:val="00173565"/>
    <w:rsid w:val="00173646"/>
    <w:rsid w:val="00173B07"/>
    <w:rsid w:val="001741B0"/>
    <w:rsid w:val="00174E44"/>
    <w:rsid w:val="001751E7"/>
    <w:rsid w:val="001752A4"/>
    <w:rsid w:val="001758AB"/>
    <w:rsid w:val="00176C33"/>
    <w:rsid w:val="00176DEB"/>
    <w:rsid w:val="001771B2"/>
    <w:rsid w:val="0017771C"/>
    <w:rsid w:val="001800D9"/>
    <w:rsid w:val="001807F1"/>
    <w:rsid w:val="001809B9"/>
    <w:rsid w:val="00180A59"/>
    <w:rsid w:val="00181D9C"/>
    <w:rsid w:val="00181F08"/>
    <w:rsid w:val="00182161"/>
    <w:rsid w:val="00182FA7"/>
    <w:rsid w:val="00183A05"/>
    <w:rsid w:val="00183D63"/>
    <w:rsid w:val="00184DFB"/>
    <w:rsid w:val="00184F7D"/>
    <w:rsid w:val="001858D7"/>
    <w:rsid w:val="00185D47"/>
    <w:rsid w:val="00186FB7"/>
    <w:rsid w:val="0018752F"/>
    <w:rsid w:val="001876C6"/>
    <w:rsid w:val="00190312"/>
    <w:rsid w:val="001908AA"/>
    <w:rsid w:val="001908B5"/>
    <w:rsid w:val="001908F9"/>
    <w:rsid w:val="00190D32"/>
    <w:rsid w:val="0019132E"/>
    <w:rsid w:val="00191D5E"/>
    <w:rsid w:val="001934B6"/>
    <w:rsid w:val="00194114"/>
    <w:rsid w:val="00195222"/>
    <w:rsid w:val="00195D2F"/>
    <w:rsid w:val="00195EF5"/>
    <w:rsid w:val="00196492"/>
    <w:rsid w:val="00196C11"/>
    <w:rsid w:val="001975D8"/>
    <w:rsid w:val="00197BD2"/>
    <w:rsid w:val="001A0B3F"/>
    <w:rsid w:val="001A1B8F"/>
    <w:rsid w:val="001A2008"/>
    <w:rsid w:val="001A2FEB"/>
    <w:rsid w:val="001A36F4"/>
    <w:rsid w:val="001A39F8"/>
    <w:rsid w:val="001A3CDD"/>
    <w:rsid w:val="001A43FA"/>
    <w:rsid w:val="001A4BA3"/>
    <w:rsid w:val="001A4E85"/>
    <w:rsid w:val="001A59FB"/>
    <w:rsid w:val="001A5F64"/>
    <w:rsid w:val="001A6354"/>
    <w:rsid w:val="001A6891"/>
    <w:rsid w:val="001A6CD1"/>
    <w:rsid w:val="001A7AE8"/>
    <w:rsid w:val="001B010C"/>
    <w:rsid w:val="001B01C6"/>
    <w:rsid w:val="001B05A1"/>
    <w:rsid w:val="001B204E"/>
    <w:rsid w:val="001B2336"/>
    <w:rsid w:val="001B23AB"/>
    <w:rsid w:val="001B24FD"/>
    <w:rsid w:val="001B3443"/>
    <w:rsid w:val="001B4493"/>
    <w:rsid w:val="001B4CDC"/>
    <w:rsid w:val="001B4D20"/>
    <w:rsid w:val="001B5B20"/>
    <w:rsid w:val="001B5C15"/>
    <w:rsid w:val="001B660F"/>
    <w:rsid w:val="001B6977"/>
    <w:rsid w:val="001B69D2"/>
    <w:rsid w:val="001B7F29"/>
    <w:rsid w:val="001C1398"/>
    <w:rsid w:val="001C1A2E"/>
    <w:rsid w:val="001C1EB8"/>
    <w:rsid w:val="001C1FAB"/>
    <w:rsid w:val="001C217B"/>
    <w:rsid w:val="001C22A3"/>
    <w:rsid w:val="001C2A9B"/>
    <w:rsid w:val="001C2C10"/>
    <w:rsid w:val="001C2E89"/>
    <w:rsid w:val="001C3879"/>
    <w:rsid w:val="001C3894"/>
    <w:rsid w:val="001C4299"/>
    <w:rsid w:val="001C48CD"/>
    <w:rsid w:val="001C5F94"/>
    <w:rsid w:val="001C6366"/>
    <w:rsid w:val="001C687A"/>
    <w:rsid w:val="001C6E66"/>
    <w:rsid w:val="001C74B6"/>
    <w:rsid w:val="001D08A1"/>
    <w:rsid w:val="001D09EC"/>
    <w:rsid w:val="001D0B2B"/>
    <w:rsid w:val="001D1D70"/>
    <w:rsid w:val="001D210F"/>
    <w:rsid w:val="001D227B"/>
    <w:rsid w:val="001D2803"/>
    <w:rsid w:val="001D2995"/>
    <w:rsid w:val="001D29EC"/>
    <w:rsid w:val="001D2EB6"/>
    <w:rsid w:val="001D2F0E"/>
    <w:rsid w:val="001D33A6"/>
    <w:rsid w:val="001D4871"/>
    <w:rsid w:val="001D4C0D"/>
    <w:rsid w:val="001D52CB"/>
    <w:rsid w:val="001D5B70"/>
    <w:rsid w:val="001D7B13"/>
    <w:rsid w:val="001D7B6F"/>
    <w:rsid w:val="001D7D52"/>
    <w:rsid w:val="001D7EC5"/>
    <w:rsid w:val="001D7F7C"/>
    <w:rsid w:val="001E0538"/>
    <w:rsid w:val="001E084D"/>
    <w:rsid w:val="001E106D"/>
    <w:rsid w:val="001E238E"/>
    <w:rsid w:val="001E2483"/>
    <w:rsid w:val="001E2827"/>
    <w:rsid w:val="001E2B1E"/>
    <w:rsid w:val="001E2DAB"/>
    <w:rsid w:val="001E2F11"/>
    <w:rsid w:val="001E30D4"/>
    <w:rsid w:val="001E349A"/>
    <w:rsid w:val="001E3C4A"/>
    <w:rsid w:val="001E3E53"/>
    <w:rsid w:val="001E4A50"/>
    <w:rsid w:val="001E4F88"/>
    <w:rsid w:val="001E52EB"/>
    <w:rsid w:val="001E55DD"/>
    <w:rsid w:val="001E60F1"/>
    <w:rsid w:val="001E61D2"/>
    <w:rsid w:val="001E62DE"/>
    <w:rsid w:val="001E7028"/>
    <w:rsid w:val="001E740C"/>
    <w:rsid w:val="001E78A2"/>
    <w:rsid w:val="001E78A9"/>
    <w:rsid w:val="001E79F9"/>
    <w:rsid w:val="001E7F58"/>
    <w:rsid w:val="001F02FE"/>
    <w:rsid w:val="001F0671"/>
    <w:rsid w:val="001F0A79"/>
    <w:rsid w:val="001F0F29"/>
    <w:rsid w:val="001F1235"/>
    <w:rsid w:val="001F1CB3"/>
    <w:rsid w:val="001F211E"/>
    <w:rsid w:val="001F2653"/>
    <w:rsid w:val="001F37FB"/>
    <w:rsid w:val="001F38B5"/>
    <w:rsid w:val="001F398F"/>
    <w:rsid w:val="001F50FA"/>
    <w:rsid w:val="001F5286"/>
    <w:rsid w:val="001F53B1"/>
    <w:rsid w:val="001F5B9D"/>
    <w:rsid w:val="001F5D6E"/>
    <w:rsid w:val="001F689A"/>
    <w:rsid w:val="001F68A8"/>
    <w:rsid w:val="001F7361"/>
    <w:rsid w:val="00200076"/>
    <w:rsid w:val="002011B0"/>
    <w:rsid w:val="00202191"/>
    <w:rsid w:val="002026B5"/>
    <w:rsid w:val="00202AC4"/>
    <w:rsid w:val="00203181"/>
    <w:rsid w:val="00203783"/>
    <w:rsid w:val="0020385F"/>
    <w:rsid w:val="00203FE8"/>
    <w:rsid w:val="002042EE"/>
    <w:rsid w:val="002043DD"/>
    <w:rsid w:val="00204585"/>
    <w:rsid w:val="00204C3B"/>
    <w:rsid w:val="00205321"/>
    <w:rsid w:val="002053F6"/>
    <w:rsid w:val="002054B4"/>
    <w:rsid w:val="0020625E"/>
    <w:rsid w:val="002066F0"/>
    <w:rsid w:val="00206EE7"/>
    <w:rsid w:val="00207021"/>
    <w:rsid w:val="0020732F"/>
    <w:rsid w:val="002073E2"/>
    <w:rsid w:val="002075C4"/>
    <w:rsid w:val="00207D00"/>
    <w:rsid w:val="002101F7"/>
    <w:rsid w:val="002105C1"/>
    <w:rsid w:val="0021095C"/>
    <w:rsid w:val="0021148D"/>
    <w:rsid w:val="00211B52"/>
    <w:rsid w:val="00211BE9"/>
    <w:rsid w:val="00211D35"/>
    <w:rsid w:val="0021258F"/>
    <w:rsid w:val="002133A8"/>
    <w:rsid w:val="002137E5"/>
    <w:rsid w:val="00213CBA"/>
    <w:rsid w:val="00213DCC"/>
    <w:rsid w:val="002140BD"/>
    <w:rsid w:val="00214A25"/>
    <w:rsid w:val="00214AC1"/>
    <w:rsid w:val="00214C42"/>
    <w:rsid w:val="00214CCC"/>
    <w:rsid w:val="00214E68"/>
    <w:rsid w:val="0021552C"/>
    <w:rsid w:val="0021571B"/>
    <w:rsid w:val="00216529"/>
    <w:rsid w:val="00217117"/>
    <w:rsid w:val="00220395"/>
    <w:rsid w:val="002207B1"/>
    <w:rsid w:val="00220B7A"/>
    <w:rsid w:val="002227D1"/>
    <w:rsid w:val="002231E7"/>
    <w:rsid w:val="00223B49"/>
    <w:rsid w:val="00223BFA"/>
    <w:rsid w:val="0022493A"/>
    <w:rsid w:val="00224DD4"/>
    <w:rsid w:val="00225672"/>
    <w:rsid w:val="00225E00"/>
    <w:rsid w:val="00225EBD"/>
    <w:rsid w:val="00225FA5"/>
    <w:rsid w:val="00227101"/>
    <w:rsid w:val="002272D6"/>
    <w:rsid w:val="00227349"/>
    <w:rsid w:val="00227B6F"/>
    <w:rsid w:val="00227D91"/>
    <w:rsid w:val="002304E6"/>
    <w:rsid w:val="002309CC"/>
    <w:rsid w:val="00230B8F"/>
    <w:rsid w:val="002318A4"/>
    <w:rsid w:val="00231EDC"/>
    <w:rsid w:val="0023209F"/>
    <w:rsid w:val="00233F81"/>
    <w:rsid w:val="0023489B"/>
    <w:rsid w:val="00234AED"/>
    <w:rsid w:val="00234F12"/>
    <w:rsid w:val="002358E9"/>
    <w:rsid w:val="0023629D"/>
    <w:rsid w:val="00237255"/>
    <w:rsid w:val="00237AEE"/>
    <w:rsid w:val="00237B3A"/>
    <w:rsid w:val="00240704"/>
    <w:rsid w:val="00240931"/>
    <w:rsid w:val="00240B95"/>
    <w:rsid w:val="00240C43"/>
    <w:rsid w:val="00240D5C"/>
    <w:rsid w:val="00240F2E"/>
    <w:rsid w:val="00241EB3"/>
    <w:rsid w:val="0024227A"/>
    <w:rsid w:val="00242345"/>
    <w:rsid w:val="00242409"/>
    <w:rsid w:val="002424AF"/>
    <w:rsid w:val="00242D4A"/>
    <w:rsid w:val="0024321D"/>
    <w:rsid w:val="00243548"/>
    <w:rsid w:val="00243586"/>
    <w:rsid w:val="002439DC"/>
    <w:rsid w:val="0024493B"/>
    <w:rsid w:val="00244999"/>
    <w:rsid w:val="00244DC8"/>
    <w:rsid w:val="0024532D"/>
    <w:rsid w:val="002458BA"/>
    <w:rsid w:val="00245A14"/>
    <w:rsid w:val="0024636C"/>
    <w:rsid w:val="002463FB"/>
    <w:rsid w:val="00246C0F"/>
    <w:rsid w:val="00247058"/>
    <w:rsid w:val="002473FF"/>
    <w:rsid w:val="00247925"/>
    <w:rsid w:val="0025139B"/>
    <w:rsid w:val="00252B6C"/>
    <w:rsid w:val="00254913"/>
    <w:rsid w:val="00254DCF"/>
    <w:rsid w:val="0025534B"/>
    <w:rsid w:val="0025594D"/>
    <w:rsid w:val="00255B74"/>
    <w:rsid w:val="00255BB7"/>
    <w:rsid w:val="00255EF4"/>
    <w:rsid w:val="002560A0"/>
    <w:rsid w:val="0025626D"/>
    <w:rsid w:val="00256896"/>
    <w:rsid w:val="00257541"/>
    <w:rsid w:val="002579ED"/>
    <w:rsid w:val="002579F7"/>
    <w:rsid w:val="00257CCD"/>
    <w:rsid w:val="00257F5F"/>
    <w:rsid w:val="00260954"/>
    <w:rsid w:val="00260FB9"/>
    <w:rsid w:val="0026113F"/>
    <w:rsid w:val="00261B7F"/>
    <w:rsid w:val="00262A1A"/>
    <w:rsid w:val="00262A87"/>
    <w:rsid w:val="0026411E"/>
    <w:rsid w:val="00264D26"/>
    <w:rsid w:val="00265065"/>
    <w:rsid w:val="00265F6B"/>
    <w:rsid w:val="00266A6D"/>
    <w:rsid w:val="00266AFA"/>
    <w:rsid w:val="00266FFE"/>
    <w:rsid w:val="00267603"/>
    <w:rsid w:val="00267642"/>
    <w:rsid w:val="002679DE"/>
    <w:rsid w:val="00267AEA"/>
    <w:rsid w:val="002700E6"/>
    <w:rsid w:val="00271B96"/>
    <w:rsid w:val="00271FCA"/>
    <w:rsid w:val="002728CF"/>
    <w:rsid w:val="0027294B"/>
    <w:rsid w:val="00272EE5"/>
    <w:rsid w:val="00273B45"/>
    <w:rsid w:val="00275C01"/>
    <w:rsid w:val="00275C5A"/>
    <w:rsid w:val="0027650B"/>
    <w:rsid w:val="00276801"/>
    <w:rsid w:val="00276A15"/>
    <w:rsid w:val="00276ABB"/>
    <w:rsid w:val="002775BA"/>
    <w:rsid w:val="00277E0E"/>
    <w:rsid w:val="00277FB5"/>
    <w:rsid w:val="00280120"/>
    <w:rsid w:val="00280D31"/>
    <w:rsid w:val="00281014"/>
    <w:rsid w:val="00281057"/>
    <w:rsid w:val="002819B5"/>
    <w:rsid w:val="00281D90"/>
    <w:rsid w:val="00281F30"/>
    <w:rsid w:val="002823AB"/>
    <w:rsid w:val="00283100"/>
    <w:rsid w:val="002835B3"/>
    <w:rsid w:val="00283695"/>
    <w:rsid w:val="002838C1"/>
    <w:rsid w:val="0028412F"/>
    <w:rsid w:val="002843EF"/>
    <w:rsid w:val="00284E31"/>
    <w:rsid w:val="00285461"/>
    <w:rsid w:val="00285ACA"/>
    <w:rsid w:val="00285C5E"/>
    <w:rsid w:val="00286439"/>
    <w:rsid w:val="0028659B"/>
    <w:rsid w:val="002870BA"/>
    <w:rsid w:val="00291454"/>
    <w:rsid w:val="00291B59"/>
    <w:rsid w:val="00293674"/>
    <w:rsid w:val="00293715"/>
    <w:rsid w:val="002937E2"/>
    <w:rsid w:val="00293B33"/>
    <w:rsid w:val="00294633"/>
    <w:rsid w:val="00294715"/>
    <w:rsid w:val="00294981"/>
    <w:rsid w:val="00294AA3"/>
    <w:rsid w:val="00294EC5"/>
    <w:rsid w:val="00295F08"/>
    <w:rsid w:val="002A0561"/>
    <w:rsid w:val="002A0647"/>
    <w:rsid w:val="002A0DEA"/>
    <w:rsid w:val="002A14AB"/>
    <w:rsid w:val="002A2F02"/>
    <w:rsid w:val="002A2F50"/>
    <w:rsid w:val="002A2FCB"/>
    <w:rsid w:val="002A3F14"/>
    <w:rsid w:val="002A4673"/>
    <w:rsid w:val="002A59F2"/>
    <w:rsid w:val="002A5A01"/>
    <w:rsid w:val="002A5A4B"/>
    <w:rsid w:val="002A5E1F"/>
    <w:rsid w:val="002A5EB7"/>
    <w:rsid w:val="002A62A6"/>
    <w:rsid w:val="002A63EA"/>
    <w:rsid w:val="002A6AAE"/>
    <w:rsid w:val="002B09A4"/>
    <w:rsid w:val="002B0A77"/>
    <w:rsid w:val="002B0BD6"/>
    <w:rsid w:val="002B0FD9"/>
    <w:rsid w:val="002B1C1F"/>
    <w:rsid w:val="002B2BBA"/>
    <w:rsid w:val="002B2CE4"/>
    <w:rsid w:val="002B2EFB"/>
    <w:rsid w:val="002B3573"/>
    <w:rsid w:val="002B3E41"/>
    <w:rsid w:val="002B432F"/>
    <w:rsid w:val="002B4931"/>
    <w:rsid w:val="002B49C3"/>
    <w:rsid w:val="002B4CBE"/>
    <w:rsid w:val="002B62B3"/>
    <w:rsid w:val="002B630B"/>
    <w:rsid w:val="002B6754"/>
    <w:rsid w:val="002B6816"/>
    <w:rsid w:val="002B6959"/>
    <w:rsid w:val="002B6CCE"/>
    <w:rsid w:val="002B7590"/>
    <w:rsid w:val="002B7B39"/>
    <w:rsid w:val="002C0ABB"/>
    <w:rsid w:val="002C0D6B"/>
    <w:rsid w:val="002C0F17"/>
    <w:rsid w:val="002C1FC2"/>
    <w:rsid w:val="002C2264"/>
    <w:rsid w:val="002C2510"/>
    <w:rsid w:val="002C2775"/>
    <w:rsid w:val="002C27C1"/>
    <w:rsid w:val="002C335B"/>
    <w:rsid w:val="002C4D03"/>
    <w:rsid w:val="002C5099"/>
    <w:rsid w:val="002C52E2"/>
    <w:rsid w:val="002C5889"/>
    <w:rsid w:val="002C63E6"/>
    <w:rsid w:val="002C6707"/>
    <w:rsid w:val="002C6F7F"/>
    <w:rsid w:val="002C7011"/>
    <w:rsid w:val="002C702D"/>
    <w:rsid w:val="002C7109"/>
    <w:rsid w:val="002C71CE"/>
    <w:rsid w:val="002C74EA"/>
    <w:rsid w:val="002C798A"/>
    <w:rsid w:val="002C7BEE"/>
    <w:rsid w:val="002D15DF"/>
    <w:rsid w:val="002D207A"/>
    <w:rsid w:val="002D2E1D"/>
    <w:rsid w:val="002D3F5C"/>
    <w:rsid w:val="002D411F"/>
    <w:rsid w:val="002D4732"/>
    <w:rsid w:val="002D5425"/>
    <w:rsid w:val="002D54A7"/>
    <w:rsid w:val="002D577C"/>
    <w:rsid w:val="002D5C8E"/>
    <w:rsid w:val="002D664C"/>
    <w:rsid w:val="002D68A2"/>
    <w:rsid w:val="002D6A62"/>
    <w:rsid w:val="002D6DC9"/>
    <w:rsid w:val="002D6EE9"/>
    <w:rsid w:val="002D6F15"/>
    <w:rsid w:val="002D743E"/>
    <w:rsid w:val="002D7A9A"/>
    <w:rsid w:val="002E0C11"/>
    <w:rsid w:val="002E15B9"/>
    <w:rsid w:val="002E1FD6"/>
    <w:rsid w:val="002E2158"/>
    <w:rsid w:val="002E2A7F"/>
    <w:rsid w:val="002E3FDE"/>
    <w:rsid w:val="002E516C"/>
    <w:rsid w:val="002E518F"/>
    <w:rsid w:val="002E5603"/>
    <w:rsid w:val="002E5CD3"/>
    <w:rsid w:val="002E6544"/>
    <w:rsid w:val="002E6D49"/>
    <w:rsid w:val="002E6DC1"/>
    <w:rsid w:val="002E765B"/>
    <w:rsid w:val="002E7722"/>
    <w:rsid w:val="002F01CE"/>
    <w:rsid w:val="002F07BA"/>
    <w:rsid w:val="002F07D5"/>
    <w:rsid w:val="002F0DA9"/>
    <w:rsid w:val="002F1E58"/>
    <w:rsid w:val="002F1ED7"/>
    <w:rsid w:val="002F32A7"/>
    <w:rsid w:val="002F3C93"/>
    <w:rsid w:val="002F460C"/>
    <w:rsid w:val="002F49A8"/>
    <w:rsid w:val="002F4C15"/>
    <w:rsid w:val="002F6236"/>
    <w:rsid w:val="002F643C"/>
    <w:rsid w:val="002F70F6"/>
    <w:rsid w:val="002F71C0"/>
    <w:rsid w:val="002F7D70"/>
    <w:rsid w:val="003001E6"/>
    <w:rsid w:val="0030048B"/>
    <w:rsid w:val="00300ADC"/>
    <w:rsid w:val="00300C14"/>
    <w:rsid w:val="00300C1D"/>
    <w:rsid w:val="00301017"/>
    <w:rsid w:val="00301181"/>
    <w:rsid w:val="0030155F"/>
    <w:rsid w:val="003031CB"/>
    <w:rsid w:val="00304C32"/>
    <w:rsid w:val="003057AE"/>
    <w:rsid w:val="0030587B"/>
    <w:rsid w:val="003068D5"/>
    <w:rsid w:val="00306D98"/>
    <w:rsid w:val="003070D4"/>
    <w:rsid w:val="00307117"/>
    <w:rsid w:val="0030786C"/>
    <w:rsid w:val="0031031A"/>
    <w:rsid w:val="00310981"/>
    <w:rsid w:val="00311510"/>
    <w:rsid w:val="00311800"/>
    <w:rsid w:val="00311B5A"/>
    <w:rsid w:val="003120B5"/>
    <w:rsid w:val="0031376D"/>
    <w:rsid w:val="003145E0"/>
    <w:rsid w:val="0031502B"/>
    <w:rsid w:val="00315498"/>
    <w:rsid w:val="00315C10"/>
    <w:rsid w:val="003164CF"/>
    <w:rsid w:val="00316772"/>
    <w:rsid w:val="00316B84"/>
    <w:rsid w:val="00317FA5"/>
    <w:rsid w:val="003206E2"/>
    <w:rsid w:val="003208F7"/>
    <w:rsid w:val="00320CE3"/>
    <w:rsid w:val="00321A53"/>
    <w:rsid w:val="00322107"/>
    <w:rsid w:val="0032263C"/>
    <w:rsid w:val="00322846"/>
    <w:rsid w:val="00324EAE"/>
    <w:rsid w:val="003251F1"/>
    <w:rsid w:val="00325595"/>
    <w:rsid w:val="00325679"/>
    <w:rsid w:val="0032573D"/>
    <w:rsid w:val="0032576F"/>
    <w:rsid w:val="00325996"/>
    <w:rsid w:val="00326B5F"/>
    <w:rsid w:val="00326DA7"/>
    <w:rsid w:val="00327005"/>
    <w:rsid w:val="003270E4"/>
    <w:rsid w:val="0032760F"/>
    <w:rsid w:val="0032773D"/>
    <w:rsid w:val="0033078E"/>
    <w:rsid w:val="00330F5C"/>
    <w:rsid w:val="00331AB5"/>
    <w:rsid w:val="00332356"/>
    <w:rsid w:val="00332BB0"/>
    <w:rsid w:val="00332D4D"/>
    <w:rsid w:val="00333684"/>
    <w:rsid w:val="00333A2F"/>
    <w:rsid w:val="00334B6C"/>
    <w:rsid w:val="00334CB2"/>
    <w:rsid w:val="00334D7B"/>
    <w:rsid w:val="0033515B"/>
    <w:rsid w:val="003351B4"/>
    <w:rsid w:val="00335DE0"/>
    <w:rsid w:val="003366C9"/>
    <w:rsid w:val="00336D44"/>
    <w:rsid w:val="00337147"/>
    <w:rsid w:val="003371B0"/>
    <w:rsid w:val="003406B4"/>
    <w:rsid w:val="0034087F"/>
    <w:rsid w:val="00340C2B"/>
    <w:rsid w:val="00340DF1"/>
    <w:rsid w:val="00342143"/>
    <w:rsid w:val="003424DF"/>
    <w:rsid w:val="00342638"/>
    <w:rsid w:val="0034263D"/>
    <w:rsid w:val="0034292B"/>
    <w:rsid w:val="00342E9D"/>
    <w:rsid w:val="003433CD"/>
    <w:rsid w:val="00343A1D"/>
    <w:rsid w:val="003440C6"/>
    <w:rsid w:val="0034488C"/>
    <w:rsid w:val="003464D3"/>
    <w:rsid w:val="003465A8"/>
    <w:rsid w:val="00346790"/>
    <w:rsid w:val="00346853"/>
    <w:rsid w:val="0034779B"/>
    <w:rsid w:val="003513AF"/>
    <w:rsid w:val="00351653"/>
    <w:rsid w:val="003516E0"/>
    <w:rsid w:val="003517F9"/>
    <w:rsid w:val="00351949"/>
    <w:rsid w:val="00351A47"/>
    <w:rsid w:val="00351AC3"/>
    <w:rsid w:val="00351D04"/>
    <w:rsid w:val="003525F9"/>
    <w:rsid w:val="00352B64"/>
    <w:rsid w:val="00352CBD"/>
    <w:rsid w:val="00353596"/>
    <w:rsid w:val="00353CBE"/>
    <w:rsid w:val="003544D4"/>
    <w:rsid w:val="00354B28"/>
    <w:rsid w:val="00356182"/>
    <w:rsid w:val="0035620E"/>
    <w:rsid w:val="00357AA3"/>
    <w:rsid w:val="00357D45"/>
    <w:rsid w:val="00360AF7"/>
    <w:rsid w:val="00360F26"/>
    <w:rsid w:val="00360F7F"/>
    <w:rsid w:val="0036106A"/>
    <w:rsid w:val="003613AF"/>
    <w:rsid w:val="003614BB"/>
    <w:rsid w:val="003624C4"/>
    <w:rsid w:val="00363E7A"/>
    <w:rsid w:val="003641FE"/>
    <w:rsid w:val="0036427E"/>
    <w:rsid w:val="00364658"/>
    <w:rsid w:val="003654AC"/>
    <w:rsid w:val="0036679A"/>
    <w:rsid w:val="00366821"/>
    <w:rsid w:val="00370350"/>
    <w:rsid w:val="0037048A"/>
    <w:rsid w:val="00370A63"/>
    <w:rsid w:val="00370BE1"/>
    <w:rsid w:val="003710CF"/>
    <w:rsid w:val="00371216"/>
    <w:rsid w:val="00371452"/>
    <w:rsid w:val="00371F7C"/>
    <w:rsid w:val="00372A60"/>
    <w:rsid w:val="00373339"/>
    <w:rsid w:val="0037358A"/>
    <w:rsid w:val="00373686"/>
    <w:rsid w:val="00374647"/>
    <w:rsid w:val="003746D1"/>
    <w:rsid w:val="00374832"/>
    <w:rsid w:val="0037500F"/>
    <w:rsid w:val="003750F6"/>
    <w:rsid w:val="0037517E"/>
    <w:rsid w:val="00375547"/>
    <w:rsid w:val="003760FC"/>
    <w:rsid w:val="0037644C"/>
    <w:rsid w:val="00376E8B"/>
    <w:rsid w:val="0037759D"/>
    <w:rsid w:val="00380976"/>
    <w:rsid w:val="00381FAF"/>
    <w:rsid w:val="00382006"/>
    <w:rsid w:val="00382263"/>
    <w:rsid w:val="0038277E"/>
    <w:rsid w:val="00382784"/>
    <w:rsid w:val="00382C08"/>
    <w:rsid w:val="00382F94"/>
    <w:rsid w:val="0038365C"/>
    <w:rsid w:val="0038369B"/>
    <w:rsid w:val="00383B78"/>
    <w:rsid w:val="0038446D"/>
    <w:rsid w:val="003848E7"/>
    <w:rsid w:val="00384EDB"/>
    <w:rsid w:val="00384F2B"/>
    <w:rsid w:val="003850A8"/>
    <w:rsid w:val="00385A9D"/>
    <w:rsid w:val="003864D8"/>
    <w:rsid w:val="003868BC"/>
    <w:rsid w:val="00386981"/>
    <w:rsid w:val="0038698F"/>
    <w:rsid w:val="00386B83"/>
    <w:rsid w:val="00386DA2"/>
    <w:rsid w:val="00386F16"/>
    <w:rsid w:val="00387C5A"/>
    <w:rsid w:val="003902B1"/>
    <w:rsid w:val="00390F7D"/>
    <w:rsid w:val="00390FCD"/>
    <w:rsid w:val="003916C8"/>
    <w:rsid w:val="0039556E"/>
    <w:rsid w:val="00395BCE"/>
    <w:rsid w:val="003962A3"/>
    <w:rsid w:val="003963CD"/>
    <w:rsid w:val="00396896"/>
    <w:rsid w:val="00396C29"/>
    <w:rsid w:val="00396FD0"/>
    <w:rsid w:val="00397215"/>
    <w:rsid w:val="0039747F"/>
    <w:rsid w:val="003A046C"/>
    <w:rsid w:val="003A0972"/>
    <w:rsid w:val="003A1A7A"/>
    <w:rsid w:val="003A209A"/>
    <w:rsid w:val="003A21F4"/>
    <w:rsid w:val="003A2392"/>
    <w:rsid w:val="003A2831"/>
    <w:rsid w:val="003A2D0D"/>
    <w:rsid w:val="003A3076"/>
    <w:rsid w:val="003A3D0D"/>
    <w:rsid w:val="003A3ED1"/>
    <w:rsid w:val="003A41CA"/>
    <w:rsid w:val="003A6306"/>
    <w:rsid w:val="003A6481"/>
    <w:rsid w:val="003A75E3"/>
    <w:rsid w:val="003A7931"/>
    <w:rsid w:val="003B00AF"/>
    <w:rsid w:val="003B0B23"/>
    <w:rsid w:val="003B0DD0"/>
    <w:rsid w:val="003B164C"/>
    <w:rsid w:val="003B2AC0"/>
    <w:rsid w:val="003B2B43"/>
    <w:rsid w:val="003B3E76"/>
    <w:rsid w:val="003B3F55"/>
    <w:rsid w:val="003B4566"/>
    <w:rsid w:val="003B464B"/>
    <w:rsid w:val="003B4CC5"/>
    <w:rsid w:val="003B4F75"/>
    <w:rsid w:val="003B5829"/>
    <w:rsid w:val="003B5B61"/>
    <w:rsid w:val="003B5CE8"/>
    <w:rsid w:val="003B5CEF"/>
    <w:rsid w:val="003B5D93"/>
    <w:rsid w:val="003B5F49"/>
    <w:rsid w:val="003B646C"/>
    <w:rsid w:val="003B7144"/>
    <w:rsid w:val="003C048E"/>
    <w:rsid w:val="003C142D"/>
    <w:rsid w:val="003C1654"/>
    <w:rsid w:val="003C1B26"/>
    <w:rsid w:val="003C224D"/>
    <w:rsid w:val="003C4239"/>
    <w:rsid w:val="003C4A80"/>
    <w:rsid w:val="003C4CAA"/>
    <w:rsid w:val="003C53D2"/>
    <w:rsid w:val="003C5934"/>
    <w:rsid w:val="003C5B71"/>
    <w:rsid w:val="003C61F3"/>
    <w:rsid w:val="003C6332"/>
    <w:rsid w:val="003C6656"/>
    <w:rsid w:val="003C7652"/>
    <w:rsid w:val="003C785C"/>
    <w:rsid w:val="003C7D19"/>
    <w:rsid w:val="003D0169"/>
    <w:rsid w:val="003D05DF"/>
    <w:rsid w:val="003D0BE6"/>
    <w:rsid w:val="003D1828"/>
    <w:rsid w:val="003D1DE4"/>
    <w:rsid w:val="003D1E2B"/>
    <w:rsid w:val="003D2400"/>
    <w:rsid w:val="003D2422"/>
    <w:rsid w:val="003D24DB"/>
    <w:rsid w:val="003D34C9"/>
    <w:rsid w:val="003D366C"/>
    <w:rsid w:val="003D39A1"/>
    <w:rsid w:val="003D3FBF"/>
    <w:rsid w:val="003D4A30"/>
    <w:rsid w:val="003D5322"/>
    <w:rsid w:val="003D56A3"/>
    <w:rsid w:val="003D5DA0"/>
    <w:rsid w:val="003D60C6"/>
    <w:rsid w:val="003D69BD"/>
    <w:rsid w:val="003D6CF0"/>
    <w:rsid w:val="003D6F42"/>
    <w:rsid w:val="003D79BB"/>
    <w:rsid w:val="003D7C98"/>
    <w:rsid w:val="003E03E2"/>
    <w:rsid w:val="003E0496"/>
    <w:rsid w:val="003E0543"/>
    <w:rsid w:val="003E08A1"/>
    <w:rsid w:val="003E09A1"/>
    <w:rsid w:val="003E0C9F"/>
    <w:rsid w:val="003E16BD"/>
    <w:rsid w:val="003E2A50"/>
    <w:rsid w:val="003E2D2F"/>
    <w:rsid w:val="003E2EBE"/>
    <w:rsid w:val="003E30F7"/>
    <w:rsid w:val="003E35B3"/>
    <w:rsid w:val="003E3C98"/>
    <w:rsid w:val="003E4BF0"/>
    <w:rsid w:val="003E54F3"/>
    <w:rsid w:val="003E5A5C"/>
    <w:rsid w:val="003E64D5"/>
    <w:rsid w:val="003E6C2D"/>
    <w:rsid w:val="003E6E84"/>
    <w:rsid w:val="003E70BE"/>
    <w:rsid w:val="003E7426"/>
    <w:rsid w:val="003E7AE6"/>
    <w:rsid w:val="003F009E"/>
    <w:rsid w:val="003F0C93"/>
    <w:rsid w:val="003F1677"/>
    <w:rsid w:val="003F173E"/>
    <w:rsid w:val="003F1B04"/>
    <w:rsid w:val="003F4156"/>
    <w:rsid w:val="003F4383"/>
    <w:rsid w:val="003F459B"/>
    <w:rsid w:val="003F54BD"/>
    <w:rsid w:val="003F6536"/>
    <w:rsid w:val="003F708B"/>
    <w:rsid w:val="003F7B0B"/>
    <w:rsid w:val="0040020C"/>
    <w:rsid w:val="00400B29"/>
    <w:rsid w:val="0040235B"/>
    <w:rsid w:val="004035FB"/>
    <w:rsid w:val="00403697"/>
    <w:rsid w:val="00403810"/>
    <w:rsid w:val="004039F5"/>
    <w:rsid w:val="00403E96"/>
    <w:rsid w:val="00404547"/>
    <w:rsid w:val="00404B39"/>
    <w:rsid w:val="00404B4C"/>
    <w:rsid w:val="0040504B"/>
    <w:rsid w:val="0040571F"/>
    <w:rsid w:val="0040625F"/>
    <w:rsid w:val="00406EF5"/>
    <w:rsid w:val="0040760E"/>
    <w:rsid w:val="00407C1C"/>
    <w:rsid w:val="00407F6F"/>
    <w:rsid w:val="00410708"/>
    <w:rsid w:val="00410A34"/>
    <w:rsid w:val="00410EC7"/>
    <w:rsid w:val="0041191F"/>
    <w:rsid w:val="00411B39"/>
    <w:rsid w:val="00412958"/>
    <w:rsid w:val="0041374B"/>
    <w:rsid w:val="00413A1E"/>
    <w:rsid w:val="00414476"/>
    <w:rsid w:val="004147A4"/>
    <w:rsid w:val="004147D0"/>
    <w:rsid w:val="00414AC3"/>
    <w:rsid w:val="00414AC6"/>
    <w:rsid w:val="00414C2E"/>
    <w:rsid w:val="00414DEA"/>
    <w:rsid w:val="004151CF"/>
    <w:rsid w:val="00415810"/>
    <w:rsid w:val="00415B40"/>
    <w:rsid w:val="00415F97"/>
    <w:rsid w:val="00416364"/>
    <w:rsid w:val="00416A57"/>
    <w:rsid w:val="00416ADB"/>
    <w:rsid w:val="00417682"/>
    <w:rsid w:val="004176C9"/>
    <w:rsid w:val="004176FB"/>
    <w:rsid w:val="004202CE"/>
    <w:rsid w:val="004204FB"/>
    <w:rsid w:val="00420AA6"/>
    <w:rsid w:val="00420B9F"/>
    <w:rsid w:val="00421CD0"/>
    <w:rsid w:val="00422260"/>
    <w:rsid w:val="0042226F"/>
    <w:rsid w:val="00423054"/>
    <w:rsid w:val="00423074"/>
    <w:rsid w:val="0042384E"/>
    <w:rsid w:val="0042413F"/>
    <w:rsid w:val="00424625"/>
    <w:rsid w:val="0042494A"/>
    <w:rsid w:val="0042564A"/>
    <w:rsid w:val="00425AF5"/>
    <w:rsid w:val="00426A5B"/>
    <w:rsid w:val="00426BFB"/>
    <w:rsid w:val="004277D4"/>
    <w:rsid w:val="004277F3"/>
    <w:rsid w:val="0043024A"/>
    <w:rsid w:val="004309E8"/>
    <w:rsid w:val="00430E5E"/>
    <w:rsid w:val="0043135B"/>
    <w:rsid w:val="004319F8"/>
    <w:rsid w:val="00431E55"/>
    <w:rsid w:val="004321F6"/>
    <w:rsid w:val="00432B3F"/>
    <w:rsid w:val="00433044"/>
    <w:rsid w:val="0043392C"/>
    <w:rsid w:val="00433DAD"/>
    <w:rsid w:val="0043527F"/>
    <w:rsid w:val="0043582A"/>
    <w:rsid w:val="004363AA"/>
    <w:rsid w:val="00436819"/>
    <w:rsid w:val="00436E8D"/>
    <w:rsid w:val="004375B9"/>
    <w:rsid w:val="00437BFE"/>
    <w:rsid w:val="00437E3F"/>
    <w:rsid w:val="00440A17"/>
    <w:rsid w:val="0044129A"/>
    <w:rsid w:val="00441E77"/>
    <w:rsid w:val="00442395"/>
    <w:rsid w:val="004424BD"/>
    <w:rsid w:val="00442641"/>
    <w:rsid w:val="004428D0"/>
    <w:rsid w:val="0044310B"/>
    <w:rsid w:val="00443573"/>
    <w:rsid w:val="00443616"/>
    <w:rsid w:val="004443A7"/>
    <w:rsid w:val="0044442C"/>
    <w:rsid w:val="00444706"/>
    <w:rsid w:val="00444C68"/>
    <w:rsid w:val="00445941"/>
    <w:rsid w:val="00445E6E"/>
    <w:rsid w:val="004464EB"/>
    <w:rsid w:val="00446873"/>
    <w:rsid w:val="00447908"/>
    <w:rsid w:val="00447A5E"/>
    <w:rsid w:val="00447D26"/>
    <w:rsid w:val="00447D53"/>
    <w:rsid w:val="00447E84"/>
    <w:rsid w:val="00447E93"/>
    <w:rsid w:val="00450F53"/>
    <w:rsid w:val="00451A76"/>
    <w:rsid w:val="00451CEE"/>
    <w:rsid w:val="0045259F"/>
    <w:rsid w:val="00452E4D"/>
    <w:rsid w:val="00454281"/>
    <w:rsid w:val="0045452B"/>
    <w:rsid w:val="00454B94"/>
    <w:rsid w:val="00455988"/>
    <w:rsid w:val="00455D45"/>
    <w:rsid w:val="00456DD1"/>
    <w:rsid w:val="00456F38"/>
    <w:rsid w:val="004574C0"/>
    <w:rsid w:val="00457A83"/>
    <w:rsid w:val="00457F27"/>
    <w:rsid w:val="0046009B"/>
    <w:rsid w:val="0046076A"/>
    <w:rsid w:val="00460974"/>
    <w:rsid w:val="00460ACA"/>
    <w:rsid w:val="00460BF8"/>
    <w:rsid w:val="00462314"/>
    <w:rsid w:val="00463E8D"/>
    <w:rsid w:val="004641F4"/>
    <w:rsid w:val="00464595"/>
    <w:rsid w:val="00464BF2"/>
    <w:rsid w:val="0046542B"/>
    <w:rsid w:val="00466779"/>
    <w:rsid w:val="004674DA"/>
    <w:rsid w:val="00467635"/>
    <w:rsid w:val="00467D4E"/>
    <w:rsid w:val="00467D5F"/>
    <w:rsid w:val="004707B4"/>
    <w:rsid w:val="00470930"/>
    <w:rsid w:val="00470B9C"/>
    <w:rsid w:val="00471211"/>
    <w:rsid w:val="00471615"/>
    <w:rsid w:val="00471C5C"/>
    <w:rsid w:val="00471CE0"/>
    <w:rsid w:val="00472443"/>
    <w:rsid w:val="00472A79"/>
    <w:rsid w:val="00472B75"/>
    <w:rsid w:val="00473ADD"/>
    <w:rsid w:val="00473F19"/>
    <w:rsid w:val="0047410C"/>
    <w:rsid w:val="00474695"/>
    <w:rsid w:val="00475B6F"/>
    <w:rsid w:val="00475E22"/>
    <w:rsid w:val="00475ECA"/>
    <w:rsid w:val="0047611B"/>
    <w:rsid w:val="00476239"/>
    <w:rsid w:val="004764AA"/>
    <w:rsid w:val="00477F7D"/>
    <w:rsid w:val="0048018E"/>
    <w:rsid w:val="0048088E"/>
    <w:rsid w:val="004809E9"/>
    <w:rsid w:val="00480C93"/>
    <w:rsid w:val="00481747"/>
    <w:rsid w:val="00482720"/>
    <w:rsid w:val="00482934"/>
    <w:rsid w:val="00482E8F"/>
    <w:rsid w:val="004835E7"/>
    <w:rsid w:val="004835EE"/>
    <w:rsid w:val="00483EC5"/>
    <w:rsid w:val="0048414C"/>
    <w:rsid w:val="00484576"/>
    <w:rsid w:val="00484659"/>
    <w:rsid w:val="004857E5"/>
    <w:rsid w:val="00485BC2"/>
    <w:rsid w:val="004865B1"/>
    <w:rsid w:val="004867E2"/>
    <w:rsid w:val="0048688C"/>
    <w:rsid w:val="00486FF6"/>
    <w:rsid w:val="00487232"/>
    <w:rsid w:val="00487466"/>
    <w:rsid w:val="00487481"/>
    <w:rsid w:val="00487C1A"/>
    <w:rsid w:val="00487E1A"/>
    <w:rsid w:val="00490673"/>
    <w:rsid w:val="00490E3C"/>
    <w:rsid w:val="004917EF"/>
    <w:rsid w:val="00491B3A"/>
    <w:rsid w:val="0049227D"/>
    <w:rsid w:val="00492B79"/>
    <w:rsid w:val="00492CFD"/>
    <w:rsid w:val="004932BA"/>
    <w:rsid w:val="004939F6"/>
    <w:rsid w:val="00493CE1"/>
    <w:rsid w:val="00494DD5"/>
    <w:rsid w:val="00495177"/>
    <w:rsid w:val="004956D0"/>
    <w:rsid w:val="00495A3A"/>
    <w:rsid w:val="004962D2"/>
    <w:rsid w:val="00497052"/>
    <w:rsid w:val="0049766D"/>
    <w:rsid w:val="004A04A1"/>
    <w:rsid w:val="004A0DA1"/>
    <w:rsid w:val="004A1258"/>
    <w:rsid w:val="004A1939"/>
    <w:rsid w:val="004A1F9C"/>
    <w:rsid w:val="004A272B"/>
    <w:rsid w:val="004A2D5F"/>
    <w:rsid w:val="004A3E47"/>
    <w:rsid w:val="004A44A7"/>
    <w:rsid w:val="004A4575"/>
    <w:rsid w:val="004A4CB1"/>
    <w:rsid w:val="004A52E9"/>
    <w:rsid w:val="004A6597"/>
    <w:rsid w:val="004A6606"/>
    <w:rsid w:val="004A66D1"/>
    <w:rsid w:val="004A6B86"/>
    <w:rsid w:val="004A7848"/>
    <w:rsid w:val="004B0951"/>
    <w:rsid w:val="004B0E2C"/>
    <w:rsid w:val="004B13A6"/>
    <w:rsid w:val="004B1CB4"/>
    <w:rsid w:val="004B1F49"/>
    <w:rsid w:val="004B213E"/>
    <w:rsid w:val="004B2E04"/>
    <w:rsid w:val="004B2F18"/>
    <w:rsid w:val="004B3DDB"/>
    <w:rsid w:val="004B44FD"/>
    <w:rsid w:val="004B5868"/>
    <w:rsid w:val="004B5CFC"/>
    <w:rsid w:val="004B6554"/>
    <w:rsid w:val="004B73AA"/>
    <w:rsid w:val="004B774D"/>
    <w:rsid w:val="004B7B4C"/>
    <w:rsid w:val="004B7D7C"/>
    <w:rsid w:val="004C0588"/>
    <w:rsid w:val="004C0A05"/>
    <w:rsid w:val="004C0BE3"/>
    <w:rsid w:val="004C0CCF"/>
    <w:rsid w:val="004C0CE3"/>
    <w:rsid w:val="004C1136"/>
    <w:rsid w:val="004C1A7D"/>
    <w:rsid w:val="004C20C4"/>
    <w:rsid w:val="004C233A"/>
    <w:rsid w:val="004C361B"/>
    <w:rsid w:val="004C3A9B"/>
    <w:rsid w:val="004C3F20"/>
    <w:rsid w:val="004C3F2F"/>
    <w:rsid w:val="004C3F5C"/>
    <w:rsid w:val="004C4AED"/>
    <w:rsid w:val="004C55AB"/>
    <w:rsid w:val="004C57F1"/>
    <w:rsid w:val="004C759A"/>
    <w:rsid w:val="004C766C"/>
    <w:rsid w:val="004C7CB9"/>
    <w:rsid w:val="004D0449"/>
    <w:rsid w:val="004D05B9"/>
    <w:rsid w:val="004D0B1E"/>
    <w:rsid w:val="004D0C3E"/>
    <w:rsid w:val="004D1678"/>
    <w:rsid w:val="004D21CC"/>
    <w:rsid w:val="004D255A"/>
    <w:rsid w:val="004D2C2D"/>
    <w:rsid w:val="004D3610"/>
    <w:rsid w:val="004D4CAB"/>
    <w:rsid w:val="004D5231"/>
    <w:rsid w:val="004D577F"/>
    <w:rsid w:val="004D6122"/>
    <w:rsid w:val="004D635C"/>
    <w:rsid w:val="004D658A"/>
    <w:rsid w:val="004D68E2"/>
    <w:rsid w:val="004D7227"/>
    <w:rsid w:val="004D7279"/>
    <w:rsid w:val="004D7463"/>
    <w:rsid w:val="004E0360"/>
    <w:rsid w:val="004E07A9"/>
    <w:rsid w:val="004E0E7F"/>
    <w:rsid w:val="004E0EB8"/>
    <w:rsid w:val="004E1579"/>
    <w:rsid w:val="004E2ADC"/>
    <w:rsid w:val="004E2B21"/>
    <w:rsid w:val="004E43B2"/>
    <w:rsid w:val="004E4717"/>
    <w:rsid w:val="004E7E12"/>
    <w:rsid w:val="004E7F56"/>
    <w:rsid w:val="004F0158"/>
    <w:rsid w:val="004F09D6"/>
    <w:rsid w:val="004F0F76"/>
    <w:rsid w:val="004F1D02"/>
    <w:rsid w:val="004F1F8D"/>
    <w:rsid w:val="004F2192"/>
    <w:rsid w:val="004F2679"/>
    <w:rsid w:val="004F2871"/>
    <w:rsid w:val="004F2F21"/>
    <w:rsid w:val="004F3032"/>
    <w:rsid w:val="004F4124"/>
    <w:rsid w:val="004F5AC2"/>
    <w:rsid w:val="004F6913"/>
    <w:rsid w:val="004F746B"/>
    <w:rsid w:val="004F7865"/>
    <w:rsid w:val="005000C6"/>
    <w:rsid w:val="00500D72"/>
    <w:rsid w:val="00500DC7"/>
    <w:rsid w:val="0050116E"/>
    <w:rsid w:val="0050219B"/>
    <w:rsid w:val="005031E8"/>
    <w:rsid w:val="00503242"/>
    <w:rsid w:val="00503F17"/>
    <w:rsid w:val="0050431F"/>
    <w:rsid w:val="0050452A"/>
    <w:rsid w:val="00504954"/>
    <w:rsid w:val="00504F23"/>
    <w:rsid w:val="00505F01"/>
    <w:rsid w:val="00505F3F"/>
    <w:rsid w:val="00506562"/>
    <w:rsid w:val="0050684C"/>
    <w:rsid w:val="00506928"/>
    <w:rsid w:val="00506B70"/>
    <w:rsid w:val="005071DE"/>
    <w:rsid w:val="0051004E"/>
    <w:rsid w:val="005101F0"/>
    <w:rsid w:val="005102EA"/>
    <w:rsid w:val="00511101"/>
    <w:rsid w:val="0051124B"/>
    <w:rsid w:val="0051165D"/>
    <w:rsid w:val="00511E07"/>
    <w:rsid w:val="005125BD"/>
    <w:rsid w:val="00512A3F"/>
    <w:rsid w:val="00512BB9"/>
    <w:rsid w:val="005130F8"/>
    <w:rsid w:val="0051424E"/>
    <w:rsid w:val="00514BB3"/>
    <w:rsid w:val="005150DC"/>
    <w:rsid w:val="00515148"/>
    <w:rsid w:val="005152B5"/>
    <w:rsid w:val="00515A3E"/>
    <w:rsid w:val="00515AC4"/>
    <w:rsid w:val="0051649C"/>
    <w:rsid w:val="005168B7"/>
    <w:rsid w:val="00517E65"/>
    <w:rsid w:val="00521319"/>
    <w:rsid w:val="00522184"/>
    <w:rsid w:val="00522BC8"/>
    <w:rsid w:val="00523C28"/>
    <w:rsid w:val="00524107"/>
    <w:rsid w:val="005252F9"/>
    <w:rsid w:val="00525B2B"/>
    <w:rsid w:val="00526783"/>
    <w:rsid w:val="0052684F"/>
    <w:rsid w:val="0052697F"/>
    <w:rsid w:val="00526A1D"/>
    <w:rsid w:val="00526BC6"/>
    <w:rsid w:val="00526CB5"/>
    <w:rsid w:val="0052711C"/>
    <w:rsid w:val="00527514"/>
    <w:rsid w:val="00530383"/>
    <w:rsid w:val="00532514"/>
    <w:rsid w:val="00532912"/>
    <w:rsid w:val="00534E22"/>
    <w:rsid w:val="00535474"/>
    <w:rsid w:val="00535598"/>
    <w:rsid w:val="00535FBC"/>
    <w:rsid w:val="0053611F"/>
    <w:rsid w:val="005368FF"/>
    <w:rsid w:val="00536F42"/>
    <w:rsid w:val="00537182"/>
    <w:rsid w:val="00537586"/>
    <w:rsid w:val="00540424"/>
    <w:rsid w:val="00540CF3"/>
    <w:rsid w:val="00541723"/>
    <w:rsid w:val="00541BCD"/>
    <w:rsid w:val="00542120"/>
    <w:rsid w:val="00542415"/>
    <w:rsid w:val="00542496"/>
    <w:rsid w:val="00542743"/>
    <w:rsid w:val="00542C2D"/>
    <w:rsid w:val="0054410B"/>
    <w:rsid w:val="005449E1"/>
    <w:rsid w:val="00544ADC"/>
    <w:rsid w:val="00544E2B"/>
    <w:rsid w:val="00545286"/>
    <w:rsid w:val="00545C11"/>
    <w:rsid w:val="00545F5D"/>
    <w:rsid w:val="005465AF"/>
    <w:rsid w:val="0054668A"/>
    <w:rsid w:val="00550548"/>
    <w:rsid w:val="0055060A"/>
    <w:rsid w:val="00550DD6"/>
    <w:rsid w:val="005514EC"/>
    <w:rsid w:val="00551985"/>
    <w:rsid w:val="00552781"/>
    <w:rsid w:val="005527DD"/>
    <w:rsid w:val="005529D6"/>
    <w:rsid w:val="00552BD3"/>
    <w:rsid w:val="005532AE"/>
    <w:rsid w:val="00553B89"/>
    <w:rsid w:val="005546C8"/>
    <w:rsid w:val="00554D29"/>
    <w:rsid w:val="00555109"/>
    <w:rsid w:val="00555922"/>
    <w:rsid w:val="00555CC1"/>
    <w:rsid w:val="00556C7D"/>
    <w:rsid w:val="005606A9"/>
    <w:rsid w:val="00560992"/>
    <w:rsid w:val="0056114A"/>
    <w:rsid w:val="00562428"/>
    <w:rsid w:val="00564163"/>
    <w:rsid w:val="00564945"/>
    <w:rsid w:val="00564958"/>
    <w:rsid w:val="00565171"/>
    <w:rsid w:val="005659D8"/>
    <w:rsid w:val="00565AEA"/>
    <w:rsid w:val="00566245"/>
    <w:rsid w:val="0056691A"/>
    <w:rsid w:val="0056696F"/>
    <w:rsid w:val="00566A6E"/>
    <w:rsid w:val="005670A0"/>
    <w:rsid w:val="005671C9"/>
    <w:rsid w:val="00567313"/>
    <w:rsid w:val="005701A6"/>
    <w:rsid w:val="005705D2"/>
    <w:rsid w:val="0057097E"/>
    <w:rsid w:val="00570DEB"/>
    <w:rsid w:val="005712D4"/>
    <w:rsid w:val="005714D6"/>
    <w:rsid w:val="00572269"/>
    <w:rsid w:val="0057244A"/>
    <w:rsid w:val="0057259E"/>
    <w:rsid w:val="00572AFB"/>
    <w:rsid w:val="00572C8A"/>
    <w:rsid w:val="00572CA1"/>
    <w:rsid w:val="00573548"/>
    <w:rsid w:val="0057372F"/>
    <w:rsid w:val="00573B9F"/>
    <w:rsid w:val="005756CA"/>
    <w:rsid w:val="00575D8D"/>
    <w:rsid w:val="0057622E"/>
    <w:rsid w:val="00576972"/>
    <w:rsid w:val="00577EC8"/>
    <w:rsid w:val="00580202"/>
    <w:rsid w:val="005803EF"/>
    <w:rsid w:val="00581A6C"/>
    <w:rsid w:val="005823CF"/>
    <w:rsid w:val="00583249"/>
    <w:rsid w:val="005833E8"/>
    <w:rsid w:val="00583699"/>
    <w:rsid w:val="0058498E"/>
    <w:rsid w:val="0058554C"/>
    <w:rsid w:val="00585CDD"/>
    <w:rsid w:val="00586436"/>
    <w:rsid w:val="00587058"/>
    <w:rsid w:val="00587160"/>
    <w:rsid w:val="005871FA"/>
    <w:rsid w:val="0058729E"/>
    <w:rsid w:val="00587334"/>
    <w:rsid w:val="00587802"/>
    <w:rsid w:val="00590885"/>
    <w:rsid w:val="0059124A"/>
    <w:rsid w:val="005913F1"/>
    <w:rsid w:val="00591957"/>
    <w:rsid w:val="00591BAA"/>
    <w:rsid w:val="0059228D"/>
    <w:rsid w:val="00592790"/>
    <w:rsid w:val="005927C6"/>
    <w:rsid w:val="0059329C"/>
    <w:rsid w:val="00593782"/>
    <w:rsid w:val="00593F19"/>
    <w:rsid w:val="00594775"/>
    <w:rsid w:val="00594CFF"/>
    <w:rsid w:val="00594F58"/>
    <w:rsid w:val="00594FAF"/>
    <w:rsid w:val="005977D9"/>
    <w:rsid w:val="00597BF9"/>
    <w:rsid w:val="00597C83"/>
    <w:rsid w:val="005A0220"/>
    <w:rsid w:val="005A03EE"/>
    <w:rsid w:val="005A10CB"/>
    <w:rsid w:val="005A1F3A"/>
    <w:rsid w:val="005A2157"/>
    <w:rsid w:val="005A250E"/>
    <w:rsid w:val="005A373D"/>
    <w:rsid w:val="005A375A"/>
    <w:rsid w:val="005A3E50"/>
    <w:rsid w:val="005A4915"/>
    <w:rsid w:val="005A5971"/>
    <w:rsid w:val="005A6580"/>
    <w:rsid w:val="005A70A4"/>
    <w:rsid w:val="005A7E2B"/>
    <w:rsid w:val="005A7F6B"/>
    <w:rsid w:val="005B0953"/>
    <w:rsid w:val="005B1397"/>
    <w:rsid w:val="005B18FF"/>
    <w:rsid w:val="005B1A34"/>
    <w:rsid w:val="005B237F"/>
    <w:rsid w:val="005B28FA"/>
    <w:rsid w:val="005B29AA"/>
    <w:rsid w:val="005B2DA3"/>
    <w:rsid w:val="005B2E50"/>
    <w:rsid w:val="005B3BB7"/>
    <w:rsid w:val="005B4507"/>
    <w:rsid w:val="005B5857"/>
    <w:rsid w:val="005B59C0"/>
    <w:rsid w:val="005B6108"/>
    <w:rsid w:val="005B635B"/>
    <w:rsid w:val="005B7283"/>
    <w:rsid w:val="005B76CA"/>
    <w:rsid w:val="005C1292"/>
    <w:rsid w:val="005C18C8"/>
    <w:rsid w:val="005C1902"/>
    <w:rsid w:val="005C1B83"/>
    <w:rsid w:val="005C278D"/>
    <w:rsid w:val="005C2D55"/>
    <w:rsid w:val="005C3061"/>
    <w:rsid w:val="005C346B"/>
    <w:rsid w:val="005C387E"/>
    <w:rsid w:val="005C3D9C"/>
    <w:rsid w:val="005C571A"/>
    <w:rsid w:val="005C5E0A"/>
    <w:rsid w:val="005C5F31"/>
    <w:rsid w:val="005C5F6D"/>
    <w:rsid w:val="005C6105"/>
    <w:rsid w:val="005C6D78"/>
    <w:rsid w:val="005D01A6"/>
    <w:rsid w:val="005D01CD"/>
    <w:rsid w:val="005D044D"/>
    <w:rsid w:val="005D0ABD"/>
    <w:rsid w:val="005D0CE7"/>
    <w:rsid w:val="005D18AD"/>
    <w:rsid w:val="005D1A6E"/>
    <w:rsid w:val="005D1D8C"/>
    <w:rsid w:val="005D26B4"/>
    <w:rsid w:val="005D274E"/>
    <w:rsid w:val="005D39D9"/>
    <w:rsid w:val="005D4561"/>
    <w:rsid w:val="005D4779"/>
    <w:rsid w:val="005D4F75"/>
    <w:rsid w:val="005D54B7"/>
    <w:rsid w:val="005D56A5"/>
    <w:rsid w:val="005D56BB"/>
    <w:rsid w:val="005D6310"/>
    <w:rsid w:val="005D6652"/>
    <w:rsid w:val="005D6987"/>
    <w:rsid w:val="005D6A8A"/>
    <w:rsid w:val="005D6AA0"/>
    <w:rsid w:val="005D6F93"/>
    <w:rsid w:val="005D6FBC"/>
    <w:rsid w:val="005D709D"/>
    <w:rsid w:val="005D73B7"/>
    <w:rsid w:val="005D776D"/>
    <w:rsid w:val="005D7D41"/>
    <w:rsid w:val="005D7F5A"/>
    <w:rsid w:val="005E0B17"/>
    <w:rsid w:val="005E191E"/>
    <w:rsid w:val="005E1988"/>
    <w:rsid w:val="005E1DDC"/>
    <w:rsid w:val="005E1EA3"/>
    <w:rsid w:val="005E2811"/>
    <w:rsid w:val="005E289E"/>
    <w:rsid w:val="005E2C45"/>
    <w:rsid w:val="005E2C61"/>
    <w:rsid w:val="005E3709"/>
    <w:rsid w:val="005E3A71"/>
    <w:rsid w:val="005E460F"/>
    <w:rsid w:val="005E487A"/>
    <w:rsid w:val="005E4DF7"/>
    <w:rsid w:val="005E6289"/>
    <w:rsid w:val="005E6CBC"/>
    <w:rsid w:val="005E727E"/>
    <w:rsid w:val="005E73C0"/>
    <w:rsid w:val="005E7815"/>
    <w:rsid w:val="005F072A"/>
    <w:rsid w:val="005F1207"/>
    <w:rsid w:val="005F1E14"/>
    <w:rsid w:val="005F1EF0"/>
    <w:rsid w:val="005F2706"/>
    <w:rsid w:val="005F2BF4"/>
    <w:rsid w:val="005F3403"/>
    <w:rsid w:val="005F3481"/>
    <w:rsid w:val="005F5F28"/>
    <w:rsid w:val="005F61F4"/>
    <w:rsid w:val="005F63CF"/>
    <w:rsid w:val="005F6A8F"/>
    <w:rsid w:val="005F6C0C"/>
    <w:rsid w:val="005F6D6F"/>
    <w:rsid w:val="0060007B"/>
    <w:rsid w:val="00600608"/>
    <w:rsid w:val="00600D85"/>
    <w:rsid w:val="00600EB5"/>
    <w:rsid w:val="00600FEB"/>
    <w:rsid w:val="00601086"/>
    <w:rsid w:val="00601CE5"/>
    <w:rsid w:val="00602653"/>
    <w:rsid w:val="0060292F"/>
    <w:rsid w:val="00602A77"/>
    <w:rsid w:val="006032DA"/>
    <w:rsid w:val="00603DB9"/>
    <w:rsid w:val="00603DC4"/>
    <w:rsid w:val="0060435A"/>
    <w:rsid w:val="00604432"/>
    <w:rsid w:val="00604D35"/>
    <w:rsid w:val="00605B59"/>
    <w:rsid w:val="006061DD"/>
    <w:rsid w:val="00606791"/>
    <w:rsid w:val="00607669"/>
    <w:rsid w:val="00607AFD"/>
    <w:rsid w:val="00607DC7"/>
    <w:rsid w:val="00607F4A"/>
    <w:rsid w:val="00610B4D"/>
    <w:rsid w:val="00610D74"/>
    <w:rsid w:val="00610E4D"/>
    <w:rsid w:val="00610FBE"/>
    <w:rsid w:val="00611ECE"/>
    <w:rsid w:val="006127D9"/>
    <w:rsid w:val="00612F97"/>
    <w:rsid w:val="006130A9"/>
    <w:rsid w:val="0061345D"/>
    <w:rsid w:val="00613DC5"/>
    <w:rsid w:val="00614017"/>
    <w:rsid w:val="00614375"/>
    <w:rsid w:val="00614CE0"/>
    <w:rsid w:val="00614CEB"/>
    <w:rsid w:val="00614DE8"/>
    <w:rsid w:val="006156B3"/>
    <w:rsid w:val="00615996"/>
    <w:rsid w:val="00616802"/>
    <w:rsid w:val="00617835"/>
    <w:rsid w:val="00617E12"/>
    <w:rsid w:val="00617F9C"/>
    <w:rsid w:val="00620168"/>
    <w:rsid w:val="00620D65"/>
    <w:rsid w:val="0062109E"/>
    <w:rsid w:val="00621477"/>
    <w:rsid w:val="006223A2"/>
    <w:rsid w:val="0062279B"/>
    <w:rsid w:val="00622887"/>
    <w:rsid w:val="00622A6B"/>
    <w:rsid w:val="006233F1"/>
    <w:rsid w:val="006235C5"/>
    <w:rsid w:val="00624021"/>
    <w:rsid w:val="00625766"/>
    <w:rsid w:val="00625B39"/>
    <w:rsid w:val="00626CD2"/>
    <w:rsid w:val="00626F2E"/>
    <w:rsid w:val="0062708E"/>
    <w:rsid w:val="00627220"/>
    <w:rsid w:val="0062780D"/>
    <w:rsid w:val="00627907"/>
    <w:rsid w:val="006303D6"/>
    <w:rsid w:val="0063062B"/>
    <w:rsid w:val="006314BD"/>
    <w:rsid w:val="0063158F"/>
    <w:rsid w:val="00631C7A"/>
    <w:rsid w:val="00631D6B"/>
    <w:rsid w:val="0063237A"/>
    <w:rsid w:val="00632674"/>
    <w:rsid w:val="00632D8C"/>
    <w:rsid w:val="006330A1"/>
    <w:rsid w:val="006336CA"/>
    <w:rsid w:val="00633B48"/>
    <w:rsid w:val="00633E1C"/>
    <w:rsid w:val="0063479F"/>
    <w:rsid w:val="006353F0"/>
    <w:rsid w:val="00635C9B"/>
    <w:rsid w:val="006364A1"/>
    <w:rsid w:val="006370A0"/>
    <w:rsid w:val="00637BFD"/>
    <w:rsid w:val="006400A6"/>
    <w:rsid w:val="00640490"/>
    <w:rsid w:val="00640C5E"/>
    <w:rsid w:val="00640F18"/>
    <w:rsid w:val="00641A0B"/>
    <w:rsid w:val="00641C4E"/>
    <w:rsid w:val="00642056"/>
    <w:rsid w:val="00642627"/>
    <w:rsid w:val="00642942"/>
    <w:rsid w:val="006430AB"/>
    <w:rsid w:val="006438F3"/>
    <w:rsid w:val="00643BF2"/>
    <w:rsid w:val="006441C5"/>
    <w:rsid w:val="006448A2"/>
    <w:rsid w:val="00645031"/>
    <w:rsid w:val="00645771"/>
    <w:rsid w:val="006458D2"/>
    <w:rsid w:val="00646B8A"/>
    <w:rsid w:val="006471CC"/>
    <w:rsid w:val="00647EC4"/>
    <w:rsid w:val="00650549"/>
    <w:rsid w:val="0065079F"/>
    <w:rsid w:val="00650E01"/>
    <w:rsid w:val="0065109C"/>
    <w:rsid w:val="0065118B"/>
    <w:rsid w:val="00651278"/>
    <w:rsid w:val="00652C1D"/>
    <w:rsid w:val="0065379F"/>
    <w:rsid w:val="006538AA"/>
    <w:rsid w:val="006542EC"/>
    <w:rsid w:val="00654415"/>
    <w:rsid w:val="0065441A"/>
    <w:rsid w:val="006545EC"/>
    <w:rsid w:val="00654BD3"/>
    <w:rsid w:val="00656377"/>
    <w:rsid w:val="00656403"/>
    <w:rsid w:val="00656C7A"/>
    <w:rsid w:val="00657076"/>
    <w:rsid w:val="00660148"/>
    <w:rsid w:val="006617AB"/>
    <w:rsid w:val="00661868"/>
    <w:rsid w:val="00661C6B"/>
    <w:rsid w:val="00661DDD"/>
    <w:rsid w:val="00662608"/>
    <w:rsid w:val="0066351B"/>
    <w:rsid w:val="00665359"/>
    <w:rsid w:val="00665ADC"/>
    <w:rsid w:val="006668F7"/>
    <w:rsid w:val="006668F9"/>
    <w:rsid w:val="00666F2E"/>
    <w:rsid w:val="00667C64"/>
    <w:rsid w:val="00667F02"/>
    <w:rsid w:val="00670753"/>
    <w:rsid w:val="00670CA1"/>
    <w:rsid w:val="006728C1"/>
    <w:rsid w:val="0067290D"/>
    <w:rsid w:val="00672979"/>
    <w:rsid w:val="00672ED9"/>
    <w:rsid w:val="006732BD"/>
    <w:rsid w:val="00673F6E"/>
    <w:rsid w:val="00674878"/>
    <w:rsid w:val="0067497D"/>
    <w:rsid w:val="00674B9F"/>
    <w:rsid w:val="00674CC1"/>
    <w:rsid w:val="00674E42"/>
    <w:rsid w:val="0067528E"/>
    <w:rsid w:val="006765F4"/>
    <w:rsid w:val="006805F3"/>
    <w:rsid w:val="0068086C"/>
    <w:rsid w:val="006808BB"/>
    <w:rsid w:val="00680BDE"/>
    <w:rsid w:val="0068132E"/>
    <w:rsid w:val="00681A2F"/>
    <w:rsid w:val="00682112"/>
    <w:rsid w:val="00683154"/>
    <w:rsid w:val="00683969"/>
    <w:rsid w:val="00683A29"/>
    <w:rsid w:val="00683E10"/>
    <w:rsid w:val="00683EA8"/>
    <w:rsid w:val="00684CCD"/>
    <w:rsid w:val="00685049"/>
    <w:rsid w:val="00685B73"/>
    <w:rsid w:val="00686199"/>
    <w:rsid w:val="006861CE"/>
    <w:rsid w:val="00686957"/>
    <w:rsid w:val="00686A3B"/>
    <w:rsid w:val="00686E05"/>
    <w:rsid w:val="00686EBB"/>
    <w:rsid w:val="006872BA"/>
    <w:rsid w:val="00687F86"/>
    <w:rsid w:val="006900F6"/>
    <w:rsid w:val="00690343"/>
    <w:rsid w:val="00691648"/>
    <w:rsid w:val="006917D7"/>
    <w:rsid w:val="00691C09"/>
    <w:rsid w:val="00691C72"/>
    <w:rsid w:val="00692CDD"/>
    <w:rsid w:val="00693C72"/>
    <w:rsid w:val="0069422F"/>
    <w:rsid w:val="00694DCA"/>
    <w:rsid w:val="00694F44"/>
    <w:rsid w:val="00695406"/>
    <w:rsid w:val="00695E0A"/>
    <w:rsid w:val="00696D5E"/>
    <w:rsid w:val="00697F19"/>
    <w:rsid w:val="006A08F2"/>
    <w:rsid w:val="006A0C34"/>
    <w:rsid w:val="006A0E9E"/>
    <w:rsid w:val="006A2167"/>
    <w:rsid w:val="006A22BB"/>
    <w:rsid w:val="006A279A"/>
    <w:rsid w:val="006A2861"/>
    <w:rsid w:val="006A2B0D"/>
    <w:rsid w:val="006A3431"/>
    <w:rsid w:val="006A34FF"/>
    <w:rsid w:val="006A3765"/>
    <w:rsid w:val="006A3A85"/>
    <w:rsid w:val="006A40DC"/>
    <w:rsid w:val="006A4ACF"/>
    <w:rsid w:val="006A4F99"/>
    <w:rsid w:val="006A5B67"/>
    <w:rsid w:val="006A604D"/>
    <w:rsid w:val="006A610B"/>
    <w:rsid w:val="006A636C"/>
    <w:rsid w:val="006A6766"/>
    <w:rsid w:val="006A6B13"/>
    <w:rsid w:val="006A718C"/>
    <w:rsid w:val="006A734F"/>
    <w:rsid w:val="006A75E4"/>
    <w:rsid w:val="006A7E5F"/>
    <w:rsid w:val="006B261B"/>
    <w:rsid w:val="006B279B"/>
    <w:rsid w:val="006B2ADA"/>
    <w:rsid w:val="006B2C90"/>
    <w:rsid w:val="006B2D70"/>
    <w:rsid w:val="006B31DE"/>
    <w:rsid w:val="006B3495"/>
    <w:rsid w:val="006B3F39"/>
    <w:rsid w:val="006B4315"/>
    <w:rsid w:val="006B49DE"/>
    <w:rsid w:val="006B5554"/>
    <w:rsid w:val="006B663D"/>
    <w:rsid w:val="006B683F"/>
    <w:rsid w:val="006B6DD0"/>
    <w:rsid w:val="006B76C5"/>
    <w:rsid w:val="006B7F6F"/>
    <w:rsid w:val="006C09F9"/>
    <w:rsid w:val="006C11DC"/>
    <w:rsid w:val="006C16A5"/>
    <w:rsid w:val="006C27A9"/>
    <w:rsid w:val="006C2A8E"/>
    <w:rsid w:val="006C2E75"/>
    <w:rsid w:val="006C3322"/>
    <w:rsid w:val="006C425E"/>
    <w:rsid w:val="006C5C07"/>
    <w:rsid w:val="006C5CBF"/>
    <w:rsid w:val="006C60B7"/>
    <w:rsid w:val="006C60FF"/>
    <w:rsid w:val="006C64A9"/>
    <w:rsid w:val="006C65E0"/>
    <w:rsid w:val="006C740F"/>
    <w:rsid w:val="006C7E21"/>
    <w:rsid w:val="006D0212"/>
    <w:rsid w:val="006D1B94"/>
    <w:rsid w:val="006D2213"/>
    <w:rsid w:val="006D2349"/>
    <w:rsid w:val="006D235A"/>
    <w:rsid w:val="006D2660"/>
    <w:rsid w:val="006D2FD5"/>
    <w:rsid w:val="006D3491"/>
    <w:rsid w:val="006D3C7D"/>
    <w:rsid w:val="006D4401"/>
    <w:rsid w:val="006D4832"/>
    <w:rsid w:val="006D4840"/>
    <w:rsid w:val="006D4974"/>
    <w:rsid w:val="006D4A85"/>
    <w:rsid w:val="006D4E8B"/>
    <w:rsid w:val="006D506C"/>
    <w:rsid w:val="006D5CF5"/>
    <w:rsid w:val="006D5D5F"/>
    <w:rsid w:val="006D5F8D"/>
    <w:rsid w:val="006D64DB"/>
    <w:rsid w:val="006D7418"/>
    <w:rsid w:val="006D75BB"/>
    <w:rsid w:val="006D7B52"/>
    <w:rsid w:val="006D7BD9"/>
    <w:rsid w:val="006E0537"/>
    <w:rsid w:val="006E0828"/>
    <w:rsid w:val="006E1F7D"/>
    <w:rsid w:val="006E2723"/>
    <w:rsid w:val="006E2D0C"/>
    <w:rsid w:val="006E33E6"/>
    <w:rsid w:val="006E3836"/>
    <w:rsid w:val="006E45B7"/>
    <w:rsid w:val="006E4CEF"/>
    <w:rsid w:val="006E5119"/>
    <w:rsid w:val="006E5848"/>
    <w:rsid w:val="006E5CCF"/>
    <w:rsid w:val="006E5F81"/>
    <w:rsid w:val="006E611D"/>
    <w:rsid w:val="006E6C18"/>
    <w:rsid w:val="006E6CA8"/>
    <w:rsid w:val="006E79D4"/>
    <w:rsid w:val="006E7DD1"/>
    <w:rsid w:val="006F0022"/>
    <w:rsid w:val="006F03CC"/>
    <w:rsid w:val="006F0448"/>
    <w:rsid w:val="006F09A2"/>
    <w:rsid w:val="006F1211"/>
    <w:rsid w:val="006F1A02"/>
    <w:rsid w:val="006F1F04"/>
    <w:rsid w:val="006F2D86"/>
    <w:rsid w:val="006F3009"/>
    <w:rsid w:val="006F306C"/>
    <w:rsid w:val="006F33A0"/>
    <w:rsid w:val="006F33D3"/>
    <w:rsid w:val="006F4022"/>
    <w:rsid w:val="006F43EB"/>
    <w:rsid w:val="006F50B2"/>
    <w:rsid w:val="006F5683"/>
    <w:rsid w:val="006F57E7"/>
    <w:rsid w:val="006F5CF4"/>
    <w:rsid w:val="006F62A5"/>
    <w:rsid w:val="006F63A5"/>
    <w:rsid w:val="006F65DE"/>
    <w:rsid w:val="006F67E2"/>
    <w:rsid w:val="006F691B"/>
    <w:rsid w:val="006F781E"/>
    <w:rsid w:val="006F7FA7"/>
    <w:rsid w:val="00700F26"/>
    <w:rsid w:val="0070142B"/>
    <w:rsid w:val="00701B52"/>
    <w:rsid w:val="0070276E"/>
    <w:rsid w:val="0070294B"/>
    <w:rsid w:val="00702A45"/>
    <w:rsid w:val="00702F8F"/>
    <w:rsid w:val="007034A1"/>
    <w:rsid w:val="007034E3"/>
    <w:rsid w:val="0070362A"/>
    <w:rsid w:val="00706C85"/>
    <w:rsid w:val="00706C8A"/>
    <w:rsid w:val="00706D24"/>
    <w:rsid w:val="00706FFE"/>
    <w:rsid w:val="007074F3"/>
    <w:rsid w:val="007078DE"/>
    <w:rsid w:val="00707C13"/>
    <w:rsid w:val="00707CA0"/>
    <w:rsid w:val="00707FF8"/>
    <w:rsid w:val="00710D55"/>
    <w:rsid w:val="00711403"/>
    <w:rsid w:val="00711A36"/>
    <w:rsid w:val="00712037"/>
    <w:rsid w:val="007122DB"/>
    <w:rsid w:val="00712349"/>
    <w:rsid w:val="0071300F"/>
    <w:rsid w:val="00714BA0"/>
    <w:rsid w:val="00714BF5"/>
    <w:rsid w:val="00714CA9"/>
    <w:rsid w:val="0071509E"/>
    <w:rsid w:val="0071529C"/>
    <w:rsid w:val="00715B86"/>
    <w:rsid w:val="00715D83"/>
    <w:rsid w:val="00716E1A"/>
    <w:rsid w:val="007172AD"/>
    <w:rsid w:val="00717AE1"/>
    <w:rsid w:val="00717F1B"/>
    <w:rsid w:val="007204CC"/>
    <w:rsid w:val="007206BC"/>
    <w:rsid w:val="007213B3"/>
    <w:rsid w:val="007219E3"/>
    <w:rsid w:val="00722300"/>
    <w:rsid w:val="0072268A"/>
    <w:rsid w:val="00722A20"/>
    <w:rsid w:val="00722B1B"/>
    <w:rsid w:val="00722C6D"/>
    <w:rsid w:val="0072416F"/>
    <w:rsid w:val="007245B6"/>
    <w:rsid w:val="00724C54"/>
    <w:rsid w:val="007256AB"/>
    <w:rsid w:val="00725A5B"/>
    <w:rsid w:val="007276D0"/>
    <w:rsid w:val="00727C94"/>
    <w:rsid w:val="007300F7"/>
    <w:rsid w:val="00730E76"/>
    <w:rsid w:val="007319CC"/>
    <w:rsid w:val="00731EAE"/>
    <w:rsid w:val="00732692"/>
    <w:rsid w:val="00732CF8"/>
    <w:rsid w:val="00733811"/>
    <w:rsid w:val="007338E7"/>
    <w:rsid w:val="00734148"/>
    <w:rsid w:val="007342B3"/>
    <w:rsid w:val="00734DF9"/>
    <w:rsid w:val="00735033"/>
    <w:rsid w:val="007350EB"/>
    <w:rsid w:val="00735328"/>
    <w:rsid w:val="00735746"/>
    <w:rsid w:val="0073589A"/>
    <w:rsid w:val="0073591C"/>
    <w:rsid w:val="007361EB"/>
    <w:rsid w:val="007366F0"/>
    <w:rsid w:val="0073685B"/>
    <w:rsid w:val="00736FB0"/>
    <w:rsid w:val="00737039"/>
    <w:rsid w:val="007370E8"/>
    <w:rsid w:val="0073716D"/>
    <w:rsid w:val="00737237"/>
    <w:rsid w:val="007376CE"/>
    <w:rsid w:val="0074022C"/>
    <w:rsid w:val="00740663"/>
    <w:rsid w:val="0074088A"/>
    <w:rsid w:val="007416E4"/>
    <w:rsid w:val="007419A3"/>
    <w:rsid w:val="00741A07"/>
    <w:rsid w:val="007425F4"/>
    <w:rsid w:val="00742714"/>
    <w:rsid w:val="007427EA"/>
    <w:rsid w:val="0074299A"/>
    <w:rsid w:val="00743370"/>
    <w:rsid w:val="00743EEF"/>
    <w:rsid w:val="00744C1F"/>
    <w:rsid w:val="00744D3A"/>
    <w:rsid w:val="00744D96"/>
    <w:rsid w:val="007457E3"/>
    <w:rsid w:val="00746B91"/>
    <w:rsid w:val="00747643"/>
    <w:rsid w:val="00747949"/>
    <w:rsid w:val="00747BAC"/>
    <w:rsid w:val="00751865"/>
    <w:rsid w:val="00752142"/>
    <w:rsid w:val="007523F9"/>
    <w:rsid w:val="007529F2"/>
    <w:rsid w:val="007530E1"/>
    <w:rsid w:val="00753414"/>
    <w:rsid w:val="0075365A"/>
    <w:rsid w:val="00753AD3"/>
    <w:rsid w:val="00754138"/>
    <w:rsid w:val="00754411"/>
    <w:rsid w:val="00754BC5"/>
    <w:rsid w:val="0075571C"/>
    <w:rsid w:val="00755C2F"/>
    <w:rsid w:val="00755EDF"/>
    <w:rsid w:val="0075622A"/>
    <w:rsid w:val="007572E4"/>
    <w:rsid w:val="007573E8"/>
    <w:rsid w:val="0076063F"/>
    <w:rsid w:val="00760C4E"/>
    <w:rsid w:val="007630CE"/>
    <w:rsid w:val="00763D88"/>
    <w:rsid w:val="00763DA0"/>
    <w:rsid w:val="00763EC1"/>
    <w:rsid w:val="00764042"/>
    <w:rsid w:val="0076459E"/>
    <w:rsid w:val="007648EB"/>
    <w:rsid w:val="007648F2"/>
    <w:rsid w:val="00764A3A"/>
    <w:rsid w:val="00764D74"/>
    <w:rsid w:val="007651AE"/>
    <w:rsid w:val="0076594B"/>
    <w:rsid w:val="00765B1A"/>
    <w:rsid w:val="00765ED4"/>
    <w:rsid w:val="00766591"/>
    <w:rsid w:val="007667D7"/>
    <w:rsid w:val="007667F6"/>
    <w:rsid w:val="00767501"/>
    <w:rsid w:val="007676BB"/>
    <w:rsid w:val="00767A45"/>
    <w:rsid w:val="0077076F"/>
    <w:rsid w:val="00770D12"/>
    <w:rsid w:val="00770F14"/>
    <w:rsid w:val="00771ABE"/>
    <w:rsid w:val="00773271"/>
    <w:rsid w:val="00773450"/>
    <w:rsid w:val="007737F0"/>
    <w:rsid w:val="00773B70"/>
    <w:rsid w:val="0077452E"/>
    <w:rsid w:val="007749E3"/>
    <w:rsid w:val="00774A83"/>
    <w:rsid w:val="007754F0"/>
    <w:rsid w:val="007756A8"/>
    <w:rsid w:val="00775A16"/>
    <w:rsid w:val="00776296"/>
    <w:rsid w:val="007766CE"/>
    <w:rsid w:val="00776DEA"/>
    <w:rsid w:val="00776FD4"/>
    <w:rsid w:val="0077724C"/>
    <w:rsid w:val="007777C1"/>
    <w:rsid w:val="007778A3"/>
    <w:rsid w:val="00777D98"/>
    <w:rsid w:val="00777ED3"/>
    <w:rsid w:val="007800FE"/>
    <w:rsid w:val="00780E31"/>
    <w:rsid w:val="007818A7"/>
    <w:rsid w:val="00781BB4"/>
    <w:rsid w:val="00781E38"/>
    <w:rsid w:val="00781E7F"/>
    <w:rsid w:val="00781F67"/>
    <w:rsid w:val="007820D8"/>
    <w:rsid w:val="0078216F"/>
    <w:rsid w:val="007823A0"/>
    <w:rsid w:val="00782789"/>
    <w:rsid w:val="00782D0A"/>
    <w:rsid w:val="0078364A"/>
    <w:rsid w:val="00784236"/>
    <w:rsid w:val="007843F2"/>
    <w:rsid w:val="007845EA"/>
    <w:rsid w:val="00785019"/>
    <w:rsid w:val="00785396"/>
    <w:rsid w:val="00787742"/>
    <w:rsid w:val="0079043A"/>
    <w:rsid w:val="00791354"/>
    <w:rsid w:val="007919D1"/>
    <w:rsid w:val="00795B33"/>
    <w:rsid w:val="00795F88"/>
    <w:rsid w:val="0079603D"/>
    <w:rsid w:val="00796811"/>
    <w:rsid w:val="00796A6F"/>
    <w:rsid w:val="00796BE1"/>
    <w:rsid w:val="00797187"/>
    <w:rsid w:val="007A0610"/>
    <w:rsid w:val="007A0A12"/>
    <w:rsid w:val="007A1107"/>
    <w:rsid w:val="007A11CF"/>
    <w:rsid w:val="007A132D"/>
    <w:rsid w:val="007A1D03"/>
    <w:rsid w:val="007A3038"/>
    <w:rsid w:val="007A3E51"/>
    <w:rsid w:val="007A4571"/>
    <w:rsid w:val="007A4C7E"/>
    <w:rsid w:val="007A503D"/>
    <w:rsid w:val="007A5135"/>
    <w:rsid w:val="007A66F7"/>
    <w:rsid w:val="007A6800"/>
    <w:rsid w:val="007A6E40"/>
    <w:rsid w:val="007A6FA6"/>
    <w:rsid w:val="007A79C7"/>
    <w:rsid w:val="007A79EF"/>
    <w:rsid w:val="007B0D68"/>
    <w:rsid w:val="007B13E4"/>
    <w:rsid w:val="007B2041"/>
    <w:rsid w:val="007B251D"/>
    <w:rsid w:val="007B2EAD"/>
    <w:rsid w:val="007B3BA5"/>
    <w:rsid w:val="007B3E69"/>
    <w:rsid w:val="007B42A0"/>
    <w:rsid w:val="007B476B"/>
    <w:rsid w:val="007B4865"/>
    <w:rsid w:val="007B4F58"/>
    <w:rsid w:val="007B528D"/>
    <w:rsid w:val="007B53A1"/>
    <w:rsid w:val="007B59DC"/>
    <w:rsid w:val="007B5E29"/>
    <w:rsid w:val="007B6654"/>
    <w:rsid w:val="007B7199"/>
    <w:rsid w:val="007B77D1"/>
    <w:rsid w:val="007B79DA"/>
    <w:rsid w:val="007C0157"/>
    <w:rsid w:val="007C0C27"/>
    <w:rsid w:val="007C17DC"/>
    <w:rsid w:val="007C1CD9"/>
    <w:rsid w:val="007C1FF2"/>
    <w:rsid w:val="007C2A9A"/>
    <w:rsid w:val="007C3136"/>
    <w:rsid w:val="007C361D"/>
    <w:rsid w:val="007C3F9B"/>
    <w:rsid w:val="007C4A1D"/>
    <w:rsid w:val="007C4B84"/>
    <w:rsid w:val="007C6232"/>
    <w:rsid w:val="007C6380"/>
    <w:rsid w:val="007C65AF"/>
    <w:rsid w:val="007C766A"/>
    <w:rsid w:val="007D004F"/>
    <w:rsid w:val="007D0B38"/>
    <w:rsid w:val="007D0BE4"/>
    <w:rsid w:val="007D1463"/>
    <w:rsid w:val="007D1FA5"/>
    <w:rsid w:val="007D207A"/>
    <w:rsid w:val="007D2D4C"/>
    <w:rsid w:val="007D31E7"/>
    <w:rsid w:val="007D442E"/>
    <w:rsid w:val="007D4CB5"/>
    <w:rsid w:val="007D53DE"/>
    <w:rsid w:val="007D5440"/>
    <w:rsid w:val="007D64C5"/>
    <w:rsid w:val="007D6C17"/>
    <w:rsid w:val="007E0D0D"/>
    <w:rsid w:val="007E1535"/>
    <w:rsid w:val="007E190A"/>
    <w:rsid w:val="007E2426"/>
    <w:rsid w:val="007E2BEF"/>
    <w:rsid w:val="007E50C0"/>
    <w:rsid w:val="007E5222"/>
    <w:rsid w:val="007E5814"/>
    <w:rsid w:val="007E59D6"/>
    <w:rsid w:val="007E5A32"/>
    <w:rsid w:val="007E5C03"/>
    <w:rsid w:val="007E5FFE"/>
    <w:rsid w:val="007E6490"/>
    <w:rsid w:val="007E6663"/>
    <w:rsid w:val="007F1017"/>
    <w:rsid w:val="007F13C5"/>
    <w:rsid w:val="007F178C"/>
    <w:rsid w:val="007F2314"/>
    <w:rsid w:val="007F282C"/>
    <w:rsid w:val="007F2B2B"/>
    <w:rsid w:val="007F34EF"/>
    <w:rsid w:val="007F3C53"/>
    <w:rsid w:val="007F4A3F"/>
    <w:rsid w:val="007F4A61"/>
    <w:rsid w:val="007F5241"/>
    <w:rsid w:val="007F547B"/>
    <w:rsid w:val="007F5994"/>
    <w:rsid w:val="007F5D1F"/>
    <w:rsid w:val="007F61C2"/>
    <w:rsid w:val="007F62DC"/>
    <w:rsid w:val="007F762F"/>
    <w:rsid w:val="007F7850"/>
    <w:rsid w:val="0080050E"/>
    <w:rsid w:val="008009DB"/>
    <w:rsid w:val="00802C5A"/>
    <w:rsid w:val="008038AC"/>
    <w:rsid w:val="00804E72"/>
    <w:rsid w:val="00805142"/>
    <w:rsid w:val="00805A42"/>
    <w:rsid w:val="00805D17"/>
    <w:rsid w:val="00805D68"/>
    <w:rsid w:val="00805E0B"/>
    <w:rsid w:val="00805E4A"/>
    <w:rsid w:val="00806292"/>
    <w:rsid w:val="00807A8B"/>
    <w:rsid w:val="00807C25"/>
    <w:rsid w:val="00807EF8"/>
    <w:rsid w:val="008109EE"/>
    <w:rsid w:val="00810E24"/>
    <w:rsid w:val="00811383"/>
    <w:rsid w:val="00811AE2"/>
    <w:rsid w:val="00812149"/>
    <w:rsid w:val="00812CAC"/>
    <w:rsid w:val="00812D4C"/>
    <w:rsid w:val="00812DB9"/>
    <w:rsid w:val="008132E6"/>
    <w:rsid w:val="00813688"/>
    <w:rsid w:val="00814459"/>
    <w:rsid w:val="008149DA"/>
    <w:rsid w:val="008152DF"/>
    <w:rsid w:val="00816678"/>
    <w:rsid w:val="008166EF"/>
    <w:rsid w:val="00816714"/>
    <w:rsid w:val="00816EC0"/>
    <w:rsid w:val="00816ED5"/>
    <w:rsid w:val="00820357"/>
    <w:rsid w:val="0082036B"/>
    <w:rsid w:val="00820E37"/>
    <w:rsid w:val="0082118A"/>
    <w:rsid w:val="008213D2"/>
    <w:rsid w:val="00823B03"/>
    <w:rsid w:val="00823D0C"/>
    <w:rsid w:val="00824AD7"/>
    <w:rsid w:val="00825327"/>
    <w:rsid w:val="00825751"/>
    <w:rsid w:val="00825791"/>
    <w:rsid w:val="008259E1"/>
    <w:rsid w:val="00826027"/>
    <w:rsid w:val="00826403"/>
    <w:rsid w:val="008264EB"/>
    <w:rsid w:val="00826994"/>
    <w:rsid w:val="008269DC"/>
    <w:rsid w:val="00830B32"/>
    <w:rsid w:val="00832748"/>
    <w:rsid w:val="00832896"/>
    <w:rsid w:val="00833556"/>
    <w:rsid w:val="008335A7"/>
    <w:rsid w:val="00833B05"/>
    <w:rsid w:val="00834484"/>
    <w:rsid w:val="00834930"/>
    <w:rsid w:val="008352E2"/>
    <w:rsid w:val="00835E6F"/>
    <w:rsid w:val="008362B4"/>
    <w:rsid w:val="00836F3F"/>
    <w:rsid w:val="00840CA2"/>
    <w:rsid w:val="00841247"/>
    <w:rsid w:val="00841B28"/>
    <w:rsid w:val="00841DB6"/>
    <w:rsid w:val="00841EBD"/>
    <w:rsid w:val="00841FE4"/>
    <w:rsid w:val="00842E5F"/>
    <w:rsid w:val="00843719"/>
    <w:rsid w:val="0084374F"/>
    <w:rsid w:val="008442E2"/>
    <w:rsid w:val="0084472A"/>
    <w:rsid w:val="008447EB"/>
    <w:rsid w:val="008448DE"/>
    <w:rsid w:val="00844A3B"/>
    <w:rsid w:val="00845013"/>
    <w:rsid w:val="00845473"/>
    <w:rsid w:val="008456FC"/>
    <w:rsid w:val="008458DA"/>
    <w:rsid w:val="00846299"/>
    <w:rsid w:val="00846B4B"/>
    <w:rsid w:val="00847276"/>
    <w:rsid w:val="00847DF5"/>
    <w:rsid w:val="00850A29"/>
    <w:rsid w:val="008520AC"/>
    <w:rsid w:val="00852792"/>
    <w:rsid w:val="0085309D"/>
    <w:rsid w:val="00856020"/>
    <w:rsid w:val="0085666C"/>
    <w:rsid w:val="00856897"/>
    <w:rsid w:val="008569C8"/>
    <w:rsid w:val="00856CF2"/>
    <w:rsid w:val="00856E9A"/>
    <w:rsid w:val="008574E5"/>
    <w:rsid w:val="00857BC3"/>
    <w:rsid w:val="00857C53"/>
    <w:rsid w:val="00860074"/>
    <w:rsid w:val="008602A7"/>
    <w:rsid w:val="008603A5"/>
    <w:rsid w:val="008603EB"/>
    <w:rsid w:val="008605FA"/>
    <w:rsid w:val="0086075D"/>
    <w:rsid w:val="00860884"/>
    <w:rsid w:val="00860ECF"/>
    <w:rsid w:val="008613A1"/>
    <w:rsid w:val="00861F08"/>
    <w:rsid w:val="00862192"/>
    <w:rsid w:val="00862502"/>
    <w:rsid w:val="00864508"/>
    <w:rsid w:val="00865332"/>
    <w:rsid w:val="0086554B"/>
    <w:rsid w:val="00865A3F"/>
    <w:rsid w:val="008660D4"/>
    <w:rsid w:val="00870DCC"/>
    <w:rsid w:val="008714D8"/>
    <w:rsid w:val="00871628"/>
    <w:rsid w:val="00871D57"/>
    <w:rsid w:val="00871FA9"/>
    <w:rsid w:val="0087205B"/>
    <w:rsid w:val="008727F2"/>
    <w:rsid w:val="008728E9"/>
    <w:rsid w:val="008734EB"/>
    <w:rsid w:val="0087390E"/>
    <w:rsid w:val="00874087"/>
    <w:rsid w:val="008741C3"/>
    <w:rsid w:val="00874840"/>
    <w:rsid w:val="00875DE8"/>
    <w:rsid w:val="00877C92"/>
    <w:rsid w:val="0088108F"/>
    <w:rsid w:val="0088213E"/>
    <w:rsid w:val="00882874"/>
    <w:rsid w:val="00882D4D"/>
    <w:rsid w:val="00883787"/>
    <w:rsid w:val="008839B9"/>
    <w:rsid w:val="00883A68"/>
    <w:rsid w:val="00883CF0"/>
    <w:rsid w:val="00884005"/>
    <w:rsid w:val="00884475"/>
    <w:rsid w:val="00885221"/>
    <w:rsid w:val="00885775"/>
    <w:rsid w:val="008857AA"/>
    <w:rsid w:val="00885A8F"/>
    <w:rsid w:val="00886CD2"/>
    <w:rsid w:val="0088708A"/>
    <w:rsid w:val="00887255"/>
    <w:rsid w:val="008877EA"/>
    <w:rsid w:val="00890951"/>
    <w:rsid w:val="00890DD3"/>
    <w:rsid w:val="008917DA"/>
    <w:rsid w:val="00892479"/>
    <w:rsid w:val="008929DE"/>
    <w:rsid w:val="00892A36"/>
    <w:rsid w:val="00893239"/>
    <w:rsid w:val="00893D16"/>
    <w:rsid w:val="00894489"/>
    <w:rsid w:val="00894673"/>
    <w:rsid w:val="008963A5"/>
    <w:rsid w:val="0089642C"/>
    <w:rsid w:val="0089730A"/>
    <w:rsid w:val="00897766"/>
    <w:rsid w:val="008A069C"/>
    <w:rsid w:val="008A0DAD"/>
    <w:rsid w:val="008A103A"/>
    <w:rsid w:val="008A17DA"/>
    <w:rsid w:val="008A18EA"/>
    <w:rsid w:val="008A209E"/>
    <w:rsid w:val="008A2621"/>
    <w:rsid w:val="008A2871"/>
    <w:rsid w:val="008A3012"/>
    <w:rsid w:val="008A30A8"/>
    <w:rsid w:val="008A3363"/>
    <w:rsid w:val="008A3371"/>
    <w:rsid w:val="008A3AFB"/>
    <w:rsid w:val="008A3C3E"/>
    <w:rsid w:val="008A41AB"/>
    <w:rsid w:val="008A4E50"/>
    <w:rsid w:val="008A51DA"/>
    <w:rsid w:val="008A5349"/>
    <w:rsid w:val="008A555F"/>
    <w:rsid w:val="008A5731"/>
    <w:rsid w:val="008A5961"/>
    <w:rsid w:val="008A5D2A"/>
    <w:rsid w:val="008A5DF1"/>
    <w:rsid w:val="008A7790"/>
    <w:rsid w:val="008A79DE"/>
    <w:rsid w:val="008A7D2E"/>
    <w:rsid w:val="008B0ECC"/>
    <w:rsid w:val="008B11F4"/>
    <w:rsid w:val="008B1757"/>
    <w:rsid w:val="008B1788"/>
    <w:rsid w:val="008B18AD"/>
    <w:rsid w:val="008B3004"/>
    <w:rsid w:val="008B4561"/>
    <w:rsid w:val="008B509F"/>
    <w:rsid w:val="008B5585"/>
    <w:rsid w:val="008B66FD"/>
    <w:rsid w:val="008B674A"/>
    <w:rsid w:val="008B77B6"/>
    <w:rsid w:val="008B78F6"/>
    <w:rsid w:val="008B7903"/>
    <w:rsid w:val="008B7D7E"/>
    <w:rsid w:val="008C036B"/>
    <w:rsid w:val="008C09B0"/>
    <w:rsid w:val="008C09CC"/>
    <w:rsid w:val="008C156B"/>
    <w:rsid w:val="008C2CD2"/>
    <w:rsid w:val="008C3F54"/>
    <w:rsid w:val="008C45F9"/>
    <w:rsid w:val="008C50E5"/>
    <w:rsid w:val="008C51D9"/>
    <w:rsid w:val="008C58E0"/>
    <w:rsid w:val="008C5F76"/>
    <w:rsid w:val="008C672E"/>
    <w:rsid w:val="008C6A8E"/>
    <w:rsid w:val="008C6AA0"/>
    <w:rsid w:val="008C6F79"/>
    <w:rsid w:val="008C7D0E"/>
    <w:rsid w:val="008C7ECB"/>
    <w:rsid w:val="008D032B"/>
    <w:rsid w:val="008D10A4"/>
    <w:rsid w:val="008D175F"/>
    <w:rsid w:val="008D19C5"/>
    <w:rsid w:val="008D1EC0"/>
    <w:rsid w:val="008D2A32"/>
    <w:rsid w:val="008D34FD"/>
    <w:rsid w:val="008D3554"/>
    <w:rsid w:val="008D359D"/>
    <w:rsid w:val="008D36D7"/>
    <w:rsid w:val="008D3FA1"/>
    <w:rsid w:val="008D410D"/>
    <w:rsid w:val="008D4531"/>
    <w:rsid w:val="008D4604"/>
    <w:rsid w:val="008D4755"/>
    <w:rsid w:val="008D4C3D"/>
    <w:rsid w:val="008D5F8F"/>
    <w:rsid w:val="008D7B80"/>
    <w:rsid w:val="008E09FA"/>
    <w:rsid w:val="008E0A7F"/>
    <w:rsid w:val="008E0D3C"/>
    <w:rsid w:val="008E1146"/>
    <w:rsid w:val="008E12DC"/>
    <w:rsid w:val="008E1724"/>
    <w:rsid w:val="008E1B9E"/>
    <w:rsid w:val="008E206F"/>
    <w:rsid w:val="008E2BC7"/>
    <w:rsid w:val="008E353D"/>
    <w:rsid w:val="008E41E0"/>
    <w:rsid w:val="008E55AB"/>
    <w:rsid w:val="008E6DA1"/>
    <w:rsid w:val="008E6F5E"/>
    <w:rsid w:val="008E7473"/>
    <w:rsid w:val="008E7ABE"/>
    <w:rsid w:val="008F07D8"/>
    <w:rsid w:val="008F120A"/>
    <w:rsid w:val="008F13BB"/>
    <w:rsid w:val="008F1B70"/>
    <w:rsid w:val="008F1EFE"/>
    <w:rsid w:val="008F2353"/>
    <w:rsid w:val="008F27E0"/>
    <w:rsid w:val="008F2C8F"/>
    <w:rsid w:val="008F2D2C"/>
    <w:rsid w:val="008F2D38"/>
    <w:rsid w:val="008F3D54"/>
    <w:rsid w:val="008F48EB"/>
    <w:rsid w:val="008F4C25"/>
    <w:rsid w:val="008F4EFF"/>
    <w:rsid w:val="008F4F0B"/>
    <w:rsid w:val="008F5EC8"/>
    <w:rsid w:val="008F6793"/>
    <w:rsid w:val="008F75A6"/>
    <w:rsid w:val="008F76DE"/>
    <w:rsid w:val="0090022D"/>
    <w:rsid w:val="0090260D"/>
    <w:rsid w:val="00902E9C"/>
    <w:rsid w:val="00903D05"/>
    <w:rsid w:val="009046C4"/>
    <w:rsid w:val="00904B74"/>
    <w:rsid w:val="00905D02"/>
    <w:rsid w:val="009062A5"/>
    <w:rsid w:val="009064B8"/>
    <w:rsid w:val="009103A9"/>
    <w:rsid w:val="00910FFE"/>
    <w:rsid w:val="0091113E"/>
    <w:rsid w:val="00911272"/>
    <w:rsid w:val="009115B6"/>
    <w:rsid w:val="00911AC1"/>
    <w:rsid w:val="009122F8"/>
    <w:rsid w:val="00912D02"/>
    <w:rsid w:val="0091316E"/>
    <w:rsid w:val="0091337A"/>
    <w:rsid w:val="009135D6"/>
    <w:rsid w:val="00913ADA"/>
    <w:rsid w:val="00914155"/>
    <w:rsid w:val="00914C77"/>
    <w:rsid w:val="0091532D"/>
    <w:rsid w:val="00915556"/>
    <w:rsid w:val="00917311"/>
    <w:rsid w:val="0092061F"/>
    <w:rsid w:val="009213C3"/>
    <w:rsid w:val="00921811"/>
    <w:rsid w:val="00923172"/>
    <w:rsid w:val="00923279"/>
    <w:rsid w:val="0092369B"/>
    <w:rsid w:val="0092388C"/>
    <w:rsid w:val="00923998"/>
    <w:rsid w:val="009251E8"/>
    <w:rsid w:val="00925227"/>
    <w:rsid w:val="009252ED"/>
    <w:rsid w:val="00926087"/>
    <w:rsid w:val="009264CF"/>
    <w:rsid w:val="00926569"/>
    <w:rsid w:val="00926B2C"/>
    <w:rsid w:val="00926D95"/>
    <w:rsid w:val="00927485"/>
    <w:rsid w:val="00930157"/>
    <w:rsid w:val="009305AF"/>
    <w:rsid w:val="00931B11"/>
    <w:rsid w:val="00931FF3"/>
    <w:rsid w:val="0093387B"/>
    <w:rsid w:val="00934035"/>
    <w:rsid w:val="009345A6"/>
    <w:rsid w:val="00935887"/>
    <w:rsid w:val="00936AD8"/>
    <w:rsid w:val="00937424"/>
    <w:rsid w:val="00937511"/>
    <w:rsid w:val="00937B21"/>
    <w:rsid w:val="009400F8"/>
    <w:rsid w:val="00940646"/>
    <w:rsid w:val="009410D9"/>
    <w:rsid w:val="0094138D"/>
    <w:rsid w:val="00941550"/>
    <w:rsid w:val="009415FC"/>
    <w:rsid w:val="00942309"/>
    <w:rsid w:val="00943B13"/>
    <w:rsid w:val="00943E41"/>
    <w:rsid w:val="00943ED2"/>
    <w:rsid w:val="0094443E"/>
    <w:rsid w:val="009448F6"/>
    <w:rsid w:val="00944CDC"/>
    <w:rsid w:val="009452CC"/>
    <w:rsid w:val="009456FB"/>
    <w:rsid w:val="00946367"/>
    <w:rsid w:val="00946604"/>
    <w:rsid w:val="00947BBF"/>
    <w:rsid w:val="00947DB6"/>
    <w:rsid w:val="009502FF"/>
    <w:rsid w:val="0095090B"/>
    <w:rsid w:val="009509F1"/>
    <w:rsid w:val="00950CC7"/>
    <w:rsid w:val="0095109C"/>
    <w:rsid w:val="009510A2"/>
    <w:rsid w:val="0095176B"/>
    <w:rsid w:val="009518EE"/>
    <w:rsid w:val="00951970"/>
    <w:rsid w:val="0095217E"/>
    <w:rsid w:val="00952AD4"/>
    <w:rsid w:val="00953257"/>
    <w:rsid w:val="00953D95"/>
    <w:rsid w:val="00955778"/>
    <w:rsid w:val="00955F39"/>
    <w:rsid w:val="00956882"/>
    <w:rsid w:val="00957193"/>
    <w:rsid w:val="00957954"/>
    <w:rsid w:val="00960D2C"/>
    <w:rsid w:val="00961F02"/>
    <w:rsid w:val="009621CE"/>
    <w:rsid w:val="0096242A"/>
    <w:rsid w:val="00962764"/>
    <w:rsid w:val="00962CB9"/>
    <w:rsid w:val="00962F98"/>
    <w:rsid w:val="00963F79"/>
    <w:rsid w:val="00964312"/>
    <w:rsid w:val="00964879"/>
    <w:rsid w:val="00964973"/>
    <w:rsid w:val="00964974"/>
    <w:rsid w:val="00965B8A"/>
    <w:rsid w:val="00966588"/>
    <w:rsid w:val="00966656"/>
    <w:rsid w:val="009668C3"/>
    <w:rsid w:val="00967A2B"/>
    <w:rsid w:val="00967BAC"/>
    <w:rsid w:val="00971184"/>
    <w:rsid w:val="009714F7"/>
    <w:rsid w:val="009717AC"/>
    <w:rsid w:val="00971816"/>
    <w:rsid w:val="009719A8"/>
    <w:rsid w:val="0097304C"/>
    <w:rsid w:val="00973417"/>
    <w:rsid w:val="0097349E"/>
    <w:rsid w:val="00973703"/>
    <w:rsid w:val="00973B5B"/>
    <w:rsid w:val="00975001"/>
    <w:rsid w:val="0097517D"/>
    <w:rsid w:val="00975713"/>
    <w:rsid w:val="009764C9"/>
    <w:rsid w:val="00976850"/>
    <w:rsid w:val="0097708A"/>
    <w:rsid w:val="00980A80"/>
    <w:rsid w:val="00983E57"/>
    <w:rsid w:val="0098425C"/>
    <w:rsid w:val="009849CE"/>
    <w:rsid w:val="00984A75"/>
    <w:rsid w:val="0098503D"/>
    <w:rsid w:val="00985905"/>
    <w:rsid w:val="00985CDE"/>
    <w:rsid w:val="00985D0B"/>
    <w:rsid w:val="009863D0"/>
    <w:rsid w:val="0098649C"/>
    <w:rsid w:val="0098675D"/>
    <w:rsid w:val="009869E2"/>
    <w:rsid w:val="009872E6"/>
    <w:rsid w:val="009875B0"/>
    <w:rsid w:val="00987E40"/>
    <w:rsid w:val="009901D1"/>
    <w:rsid w:val="009921F0"/>
    <w:rsid w:val="0099263F"/>
    <w:rsid w:val="00992958"/>
    <w:rsid w:val="00993D13"/>
    <w:rsid w:val="009942BB"/>
    <w:rsid w:val="00994396"/>
    <w:rsid w:val="00994AB6"/>
    <w:rsid w:val="00996B1A"/>
    <w:rsid w:val="009970CC"/>
    <w:rsid w:val="009971B5"/>
    <w:rsid w:val="0099771A"/>
    <w:rsid w:val="00997FC9"/>
    <w:rsid w:val="009A03C5"/>
    <w:rsid w:val="009A12D1"/>
    <w:rsid w:val="009A15FE"/>
    <w:rsid w:val="009A1BC1"/>
    <w:rsid w:val="009A2C69"/>
    <w:rsid w:val="009A2F4A"/>
    <w:rsid w:val="009A46A9"/>
    <w:rsid w:val="009A59BD"/>
    <w:rsid w:val="009A5D15"/>
    <w:rsid w:val="009A5DA8"/>
    <w:rsid w:val="009A70F3"/>
    <w:rsid w:val="009A7F10"/>
    <w:rsid w:val="009B129E"/>
    <w:rsid w:val="009B16B8"/>
    <w:rsid w:val="009B1C42"/>
    <w:rsid w:val="009B2F6E"/>
    <w:rsid w:val="009B37B6"/>
    <w:rsid w:val="009B3828"/>
    <w:rsid w:val="009B3E26"/>
    <w:rsid w:val="009B3EFE"/>
    <w:rsid w:val="009B61B6"/>
    <w:rsid w:val="009B650F"/>
    <w:rsid w:val="009B6EF8"/>
    <w:rsid w:val="009C04C8"/>
    <w:rsid w:val="009C0DC7"/>
    <w:rsid w:val="009C16F7"/>
    <w:rsid w:val="009C1E14"/>
    <w:rsid w:val="009C1FFF"/>
    <w:rsid w:val="009C2D9F"/>
    <w:rsid w:val="009C4139"/>
    <w:rsid w:val="009C5026"/>
    <w:rsid w:val="009C5188"/>
    <w:rsid w:val="009C6CEA"/>
    <w:rsid w:val="009C6D81"/>
    <w:rsid w:val="009C6FF8"/>
    <w:rsid w:val="009C774E"/>
    <w:rsid w:val="009C7B85"/>
    <w:rsid w:val="009D0995"/>
    <w:rsid w:val="009D14FE"/>
    <w:rsid w:val="009D1658"/>
    <w:rsid w:val="009D278B"/>
    <w:rsid w:val="009D2A42"/>
    <w:rsid w:val="009D312E"/>
    <w:rsid w:val="009D325C"/>
    <w:rsid w:val="009D36DF"/>
    <w:rsid w:val="009D4006"/>
    <w:rsid w:val="009D52E7"/>
    <w:rsid w:val="009D598A"/>
    <w:rsid w:val="009D5B91"/>
    <w:rsid w:val="009D792E"/>
    <w:rsid w:val="009E0DFE"/>
    <w:rsid w:val="009E0E65"/>
    <w:rsid w:val="009E34B1"/>
    <w:rsid w:val="009E35D2"/>
    <w:rsid w:val="009E392F"/>
    <w:rsid w:val="009E49A8"/>
    <w:rsid w:val="009E4C07"/>
    <w:rsid w:val="009E4DD8"/>
    <w:rsid w:val="009E5229"/>
    <w:rsid w:val="009E557D"/>
    <w:rsid w:val="009E62BA"/>
    <w:rsid w:val="009E6619"/>
    <w:rsid w:val="009E67DE"/>
    <w:rsid w:val="009E700A"/>
    <w:rsid w:val="009E7B5A"/>
    <w:rsid w:val="009F0B1E"/>
    <w:rsid w:val="009F0C20"/>
    <w:rsid w:val="009F100C"/>
    <w:rsid w:val="009F11F6"/>
    <w:rsid w:val="009F1F04"/>
    <w:rsid w:val="009F1F30"/>
    <w:rsid w:val="009F22DC"/>
    <w:rsid w:val="009F2520"/>
    <w:rsid w:val="009F3167"/>
    <w:rsid w:val="009F3ED6"/>
    <w:rsid w:val="009F4029"/>
    <w:rsid w:val="009F4ED3"/>
    <w:rsid w:val="009F4FAC"/>
    <w:rsid w:val="009F5893"/>
    <w:rsid w:val="009F63B7"/>
    <w:rsid w:val="009F6A42"/>
    <w:rsid w:val="009F7B6D"/>
    <w:rsid w:val="009F7F85"/>
    <w:rsid w:val="00A004C6"/>
    <w:rsid w:val="00A01184"/>
    <w:rsid w:val="00A015CC"/>
    <w:rsid w:val="00A01F82"/>
    <w:rsid w:val="00A02561"/>
    <w:rsid w:val="00A02B36"/>
    <w:rsid w:val="00A033BA"/>
    <w:rsid w:val="00A03D43"/>
    <w:rsid w:val="00A04033"/>
    <w:rsid w:val="00A0427B"/>
    <w:rsid w:val="00A04380"/>
    <w:rsid w:val="00A04E70"/>
    <w:rsid w:val="00A05652"/>
    <w:rsid w:val="00A065ED"/>
    <w:rsid w:val="00A06AF7"/>
    <w:rsid w:val="00A0734F"/>
    <w:rsid w:val="00A10ABC"/>
    <w:rsid w:val="00A10D54"/>
    <w:rsid w:val="00A10F4E"/>
    <w:rsid w:val="00A10FCE"/>
    <w:rsid w:val="00A1193C"/>
    <w:rsid w:val="00A11CD0"/>
    <w:rsid w:val="00A12AA0"/>
    <w:rsid w:val="00A13948"/>
    <w:rsid w:val="00A13C39"/>
    <w:rsid w:val="00A1400F"/>
    <w:rsid w:val="00A140FB"/>
    <w:rsid w:val="00A1555B"/>
    <w:rsid w:val="00A155C5"/>
    <w:rsid w:val="00A15831"/>
    <w:rsid w:val="00A159E0"/>
    <w:rsid w:val="00A16AD8"/>
    <w:rsid w:val="00A16B13"/>
    <w:rsid w:val="00A16BAA"/>
    <w:rsid w:val="00A16C8E"/>
    <w:rsid w:val="00A16D0D"/>
    <w:rsid w:val="00A173E9"/>
    <w:rsid w:val="00A1771C"/>
    <w:rsid w:val="00A17AA8"/>
    <w:rsid w:val="00A17B91"/>
    <w:rsid w:val="00A20006"/>
    <w:rsid w:val="00A20A2C"/>
    <w:rsid w:val="00A20C1D"/>
    <w:rsid w:val="00A21CF3"/>
    <w:rsid w:val="00A22260"/>
    <w:rsid w:val="00A2226A"/>
    <w:rsid w:val="00A2250E"/>
    <w:rsid w:val="00A22FA9"/>
    <w:rsid w:val="00A230E8"/>
    <w:rsid w:val="00A23573"/>
    <w:rsid w:val="00A2400D"/>
    <w:rsid w:val="00A24ECF"/>
    <w:rsid w:val="00A252C5"/>
    <w:rsid w:val="00A27AEC"/>
    <w:rsid w:val="00A302B3"/>
    <w:rsid w:val="00A30566"/>
    <w:rsid w:val="00A30964"/>
    <w:rsid w:val="00A320DB"/>
    <w:rsid w:val="00A33A8A"/>
    <w:rsid w:val="00A34A45"/>
    <w:rsid w:val="00A34C65"/>
    <w:rsid w:val="00A3519E"/>
    <w:rsid w:val="00A35ACD"/>
    <w:rsid w:val="00A35D16"/>
    <w:rsid w:val="00A3707B"/>
    <w:rsid w:val="00A37BCD"/>
    <w:rsid w:val="00A37D36"/>
    <w:rsid w:val="00A40891"/>
    <w:rsid w:val="00A4215C"/>
    <w:rsid w:val="00A42757"/>
    <w:rsid w:val="00A42AD7"/>
    <w:rsid w:val="00A42D3F"/>
    <w:rsid w:val="00A42D8B"/>
    <w:rsid w:val="00A43C59"/>
    <w:rsid w:val="00A43C8B"/>
    <w:rsid w:val="00A440DC"/>
    <w:rsid w:val="00A44A1A"/>
    <w:rsid w:val="00A44F42"/>
    <w:rsid w:val="00A46327"/>
    <w:rsid w:val="00A471A0"/>
    <w:rsid w:val="00A47B8A"/>
    <w:rsid w:val="00A50ECD"/>
    <w:rsid w:val="00A518F3"/>
    <w:rsid w:val="00A51C8C"/>
    <w:rsid w:val="00A51E8E"/>
    <w:rsid w:val="00A52729"/>
    <w:rsid w:val="00A528ED"/>
    <w:rsid w:val="00A53675"/>
    <w:rsid w:val="00A539D1"/>
    <w:rsid w:val="00A54495"/>
    <w:rsid w:val="00A551F7"/>
    <w:rsid w:val="00A55BBA"/>
    <w:rsid w:val="00A56037"/>
    <w:rsid w:val="00A564D7"/>
    <w:rsid w:val="00A5656A"/>
    <w:rsid w:val="00A56B6A"/>
    <w:rsid w:val="00A57855"/>
    <w:rsid w:val="00A578DC"/>
    <w:rsid w:val="00A607DD"/>
    <w:rsid w:val="00A607E0"/>
    <w:rsid w:val="00A6112E"/>
    <w:rsid w:val="00A6144E"/>
    <w:rsid w:val="00A618D3"/>
    <w:rsid w:val="00A62056"/>
    <w:rsid w:val="00A62205"/>
    <w:rsid w:val="00A627D0"/>
    <w:rsid w:val="00A63189"/>
    <w:rsid w:val="00A64805"/>
    <w:rsid w:val="00A648E6"/>
    <w:rsid w:val="00A64D11"/>
    <w:rsid w:val="00A65AD6"/>
    <w:rsid w:val="00A662F4"/>
    <w:rsid w:val="00A666E3"/>
    <w:rsid w:val="00A667D4"/>
    <w:rsid w:val="00A6725B"/>
    <w:rsid w:val="00A67C89"/>
    <w:rsid w:val="00A67F11"/>
    <w:rsid w:val="00A67F2E"/>
    <w:rsid w:val="00A70605"/>
    <w:rsid w:val="00A725A2"/>
    <w:rsid w:val="00A72B18"/>
    <w:rsid w:val="00A73031"/>
    <w:rsid w:val="00A73134"/>
    <w:rsid w:val="00A74516"/>
    <w:rsid w:val="00A74DE1"/>
    <w:rsid w:val="00A75023"/>
    <w:rsid w:val="00A75D45"/>
    <w:rsid w:val="00A76462"/>
    <w:rsid w:val="00A765E4"/>
    <w:rsid w:val="00A76A28"/>
    <w:rsid w:val="00A775A4"/>
    <w:rsid w:val="00A77612"/>
    <w:rsid w:val="00A777B2"/>
    <w:rsid w:val="00A77975"/>
    <w:rsid w:val="00A77A94"/>
    <w:rsid w:val="00A77AC6"/>
    <w:rsid w:val="00A77EC5"/>
    <w:rsid w:val="00A77F65"/>
    <w:rsid w:val="00A80631"/>
    <w:rsid w:val="00A82065"/>
    <w:rsid w:val="00A8228E"/>
    <w:rsid w:val="00A82991"/>
    <w:rsid w:val="00A83222"/>
    <w:rsid w:val="00A841CE"/>
    <w:rsid w:val="00A8463F"/>
    <w:rsid w:val="00A859E5"/>
    <w:rsid w:val="00A85CAE"/>
    <w:rsid w:val="00A862EC"/>
    <w:rsid w:val="00A86E8B"/>
    <w:rsid w:val="00A87164"/>
    <w:rsid w:val="00A87892"/>
    <w:rsid w:val="00A87952"/>
    <w:rsid w:val="00A87986"/>
    <w:rsid w:val="00A90146"/>
    <w:rsid w:val="00A90B6D"/>
    <w:rsid w:val="00A90BDD"/>
    <w:rsid w:val="00A9146F"/>
    <w:rsid w:val="00A91A69"/>
    <w:rsid w:val="00A92386"/>
    <w:rsid w:val="00A929F8"/>
    <w:rsid w:val="00A93072"/>
    <w:rsid w:val="00A93289"/>
    <w:rsid w:val="00A937ED"/>
    <w:rsid w:val="00A93953"/>
    <w:rsid w:val="00A93C9D"/>
    <w:rsid w:val="00A94BC4"/>
    <w:rsid w:val="00A9590F"/>
    <w:rsid w:val="00A959D8"/>
    <w:rsid w:val="00A9633F"/>
    <w:rsid w:val="00A96738"/>
    <w:rsid w:val="00A970A5"/>
    <w:rsid w:val="00A97C89"/>
    <w:rsid w:val="00AA00C9"/>
    <w:rsid w:val="00AA0405"/>
    <w:rsid w:val="00AA071E"/>
    <w:rsid w:val="00AA0F73"/>
    <w:rsid w:val="00AA113D"/>
    <w:rsid w:val="00AA2066"/>
    <w:rsid w:val="00AA23A7"/>
    <w:rsid w:val="00AA251B"/>
    <w:rsid w:val="00AA3907"/>
    <w:rsid w:val="00AA3A68"/>
    <w:rsid w:val="00AA3DF0"/>
    <w:rsid w:val="00AA47CC"/>
    <w:rsid w:val="00AA5408"/>
    <w:rsid w:val="00AA564A"/>
    <w:rsid w:val="00AA5D8A"/>
    <w:rsid w:val="00AA677F"/>
    <w:rsid w:val="00AA6872"/>
    <w:rsid w:val="00AA6B88"/>
    <w:rsid w:val="00AA6C7D"/>
    <w:rsid w:val="00AA6CB5"/>
    <w:rsid w:val="00AA7911"/>
    <w:rsid w:val="00AA7FD6"/>
    <w:rsid w:val="00AB042A"/>
    <w:rsid w:val="00AB13DF"/>
    <w:rsid w:val="00AB159A"/>
    <w:rsid w:val="00AB188B"/>
    <w:rsid w:val="00AB2D01"/>
    <w:rsid w:val="00AB2D34"/>
    <w:rsid w:val="00AB2E7E"/>
    <w:rsid w:val="00AB335D"/>
    <w:rsid w:val="00AB3430"/>
    <w:rsid w:val="00AB3545"/>
    <w:rsid w:val="00AB4AD1"/>
    <w:rsid w:val="00AB4BC1"/>
    <w:rsid w:val="00AB4D5D"/>
    <w:rsid w:val="00AB57FB"/>
    <w:rsid w:val="00AB58E6"/>
    <w:rsid w:val="00AB5ACC"/>
    <w:rsid w:val="00AB5B00"/>
    <w:rsid w:val="00AB5BC9"/>
    <w:rsid w:val="00AB61A0"/>
    <w:rsid w:val="00AB6254"/>
    <w:rsid w:val="00AB6564"/>
    <w:rsid w:val="00AB68B1"/>
    <w:rsid w:val="00AB7CFA"/>
    <w:rsid w:val="00AC0359"/>
    <w:rsid w:val="00AC041A"/>
    <w:rsid w:val="00AC06FE"/>
    <w:rsid w:val="00AC30D3"/>
    <w:rsid w:val="00AC3407"/>
    <w:rsid w:val="00AC3DCE"/>
    <w:rsid w:val="00AC5496"/>
    <w:rsid w:val="00AC5B48"/>
    <w:rsid w:val="00AC5D89"/>
    <w:rsid w:val="00AC61DB"/>
    <w:rsid w:val="00AC6228"/>
    <w:rsid w:val="00AC626A"/>
    <w:rsid w:val="00AC6AD7"/>
    <w:rsid w:val="00AD11D0"/>
    <w:rsid w:val="00AD1232"/>
    <w:rsid w:val="00AD14DC"/>
    <w:rsid w:val="00AD1683"/>
    <w:rsid w:val="00AD2226"/>
    <w:rsid w:val="00AD2B02"/>
    <w:rsid w:val="00AD3169"/>
    <w:rsid w:val="00AD3336"/>
    <w:rsid w:val="00AD46C3"/>
    <w:rsid w:val="00AD5ECA"/>
    <w:rsid w:val="00AD6080"/>
    <w:rsid w:val="00AD6502"/>
    <w:rsid w:val="00AD6785"/>
    <w:rsid w:val="00AD6802"/>
    <w:rsid w:val="00AD6F6A"/>
    <w:rsid w:val="00AD7389"/>
    <w:rsid w:val="00AD749E"/>
    <w:rsid w:val="00AD79B4"/>
    <w:rsid w:val="00AE0492"/>
    <w:rsid w:val="00AE14C6"/>
    <w:rsid w:val="00AE1760"/>
    <w:rsid w:val="00AE2A17"/>
    <w:rsid w:val="00AE2AF4"/>
    <w:rsid w:val="00AE2FDF"/>
    <w:rsid w:val="00AE30BF"/>
    <w:rsid w:val="00AE4926"/>
    <w:rsid w:val="00AE4F65"/>
    <w:rsid w:val="00AE5A87"/>
    <w:rsid w:val="00AE616A"/>
    <w:rsid w:val="00AE667C"/>
    <w:rsid w:val="00AE6807"/>
    <w:rsid w:val="00AE71FD"/>
    <w:rsid w:val="00AE73F9"/>
    <w:rsid w:val="00AE7425"/>
    <w:rsid w:val="00AE74A6"/>
    <w:rsid w:val="00AE7B35"/>
    <w:rsid w:val="00AF0F99"/>
    <w:rsid w:val="00AF11B6"/>
    <w:rsid w:val="00AF1315"/>
    <w:rsid w:val="00AF19BF"/>
    <w:rsid w:val="00AF232F"/>
    <w:rsid w:val="00AF2DC3"/>
    <w:rsid w:val="00AF4927"/>
    <w:rsid w:val="00AF5E04"/>
    <w:rsid w:val="00AF64B8"/>
    <w:rsid w:val="00AF65C5"/>
    <w:rsid w:val="00AF7230"/>
    <w:rsid w:val="00AF7953"/>
    <w:rsid w:val="00AF7B84"/>
    <w:rsid w:val="00AF7E92"/>
    <w:rsid w:val="00B008DB"/>
    <w:rsid w:val="00B00926"/>
    <w:rsid w:val="00B00A70"/>
    <w:rsid w:val="00B014E9"/>
    <w:rsid w:val="00B02208"/>
    <w:rsid w:val="00B026D7"/>
    <w:rsid w:val="00B03105"/>
    <w:rsid w:val="00B032B4"/>
    <w:rsid w:val="00B033E5"/>
    <w:rsid w:val="00B0385D"/>
    <w:rsid w:val="00B03A63"/>
    <w:rsid w:val="00B03DC0"/>
    <w:rsid w:val="00B047F4"/>
    <w:rsid w:val="00B04849"/>
    <w:rsid w:val="00B0485B"/>
    <w:rsid w:val="00B048EB"/>
    <w:rsid w:val="00B05B83"/>
    <w:rsid w:val="00B071CD"/>
    <w:rsid w:val="00B10759"/>
    <w:rsid w:val="00B10988"/>
    <w:rsid w:val="00B114FE"/>
    <w:rsid w:val="00B11817"/>
    <w:rsid w:val="00B120F6"/>
    <w:rsid w:val="00B12D20"/>
    <w:rsid w:val="00B13603"/>
    <w:rsid w:val="00B1520E"/>
    <w:rsid w:val="00B15907"/>
    <w:rsid w:val="00B16556"/>
    <w:rsid w:val="00B168A2"/>
    <w:rsid w:val="00B168D4"/>
    <w:rsid w:val="00B16A87"/>
    <w:rsid w:val="00B16B13"/>
    <w:rsid w:val="00B16C30"/>
    <w:rsid w:val="00B201A4"/>
    <w:rsid w:val="00B20263"/>
    <w:rsid w:val="00B213A6"/>
    <w:rsid w:val="00B213D0"/>
    <w:rsid w:val="00B21A23"/>
    <w:rsid w:val="00B21F83"/>
    <w:rsid w:val="00B2218F"/>
    <w:rsid w:val="00B223F4"/>
    <w:rsid w:val="00B22E42"/>
    <w:rsid w:val="00B23115"/>
    <w:rsid w:val="00B24DF6"/>
    <w:rsid w:val="00B250A4"/>
    <w:rsid w:val="00B254AE"/>
    <w:rsid w:val="00B257C8"/>
    <w:rsid w:val="00B25A2A"/>
    <w:rsid w:val="00B26644"/>
    <w:rsid w:val="00B266D5"/>
    <w:rsid w:val="00B26854"/>
    <w:rsid w:val="00B278BB"/>
    <w:rsid w:val="00B27B7B"/>
    <w:rsid w:val="00B30AF8"/>
    <w:rsid w:val="00B30F9D"/>
    <w:rsid w:val="00B31406"/>
    <w:rsid w:val="00B342A0"/>
    <w:rsid w:val="00B34E6F"/>
    <w:rsid w:val="00B34EBF"/>
    <w:rsid w:val="00B34FE2"/>
    <w:rsid w:val="00B3509D"/>
    <w:rsid w:val="00B355D4"/>
    <w:rsid w:val="00B357D8"/>
    <w:rsid w:val="00B35DE5"/>
    <w:rsid w:val="00B35DFD"/>
    <w:rsid w:val="00B35FC9"/>
    <w:rsid w:val="00B361F0"/>
    <w:rsid w:val="00B36553"/>
    <w:rsid w:val="00B36614"/>
    <w:rsid w:val="00B3693D"/>
    <w:rsid w:val="00B36BD1"/>
    <w:rsid w:val="00B36E15"/>
    <w:rsid w:val="00B376F2"/>
    <w:rsid w:val="00B37739"/>
    <w:rsid w:val="00B37BFC"/>
    <w:rsid w:val="00B40358"/>
    <w:rsid w:val="00B4064C"/>
    <w:rsid w:val="00B409CA"/>
    <w:rsid w:val="00B41122"/>
    <w:rsid w:val="00B41614"/>
    <w:rsid w:val="00B41CCC"/>
    <w:rsid w:val="00B42851"/>
    <w:rsid w:val="00B42F80"/>
    <w:rsid w:val="00B435CB"/>
    <w:rsid w:val="00B43CAF"/>
    <w:rsid w:val="00B444C1"/>
    <w:rsid w:val="00B444FA"/>
    <w:rsid w:val="00B44924"/>
    <w:rsid w:val="00B44CEA"/>
    <w:rsid w:val="00B4528F"/>
    <w:rsid w:val="00B452AC"/>
    <w:rsid w:val="00B46DBB"/>
    <w:rsid w:val="00B470EE"/>
    <w:rsid w:val="00B47C58"/>
    <w:rsid w:val="00B47E21"/>
    <w:rsid w:val="00B47E27"/>
    <w:rsid w:val="00B5036C"/>
    <w:rsid w:val="00B50619"/>
    <w:rsid w:val="00B5075C"/>
    <w:rsid w:val="00B50A02"/>
    <w:rsid w:val="00B50DB8"/>
    <w:rsid w:val="00B51BA4"/>
    <w:rsid w:val="00B523DB"/>
    <w:rsid w:val="00B52493"/>
    <w:rsid w:val="00B53134"/>
    <w:rsid w:val="00B53471"/>
    <w:rsid w:val="00B53654"/>
    <w:rsid w:val="00B53905"/>
    <w:rsid w:val="00B53FA7"/>
    <w:rsid w:val="00B54428"/>
    <w:rsid w:val="00B54B5B"/>
    <w:rsid w:val="00B5562E"/>
    <w:rsid w:val="00B558E6"/>
    <w:rsid w:val="00B55A0B"/>
    <w:rsid w:val="00B5667D"/>
    <w:rsid w:val="00B56EB0"/>
    <w:rsid w:val="00B57000"/>
    <w:rsid w:val="00B57643"/>
    <w:rsid w:val="00B60939"/>
    <w:rsid w:val="00B60AFD"/>
    <w:rsid w:val="00B6150E"/>
    <w:rsid w:val="00B61C8B"/>
    <w:rsid w:val="00B61E28"/>
    <w:rsid w:val="00B621B6"/>
    <w:rsid w:val="00B62715"/>
    <w:rsid w:val="00B62F65"/>
    <w:rsid w:val="00B6330D"/>
    <w:rsid w:val="00B6491A"/>
    <w:rsid w:val="00B649F2"/>
    <w:rsid w:val="00B64C09"/>
    <w:rsid w:val="00B651FE"/>
    <w:rsid w:val="00B65A2B"/>
    <w:rsid w:val="00B65A58"/>
    <w:rsid w:val="00B65D77"/>
    <w:rsid w:val="00B66E7C"/>
    <w:rsid w:val="00B70A59"/>
    <w:rsid w:val="00B7140B"/>
    <w:rsid w:val="00B71B9C"/>
    <w:rsid w:val="00B72561"/>
    <w:rsid w:val="00B72859"/>
    <w:rsid w:val="00B74AE7"/>
    <w:rsid w:val="00B755F9"/>
    <w:rsid w:val="00B75DC5"/>
    <w:rsid w:val="00B76EC0"/>
    <w:rsid w:val="00B77851"/>
    <w:rsid w:val="00B77AD9"/>
    <w:rsid w:val="00B80B58"/>
    <w:rsid w:val="00B80E14"/>
    <w:rsid w:val="00B80F9B"/>
    <w:rsid w:val="00B816C6"/>
    <w:rsid w:val="00B818A4"/>
    <w:rsid w:val="00B81AFF"/>
    <w:rsid w:val="00B81F8E"/>
    <w:rsid w:val="00B822BE"/>
    <w:rsid w:val="00B82958"/>
    <w:rsid w:val="00B82BC5"/>
    <w:rsid w:val="00B82F49"/>
    <w:rsid w:val="00B84117"/>
    <w:rsid w:val="00B842BF"/>
    <w:rsid w:val="00B8460B"/>
    <w:rsid w:val="00B849B5"/>
    <w:rsid w:val="00B84C4F"/>
    <w:rsid w:val="00B84C8E"/>
    <w:rsid w:val="00B85AA2"/>
    <w:rsid w:val="00B8649C"/>
    <w:rsid w:val="00B86FCB"/>
    <w:rsid w:val="00B871AD"/>
    <w:rsid w:val="00B87705"/>
    <w:rsid w:val="00B87F0A"/>
    <w:rsid w:val="00B901F4"/>
    <w:rsid w:val="00B915D2"/>
    <w:rsid w:val="00B91CB2"/>
    <w:rsid w:val="00B91F1E"/>
    <w:rsid w:val="00B926C9"/>
    <w:rsid w:val="00B92D0B"/>
    <w:rsid w:val="00B92F6D"/>
    <w:rsid w:val="00B93095"/>
    <w:rsid w:val="00B94945"/>
    <w:rsid w:val="00B951CA"/>
    <w:rsid w:val="00B9580F"/>
    <w:rsid w:val="00B95AC9"/>
    <w:rsid w:val="00B95B93"/>
    <w:rsid w:val="00B95DDB"/>
    <w:rsid w:val="00B96084"/>
    <w:rsid w:val="00B9691A"/>
    <w:rsid w:val="00B96FFD"/>
    <w:rsid w:val="00B970E1"/>
    <w:rsid w:val="00B979F0"/>
    <w:rsid w:val="00B97C89"/>
    <w:rsid w:val="00BA0733"/>
    <w:rsid w:val="00BA0912"/>
    <w:rsid w:val="00BA09D7"/>
    <w:rsid w:val="00BA0D2D"/>
    <w:rsid w:val="00BA206B"/>
    <w:rsid w:val="00BA31DD"/>
    <w:rsid w:val="00BA322D"/>
    <w:rsid w:val="00BA386E"/>
    <w:rsid w:val="00BA3984"/>
    <w:rsid w:val="00BA3A6C"/>
    <w:rsid w:val="00BA3EB7"/>
    <w:rsid w:val="00BA3ED7"/>
    <w:rsid w:val="00BA42B6"/>
    <w:rsid w:val="00BA4675"/>
    <w:rsid w:val="00BA4EDE"/>
    <w:rsid w:val="00BA6A51"/>
    <w:rsid w:val="00BB0395"/>
    <w:rsid w:val="00BB0BDD"/>
    <w:rsid w:val="00BB108C"/>
    <w:rsid w:val="00BB15B6"/>
    <w:rsid w:val="00BB1BFE"/>
    <w:rsid w:val="00BB1C1E"/>
    <w:rsid w:val="00BB1E37"/>
    <w:rsid w:val="00BB256C"/>
    <w:rsid w:val="00BB2A73"/>
    <w:rsid w:val="00BB2B2A"/>
    <w:rsid w:val="00BB3ABD"/>
    <w:rsid w:val="00BB3E1E"/>
    <w:rsid w:val="00BB3F2F"/>
    <w:rsid w:val="00BB3FB1"/>
    <w:rsid w:val="00BB4139"/>
    <w:rsid w:val="00BB4252"/>
    <w:rsid w:val="00BB4A3A"/>
    <w:rsid w:val="00BB4ACC"/>
    <w:rsid w:val="00BB4CFD"/>
    <w:rsid w:val="00BB527E"/>
    <w:rsid w:val="00BB528E"/>
    <w:rsid w:val="00BB5B60"/>
    <w:rsid w:val="00BB60DB"/>
    <w:rsid w:val="00BB642C"/>
    <w:rsid w:val="00BB65C0"/>
    <w:rsid w:val="00BB66C2"/>
    <w:rsid w:val="00BB6A4C"/>
    <w:rsid w:val="00BB703E"/>
    <w:rsid w:val="00BB7405"/>
    <w:rsid w:val="00BB7933"/>
    <w:rsid w:val="00BC0092"/>
    <w:rsid w:val="00BC0CBB"/>
    <w:rsid w:val="00BC10F0"/>
    <w:rsid w:val="00BC1297"/>
    <w:rsid w:val="00BC1DC0"/>
    <w:rsid w:val="00BC3015"/>
    <w:rsid w:val="00BC3631"/>
    <w:rsid w:val="00BC3632"/>
    <w:rsid w:val="00BC37CC"/>
    <w:rsid w:val="00BC3A49"/>
    <w:rsid w:val="00BC4B22"/>
    <w:rsid w:val="00BC4E58"/>
    <w:rsid w:val="00BC5EFD"/>
    <w:rsid w:val="00BC5F6E"/>
    <w:rsid w:val="00BC65FB"/>
    <w:rsid w:val="00BC6BBB"/>
    <w:rsid w:val="00BC6EDC"/>
    <w:rsid w:val="00BD0C36"/>
    <w:rsid w:val="00BD0DB8"/>
    <w:rsid w:val="00BD12DA"/>
    <w:rsid w:val="00BD140F"/>
    <w:rsid w:val="00BD1BA1"/>
    <w:rsid w:val="00BD1D4C"/>
    <w:rsid w:val="00BD2055"/>
    <w:rsid w:val="00BD2A46"/>
    <w:rsid w:val="00BD3056"/>
    <w:rsid w:val="00BD4DDB"/>
    <w:rsid w:val="00BD596D"/>
    <w:rsid w:val="00BD6393"/>
    <w:rsid w:val="00BD66F5"/>
    <w:rsid w:val="00BD6716"/>
    <w:rsid w:val="00BD678F"/>
    <w:rsid w:val="00BD68A3"/>
    <w:rsid w:val="00BD6903"/>
    <w:rsid w:val="00BD6938"/>
    <w:rsid w:val="00BD6CF3"/>
    <w:rsid w:val="00BD6FD2"/>
    <w:rsid w:val="00BD7561"/>
    <w:rsid w:val="00BD7D14"/>
    <w:rsid w:val="00BE0F3D"/>
    <w:rsid w:val="00BE10B3"/>
    <w:rsid w:val="00BE11CF"/>
    <w:rsid w:val="00BE1458"/>
    <w:rsid w:val="00BE2129"/>
    <w:rsid w:val="00BE2180"/>
    <w:rsid w:val="00BE21F2"/>
    <w:rsid w:val="00BE25F8"/>
    <w:rsid w:val="00BE2BC0"/>
    <w:rsid w:val="00BE3377"/>
    <w:rsid w:val="00BE3405"/>
    <w:rsid w:val="00BE412E"/>
    <w:rsid w:val="00BE4275"/>
    <w:rsid w:val="00BE5B55"/>
    <w:rsid w:val="00BE6244"/>
    <w:rsid w:val="00BE6519"/>
    <w:rsid w:val="00BE6D47"/>
    <w:rsid w:val="00BE7987"/>
    <w:rsid w:val="00BE7FFD"/>
    <w:rsid w:val="00BF0F95"/>
    <w:rsid w:val="00BF1A53"/>
    <w:rsid w:val="00BF1C55"/>
    <w:rsid w:val="00BF1FF5"/>
    <w:rsid w:val="00BF2433"/>
    <w:rsid w:val="00BF2E56"/>
    <w:rsid w:val="00BF3EDE"/>
    <w:rsid w:val="00BF4284"/>
    <w:rsid w:val="00BF4478"/>
    <w:rsid w:val="00BF4707"/>
    <w:rsid w:val="00BF61C9"/>
    <w:rsid w:val="00BF6C94"/>
    <w:rsid w:val="00BF6D50"/>
    <w:rsid w:val="00BF7469"/>
    <w:rsid w:val="00BF7EC0"/>
    <w:rsid w:val="00C00424"/>
    <w:rsid w:val="00C0069A"/>
    <w:rsid w:val="00C01156"/>
    <w:rsid w:val="00C01B1F"/>
    <w:rsid w:val="00C01B45"/>
    <w:rsid w:val="00C02014"/>
    <w:rsid w:val="00C025D6"/>
    <w:rsid w:val="00C0268D"/>
    <w:rsid w:val="00C02B68"/>
    <w:rsid w:val="00C02BAD"/>
    <w:rsid w:val="00C037F3"/>
    <w:rsid w:val="00C03B4B"/>
    <w:rsid w:val="00C04487"/>
    <w:rsid w:val="00C044E4"/>
    <w:rsid w:val="00C04AB2"/>
    <w:rsid w:val="00C055D9"/>
    <w:rsid w:val="00C05D6C"/>
    <w:rsid w:val="00C06092"/>
    <w:rsid w:val="00C06176"/>
    <w:rsid w:val="00C06687"/>
    <w:rsid w:val="00C068FF"/>
    <w:rsid w:val="00C06AAD"/>
    <w:rsid w:val="00C0792B"/>
    <w:rsid w:val="00C07983"/>
    <w:rsid w:val="00C07FD6"/>
    <w:rsid w:val="00C110E9"/>
    <w:rsid w:val="00C11307"/>
    <w:rsid w:val="00C11C1E"/>
    <w:rsid w:val="00C11C4B"/>
    <w:rsid w:val="00C11D9D"/>
    <w:rsid w:val="00C12129"/>
    <w:rsid w:val="00C121EE"/>
    <w:rsid w:val="00C128E5"/>
    <w:rsid w:val="00C12C14"/>
    <w:rsid w:val="00C12E69"/>
    <w:rsid w:val="00C13165"/>
    <w:rsid w:val="00C13B92"/>
    <w:rsid w:val="00C159F5"/>
    <w:rsid w:val="00C1762C"/>
    <w:rsid w:val="00C17D0F"/>
    <w:rsid w:val="00C200AA"/>
    <w:rsid w:val="00C205E3"/>
    <w:rsid w:val="00C20BE0"/>
    <w:rsid w:val="00C20D8C"/>
    <w:rsid w:val="00C2118D"/>
    <w:rsid w:val="00C21C7C"/>
    <w:rsid w:val="00C21E5D"/>
    <w:rsid w:val="00C21F01"/>
    <w:rsid w:val="00C220FE"/>
    <w:rsid w:val="00C22560"/>
    <w:rsid w:val="00C22C49"/>
    <w:rsid w:val="00C22D43"/>
    <w:rsid w:val="00C237ED"/>
    <w:rsid w:val="00C2410F"/>
    <w:rsid w:val="00C24632"/>
    <w:rsid w:val="00C247AB"/>
    <w:rsid w:val="00C24976"/>
    <w:rsid w:val="00C24A89"/>
    <w:rsid w:val="00C25418"/>
    <w:rsid w:val="00C25C24"/>
    <w:rsid w:val="00C25D9C"/>
    <w:rsid w:val="00C25E7A"/>
    <w:rsid w:val="00C27076"/>
    <w:rsid w:val="00C2778B"/>
    <w:rsid w:val="00C27C48"/>
    <w:rsid w:val="00C27C4B"/>
    <w:rsid w:val="00C3004E"/>
    <w:rsid w:val="00C30639"/>
    <w:rsid w:val="00C30946"/>
    <w:rsid w:val="00C31649"/>
    <w:rsid w:val="00C323D5"/>
    <w:rsid w:val="00C32545"/>
    <w:rsid w:val="00C32C9E"/>
    <w:rsid w:val="00C33C21"/>
    <w:rsid w:val="00C3402E"/>
    <w:rsid w:val="00C352C8"/>
    <w:rsid w:val="00C355EF"/>
    <w:rsid w:val="00C35601"/>
    <w:rsid w:val="00C36FDF"/>
    <w:rsid w:val="00C37397"/>
    <w:rsid w:val="00C37550"/>
    <w:rsid w:val="00C37A4A"/>
    <w:rsid w:val="00C37CA8"/>
    <w:rsid w:val="00C40385"/>
    <w:rsid w:val="00C4096B"/>
    <w:rsid w:val="00C40F86"/>
    <w:rsid w:val="00C415F2"/>
    <w:rsid w:val="00C42D13"/>
    <w:rsid w:val="00C439A2"/>
    <w:rsid w:val="00C43B02"/>
    <w:rsid w:val="00C43D00"/>
    <w:rsid w:val="00C43D23"/>
    <w:rsid w:val="00C441D7"/>
    <w:rsid w:val="00C446AF"/>
    <w:rsid w:val="00C44B4D"/>
    <w:rsid w:val="00C45870"/>
    <w:rsid w:val="00C46F3A"/>
    <w:rsid w:val="00C4715E"/>
    <w:rsid w:val="00C475AA"/>
    <w:rsid w:val="00C50EE0"/>
    <w:rsid w:val="00C51F8C"/>
    <w:rsid w:val="00C526C3"/>
    <w:rsid w:val="00C52894"/>
    <w:rsid w:val="00C52E56"/>
    <w:rsid w:val="00C53B19"/>
    <w:rsid w:val="00C546C1"/>
    <w:rsid w:val="00C554DB"/>
    <w:rsid w:val="00C55706"/>
    <w:rsid w:val="00C5630F"/>
    <w:rsid w:val="00C5679D"/>
    <w:rsid w:val="00C56A11"/>
    <w:rsid w:val="00C56D92"/>
    <w:rsid w:val="00C57071"/>
    <w:rsid w:val="00C5789A"/>
    <w:rsid w:val="00C57F54"/>
    <w:rsid w:val="00C60305"/>
    <w:rsid w:val="00C61633"/>
    <w:rsid w:val="00C61A29"/>
    <w:rsid w:val="00C61D53"/>
    <w:rsid w:val="00C62BC5"/>
    <w:rsid w:val="00C6310C"/>
    <w:rsid w:val="00C63E1E"/>
    <w:rsid w:val="00C64171"/>
    <w:rsid w:val="00C6425A"/>
    <w:rsid w:val="00C65576"/>
    <w:rsid w:val="00C65843"/>
    <w:rsid w:val="00C66165"/>
    <w:rsid w:val="00C674F0"/>
    <w:rsid w:val="00C702B4"/>
    <w:rsid w:val="00C70DD8"/>
    <w:rsid w:val="00C7151A"/>
    <w:rsid w:val="00C71E61"/>
    <w:rsid w:val="00C71F60"/>
    <w:rsid w:val="00C71F6B"/>
    <w:rsid w:val="00C72241"/>
    <w:rsid w:val="00C725E4"/>
    <w:rsid w:val="00C72EF3"/>
    <w:rsid w:val="00C73D35"/>
    <w:rsid w:val="00C741F3"/>
    <w:rsid w:val="00C742A8"/>
    <w:rsid w:val="00C74305"/>
    <w:rsid w:val="00C750C8"/>
    <w:rsid w:val="00C7522A"/>
    <w:rsid w:val="00C7560F"/>
    <w:rsid w:val="00C75BA5"/>
    <w:rsid w:val="00C76BD3"/>
    <w:rsid w:val="00C770E6"/>
    <w:rsid w:val="00C77306"/>
    <w:rsid w:val="00C7749D"/>
    <w:rsid w:val="00C77657"/>
    <w:rsid w:val="00C8027A"/>
    <w:rsid w:val="00C80A0E"/>
    <w:rsid w:val="00C80C5A"/>
    <w:rsid w:val="00C81504"/>
    <w:rsid w:val="00C8213F"/>
    <w:rsid w:val="00C822B3"/>
    <w:rsid w:val="00C82BC1"/>
    <w:rsid w:val="00C82E62"/>
    <w:rsid w:val="00C83469"/>
    <w:rsid w:val="00C845FB"/>
    <w:rsid w:val="00C85275"/>
    <w:rsid w:val="00C852C3"/>
    <w:rsid w:val="00C85517"/>
    <w:rsid w:val="00C85782"/>
    <w:rsid w:val="00C857D4"/>
    <w:rsid w:val="00C85C05"/>
    <w:rsid w:val="00C85EEE"/>
    <w:rsid w:val="00C867E1"/>
    <w:rsid w:val="00C86996"/>
    <w:rsid w:val="00C871CB"/>
    <w:rsid w:val="00C87226"/>
    <w:rsid w:val="00C87663"/>
    <w:rsid w:val="00C8797A"/>
    <w:rsid w:val="00C87F6E"/>
    <w:rsid w:val="00C900B8"/>
    <w:rsid w:val="00C90C71"/>
    <w:rsid w:val="00C922BA"/>
    <w:rsid w:val="00C9239A"/>
    <w:rsid w:val="00C92707"/>
    <w:rsid w:val="00C92888"/>
    <w:rsid w:val="00C92B43"/>
    <w:rsid w:val="00C92FBC"/>
    <w:rsid w:val="00C931CF"/>
    <w:rsid w:val="00C933CB"/>
    <w:rsid w:val="00C938CF"/>
    <w:rsid w:val="00C93E0A"/>
    <w:rsid w:val="00C95C48"/>
    <w:rsid w:val="00C95C6D"/>
    <w:rsid w:val="00C95DC0"/>
    <w:rsid w:val="00C95F31"/>
    <w:rsid w:val="00C96088"/>
    <w:rsid w:val="00C960B9"/>
    <w:rsid w:val="00C9624D"/>
    <w:rsid w:val="00C96790"/>
    <w:rsid w:val="00C969DA"/>
    <w:rsid w:val="00C96C3C"/>
    <w:rsid w:val="00C9727B"/>
    <w:rsid w:val="00CA0A61"/>
    <w:rsid w:val="00CA0E9D"/>
    <w:rsid w:val="00CA1A57"/>
    <w:rsid w:val="00CA1B5A"/>
    <w:rsid w:val="00CA1E44"/>
    <w:rsid w:val="00CA24AF"/>
    <w:rsid w:val="00CA2B26"/>
    <w:rsid w:val="00CA2C77"/>
    <w:rsid w:val="00CA4126"/>
    <w:rsid w:val="00CA444F"/>
    <w:rsid w:val="00CA4AA0"/>
    <w:rsid w:val="00CA4AB8"/>
    <w:rsid w:val="00CA4E4C"/>
    <w:rsid w:val="00CA5045"/>
    <w:rsid w:val="00CA5245"/>
    <w:rsid w:val="00CA5BAC"/>
    <w:rsid w:val="00CA67C4"/>
    <w:rsid w:val="00CA6C7C"/>
    <w:rsid w:val="00CA71F4"/>
    <w:rsid w:val="00CA720F"/>
    <w:rsid w:val="00CA7B09"/>
    <w:rsid w:val="00CB05FA"/>
    <w:rsid w:val="00CB2180"/>
    <w:rsid w:val="00CB2705"/>
    <w:rsid w:val="00CB2F2A"/>
    <w:rsid w:val="00CB2F9C"/>
    <w:rsid w:val="00CB36FF"/>
    <w:rsid w:val="00CB37D7"/>
    <w:rsid w:val="00CB3B41"/>
    <w:rsid w:val="00CB4926"/>
    <w:rsid w:val="00CB4B6F"/>
    <w:rsid w:val="00CB5252"/>
    <w:rsid w:val="00CB52D6"/>
    <w:rsid w:val="00CB544F"/>
    <w:rsid w:val="00CB54F5"/>
    <w:rsid w:val="00CB5B1A"/>
    <w:rsid w:val="00CB6192"/>
    <w:rsid w:val="00CB6B22"/>
    <w:rsid w:val="00CB6E55"/>
    <w:rsid w:val="00CB7133"/>
    <w:rsid w:val="00CB76DA"/>
    <w:rsid w:val="00CB7F5F"/>
    <w:rsid w:val="00CC0D2C"/>
    <w:rsid w:val="00CC1B39"/>
    <w:rsid w:val="00CC2497"/>
    <w:rsid w:val="00CC2578"/>
    <w:rsid w:val="00CC2903"/>
    <w:rsid w:val="00CC2D90"/>
    <w:rsid w:val="00CC3557"/>
    <w:rsid w:val="00CC3576"/>
    <w:rsid w:val="00CC38DC"/>
    <w:rsid w:val="00CC3B00"/>
    <w:rsid w:val="00CC3F68"/>
    <w:rsid w:val="00CC4334"/>
    <w:rsid w:val="00CC4C4E"/>
    <w:rsid w:val="00CC502E"/>
    <w:rsid w:val="00CC51A5"/>
    <w:rsid w:val="00CC61C3"/>
    <w:rsid w:val="00CC6A32"/>
    <w:rsid w:val="00CC79B4"/>
    <w:rsid w:val="00CC79FD"/>
    <w:rsid w:val="00CD10BB"/>
    <w:rsid w:val="00CD1AB5"/>
    <w:rsid w:val="00CD30B7"/>
    <w:rsid w:val="00CD4101"/>
    <w:rsid w:val="00CD43AC"/>
    <w:rsid w:val="00CD518D"/>
    <w:rsid w:val="00CD5352"/>
    <w:rsid w:val="00CD5BBA"/>
    <w:rsid w:val="00CD5D82"/>
    <w:rsid w:val="00CD6ADC"/>
    <w:rsid w:val="00CD7F38"/>
    <w:rsid w:val="00CE04F2"/>
    <w:rsid w:val="00CE15F0"/>
    <w:rsid w:val="00CE16E5"/>
    <w:rsid w:val="00CE1AC9"/>
    <w:rsid w:val="00CE1D93"/>
    <w:rsid w:val="00CE22A9"/>
    <w:rsid w:val="00CE237D"/>
    <w:rsid w:val="00CE3068"/>
    <w:rsid w:val="00CE4657"/>
    <w:rsid w:val="00CE4709"/>
    <w:rsid w:val="00CE60A5"/>
    <w:rsid w:val="00CE60A9"/>
    <w:rsid w:val="00CE6274"/>
    <w:rsid w:val="00CE6DC8"/>
    <w:rsid w:val="00CE7185"/>
    <w:rsid w:val="00CE7AB3"/>
    <w:rsid w:val="00CE7CB1"/>
    <w:rsid w:val="00CF0C48"/>
    <w:rsid w:val="00CF10C9"/>
    <w:rsid w:val="00CF1870"/>
    <w:rsid w:val="00CF195B"/>
    <w:rsid w:val="00CF1BED"/>
    <w:rsid w:val="00CF26BE"/>
    <w:rsid w:val="00CF2B8D"/>
    <w:rsid w:val="00CF3BE2"/>
    <w:rsid w:val="00CF4061"/>
    <w:rsid w:val="00CF456B"/>
    <w:rsid w:val="00CF51F7"/>
    <w:rsid w:val="00CF5A22"/>
    <w:rsid w:val="00CF5B7D"/>
    <w:rsid w:val="00CF5BD9"/>
    <w:rsid w:val="00CF5BFA"/>
    <w:rsid w:val="00CF6892"/>
    <w:rsid w:val="00CF69B9"/>
    <w:rsid w:val="00CF6C91"/>
    <w:rsid w:val="00CF729D"/>
    <w:rsid w:val="00CF7F7B"/>
    <w:rsid w:val="00D00B09"/>
    <w:rsid w:val="00D00D54"/>
    <w:rsid w:val="00D0169B"/>
    <w:rsid w:val="00D022FA"/>
    <w:rsid w:val="00D0262E"/>
    <w:rsid w:val="00D02EB2"/>
    <w:rsid w:val="00D038E3"/>
    <w:rsid w:val="00D05B3E"/>
    <w:rsid w:val="00D06706"/>
    <w:rsid w:val="00D068A6"/>
    <w:rsid w:val="00D072D3"/>
    <w:rsid w:val="00D10CAD"/>
    <w:rsid w:val="00D10FE4"/>
    <w:rsid w:val="00D110BD"/>
    <w:rsid w:val="00D1165C"/>
    <w:rsid w:val="00D118B6"/>
    <w:rsid w:val="00D121E8"/>
    <w:rsid w:val="00D13675"/>
    <w:rsid w:val="00D13A7F"/>
    <w:rsid w:val="00D13DE9"/>
    <w:rsid w:val="00D1401F"/>
    <w:rsid w:val="00D141E1"/>
    <w:rsid w:val="00D142C7"/>
    <w:rsid w:val="00D14FDE"/>
    <w:rsid w:val="00D159FB"/>
    <w:rsid w:val="00D1651C"/>
    <w:rsid w:val="00D1707F"/>
    <w:rsid w:val="00D17909"/>
    <w:rsid w:val="00D17D6C"/>
    <w:rsid w:val="00D2025A"/>
    <w:rsid w:val="00D20611"/>
    <w:rsid w:val="00D20C5A"/>
    <w:rsid w:val="00D20F18"/>
    <w:rsid w:val="00D22964"/>
    <w:rsid w:val="00D2301D"/>
    <w:rsid w:val="00D2303B"/>
    <w:rsid w:val="00D230F8"/>
    <w:rsid w:val="00D232AD"/>
    <w:rsid w:val="00D23848"/>
    <w:rsid w:val="00D23C32"/>
    <w:rsid w:val="00D2754D"/>
    <w:rsid w:val="00D27B22"/>
    <w:rsid w:val="00D27B27"/>
    <w:rsid w:val="00D27E04"/>
    <w:rsid w:val="00D27F13"/>
    <w:rsid w:val="00D30882"/>
    <w:rsid w:val="00D309B4"/>
    <w:rsid w:val="00D30FC8"/>
    <w:rsid w:val="00D3197F"/>
    <w:rsid w:val="00D31A0D"/>
    <w:rsid w:val="00D32267"/>
    <w:rsid w:val="00D328A8"/>
    <w:rsid w:val="00D32C87"/>
    <w:rsid w:val="00D32F76"/>
    <w:rsid w:val="00D33BE9"/>
    <w:rsid w:val="00D33CA4"/>
    <w:rsid w:val="00D342D7"/>
    <w:rsid w:val="00D34390"/>
    <w:rsid w:val="00D354F7"/>
    <w:rsid w:val="00D355ED"/>
    <w:rsid w:val="00D357FF"/>
    <w:rsid w:val="00D359CF"/>
    <w:rsid w:val="00D35E7B"/>
    <w:rsid w:val="00D36044"/>
    <w:rsid w:val="00D36385"/>
    <w:rsid w:val="00D36A6E"/>
    <w:rsid w:val="00D36D82"/>
    <w:rsid w:val="00D3727B"/>
    <w:rsid w:val="00D3760D"/>
    <w:rsid w:val="00D37A9E"/>
    <w:rsid w:val="00D408A2"/>
    <w:rsid w:val="00D41367"/>
    <w:rsid w:val="00D41EE1"/>
    <w:rsid w:val="00D41FBA"/>
    <w:rsid w:val="00D424C7"/>
    <w:rsid w:val="00D428BC"/>
    <w:rsid w:val="00D4352D"/>
    <w:rsid w:val="00D438A7"/>
    <w:rsid w:val="00D439FD"/>
    <w:rsid w:val="00D43A02"/>
    <w:rsid w:val="00D43B2A"/>
    <w:rsid w:val="00D43DE8"/>
    <w:rsid w:val="00D45424"/>
    <w:rsid w:val="00D455F0"/>
    <w:rsid w:val="00D4581C"/>
    <w:rsid w:val="00D45EF6"/>
    <w:rsid w:val="00D465FD"/>
    <w:rsid w:val="00D47539"/>
    <w:rsid w:val="00D47575"/>
    <w:rsid w:val="00D4762F"/>
    <w:rsid w:val="00D476B2"/>
    <w:rsid w:val="00D47D0B"/>
    <w:rsid w:val="00D512BC"/>
    <w:rsid w:val="00D51685"/>
    <w:rsid w:val="00D52028"/>
    <w:rsid w:val="00D52422"/>
    <w:rsid w:val="00D53519"/>
    <w:rsid w:val="00D53924"/>
    <w:rsid w:val="00D53E2C"/>
    <w:rsid w:val="00D5449F"/>
    <w:rsid w:val="00D558EC"/>
    <w:rsid w:val="00D55E3E"/>
    <w:rsid w:val="00D56CE7"/>
    <w:rsid w:val="00D57663"/>
    <w:rsid w:val="00D57D51"/>
    <w:rsid w:val="00D57DD5"/>
    <w:rsid w:val="00D57DE5"/>
    <w:rsid w:val="00D57E2B"/>
    <w:rsid w:val="00D60341"/>
    <w:rsid w:val="00D61009"/>
    <w:rsid w:val="00D61745"/>
    <w:rsid w:val="00D61A20"/>
    <w:rsid w:val="00D62907"/>
    <w:rsid w:val="00D645F4"/>
    <w:rsid w:val="00D64CCD"/>
    <w:rsid w:val="00D655EC"/>
    <w:rsid w:val="00D655EE"/>
    <w:rsid w:val="00D65A20"/>
    <w:rsid w:val="00D65B54"/>
    <w:rsid w:val="00D66A3D"/>
    <w:rsid w:val="00D66B86"/>
    <w:rsid w:val="00D67371"/>
    <w:rsid w:val="00D67B16"/>
    <w:rsid w:val="00D67CAE"/>
    <w:rsid w:val="00D700B2"/>
    <w:rsid w:val="00D70F16"/>
    <w:rsid w:val="00D70F5C"/>
    <w:rsid w:val="00D7235D"/>
    <w:rsid w:val="00D7238F"/>
    <w:rsid w:val="00D7259C"/>
    <w:rsid w:val="00D728F7"/>
    <w:rsid w:val="00D72BE2"/>
    <w:rsid w:val="00D7363B"/>
    <w:rsid w:val="00D73792"/>
    <w:rsid w:val="00D73B9A"/>
    <w:rsid w:val="00D73F03"/>
    <w:rsid w:val="00D742DB"/>
    <w:rsid w:val="00D74569"/>
    <w:rsid w:val="00D74857"/>
    <w:rsid w:val="00D7485D"/>
    <w:rsid w:val="00D74B5A"/>
    <w:rsid w:val="00D74E67"/>
    <w:rsid w:val="00D750CE"/>
    <w:rsid w:val="00D75559"/>
    <w:rsid w:val="00D767D8"/>
    <w:rsid w:val="00D768FF"/>
    <w:rsid w:val="00D76A44"/>
    <w:rsid w:val="00D76D55"/>
    <w:rsid w:val="00D77C28"/>
    <w:rsid w:val="00D77CF4"/>
    <w:rsid w:val="00D8041C"/>
    <w:rsid w:val="00D804B1"/>
    <w:rsid w:val="00D806F2"/>
    <w:rsid w:val="00D815EF"/>
    <w:rsid w:val="00D81681"/>
    <w:rsid w:val="00D8185E"/>
    <w:rsid w:val="00D81DC0"/>
    <w:rsid w:val="00D81ED8"/>
    <w:rsid w:val="00D8251C"/>
    <w:rsid w:val="00D82C0A"/>
    <w:rsid w:val="00D82C15"/>
    <w:rsid w:val="00D83FEB"/>
    <w:rsid w:val="00D84636"/>
    <w:rsid w:val="00D84B36"/>
    <w:rsid w:val="00D84E7D"/>
    <w:rsid w:val="00D855F4"/>
    <w:rsid w:val="00D85A3D"/>
    <w:rsid w:val="00D85B55"/>
    <w:rsid w:val="00D86218"/>
    <w:rsid w:val="00D8663A"/>
    <w:rsid w:val="00D86A38"/>
    <w:rsid w:val="00D86C14"/>
    <w:rsid w:val="00D90D2B"/>
    <w:rsid w:val="00D91711"/>
    <w:rsid w:val="00D91923"/>
    <w:rsid w:val="00D92522"/>
    <w:rsid w:val="00D92A4D"/>
    <w:rsid w:val="00D9371F"/>
    <w:rsid w:val="00D93753"/>
    <w:rsid w:val="00D94832"/>
    <w:rsid w:val="00D95466"/>
    <w:rsid w:val="00D95737"/>
    <w:rsid w:val="00D96084"/>
    <w:rsid w:val="00D965D3"/>
    <w:rsid w:val="00D96715"/>
    <w:rsid w:val="00D973F9"/>
    <w:rsid w:val="00D9740C"/>
    <w:rsid w:val="00D97410"/>
    <w:rsid w:val="00D978D5"/>
    <w:rsid w:val="00D97CC4"/>
    <w:rsid w:val="00D97EB6"/>
    <w:rsid w:val="00DA03F5"/>
    <w:rsid w:val="00DA0567"/>
    <w:rsid w:val="00DA1332"/>
    <w:rsid w:val="00DA1C14"/>
    <w:rsid w:val="00DA2A82"/>
    <w:rsid w:val="00DA3167"/>
    <w:rsid w:val="00DA346D"/>
    <w:rsid w:val="00DA47D7"/>
    <w:rsid w:val="00DA4DC3"/>
    <w:rsid w:val="00DA6677"/>
    <w:rsid w:val="00DA6B24"/>
    <w:rsid w:val="00DA6F76"/>
    <w:rsid w:val="00DA76CD"/>
    <w:rsid w:val="00DA77A5"/>
    <w:rsid w:val="00DA7AEA"/>
    <w:rsid w:val="00DA7BB0"/>
    <w:rsid w:val="00DB2362"/>
    <w:rsid w:val="00DB40DC"/>
    <w:rsid w:val="00DB415C"/>
    <w:rsid w:val="00DB415F"/>
    <w:rsid w:val="00DB473A"/>
    <w:rsid w:val="00DB484F"/>
    <w:rsid w:val="00DB4DA7"/>
    <w:rsid w:val="00DB5A91"/>
    <w:rsid w:val="00DB5D94"/>
    <w:rsid w:val="00DB5FC8"/>
    <w:rsid w:val="00DB6D37"/>
    <w:rsid w:val="00DB6DA9"/>
    <w:rsid w:val="00DC0480"/>
    <w:rsid w:val="00DC04F6"/>
    <w:rsid w:val="00DC078D"/>
    <w:rsid w:val="00DC0AB6"/>
    <w:rsid w:val="00DC114B"/>
    <w:rsid w:val="00DC1160"/>
    <w:rsid w:val="00DC3914"/>
    <w:rsid w:val="00DC3AD3"/>
    <w:rsid w:val="00DC3B5A"/>
    <w:rsid w:val="00DC3C57"/>
    <w:rsid w:val="00DC4A1D"/>
    <w:rsid w:val="00DC5501"/>
    <w:rsid w:val="00DC5882"/>
    <w:rsid w:val="00DC5EDF"/>
    <w:rsid w:val="00DC66FC"/>
    <w:rsid w:val="00DC6DAC"/>
    <w:rsid w:val="00DC76B2"/>
    <w:rsid w:val="00DC797E"/>
    <w:rsid w:val="00DD0098"/>
    <w:rsid w:val="00DD034B"/>
    <w:rsid w:val="00DD1CCA"/>
    <w:rsid w:val="00DD2541"/>
    <w:rsid w:val="00DD273C"/>
    <w:rsid w:val="00DD3048"/>
    <w:rsid w:val="00DD3223"/>
    <w:rsid w:val="00DD33B7"/>
    <w:rsid w:val="00DD3671"/>
    <w:rsid w:val="00DD3993"/>
    <w:rsid w:val="00DD3F28"/>
    <w:rsid w:val="00DD4220"/>
    <w:rsid w:val="00DD4537"/>
    <w:rsid w:val="00DD4E15"/>
    <w:rsid w:val="00DD5851"/>
    <w:rsid w:val="00DD6F9A"/>
    <w:rsid w:val="00DE004C"/>
    <w:rsid w:val="00DE00C5"/>
    <w:rsid w:val="00DE04B9"/>
    <w:rsid w:val="00DE0A76"/>
    <w:rsid w:val="00DE187A"/>
    <w:rsid w:val="00DE1AA1"/>
    <w:rsid w:val="00DE2E90"/>
    <w:rsid w:val="00DE2F54"/>
    <w:rsid w:val="00DE3138"/>
    <w:rsid w:val="00DE3799"/>
    <w:rsid w:val="00DE37F8"/>
    <w:rsid w:val="00DE3A60"/>
    <w:rsid w:val="00DE3A91"/>
    <w:rsid w:val="00DE3DE6"/>
    <w:rsid w:val="00DE3F48"/>
    <w:rsid w:val="00DE46D4"/>
    <w:rsid w:val="00DE46F7"/>
    <w:rsid w:val="00DE4FA8"/>
    <w:rsid w:val="00DE4FCB"/>
    <w:rsid w:val="00DE60BF"/>
    <w:rsid w:val="00DE63F4"/>
    <w:rsid w:val="00DE67C6"/>
    <w:rsid w:val="00DE69CD"/>
    <w:rsid w:val="00DE7832"/>
    <w:rsid w:val="00DE7C87"/>
    <w:rsid w:val="00DE7E9C"/>
    <w:rsid w:val="00DF18FC"/>
    <w:rsid w:val="00DF1D6B"/>
    <w:rsid w:val="00DF238B"/>
    <w:rsid w:val="00DF2F79"/>
    <w:rsid w:val="00DF3A09"/>
    <w:rsid w:val="00DF3A27"/>
    <w:rsid w:val="00DF3E15"/>
    <w:rsid w:val="00DF40C9"/>
    <w:rsid w:val="00DF46EF"/>
    <w:rsid w:val="00DF4BC4"/>
    <w:rsid w:val="00DF5731"/>
    <w:rsid w:val="00DF589F"/>
    <w:rsid w:val="00DF5D2B"/>
    <w:rsid w:val="00DF5F57"/>
    <w:rsid w:val="00DF63F7"/>
    <w:rsid w:val="00DF7033"/>
    <w:rsid w:val="00E00025"/>
    <w:rsid w:val="00E00959"/>
    <w:rsid w:val="00E00E8E"/>
    <w:rsid w:val="00E01125"/>
    <w:rsid w:val="00E019D5"/>
    <w:rsid w:val="00E02268"/>
    <w:rsid w:val="00E0234D"/>
    <w:rsid w:val="00E03E7F"/>
    <w:rsid w:val="00E03ED9"/>
    <w:rsid w:val="00E0423B"/>
    <w:rsid w:val="00E05630"/>
    <w:rsid w:val="00E05B07"/>
    <w:rsid w:val="00E05B6E"/>
    <w:rsid w:val="00E05E74"/>
    <w:rsid w:val="00E06288"/>
    <w:rsid w:val="00E06DBB"/>
    <w:rsid w:val="00E071F4"/>
    <w:rsid w:val="00E10149"/>
    <w:rsid w:val="00E1077E"/>
    <w:rsid w:val="00E10BC0"/>
    <w:rsid w:val="00E10E65"/>
    <w:rsid w:val="00E10EC8"/>
    <w:rsid w:val="00E11084"/>
    <w:rsid w:val="00E11462"/>
    <w:rsid w:val="00E11CF8"/>
    <w:rsid w:val="00E1270E"/>
    <w:rsid w:val="00E129FB"/>
    <w:rsid w:val="00E12F5A"/>
    <w:rsid w:val="00E12FAE"/>
    <w:rsid w:val="00E13176"/>
    <w:rsid w:val="00E133CF"/>
    <w:rsid w:val="00E13435"/>
    <w:rsid w:val="00E142DB"/>
    <w:rsid w:val="00E14C38"/>
    <w:rsid w:val="00E15393"/>
    <w:rsid w:val="00E16372"/>
    <w:rsid w:val="00E16580"/>
    <w:rsid w:val="00E17F23"/>
    <w:rsid w:val="00E20C03"/>
    <w:rsid w:val="00E20DCE"/>
    <w:rsid w:val="00E20E4D"/>
    <w:rsid w:val="00E20EA7"/>
    <w:rsid w:val="00E20ED6"/>
    <w:rsid w:val="00E21358"/>
    <w:rsid w:val="00E21C53"/>
    <w:rsid w:val="00E2249B"/>
    <w:rsid w:val="00E22A0D"/>
    <w:rsid w:val="00E231A3"/>
    <w:rsid w:val="00E234BD"/>
    <w:rsid w:val="00E238D0"/>
    <w:rsid w:val="00E23B6B"/>
    <w:rsid w:val="00E23F18"/>
    <w:rsid w:val="00E24A3A"/>
    <w:rsid w:val="00E2538C"/>
    <w:rsid w:val="00E25CFE"/>
    <w:rsid w:val="00E25E0B"/>
    <w:rsid w:val="00E2628B"/>
    <w:rsid w:val="00E26573"/>
    <w:rsid w:val="00E267AB"/>
    <w:rsid w:val="00E26DA7"/>
    <w:rsid w:val="00E26F14"/>
    <w:rsid w:val="00E2771E"/>
    <w:rsid w:val="00E277C8"/>
    <w:rsid w:val="00E279BA"/>
    <w:rsid w:val="00E30487"/>
    <w:rsid w:val="00E30EBE"/>
    <w:rsid w:val="00E32961"/>
    <w:rsid w:val="00E32A5E"/>
    <w:rsid w:val="00E330F9"/>
    <w:rsid w:val="00E33C6F"/>
    <w:rsid w:val="00E34948"/>
    <w:rsid w:val="00E34FA1"/>
    <w:rsid w:val="00E359D7"/>
    <w:rsid w:val="00E35B26"/>
    <w:rsid w:val="00E372C3"/>
    <w:rsid w:val="00E37569"/>
    <w:rsid w:val="00E405FA"/>
    <w:rsid w:val="00E40649"/>
    <w:rsid w:val="00E40961"/>
    <w:rsid w:val="00E409FC"/>
    <w:rsid w:val="00E415EF"/>
    <w:rsid w:val="00E417BA"/>
    <w:rsid w:val="00E418D9"/>
    <w:rsid w:val="00E41E30"/>
    <w:rsid w:val="00E42618"/>
    <w:rsid w:val="00E4295F"/>
    <w:rsid w:val="00E437EF"/>
    <w:rsid w:val="00E43D70"/>
    <w:rsid w:val="00E45754"/>
    <w:rsid w:val="00E45DC8"/>
    <w:rsid w:val="00E46406"/>
    <w:rsid w:val="00E466F3"/>
    <w:rsid w:val="00E46D5E"/>
    <w:rsid w:val="00E4740F"/>
    <w:rsid w:val="00E478CF"/>
    <w:rsid w:val="00E47B2C"/>
    <w:rsid w:val="00E514DE"/>
    <w:rsid w:val="00E51560"/>
    <w:rsid w:val="00E51594"/>
    <w:rsid w:val="00E5187A"/>
    <w:rsid w:val="00E51B44"/>
    <w:rsid w:val="00E53D72"/>
    <w:rsid w:val="00E54262"/>
    <w:rsid w:val="00E54347"/>
    <w:rsid w:val="00E549FA"/>
    <w:rsid w:val="00E54CAD"/>
    <w:rsid w:val="00E55249"/>
    <w:rsid w:val="00E55424"/>
    <w:rsid w:val="00E554A7"/>
    <w:rsid w:val="00E55BB5"/>
    <w:rsid w:val="00E55E82"/>
    <w:rsid w:val="00E56382"/>
    <w:rsid w:val="00E57C5E"/>
    <w:rsid w:val="00E609D6"/>
    <w:rsid w:val="00E60DFE"/>
    <w:rsid w:val="00E6146F"/>
    <w:rsid w:val="00E61510"/>
    <w:rsid w:val="00E632D7"/>
    <w:rsid w:val="00E63338"/>
    <w:rsid w:val="00E63F90"/>
    <w:rsid w:val="00E6471D"/>
    <w:rsid w:val="00E648A4"/>
    <w:rsid w:val="00E65A51"/>
    <w:rsid w:val="00E65E79"/>
    <w:rsid w:val="00E666BD"/>
    <w:rsid w:val="00E66BA2"/>
    <w:rsid w:val="00E66D14"/>
    <w:rsid w:val="00E67303"/>
    <w:rsid w:val="00E67416"/>
    <w:rsid w:val="00E70143"/>
    <w:rsid w:val="00E70C5A"/>
    <w:rsid w:val="00E7158C"/>
    <w:rsid w:val="00E718B6"/>
    <w:rsid w:val="00E71D0C"/>
    <w:rsid w:val="00E71F07"/>
    <w:rsid w:val="00E7212B"/>
    <w:rsid w:val="00E723BA"/>
    <w:rsid w:val="00E72999"/>
    <w:rsid w:val="00E72BED"/>
    <w:rsid w:val="00E72E31"/>
    <w:rsid w:val="00E732A7"/>
    <w:rsid w:val="00E73332"/>
    <w:rsid w:val="00E73581"/>
    <w:rsid w:val="00E73B44"/>
    <w:rsid w:val="00E73DF0"/>
    <w:rsid w:val="00E74641"/>
    <w:rsid w:val="00E7482F"/>
    <w:rsid w:val="00E74905"/>
    <w:rsid w:val="00E7568D"/>
    <w:rsid w:val="00E759EF"/>
    <w:rsid w:val="00E75A99"/>
    <w:rsid w:val="00E767CD"/>
    <w:rsid w:val="00E77348"/>
    <w:rsid w:val="00E77F19"/>
    <w:rsid w:val="00E77FC8"/>
    <w:rsid w:val="00E8035B"/>
    <w:rsid w:val="00E8068A"/>
    <w:rsid w:val="00E80815"/>
    <w:rsid w:val="00E80E14"/>
    <w:rsid w:val="00E81379"/>
    <w:rsid w:val="00E81471"/>
    <w:rsid w:val="00E81A21"/>
    <w:rsid w:val="00E81C1B"/>
    <w:rsid w:val="00E81DCE"/>
    <w:rsid w:val="00E81FA5"/>
    <w:rsid w:val="00E81FCC"/>
    <w:rsid w:val="00E8200B"/>
    <w:rsid w:val="00E8213C"/>
    <w:rsid w:val="00E8251F"/>
    <w:rsid w:val="00E828E1"/>
    <w:rsid w:val="00E8315F"/>
    <w:rsid w:val="00E833F7"/>
    <w:rsid w:val="00E8352F"/>
    <w:rsid w:val="00E83BDF"/>
    <w:rsid w:val="00E83FE1"/>
    <w:rsid w:val="00E84021"/>
    <w:rsid w:val="00E8456B"/>
    <w:rsid w:val="00E84840"/>
    <w:rsid w:val="00E850DB"/>
    <w:rsid w:val="00E8577E"/>
    <w:rsid w:val="00E86646"/>
    <w:rsid w:val="00E8714D"/>
    <w:rsid w:val="00E873A2"/>
    <w:rsid w:val="00E873BE"/>
    <w:rsid w:val="00E876BA"/>
    <w:rsid w:val="00E87A12"/>
    <w:rsid w:val="00E87A1D"/>
    <w:rsid w:val="00E90D6D"/>
    <w:rsid w:val="00E924E4"/>
    <w:rsid w:val="00E926A5"/>
    <w:rsid w:val="00E93000"/>
    <w:rsid w:val="00E93594"/>
    <w:rsid w:val="00E93DAF"/>
    <w:rsid w:val="00E93ED5"/>
    <w:rsid w:val="00E95103"/>
    <w:rsid w:val="00E960F1"/>
    <w:rsid w:val="00E97344"/>
    <w:rsid w:val="00E9771B"/>
    <w:rsid w:val="00EA17C3"/>
    <w:rsid w:val="00EA208C"/>
    <w:rsid w:val="00EA2CAA"/>
    <w:rsid w:val="00EA2FDD"/>
    <w:rsid w:val="00EA3864"/>
    <w:rsid w:val="00EA42B0"/>
    <w:rsid w:val="00EA4816"/>
    <w:rsid w:val="00EA4D3B"/>
    <w:rsid w:val="00EA4FE5"/>
    <w:rsid w:val="00EA5AEF"/>
    <w:rsid w:val="00EA6EED"/>
    <w:rsid w:val="00EA74C9"/>
    <w:rsid w:val="00EA7558"/>
    <w:rsid w:val="00EA7B60"/>
    <w:rsid w:val="00EB0373"/>
    <w:rsid w:val="00EB0D57"/>
    <w:rsid w:val="00EB0F54"/>
    <w:rsid w:val="00EB1257"/>
    <w:rsid w:val="00EB15B6"/>
    <w:rsid w:val="00EB23BE"/>
    <w:rsid w:val="00EB2B50"/>
    <w:rsid w:val="00EB33E7"/>
    <w:rsid w:val="00EB38E4"/>
    <w:rsid w:val="00EB3B2F"/>
    <w:rsid w:val="00EB4124"/>
    <w:rsid w:val="00EB412C"/>
    <w:rsid w:val="00EB46BC"/>
    <w:rsid w:val="00EB47DB"/>
    <w:rsid w:val="00EB4916"/>
    <w:rsid w:val="00EB5B42"/>
    <w:rsid w:val="00EB722E"/>
    <w:rsid w:val="00EB7AC1"/>
    <w:rsid w:val="00EC00C9"/>
    <w:rsid w:val="00EC164D"/>
    <w:rsid w:val="00EC1C9B"/>
    <w:rsid w:val="00EC206C"/>
    <w:rsid w:val="00EC2406"/>
    <w:rsid w:val="00EC25CE"/>
    <w:rsid w:val="00EC2649"/>
    <w:rsid w:val="00EC2BC2"/>
    <w:rsid w:val="00EC2CEE"/>
    <w:rsid w:val="00EC2E78"/>
    <w:rsid w:val="00EC325E"/>
    <w:rsid w:val="00EC3337"/>
    <w:rsid w:val="00EC3E0F"/>
    <w:rsid w:val="00EC4A71"/>
    <w:rsid w:val="00EC588C"/>
    <w:rsid w:val="00EC5AA7"/>
    <w:rsid w:val="00EC5BED"/>
    <w:rsid w:val="00EC5DAE"/>
    <w:rsid w:val="00EC641E"/>
    <w:rsid w:val="00EC66D6"/>
    <w:rsid w:val="00EC728C"/>
    <w:rsid w:val="00EC7731"/>
    <w:rsid w:val="00EC7AA6"/>
    <w:rsid w:val="00EC7BAF"/>
    <w:rsid w:val="00ED0589"/>
    <w:rsid w:val="00ED0904"/>
    <w:rsid w:val="00ED0CD2"/>
    <w:rsid w:val="00ED2789"/>
    <w:rsid w:val="00ED2B35"/>
    <w:rsid w:val="00ED304A"/>
    <w:rsid w:val="00ED30FB"/>
    <w:rsid w:val="00ED36F5"/>
    <w:rsid w:val="00ED431E"/>
    <w:rsid w:val="00ED4D52"/>
    <w:rsid w:val="00ED5068"/>
    <w:rsid w:val="00ED50B2"/>
    <w:rsid w:val="00ED5168"/>
    <w:rsid w:val="00ED52C9"/>
    <w:rsid w:val="00ED56DF"/>
    <w:rsid w:val="00ED57EA"/>
    <w:rsid w:val="00ED767F"/>
    <w:rsid w:val="00ED7ACF"/>
    <w:rsid w:val="00EE07D3"/>
    <w:rsid w:val="00EE0EF6"/>
    <w:rsid w:val="00EE22AF"/>
    <w:rsid w:val="00EE3714"/>
    <w:rsid w:val="00EE457E"/>
    <w:rsid w:val="00EE45B3"/>
    <w:rsid w:val="00EE45B8"/>
    <w:rsid w:val="00EE4B9A"/>
    <w:rsid w:val="00EE51EE"/>
    <w:rsid w:val="00EE554A"/>
    <w:rsid w:val="00EE55BE"/>
    <w:rsid w:val="00EE5AE1"/>
    <w:rsid w:val="00EE5B1A"/>
    <w:rsid w:val="00EE5C21"/>
    <w:rsid w:val="00EE5D94"/>
    <w:rsid w:val="00EE5DBC"/>
    <w:rsid w:val="00EE6966"/>
    <w:rsid w:val="00EE6AEF"/>
    <w:rsid w:val="00EE6D38"/>
    <w:rsid w:val="00EE72CA"/>
    <w:rsid w:val="00EF0171"/>
    <w:rsid w:val="00EF09A7"/>
    <w:rsid w:val="00EF0BED"/>
    <w:rsid w:val="00EF1AB3"/>
    <w:rsid w:val="00EF1B25"/>
    <w:rsid w:val="00EF1F1A"/>
    <w:rsid w:val="00EF2E1A"/>
    <w:rsid w:val="00EF3486"/>
    <w:rsid w:val="00EF3C60"/>
    <w:rsid w:val="00EF46B4"/>
    <w:rsid w:val="00EF4747"/>
    <w:rsid w:val="00EF4ADC"/>
    <w:rsid w:val="00EF4BF8"/>
    <w:rsid w:val="00EF52EF"/>
    <w:rsid w:val="00EF6334"/>
    <w:rsid w:val="00EF6794"/>
    <w:rsid w:val="00EF6C40"/>
    <w:rsid w:val="00EF7003"/>
    <w:rsid w:val="00EF701C"/>
    <w:rsid w:val="00EF768F"/>
    <w:rsid w:val="00F00FF6"/>
    <w:rsid w:val="00F016D5"/>
    <w:rsid w:val="00F01AE8"/>
    <w:rsid w:val="00F02253"/>
    <w:rsid w:val="00F02331"/>
    <w:rsid w:val="00F02340"/>
    <w:rsid w:val="00F02398"/>
    <w:rsid w:val="00F02C78"/>
    <w:rsid w:val="00F03C2E"/>
    <w:rsid w:val="00F04584"/>
    <w:rsid w:val="00F04A66"/>
    <w:rsid w:val="00F0516C"/>
    <w:rsid w:val="00F067A2"/>
    <w:rsid w:val="00F077F4"/>
    <w:rsid w:val="00F116E6"/>
    <w:rsid w:val="00F1263A"/>
    <w:rsid w:val="00F127BE"/>
    <w:rsid w:val="00F14844"/>
    <w:rsid w:val="00F16D42"/>
    <w:rsid w:val="00F17401"/>
    <w:rsid w:val="00F17B33"/>
    <w:rsid w:val="00F20F72"/>
    <w:rsid w:val="00F211CF"/>
    <w:rsid w:val="00F217EB"/>
    <w:rsid w:val="00F21804"/>
    <w:rsid w:val="00F220D6"/>
    <w:rsid w:val="00F22F62"/>
    <w:rsid w:val="00F230F9"/>
    <w:rsid w:val="00F23E8D"/>
    <w:rsid w:val="00F23F4C"/>
    <w:rsid w:val="00F245BF"/>
    <w:rsid w:val="00F24837"/>
    <w:rsid w:val="00F2575F"/>
    <w:rsid w:val="00F263A7"/>
    <w:rsid w:val="00F2733A"/>
    <w:rsid w:val="00F274C4"/>
    <w:rsid w:val="00F27565"/>
    <w:rsid w:val="00F3044C"/>
    <w:rsid w:val="00F310D4"/>
    <w:rsid w:val="00F31826"/>
    <w:rsid w:val="00F31D5A"/>
    <w:rsid w:val="00F33B2E"/>
    <w:rsid w:val="00F33DE9"/>
    <w:rsid w:val="00F346AE"/>
    <w:rsid w:val="00F3497E"/>
    <w:rsid w:val="00F34F5B"/>
    <w:rsid w:val="00F35A46"/>
    <w:rsid w:val="00F3619A"/>
    <w:rsid w:val="00F37C09"/>
    <w:rsid w:val="00F37F98"/>
    <w:rsid w:val="00F40442"/>
    <w:rsid w:val="00F40AAA"/>
    <w:rsid w:val="00F40BA7"/>
    <w:rsid w:val="00F4172E"/>
    <w:rsid w:val="00F41919"/>
    <w:rsid w:val="00F41FCB"/>
    <w:rsid w:val="00F42391"/>
    <w:rsid w:val="00F4308C"/>
    <w:rsid w:val="00F434D5"/>
    <w:rsid w:val="00F437B7"/>
    <w:rsid w:val="00F43AC9"/>
    <w:rsid w:val="00F43EBC"/>
    <w:rsid w:val="00F441DE"/>
    <w:rsid w:val="00F4505F"/>
    <w:rsid w:val="00F45AF8"/>
    <w:rsid w:val="00F45B71"/>
    <w:rsid w:val="00F45E89"/>
    <w:rsid w:val="00F463C9"/>
    <w:rsid w:val="00F46794"/>
    <w:rsid w:val="00F46CB6"/>
    <w:rsid w:val="00F47742"/>
    <w:rsid w:val="00F477A5"/>
    <w:rsid w:val="00F47958"/>
    <w:rsid w:val="00F47DE8"/>
    <w:rsid w:val="00F502B3"/>
    <w:rsid w:val="00F51430"/>
    <w:rsid w:val="00F52296"/>
    <w:rsid w:val="00F522AD"/>
    <w:rsid w:val="00F53272"/>
    <w:rsid w:val="00F53415"/>
    <w:rsid w:val="00F542C1"/>
    <w:rsid w:val="00F54F50"/>
    <w:rsid w:val="00F55C59"/>
    <w:rsid w:val="00F55E73"/>
    <w:rsid w:val="00F55EDA"/>
    <w:rsid w:val="00F562CD"/>
    <w:rsid w:val="00F57FC4"/>
    <w:rsid w:val="00F60047"/>
    <w:rsid w:val="00F60092"/>
    <w:rsid w:val="00F608DA"/>
    <w:rsid w:val="00F61A0E"/>
    <w:rsid w:val="00F61D42"/>
    <w:rsid w:val="00F62710"/>
    <w:rsid w:val="00F628D2"/>
    <w:rsid w:val="00F63866"/>
    <w:rsid w:val="00F65F4B"/>
    <w:rsid w:val="00F66160"/>
    <w:rsid w:val="00F67123"/>
    <w:rsid w:val="00F671C0"/>
    <w:rsid w:val="00F679DE"/>
    <w:rsid w:val="00F70C9D"/>
    <w:rsid w:val="00F70E6D"/>
    <w:rsid w:val="00F7158A"/>
    <w:rsid w:val="00F71CEF"/>
    <w:rsid w:val="00F7232C"/>
    <w:rsid w:val="00F73B4A"/>
    <w:rsid w:val="00F74492"/>
    <w:rsid w:val="00F748F0"/>
    <w:rsid w:val="00F74CD9"/>
    <w:rsid w:val="00F754D5"/>
    <w:rsid w:val="00F75E9C"/>
    <w:rsid w:val="00F77058"/>
    <w:rsid w:val="00F8010A"/>
    <w:rsid w:val="00F8024A"/>
    <w:rsid w:val="00F80A7B"/>
    <w:rsid w:val="00F80CE3"/>
    <w:rsid w:val="00F80E5D"/>
    <w:rsid w:val="00F81010"/>
    <w:rsid w:val="00F81553"/>
    <w:rsid w:val="00F81906"/>
    <w:rsid w:val="00F81D22"/>
    <w:rsid w:val="00F81DBD"/>
    <w:rsid w:val="00F8312E"/>
    <w:rsid w:val="00F83AFD"/>
    <w:rsid w:val="00F83FF1"/>
    <w:rsid w:val="00F8433C"/>
    <w:rsid w:val="00F8441E"/>
    <w:rsid w:val="00F851CE"/>
    <w:rsid w:val="00F859AF"/>
    <w:rsid w:val="00F85AD7"/>
    <w:rsid w:val="00F860D4"/>
    <w:rsid w:val="00F86516"/>
    <w:rsid w:val="00F865C2"/>
    <w:rsid w:val="00F8768F"/>
    <w:rsid w:val="00F87CBA"/>
    <w:rsid w:val="00F87F3F"/>
    <w:rsid w:val="00F90586"/>
    <w:rsid w:val="00F90EA5"/>
    <w:rsid w:val="00F91219"/>
    <w:rsid w:val="00F9167D"/>
    <w:rsid w:val="00F92660"/>
    <w:rsid w:val="00F930AE"/>
    <w:rsid w:val="00F93327"/>
    <w:rsid w:val="00F938FA"/>
    <w:rsid w:val="00F95068"/>
    <w:rsid w:val="00F96D00"/>
    <w:rsid w:val="00F97205"/>
    <w:rsid w:val="00F9735E"/>
    <w:rsid w:val="00F97569"/>
    <w:rsid w:val="00F97A78"/>
    <w:rsid w:val="00F97CBC"/>
    <w:rsid w:val="00FA081F"/>
    <w:rsid w:val="00FA0B20"/>
    <w:rsid w:val="00FA0E4B"/>
    <w:rsid w:val="00FA19A2"/>
    <w:rsid w:val="00FA211E"/>
    <w:rsid w:val="00FA24E7"/>
    <w:rsid w:val="00FA271E"/>
    <w:rsid w:val="00FA4AB8"/>
    <w:rsid w:val="00FA4B58"/>
    <w:rsid w:val="00FA4D38"/>
    <w:rsid w:val="00FA54C9"/>
    <w:rsid w:val="00FA55BD"/>
    <w:rsid w:val="00FA6507"/>
    <w:rsid w:val="00FA661C"/>
    <w:rsid w:val="00FA6630"/>
    <w:rsid w:val="00FA67DA"/>
    <w:rsid w:val="00FA7050"/>
    <w:rsid w:val="00FA713B"/>
    <w:rsid w:val="00FA7245"/>
    <w:rsid w:val="00FA752F"/>
    <w:rsid w:val="00FA7A19"/>
    <w:rsid w:val="00FB090B"/>
    <w:rsid w:val="00FB0942"/>
    <w:rsid w:val="00FB12FD"/>
    <w:rsid w:val="00FB1506"/>
    <w:rsid w:val="00FB2899"/>
    <w:rsid w:val="00FB2FCB"/>
    <w:rsid w:val="00FB35FF"/>
    <w:rsid w:val="00FB49FF"/>
    <w:rsid w:val="00FB660D"/>
    <w:rsid w:val="00FB690C"/>
    <w:rsid w:val="00FB6BDA"/>
    <w:rsid w:val="00FB734D"/>
    <w:rsid w:val="00FC0099"/>
    <w:rsid w:val="00FC1074"/>
    <w:rsid w:val="00FC1884"/>
    <w:rsid w:val="00FC29BC"/>
    <w:rsid w:val="00FC371D"/>
    <w:rsid w:val="00FC3898"/>
    <w:rsid w:val="00FC3A56"/>
    <w:rsid w:val="00FC3C5C"/>
    <w:rsid w:val="00FC4007"/>
    <w:rsid w:val="00FC40B6"/>
    <w:rsid w:val="00FC5F0B"/>
    <w:rsid w:val="00FC609E"/>
    <w:rsid w:val="00FC6C5B"/>
    <w:rsid w:val="00FC6E05"/>
    <w:rsid w:val="00FC78B6"/>
    <w:rsid w:val="00FC7EDC"/>
    <w:rsid w:val="00FD034E"/>
    <w:rsid w:val="00FD1210"/>
    <w:rsid w:val="00FD123E"/>
    <w:rsid w:val="00FD18A4"/>
    <w:rsid w:val="00FD1F49"/>
    <w:rsid w:val="00FD2100"/>
    <w:rsid w:val="00FD27D9"/>
    <w:rsid w:val="00FD2C0A"/>
    <w:rsid w:val="00FD436C"/>
    <w:rsid w:val="00FD446D"/>
    <w:rsid w:val="00FD4FF2"/>
    <w:rsid w:val="00FD51CB"/>
    <w:rsid w:val="00FD5B91"/>
    <w:rsid w:val="00FD6394"/>
    <w:rsid w:val="00FD63A8"/>
    <w:rsid w:val="00FD6812"/>
    <w:rsid w:val="00FD6E09"/>
    <w:rsid w:val="00FD72E1"/>
    <w:rsid w:val="00FD7573"/>
    <w:rsid w:val="00FD77ED"/>
    <w:rsid w:val="00FD7855"/>
    <w:rsid w:val="00FD7D35"/>
    <w:rsid w:val="00FE0E6C"/>
    <w:rsid w:val="00FE2BEA"/>
    <w:rsid w:val="00FE4559"/>
    <w:rsid w:val="00FE46CD"/>
    <w:rsid w:val="00FE4DDB"/>
    <w:rsid w:val="00FE514E"/>
    <w:rsid w:val="00FE59E0"/>
    <w:rsid w:val="00FE62C0"/>
    <w:rsid w:val="00FE68AD"/>
    <w:rsid w:val="00FE70C3"/>
    <w:rsid w:val="00FE790C"/>
    <w:rsid w:val="00FE7E8F"/>
    <w:rsid w:val="00FE7F38"/>
    <w:rsid w:val="00FF0BFA"/>
    <w:rsid w:val="00FF13C2"/>
    <w:rsid w:val="00FF184B"/>
    <w:rsid w:val="00FF2157"/>
    <w:rsid w:val="00FF2884"/>
    <w:rsid w:val="00FF2C1E"/>
    <w:rsid w:val="00FF3D2E"/>
    <w:rsid w:val="00FF3DCF"/>
    <w:rsid w:val="00FF45EA"/>
    <w:rsid w:val="00FF465D"/>
    <w:rsid w:val="00FF466B"/>
    <w:rsid w:val="00FF492C"/>
    <w:rsid w:val="00FF49A6"/>
    <w:rsid w:val="00FF4A21"/>
    <w:rsid w:val="00FF4CFD"/>
    <w:rsid w:val="00FF56C2"/>
    <w:rsid w:val="00FF5AA3"/>
    <w:rsid w:val="00FF5AD8"/>
    <w:rsid w:val="00FF6DED"/>
    <w:rsid w:val="00FF71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1EE1"/>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C55706"/>
    <w:pPr>
      <w:numPr>
        <w:numId w:val="3"/>
      </w:numPr>
      <w:spacing w:after="120"/>
      <w:outlineLvl w:val="0"/>
    </w:p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4.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V50Instructions">
    <w:name w:val="V5.0 Instructions"/>
    <w:basedOn w:val="Normal"/>
    <w:link w:val="V50InstructionsChar"/>
    <w:qFormat/>
    <w:rsid w:val="0040020C"/>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40020C"/>
    <w:rPr>
      <w:rFonts w:asciiTheme="minorHAnsi" w:eastAsiaTheme="minorHAnsi" w:hAnsiTheme="minorHAnsi" w:cstheme="minorBidi"/>
      <w:color w:val="4BACC6" w:themeColor="accent5"/>
      <w:sz w:val="24"/>
      <w:szCs w:val="22"/>
      <w:lang w:eastAsia="en-US"/>
    </w:rPr>
  </w:style>
  <w:style w:type="table" w:customStyle="1" w:styleId="TableGridLight111">
    <w:name w:val="Table Grid Light111"/>
    <w:basedOn w:val="TableNormal"/>
    <w:uiPriority w:val="40"/>
    <w:rsid w:val="00E9510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1">
    <w:name w:val="Table Grid11"/>
    <w:basedOn w:val="TableNormal"/>
    <w:next w:val="TableGrid"/>
    <w:uiPriority w:val="59"/>
    <w:rsid w:val="00B014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qFormat/>
    <w:rsid w:val="005D4779"/>
    <w:pPr>
      <w:widowControl/>
      <w:spacing w:after="200"/>
      <w:jc w:val="left"/>
    </w:pPr>
    <w:rPr>
      <w:rFonts w:ascii="Arial" w:eastAsiaTheme="minorHAnsi" w:hAnsi="Arial" w:cstheme="minorBidi"/>
      <w:snapToGrid/>
      <w:sz w:val="16"/>
    </w:rPr>
  </w:style>
  <w:style w:type="paragraph" w:customStyle="1" w:styleId="TableText0">
    <w:name w:val="Table Text"/>
    <w:basedOn w:val="Normal"/>
    <w:link w:val="TableTextChar0"/>
    <w:qFormat/>
    <w:rsid w:val="0022493A"/>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iPriority w:val="99"/>
    <w:unhideWhenUsed/>
    <w:rsid w:val="0022493A"/>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22493A"/>
    <w:rPr>
      <w:rFonts w:asciiTheme="minorHAnsi" w:eastAsiaTheme="minorHAnsi" w:hAnsiTheme="minorHAnsi" w:cstheme="minorBidi"/>
      <w:sz w:val="18"/>
      <w:lang w:eastAsia="en-US"/>
    </w:rPr>
  </w:style>
  <w:style w:type="paragraph" w:customStyle="1" w:styleId="TableHeading0">
    <w:name w:val="Table Heading"/>
    <w:basedOn w:val="Normal"/>
    <w:qFormat/>
    <w:rsid w:val="00E81C1B"/>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basedOn w:val="DefaultParagraphFont"/>
    <w:link w:val="TableText0"/>
    <w:rsid w:val="00D068A6"/>
    <w:rPr>
      <w:rFonts w:ascii="Arial Narrow" w:eastAsiaTheme="minorHAnsi" w:hAnsi="Arial Narrow" w:cstheme="minorBidi"/>
      <w:szCs w:val="22"/>
      <w:lang w:eastAsia="en-US"/>
    </w:rPr>
  </w:style>
  <w:style w:type="character" w:styleId="PlaceholderText">
    <w:name w:val="Placeholder Text"/>
    <w:basedOn w:val="DefaultParagraphFont"/>
    <w:uiPriority w:val="99"/>
    <w:semiHidden/>
    <w:rsid w:val="00B71B9C"/>
    <w:rPr>
      <w:color w:val="808080"/>
    </w:rPr>
  </w:style>
  <w:style w:type="character" w:styleId="FootnoteReference">
    <w:name w:val="footnote reference"/>
    <w:basedOn w:val="DefaultParagraphFont"/>
    <w:uiPriority w:val="99"/>
    <w:unhideWhenUsed/>
    <w:rsid w:val="00EE45B3"/>
    <w:rPr>
      <w:vertAlign w:val="superscript"/>
    </w:rPr>
  </w:style>
  <w:style w:type="paragraph" w:customStyle="1" w:styleId="Bullet2">
    <w:name w:val="Bullet 2"/>
    <w:basedOn w:val="Normal"/>
    <w:next w:val="Normal"/>
    <w:qFormat/>
    <w:rsid w:val="00B168A2"/>
    <w:pPr>
      <w:widowControl/>
      <w:numPr>
        <w:ilvl w:val="1"/>
        <w:numId w:val="21"/>
      </w:numPr>
      <w:tabs>
        <w:tab w:val="clear" w:pos="1440"/>
        <w:tab w:val="num" w:pos="993"/>
      </w:tabs>
      <w:spacing w:before="40" w:after="40" w:line="360" w:lineRule="auto"/>
    </w:pPr>
    <w:rPr>
      <w:rFonts w:ascii="Arial" w:hAnsi="Arial" w:cs="Times New Roman"/>
      <w:snapToGrid/>
      <w:sz w:val="20"/>
      <w:szCs w:val="24"/>
    </w:rPr>
  </w:style>
  <w:style w:type="paragraph" w:styleId="PlainText">
    <w:name w:val="Plain Text"/>
    <w:basedOn w:val="Normal"/>
    <w:link w:val="PlainTextChar"/>
    <w:uiPriority w:val="99"/>
    <w:rsid w:val="0077452E"/>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77452E"/>
    <w:rPr>
      <w:rFonts w:ascii="Courier New" w:hAnsi="Courier New"/>
    </w:rPr>
  </w:style>
  <w:style w:type="table" w:customStyle="1" w:styleId="Summarybox1">
    <w:name w:val="Summary box1"/>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1EE1"/>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C55706"/>
    <w:pPr>
      <w:numPr>
        <w:numId w:val="3"/>
      </w:numPr>
      <w:spacing w:after="120"/>
      <w:outlineLvl w:val="0"/>
    </w:p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4.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V50Instructions">
    <w:name w:val="V5.0 Instructions"/>
    <w:basedOn w:val="Normal"/>
    <w:link w:val="V50InstructionsChar"/>
    <w:qFormat/>
    <w:rsid w:val="0040020C"/>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40020C"/>
    <w:rPr>
      <w:rFonts w:asciiTheme="minorHAnsi" w:eastAsiaTheme="minorHAnsi" w:hAnsiTheme="minorHAnsi" w:cstheme="minorBidi"/>
      <w:color w:val="4BACC6" w:themeColor="accent5"/>
      <w:sz w:val="24"/>
      <w:szCs w:val="22"/>
      <w:lang w:eastAsia="en-US"/>
    </w:rPr>
  </w:style>
  <w:style w:type="table" w:customStyle="1" w:styleId="TableGridLight111">
    <w:name w:val="Table Grid Light111"/>
    <w:basedOn w:val="TableNormal"/>
    <w:uiPriority w:val="40"/>
    <w:rsid w:val="00E9510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1">
    <w:name w:val="Table Grid11"/>
    <w:basedOn w:val="TableNormal"/>
    <w:next w:val="TableGrid"/>
    <w:uiPriority w:val="59"/>
    <w:rsid w:val="00B014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qFormat/>
    <w:rsid w:val="005D4779"/>
    <w:pPr>
      <w:widowControl/>
      <w:spacing w:after="200"/>
      <w:jc w:val="left"/>
    </w:pPr>
    <w:rPr>
      <w:rFonts w:ascii="Arial" w:eastAsiaTheme="minorHAnsi" w:hAnsi="Arial" w:cstheme="minorBidi"/>
      <w:snapToGrid/>
      <w:sz w:val="16"/>
    </w:rPr>
  </w:style>
  <w:style w:type="paragraph" w:customStyle="1" w:styleId="TableText0">
    <w:name w:val="Table Text"/>
    <w:basedOn w:val="Normal"/>
    <w:link w:val="TableTextChar0"/>
    <w:qFormat/>
    <w:rsid w:val="0022493A"/>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iPriority w:val="99"/>
    <w:unhideWhenUsed/>
    <w:rsid w:val="0022493A"/>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22493A"/>
    <w:rPr>
      <w:rFonts w:asciiTheme="minorHAnsi" w:eastAsiaTheme="minorHAnsi" w:hAnsiTheme="minorHAnsi" w:cstheme="minorBidi"/>
      <w:sz w:val="18"/>
      <w:lang w:eastAsia="en-US"/>
    </w:rPr>
  </w:style>
  <w:style w:type="paragraph" w:customStyle="1" w:styleId="TableHeading0">
    <w:name w:val="Table Heading"/>
    <w:basedOn w:val="Normal"/>
    <w:qFormat/>
    <w:rsid w:val="00E81C1B"/>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basedOn w:val="DefaultParagraphFont"/>
    <w:link w:val="TableText0"/>
    <w:rsid w:val="00D068A6"/>
    <w:rPr>
      <w:rFonts w:ascii="Arial Narrow" w:eastAsiaTheme="minorHAnsi" w:hAnsi="Arial Narrow" w:cstheme="minorBidi"/>
      <w:szCs w:val="22"/>
      <w:lang w:eastAsia="en-US"/>
    </w:rPr>
  </w:style>
  <w:style w:type="character" w:styleId="PlaceholderText">
    <w:name w:val="Placeholder Text"/>
    <w:basedOn w:val="DefaultParagraphFont"/>
    <w:uiPriority w:val="99"/>
    <w:semiHidden/>
    <w:rsid w:val="00B71B9C"/>
    <w:rPr>
      <w:color w:val="808080"/>
    </w:rPr>
  </w:style>
  <w:style w:type="character" w:styleId="FootnoteReference">
    <w:name w:val="footnote reference"/>
    <w:basedOn w:val="DefaultParagraphFont"/>
    <w:uiPriority w:val="99"/>
    <w:unhideWhenUsed/>
    <w:rsid w:val="00EE45B3"/>
    <w:rPr>
      <w:vertAlign w:val="superscript"/>
    </w:rPr>
  </w:style>
  <w:style w:type="paragraph" w:customStyle="1" w:styleId="Bullet2">
    <w:name w:val="Bullet 2"/>
    <w:basedOn w:val="Normal"/>
    <w:next w:val="Normal"/>
    <w:qFormat/>
    <w:rsid w:val="00B168A2"/>
    <w:pPr>
      <w:widowControl/>
      <w:numPr>
        <w:ilvl w:val="1"/>
        <w:numId w:val="21"/>
      </w:numPr>
      <w:tabs>
        <w:tab w:val="clear" w:pos="1440"/>
        <w:tab w:val="num" w:pos="993"/>
      </w:tabs>
      <w:spacing w:before="40" w:after="40" w:line="360" w:lineRule="auto"/>
    </w:pPr>
    <w:rPr>
      <w:rFonts w:ascii="Arial" w:hAnsi="Arial" w:cs="Times New Roman"/>
      <w:snapToGrid/>
      <w:sz w:val="20"/>
      <w:szCs w:val="24"/>
    </w:rPr>
  </w:style>
  <w:style w:type="paragraph" w:styleId="PlainText">
    <w:name w:val="Plain Text"/>
    <w:basedOn w:val="Normal"/>
    <w:link w:val="PlainTextChar"/>
    <w:uiPriority w:val="99"/>
    <w:rsid w:val="0077452E"/>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77452E"/>
    <w:rPr>
      <w:rFonts w:ascii="Courier New" w:hAnsi="Courier New"/>
    </w:rPr>
  </w:style>
  <w:style w:type="table" w:customStyle="1" w:styleId="Summarybox1">
    <w:name w:val="Summary box1"/>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C20D8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563">
      <w:bodyDiv w:val="1"/>
      <w:marLeft w:val="0"/>
      <w:marRight w:val="0"/>
      <w:marTop w:val="0"/>
      <w:marBottom w:val="0"/>
      <w:divBdr>
        <w:top w:val="none" w:sz="0" w:space="0" w:color="auto"/>
        <w:left w:val="none" w:sz="0" w:space="0" w:color="auto"/>
        <w:bottom w:val="none" w:sz="0" w:space="0" w:color="auto"/>
        <w:right w:val="none" w:sz="0" w:space="0" w:color="auto"/>
      </w:divBdr>
    </w:div>
    <w:div w:id="851796179">
      <w:bodyDiv w:val="1"/>
      <w:marLeft w:val="0"/>
      <w:marRight w:val="0"/>
      <w:marTop w:val="0"/>
      <w:marBottom w:val="0"/>
      <w:divBdr>
        <w:top w:val="none" w:sz="0" w:space="0" w:color="auto"/>
        <w:left w:val="none" w:sz="0" w:space="0" w:color="auto"/>
        <w:bottom w:val="none" w:sz="0" w:space="0" w:color="auto"/>
        <w:right w:val="none" w:sz="0" w:space="0" w:color="auto"/>
      </w:divBdr>
    </w:div>
    <w:div w:id="1028336881">
      <w:bodyDiv w:val="1"/>
      <w:marLeft w:val="0"/>
      <w:marRight w:val="0"/>
      <w:marTop w:val="0"/>
      <w:marBottom w:val="0"/>
      <w:divBdr>
        <w:top w:val="none" w:sz="0" w:space="0" w:color="auto"/>
        <w:left w:val="none" w:sz="0" w:space="0" w:color="auto"/>
        <w:bottom w:val="none" w:sz="0" w:space="0" w:color="auto"/>
        <w:right w:val="none" w:sz="0" w:space="0" w:color="auto"/>
      </w:divBdr>
    </w:div>
    <w:div w:id="172629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eader" Target="header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Lan15</b:Tag>
    <b:SourceType>JournalArticle</b:SourceType>
    <b:Guid>{1E5D4F3C-6E6C-4B68-8B43-676D39F41393}</b:Guid>
    <b:Title>The 5-point Investigator's Global Assessment (IGA) Scale: A modified tool for evaluating plaque psoriasis severity in clinical trials. </b:Title>
    <b:JournalName>Journal of Dermatological Treatment</b:JournalName>
    <b:Year>2015</b:Year>
    <b:Pages>23-31</b:Pages>
    <b:Volume>26</b:Volume>
    <b:Issue>1</b:Issue>
    <b:Author>
      <b:Author>
        <b:NameList>
          <b:Person>
            <b:Last>Langley</b:Last>
            <b:First>RG</b:First>
          </b:Person>
          <b:Person>
            <b:Last>Feldman</b:Last>
            <b:First>SR</b:First>
          </b:Person>
          <b:Person>
            <b:Last>Nyirady</b:Last>
            <b:First>J</b:First>
          </b:Person>
          <b:Person>
            <b:Last>van se Kerkhof</b:Last>
            <b:First>P</b:First>
          </b:Person>
          <b:Person>
            <b:Last>Papavassilis</b:Last>
            <b:First>C</b:First>
          </b:Person>
        </b:NameList>
      </b:Author>
    </b:Author>
    <b:RefOrder>21</b:RefOrder>
  </b:Source>
</b:Sources>
</file>

<file path=customXml/itemProps1.xml><?xml version="1.0" encoding="utf-8"?>
<ds:datastoreItem xmlns:ds="http://schemas.openxmlformats.org/officeDocument/2006/customXml" ds:itemID="{38C9ABDD-8D61-462F-AAE1-EA417866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17869</Words>
  <Characters>99817</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2018-09-26T07:20:00Z</dcterms:created>
  <dcterms:modified xsi:type="dcterms:W3CDTF">2018-10-17T06:32:00Z</dcterms:modified>
</cp:coreProperties>
</file>