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C12C14" w:rsidRDefault="00D6357C" w:rsidP="00FE5C15">
      <w:pPr>
        <w:pStyle w:val="Heading1"/>
        <w:jc w:val="left"/>
      </w:pPr>
      <w:bookmarkStart w:id="0" w:name="_GoBack"/>
      <w:bookmarkEnd w:id="0"/>
      <w:r w:rsidRPr="00AF7C11">
        <w:t>5.06</w:t>
      </w:r>
      <w:r w:rsidR="00B60939" w:rsidRPr="00AF7C11">
        <w:tab/>
      </w:r>
      <w:r w:rsidR="00DC5AB6" w:rsidRPr="00AF7C11">
        <w:t>MENINGOCOCCAL POLYSACCHARIDE CONJUGATE VACCINE SEROGROUPS A, C, W-135 and Y</w:t>
      </w:r>
      <w:r w:rsidR="00B60939" w:rsidRPr="00C12C14">
        <w:t xml:space="preserve">, </w:t>
      </w:r>
      <w:r w:rsidR="00DC5AB6" w:rsidRPr="00DC5AB6">
        <w:t>Pre-filled syringe</w:t>
      </w:r>
      <w:r w:rsidR="00DC5AB6">
        <w:t>,</w:t>
      </w:r>
      <w:r w:rsidR="00DC5AB6" w:rsidRPr="00DC5AB6">
        <w:t xml:space="preserve"> 0.5mL</w:t>
      </w:r>
      <w:r w:rsidR="00B60939" w:rsidRPr="00C12C14">
        <w:t xml:space="preserve">, </w:t>
      </w:r>
      <w:proofErr w:type="spellStart"/>
      <w:r w:rsidR="00DC5AB6">
        <w:t>Nimenrix</w:t>
      </w:r>
      <w:proofErr w:type="spellEnd"/>
      <w:r w:rsidR="00DC5AB6" w:rsidRPr="00C12C14">
        <w:rPr>
          <w:vertAlign w:val="superscript"/>
        </w:rPr>
        <w:t xml:space="preserve"> </w:t>
      </w:r>
      <w:r w:rsidR="00B60939" w:rsidRPr="00C12C14">
        <w:rPr>
          <w:vertAlign w:val="superscript"/>
        </w:rPr>
        <w:t>®</w:t>
      </w:r>
      <w:r w:rsidR="00B60939" w:rsidRPr="00C12C14">
        <w:t xml:space="preserve">, </w:t>
      </w:r>
      <w:r w:rsidR="00DC5AB6">
        <w:t>Pfizer</w:t>
      </w:r>
      <w:r w:rsidR="00616593">
        <w:t xml:space="preserve"> Australia Pty Ltd.</w:t>
      </w:r>
    </w:p>
    <w:p w:rsidR="00B60939" w:rsidRDefault="00B60939" w:rsidP="00207D00"/>
    <w:p w:rsidR="00B60939" w:rsidRPr="008470A2" w:rsidRDefault="00B50DB8" w:rsidP="008470A2">
      <w:pPr>
        <w:pStyle w:val="PBACHeading1"/>
      </w:pPr>
      <w:bookmarkStart w:id="1" w:name="_Toc500765117"/>
      <w:r w:rsidRPr="008470A2">
        <w:t>Purpose of Application</w:t>
      </w:r>
      <w:bookmarkEnd w:id="1"/>
    </w:p>
    <w:p w:rsidR="002C2775" w:rsidRPr="008B1757" w:rsidRDefault="00DC5AB6" w:rsidP="00586FAD">
      <w:pPr>
        <w:pStyle w:val="ListParagraph"/>
        <w:widowControl/>
        <w:numPr>
          <w:ilvl w:val="1"/>
          <w:numId w:val="1"/>
        </w:numPr>
      </w:pPr>
      <w:r>
        <w:t>NIP</w:t>
      </w:r>
      <w:r w:rsidR="008B1757" w:rsidRPr="004B3DDB">
        <w:t xml:space="preserve"> listing for </w:t>
      </w:r>
      <w:r w:rsidR="00AD55A3">
        <w:t>a</w:t>
      </w:r>
      <w:r>
        <w:t xml:space="preserve"> </w:t>
      </w:r>
      <w:r w:rsidR="00AD55A3" w:rsidRPr="00AD55A3">
        <w:t>meningococcal polysaccharide serogroups A, C, W</w:t>
      </w:r>
      <w:r w:rsidR="00AD55A3" w:rsidRPr="00FA4517">
        <w:rPr>
          <w:vertAlign w:val="subscript"/>
        </w:rPr>
        <w:t>135</w:t>
      </w:r>
      <w:r w:rsidR="00AD55A3" w:rsidRPr="00AD55A3">
        <w:t xml:space="preserve"> and Y conjugate vaccine </w:t>
      </w:r>
      <w:r w:rsidR="00AD55A3">
        <w:t>(</w:t>
      </w:r>
      <w:proofErr w:type="spellStart"/>
      <w:r>
        <w:t>MenACWY</w:t>
      </w:r>
      <w:proofErr w:type="spellEnd"/>
      <w:r>
        <w:t>-TT</w:t>
      </w:r>
      <w:r w:rsidR="00AD55A3">
        <w:t>)</w:t>
      </w:r>
      <w:r>
        <w:t xml:space="preserve"> </w:t>
      </w:r>
      <w:r w:rsidR="008B1757" w:rsidRPr="004B3DDB">
        <w:t xml:space="preserve">for </w:t>
      </w:r>
      <w:r w:rsidR="00AD55A3">
        <w:t xml:space="preserve">the prevention of </w:t>
      </w:r>
      <w:r w:rsidR="00D6357C" w:rsidRPr="00A34BBD">
        <w:t>invasive meningococcal disease</w:t>
      </w:r>
      <w:r w:rsidR="00D6357C">
        <w:t xml:space="preserve"> (</w:t>
      </w:r>
      <w:r w:rsidR="004D7211">
        <w:t>IMD</w:t>
      </w:r>
      <w:r w:rsidR="00D6357C">
        <w:t>)</w:t>
      </w:r>
      <w:r w:rsidR="00AD55A3">
        <w:t xml:space="preserve"> </w:t>
      </w:r>
      <w:r w:rsidR="00AD55A3" w:rsidRPr="00AD55A3">
        <w:t xml:space="preserve">caused by </w:t>
      </w:r>
      <w:r w:rsidR="00AD55A3" w:rsidRPr="004D7211">
        <w:rPr>
          <w:i/>
        </w:rPr>
        <w:t xml:space="preserve">Neisseria </w:t>
      </w:r>
      <w:proofErr w:type="spellStart"/>
      <w:r w:rsidR="00AD55A3" w:rsidRPr="004D7211">
        <w:rPr>
          <w:i/>
        </w:rPr>
        <w:t>meningitidis</w:t>
      </w:r>
      <w:proofErr w:type="spellEnd"/>
      <w:r w:rsidR="00AD55A3" w:rsidRPr="00AD55A3">
        <w:t xml:space="preserve"> </w:t>
      </w:r>
      <w:r w:rsidR="00AD55A3">
        <w:t>serogroups A, C, W</w:t>
      </w:r>
      <w:r w:rsidR="00AD55A3" w:rsidRPr="00AD55A3">
        <w:rPr>
          <w:vertAlign w:val="subscript"/>
        </w:rPr>
        <w:t>135</w:t>
      </w:r>
      <w:r w:rsidR="00AD55A3">
        <w:t>, and Y (</w:t>
      </w:r>
      <w:proofErr w:type="spellStart"/>
      <w:r w:rsidR="00DD72D1">
        <w:t>Men</w:t>
      </w:r>
      <w:r w:rsidR="005951B1">
        <w:t>A</w:t>
      </w:r>
      <w:proofErr w:type="spellEnd"/>
      <w:r w:rsidR="005951B1">
        <w:t xml:space="preserve">, </w:t>
      </w:r>
      <w:proofErr w:type="spellStart"/>
      <w:r w:rsidR="005951B1">
        <w:t>MenC</w:t>
      </w:r>
      <w:proofErr w:type="spellEnd"/>
      <w:r w:rsidR="005951B1">
        <w:t xml:space="preserve">, </w:t>
      </w:r>
      <w:r w:rsidR="00840ED5" w:rsidRPr="00840ED5">
        <w:t>MenW</w:t>
      </w:r>
      <w:r w:rsidR="00840ED5" w:rsidRPr="00840ED5">
        <w:rPr>
          <w:vertAlign w:val="subscript"/>
        </w:rPr>
        <w:t>135</w:t>
      </w:r>
      <w:r w:rsidR="005951B1">
        <w:t xml:space="preserve"> and </w:t>
      </w:r>
      <w:proofErr w:type="spellStart"/>
      <w:r w:rsidR="00AD55A3">
        <w:t>MenY</w:t>
      </w:r>
      <w:proofErr w:type="spellEnd"/>
      <w:r w:rsidR="005951B1">
        <w:t>, respectively</w:t>
      </w:r>
      <w:r w:rsidR="00AD55A3">
        <w:t>) in infants. The PBAC has not previously considered this vaccine.</w:t>
      </w:r>
    </w:p>
    <w:p w:rsidR="008470A2" w:rsidRDefault="00AD55A3" w:rsidP="008470A2">
      <w:pPr>
        <w:pStyle w:val="ListParagraph"/>
        <w:widowControl/>
        <w:numPr>
          <w:ilvl w:val="1"/>
          <w:numId w:val="1"/>
        </w:numPr>
        <w:spacing w:after="120"/>
      </w:pPr>
      <w:r>
        <w:t>The submission request</w:t>
      </w:r>
      <w:r w:rsidR="004952E4">
        <w:t>ed</w:t>
      </w:r>
      <w:r>
        <w:t xml:space="preserve"> the </w:t>
      </w:r>
      <w:proofErr w:type="spellStart"/>
      <w:r>
        <w:t>MenACWY</w:t>
      </w:r>
      <w:proofErr w:type="spellEnd"/>
      <w:r>
        <w:t xml:space="preserve">-TT vaccine to be listed on </w:t>
      </w:r>
      <w:r w:rsidR="00667688">
        <w:t xml:space="preserve">the basis of non-inferior in terms of effectiveness compared to the </w:t>
      </w:r>
      <w:r w:rsidR="00732B1C">
        <w:t xml:space="preserve">combined </w:t>
      </w:r>
      <w:r w:rsidR="00732B1C" w:rsidRPr="00732B1C">
        <w:t xml:space="preserve">haemophilus </w:t>
      </w:r>
      <w:proofErr w:type="spellStart"/>
      <w:r w:rsidR="00732B1C" w:rsidRPr="00732B1C">
        <w:t>influenzae</w:t>
      </w:r>
      <w:proofErr w:type="spellEnd"/>
      <w:r w:rsidR="00732B1C" w:rsidRPr="00732B1C">
        <w:t xml:space="preserve"> Type B</w:t>
      </w:r>
      <w:r w:rsidR="00732B1C">
        <w:t xml:space="preserve"> and </w:t>
      </w:r>
      <w:proofErr w:type="spellStart"/>
      <w:r w:rsidR="00D331C6">
        <w:t>MenC</w:t>
      </w:r>
      <w:proofErr w:type="spellEnd"/>
      <w:r w:rsidR="00732B1C" w:rsidRPr="00732B1C">
        <w:t xml:space="preserve"> </w:t>
      </w:r>
      <w:r w:rsidR="00732B1C">
        <w:t>(</w:t>
      </w:r>
      <w:r w:rsidR="00667688">
        <w:t>Hib-</w:t>
      </w:r>
      <w:proofErr w:type="spellStart"/>
      <w:r w:rsidR="00667688">
        <w:t>MenC</w:t>
      </w:r>
      <w:proofErr w:type="spellEnd"/>
      <w:r w:rsidR="00732B1C">
        <w:t>)</w:t>
      </w:r>
      <w:r w:rsidR="00667688">
        <w:t xml:space="preserve"> vaccine, and on </w:t>
      </w:r>
      <w:r>
        <w:t xml:space="preserve">a cost-minimisation basis compared to </w:t>
      </w:r>
      <w:r w:rsidR="00667688" w:rsidRPr="00667688">
        <w:t>the assumed price of the meningococcal C component of the Hib-</w:t>
      </w:r>
      <w:proofErr w:type="spellStart"/>
      <w:r w:rsidR="00667688" w:rsidRPr="00667688">
        <w:t>MenC</w:t>
      </w:r>
      <w:proofErr w:type="spellEnd"/>
      <w:r w:rsidR="00667688" w:rsidRPr="00667688">
        <w:t xml:space="preserve"> vaccine (</w:t>
      </w:r>
      <w:proofErr w:type="gramStart"/>
      <w:r w:rsidR="00667688" w:rsidRPr="00667688">
        <w:t>p129</w:t>
      </w:r>
      <w:proofErr w:type="gramEnd"/>
      <w:r w:rsidR="00667688" w:rsidRPr="00667688">
        <w:t xml:space="preserve"> of the submission)</w:t>
      </w:r>
      <w:r>
        <w:t>.</w:t>
      </w:r>
    </w:p>
    <w:p w:rsidR="00617E12" w:rsidRPr="007C609A" w:rsidRDefault="00B50DB8" w:rsidP="008470A2">
      <w:pPr>
        <w:pStyle w:val="PBACHeading1"/>
      </w:pPr>
      <w:bookmarkStart w:id="2" w:name="_Toc500765118"/>
      <w:r w:rsidRPr="00AF7C11">
        <w:t>Requested listing</w:t>
      </w:r>
      <w:bookmarkEnd w:id="2"/>
    </w:p>
    <w:tbl>
      <w:tblPr>
        <w:tblW w:w="4977" w:type="pct"/>
        <w:tblInd w:w="28" w:type="dxa"/>
        <w:tblCellMar>
          <w:left w:w="28" w:type="dxa"/>
          <w:right w:w="28" w:type="dxa"/>
        </w:tblCellMar>
        <w:tblLook w:val="0000" w:firstRow="0" w:lastRow="0" w:firstColumn="0" w:lastColumn="0" w:noHBand="0" w:noVBand="0"/>
      </w:tblPr>
      <w:tblGrid>
        <w:gridCol w:w="2259"/>
        <w:gridCol w:w="1128"/>
        <w:gridCol w:w="1089"/>
        <w:gridCol w:w="844"/>
        <w:gridCol w:w="1521"/>
        <w:gridCol w:w="703"/>
        <w:gridCol w:w="1497"/>
      </w:tblGrid>
      <w:tr w:rsidR="003517F9" w:rsidRPr="00413860" w:rsidTr="00482127">
        <w:trPr>
          <w:cantSplit/>
          <w:trHeight w:val="463"/>
        </w:trPr>
        <w:tc>
          <w:tcPr>
            <w:tcW w:w="1873" w:type="pct"/>
            <w:gridSpan w:val="2"/>
            <w:tcBorders>
              <w:top w:val="single" w:sz="4" w:space="0" w:color="auto"/>
              <w:bottom w:val="single" w:sz="4" w:space="0" w:color="auto"/>
            </w:tcBorders>
            <w:vAlign w:val="center"/>
          </w:tcPr>
          <w:p w:rsidR="00617E12" w:rsidRPr="00C7151A" w:rsidRDefault="00617E12" w:rsidP="00617E12">
            <w:pPr>
              <w:keepNext/>
              <w:jc w:val="left"/>
              <w:rPr>
                <w:rFonts w:ascii="Arial Narrow" w:hAnsi="Arial Narrow"/>
                <w:b/>
                <w:sz w:val="20"/>
              </w:rPr>
            </w:pPr>
            <w:r w:rsidRPr="00C7151A">
              <w:rPr>
                <w:rFonts w:ascii="Arial Narrow" w:hAnsi="Arial Narrow"/>
                <w:b/>
                <w:sz w:val="20"/>
              </w:rPr>
              <w:t>Name, Restriction,</w:t>
            </w:r>
          </w:p>
          <w:p w:rsidR="00617E12" w:rsidRPr="00C7151A" w:rsidRDefault="00617E12" w:rsidP="00617E12">
            <w:pPr>
              <w:keepNext/>
              <w:jc w:val="left"/>
              <w:rPr>
                <w:rFonts w:ascii="Arial Narrow" w:hAnsi="Arial Narrow"/>
                <w:b/>
                <w:sz w:val="20"/>
              </w:rPr>
            </w:pPr>
            <w:r w:rsidRPr="00C7151A">
              <w:rPr>
                <w:rFonts w:ascii="Arial Narrow" w:hAnsi="Arial Narrow"/>
                <w:b/>
                <w:sz w:val="20"/>
              </w:rPr>
              <w:t>Manner of administration and form</w:t>
            </w:r>
          </w:p>
        </w:tc>
        <w:tc>
          <w:tcPr>
            <w:tcW w:w="602" w:type="pct"/>
            <w:tcBorders>
              <w:top w:val="single" w:sz="4" w:space="0" w:color="auto"/>
              <w:bottom w:val="single" w:sz="4" w:space="0" w:color="auto"/>
            </w:tcBorders>
            <w:vAlign w:val="center"/>
          </w:tcPr>
          <w:p w:rsidR="00617E12" w:rsidRPr="00C7151A" w:rsidRDefault="00617E12" w:rsidP="00617E12">
            <w:pPr>
              <w:keepNext/>
              <w:jc w:val="center"/>
              <w:rPr>
                <w:rFonts w:ascii="Arial Narrow" w:hAnsi="Arial Narrow"/>
                <w:b/>
                <w:sz w:val="20"/>
              </w:rPr>
            </w:pPr>
            <w:r w:rsidRPr="00C7151A">
              <w:rPr>
                <w:rFonts w:ascii="Arial Narrow" w:hAnsi="Arial Narrow"/>
                <w:b/>
                <w:sz w:val="20"/>
              </w:rPr>
              <w:t>Max.</w:t>
            </w:r>
          </w:p>
          <w:p w:rsidR="00617E12" w:rsidRPr="00C7151A" w:rsidRDefault="00617E12" w:rsidP="00AD55A3">
            <w:pPr>
              <w:keepNext/>
              <w:jc w:val="center"/>
              <w:rPr>
                <w:rFonts w:ascii="Arial Narrow" w:hAnsi="Arial Narrow"/>
                <w:b/>
                <w:sz w:val="20"/>
              </w:rPr>
            </w:pPr>
            <w:proofErr w:type="spellStart"/>
            <w:r w:rsidRPr="00C7151A">
              <w:rPr>
                <w:rFonts w:ascii="Arial Narrow" w:hAnsi="Arial Narrow"/>
                <w:b/>
                <w:sz w:val="20"/>
              </w:rPr>
              <w:t>Qty</w:t>
            </w:r>
            <w:proofErr w:type="spellEnd"/>
          </w:p>
        </w:tc>
        <w:tc>
          <w:tcPr>
            <w:tcW w:w="467" w:type="pct"/>
            <w:tcBorders>
              <w:top w:val="single" w:sz="4" w:space="0" w:color="auto"/>
              <w:bottom w:val="single" w:sz="4" w:space="0" w:color="auto"/>
            </w:tcBorders>
            <w:vAlign w:val="center"/>
          </w:tcPr>
          <w:p w:rsidR="00617E12" w:rsidRPr="00C7151A" w:rsidRDefault="00617E12" w:rsidP="00617E12">
            <w:pPr>
              <w:keepNext/>
              <w:jc w:val="center"/>
              <w:rPr>
                <w:rFonts w:ascii="Arial Narrow" w:hAnsi="Arial Narrow"/>
                <w:b/>
                <w:sz w:val="20"/>
              </w:rPr>
            </w:pPr>
            <w:r w:rsidRPr="00C7151A">
              <w:rPr>
                <w:rFonts w:ascii="Arial Narrow" w:hAnsi="Arial Narrow" w:cs="Times New Roman"/>
                <w:b/>
                <w:sz w:val="20"/>
              </w:rPr>
              <w:t>№</w:t>
            </w:r>
            <w:r w:rsidRPr="00C7151A">
              <w:rPr>
                <w:rFonts w:ascii="Arial Narrow" w:hAnsi="Arial Narrow"/>
                <w:b/>
                <w:sz w:val="20"/>
              </w:rPr>
              <w:t>.of</w:t>
            </w:r>
          </w:p>
          <w:p w:rsidR="00617E12" w:rsidRPr="00C7151A" w:rsidRDefault="00617E12" w:rsidP="00617E12">
            <w:pPr>
              <w:keepNext/>
              <w:jc w:val="center"/>
              <w:rPr>
                <w:rFonts w:ascii="Arial Narrow" w:hAnsi="Arial Narrow"/>
                <w:b/>
                <w:sz w:val="20"/>
              </w:rPr>
            </w:pPr>
            <w:proofErr w:type="spellStart"/>
            <w:r w:rsidRPr="00C7151A">
              <w:rPr>
                <w:rFonts w:ascii="Arial Narrow" w:hAnsi="Arial Narrow"/>
                <w:b/>
                <w:sz w:val="20"/>
              </w:rPr>
              <w:t>Rpts</w:t>
            </w:r>
            <w:proofErr w:type="spellEnd"/>
          </w:p>
        </w:tc>
        <w:tc>
          <w:tcPr>
            <w:tcW w:w="841" w:type="pct"/>
            <w:tcBorders>
              <w:top w:val="single" w:sz="4" w:space="0" w:color="auto"/>
              <w:bottom w:val="single" w:sz="4" w:space="0" w:color="auto"/>
            </w:tcBorders>
            <w:vAlign w:val="center"/>
          </w:tcPr>
          <w:p w:rsidR="00617E12" w:rsidRPr="00C7151A" w:rsidRDefault="00AD55A3" w:rsidP="00617E12">
            <w:pPr>
              <w:keepNext/>
              <w:jc w:val="center"/>
              <w:rPr>
                <w:rFonts w:ascii="Arial Narrow" w:hAnsi="Arial Narrow"/>
                <w:b/>
                <w:sz w:val="20"/>
              </w:rPr>
            </w:pPr>
            <w:r>
              <w:rPr>
                <w:rFonts w:ascii="Arial Narrow" w:hAnsi="Arial Narrow"/>
                <w:b/>
                <w:sz w:val="20"/>
              </w:rPr>
              <w:t>Approved ex-manufacturer price</w:t>
            </w:r>
          </w:p>
        </w:tc>
        <w:tc>
          <w:tcPr>
            <w:tcW w:w="1217" w:type="pct"/>
            <w:gridSpan w:val="2"/>
            <w:tcBorders>
              <w:top w:val="single" w:sz="4" w:space="0" w:color="auto"/>
              <w:bottom w:val="single" w:sz="4" w:space="0" w:color="auto"/>
            </w:tcBorders>
            <w:vAlign w:val="center"/>
          </w:tcPr>
          <w:p w:rsidR="00617E12" w:rsidRPr="00C7151A" w:rsidRDefault="00617E12" w:rsidP="00617E12">
            <w:pPr>
              <w:keepNext/>
              <w:jc w:val="center"/>
              <w:rPr>
                <w:rFonts w:ascii="Arial Narrow" w:hAnsi="Arial Narrow"/>
                <w:b/>
                <w:sz w:val="20"/>
                <w:lang w:val="fr-FR"/>
              </w:rPr>
            </w:pPr>
            <w:r w:rsidRPr="00C7151A">
              <w:rPr>
                <w:rFonts w:ascii="Arial Narrow" w:hAnsi="Arial Narrow"/>
                <w:b/>
                <w:sz w:val="20"/>
              </w:rPr>
              <w:t>Proprietary Name and Manufacturer</w:t>
            </w:r>
          </w:p>
        </w:tc>
      </w:tr>
      <w:tr w:rsidR="003517F9" w:rsidRPr="00413860" w:rsidTr="00482127">
        <w:trPr>
          <w:cantSplit/>
          <w:trHeight w:val="567"/>
        </w:trPr>
        <w:tc>
          <w:tcPr>
            <w:tcW w:w="1873" w:type="pct"/>
            <w:gridSpan w:val="2"/>
            <w:vAlign w:val="center"/>
          </w:tcPr>
          <w:p w:rsidR="00617E12" w:rsidRPr="00591957" w:rsidRDefault="00482127" w:rsidP="00206F08">
            <w:pPr>
              <w:keepNext/>
              <w:jc w:val="left"/>
              <w:rPr>
                <w:rFonts w:ascii="Arial Narrow" w:hAnsi="Arial Narrow"/>
                <w:sz w:val="20"/>
              </w:rPr>
            </w:pPr>
            <w:r>
              <w:rPr>
                <w:rFonts w:ascii="Arial Narrow" w:hAnsi="Arial Narrow"/>
                <w:smallCaps/>
                <w:sz w:val="20"/>
              </w:rPr>
              <w:t>Meningococcal Polysaccharide conjugate vaccine, serogroups A, C, W-135 and Y</w:t>
            </w:r>
          </w:p>
        </w:tc>
        <w:tc>
          <w:tcPr>
            <w:tcW w:w="602" w:type="pct"/>
            <w:vAlign w:val="center"/>
          </w:tcPr>
          <w:p w:rsidR="00617E12" w:rsidRPr="00591957" w:rsidRDefault="00482127" w:rsidP="00617E12">
            <w:pPr>
              <w:keepNext/>
              <w:jc w:val="center"/>
              <w:rPr>
                <w:rFonts w:ascii="Arial Narrow" w:hAnsi="Arial Narrow"/>
                <w:sz w:val="20"/>
              </w:rPr>
            </w:pPr>
            <w:r>
              <w:rPr>
                <w:rFonts w:ascii="Arial Narrow" w:hAnsi="Arial Narrow"/>
                <w:sz w:val="20"/>
              </w:rPr>
              <w:t>1</w:t>
            </w:r>
          </w:p>
        </w:tc>
        <w:tc>
          <w:tcPr>
            <w:tcW w:w="467" w:type="pct"/>
            <w:vAlign w:val="center"/>
          </w:tcPr>
          <w:p w:rsidR="00617E12" w:rsidRPr="00591957" w:rsidRDefault="00482127" w:rsidP="00617E12">
            <w:pPr>
              <w:keepNext/>
              <w:jc w:val="center"/>
              <w:rPr>
                <w:rFonts w:ascii="Arial Narrow" w:hAnsi="Arial Narrow"/>
                <w:sz w:val="20"/>
              </w:rPr>
            </w:pPr>
            <w:r>
              <w:rPr>
                <w:rFonts w:ascii="Arial Narrow" w:hAnsi="Arial Narrow"/>
                <w:sz w:val="20"/>
              </w:rPr>
              <w:t>0</w:t>
            </w:r>
          </w:p>
        </w:tc>
        <w:tc>
          <w:tcPr>
            <w:tcW w:w="841" w:type="pct"/>
            <w:vAlign w:val="center"/>
          </w:tcPr>
          <w:p w:rsidR="00617E12" w:rsidRPr="00591957" w:rsidRDefault="00617E12" w:rsidP="00482127">
            <w:pPr>
              <w:keepNext/>
              <w:jc w:val="center"/>
              <w:rPr>
                <w:rFonts w:ascii="Arial Narrow" w:hAnsi="Arial Narrow"/>
                <w:sz w:val="20"/>
              </w:rPr>
            </w:pPr>
            <w:r w:rsidRPr="00591957">
              <w:rPr>
                <w:rFonts w:ascii="Arial Narrow" w:hAnsi="Arial Narrow"/>
                <w:sz w:val="20"/>
              </w:rPr>
              <w:t>$</w:t>
            </w:r>
            <w:r w:rsidR="002D3336">
              <w:rPr>
                <w:rFonts w:ascii="Arial Narrow" w:hAnsi="Arial Narrow"/>
                <w:noProof/>
                <w:color w:val="000000"/>
                <w:sz w:val="20"/>
                <w:highlight w:val="black"/>
              </w:rPr>
              <w:t>'''''''''''''</w:t>
            </w:r>
          </w:p>
        </w:tc>
        <w:tc>
          <w:tcPr>
            <w:tcW w:w="389" w:type="pct"/>
            <w:vAlign w:val="center"/>
          </w:tcPr>
          <w:p w:rsidR="00617E12" w:rsidRPr="00591957" w:rsidRDefault="00482127" w:rsidP="00617E12">
            <w:pPr>
              <w:keepNext/>
              <w:jc w:val="center"/>
              <w:rPr>
                <w:rFonts w:ascii="Arial Narrow" w:hAnsi="Arial Narrow"/>
                <w:sz w:val="20"/>
              </w:rPr>
            </w:pPr>
            <w:proofErr w:type="spellStart"/>
            <w:r>
              <w:rPr>
                <w:rFonts w:ascii="Arial Narrow" w:hAnsi="Arial Narrow"/>
                <w:sz w:val="20"/>
              </w:rPr>
              <w:t>Nimenrix</w:t>
            </w:r>
            <w:proofErr w:type="spellEnd"/>
          </w:p>
        </w:tc>
        <w:tc>
          <w:tcPr>
            <w:tcW w:w="828" w:type="pct"/>
            <w:vAlign w:val="center"/>
          </w:tcPr>
          <w:p w:rsidR="00591957" w:rsidRPr="00591957" w:rsidRDefault="00482127" w:rsidP="00482127">
            <w:pPr>
              <w:keepNext/>
              <w:jc w:val="center"/>
              <w:rPr>
                <w:rFonts w:ascii="Arial Narrow" w:hAnsi="Arial Narrow"/>
                <w:sz w:val="20"/>
              </w:rPr>
            </w:pPr>
            <w:r>
              <w:rPr>
                <w:rFonts w:ascii="Arial Narrow" w:hAnsi="Arial Narrow"/>
                <w:sz w:val="20"/>
              </w:rPr>
              <w:t>Pfizer Australia Pty Ltd</w:t>
            </w:r>
          </w:p>
        </w:tc>
      </w:tr>
      <w:tr w:rsidR="00542C2D" w:rsidRPr="00A30A33" w:rsidTr="00482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9" w:type="pct"/>
            <w:tcBorders>
              <w:top w:val="single" w:sz="4" w:space="0" w:color="auto"/>
              <w:left w:val="single" w:sz="4" w:space="0" w:color="auto"/>
              <w:bottom w:val="single" w:sz="4" w:space="0" w:color="auto"/>
              <w:right w:val="single" w:sz="4" w:space="0" w:color="auto"/>
            </w:tcBorders>
            <w:hideMark/>
          </w:tcPr>
          <w:p w:rsidR="00542C2D" w:rsidRPr="00A30A33" w:rsidRDefault="00591957" w:rsidP="00591957">
            <w:pPr>
              <w:pStyle w:val="Tabletext"/>
              <w:rPr>
                <w:lang w:eastAsia="en-AU"/>
              </w:rPr>
            </w:pPr>
            <w:r>
              <w:rPr>
                <w:lang w:eastAsia="en-AU"/>
              </w:rPr>
              <w:t>Category/Program:</w:t>
            </w:r>
          </w:p>
        </w:tc>
        <w:tc>
          <w:tcPr>
            <w:tcW w:w="3751" w:type="pct"/>
            <w:gridSpan w:val="6"/>
            <w:tcBorders>
              <w:top w:val="single" w:sz="4" w:space="0" w:color="auto"/>
              <w:left w:val="single" w:sz="4" w:space="0" w:color="auto"/>
              <w:bottom w:val="single" w:sz="4" w:space="0" w:color="auto"/>
              <w:right w:val="single" w:sz="4" w:space="0" w:color="auto"/>
            </w:tcBorders>
          </w:tcPr>
          <w:p w:rsidR="00542C2D" w:rsidRPr="00A30A33" w:rsidRDefault="00482127" w:rsidP="00482127">
            <w:pPr>
              <w:pStyle w:val="Tabletext"/>
              <w:rPr>
                <w:lang w:eastAsia="en-AU"/>
              </w:rPr>
            </w:pPr>
            <w:r>
              <w:rPr>
                <w:lang w:eastAsia="en-AU"/>
              </w:rPr>
              <w:t>NIP</w:t>
            </w:r>
          </w:p>
        </w:tc>
      </w:tr>
      <w:tr w:rsidR="00542C2D" w:rsidRPr="00A30A33" w:rsidTr="00482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9" w:type="pct"/>
            <w:tcBorders>
              <w:top w:val="single" w:sz="4" w:space="0" w:color="auto"/>
              <w:left w:val="single" w:sz="4" w:space="0" w:color="auto"/>
              <w:bottom w:val="single" w:sz="4" w:space="0" w:color="auto"/>
              <w:right w:val="single" w:sz="4" w:space="0" w:color="auto"/>
            </w:tcBorders>
            <w:hideMark/>
          </w:tcPr>
          <w:p w:rsidR="00542C2D" w:rsidRPr="00A30A33" w:rsidRDefault="00482127" w:rsidP="00591957">
            <w:pPr>
              <w:pStyle w:val="Tabletext"/>
              <w:rPr>
                <w:lang w:eastAsia="en-AU"/>
              </w:rPr>
            </w:pPr>
            <w:r>
              <w:rPr>
                <w:lang w:eastAsia="en-AU"/>
              </w:rPr>
              <w:t>NIP</w:t>
            </w:r>
            <w:r w:rsidR="00591957">
              <w:rPr>
                <w:lang w:eastAsia="en-AU"/>
              </w:rPr>
              <w:t xml:space="preserve"> indication:</w:t>
            </w:r>
          </w:p>
        </w:tc>
        <w:tc>
          <w:tcPr>
            <w:tcW w:w="3751" w:type="pct"/>
            <w:gridSpan w:val="6"/>
            <w:tcBorders>
              <w:top w:val="single" w:sz="4" w:space="0" w:color="auto"/>
              <w:left w:val="single" w:sz="4" w:space="0" w:color="auto"/>
              <w:bottom w:val="single" w:sz="4" w:space="0" w:color="auto"/>
              <w:right w:val="single" w:sz="4" w:space="0" w:color="auto"/>
            </w:tcBorders>
          </w:tcPr>
          <w:p w:rsidR="00542C2D" w:rsidRPr="00A30A33" w:rsidRDefault="00482127" w:rsidP="00591957">
            <w:pPr>
              <w:pStyle w:val="Tabletext"/>
              <w:rPr>
                <w:lang w:eastAsia="en-AU"/>
              </w:rPr>
            </w:pPr>
            <w:r w:rsidRPr="00482127">
              <w:rPr>
                <w:lang w:eastAsia="en-AU"/>
              </w:rPr>
              <w:t xml:space="preserve">A single dose of </w:t>
            </w:r>
            <w:proofErr w:type="spellStart"/>
            <w:r w:rsidRPr="00482127">
              <w:rPr>
                <w:lang w:eastAsia="en-AU"/>
              </w:rPr>
              <w:t>Nimenrix</w:t>
            </w:r>
            <w:proofErr w:type="spellEnd"/>
            <w:r w:rsidRPr="00482127">
              <w:rPr>
                <w:lang w:eastAsia="en-AU"/>
              </w:rPr>
              <w:t xml:space="preserve"> (</w:t>
            </w:r>
            <w:proofErr w:type="spellStart"/>
            <w:r w:rsidRPr="00482127">
              <w:rPr>
                <w:lang w:eastAsia="en-AU"/>
              </w:rPr>
              <w:t>MenACWY</w:t>
            </w:r>
            <w:proofErr w:type="spellEnd"/>
            <w:r w:rsidRPr="00482127">
              <w:rPr>
                <w:lang w:eastAsia="en-AU"/>
              </w:rPr>
              <w:t>-TT) for infants at 12 months old.</w:t>
            </w:r>
          </w:p>
        </w:tc>
      </w:tr>
    </w:tbl>
    <w:p w:rsidR="00B60939" w:rsidRPr="00882085" w:rsidRDefault="00B60939" w:rsidP="004B1CB4"/>
    <w:p w:rsidR="00591957" w:rsidRPr="00646CBD" w:rsidRDefault="00482127" w:rsidP="00586FAD">
      <w:pPr>
        <w:pStyle w:val="ListParagraph"/>
        <w:widowControl/>
        <w:numPr>
          <w:ilvl w:val="1"/>
          <w:numId w:val="1"/>
        </w:numPr>
      </w:pPr>
      <w:r w:rsidRPr="00646CBD">
        <w:t>The submission proposed an ex</w:t>
      </w:r>
      <w:r w:rsidR="003F6F34" w:rsidRPr="00646CBD">
        <w:t>-</w:t>
      </w:r>
      <w:r w:rsidRPr="00646CBD">
        <w:t>manufacturer price of $</w:t>
      </w:r>
      <w:r w:rsidR="002D3336">
        <w:rPr>
          <w:noProof/>
          <w:color w:val="000000"/>
          <w:highlight w:val="black"/>
        </w:rPr>
        <w:t>''''''''''</w:t>
      </w:r>
      <w:r w:rsidRPr="00646CBD">
        <w:t xml:space="preserve"> (p</w:t>
      </w:r>
      <w:r w:rsidR="00206F08" w:rsidRPr="00646CBD">
        <w:t>27</w:t>
      </w:r>
      <w:r w:rsidRPr="00646CBD">
        <w:t xml:space="preserve"> of the submission). </w:t>
      </w:r>
      <w:r w:rsidR="00A34BBD" w:rsidRPr="00646CBD">
        <w:t>I</w:t>
      </w:r>
      <w:r w:rsidRPr="00646CBD">
        <w:t xml:space="preserve">n </w:t>
      </w:r>
      <w:r w:rsidRPr="004F1A33">
        <w:t>Section</w:t>
      </w:r>
      <w:r w:rsidR="00787861" w:rsidRPr="004F1A33">
        <w:t> </w:t>
      </w:r>
      <w:r w:rsidRPr="004F1A33">
        <w:t>3 the submission</w:t>
      </w:r>
      <w:r w:rsidRPr="00646CBD">
        <w:t xml:space="preserve"> </w:t>
      </w:r>
      <w:r w:rsidR="00A34BBD" w:rsidRPr="00646CBD">
        <w:t xml:space="preserve">stated </w:t>
      </w:r>
      <w:r w:rsidRPr="00646CBD">
        <w:t xml:space="preserve">that the proposed price of the </w:t>
      </w:r>
      <w:proofErr w:type="spellStart"/>
      <w:r w:rsidRPr="00646CBD">
        <w:t>MenACWY</w:t>
      </w:r>
      <w:proofErr w:type="spellEnd"/>
      <w:r w:rsidRPr="00646CBD">
        <w:t xml:space="preserve">-TT vaccine </w:t>
      </w:r>
      <w:r w:rsidR="005E016B" w:rsidRPr="00646CBD">
        <w:t>was</w:t>
      </w:r>
      <w:r w:rsidRPr="00646CBD">
        <w:t xml:space="preserve"> equivalent to the assumed price of the meningococcal C </w:t>
      </w:r>
      <w:r w:rsidRPr="00646CBD">
        <w:rPr>
          <w:u w:val="single"/>
        </w:rPr>
        <w:t>component</w:t>
      </w:r>
      <w:r w:rsidRPr="00646CBD">
        <w:t xml:space="preserve"> of the Hib-</w:t>
      </w:r>
      <w:proofErr w:type="spellStart"/>
      <w:r w:rsidRPr="00646CBD">
        <w:t>MenC</w:t>
      </w:r>
      <w:proofErr w:type="spellEnd"/>
      <w:r w:rsidRPr="00646CBD">
        <w:t xml:space="preserve"> vaccine </w:t>
      </w:r>
      <w:r w:rsidR="00A34BBD" w:rsidRPr="00646CBD">
        <w:t>(p</w:t>
      </w:r>
      <w:r w:rsidR="00206F08" w:rsidRPr="00646CBD">
        <w:t>129</w:t>
      </w:r>
      <w:r w:rsidR="00A34BBD" w:rsidRPr="00646CBD">
        <w:t xml:space="preserve"> of the submission)</w:t>
      </w:r>
      <w:r w:rsidRPr="00646CBD">
        <w:t>.</w:t>
      </w:r>
    </w:p>
    <w:p w:rsidR="0020732F" w:rsidRDefault="00A34BBD" w:rsidP="00586FAD">
      <w:pPr>
        <w:pStyle w:val="ListParagraph"/>
        <w:widowControl/>
        <w:numPr>
          <w:ilvl w:val="1"/>
          <w:numId w:val="1"/>
        </w:numPr>
      </w:pPr>
      <w:r w:rsidRPr="00A34BBD">
        <w:t xml:space="preserve">The submission proposed </w:t>
      </w:r>
      <w:r w:rsidRPr="00206F08">
        <w:t xml:space="preserve">that a monovalent </w:t>
      </w:r>
      <w:r w:rsidR="003B3973" w:rsidRPr="003B3973">
        <w:t xml:space="preserve">haemophilus </w:t>
      </w:r>
      <w:proofErr w:type="spellStart"/>
      <w:r w:rsidR="003B3973" w:rsidRPr="003B3973">
        <w:t>influenzae</w:t>
      </w:r>
      <w:proofErr w:type="spellEnd"/>
      <w:r w:rsidR="003B3973" w:rsidRPr="003B3973">
        <w:t xml:space="preserve"> Type B </w:t>
      </w:r>
      <w:r w:rsidR="003B3973">
        <w:t>(</w:t>
      </w:r>
      <w:r w:rsidRPr="00206F08">
        <w:t>Hib</w:t>
      </w:r>
      <w:r w:rsidR="003B3973">
        <w:t>)</w:t>
      </w:r>
      <w:r w:rsidRPr="00206F08">
        <w:t xml:space="preserve"> vaccine given at 18 months will also need to be listed on the NIP </w:t>
      </w:r>
      <w:r w:rsidR="001F316A">
        <w:t>to replace the displaced Hib component of the Hib-</w:t>
      </w:r>
      <w:proofErr w:type="spellStart"/>
      <w:r w:rsidR="001F316A">
        <w:t>MenC</w:t>
      </w:r>
      <w:proofErr w:type="spellEnd"/>
      <w:r w:rsidR="001F316A">
        <w:t xml:space="preserve"> vaccination currently given at 12 months of age</w:t>
      </w:r>
      <w:r w:rsidR="006212C2">
        <w:t xml:space="preserve"> </w:t>
      </w:r>
      <w:r w:rsidR="006212C2" w:rsidRPr="00206F08">
        <w:t>(p24 of the submission)</w:t>
      </w:r>
      <w:r w:rsidRPr="00206F08">
        <w:t>.</w:t>
      </w:r>
    </w:p>
    <w:p w:rsidR="008470A2" w:rsidRDefault="00701F62" w:rsidP="006C284F">
      <w:pPr>
        <w:pStyle w:val="ListParagraph"/>
        <w:ind w:left="709"/>
        <w:rPr>
          <w:rFonts w:asciiTheme="minorHAnsi" w:hAnsiTheme="minorHAnsi"/>
          <w:i/>
        </w:rPr>
      </w:pPr>
      <w:r w:rsidRPr="00257786">
        <w:rPr>
          <w:rFonts w:asciiTheme="minorHAnsi" w:hAnsiTheme="minorHAnsi"/>
          <w:i/>
        </w:rPr>
        <w:t>For more detail on PBAC’s view, see section 7 PBAC outcome.</w:t>
      </w:r>
    </w:p>
    <w:p w:rsidR="008470A2" w:rsidRDefault="008470A2">
      <w:pPr>
        <w:widowControl/>
        <w:jc w:val="left"/>
        <w:rPr>
          <w:rFonts w:asciiTheme="minorHAnsi" w:hAnsiTheme="minorHAnsi"/>
          <w:i/>
        </w:rPr>
      </w:pPr>
      <w:r>
        <w:rPr>
          <w:rFonts w:asciiTheme="minorHAnsi" w:hAnsiTheme="minorHAnsi"/>
          <w:i/>
        </w:rPr>
        <w:br w:type="page"/>
      </w:r>
    </w:p>
    <w:p w:rsidR="00B50DB8" w:rsidRPr="00407F2D" w:rsidRDefault="00B50DB8" w:rsidP="008470A2">
      <w:pPr>
        <w:pStyle w:val="PBACHeading1"/>
      </w:pPr>
      <w:r w:rsidRPr="00407F2D">
        <w:lastRenderedPageBreak/>
        <w:t>Background</w:t>
      </w:r>
    </w:p>
    <w:p w:rsidR="00B60939" w:rsidRPr="004151CF" w:rsidRDefault="00591957" w:rsidP="008470A2">
      <w:pPr>
        <w:pStyle w:val="Heading2"/>
      </w:pPr>
      <w:r w:rsidRPr="004151CF">
        <w:t>Registration status</w:t>
      </w:r>
    </w:p>
    <w:p w:rsidR="00591957" w:rsidRPr="00882085" w:rsidRDefault="00591957" w:rsidP="00206F08">
      <w:pPr>
        <w:keepNext/>
      </w:pPr>
    </w:p>
    <w:p w:rsidR="00E55BB5" w:rsidRPr="00257786" w:rsidRDefault="00A34BBD" w:rsidP="00586FAD">
      <w:pPr>
        <w:pStyle w:val="ListParagraph"/>
        <w:widowControl/>
        <w:numPr>
          <w:ilvl w:val="1"/>
          <w:numId w:val="1"/>
        </w:numPr>
      </w:pPr>
      <w:r w:rsidRPr="00257786">
        <w:t xml:space="preserve">The </w:t>
      </w:r>
      <w:proofErr w:type="spellStart"/>
      <w:r w:rsidRPr="00257786">
        <w:t>MenACWY</w:t>
      </w:r>
      <w:proofErr w:type="spellEnd"/>
      <w:r w:rsidRPr="00257786">
        <w:t xml:space="preserve">-TT vaccine was registered on the ARTG on 29 August 2013 for: active immunisation of individuals from the age of 12 months through 55 years against </w:t>
      </w:r>
      <w:r w:rsidR="00D6357C" w:rsidRPr="00257786">
        <w:t>IMD</w:t>
      </w:r>
      <w:r w:rsidRPr="00257786">
        <w:t xml:space="preserve">s caused by Neisseria </w:t>
      </w:r>
      <w:proofErr w:type="spellStart"/>
      <w:r w:rsidR="00DD72D1">
        <w:t>meningitidis</w:t>
      </w:r>
      <w:proofErr w:type="spellEnd"/>
      <w:r w:rsidR="00DD72D1">
        <w:t xml:space="preserve"> serogroups A, C, W</w:t>
      </w:r>
      <w:r w:rsidRPr="00DD72D1">
        <w:rPr>
          <w:vertAlign w:val="subscript"/>
        </w:rPr>
        <w:t>135</w:t>
      </w:r>
      <w:r w:rsidRPr="00257786">
        <w:t xml:space="preserve"> and Y.</w:t>
      </w:r>
    </w:p>
    <w:p w:rsidR="00B60939" w:rsidRPr="00882085" w:rsidRDefault="00203181" w:rsidP="008470A2">
      <w:pPr>
        <w:pStyle w:val="PBACHeading1"/>
      </w:pPr>
      <w:r>
        <w:t xml:space="preserve">Population and </w:t>
      </w:r>
      <w:r w:rsidR="008E0D3C">
        <w:t>d</w:t>
      </w:r>
      <w:r>
        <w:t>isease</w:t>
      </w:r>
    </w:p>
    <w:p w:rsidR="00A34BBD" w:rsidRPr="00A34BBD" w:rsidRDefault="00A34BBD" w:rsidP="00586FAD">
      <w:pPr>
        <w:pStyle w:val="ListParagraph"/>
        <w:widowControl/>
        <w:numPr>
          <w:ilvl w:val="1"/>
          <w:numId w:val="1"/>
        </w:numPr>
      </w:pPr>
      <w:r w:rsidRPr="00A34BBD">
        <w:t xml:space="preserve">IMD is a rare disease caused by the bacterium </w:t>
      </w:r>
      <w:r w:rsidRPr="009830FA">
        <w:rPr>
          <w:i/>
        </w:rPr>
        <w:t xml:space="preserve">Neisseria </w:t>
      </w:r>
      <w:proofErr w:type="spellStart"/>
      <w:r w:rsidRPr="009830FA">
        <w:rPr>
          <w:i/>
        </w:rPr>
        <w:t>meningitidis</w:t>
      </w:r>
      <w:proofErr w:type="spellEnd"/>
      <w:r w:rsidRPr="00A34BBD">
        <w:t xml:space="preserve">. IMD can also cause meningitis and sepsis, leading to long-term sequelae including: sensorineural </w:t>
      </w:r>
      <w:r w:rsidR="00233A3E">
        <w:t>hearing loss</w:t>
      </w:r>
      <w:r w:rsidRPr="00A34BBD">
        <w:t>, cognitive problems, physical or neurological disability, major amputations, very low IQ,</w:t>
      </w:r>
      <w:r w:rsidR="00233A3E">
        <w:t xml:space="preserve"> and</w:t>
      </w:r>
      <w:r w:rsidRPr="00A34BBD">
        <w:t xml:space="preserve"> seizures (p14-15 of the submission).</w:t>
      </w:r>
      <w:r w:rsidR="00600D1E">
        <w:rPr>
          <w:rStyle w:val="FootnoteReference"/>
        </w:rPr>
        <w:footnoteReference w:id="1"/>
      </w:r>
      <w:r w:rsidRPr="00A34BBD">
        <w:t xml:space="preserve"> About 10 – 30% of survivors of meningococcal disease have permanent sequelae (p14 of the submission).</w:t>
      </w:r>
      <w:r w:rsidR="00600D1E">
        <w:rPr>
          <w:rStyle w:val="FootnoteReference"/>
        </w:rPr>
        <w:footnoteReference w:id="2"/>
      </w:r>
      <w:r w:rsidRPr="00A34BBD">
        <w:t xml:space="preserve"> </w:t>
      </w:r>
      <w:r w:rsidR="009830FA" w:rsidRPr="00646CBD">
        <w:t xml:space="preserve">Incidence is bimodal, with peaks in incidence for infants and adolescents. </w:t>
      </w:r>
      <w:r w:rsidRPr="00646CBD">
        <w:t xml:space="preserve">The case fatality rate for </w:t>
      </w:r>
      <w:r w:rsidR="009830FA" w:rsidRPr="00646CBD">
        <w:t>all cases of IMD is around 4.7%</w:t>
      </w:r>
      <w:r w:rsidR="003F6F34" w:rsidRPr="00646CBD">
        <w:rPr>
          <w:rStyle w:val="FootnoteReference"/>
        </w:rPr>
        <w:footnoteReference w:id="3"/>
      </w:r>
      <w:r w:rsidR="009830FA" w:rsidRPr="00646CBD">
        <w:t xml:space="preserve">, however may be higher for </w:t>
      </w:r>
      <w:proofErr w:type="spellStart"/>
      <w:r w:rsidR="009830FA" w:rsidRPr="00646CBD">
        <w:t>MenW</w:t>
      </w:r>
      <w:proofErr w:type="spellEnd"/>
      <w:r w:rsidR="009830FA" w:rsidRPr="00646CBD">
        <w:t>.</w:t>
      </w:r>
    </w:p>
    <w:p w:rsidR="00E01465" w:rsidRPr="00E01465" w:rsidRDefault="00A34BBD" w:rsidP="00E01465">
      <w:pPr>
        <w:pStyle w:val="ListParagraph"/>
        <w:keepNext/>
        <w:widowControl/>
        <w:numPr>
          <w:ilvl w:val="1"/>
          <w:numId w:val="1"/>
        </w:numPr>
        <w:rPr>
          <w:rFonts w:ascii="Arial Narrow" w:hAnsi="Arial Narrow"/>
          <w:sz w:val="20"/>
          <w:szCs w:val="16"/>
        </w:rPr>
      </w:pPr>
      <w:r>
        <w:lastRenderedPageBreak/>
        <w:t xml:space="preserve">There has been an increase in the number of cases caused by </w:t>
      </w:r>
      <w:proofErr w:type="spellStart"/>
      <w:r>
        <w:t>MenW</w:t>
      </w:r>
      <w:proofErr w:type="spellEnd"/>
      <w:r>
        <w:t xml:space="preserve"> and </w:t>
      </w:r>
      <w:proofErr w:type="spellStart"/>
      <w:r>
        <w:t>MenY</w:t>
      </w:r>
      <w:proofErr w:type="spellEnd"/>
      <w:r>
        <w:t xml:space="preserve"> in recent years</w:t>
      </w:r>
      <w:r w:rsidR="009830FA">
        <w:t xml:space="preserve"> (see Figure 1)</w:t>
      </w:r>
      <w:r>
        <w:t>.</w:t>
      </w:r>
    </w:p>
    <w:p w:rsidR="00E01465" w:rsidRPr="00E01465" w:rsidRDefault="00E01465" w:rsidP="00E01465">
      <w:pPr>
        <w:pStyle w:val="Caption"/>
        <w:keepNext/>
        <w:rPr>
          <w:rFonts w:ascii="Arial Narrow" w:hAnsi="Arial Narrow"/>
          <w:color w:val="auto"/>
          <w:sz w:val="20"/>
          <w:szCs w:val="20"/>
        </w:rPr>
      </w:pPr>
      <w:r w:rsidRPr="00E01465">
        <w:rPr>
          <w:rFonts w:ascii="Arial Narrow" w:hAnsi="Arial Narrow"/>
          <w:color w:val="auto"/>
          <w:sz w:val="20"/>
          <w:szCs w:val="20"/>
        </w:rPr>
        <w:t xml:space="preserve">Figure </w:t>
      </w:r>
      <w:r w:rsidRPr="00E01465">
        <w:rPr>
          <w:rFonts w:ascii="Arial Narrow" w:hAnsi="Arial Narrow"/>
          <w:noProof/>
          <w:color w:val="auto"/>
          <w:sz w:val="20"/>
          <w:szCs w:val="20"/>
        </w:rPr>
        <w:t>1</w:t>
      </w:r>
      <w:r w:rsidRPr="00E01465">
        <w:rPr>
          <w:rFonts w:ascii="Arial Narrow" w:hAnsi="Arial Narrow"/>
          <w:color w:val="auto"/>
          <w:sz w:val="20"/>
          <w:szCs w:val="20"/>
        </w:rPr>
        <w:t>: Notifications and rates of IMD in Australia (2012 - 2017)*, by serogroup</w:t>
      </w:r>
    </w:p>
    <w:p w:rsidR="009830FA" w:rsidRPr="009830FA" w:rsidRDefault="009830FA" w:rsidP="00E01465">
      <w:pPr>
        <w:jc w:val="left"/>
      </w:pPr>
      <w:r w:rsidRPr="009830FA">
        <w:rPr>
          <w:noProof/>
          <w:lang w:eastAsia="en-AU"/>
        </w:rPr>
        <w:drawing>
          <wp:inline distT="0" distB="0" distL="0" distR="0" wp14:anchorId="49060FE7" wp14:editId="288870E5">
            <wp:extent cx="5176124" cy="3268980"/>
            <wp:effectExtent l="0" t="0" r="5715" b="7620"/>
            <wp:docPr id="1" name="Picture 1" title="Figure 1: Notifications and rates of IMD in Australia (2012 - 2017)*, by sero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78754" cy="3270641"/>
                    </a:xfrm>
                    <a:prstGeom prst="rect">
                      <a:avLst/>
                    </a:prstGeom>
                  </pic:spPr>
                </pic:pic>
              </a:graphicData>
            </a:graphic>
          </wp:inline>
        </w:drawing>
      </w:r>
    </w:p>
    <w:p w:rsidR="009830FA" w:rsidRDefault="009830FA" w:rsidP="009830FA">
      <w:pPr>
        <w:pStyle w:val="TableFooter"/>
      </w:pPr>
      <w:r>
        <w:t xml:space="preserve">Source: Figure 1.1-1, p16 of the submission and Figure 2, p4 of ATAGI </w:t>
      </w:r>
      <w:r w:rsidR="008E3581">
        <w:t>p</w:t>
      </w:r>
      <w:r>
        <w:t>re-submission advice.</w:t>
      </w:r>
    </w:p>
    <w:p w:rsidR="009830FA" w:rsidRDefault="009830FA" w:rsidP="009830FA">
      <w:pPr>
        <w:widowControl/>
      </w:pPr>
    </w:p>
    <w:p w:rsidR="00175186" w:rsidRDefault="009830FA" w:rsidP="005951B1">
      <w:pPr>
        <w:pStyle w:val="ListParagraph"/>
        <w:widowControl/>
        <w:numPr>
          <w:ilvl w:val="1"/>
          <w:numId w:val="1"/>
        </w:numPr>
        <w:rPr>
          <w:rFonts w:cs="Calibri"/>
          <w:snapToGrid/>
          <w:szCs w:val="24"/>
          <w:lang w:val="en-US" w:eastAsia="en-AU"/>
        </w:rPr>
      </w:pPr>
      <w:r w:rsidRPr="009830FA">
        <w:rPr>
          <w:rFonts w:cs="Calibri"/>
          <w:snapToGrid/>
          <w:szCs w:val="24"/>
          <w:lang w:val="en-US" w:eastAsia="en-AU"/>
        </w:rPr>
        <w:t>There have been 337 cases of IMD in 2017 (</w:t>
      </w:r>
      <w:r w:rsidR="005951B1" w:rsidRPr="005951B1">
        <w:rPr>
          <w:rFonts w:cs="Calibri"/>
          <w:snapToGrid/>
          <w:szCs w:val="24"/>
          <w:lang w:val="en-US" w:eastAsia="en-AU"/>
        </w:rPr>
        <w:t>National Notifiable Diseases Surveillance System</w:t>
      </w:r>
      <w:r w:rsidR="005951B1">
        <w:rPr>
          <w:rFonts w:cs="Calibri"/>
          <w:snapToGrid/>
          <w:szCs w:val="24"/>
          <w:lang w:val="en-US" w:eastAsia="en-AU"/>
        </w:rPr>
        <w:t xml:space="preserve">, </w:t>
      </w:r>
      <w:r w:rsidRPr="009830FA">
        <w:rPr>
          <w:rFonts w:cs="Calibri"/>
          <w:snapToGrid/>
          <w:szCs w:val="24"/>
          <w:lang w:val="en-US" w:eastAsia="en-AU"/>
        </w:rPr>
        <w:t xml:space="preserve">NNDSS) to date, of which around 40 cases were caused by </w:t>
      </w:r>
      <w:proofErr w:type="spellStart"/>
      <w:r w:rsidRPr="009830FA">
        <w:rPr>
          <w:rFonts w:cs="Calibri"/>
          <w:snapToGrid/>
          <w:szCs w:val="24"/>
          <w:lang w:val="en-US" w:eastAsia="en-AU"/>
        </w:rPr>
        <w:t>MenACWY</w:t>
      </w:r>
      <w:proofErr w:type="spellEnd"/>
      <w:r w:rsidRPr="009830FA">
        <w:rPr>
          <w:rFonts w:cs="Calibri"/>
          <w:snapToGrid/>
          <w:szCs w:val="24"/>
          <w:lang w:val="en-US" w:eastAsia="en-AU"/>
        </w:rPr>
        <w:t xml:space="preserve"> in infants, of which three died</w:t>
      </w:r>
      <w:r w:rsidRPr="009830FA">
        <w:rPr>
          <w:rFonts w:cs="Calibri"/>
          <w:snapToGrid/>
          <w:szCs w:val="24"/>
          <w:vertAlign w:val="superscript"/>
          <w:lang w:val="en-US" w:eastAsia="en-AU"/>
        </w:rPr>
        <w:footnoteReference w:id="4"/>
      </w:r>
      <w:r w:rsidRPr="009830FA">
        <w:rPr>
          <w:rFonts w:cs="Calibri"/>
          <w:snapToGrid/>
          <w:szCs w:val="24"/>
          <w:lang w:val="en-US" w:eastAsia="en-AU"/>
        </w:rPr>
        <w:t>.</w:t>
      </w:r>
    </w:p>
    <w:p w:rsidR="00175186" w:rsidRDefault="00175186">
      <w:pPr>
        <w:widowControl/>
        <w:jc w:val="left"/>
        <w:rPr>
          <w:rFonts w:cs="Calibri"/>
          <w:snapToGrid/>
          <w:szCs w:val="24"/>
          <w:lang w:val="en-US" w:eastAsia="en-AU"/>
        </w:rPr>
      </w:pPr>
    </w:p>
    <w:p w:rsidR="00B50DB8" w:rsidRPr="00407F2D" w:rsidRDefault="00B50DB8" w:rsidP="008470A2">
      <w:pPr>
        <w:pStyle w:val="PBACHeading1"/>
      </w:pPr>
      <w:bookmarkStart w:id="3" w:name="_Toc500765121"/>
      <w:r w:rsidRPr="00407F2D">
        <w:t>Comparator</w:t>
      </w:r>
      <w:bookmarkEnd w:id="3"/>
    </w:p>
    <w:p w:rsidR="00A34BBD" w:rsidRPr="00701F62" w:rsidRDefault="00A34BBD" w:rsidP="00586FAD">
      <w:pPr>
        <w:pStyle w:val="ListParagraph"/>
        <w:widowControl/>
        <w:numPr>
          <w:ilvl w:val="1"/>
          <w:numId w:val="1"/>
        </w:numPr>
      </w:pPr>
      <w:r w:rsidRPr="00A34BBD">
        <w:rPr>
          <w:rFonts w:cs="Calibri"/>
          <w:snapToGrid/>
          <w:szCs w:val="24"/>
          <w:lang w:val="en-US" w:eastAsia="en-AU"/>
        </w:rPr>
        <w:t>The submission nominated the Hib-</w:t>
      </w:r>
      <w:proofErr w:type="spellStart"/>
      <w:r w:rsidRPr="00A34BBD">
        <w:rPr>
          <w:rFonts w:cs="Calibri"/>
          <w:snapToGrid/>
          <w:szCs w:val="24"/>
          <w:lang w:val="en-US" w:eastAsia="en-AU"/>
        </w:rPr>
        <w:t>MenC</w:t>
      </w:r>
      <w:proofErr w:type="spellEnd"/>
      <w:r w:rsidRPr="00A34BBD">
        <w:rPr>
          <w:rFonts w:cs="Calibri"/>
          <w:snapToGrid/>
          <w:szCs w:val="24"/>
          <w:lang w:val="en-US" w:eastAsia="en-AU"/>
        </w:rPr>
        <w:t xml:space="preserve"> vaccine (</w:t>
      </w:r>
      <w:proofErr w:type="spellStart"/>
      <w:r w:rsidRPr="00A34BBD">
        <w:rPr>
          <w:rFonts w:cs="Calibri"/>
          <w:snapToGrid/>
          <w:szCs w:val="24"/>
          <w:lang w:val="en-US" w:eastAsia="en-AU"/>
        </w:rPr>
        <w:t>Menitorix</w:t>
      </w:r>
      <w:proofErr w:type="spellEnd"/>
      <w:r w:rsidRPr="00A34BBD">
        <w:rPr>
          <w:rFonts w:cs="Calibri"/>
          <w:snapToGrid/>
          <w:szCs w:val="24"/>
          <w:lang w:val="en-US" w:eastAsia="en-AU"/>
        </w:rPr>
        <w:t xml:space="preserve">) as the main comparator (p19 of the submission). The main arguments provided in support of this nomination were it is the only meningococcal vaccine listed on the NIP (p19 of the submission). </w:t>
      </w:r>
      <w:r w:rsidRPr="00646CBD">
        <w:rPr>
          <w:rFonts w:cs="Calibri"/>
          <w:snapToGrid/>
          <w:szCs w:val="24"/>
          <w:lang w:val="en-US" w:eastAsia="en-AU"/>
        </w:rPr>
        <w:t xml:space="preserve">This is reasonable. </w:t>
      </w:r>
    </w:p>
    <w:p w:rsidR="00701F62" w:rsidRPr="00257786" w:rsidRDefault="00701F62" w:rsidP="006C284F">
      <w:pPr>
        <w:pStyle w:val="ListParagraph"/>
        <w:ind w:left="709"/>
        <w:rPr>
          <w:rFonts w:asciiTheme="minorHAnsi" w:hAnsiTheme="minorHAnsi"/>
          <w:i/>
        </w:rPr>
      </w:pPr>
      <w:r w:rsidRPr="00257786">
        <w:rPr>
          <w:rFonts w:asciiTheme="minorHAnsi" w:hAnsiTheme="minorHAnsi"/>
          <w:i/>
        </w:rPr>
        <w:t>For more detail on PBAC’s view, see section 7 PBAC outcome.</w:t>
      </w:r>
    </w:p>
    <w:p w:rsidR="00701F62" w:rsidRDefault="00701F62" w:rsidP="00701F62">
      <w:pPr>
        <w:pStyle w:val="ListParagraph"/>
        <w:widowControl/>
      </w:pPr>
    </w:p>
    <w:p w:rsidR="00CF535A" w:rsidRPr="00A34BBD" w:rsidRDefault="00CF535A" w:rsidP="00701F62">
      <w:pPr>
        <w:pStyle w:val="ListParagraph"/>
        <w:widowControl/>
      </w:pPr>
    </w:p>
    <w:p w:rsidR="00B50DB8" w:rsidRPr="00407F2D" w:rsidRDefault="00BD6CF3" w:rsidP="008470A2">
      <w:pPr>
        <w:pStyle w:val="PBACHeading1"/>
      </w:pPr>
      <w:bookmarkStart w:id="4" w:name="_Toc500765122"/>
      <w:r>
        <w:t>C</w:t>
      </w:r>
      <w:r w:rsidR="00B50DB8" w:rsidRPr="00407F2D">
        <w:t>onsideration of the evidence</w:t>
      </w:r>
      <w:bookmarkEnd w:id="4"/>
    </w:p>
    <w:p w:rsidR="00701F62" w:rsidRPr="00701F62" w:rsidRDefault="00701F62" w:rsidP="008470A2">
      <w:pPr>
        <w:pStyle w:val="Heading2"/>
      </w:pPr>
      <w:bookmarkStart w:id="5" w:name="_Toc500765123"/>
      <w:r w:rsidRPr="00701F62">
        <w:t>Sponsor hearing</w:t>
      </w:r>
    </w:p>
    <w:p w:rsidR="00701F62" w:rsidRPr="00257786" w:rsidRDefault="00701F62" w:rsidP="00701F62">
      <w:pPr>
        <w:numPr>
          <w:ilvl w:val="1"/>
          <w:numId w:val="1"/>
        </w:numPr>
        <w:spacing w:after="120"/>
        <w:rPr>
          <w:rFonts w:asciiTheme="minorHAnsi" w:hAnsiTheme="minorHAnsi"/>
          <w:bCs/>
        </w:rPr>
      </w:pPr>
      <w:r w:rsidRPr="00257786">
        <w:rPr>
          <w:rFonts w:asciiTheme="minorHAnsi" w:hAnsiTheme="minorHAnsi"/>
          <w:bCs/>
        </w:rPr>
        <w:t>The</w:t>
      </w:r>
      <w:r w:rsidR="00257786" w:rsidRPr="00257786">
        <w:rPr>
          <w:rFonts w:asciiTheme="minorHAnsi" w:hAnsiTheme="minorHAnsi"/>
          <w:bCs/>
        </w:rPr>
        <w:t>re was no hearing for this item</w:t>
      </w:r>
      <w:r w:rsidRPr="00257786">
        <w:rPr>
          <w:rFonts w:asciiTheme="minorHAnsi" w:hAnsiTheme="minorHAnsi"/>
          <w:bCs/>
        </w:rPr>
        <w:t>.</w:t>
      </w:r>
    </w:p>
    <w:p w:rsidR="00701F62" w:rsidRPr="00257786" w:rsidRDefault="00701F62" w:rsidP="008470A2">
      <w:pPr>
        <w:pStyle w:val="Heading2"/>
      </w:pPr>
      <w:r w:rsidRPr="00257786">
        <w:t>Consumer comments</w:t>
      </w:r>
    </w:p>
    <w:p w:rsidR="00701F62" w:rsidRPr="00257786" w:rsidRDefault="00701F62" w:rsidP="00257786">
      <w:pPr>
        <w:numPr>
          <w:ilvl w:val="1"/>
          <w:numId w:val="1"/>
        </w:numPr>
        <w:spacing w:after="120"/>
        <w:rPr>
          <w:rFonts w:asciiTheme="minorHAnsi" w:hAnsiTheme="minorHAnsi"/>
          <w:bCs/>
        </w:rPr>
      </w:pPr>
      <w:r w:rsidRPr="00257786">
        <w:rPr>
          <w:rFonts w:asciiTheme="minorHAnsi" w:hAnsiTheme="minorHAnsi"/>
          <w:bCs/>
        </w:rPr>
        <w:t>The PBAC noted and welcomed the input from individuals (</w:t>
      </w:r>
      <w:r w:rsidR="00257786" w:rsidRPr="00257786">
        <w:rPr>
          <w:rFonts w:asciiTheme="minorHAnsi" w:hAnsiTheme="minorHAnsi"/>
          <w:bCs/>
        </w:rPr>
        <w:t>2)</w:t>
      </w:r>
      <w:r w:rsidRPr="00257786">
        <w:rPr>
          <w:rFonts w:asciiTheme="minorHAnsi" w:hAnsiTheme="minorHAnsi"/>
          <w:bCs/>
        </w:rPr>
        <w:t xml:space="preserve"> and organisations (1) via the Consumer Comments facility on the PBS website.  The comments described </w:t>
      </w:r>
      <w:r w:rsidR="00257786" w:rsidRPr="00257786">
        <w:rPr>
          <w:rFonts w:asciiTheme="minorHAnsi" w:hAnsiTheme="minorHAnsi"/>
          <w:bCs/>
        </w:rPr>
        <w:t>the complications that can arise out of infant onset of meningococcal disease</w:t>
      </w:r>
      <w:r w:rsidRPr="00257786">
        <w:rPr>
          <w:rFonts w:asciiTheme="minorHAnsi" w:hAnsiTheme="minorHAnsi"/>
          <w:bCs/>
        </w:rPr>
        <w:t xml:space="preserve"> </w:t>
      </w:r>
      <w:r w:rsidR="00257786" w:rsidRPr="00257786">
        <w:rPr>
          <w:rFonts w:asciiTheme="minorHAnsi" w:hAnsiTheme="minorHAnsi"/>
          <w:bCs/>
        </w:rPr>
        <w:t>and were supportive of the requested listing.</w:t>
      </w:r>
    </w:p>
    <w:p w:rsidR="00B60939" w:rsidRPr="00882085" w:rsidRDefault="00B60939" w:rsidP="00CF535A">
      <w:pPr>
        <w:pStyle w:val="Heading2"/>
        <w:keepNext/>
      </w:pPr>
      <w:r w:rsidRPr="00C9624D">
        <w:t>Clinical trials</w:t>
      </w:r>
      <w:bookmarkEnd w:id="5"/>
    </w:p>
    <w:p w:rsidR="002F02B8" w:rsidRPr="002F02B8" w:rsidRDefault="002F02B8" w:rsidP="002F02B8">
      <w:pPr>
        <w:pStyle w:val="ListParagraph"/>
        <w:widowControl/>
        <w:numPr>
          <w:ilvl w:val="1"/>
          <w:numId w:val="1"/>
        </w:numPr>
      </w:pPr>
      <w:r w:rsidRPr="002F02B8">
        <w:rPr>
          <w:rFonts w:cs="Calibri"/>
          <w:snapToGrid/>
          <w:szCs w:val="24"/>
          <w:lang w:val="en-US" w:eastAsia="en-AU"/>
        </w:rPr>
        <w:t>No head-to head RCTs of</w:t>
      </w:r>
      <w:r w:rsidR="00A41387">
        <w:rPr>
          <w:rFonts w:cs="Calibri"/>
          <w:snapToGrid/>
          <w:szCs w:val="24"/>
          <w:lang w:val="en-US" w:eastAsia="en-AU"/>
        </w:rPr>
        <w:t xml:space="preserve"> the </w:t>
      </w:r>
      <w:proofErr w:type="spellStart"/>
      <w:r w:rsidRPr="002F02B8">
        <w:rPr>
          <w:rFonts w:cs="Calibri"/>
          <w:snapToGrid/>
          <w:szCs w:val="24"/>
          <w:lang w:val="en-US" w:eastAsia="en-AU"/>
        </w:rPr>
        <w:t>MenACWY</w:t>
      </w:r>
      <w:proofErr w:type="spellEnd"/>
      <w:r w:rsidRPr="002F02B8">
        <w:rPr>
          <w:rFonts w:cs="Calibri"/>
          <w:snapToGrid/>
          <w:szCs w:val="24"/>
          <w:lang w:val="en-US" w:eastAsia="en-AU"/>
        </w:rPr>
        <w:t xml:space="preserve">-TT vaccine and </w:t>
      </w:r>
      <w:r w:rsidR="00A41387">
        <w:rPr>
          <w:rFonts w:cs="Calibri"/>
          <w:snapToGrid/>
          <w:szCs w:val="24"/>
          <w:lang w:val="en-US" w:eastAsia="en-AU"/>
        </w:rPr>
        <w:t xml:space="preserve">a </w:t>
      </w:r>
      <w:r w:rsidRPr="002F02B8">
        <w:rPr>
          <w:rFonts w:cs="Calibri"/>
          <w:snapToGrid/>
          <w:szCs w:val="24"/>
          <w:lang w:val="en-US" w:eastAsia="en-AU"/>
        </w:rPr>
        <w:t>Hib-</w:t>
      </w:r>
      <w:proofErr w:type="spellStart"/>
      <w:r w:rsidRPr="002F02B8">
        <w:rPr>
          <w:rFonts w:cs="Calibri"/>
          <w:snapToGrid/>
          <w:szCs w:val="24"/>
          <w:lang w:val="en-US" w:eastAsia="en-AU"/>
        </w:rPr>
        <w:t>MenC</w:t>
      </w:r>
      <w:proofErr w:type="spellEnd"/>
      <w:r w:rsidRPr="002F02B8">
        <w:rPr>
          <w:rFonts w:cs="Calibri"/>
          <w:snapToGrid/>
          <w:szCs w:val="24"/>
          <w:lang w:val="en-US" w:eastAsia="en-AU"/>
        </w:rPr>
        <w:t xml:space="preserve"> vaccine were identified</w:t>
      </w:r>
      <w:r>
        <w:rPr>
          <w:rFonts w:cs="Calibri"/>
          <w:snapToGrid/>
          <w:szCs w:val="24"/>
          <w:lang w:val="en-US" w:eastAsia="en-AU"/>
        </w:rPr>
        <w:t>.</w:t>
      </w:r>
    </w:p>
    <w:p w:rsidR="00233B68" w:rsidRPr="00A41387" w:rsidRDefault="00233B68" w:rsidP="002F02B8">
      <w:pPr>
        <w:pStyle w:val="ListParagraph"/>
        <w:widowControl/>
        <w:numPr>
          <w:ilvl w:val="1"/>
          <w:numId w:val="1"/>
        </w:numPr>
      </w:pPr>
      <w:r w:rsidRPr="00233B68">
        <w:rPr>
          <w:rFonts w:cs="Calibri"/>
          <w:snapToGrid/>
          <w:szCs w:val="24"/>
          <w:lang w:val="en-US" w:eastAsia="en-AU"/>
        </w:rPr>
        <w:t xml:space="preserve">The submission was based on four RCTs of </w:t>
      </w:r>
      <w:r w:rsidR="00A41387">
        <w:rPr>
          <w:rFonts w:cs="Calibri"/>
          <w:snapToGrid/>
          <w:szCs w:val="24"/>
          <w:lang w:val="en-US" w:eastAsia="en-AU"/>
        </w:rPr>
        <w:t xml:space="preserve">the </w:t>
      </w:r>
      <w:proofErr w:type="spellStart"/>
      <w:r w:rsidRPr="00233B68">
        <w:rPr>
          <w:rFonts w:cs="Calibri"/>
          <w:snapToGrid/>
          <w:szCs w:val="24"/>
          <w:lang w:val="en-US" w:eastAsia="en-AU"/>
        </w:rPr>
        <w:t>MenACWY</w:t>
      </w:r>
      <w:proofErr w:type="spellEnd"/>
      <w:r w:rsidRPr="00233B68">
        <w:rPr>
          <w:rFonts w:cs="Calibri"/>
          <w:snapToGrid/>
          <w:szCs w:val="24"/>
          <w:lang w:val="en-US" w:eastAsia="en-AU"/>
        </w:rPr>
        <w:t xml:space="preserve">-TT vaccine versus </w:t>
      </w:r>
      <w:r w:rsidR="00A41387">
        <w:rPr>
          <w:rFonts w:cs="Calibri"/>
          <w:snapToGrid/>
          <w:szCs w:val="24"/>
          <w:lang w:val="en-US" w:eastAsia="en-AU"/>
        </w:rPr>
        <w:t xml:space="preserve">a </w:t>
      </w:r>
      <w:proofErr w:type="spellStart"/>
      <w:r w:rsidRPr="00233B68">
        <w:rPr>
          <w:rFonts w:cs="Calibri"/>
          <w:snapToGrid/>
          <w:szCs w:val="24"/>
          <w:lang w:val="en-US" w:eastAsia="en-AU"/>
        </w:rPr>
        <w:t>MenC</w:t>
      </w:r>
      <w:proofErr w:type="spellEnd"/>
      <w:r w:rsidRPr="00233B68">
        <w:rPr>
          <w:rFonts w:cs="Calibri"/>
          <w:snapToGrid/>
          <w:szCs w:val="24"/>
          <w:lang w:val="en-US" w:eastAsia="en-AU"/>
        </w:rPr>
        <w:t xml:space="preserve"> </w:t>
      </w:r>
      <w:r w:rsidRPr="00A41387">
        <w:rPr>
          <w:rFonts w:cs="Calibri"/>
          <w:snapToGrid/>
          <w:szCs w:val="24"/>
          <w:lang w:val="en-US" w:eastAsia="en-AU"/>
        </w:rPr>
        <w:t>vaccine:</w:t>
      </w:r>
    </w:p>
    <w:p w:rsidR="00233B68" w:rsidRPr="00A41387" w:rsidRDefault="00233B68" w:rsidP="00233B68">
      <w:pPr>
        <w:pStyle w:val="ListParagraph"/>
        <w:widowControl/>
        <w:numPr>
          <w:ilvl w:val="2"/>
          <w:numId w:val="1"/>
        </w:numPr>
        <w:ind w:left="1418"/>
      </w:pPr>
      <w:r w:rsidRPr="00A41387">
        <w:t xml:space="preserve">Trial MenACWY-TT-013 </w:t>
      </w:r>
      <w:r w:rsidR="001B5611" w:rsidRPr="00A41387">
        <w:t>+ one extension study (MenACWY-TT-014)</w:t>
      </w:r>
    </w:p>
    <w:p w:rsidR="00233B68" w:rsidRPr="00A41387" w:rsidRDefault="00233B68" w:rsidP="00233B68">
      <w:pPr>
        <w:pStyle w:val="ListParagraph"/>
        <w:widowControl/>
        <w:numPr>
          <w:ilvl w:val="2"/>
          <w:numId w:val="1"/>
        </w:numPr>
        <w:ind w:left="1418"/>
      </w:pPr>
      <w:r w:rsidRPr="00A41387">
        <w:t xml:space="preserve">Trial MenACWY-TT-027 </w:t>
      </w:r>
      <w:r w:rsidR="001B5611" w:rsidRPr="00A41387">
        <w:t>+ five extension studies (MenACWY-TT-028 to 32)</w:t>
      </w:r>
    </w:p>
    <w:p w:rsidR="00233B68" w:rsidRPr="00A41387" w:rsidRDefault="00233B68" w:rsidP="00233B68">
      <w:pPr>
        <w:pStyle w:val="ListParagraph"/>
        <w:widowControl/>
        <w:numPr>
          <w:ilvl w:val="2"/>
          <w:numId w:val="1"/>
        </w:numPr>
        <w:ind w:left="1418"/>
      </w:pPr>
      <w:r w:rsidRPr="00A41387">
        <w:t>Trial MenACWY-TT-039</w:t>
      </w:r>
    </w:p>
    <w:p w:rsidR="00233B68" w:rsidRPr="00A41387" w:rsidRDefault="00233B68" w:rsidP="00233B68">
      <w:pPr>
        <w:pStyle w:val="ListParagraph"/>
        <w:widowControl/>
        <w:numPr>
          <w:ilvl w:val="2"/>
          <w:numId w:val="1"/>
        </w:numPr>
        <w:ind w:left="1418"/>
      </w:pPr>
      <w:r w:rsidRPr="00A41387">
        <w:t>Trial MenACWY-TT-040</w:t>
      </w:r>
    </w:p>
    <w:p w:rsidR="00233B68" w:rsidRPr="00A41387" w:rsidRDefault="00233B68" w:rsidP="00233B68">
      <w:pPr>
        <w:pStyle w:val="ListParagraph"/>
        <w:widowControl/>
        <w:numPr>
          <w:ilvl w:val="1"/>
          <w:numId w:val="1"/>
        </w:numPr>
      </w:pPr>
      <w:r w:rsidRPr="00A41387">
        <w:rPr>
          <w:rFonts w:cs="Calibri"/>
          <w:snapToGrid/>
          <w:szCs w:val="24"/>
          <w:lang w:val="en-US" w:eastAsia="en-AU"/>
        </w:rPr>
        <w:t xml:space="preserve">One RCT of </w:t>
      </w:r>
      <w:r w:rsidR="00A41387">
        <w:rPr>
          <w:rFonts w:cs="Calibri"/>
          <w:snapToGrid/>
          <w:szCs w:val="24"/>
          <w:lang w:val="en-US" w:eastAsia="en-AU"/>
        </w:rPr>
        <w:t xml:space="preserve">a </w:t>
      </w:r>
      <w:r w:rsidRPr="00A41387">
        <w:rPr>
          <w:rFonts w:cs="Calibri"/>
          <w:snapToGrid/>
          <w:szCs w:val="24"/>
          <w:lang w:val="en-US" w:eastAsia="en-AU"/>
        </w:rPr>
        <w:t>Hib-</w:t>
      </w:r>
      <w:proofErr w:type="spellStart"/>
      <w:r w:rsidRPr="00A41387">
        <w:rPr>
          <w:rFonts w:cs="Calibri"/>
          <w:snapToGrid/>
          <w:szCs w:val="24"/>
          <w:lang w:val="en-US" w:eastAsia="en-AU"/>
        </w:rPr>
        <w:t>MenC</w:t>
      </w:r>
      <w:proofErr w:type="spellEnd"/>
      <w:r w:rsidRPr="00A41387">
        <w:rPr>
          <w:rFonts w:cs="Calibri"/>
          <w:snapToGrid/>
          <w:szCs w:val="24"/>
          <w:lang w:val="en-US" w:eastAsia="en-AU"/>
        </w:rPr>
        <w:t xml:space="preserve"> </w:t>
      </w:r>
      <w:r w:rsidR="00A41387">
        <w:rPr>
          <w:rFonts w:cs="Calibri"/>
          <w:snapToGrid/>
          <w:szCs w:val="24"/>
          <w:lang w:val="en-US" w:eastAsia="en-AU"/>
        </w:rPr>
        <w:t>plus</w:t>
      </w:r>
      <w:r w:rsidR="00A41387" w:rsidRPr="00A41387">
        <w:rPr>
          <w:rFonts w:cs="Calibri"/>
          <w:snapToGrid/>
          <w:szCs w:val="24"/>
          <w:lang w:val="en-US" w:eastAsia="en-AU"/>
        </w:rPr>
        <w:t xml:space="preserve"> a MMR </w:t>
      </w:r>
      <w:r w:rsidRPr="00A41387">
        <w:rPr>
          <w:rFonts w:cs="Calibri"/>
          <w:snapToGrid/>
          <w:szCs w:val="24"/>
          <w:lang w:val="en-US" w:eastAsia="en-AU"/>
        </w:rPr>
        <w:t xml:space="preserve">vaccine versus </w:t>
      </w:r>
      <w:r w:rsidR="00A41387">
        <w:rPr>
          <w:rFonts w:cs="Calibri"/>
          <w:snapToGrid/>
          <w:szCs w:val="24"/>
          <w:lang w:val="en-US" w:eastAsia="en-AU"/>
        </w:rPr>
        <w:t xml:space="preserve">a </w:t>
      </w:r>
      <w:proofErr w:type="spellStart"/>
      <w:r w:rsidRPr="00A41387">
        <w:rPr>
          <w:rFonts w:cs="Calibri"/>
          <w:snapToGrid/>
          <w:szCs w:val="24"/>
          <w:lang w:val="en-US" w:eastAsia="en-AU"/>
        </w:rPr>
        <w:t>MenC</w:t>
      </w:r>
      <w:proofErr w:type="spellEnd"/>
      <w:r w:rsidR="00A41387">
        <w:rPr>
          <w:rFonts w:cs="Calibri"/>
          <w:snapToGrid/>
          <w:szCs w:val="24"/>
          <w:lang w:val="en-US" w:eastAsia="en-AU"/>
        </w:rPr>
        <w:t xml:space="preserve"> vaccine plus a</w:t>
      </w:r>
      <w:r w:rsidR="00A41387" w:rsidRPr="00A41387">
        <w:rPr>
          <w:rFonts w:cs="Calibri"/>
          <w:snapToGrid/>
          <w:szCs w:val="24"/>
          <w:lang w:val="en-US" w:eastAsia="en-AU"/>
        </w:rPr>
        <w:t xml:space="preserve"> Hib </w:t>
      </w:r>
      <w:r w:rsidR="00A41387">
        <w:rPr>
          <w:rFonts w:cs="Calibri"/>
          <w:snapToGrid/>
          <w:szCs w:val="24"/>
          <w:lang w:val="en-US" w:eastAsia="en-AU"/>
        </w:rPr>
        <w:t xml:space="preserve">vaccine plus a </w:t>
      </w:r>
      <w:r w:rsidR="00A41387" w:rsidRPr="00A41387">
        <w:rPr>
          <w:rFonts w:cs="Calibri"/>
          <w:snapToGrid/>
          <w:szCs w:val="24"/>
          <w:lang w:val="en-US" w:eastAsia="en-AU"/>
        </w:rPr>
        <w:t xml:space="preserve">MMR </w:t>
      </w:r>
      <w:r w:rsidRPr="00A41387">
        <w:rPr>
          <w:rFonts w:cs="Calibri"/>
          <w:snapToGrid/>
          <w:szCs w:val="24"/>
          <w:lang w:val="en-US" w:eastAsia="en-AU"/>
        </w:rPr>
        <w:t>vaccine:</w:t>
      </w:r>
    </w:p>
    <w:p w:rsidR="00233B68" w:rsidRPr="00A41387" w:rsidRDefault="00233B68" w:rsidP="00233B68">
      <w:pPr>
        <w:pStyle w:val="ListParagraph"/>
        <w:widowControl/>
        <w:numPr>
          <w:ilvl w:val="2"/>
          <w:numId w:val="1"/>
        </w:numPr>
        <w:ind w:left="1418"/>
      </w:pPr>
      <w:r w:rsidRPr="00A41387">
        <w:t xml:space="preserve">Trial Hib-MenC-TT-016 </w:t>
      </w:r>
      <w:r w:rsidR="001B5611" w:rsidRPr="00A41387">
        <w:t>+ four extension studies (Hib-MenC-TT-017 to 20)</w:t>
      </w:r>
    </w:p>
    <w:p w:rsidR="00862502" w:rsidRPr="00862502" w:rsidRDefault="00233B68" w:rsidP="00862502">
      <w:pPr>
        <w:pStyle w:val="ListParagraph"/>
        <w:widowControl/>
        <w:numPr>
          <w:ilvl w:val="1"/>
          <w:numId w:val="1"/>
        </w:numPr>
      </w:pPr>
      <w:r w:rsidRPr="00233B68">
        <w:t xml:space="preserve">A meta-analysis of the trials comparing the </w:t>
      </w:r>
      <w:proofErr w:type="spellStart"/>
      <w:r w:rsidRPr="00233B68">
        <w:t>MenACWY</w:t>
      </w:r>
      <w:proofErr w:type="spellEnd"/>
      <w:r w:rsidRPr="00233B68">
        <w:t xml:space="preserve">-TT vaccine versus </w:t>
      </w:r>
      <w:r w:rsidR="00A41387">
        <w:t xml:space="preserve">a </w:t>
      </w:r>
      <w:proofErr w:type="spellStart"/>
      <w:r w:rsidRPr="00233B68">
        <w:t>MenC</w:t>
      </w:r>
      <w:proofErr w:type="spellEnd"/>
      <w:r w:rsidRPr="00233B68">
        <w:t xml:space="preserve"> vaccine was conducted, which was used in an indirect comparison of </w:t>
      </w:r>
      <w:r w:rsidR="00A41387">
        <w:t xml:space="preserve">the </w:t>
      </w:r>
      <w:proofErr w:type="spellStart"/>
      <w:r w:rsidRPr="00233B68">
        <w:t>MenACWY</w:t>
      </w:r>
      <w:proofErr w:type="spellEnd"/>
      <w:r w:rsidRPr="00233B68">
        <w:t xml:space="preserve">-TT vaccine with </w:t>
      </w:r>
      <w:r w:rsidR="00A41387">
        <w:t xml:space="preserve">a </w:t>
      </w:r>
      <w:r w:rsidRPr="00233B68">
        <w:t>Hib-</w:t>
      </w:r>
      <w:proofErr w:type="spellStart"/>
      <w:r w:rsidRPr="00233B68">
        <w:t>MenC</w:t>
      </w:r>
      <w:proofErr w:type="spellEnd"/>
      <w:r w:rsidRPr="00233B68">
        <w:t xml:space="preserve"> vaccine,</w:t>
      </w:r>
      <w:r>
        <w:t xml:space="preserve"> </w:t>
      </w:r>
      <w:r w:rsidRPr="00233B68">
        <w:t xml:space="preserve">using </w:t>
      </w:r>
      <w:r w:rsidR="00A41387">
        <w:t>a</w:t>
      </w:r>
      <w:r w:rsidRPr="00233B68">
        <w:t xml:space="preserve"> </w:t>
      </w:r>
      <w:proofErr w:type="spellStart"/>
      <w:r w:rsidRPr="00233B68">
        <w:t>MenC</w:t>
      </w:r>
      <w:proofErr w:type="spellEnd"/>
      <w:r w:rsidRPr="00233B68">
        <w:t xml:space="preserve"> vaccine as the common comparator</w:t>
      </w:r>
      <w:r>
        <w:t>.</w:t>
      </w:r>
    </w:p>
    <w:p w:rsidR="00E01465" w:rsidRDefault="00A73134" w:rsidP="008E0D3C">
      <w:pPr>
        <w:pStyle w:val="ListParagraph"/>
        <w:widowControl/>
        <w:numPr>
          <w:ilvl w:val="1"/>
          <w:numId w:val="1"/>
        </w:numPr>
        <w:rPr>
          <w:rFonts w:cs="Calibri"/>
          <w:snapToGrid/>
          <w:szCs w:val="24"/>
          <w:lang w:val="en-US" w:eastAsia="en-AU"/>
        </w:rPr>
      </w:pPr>
      <w:r>
        <w:rPr>
          <w:rFonts w:cs="Calibri"/>
          <w:snapToGrid/>
          <w:szCs w:val="24"/>
          <w:lang w:val="en-US" w:eastAsia="en-AU"/>
        </w:rPr>
        <w:t>Details of the trials presented in the submission are provided in the table below.</w:t>
      </w:r>
    </w:p>
    <w:p w:rsidR="00E01465" w:rsidRDefault="00E01465">
      <w:pPr>
        <w:widowControl/>
        <w:jc w:val="left"/>
        <w:rPr>
          <w:rFonts w:cs="Calibri"/>
          <w:snapToGrid/>
          <w:szCs w:val="24"/>
          <w:lang w:val="en-US" w:eastAsia="en-AU"/>
        </w:rPr>
      </w:pPr>
      <w:r>
        <w:rPr>
          <w:rFonts w:cs="Calibri"/>
          <w:snapToGrid/>
          <w:szCs w:val="24"/>
          <w:lang w:val="en-US" w:eastAsia="en-AU"/>
        </w:rPr>
        <w:br w:type="page"/>
      </w:r>
    </w:p>
    <w:p w:rsidR="008E0D3C" w:rsidRPr="008E0D3C" w:rsidRDefault="008E0D3C" w:rsidP="008E0D3C">
      <w:pPr>
        <w:rPr>
          <w:rStyle w:val="CommentReference"/>
        </w:rPr>
      </w:pPr>
      <w:r w:rsidRPr="008E0D3C">
        <w:rPr>
          <w:rStyle w:val="CommentReference"/>
        </w:rPr>
        <w:lastRenderedPageBreak/>
        <w:t xml:space="preserve">Table </w:t>
      </w:r>
      <w:r w:rsidR="00057ED6">
        <w:rPr>
          <w:rStyle w:val="CommentReference"/>
        </w:rPr>
        <w:t>1</w:t>
      </w:r>
      <w:r w:rsidRPr="008E0D3C">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4"/>
        <w:gridCol w:w="5388"/>
        <w:gridCol w:w="2251"/>
      </w:tblGrid>
      <w:tr w:rsidR="008E0D3C" w:rsidRPr="00B41614" w:rsidTr="00E01465">
        <w:trPr>
          <w:tblHeader/>
        </w:trPr>
        <w:tc>
          <w:tcPr>
            <w:tcW w:w="795" w:type="pct"/>
            <w:vAlign w:val="center"/>
          </w:tcPr>
          <w:p w:rsidR="008E0D3C" w:rsidRPr="00B41614" w:rsidRDefault="008E0D3C" w:rsidP="00B41614">
            <w:pPr>
              <w:pStyle w:val="Tabletext"/>
              <w:rPr>
                <w:b/>
              </w:rPr>
            </w:pPr>
            <w:r w:rsidRPr="00B41614">
              <w:rPr>
                <w:b/>
              </w:rPr>
              <w:t>Trial ID</w:t>
            </w:r>
          </w:p>
        </w:tc>
        <w:tc>
          <w:tcPr>
            <w:tcW w:w="2966" w:type="pct"/>
            <w:vAlign w:val="center"/>
          </w:tcPr>
          <w:p w:rsidR="008E0D3C" w:rsidRPr="00B41614" w:rsidRDefault="008E0D3C" w:rsidP="00B41614">
            <w:pPr>
              <w:pStyle w:val="Tabletext"/>
              <w:jc w:val="center"/>
              <w:rPr>
                <w:b/>
              </w:rPr>
            </w:pPr>
            <w:r w:rsidRPr="00B41614">
              <w:rPr>
                <w:b/>
              </w:rPr>
              <w:t>Protocol title/ Publication title</w:t>
            </w:r>
          </w:p>
        </w:tc>
        <w:tc>
          <w:tcPr>
            <w:tcW w:w="1239" w:type="pct"/>
            <w:vAlign w:val="center"/>
          </w:tcPr>
          <w:p w:rsidR="008E0D3C" w:rsidRPr="00B41614" w:rsidRDefault="008E0D3C" w:rsidP="00B41614">
            <w:pPr>
              <w:pStyle w:val="Tabletext"/>
              <w:jc w:val="center"/>
              <w:rPr>
                <w:b/>
              </w:rPr>
            </w:pPr>
            <w:r w:rsidRPr="00B41614">
              <w:rPr>
                <w:b/>
              </w:rPr>
              <w:t>Publication citation</w:t>
            </w:r>
          </w:p>
        </w:tc>
      </w:tr>
      <w:tr w:rsidR="00A41387" w:rsidRPr="00CB38A8" w:rsidTr="00E01465">
        <w:tc>
          <w:tcPr>
            <w:tcW w:w="795" w:type="pct"/>
            <w:tcBorders>
              <w:bottom w:val="nil"/>
            </w:tcBorders>
          </w:tcPr>
          <w:p w:rsidR="00A41387" w:rsidRPr="00CB38A8" w:rsidRDefault="00A41387" w:rsidP="00A41387">
            <w:pPr>
              <w:pStyle w:val="Tabletext"/>
              <w:rPr>
                <w:rFonts w:ascii="Times" w:hAnsi="Times"/>
              </w:rPr>
            </w:pPr>
            <w:r w:rsidRPr="003E06FE">
              <w:t>MenACWY-TT-013</w:t>
            </w:r>
          </w:p>
        </w:tc>
        <w:tc>
          <w:tcPr>
            <w:tcW w:w="2966" w:type="pct"/>
            <w:tcBorders>
              <w:bottom w:val="nil"/>
            </w:tcBorders>
          </w:tcPr>
          <w:p w:rsidR="00A41387" w:rsidRDefault="00A41387" w:rsidP="00A41387">
            <w:pPr>
              <w:pStyle w:val="Tabletext"/>
              <w:widowControl w:val="0"/>
              <w:rPr>
                <w:szCs w:val="18"/>
              </w:rPr>
            </w:pPr>
            <w:r w:rsidRPr="003E06FE">
              <w:rPr>
                <w:szCs w:val="18"/>
              </w:rPr>
              <w:t xml:space="preserve">A Phase II, open (partially double-blind), randomised, controlled dose-range study to evaluate the immunogenicity, </w:t>
            </w:r>
            <w:proofErr w:type="spellStart"/>
            <w:r w:rsidRPr="003E06FE">
              <w:rPr>
                <w:szCs w:val="18"/>
              </w:rPr>
              <w:t>reactogenicity</w:t>
            </w:r>
            <w:proofErr w:type="spellEnd"/>
            <w:r w:rsidRPr="003E06FE">
              <w:rPr>
                <w:szCs w:val="18"/>
              </w:rPr>
              <w:t xml:space="preserve"> and safety of four different formulations of GlaxoSmithKline (GSK) Biologicals’ new generations meningococcal serogroups A, C, W-135, Y tetanus toxoid conjugate (</w:t>
            </w:r>
            <w:proofErr w:type="spellStart"/>
            <w:r w:rsidRPr="003E06FE">
              <w:rPr>
                <w:szCs w:val="18"/>
              </w:rPr>
              <w:t>MenACWY</w:t>
            </w:r>
            <w:proofErr w:type="spellEnd"/>
            <w:r>
              <w:rPr>
                <w:szCs w:val="18"/>
              </w:rPr>
              <w:t>-</w:t>
            </w:r>
            <w:r w:rsidRPr="003E06FE">
              <w:rPr>
                <w:szCs w:val="18"/>
              </w:rPr>
              <w:t xml:space="preserve">TT) vaccine versus </w:t>
            </w:r>
            <w:proofErr w:type="spellStart"/>
            <w:r>
              <w:rPr>
                <w:szCs w:val="18"/>
              </w:rPr>
              <w:t>MenC</w:t>
            </w:r>
            <w:proofErr w:type="spellEnd"/>
            <w:r>
              <w:rPr>
                <w:szCs w:val="18"/>
              </w:rPr>
              <w:t xml:space="preserve"> </w:t>
            </w:r>
            <w:r w:rsidRPr="003E06FE">
              <w:rPr>
                <w:szCs w:val="18"/>
              </w:rPr>
              <w:t xml:space="preserve">or </w:t>
            </w:r>
            <w:r>
              <w:rPr>
                <w:szCs w:val="18"/>
              </w:rPr>
              <w:t xml:space="preserve">other </w:t>
            </w:r>
            <w:proofErr w:type="spellStart"/>
            <w:r>
              <w:rPr>
                <w:szCs w:val="18"/>
              </w:rPr>
              <w:t>MenACWY</w:t>
            </w:r>
            <w:proofErr w:type="spellEnd"/>
            <w:r>
              <w:rPr>
                <w:szCs w:val="18"/>
              </w:rPr>
              <w:t xml:space="preserve"> vaccine (</w:t>
            </w:r>
            <w:proofErr w:type="spellStart"/>
            <w:r>
              <w:rPr>
                <w:szCs w:val="18"/>
              </w:rPr>
              <w:t>Mencevax</w:t>
            </w:r>
            <w:proofErr w:type="spellEnd"/>
            <w:r>
              <w:rPr>
                <w:szCs w:val="18"/>
              </w:rPr>
              <w:t>)</w:t>
            </w:r>
            <w:r w:rsidRPr="003E06FE">
              <w:rPr>
                <w:szCs w:val="18"/>
              </w:rPr>
              <w:t xml:space="preserve"> ACWY when given as one dose to children aged 12 to 14 months and 3 to 5 years old.</w:t>
            </w:r>
          </w:p>
          <w:p w:rsidR="00A41387" w:rsidRPr="00AB6248" w:rsidRDefault="00A41387" w:rsidP="00A41387">
            <w:pPr>
              <w:pStyle w:val="Tabletext"/>
              <w:rPr>
                <w:szCs w:val="18"/>
              </w:rPr>
            </w:pPr>
          </w:p>
        </w:tc>
        <w:tc>
          <w:tcPr>
            <w:tcW w:w="1239" w:type="pct"/>
            <w:tcBorders>
              <w:bottom w:val="nil"/>
            </w:tcBorders>
          </w:tcPr>
          <w:p w:rsidR="00A41387" w:rsidRPr="00CB38A8" w:rsidRDefault="00A41387" w:rsidP="00A41387">
            <w:pPr>
              <w:pStyle w:val="Tabletext"/>
              <w:rPr>
                <w:rFonts w:ascii="Times" w:hAnsi="Times"/>
              </w:rPr>
            </w:pPr>
            <w:r>
              <w:rPr>
                <w:szCs w:val="18"/>
              </w:rPr>
              <w:t>2009</w:t>
            </w:r>
          </w:p>
        </w:tc>
      </w:tr>
      <w:tr w:rsidR="00A41387" w:rsidRPr="00CB38A8" w:rsidTr="00E01465">
        <w:tc>
          <w:tcPr>
            <w:tcW w:w="795" w:type="pct"/>
            <w:tcBorders>
              <w:top w:val="nil"/>
              <w:bottom w:val="nil"/>
            </w:tcBorders>
          </w:tcPr>
          <w:p w:rsidR="00A41387" w:rsidRPr="00CB38A8" w:rsidRDefault="00A41387" w:rsidP="00A41387">
            <w:pPr>
              <w:pStyle w:val="Tabletext"/>
            </w:pPr>
            <w:r>
              <w:t>Trial 1</w:t>
            </w:r>
          </w:p>
        </w:tc>
        <w:tc>
          <w:tcPr>
            <w:tcW w:w="2966" w:type="pct"/>
            <w:tcBorders>
              <w:top w:val="nil"/>
              <w:bottom w:val="nil"/>
            </w:tcBorders>
          </w:tcPr>
          <w:p w:rsidR="00A41387" w:rsidRPr="00E34A35" w:rsidRDefault="00A41387" w:rsidP="00A41387">
            <w:pPr>
              <w:pStyle w:val="Tabletext"/>
              <w:rPr>
                <w:szCs w:val="18"/>
                <w:lang w:eastAsia="en-AU"/>
              </w:rPr>
            </w:pPr>
            <w:proofErr w:type="spellStart"/>
            <w:r w:rsidRPr="00EB7B0C">
              <w:t>Knuf</w:t>
            </w:r>
            <w:proofErr w:type="spellEnd"/>
            <w:r w:rsidRPr="00EB7B0C">
              <w:t xml:space="preserve"> et al 2010</w:t>
            </w:r>
            <w:r>
              <w:t xml:space="preserve">. </w:t>
            </w:r>
            <w:r w:rsidRPr="00EB7B0C">
              <w:t>A dose-range study assessing</w:t>
            </w:r>
            <w:r>
              <w:t xml:space="preserve"> </w:t>
            </w:r>
            <w:r w:rsidRPr="00EB7B0C">
              <w:t xml:space="preserve">immunogenicity and safety of one dose of a new candidate meningococcal </w:t>
            </w:r>
            <w:r>
              <w:t>s</w:t>
            </w:r>
            <w:r w:rsidRPr="00EB7B0C">
              <w:t>erogroups A, C, W-135, Y tetanus toxoid conjugate (</w:t>
            </w:r>
            <w:proofErr w:type="spellStart"/>
            <w:r w:rsidRPr="00EB7B0C">
              <w:t>MenACWY</w:t>
            </w:r>
            <w:proofErr w:type="spellEnd"/>
            <w:r w:rsidRPr="00EB7B0C">
              <w:t>-TT) vaccine administered in the second year of life and in young children.</w:t>
            </w:r>
          </w:p>
        </w:tc>
        <w:tc>
          <w:tcPr>
            <w:tcW w:w="1239" w:type="pct"/>
            <w:tcBorders>
              <w:top w:val="nil"/>
              <w:bottom w:val="nil"/>
            </w:tcBorders>
          </w:tcPr>
          <w:p w:rsidR="00A41387" w:rsidRPr="00E34A35" w:rsidRDefault="00A41387" w:rsidP="00A41387">
            <w:pPr>
              <w:pStyle w:val="Tabletext"/>
              <w:rPr>
                <w:szCs w:val="18"/>
                <w:lang w:eastAsia="en-AU"/>
              </w:rPr>
            </w:pPr>
            <w:r w:rsidRPr="00384F50">
              <w:rPr>
                <w:i/>
              </w:rPr>
              <w:t>Vaccine</w:t>
            </w:r>
            <w:r>
              <w:t>. 28(3):744-53.</w:t>
            </w:r>
          </w:p>
        </w:tc>
      </w:tr>
      <w:tr w:rsidR="00A41387" w:rsidRPr="00CB38A8" w:rsidTr="00E01465">
        <w:tc>
          <w:tcPr>
            <w:tcW w:w="795" w:type="pct"/>
            <w:tcBorders>
              <w:bottom w:val="nil"/>
            </w:tcBorders>
          </w:tcPr>
          <w:p w:rsidR="00A41387" w:rsidRPr="00CB38A8" w:rsidRDefault="00A41387" w:rsidP="00A41387">
            <w:pPr>
              <w:pStyle w:val="Tabletext"/>
              <w:rPr>
                <w:rFonts w:ascii="Times" w:hAnsi="Times"/>
              </w:rPr>
            </w:pPr>
            <w:r w:rsidRPr="00437A4D">
              <w:t>MenACWY-TT-027</w:t>
            </w:r>
          </w:p>
        </w:tc>
        <w:tc>
          <w:tcPr>
            <w:tcW w:w="2966" w:type="pct"/>
            <w:tcBorders>
              <w:bottom w:val="nil"/>
            </w:tcBorders>
          </w:tcPr>
          <w:p w:rsidR="00A41387" w:rsidRDefault="00A41387" w:rsidP="00A41387">
            <w:pPr>
              <w:pStyle w:val="Tabletext"/>
              <w:widowControl w:val="0"/>
            </w:pPr>
            <w:r w:rsidRPr="00437A4D">
              <w:t xml:space="preserve">A phase </w:t>
            </w:r>
            <w:proofErr w:type="spellStart"/>
            <w:r w:rsidRPr="00437A4D">
              <w:t>IIb</w:t>
            </w:r>
            <w:proofErr w:type="spellEnd"/>
            <w:r w:rsidRPr="00437A4D">
              <w:t xml:space="preserve">, open, randomized, controlled primary vaccination study to evaluate the </w:t>
            </w:r>
            <w:proofErr w:type="spellStart"/>
            <w:r w:rsidRPr="00437A4D">
              <w:t>noninferiority</w:t>
            </w:r>
            <w:proofErr w:type="spellEnd"/>
            <w:r w:rsidRPr="00437A4D">
              <w:t xml:space="preserve"> and the persistence of the immune response of GSK Biologicals’ meningococcal serogroup ACWY conjugate vaccine given intramuscularly versus </w:t>
            </w:r>
            <w:proofErr w:type="spellStart"/>
            <w:r>
              <w:t>MenC</w:t>
            </w:r>
            <w:proofErr w:type="spellEnd"/>
            <w:r w:rsidRPr="00437A4D">
              <w:t xml:space="preserve"> or </w:t>
            </w:r>
            <w:r>
              <w:t xml:space="preserve">Other </w:t>
            </w:r>
            <w:proofErr w:type="spellStart"/>
            <w:r>
              <w:t>MenACWY</w:t>
            </w:r>
            <w:proofErr w:type="spellEnd"/>
            <w:r>
              <w:t xml:space="preserve"> vaccine (</w:t>
            </w:r>
            <w:proofErr w:type="spellStart"/>
            <w:r>
              <w:t>Mencevax</w:t>
            </w:r>
            <w:proofErr w:type="spellEnd"/>
            <w:r>
              <w:t>)</w:t>
            </w:r>
            <w:r w:rsidRPr="00437A4D">
              <w:t>™ ACWY to healthy subjects aged 1 through 10 years of age.</w:t>
            </w:r>
          </w:p>
          <w:p w:rsidR="00A41387" w:rsidRPr="00CB38A8" w:rsidRDefault="00A41387" w:rsidP="00A41387">
            <w:pPr>
              <w:pStyle w:val="Tabletext"/>
              <w:rPr>
                <w:rFonts w:ascii="Times" w:hAnsi="Times"/>
              </w:rPr>
            </w:pPr>
          </w:p>
        </w:tc>
        <w:tc>
          <w:tcPr>
            <w:tcW w:w="1239" w:type="pct"/>
            <w:tcBorders>
              <w:bottom w:val="nil"/>
            </w:tcBorders>
          </w:tcPr>
          <w:p w:rsidR="00A41387" w:rsidRPr="004A2558" w:rsidRDefault="00A41387" w:rsidP="00A41387">
            <w:pPr>
              <w:pStyle w:val="Tabletext"/>
            </w:pPr>
            <w:r>
              <w:t>2007</w:t>
            </w:r>
          </w:p>
        </w:tc>
      </w:tr>
      <w:tr w:rsidR="00A41387" w:rsidRPr="00CB38A8" w:rsidTr="00E01465">
        <w:tc>
          <w:tcPr>
            <w:tcW w:w="795" w:type="pct"/>
            <w:tcBorders>
              <w:top w:val="nil"/>
              <w:bottom w:val="nil"/>
            </w:tcBorders>
          </w:tcPr>
          <w:p w:rsidR="00A41387" w:rsidRPr="00CB38A8" w:rsidRDefault="00A41387" w:rsidP="00A41387">
            <w:pPr>
              <w:pStyle w:val="Tabletext"/>
            </w:pPr>
          </w:p>
        </w:tc>
        <w:tc>
          <w:tcPr>
            <w:tcW w:w="2966" w:type="pct"/>
            <w:tcBorders>
              <w:top w:val="nil"/>
              <w:bottom w:val="nil"/>
            </w:tcBorders>
          </w:tcPr>
          <w:p w:rsidR="00A41387" w:rsidRPr="00E34A35" w:rsidRDefault="00A41387" w:rsidP="00A41387">
            <w:pPr>
              <w:pStyle w:val="Tabletext"/>
              <w:rPr>
                <w:szCs w:val="18"/>
              </w:rPr>
            </w:pPr>
            <w:proofErr w:type="spellStart"/>
            <w:r w:rsidRPr="003E06FE">
              <w:t>Vesikari</w:t>
            </w:r>
            <w:proofErr w:type="spellEnd"/>
            <w:r w:rsidRPr="003E06FE">
              <w:t xml:space="preserve"> et al 2012. Randomised trial to assess the immunogenicity, safety and antibody persistence up to three years after a single dose of a tetravalent meningococcal serogroups A, C, W-135 and Y tetanus toxoid conjugate vaccine in toddlers.</w:t>
            </w:r>
          </w:p>
        </w:tc>
        <w:tc>
          <w:tcPr>
            <w:tcW w:w="1239" w:type="pct"/>
            <w:tcBorders>
              <w:top w:val="nil"/>
              <w:bottom w:val="nil"/>
            </w:tcBorders>
          </w:tcPr>
          <w:p w:rsidR="00A41387" w:rsidRPr="00CB38A8" w:rsidRDefault="00A41387" w:rsidP="00A41387">
            <w:pPr>
              <w:pStyle w:val="Tabletext"/>
              <w:rPr>
                <w:i/>
              </w:rPr>
            </w:pPr>
            <w:r w:rsidRPr="00ED2CB7">
              <w:rPr>
                <w:i/>
              </w:rPr>
              <w:t xml:space="preserve">Human vaccines &amp; </w:t>
            </w:r>
            <w:proofErr w:type="spellStart"/>
            <w:r w:rsidRPr="00ED2CB7">
              <w:rPr>
                <w:i/>
              </w:rPr>
              <w:t>Immunotherapeutics</w:t>
            </w:r>
            <w:proofErr w:type="spellEnd"/>
            <w:r w:rsidRPr="003E06FE">
              <w:t>. 8(12):1892-903.</w:t>
            </w:r>
          </w:p>
        </w:tc>
      </w:tr>
      <w:tr w:rsidR="00A41387" w:rsidRPr="00CB38A8" w:rsidTr="00E01465">
        <w:tc>
          <w:tcPr>
            <w:tcW w:w="795" w:type="pct"/>
            <w:tcBorders>
              <w:bottom w:val="nil"/>
            </w:tcBorders>
          </w:tcPr>
          <w:p w:rsidR="00A41387" w:rsidRPr="00CB38A8" w:rsidRDefault="00A41387" w:rsidP="00A41387">
            <w:pPr>
              <w:pStyle w:val="Tabletext"/>
            </w:pPr>
            <w:r w:rsidRPr="003E06FE">
              <w:t>MenACWY-TT-039</w:t>
            </w:r>
          </w:p>
        </w:tc>
        <w:tc>
          <w:tcPr>
            <w:tcW w:w="2966" w:type="pct"/>
            <w:tcBorders>
              <w:bottom w:val="nil"/>
            </w:tcBorders>
          </w:tcPr>
          <w:p w:rsidR="00A41387" w:rsidRPr="00B07DC2" w:rsidRDefault="00A41387" w:rsidP="00A41387">
            <w:pPr>
              <w:pStyle w:val="Tabletext"/>
              <w:widowControl w:val="0"/>
            </w:pPr>
            <w:r w:rsidRPr="00B07DC2">
              <w:t>Immunogenicity &amp; safety study of GSK Biologicals’ meningococcal vaccine GSK134612 when co-administered with GSK Biologicals’ MMRV vaccine (</w:t>
            </w:r>
            <w:proofErr w:type="spellStart"/>
            <w:r w:rsidRPr="00B07DC2">
              <w:t>Priorix</w:t>
            </w:r>
            <w:proofErr w:type="spellEnd"/>
            <w:r w:rsidRPr="00B07DC2">
              <w:t>-Tetra™) in healthy 12 to 23-month-old children.</w:t>
            </w:r>
          </w:p>
          <w:p w:rsidR="00A41387" w:rsidRPr="00CB38A8" w:rsidRDefault="00A41387" w:rsidP="00A41387">
            <w:pPr>
              <w:pStyle w:val="Tabletext"/>
              <w:rPr>
                <w:rFonts w:ascii="Times" w:hAnsi="Times"/>
              </w:rPr>
            </w:pPr>
          </w:p>
        </w:tc>
        <w:tc>
          <w:tcPr>
            <w:tcW w:w="1239" w:type="pct"/>
            <w:tcBorders>
              <w:bottom w:val="nil"/>
            </w:tcBorders>
          </w:tcPr>
          <w:p w:rsidR="00A41387" w:rsidRPr="00CB38A8" w:rsidRDefault="00A41387" w:rsidP="00A41387">
            <w:pPr>
              <w:pStyle w:val="Tabletext"/>
              <w:rPr>
                <w:rFonts w:ascii="Times" w:hAnsi="Times"/>
              </w:rPr>
            </w:pPr>
            <w:r>
              <w:t>2011</w:t>
            </w:r>
          </w:p>
        </w:tc>
      </w:tr>
      <w:tr w:rsidR="00A41387" w:rsidRPr="00CB38A8" w:rsidTr="00E01465">
        <w:tc>
          <w:tcPr>
            <w:tcW w:w="795" w:type="pct"/>
            <w:tcBorders>
              <w:top w:val="nil"/>
              <w:bottom w:val="single" w:sz="4" w:space="0" w:color="auto"/>
            </w:tcBorders>
          </w:tcPr>
          <w:p w:rsidR="00A41387" w:rsidRPr="00CB38A8" w:rsidRDefault="00A41387" w:rsidP="00A41387">
            <w:pPr>
              <w:pStyle w:val="Tabletext"/>
            </w:pPr>
          </w:p>
        </w:tc>
        <w:tc>
          <w:tcPr>
            <w:tcW w:w="2966" w:type="pct"/>
            <w:tcBorders>
              <w:top w:val="nil"/>
              <w:bottom w:val="single" w:sz="4" w:space="0" w:color="auto"/>
            </w:tcBorders>
          </w:tcPr>
          <w:p w:rsidR="00A41387" w:rsidRPr="00AC45E8" w:rsidRDefault="00A41387" w:rsidP="00A41387">
            <w:pPr>
              <w:pStyle w:val="Tabletext"/>
              <w:rPr>
                <w:szCs w:val="18"/>
              </w:rPr>
            </w:pPr>
            <w:proofErr w:type="spellStart"/>
            <w:r w:rsidRPr="007C40F2">
              <w:t>Vesikari</w:t>
            </w:r>
            <w:proofErr w:type="spellEnd"/>
            <w:r w:rsidRPr="007C40F2">
              <w:t xml:space="preserve"> et al 2011. Tetravalent meningococcal serogroups A, C, W-135 and Y conjugate vaccine is well tolerated and immunogenic when co-administered with measles-mumps-rubella-varicella vaccine during the second year of life: An open, randomized controlled trial.</w:t>
            </w:r>
          </w:p>
        </w:tc>
        <w:tc>
          <w:tcPr>
            <w:tcW w:w="1239" w:type="pct"/>
            <w:tcBorders>
              <w:top w:val="nil"/>
              <w:bottom w:val="single" w:sz="4" w:space="0" w:color="auto"/>
            </w:tcBorders>
          </w:tcPr>
          <w:p w:rsidR="00A41387" w:rsidRPr="00AC45E8" w:rsidRDefault="00A41387" w:rsidP="00A41387">
            <w:pPr>
              <w:pStyle w:val="Tabletext"/>
            </w:pPr>
            <w:r w:rsidRPr="00ED2CB7">
              <w:rPr>
                <w:i/>
              </w:rPr>
              <w:t>Vaccine</w:t>
            </w:r>
            <w:r w:rsidRPr="007C40F2">
              <w:t>. 29(25):4274-84.</w:t>
            </w:r>
          </w:p>
        </w:tc>
      </w:tr>
      <w:tr w:rsidR="00A41387" w:rsidRPr="00CB38A8" w:rsidTr="00E01465">
        <w:tc>
          <w:tcPr>
            <w:tcW w:w="795" w:type="pct"/>
            <w:tcBorders>
              <w:top w:val="single" w:sz="4" w:space="0" w:color="auto"/>
              <w:bottom w:val="nil"/>
            </w:tcBorders>
          </w:tcPr>
          <w:p w:rsidR="00A41387" w:rsidRDefault="00A41387" w:rsidP="00A41387">
            <w:pPr>
              <w:pStyle w:val="Tabletext"/>
            </w:pPr>
            <w:r w:rsidRPr="00B07DC2">
              <w:t>MenACWY-TT-040</w:t>
            </w:r>
          </w:p>
        </w:tc>
        <w:tc>
          <w:tcPr>
            <w:tcW w:w="2966" w:type="pct"/>
            <w:tcBorders>
              <w:top w:val="single" w:sz="4" w:space="0" w:color="auto"/>
              <w:bottom w:val="nil"/>
            </w:tcBorders>
          </w:tcPr>
          <w:p w:rsidR="00A41387" w:rsidRDefault="00A41387" w:rsidP="00A41387">
            <w:pPr>
              <w:pStyle w:val="Tabletext"/>
              <w:rPr>
                <w:szCs w:val="18"/>
                <w:lang w:eastAsia="en-AU"/>
              </w:rPr>
            </w:pPr>
            <w:r w:rsidRPr="00B07DC2">
              <w:t xml:space="preserve">Co-administration of GSK Biologicals’ meningococcal vaccine GSK134612 with </w:t>
            </w:r>
            <w:proofErr w:type="spellStart"/>
            <w:r w:rsidRPr="00B07DC2">
              <w:t>Infanrix-hexa</w:t>
            </w:r>
            <w:proofErr w:type="spellEnd"/>
            <w:r w:rsidRPr="00B07DC2">
              <w:t>™, compared to individual administration of each vaccine, in healthy 12- through 23-month-old children.</w:t>
            </w:r>
          </w:p>
        </w:tc>
        <w:tc>
          <w:tcPr>
            <w:tcW w:w="1239" w:type="pct"/>
            <w:tcBorders>
              <w:top w:val="single" w:sz="4" w:space="0" w:color="auto"/>
              <w:bottom w:val="nil"/>
            </w:tcBorders>
          </w:tcPr>
          <w:p w:rsidR="00A41387" w:rsidRDefault="00A41387" w:rsidP="00A41387">
            <w:pPr>
              <w:pStyle w:val="Tabletext"/>
              <w:rPr>
                <w:i/>
                <w:szCs w:val="18"/>
                <w:lang w:eastAsia="en-AU"/>
              </w:rPr>
            </w:pPr>
            <w:r>
              <w:t>2009</w:t>
            </w:r>
          </w:p>
        </w:tc>
      </w:tr>
      <w:tr w:rsidR="00A41387" w:rsidRPr="00CB38A8" w:rsidTr="00E01465">
        <w:tc>
          <w:tcPr>
            <w:tcW w:w="795" w:type="pct"/>
            <w:tcBorders>
              <w:top w:val="nil"/>
              <w:bottom w:val="single" w:sz="4" w:space="0" w:color="auto"/>
            </w:tcBorders>
          </w:tcPr>
          <w:p w:rsidR="00A41387" w:rsidRDefault="00A41387" w:rsidP="00A41387">
            <w:pPr>
              <w:pStyle w:val="Tabletext"/>
            </w:pPr>
          </w:p>
        </w:tc>
        <w:tc>
          <w:tcPr>
            <w:tcW w:w="2966" w:type="pct"/>
            <w:tcBorders>
              <w:top w:val="nil"/>
              <w:bottom w:val="single" w:sz="4" w:space="0" w:color="auto"/>
            </w:tcBorders>
          </w:tcPr>
          <w:p w:rsidR="00A41387" w:rsidRDefault="00A41387" w:rsidP="00A41387">
            <w:pPr>
              <w:pStyle w:val="Tabletext"/>
              <w:rPr>
                <w:szCs w:val="18"/>
                <w:lang w:eastAsia="en-AU"/>
              </w:rPr>
            </w:pPr>
            <w:proofErr w:type="spellStart"/>
            <w:r w:rsidRPr="007C40F2">
              <w:t>Knuf</w:t>
            </w:r>
            <w:proofErr w:type="spellEnd"/>
            <w:r w:rsidRPr="007C40F2">
              <w:t xml:space="preserve"> et al 2011. An investigational tetravalent meningococcal serogroups A, C, W-135 and Y-tetanus toxoid conjugate vaccine co-administered with </w:t>
            </w:r>
            <w:proofErr w:type="spellStart"/>
            <w:r w:rsidRPr="007C40F2">
              <w:t>Infanrix</w:t>
            </w:r>
            <w:proofErr w:type="spellEnd"/>
            <w:r w:rsidRPr="007C40F2">
              <w:t xml:space="preserve">™ </w:t>
            </w:r>
            <w:proofErr w:type="spellStart"/>
            <w:r w:rsidRPr="007C40F2">
              <w:t>hexa</w:t>
            </w:r>
            <w:proofErr w:type="spellEnd"/>
            <w:r w:rsidRPr="007C40F2">
              <w:t xml:space="preserve"> is immunogenic, with an acceptable safety profile in 12-23-month-old children.</w:t>
            </w:r>
          </w:p>
        </w:tc>
        <w:tc>
          <w:tcPr>
            <w:tcW w:w="1239" w:type="pct"/>
            <w:tcBorders>
              <w:top w:val="nil"/>
              <w:bottom w:val="single" w:sz="4" w:space="0" w:color="auto"/>
            </w:tcBorders>
          </w:tcPr>
          <w:p w:rsidR="00A41387" w:rsidRDefault="00A41387" w:rsidP="00A41387">
            <w:pPr>
              <w:pStyle w:val="Tabletext"/>
              <w:rPr>
                <w:i/>
                <w:szCs w:val="18"/>
                <w:lang w:eastAsia="en-AU"/>
              </w:rPr>
            </w:pPr>
            <w:r w:rsidRPr="00ED2CB7">
              <w:rPr>
                <w:i/>
              </w:rPr>
              <w:t>Vaccine</w:t>
            </w:r>
            <w:r w:rsidRPr="007C40F2">
              <w:t>. 29(25):4264-73.</w:t>
            </w:r>
          </w:p>
        </w:tc>
      </w:tr>
      <w:tr w:rsidR="00A41387" w:rsidRPr="00CB38A8" w:rsidTr="00E01465">
        <w:tc>
          <w:tcPr>
            <w:tcW w:w="795" w:type="pct"/>
            <w:tcBorders>
              <w:top w:val="single" w:sz="4" w:space="0" w:color="auto"/>
              <w:bottom w:val="nil"/>
            </w:tcBorders>
          </w:tcPr>
          <w:p w:rsidR="00A41387" w:rsidRDefault="00A41387" w:rsidP="00A41387">
            <w:pPr>
              <w:pStyle w:val="Tabletext"/>
            </w:pPr>
            <w:r w:rsidRPr="00B07DC2">
              <w:t>Hib-MenC-TT-016</w:t>
            </w:r>
          </w:p>
        </w:tc>
        <w:tc>
          <w:tcPr>
            <w:tcW w:w="2966" w:type="pct"/>
            <w:tcBorders>
              <w:top w:val="single" w:sz="4" w:space="0" w:color="auto"/>
              <w:bottom w:val="nil"/>
            </w:tcBorders>
          </w:tcPr>
          <w:p w:rsidR="00A41387" w:rsidRDefault="00A41387" w:rsidP="00A41387">
            <w:pPr>
              <w:pStyle w:val="Tabletext"/>
              <w:rPr>
                <w:szCs w:val="18"/>
                <w:lang w:eastAsia="en-AU"/>
              </w:rPr>
            </w:pPr>
            <w:r w:rsidRPr="00B07DC2">
              <w:t xml:space="preserve">A phase III, open, randomized, controlled, multi-centre study to demonstrate the non-inferiority of the meningococcal serogroup C and the Haemophilus </w:t>
            </w:r>
            <w:proofErr w:type="spellStart"/>
            <w:r w:rsidRPr="00B07DC2">
              <w:t>influenzae</w:t>
            </w:r>
            <w:proofErr w:type="spellEnd"/>
            <w:r w:rsidRPr="00B07DC2">
              <w:t xml:space="preserve"> type b immune response of GlaxoSmithKline (GSK) Biologicals’ conjugate Hib-</w:t>
            </w:r>
            <w:proofErr w:type="spellStart"/>
            <w:r w:rsidRPr="00B07DC2">
              <w:t>MenC</w:t>
            </w:r>
            <w:proofErr w:type="spellEnd"/>
            <w:r w:rsidRPr="00B07DC2">
              <w:t xml:space="preserve"> vaccine co-administered with GSK Biologicals’ measles-mumps-rubella vaccine, </w:t>
            </w:r>
            <w:proofErr w:type="spellStart"/>
            <w:r w:rsidRPr="00B07DC2">
              <w:t>Priorix</w:t>
            </w:r>
            <w:proofErr w:type="spellEnd"/>
            <w:r w:rsidRPr="00B07DC2">
              <w:t xml:space="preserve">, versus MenC-CRM197 conjugate vaccine co-administered with GSK Biologicals’ Hib vaccine, </w:t>
            </w:r>
            <w:proofErr w:type="spellStart"/>
            <w:r w:rsidRPr="00B07DC2">
              <w:t>Hiberix</w:t>
            </w:r>
            <w:proofErr w:type="spellEnd"/>
            <w:r w:rsidRPr="00B07DC2">
              <w:t xml:space="preserve">, and </w:t>
            </w:r>
            <w:proofErr w:type="spellStart"/>
            <w:r w:rsidRPr="00B07DC2">
              <w:t>Priorix</w:t>
            </w:r>
            <w:proofErr w:type="spellEnd"/>
            <w:r w:rsidRPr="00B07DC2">
              <w:t xml:space="preserve"> in 12- to 18-month-old toddlers primed in infancy with a Hib vaccine but not with a meningococcal serogroup C vaccine; and to evaluate the long-term antibody persistence up to 5 years after the administration of the Hib-</w:t>
            </w:r>
            <w:proofErr w:type="spellStart"/>
            <w:r w:rsidRPr="00B07DC2">
              <w:t>MenC</w:t>
            </w:r>
            <w:proofErr w:type="spellEnd"/>
            <w:r w:rsidRPr="00B07DC2">
              <w:t xml:space="preserve"> vaccine.</w:t>
            </w:r>
          </w:p>
        </w:tc>
        <w:tc>
          <w:tcPr>
            <w:tcW w:w="1239" w:type="pct"/>
            <w:tcBorders>
              <w:top w:val="single" w:sz="4" w:space="0" w:color="auto"/>
              <w:bottom w:val="nil"/>
            </w:tcBorders>
          </w:tcPr>
          <w:p w:rsidR="00A41387" w:rsidRDefault="00A41387" w:rsidP="00A41387">
            <w:pPr>
              <w:pStyle w:val="Tabletext"/>
              <w:rPr>
                <w:i/>
                <w:szCs w:val="18"/>
                <w:lang w:eastAsia="en-AU"/>
              </w:rPr>
            </w:pPr>
            <w:r>
              <w:t>2008</w:t>
            </w:r>
          </w:p>
        </w:tc>
      </w:tr>
      <w:tr w:rsidR="00A41387" w:rsidRPr="00CB38A8" w:rsidTr="00E01465">
        <w:tc>
          <w:tcPr>
            <w:tcW w:w="795" w:type="pct"/>
            <w:tcBorders>
              <w:top w:val="nil"/>
              <w:bottom w:val="single" w:sz="4" w:space="0" w:color="auto"/>
            </w:tcBorders>
          </w:tcPr>
          <w:p w:rsidR="00A41387" w:rsidRDefault="00A41387" w:rsidP="00A41387">
            <w:pPr>
              <w:pStyle w:val="Tabletext"/>
            </w:pPr>
          </w:p>
        </w:tc>
        <w:tc>
          <w:tcPr>
            <w:tcW w:w="2966" w:type="pct"/>
            <w:tcBorders>
              <w:top w:val="nil"/>
              <w:bottom w:val="single" w:sz="4" w:space="0" w:color="auto"/>
            </w:tcBorders>
          </w:tcPr>
          <w:p w:rsidR="00A41387" w:rsidRDefault="00A41387" w:rsidP="00A41387">
            <w:pPr>
              <w:pStyle w:val="Tabletext"/>
              <w:rPr>
                <w:szCs w:val="18"/>
                <w:lang w:eastAsia="en-AU"/>
              </w:rPr>
            </w:pPr>
            <w:proofErr w:type="spellStart"/>
            <w:r w:rsidRPr="00C42F31">
              <w:t>Booy</w:t>
            </w:r>
            <w:proofErr w:type="spellEnd"/>
            <w:r w:rsidRPr="00C42F31">
              <w:t xml:space="preserve"> et al 2011. Immediate and longer term immunogenicity of a single dose of the combined haemophilus </w:t>
            </w:r>
            <w:proofErr w:type="spellStart"/>
            <w:r w:rsidRPr="00C42F31">
              <w:t>influenzae</w:t>
            </w:r>
            <w:proofErr w:type="spellEnd"/>
            <w:r w:rsidRPr="00C42F31">
              <w:t xml:space="preserve"> Type B-</w:t>
            </w:r>
            <w:proofErr w:type="spellStart"/>
            <w:r w:rsidRPr="00C42F31">
              <w:t>neisseria</w:t>
            </w:r>
            <w:proofErr w:type="spellEnd"/>
            <w:r w:rsidRPr="00C42F31">
              <w:t xml:space="preserve"> </w:t>
            </w:r>
            <w:proofErr w:type="spellStart"/>
            <w:r w:rsidRPr="00C42F31">
              <w:t>meningitidis</w:t>
            </w:r>
            <w:proofErr w:type="spellEnd"/>
            <w:r w:rsidRPr="00C42F31">
              <w:t xml:space="preserve"> serogroup C-tetanus toxoid conjugate vaccine in primed toddlers 12 to 18 months of age.</w:t>
            </w:r>
          </w:p>
        </w:tc>
        <w:tc>
          <w:tcPr>
            <w:tcW w:w="1239" w:type="pct"/>
            <w:tcBorders>
              <w:top w:val="nil"/>
              <w:bottom w:val="single" w:sz="4" w:space="0" w:color="auto"/>
            </w:tcBorders>
          </w:tcPr>
          <w:p w:rsidR="00A41387" w:rsidRDefault="00A41387" w:rsidP="00A41387">
            <w:pPr>
              <w:pStyle w:val="Tabletext"/>
              <w:rPr>
                <w:i/>
                <w:szCs w:val="18"/>
                <w:lang w:eastAsia="en-AU"/>
              </w:rPr>
            </w:pPr>
            <w:r w:rsidRPr="00ED2CB7">
              <w:rPr>
                <w:i/>
              </w:rPr>
              <w:t xml:space="preserve">The Paediatric Infectious Disease </w:t>
            </w:r>
            <w:r>
              <w:rPr>
                <w:i/>
              </w:rPr>
              <w:t>J</w:t>
            </w:r>
            <w:r w:rsidRPr="00ED2CB7">
              <w:rPr>
                <w:i/>
              </w:rPr>
              <w:t>ournal</w:t>
            </w:r>
            <w:r w:rsidRPr="00C42F31">
              <w:t>. 30(4):340-342.</w:t>
            </w:r>
          </w:p>
        </w:tc>
      </w:tr>
    </w:tbl>
    <w:p w:rsidR="008E0D3C" w:rsidRPr="00B1011F" w:rsidRDefault="008E0D3C" w:rsidP="008E0D3C">
      <w:pPr>
        <w:pStyle w:val="TableFooter"/>
        <w:rPr>
          <w:sz w:val="20"/>
        </w:rPr>
      </w:pPr>
      <w:r>
        <w:t>Source:</w:t>
      </w:r>
      <w:r w:rsidR="00A41387" w:rsidRPr="00A41387">
        <w:t xml:space="preserve"> Table2.2-2, p38-39 of the submission.</w:t>
      </w:r>
    </w:p>
    <w:p w:rsidR="00862502" w:rsidRPr="008F120A" w:rsidRDefault="00862502" w:rsidP="008F120A">
      <w:pPr>
        <w:widowControl/>
      </w:pPr>
    </w:p>
    <w:p w:rsidR="007F1017" w:rsidRDefault="008F120A" w:rsidP="00586FAD">
      <w:pPr>
        <w:pStyle w:val="ListParagraph"/>
        <w:widowControl/>
        <w:numPr>
          <w:ilvl w:val="1"/>
          <w:numId w:val="1"/>
        </w:numPr>
      </w:pPr>
      <w:r w:rsidRPr="00B50DB8">
        <w:t xml:space="preserve">The key features of the direct randomised trials are </w:t>
      </w:r>
      <w:r w:rsidR="00344B04">
        <w:t>summarised in the table below.</w:t>
      </w:r>
    </w:p>
    <w:p w:rsidR="007F1017" w:rsidRPr="00E2771E" w:rsidRDefault="007F1017" w:rsidP="00045017">
      <w:pPr>
        <w:rPr>
          <w:rStyle w:val="CommentReference"/>
        </w:rPr>
      </w:pPr>
      <w:r w:rsidRPr="00E2771E">
        <w:rPr>
          <w:rStyle w:val="CommentReference"/>
        </w:rPr>
        <w:t xml:space="preserve">Table </w:t>
      </w:r>
      <w:r w:rsidR="00057ED6">
        <w:rPr>
          <w:rStyle w:val="CommentReference"/>
        </w:rPr>
        <w:t>2</w:t>
      </w:r>
      <w:r w:rsidRPr="00E2771E">
        <w:rPr>
          <w:rStyle w:val="CommentReference"/>
        </w:rPr>
        <w:t>: Key features of the included evidence</w:t>
      </w:r>
      <w:r w:rsidR="00344B04">
        <w:rPr>
          <w:rStyle w:val="CommentReference"/>
        </w:rPr>
        <w:t xml:space="preserve"> – indirect comparison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33"/>
        <w:gridCol w:w="1590"/>
        <w:gridCol w:w="1164"/>
        <w:gridCol w:w="872"/>
        <w:gridCol w:w="2919"/>
        <w:gridCol w:w="1205"/>
      </w:tblGrid>
      <w:tr w:rsidR="00344B04" w:rsidRPr="00B41614" w:rsidTr="003D7466">
        <w:trPr>
          <w:tblHeader/>
        </w:trPr>
        <w:tc>
          <w:tcPr>
            <w:tcW w:w="0" w:type="auto"/>
            <w:shd w:val="clear" w:color="auto" w:fill="auto"/>
            <w:vAlign w:val="center"/>
          </w:tcPr>
          <w:p w:rsidR="00344B04" w:rsidRPr="00B41614" w:rsidRDefault="00344B04" w:rsidP="00B41614">
            <w:pPr>
              <w:pStyle w:val="Tabletext"/>
              <w:rPr>
                <w:b/>
                <w:lang w:val="en-US"/>
              </w:rPr>
            </w:pPr>
            <w:r w:rsidRPr="00B41614">
              <w:rPr>
                <w:b/>
                <w:lang w:val="en-US"/>
              </w:rPr>
              <w:t>Trial</w:t>
            </w:r>
          </w:p>
        </w:tc>
        <w:tc>
          <w:tcPr>
            <w:tcW w:w="0" w:type="auto"/>
            <w:shd w:val="clear" w:color="auto" w:fill="auto"/>
            <w:vAlign w:val="center"/>
          </w:tcPr>
          <w:p w:rsidR="00344B04" w:rsidRPr="00B41614" w:rsidRDefault="00344B04" w:rsidP="00B41614">
            <w:pPr>
              <w:pStyle w:val="Tabletext"/>
              <w:jc w:val="center"/>
              <w:rPr>
                <w:b/>
                <w:lang w:val="en-US"/>
              </w:rPr>
            </w:pPr>
            <w:r w:rsidRPr="00B41614">
              <w:rPr>
                <w:b/>
                <w:lang w:val="en-US"/>
              </w:rPr>
              <w:t>N</w:t>
            </w:r>
            <w:r>
              <w:rPr>
                <w:b/>
                <w:lang w:val="en-US"/>
              </w:rPr>
              <w:t xml:space="preserve"> (in relevant arms)</w:t>
            </w:r>
          </w:p>
        </w:tc>
        <w:tc>
          <w:tcPr>
            <w:tcW w:w="0" w:type="auto"/>
            <w:shd w:val="clear" w:color="auto" w:fill="auto"/>
            <w:vAlign w:val="center"/>
          </w:tcPr>
          <w:p w:rsidR="00344B04" w:rsidRPr="00B41614" w:rsidRDefault="00344B04" w:rsidP="00B41614">
            <w:pPr>
              <w:pStyle w:val="Tabletext"/>
              <w:jc w:val="center"/>
              <w:rPr>
                <w:b/>
                <w:lang w:val="en-US"/>
              </w:rPr>
            </w:pPr>
            <w:r w:rsidRPr="00B41614">
              <w:rPr>
                <w:b/>
                <w:lang w:val="en-US"/>
              </w:rPr>
              <w:t>Design/ duration</w:t>
            </w:r>
          </w:p>
        </w:tc>
        <w:tc>
          <w:tcPr>
            <w:tcW w:w="0" w:type="auto"/>
            <w:shd w:val="clear" w:color="auto" w:fill="auto"/>
            <w:vAlign w:val="center"/>
          </w:tcPr>
          <w:p w:rsidR="00344B04" w:rsidRPr="00B41614" w:rsidRDefault="00344B04" w:rsidP="00B41614">
            <w:pPr>
              <w:pStyle w:val="Tabletext"/>
              <w:jc w:val="center"/>
              <w:rPr>
                <w:b/>
                <w:lang w:val="en-US"/>
              </w:rPr>
            </w:pPr>
            <w:r w:rsidRPr="00B41614">
              <w:rPr>
                <w:b/>
                <w:lang w:val="en-US"/>
              </w:rPr>
              <w:t>Risk of bias</w:t>
            </w:r>
          </w:p>
        </w:tc>
        <w:tc>
          <w:tcPr>
            <w:tcW w:w="0" w:type="auto"/>
            <w:shd w:val="clear" w:color="auto" w:fill="auto"/>
            <w:vAlign w:val="center"/>
          </w:tcPr>
          <w:p w:rsidR="00344B04" w:rsidRPr="00B41614" w:rsidRDefault="00344B04" w:rsidP="00B41614">
            <w:pPr>
              <w:pStyle w:val="Tabletext"/>
              <w:jc w:val="center"/>
              <w:rPr>
                <w:b/>
                <w:lang w:val="en-US"/>
              </w:rPr>
            </w:pPr>
            <w:r w:rsidRPr="00B41614">
              <w:rPr>
                <w:b/>
                <w:lang w:val="en-US"/>
              </w:rPr>
              <w:t>Patient population</w:t>
            </w:r>
          </w:p>
        </w:tc>
        <w:tc>
          <w:tcPr>
            <w:tcW w:w="0" w:type="auto"/>
            <w:shd w:val="clear" w:color="auto" w:fill="auto"/>
            <w:vAlign w:val="center"/>
          </w:tcPr>
          <w:p w:rsidR="00344B04" w:rsidRPr="00B41614" w:rsidRDefault="00581934" w:rsidP="00B41614">
            <w:pPr>
              <w:pStyle w:val="Tabletext"/>
              <w:jc w:val="center"/>
              <w:rPr>
                <w:b/>
                <w:lang w:val="en-US"/>
              </w:rPr>
            </w:pPr>
            <w:r>
              <w:rPr>
                <w:b/>
                <w:lang w:val="en-US"/>
              </w:rPr>
              <w:t>Outcomes</w:t>
            </w:r>
          </w:p>
        </w:tc>
      </w:tr>
      <w:tr w:rsidR="007F1017" w:rsidRPr="00E2771E" w:rsidTr="00344B04">
        <w:tc>
          <w:tcPr>
            <w:tcW w:w="0" w:type="auto"/>
            <w:gridSpan w:val="6"/>
            <w:shd w:val="clear" w:color="auto" w:fill="auto"/>
            <w:vAlign w:val="center"/>
          </w:tcPr>
          <w:p w:rsidR="007F1017" w:rsidRPr="00B41614" w:rsidRDefault="00233B68" w:rsidP="00233B68">
            <w:pPr>
              <w:pStyle w:val="Tabletext"/>
              <w:rPr>
                <w:b/>
                <w:lang w:val="en-US"/>
              </w:rPr>
            </w:pPr>
            <w:proofErr w:type="spellStart"/>
            <w:r>
              <w:rPr>
                <w:b/>
                <w:lang w:val="en-US"/>
              </w:rPr>
              <w:t>MenACWY</w:t>
            </w:r>
            <w:proofErr w:type="spellEnd"/>
            <w:r>
              <w:rPr>
                <w:b/>
                <w:lang w:val="en-US"/>
              </w:rPr>
              <w:t>-TT</w:t>
            </w:r>
            <w:r w:rsidR="00344B04">
              <w:rPr>
                <w:b/>
                <w:lang w:val="en-US"/>
              </w:rPr>
              <w:t xml:space="preserve"> vs. </w:t>
            </w:r>
            <w:proofErr w:type="spellStart"/>
            <w:r w:rsidR="00344B04">
              <w:rPr>
                <w:b/>
                <w:lang w:val="en-US"/>
              </w:rPr>
              <w:t>MenC</w:t>
            </w:r>
            <w:proofErr w:type="spellEnd"/>
          </w:p>
        </w:tc>
      </w:tr>
      <w:tr w:rsidR="00344B04" w:rsidRPr="00E2771E" w:rsidTr="00344B04">
        <w:tc>
          <w:tcPr>
            <w:tcW w:w="0" w:type="auto"/>
            <w:shd w:val="clear" w:color="auto" w:fill="auto"/>
          </w:tcPr>
          <w:p w:rsidR="00344B04" w:rsidRPr="00E2771E" w:rsidRDefault="00344B04" w:rsidP="00344B04">
            <w:pPr>
              <w:pStyle w:val="Tabletext"/>
              <w:rPr>
                <w:lang w:val="en-US"/>
              </w:rPr>
            </w:pPr>
            <w:r>
              <w:rPr>
                <w:snapToGrid w:val="0"/>
                <w:szCs w:val="20"/>
              </w:rPr>
              <w:t>MenACWY-TT-013</w:t>
            </w:r>
          </w:p>
        </w:tc>
        <w:tc>
          <w:tcPr>
            <w:tcW w:w="0" w:type="auto"/>
            <w:shd w:val="clear" w:color="auto" w:fill="auto"/>
          </w:tcPr>
          <w:p w:rsidR="00344B04" w:rsidRPr="00344B04" w:rsidRDefault="00344B04" w:rsidP="00344B04">
            <w:pPr>
              <w:jc w:val="left"/>
              <w:rPr>
                <w:rFonts w:ascii="Arial Narrow" w:hAnsi="Arial Narrow"/>
                <w:sz w:val="20"/>
                <w:szCs w:val="20"/>
              </w:rPr>
            </w:pPr>
            <w:proofErr w:type="spellStart"/>
            <w:r>
              <w:rPr>
                <w:rFonts w:ascii="Arial Narrow" w:hAnsi="Arial Narrow"/>
                <w:sz w:val="20"/>
                <w:szCs w:val="20"/>
              </w:rPr>
              <w:t>MenACWY</w:t>
            </w:r>
            <w:proofErr w:type="spellEnd"/>
            <w:r>
              <w:rPr>
                <w:rFonts w:ascii="Arial Narrow" w:hAnsi="Arial Narrow"/>
                <w:sz w:val="20"/>
                <w:szCs w:val="20"/>
              </w:rPr>
              <w:t>-TT*</w:t>
            </w:r>
            <w:r w:rsidR="00F82B4E">
              <w:rPr>
                <w:rFonts w:ascii="Arial Narrow" w:hAnsi="Arial Narrow"/>
                <w:sz w:val="20"/>
                <w:szCs w:val="20"/>
              </w:rPr>
              <w:t>^</w:t>
            </w:r>
            <w:r>
              <w:rPr>
                <w:rFonts w:ascii="Arial Narrow" w:hAnsi="Arial Narrow"/>
                <w:sz w:val="20"/>
                <w:szCs w:val="20"/>
              </w:rPr>
              <w:t>:48</w:t>
            </w:r>
          </w:p>
          <w:p w:rsidR="00344B04" w:rsidRPr="00344B04" w:rsidRDefault="00344B04" w:rsidP="00344B04">
            <w:pPr>
              <w:pStyle w:val="Tabletext"/>
              <w:rPr>
                <w:rFonts w:cs="Arial"/>
                <w:snapToGrid w:val="0"/>
                <w:szCs w:val="20"/>
              </w:rPr>
            </w:pPr>
            <w:proofErr w:type="spellStart"/>
            <w:r w:rsidRPr="00344B04">
              <w:rPr>
                <w:rFonts w:cs="Arial"/>
                <w:snapToGrid w:val="0"/>
                <w:szCs w:val="20"/>
              </w:rPr>
              <w:t>MenC</w:t>
            </w:r>
            <w:proofErr w:type="spellEnd"/>
            <w:r w:rsidR="00F82B4E">
              <w:rPr>
                <w:rFonts w:cs="Arial"/>
                <w:snapToGrid w:val="0"/>
                <w:szCs w:val="20"/>
              </w:rPr>
              <w:t>^</w:t>
            </w:r>
            <w:r w:rsidRPr="00344B04">
              <w:rPr>
                <w:rFonts w:cs="Arial"/>
                <w:snapToGrid w:val="0"/>
                <w:szCs w:val="20"/>
              </w:rPr>
              <w:t>: 48</w:t>
            </w:r>
          </w:p>
        </w:tc>
        <w:tc>
          <w:tcPr>
            <w:tcW w:w="0" w:type="auto"/>
            <w:shd w:val="clear" w:color="auto" w:fill="auto"/>
          </w:tcPr>
          <w:p w:rsidR="00344B04" w:rsidRPr="00E2771E" w:rsidRDefault="00344B04" w:rsidP="00344B04">
            <w:pPr>
              <w:pStyle w:val="Tabletext"/>
              <w:rPr>
                <w:lang w:val="en-US"/>
              </w:rPr>
            </w:pPr>
            <w:r w:rsidRPr="00E2771E">
              <w:rPr>
                <w:lang w:val="en-US"/>
              </w:rPr>
              <w:t xml:space="preserve">R, </w:t>
            </w:r>
            <w:r>
              <w:rPr>
                <w:lang w:val="en-US"/>
              </w:rPr>
              <w:t>OL</w:t>
            </w:r>
          </w:p>
          <w:p w:rsidR="00344B04" w:rsidRPr="00E2771E" w:rsidRDefault="00344B04" w:rsidP="00344B04">
            <w:pPr>
              <w:pStyle w:val="Tabletext"/>
              <w:rPr>
                <w:lang w:val="en-US"/>
              </w:rPr>
            </w:pPr>
            <w:r w:rsidRPr="00344B04">
              <w:rPr>
                <w:lang w:val="en-US"/>
              </w:rPr>
              <w:t>15 months</w:t>
            </w:r>
            <w:r>
              <w:rPr>
                <w:lang w:val="en-US"/>
              </w:rPr>
              <w:t>**</w:t>
            </w:r>
          </w:p>
        </w:tc>
        <w:tc>
          <w:tcPr>
            <w:tcW w:w="0" w:type="auto"/>
            <w:shd w:val="clear" w:color="auto" w:fill="auto"/>
          </w:tcPr>
          <w:p w:rsidR="00344B04" w:rsidRPr="00E2771E" w:rsidRDefault="00344B04" w:rsidP="00344B04">
            <w:pPr>
              <w:pStyle w:val="Tabletext"/>
              <w:rPr>
                <w:lang w:val="en-US"/>
              </w:rPr>
            </w:pPr>
            <w:r w:rsidRPr="00E2771E">
              <w:rPr>
                <w:lang w:val="en-US"/>
              </w:rPr>
              <w:t>Low</w:t>
            </w:r>
          </w:p>
        </w:tc>
        <w:tc>
          <w:tcPr>
            <w:tcW w:w="0" w:type="auto"/>
            <w:shd w:val="clear" w:color="auto" w:fill="auto"/>
          </w:tcPr>
          <w:p w:rsidR="00344B04" w:rsidRPr="00E2771E" w:rsidRDefault="00344B04" w:rsidP="00344B04">
            <w:pPr>
              <w:pStyle w:val="Tabletext"/>
              <w:rPr>
                <w:lang w:val="en-US"/>
              </w:rPr>
            </w:pPr>
            <w:r>
              <w:rPr>
                <w:snapToGrid w:val="0"/>
                <w:szCs w:val="20"/>
              </w:rPr>
              <w:t>Healthy subjects aged 12-14 months and 3-5 years</w:t>
            </w:r>
          </w:p>
        </w:tc>
        <w:tc>
          <w:tcPr>
            <w:tcW w:w="0" w:type="auto"/>
            <w:shd w:val="clear" w:color="auto" w:fill="auto"/>
          </w:tcPr>
          <w:p w:rsidR="00344B04" w:rsidRDefault="00344B04" w:rsidP="00344B04">
            <w:pPr>
              <w:pStyle w:val="Tabletext"/>
              <w:rPr>
                <w:lang w:val="en-US"/>
              </w:rPr>
            </w:pPr>
            <w:r>
              <w:rPr>
                <w:lang w:val="en-US"/>
              </w:rPr>
              <w:t>Immunogenicity</w:t>
            </w:r>
          </w:p>
          <w:p w:rsidR="00344B04" w:rsidRPr="00E2771E" w:rsidRDefault="00344B04" w:rsidP="00344B04">
            <w:pPr>
              <w:pStyle w:val="Tabletext"/>
              <w:rPr>
                <w:lang w:val="en-US"/>
              </w:rPr>
            </w:pPr>
            <w:r>
              <w:rPr>
                <w:lang w:val="en-US"/>
              </w:rPr>
              <w:t>Safety</w:t>
            </w:r>
          </w:p>
        </w:tc>
      </w:tr>
      <w:tr w:rsidR="00344B04" w:rsidRPr="00E2771E" w:rsidTr="00344B04">
        <w:tc>
          <w:tcPr>
            <w:tcW w:w="0" w:type="auto"/>
            <w:shd w:val="clear" w:color="auto" w:fill="auto"/>
          </w:tcPr>
          <w:p w:rsidR="00344B04" w:rsidRPr="00E2771E" w:rsidRDefault="00344B04" w:rsidP="00344B04">
            <w:pPr>
              <w:pStyle w:val="Tabletext"/>
              <w:rPr>
                <w:lang w:val="en-US"/>
              </w:rPr>
            </w:pPr>
            <w:r>
              <w:rPr>
                <w:snapToGrid w:val="0"/>
                <w:szCs w:val="20"/>
              </w:rPr>
              <w:t>MenACWY-TT-027</w:t>
            </w:r>
          </w:p>
        </w:tc>
        <w:tc>
          <w:tcPr>
            <w:tcW w:w="0" w:type="auto"/>
            <w:shd w:val="clear" w:color="auto" w:fill="auto"/>
          </w:tcPr>
          <w:p w:rsidR="00344B04" w:rsidRPr="00344B04" w:rsidRDefault="00344B04" w:rsidP="00344B04">
            <w:pPr>
              <w:jc w:val="left"/>
              <w:rPr>
                <w:rFonts w:ascii="Arial Narrow" w:hAnsi="Arial Narrow"/>
                <w:sz w:val="20"/>
                <w:szCs w:val="20"/>
              </w:rPr>
            </w:pPr>
            <w:proofErr w:type="spellStart"/>
            <w:r>
              <w:rPr>
                <w:rFonts w:ascii="Arial Narrow" w:hAnsi="Arial Narrow"/>
                <w:sz w:val="20"/>
                <w:szCs w:val="20"/>
              </w:rPr>
              <w:t>MenACWY</w:t>
            </w:r>
            <w:proofErr w:type="spellEnd"/>
            <w:r>
              <w:rPr>
                <w:rFonts w:ascii="Arial Narrow" w:hAnsi="Arial Narrow"/>
                <w:sz w:val="20"/>
                <w:szCs w:val="20"/>
              </w:rPr>
              <w:t>-TT: 229</w:t>
            </w:r>
          </w:p>
          <w:p w:rsidR="00344B04" w:rsidRPr="00344B04" w:rsidRDefault="00344B04" w:rsidP="00344B04">
            <w:pPr>
              <w:pStyle w:val="Tabletext"/>
              <w:rPr>
                <w:rFonts w:cs="Arial"/>
                <w:snapToGrid w:val="0"/>
                <w:szCs w:val="20"/>
              </w:rPr>
            </w:pPr>
            <w:proofErr w:type="spellStart"/>
            <w:r w:rsidRPr="00344B04">
              <w:rPr>
                <w:rFonts w:cs="Arial"/>
                <w:snapToGrid w:val="0"/>
                <w:szCs w:val="20"/>
              </w:rPr>
              <w:t>MenC</w:t>
            </w:r>
            <w:proofErr w:type="spellEnd"/>
            <w:r w:rsidRPr="00344B04">
              <w:rPr>
                <w:rFonts w:cs="Arial"/>
                <w:snapToGrid w:val="0"/>
                <w:szCs w:val="20"/>
              </w:rPr>
              <w:t>: 75</w:t>
            </w:r>
          </w:p>
        </w:tc>
        <w:tc>
          <w:tcPr>
            <w:tcW w:w="0" w:type="auto"/>
            <w:shd w:val="clear" w:color="auto" w:fill="auto"/>
          </w:tcPr>
          <w:p w:rsidR="00344B04" w:rsidRPr="00E2771E" w:rsidRDefault="00344B04" w:rsidP="00344B04">
            <w:pPr>
              <w:pStyle w:val="Tabletext"/>
              <w:rPr>
                <w:lang w:val="en-US"/>
              </w:rPr>
            </w:pPr>
            <w:r w:rsidRPr="00E2771E">
              <w:rPr>
                <w:lang w:val="en-US"/>
              </w:rPr>
              <w:t>R, OL</w:t>
            </w:r>
          </w:p>
          <w:p w:rsidR="00344B04" w:rsidRPr="00E2771E" w:rsidRDefault="00344B04" w:rsidP="00344B04">
            <w:pPr>
              <w:pStyle w:val="Tabletext"/>
              <w:rPr>
                <w:lang w:val="en-US"/>
              </w:rPr>
            </w:pPr>
            <w:r>
              <w:rPr>
                <w:lang w:val="en-US"/>
              </w:rPr>
              <w:t>5 years**</w:t>
            </w:r>
          </w:p>
        </w:tc>
        <w:tc>
          <w:tcPr>
            <w:tcW w:w="0" w:type="auto"/>
            <w:shd w:val="clear" w:color="auto" w:fill="auto"/>
          </w:tcPr>
          <w:p w:rsidR="00344B04" w:rsidRPr="00E2771E" w:rsidRDefault="00446C96" w:rsidP="00344B04">
            <w:pPr>
              <w:pStyle w:val="Tabletext"/>
              <w:rPr>
                <w:lang w:val="en-US"/>
              </w:rPr>
            </w:pPr>
            <w:r>
              <w:rPr>
                <w:lang w:val="en-US"/>
              </w:rPr>
              <w:t>Unclear</w:t>
            </w:r>
          </w:p>
        </w:tc>
        <w:tc>
          <w:tcPr>
            <w:tcW w:w="0" w:type="auto"/>
            <w:shd w:val="clear" w:color="auto" w:fill="auto"/>
          </w:tcPr>
          <w:p w:rsidR="00344B04" w:rsidRPr="00E2771E" w:rsidRDefault="00344B04" w:rsidP="00344B04">
            <w:pPr>
              <w:pStyle w:val="Tabletext"/>
              <w:rPr>
                <w:lang w:val="en-US"/>
              </w:rPr>
            </w:pPr>
            <w:r>
              <w:rPr>
                <w:snapToGrid w:val="0"/>
                <w:szCs w:val="20"/>
              </w:rPr>
              <w:t>Healthy subjects aged 12-23 months</w:t>
            </w:r>
          </w:p>
        </w:tc>
        <w:tc>
          <w:tcPr>
            <w:tcW w:w="0" w:type="auto"/>
            <w:shd w:val="clear" w:color="auto" w:fill="auto"/>
          </w:tcPr>
          <w:p w:rsidR="00344B04" w:rsidRDefault="00344B04" w:rsidP="00344B04">
            <w:pPr>
              <w:jc w:val="left"/>
              <w:rPr>
                <w:rFonts w:ascii="Arial Narrow" w:hAnsi="Arial Narrow"/>
                <w:snapToGrid/>
                <w:sz w:val="20"/>
                <w:szCs w:val="20"/>
              </w:rPr>
            </w:pPr>
            <w:r>
              <w:rPr>
                <w:rFonts w:ascii="Arial Narrow" w:hAnsi="Arial Narrow"/>
                <w:sz w:val="20"/>
                <w:szCs w:val="20"/>
              </w:rPr>
              <w:t>Immunogenicity</w:t>
            </w:r>
          </w:p>
          <w:p w:rsidR="00344B04" w:rsidRDefault="00344B04" w:rsidP="00344B04">
            <w:pPr>
              <w:jc w:val="left"/>
              <w:rPr>
                <w:rFonts w:ascii="Arial Narrow" w:hAnsi="Arial Narrow"/>
                <w:sz w:val="20"/>
                <w:szCs w:val="20"/>
              </w:rPr>
            </w:pPr>
            <w:r>
              <w:rPr>
                <w:rFonts w:ascii="Arial Narrow" w:hAnsi="Arial Narrow"/>
                <w:sz w:val="20"/>
                <w:szCs w:val="20"/>
              </w:rPr>
              <w:t>Safety</w:t>
            </w:r>
          </w:p>
          <w:p w:rsidR="00344B04" w:rsidRPr="00E2771E" w:rsidRDefault="00344B04" w:rsidP="00344B04">
            <w:pPr>
              <w:pStyle w:val="Tabletext"/>
              <w:rPr>
                <w:lang w:val="en-US"/>
              </w:rPr>
            </w:pPr>
            <w:r>
              <w:rPr>
                <w:szCs w:val="20"/>
              </w:rPr>
              <w:t>Persistence</w:t>
            </w:r>
          </w:p>
        </w:tc>
      </w:tr>
      <w:tr w:rsidR="00344B04" w:rsidRPr="00E2771E" w:rsidTr="00344B04">
        <w:tc>
          <w:tcPr>
            <w:tcW w:w="0" w:type="auto"/>
            <w:shd w:val="clear" w:color="auto" w:fill="auto"/>
          </w:tcPr>
          <w:p w:rsidR="00344B04" w:rsidRPr="00E2771E" w:rsidRDefault="00344B04" w:rsidP="00344B04">
            <w:pPr>
              <w:pStyle w:val="Tabletext"/>
              <w:rPr>
                <w:lang w:val="en-US"/>
              </w:rPr>
            </w:pPr>
            <w:r>
              <w:rPr>
                <w:snapToGrid w:val="0"/>
                <w:szCs w:val="20"/>
              </w:rPr>
              <w:t>MenACWY-TT-039</w:t>
            </w:r>
          </w:p>
        </w:tc>
        <w:tc>
          <w:tcPr>
            <w:tcW w:w="0" w:type="auto"/>
            <w:shd w:val="clear" w:color="auto" w:fill="auto"/>
          </w:tcPr>
          <w:p w:rsidR="00344B04" w:rsidRPr="00344B04" w:rsidRDefault="00344B04" w:rsidP="00344B04">
            <w:pPr>
              <w:jc w:val="left"/>
              <w:rPr>
                <w:rFonts w:ascii="Arial Narrow" w:hAnsi="Arial Narrow"/>
                <w:sz w:val="20"/>
                <w:szCs w:val="20"/>
              </w:rPr>
            </w:pPr>
            <w:proofErr w:type="spellStart"/>
            <w:r>
              <w:rPr>
                <w:rFonts w:ascii="Arial Narrow" w:hAnsi="Arial Narrow"/>
                <w:sz w:val="20"/>
                <w:szCs w:val="20"/>
              </w:rPr>
              <w:t>MenACWY</w:t>
            </w:r>
            <w:proofErr w:type="spellEnd"/>
            <w:r>
              <w:rPr>
                <w:rFonts w:ascii="Arial Narrow" w:hAnsi="Arial Narrow"/>
                <w:sz w:val="20"/>
                <w:szCs w:val="20"/>
              </w:rPr>
              <w:t>-TT: 374</w:t>
            </w:r>
            <w:r w:rsidR="00F82B4E">
              <w:rPr>
                <w:rFonts w:ascii="Arial Narrow" w:hAnsi="Arial Narrow"/>
                <w:sz w:val="20"/>
                <w:szCs w:val="20"/>
              </w:rPr>
              <w:t>^^</w:t>
            </w:r>
          </w:p>
          <w:p w:rsidR="00344B04" w:rsidRPr="00344B04" w:rsidRDefault="00344B04" w:rsidP="00344B04">
            <w:pPr>
              <w:pStyle w:val="Tabletext"/>
              <w:rPr>
                <w:rFonts w:cs="Arial"/>
                <w:snapToGrid w:val="0"/>
                <w:szCs w:val="20"/>
              </w:rPr>
            </w:pPr>
            <w:proofErr w:type="spellStart"/>
            <w:r w:rsidRPr="00344B04">
              <w:rPr>
                <w:rFonts w:cs="Arial"/>
                <w:snapToGrid w:val="0"/>
                <w:szCs w:val="20"/>
              </w:rPr>
              <w:t>MenC</w:t>
            </w:r>
            <w:proofErr w:type="spellEnd"/>
            <w:r w:rsidR="00F82B4E">
              <w:rPr>
                <w:rFonts w:cs="Arial"/>
                <w:snapToGrid w:val="0"/>
                <w:szCs w:val="20"/>
              </w:rPr>
              <w:t>^^</w:t>
            </w:r>
            <w:r w:rsidRPr="00344B04">
              <w:rPr>
                <w:rFonts w:cs="Arial"/>
                <w:snapToGrid w:val="0"/>
                <w:szCs w:val="20"/>
              </w:rPr>
              <w:t>: 125</w:t>
            </w:r>
          </w:p>
        </w:tc>
        <w:tc>
          <w:tcPr>
            <w:tcW w:w="0" w:type="auto"/>
            <w:shd w:val="clear" w:color="auto" w:fill="auto"/>
          </w:tcPr>
          <w:p w:rsidR="00344B04" w:rsidRPr="00E2771E" w:rsidRDefault="00344B04" w:rsidP="00344B04">
            <w:pPr>
              <w:pStyle w:val="Tabletext"/>
              <w:rPr>
                <w:lang w:val="en-US"/>
              </w:rPr>
            </w:pPr>
            <w:r w:rsidRPr="00E2771E">
              <w:rPr>
                <w:lang w:val="en-US"/>
              </w:rPr>
              <w:t xml:space="preserve">R, </w:t>
            </w:r>
            <w:r>
              <w:rPr>
                <w:lang w:val="en-US"/>
              </w:rPr>
              <w:t>OL</w:t>
            </w:r>
          </w:p>
          <w:p w:rsidR="00344B04" w:rsidRPr="00E2771E" w:rsidRDefault="00344B04" w:rsidP="00344B04">
            <w:pPr>
              <w:pStyle w:val="Tabletext"/>
              <w:rPr>
                <w:lang w:val="en-US"/>
              </w:rPr>
            </w:pPr>
            <w:r>
              <w:rPr>
                <w:lang w:val="en-US"/>
              </w:rPr>
              <w:t>1 month</w:t>
            </w:r>
          </w:p>
        </w:tc>
        <w:tc>
          <w:tcPr>
            <w:tcW w:w="0" w:type="auto"/>
            <w:shd w:val="clear" w:color="auto" w:fill="auto"/>
          </w:tcPr>
          <w:p w:rsidR="00344B04" w:rsidRPr="00E2771E" w:rsidRDefault="00446C96" w:rsidP="00344B04">
            <w:pPr>
              <w:pStyle w:val="Tabletext"/>
              <w:rPr>
                <w:lang w:val="en-US"/>
              </w:rPr>
            </w:pPr>
            <w:r>
              <w:rPr>
                <w:lang w:val="en-US"/>
              </w:rPr>
              <w:t>Unclear</w:t>
            </w:r>
          </w:p>
        </w:tc>
        <w:tc>
          <w:tcPr>
            <w:tcW w:w="0" w:type="auto"/>
            <w:shd w:val="clear" w:color="auto" w:fill="auto"/>
          </w:tcPr>
          <w:p w:rsidR="00344B04" w:rsidRPr="00E2771E" w:rsidRDefault="00344B04" w:rsidP="00344B04">
            <w:pPr>
              <w:pStyle w:val="Tabletext"/>
              <w:rPr>
                <w:lang w:val="en-US"/>
              </w:rPr>
            </w:pPr>
            <w:r>
              <w:rPr>
                <w:snapToGrid w:val="0"/>
                <w:szCs w:val="20"/>
              </w:rPr>
              <w:t>Healthy subjects aged 12-23 months</w:t>
            </w:r>
          </w:p>
        </w:tc>
        <w:tc>
          <w:tcPr>
            <w:tcW w:w="0" w:type="auto"/>
            <w:shd w:val="clear" w:color="auto" w:fill="auto"/>
          </w:tcPr>
          <w:p w:rsidR="00344B04" w:rsidRDefault="00344B04" w:rsidP="00344B04">
            <w:pPr>
              <w:jc w:val="left"/>
              <w:rPr>
                <w:rFonts w:ascii="Arial Narrow" w:hAnsi="Arial Narrow"/>
                <w:sz w:val="20"/>
                <w:szCs w:val="20"/>
              </w:rPr>
            </w:pPr>
            <w:r>
              <w:rPr>
                <w:rFonts w:ascii="Arial Narrow" w:hAnsi="Arial Narrow"/>
                <w:sz w:val="20"/>
                <w:szCs w:val="20"/>
              </w:rPr>
              <w:t>Immunogenicity</w:t>
            </w:r>
          </w:p>
          <w:p w:rsidR="00344B04" w:rsidRPr="00E2771E" w:rsidRDefault="00344B04" w:rsidP="00344B04">
            <w:pPr>
              <w:pStyle w:val="Tabletext"/>
              <w:rPr>
                <w:lang w:val="en-US"/>
              </w:rPr>
            </w:pPr>
            <w:r>
              <w:rPr>
                <w:szCs w:val="20"/>
              </w:rPr>
              <w:t>Safety</w:t>
            </w:r>
          </w:p>
        </w:tc>
      </w:tr>
      <w:tr w:rsidR="00344B04" w:rsidRPr="00E2771E" w:rsidTr="00344B04">
        <w:tc>
          <w:tcPr>
            <w:tcW w:w="0" w:type="auto"/>
            <w:shd w:val="clear" w:color="auto" w:fill="auto"/>
          </w:tcPr>
          <w:p w:rsidR="00344B04" w:rsidRDefault="00344B04" w:rsidP="00344B04">
            <w:pPr>
              <w:pStyle w:val="Tabletext"/>
              <w:rPr>
                <w:snapToGrid w:val="0"/>
                <w:szCs w:val="20"/>
              </w:rPr>
            </w:pPr>
            <w:r>
              <w:rPr>
                <w:snapToGrid w:val="0"/>
                <w:szCs w:val="20"/>
              </w:rPr>
              <w:t>Men-ACWY-TT-040</w:t>
            </w:r>
          </w:p>
        </w:tc>
        <w:tc>
          <w:tcPr>
            <w:tcW w:w="0" w:type="auto"/>
            <w:shd w:val="clear" w:color="auto" w:fill="auto"/>
          </w:tcPr>
          <w:p w:rsidR="00344B04" w:rsidRPr="00344B04" w:rsidRDefault="00344B04" w:rsidP="00344B04">
            <w:pPr>
              <w:jc w:val="left"/>
              <w:rPr>
                <w:rFonts w:ascii="Arial Narrow" w:hAnsi="Arial Narrow"/>
                <w:sz w:val="20"/>
                <w:szCs w:val="20"/>
              </w:rPr>
            </w:pPr>
            <w:proofErr w:type="spellStart"/>
            <w:r>
              <w:rPr>
                <w:rFonts w:ascii="Arial Narrow" w:hAnsi="Arial Narrow"/>
                <w:sz w:val="20"/>
                <w:szCs w:val="20"/>
              </w:rPr>
              <w:t>MenACWY</w:t>
            </w:r>
            <w:proofErr w:type="spellEnd"/>
            <w:r>
              <w:rPr>
                <w:rFonts w:ascii="Arial Narrow" w:hAnsi="Arial Narrow"/>
                <w:sz w:val="20"/>
                <w:szCs w:val="20"/>
              </w:rPr>
              <w:t>-TT</w:t>
            </w:r>
            <w:r w:rsidR="00F82B4E" w:rsidRPr="00F82B4E">
              <w:rPr>
                <w:rFonts w:ascii="Arial Narrow" w:hAnsi="Arial Narrow"/>
                <w:sz w:val="20"/>
                <w:szCs w:val="20"/>
                <w:vertAlign w:val="superscript"/>
              </w:rPr>
              <w:t>#</w:t>
            </w:r>
            <w:r>
              <w:rPr>
                <w:rFonts w:ascii="Arial Narrow" w:hAnsi="Arial Narrow"/>
                <w:sz w:val="20"/>
                <w:szCs w:val="20"/>
              </w:rPr>
              <w:t>: 220</w:t>
            </w:r>
          </w:p>
          <w:p w:rsidR="00344B04" w:rsidRPr="00344B04" w:rsidRDefault="00344B04" w:rsidP="00344B04">
            <w:pPr>
              <w:pStyle w:val="Tabletext"/>
              <w:rPr>
                <w:rFonts w:cs="Arial"/>
                <w:snapToGrid w:val="0"/>
                <w:szCs w:val="20"/>
              </w:rPr>
            </w:pPr>
            <w:proofErr w:type="spellStart"/>
            <w:r w:rsidRPr="00344B04">
              <w:rPr>
                <w:rFonts w:cs="Arial"/>
                <w:snapToGrid w:val="0"/>
                <w:szCs w:val="20"/>
              </w:rPr>
              <w:t>MenC</w:t>
            </w:r>
            <w:proofErr w:type="spellEnd"/>
            <w:r w:rsidR="00F82B4E" w:rsidRPr="00F82B4E">
              <w:rPr>
                <w:szCs w:val="20"/>
                <w:vertAlign w:val="superscript"/>
              </w:rPr>
              <w:t>#</w:t>
            </w:r>
            <w:r w:rsidRPr="00344B04">
              <w:rPr>
                <w:rFonts w:cs="Arial"/>
                <w:snapToGrid w:val="0"/>
                <w:szCs w:val="20"/>
              </w:rPr>
              <w:t>: 127</w:t>
            </w:r>
          </w:p>
        </w:tc>
        <w:tc>
          <w:tcPr>
            <w:tcW w:w="0" w:type="auto"/>
            <w:shd w:val="clear" w:color="auto" w:fill="auto"/>
          </w:tcPr>
          <w:p w:rsidR="00344B04" w:rsidRPr="00E2771E" w:rsidRDefault="00344B04" w:rsidP="00344B04">
            <w:pPr>
              <w:pStyle w:val="Tabletext"/>
              <w:rPr>
                <w:lang w:val="en-US"/>
              </w:rPr>
            </w:pPr>
            <w:r w:rsidRPr="00E2771E">
              <w:rPr>
                <w:lang w:val="en-US"/>
              </w:rPr>
              <w:t xml:space="preserve">R, </w:t>
            </w:r>
            <w:r>
              <w:rPr>
                <w:lang w:val="en-US"/>
              </w:rPr>
              <w:t>OL</w:t>
            </w:r>
          </w:p>
          <w:p w:rsidR="00344B04" w:rsidRPr="00E2771E" w:rsidRDefault="00344B04" w:rsidP="00344B04">
            <w:pPr>
              <w:pStyle w:val="Tabletext"/>
              <w:rPr>
                <w:lang w:val="en-US"/>
              </w:rPr>
            </w:pPr>
            <w:r>
              <w:rPr>
                <w:lang w:val="en-US"/>
              </w:rPr>
              <w:t>1 month</w:t>
            </w:r>
          </w:p>
        </w:tc>
        <w:tc>
          <w:tcPr>
            <w:tcW w:w="0" w:type="auto"/>
            <w:shd w:val="clear" w:color="auto" w:fill="auto"/>
          </w:tcPr>
          <w:p w:rsidR="00344B04" w:rsidRPr="00E2771E" w:rsidRDefault="00344B04" w:rsidP="00344B04">
            <w:pPr>
              <w:pStyle w:val="Tabletext"/>
              <w:rPr>
                <w:lang w:val="en-US"/>
              </w:rPr>
            </w:pPr>
            <w:r>
              <w:rPr>
                <w:lang w:val="en-US"/>
              </w:rPr>
              <w:t>Low</w:t>
            </w:r>
          </w:p>
        </w:tc>
        <w:tc>
          <w:tcPr>
            <w:tcW w:w="0" w:type="auto"/>
            <w:shd w:val="clear" w:color="auto" w:fill="auto"/>
          </w:tcPr>
          <w:p w:rsidR="00344B04" w:rsidRPr="00E2771E" w:rsidRDefault="00344B04" w:rsidP="00344B04">
            <w:pPr>
              <w:pStyle w:val="Tabletext"/>
              <w:rPr>
                <w:lang w:val="en-US"/>
              </w:rPr>
            </w:pPr>
            <w:r>
              <w:rPr>
                <w:snapToGrid w:val="0"/>
                <w:szCs w:val="20"/>
              </w:rPr>
              <w:t>Healthy subjects aged 12-23 months</w:t>
            </w:r>
          </w:p>
        </w:tc>
        <w:tc>
          <w:tcPr>
            <w:tcW w:w="0" w:type="auto"/>
            <w:shd w:val="clear" w:color="auto" w:fill="auto"/>
          </w:tcPr>
          <w:p w:rsidR="00344B04" w:rsidRDefault="00344B04" w:rsidP="00344B04">
            <w:pPr>
              <w:jc w:val="left"/>
              <w:rPr>
                <w:rFonts w:ascii="Arial Narrow" w:hAnsi="Arial Narrow"/>
                <w:sz w:val="20"/>
                <w:szCs w:val="20"/>
              </w:rPr>
            </w:pPr>
            <w:r>
              <w:rPr>
                <w:rFonts w:ascii="Arial Narrow" w:hAnsi="Arial Narrow"/>
                <w:sz w:val="20"/>
                <w:szCs w:val="20"/>
              </w:rPr>
              <w:t>Immunogenicity</w:t>
            </w:r>
          </w:p>
          <w:p w:rsidR="00344B04" w:rsidRPr="00E2771E" w:rsidRDefault="00344B04" w:rsidP="00344B04">
            <w:pPr>
              <w:pStyle w:val="Tabletext"/>
              <w:rPr>
                <w:lang w:val="en-US"/>
              </w:rPr>
            </w:pPr>
            <w:r>
              <w:rPr>
                <w:szCs w:val="20"/>
              </w:rPr>
              <w:t>Safety</w:t>
            </w:r>
          </w:p>
        </w:tc>
      </w:tr>
      <w:tr w:rsidR="00AE7857" w:rsidRPr="00E2771E" w:rsidTr="00337E78">
        <w:tc>
          <w:tcPr>
            <w:tcW w:w="0" w:type="auto"/>
            <w:shd w:val="clear" w:color="auto" w:fill="auto"/>
          </w:tcPr>
          <w:p w:rsidR="00AE7857" w:rsidRPr="00E2771E" w:rsidRDefault="00AE7857" w:rsidP="00344B04">
            <w:pPr>
              <w:pStyle w:val="Tabletext"/>
              <w:rPr>
                <w:lang w:val="en-US"/>
              </w:rPr>
            </w:pPr>
            <w:r w:rsidRPr="00E2771E">
              <w:rPr>
                <w:lang w:val="en-US"/>
              </w:rPr>
              <w:t>Meta-analysis</w:t>
            </w:r>
          </w:p>
        </w:tc>
        <w:tc>
          <w:tcPr>
            <w:tcW w:w="0" w:type="auto"/>
            <w:gridSpan w:val="5"/>
            <w:shd w:val="clear" w:color="auto" w:fill="auto"/>
          </w:tcPr>
          <w:p w:rsidR="00AE7857" w:rsidRPr="00E2771E" w:rsidRDefault="00AE7857" w:rsidP="00344B04">
            <w:pPr>
              <w:pStyle w:val="Tabletext"/>
              <w:rPr>
                <w:lang w:val="en-US"/>
              </w:rPr>
            </w:pPr>
            <w:r w:rsidRPr="00E2771E">
              <w:rPr>
                <w:lang w:val="en-US"/>
              </w:rPr>
              <w:t xml:space="preserve">Included </w:t>
            </w:r>
            <w:r>
              <w:rPr>
                <w:snapToGrid w:val="0"/>
                <w:szCs w:val="20"/>
              </w:rPr>
              <w:t>MenACWY-TT-013, MenACWY-TT-027, MenACWY-TT-039 and MenACWY-TT-040</w:t>
            </w:r>
          </w:p>
        </w:tc>
      </w:tr>
      <w:tr w:rsidR="00233B68" w:rsidRPr="00E2771E" w:rsidTr="00344B04">
        <w:tc>
          <w:tcPr>
            <w:tcW w:w="0" w:type="auto"/>
            <w:gridSpan w:val="6"/>
            <w:shd w:val="clear" w:color="auto" w:fill="auto"/>
            <w:vAlign w:val="center"/>
          </w:tcPr>
          <w:p w:rsidR="00233B68" w:rsidRPr="00B41614" w:rsidRDefault="00233B68" w:rsidP="00344B04">
            <w:pPr>
              <w:pStyle w:val="Tabletext"/>
              <w:rPr>
                <w:b/>
                <w:lang w:val="en-US"/>
              </w:rPr>
            </w:pPr>
            <w:r>
              <w:rPr>
                <w:b/>
                <w:lang w:val="en-US"/>
              </w:rPr>
              <w:t>Hib-</w:t>
            </w:r>
            <w:proofErr w:type="spellStart"/>
            <w:r>
              <w:rPr>
                <w:b/>
                <w:lang w:val="en-US"/>
              </w:rPr>
              <w:t>MenC</w:t>
            </w:r>
            <w:proofErr w:type="spellEnd"/>
            <w:r>
              <w:rPr>
                <w:b/>
                <w:lang w:val="en-US"/>
              </w:rPr>
              <w:t xml:space="preserve">-TT vaccine vs. </w:t>
            </w:r>
            <w:proofErr w:type="spellStart"/>
            <w:r>
              <w:rPr>
                <w:b/>
                <w:lang w:val="en-US"/>
              </w:rPr>
              <w:t>Men</w:t>
            </w:r>
            <w:r w:rsidR="00344B04">
              <w:rPr>
                <w:b/>
                <w:lang w:val="en-US"/>
              </w:rPr>
              <w:t>C</w:t>
            </w:r>
            <w:proofErr w:type="spellEnd"/>
          </w:p>
        </w:tc>
      </w:tr>
      <w:tr w:rsidR="00344B04" w:rsidRPr="00E2771E" w:rsidTr="00344B04">
        <w:tc>
          <w:tcPr>
            <w:tcW w:w="0" w:type="auto"/>
            <w:shd w:val="clear" w:color="auto" w:fill="auto"/>
          </w:tcPr>
          <w:p w:rsidR="00344B04" w:rsidRPr="00E2771E" w:rsidRDefault="00344B04" w:rsidP="00344B04">
            <w:pPr>
              <w:pStyle w:val="Tabletext"/>
              <w:rPr>
                <w:lang w:val="en-US"/>
              </w:rPr>
            </w:pPr>
            <w:r>
              <w:rPr>
                <w:snapToGrid w:val="0"/>
                <w:szCs w:val="20"/>
              </w:rPr>
              <w:t>Hib-MenC-016</w:t>
            </w:r>
          </w:p>
        </w:tc>
        <w:tc>
          <w:tcPr>
            <w:tcW w:w="0" w:type="auto"/>
            <w:shd w:val="clear" w:color="auto" w:fill="auto"/>
          </w:tcPr>
          <w:p w:rsidR="00344B04" w:rsidRDefault="00344B04" w:rsidP="00344B04">
            <w:pPr>
              <w:jc w:val="left"/>
              <w:rPr>
                <w:rFonts w:ascii="Arial Narrow" w:hAnsi="Arial Narrow"/>
                <w:snapToGrid/>
                <w:sz w:val="20"/>
                <w:szCs w:val="20"/>
              </w:rPr>
            </w:pPr>
            <w:r>
              <w:rPr>
                <w:rFonts w:ascii="Arial Narrow" w:hAnsi="Arial Narrow"/>
                <w:sz w:val="20"/>
                <w:szCs w:val="20"/>
              </w:rPr>
              <w:t>Hib-</w:t>
            </w:r>
            <w:proofErr w:type="spellStart"/>
            <w:r>
              <w:rPr>
                <w:rFonts w:ascii="Arial Narrow" w:hAnsi="Arial Narrow"/>
                <w:sz w:val="20"/>
                <w:szCs w:val="20"/>
              </w:rPr>
              <w:t>MenC</w:t>
            </w:r>
            <w:proofErr w:type="spellEnd"/>
            <w:r w:rsidR="00623868">
              <w:rPr>
                <w:rFonts w:ascii="Arial Narrow" w:hAnsi="Arial Narrow"/>
                <w:sz w:val="20"/>
                <w:szCs w:val="20"/>
              </w:rPr>
              <w:t xml:space="preserve"> + MMR</w:t>
            </w:r>
            <w:r>
              <w:rPr>
                <w:rFonts w:ascii="Arial Narrow" w:hAnsi="Arial Narrow"/>
                <w:sz w:val="20"/>
                <w:szCs w:val="20"/>
              </w:rPr>
              <w:t>: 324</w:t>
            </w:r>
          </w:p>
          <w:p w:rsidR="00344B04" w:rsidRPr="00E2771E" w:rsidRDefault="00344B04" w:rsidP="00623868">
            <w:pPr>
              <w:pStyle w:val="Tabletext"/>
              <w:rPr>
                <w:lang w:val="en-US"/>
              </w:rPr>
            </w:pPr>
            <w:proofErr w:type="spellStart"/>
            <w:r>
              <w:rPr>
                <w:snapToGrid w:val="0"/>
                <w:szCs w:val="20"/>
              </w:rPr>
              <w:t>MenC</w:t>
            </w:r>
            <w:proofErr w:type="spellEnd"/>
            <w:r w:rsidR="00623868">
              <w:rPr>
                <w:snapToGrid w:val="0"/>
                <w:szCs w:val="20"/>
              </w:rPr>
              <w:t xml:space="preserve"> + Hib + MMR:</w:t>
            </w:r>
            <w:r>
              <w:rPr>
                <w:snapToGrid w:val="0"/>
                <w:szCs w:val="20"/>
              </w:rPr>
              <w:t xml:space="preserve"> 109</w:t>
            </w:r>
          </w:p>
        </w:tc>
        <w:tc>
          <w:tcPr>
            <w:tcW w:w="0" w:type="auto"/>
            <w:shd w:val="clear" w:color="auto" w:fill="auto"/>
          </w:tcPr>
          <w:p w:rsidR="00344B04" w:rsidRPr="00E2771E" w:rsidRDefault="00344B04" w:rsidP="00344B04">
            <w:pPr>
              <w:pStyle w:val="Tabletext"/>
              <w:rPr>
                <w:lang w:val="en-US"/>
              </w:rPr>
            </w:pPr>
            <w:r w:rsidRPr="00E2771E">
              <w:rPr>
                <w:lang w:val="en-US"/>
              </w:rPr>
              <w:t>R, OL</w:t>
            </w:r>
          </w:p>
          <w:p w:rsidR="00344B04" w:rsidRPr="00E2771E" w:rsidRDefault="00344B04" w:rsidP="00344B04">
            <w:pPr>
              <w:pStyle w:val="Tabletext"/>
              <w:rPr>
                <w:lang w:val="en-US"/>
              </w:rPr>
            </w:pPr>
            <w:r>
              <w:rPr>
                <w:lang w:val="en-US"/>
              </w:rPr>
              <w:t>4 years**</w:t>
            </w:r>
          </w:p>
        </w:tc>
        <w:tc>
          <w:tcPr>
            <w:tcW w:w="0" w:type="auto"/>
            <w:shd w:val="clear" w:color="auto" w:fill="auto"/>
          </w:tcPr>
          <w:p w:rsidR="00344B04" w:rsidRPr="00E2771E" w:rsidRDefault="00446C96" w:rsidP="00344B04">
            <w:pPr>
              <w:pStyle w:val="Tabletext"/>
              <w:rPr>
                <w:lang w:val="en-US"/>
              </w:rPr>
            </w:pPr>
            <w:r>
              <w:rPr>
                <w:lang w:val="en-US"/>
              </w:rPr>
              <w:t>Unclear</w:t>
            </w:r>
          </w:p>
        </w:tc>
        <w:tc>
          <w:tcPr>
            <w:tcW w:w="0" w:type="auto"/>
            <w:shd w:val="clear" w:color="auto" w:fill="auto"/>
          </w:tcPr>
          <w:p w:rsidR="00344B04" w:rsidRPr="00E2771E" w:rsidRDefault="00344B04" w:rsidP="00344B04">
            <w:pPr>
              <w:pStyle w:val="Tabletext"/>
              <w:rPr>
                <w:lang w:val="en-US"/>
              </w:rPr>
            </w:pPr>
            <w:r>
              <w:rPr>
                <w:lang w:val="en-US"/>
              </w:rPr>
              <w:t xml:space="preserve">Health subjects aged </w:t>
            </w:r>
            <w:r>
              <w:rPr>
                <w:snapToGrid w:val="0"/>
                <w:szCs w:val="20"/>
              </w:rPr>
              <w:t>12-18 months</w:t>
            </w:r>
          </w:p>
        </w:tc>
        <w:tc>
          <w:tcPr>
            <w:tcW w:w="0" w:type="auto"/>
            <w:shd w:val="clear" w:color="auto" w:fill="auto"/>
          </w:tcPr>
          <w:p w:rsidR="00344B04" w:rsidRDefault="00344B04" w:rsidP="00344B04">
            <w:pPr>
              <w:jc w:val="left"/>
              <w:rPr>
                <w:rFonts w:ascii="Arial Narrow" w:hAnsi="Arial Narrow"/>
                <w:snapToGrid/>
                <w:sz w:val="20"/>
                <w:szCs w:val="20"/>
              </w:rPr>
            </w:pPr>
            <w:r>
              <w:rPr>
                <w:rFonts w:ascii="Arial Narrow" w:hAnsi="Arial Narrow"/>
                <w:sz w:val="20"/>
                <w:szCs w:val="20"/>
              </w:rPr>
              <w:t>Immunogenicity</w:t>
            </w:r>
          </w:p>
          <w:p w:rsidR="00344B04" w:rsidRDefault="00344B04" w:rsidP="00344B04">
            <w:pPr>
              <w:jc w:val="left"/>
              <w:rPr>
                <w:rFonts w:ascii="Arial Narrow" w:hAnsi="Arial Narrow"/>
                <w:sz w:val="20"/>
                <w:szCs w:val="20"/>
              </w:rPr>
            </w:pPr>
            <w:r>
              <w:rPr>
                <w:rFonts w:ascii="Arial Narrow" w:hAnsi="Arial Narrow"/>
                <w:sz w:val="20"/>
                <w:szCs w:val="20"/>
              </w:rPr>
              <w:t>Safety</w:t>
            </w:r>
          </w:p>
          <w:p w:rsidR="00344B04" w:rsidRPr="00E2771E" w:rsidRDefault="00344B04" w:rsidP="00344B04">
            <w:pPr>
              <w:pStyle w:val="Tabletext"/>
              <w:rPr>
                <w:lang w:val="en-US"/>
              </w:rPr>
            </w:pPr>
            <w:r>
              <w:rPr>
                <w:snapToGrid w:val="0"/>
                <w:szCs w:val="20"/>
              </w:rPr>
              <w:t>Persistence</w:t>
            </w:r>
          </w:p>
        </w:tc>
      </w:tr>
    </w:tbl>
    <w:p w:rsidR="007F1017" w:rsidRDefault="00F82B4E" w:rsidP="00045017">
      <w:pPr>
        <w:pStyle w:val="TableFooter"/>
      </w:pPr>
      <w:proofErr w:type="spellStart"/>
      <w:r w:rsidRPr="00F82B4E">
        <w:t>DTPa</w:t>
      </w:r>
      <w:proofErr w:type="spellEnd"/>
      <w:r w:rsidRPr="00F82B4E">
        <w:t>-HBV-IPV/Hib</w:t>
      </w:r>
      <w:r>
        <w:t xml:space="preserve">: </w:t>
      </w:r>
      <w:r w:rsidRPr="00F82B4E">
        <w:t xml:space="preserve">diphtheria, tetanus, acellular pertussis, hepatitis B, inactivated poliomyelitis and haemophilus </w:t>
      </w:r>
      <w:proofErr w:type="spellStart"/>
      <w:r w:rsidRPr="00F82B4E">
        <w:t>influenzae</w:t>
      </w:r>
      <w:proofErr w:type="spellEnd"/>
      <w:r w:rsidRPr="00F82B4E">
        <w:t xml:space="preserve"> type b</w:t>
      </w:r>
      <w:r>
        <w:t xml:space="preserve">; </w:t>
      </w:r>
      <w:proofErr w:type="spellStart"/>
      <w:r w:rsidRPr="00AE7857">
        <w:t>MenACWY</w:t>
      </w:r>
      <w:proofErr w:type="spellEnd"/>
      <w:r w:rsidRPr="00AE7857">
        <w:t xml:space="preserve">-TT: </w:t>
      </w:r>
      <w:r w:rsidR="00AE7857" w:rsidRPr="00AE7857">
        <w:t>Meningococcal serogroups ACWY tetanus toxoid vaccine</w:t>
      </w:r>
      <w:r w:rsidRPr="00AE7857">
        <w:t xml:space="preserve">, </w:t>
      </w:r>
      <w:proofErr w:type="spellStart"/>
      <w:r w:rsidRPr="00AE7857">
        <w:t>MenC</w:t>
      </w:r>
      <w:proofErr w:type="spellEnd"/>
      <w:r w:rsidRPr="00AE7857">
        <w:t>: Meningococcal C,</w:t>
      </w:r>
      <w:r w:rsidR="002F02B8" w:rsidRPr="00AE7857">
        <w:t xml:space="preserve"> MMRV: measles, mumps, rubella and</w:t>
      </w:r>
      <w:r w:rsidR="002F02B8" w:rsidRPr="002F02B8">
        <w:t xml:space="preserve"> varicella</w:t>
      </w:r>
      <w:r w:rsidR="002F02B8">
        <w:t>;</w:t>
      </w:r>
      <w:r w:rsidRPr="00F82B4E">
        <w:t xml:space="preserve"> </w:t>
      </w:r>
      <w:r w:rsidR="007F1017" w:rsidRPr="00F82B4E">
        <w:t>OL</w:t>
      </w:r>
      <w:r w:rsidR="00344B04" w:rsidRPr="00F82B4E">
        <w:t>:</w:t>
      </w:r>
      <w:r w:rsidR="00344B04">
        <w:t xml:space="preserve"> </w:t>
      </w:r>
      <w:r w:rsidR="007F1017" w:rsidRPr="0072416F">
        <w:t>open label; R</w:t>
      </w:r>
      <w:r w:rsidR="00344B04">
        <w:t xml:space="preserve">: </w:t>
      </w:r>
      <w:r w:rsidR="007F1017" w:rsidRPr="0072416F">
        <w:t>randomised.</w:t>
      </w:r>
    </w:p>
    <w:p w:rsidR="00206C20" w:rsidRPr="0072416F" w:rsidRDefault="00206C20" w:rsidP="00045017">
      <w:pPr>
        <w:pStyle w:val="TableFooter"/>
      </w:pPr>
      <w:r>
        <w:t xml:space="preserve">* </w:t>
      </w:r>
      <w:r w:rsidRPr="00206C20">
        <w:t xml:space="preserve">MenACWY-TT-013 contained 4 different formulations of the </w:t>
      </w:r>
      <w:proofErr w:type="spellStart"/>
      <w:r w:rsidRPr="00206C20">
        <w:t>MenACWY</w:t>
      </w:r>
      <w:proofErr w:type="spellEnd"/>
      <w:r w:rsidRPr="00206C20">
        <w:t xml:space="preserve">-TT vaccine as the intervention. The </w:t>
      </w:r>
      <w:proofErr w:type="spellStart"/>
      <w:r w:rsidRPr="00206C20">
        <w:t>MenACWY</w:t>
      </w:r>
      <w:proofErr w:type="spellEnd"/>
      <w:r w:rsidRPr="00206C20">
        <w:t>-TT vaccine used in the submission is Form 3.</w:t>
      </w:r>
    </w:p>
    <w:p w:rsidR="00344B04" w:rsidRDefault="00344B04" w:rsidP="00045017">
      <w:pPr>
        <w:pStyle w:val="TableFooter"/>
      </w:pPr>
      <w:r>
        <w:t>** Including extension studies</w:t>
      </w:r>
    </w:p>
    <w:p w:rsidR="00F82B4E" w:rsidRDefault="00F82B4E" w:rsidP="00F82B4E">
      <w:pPr>
        <w:pStyle w:val="TableFooter"/>
      </w:pPr>
      <w:r>
        <w:t>^</w:t>
      </w:r>
      <w:r w:rsidRPr="00F82B4E">
        <w:t xml:space="preserve"> </w:t>
      </w:r>
      <w:r>
        <w:t>S</w:t>
      </w:r>
      <w:r w:rsidRPr="00206C20">
        <w:t xml:space="preserve">ubjects </w:t>
      </w:r>
      <w:r w:rsidR="00581934">
        <w:t xml:space="preserve">also </w:t>
      </w:r>
      <w:r w:rsidRPr="00206C20">
        <w:t xml:space="preserve">received </w:t>
      </w:r>
      <w:r>
        <w:t>a</w:t>
      </w:r>
      <w:r w:rsidRPr="00206C20">
        <w:t xml:space="preserve"> </w:t>
      </w:r>
      <w:proofErr w:type="spellStart"/>
      <w:r w:rsidRPr="00206C20">
        <w:t>DTPa</w:t>
      </w:r>
      <w:proofErr w:type="spellEnd"/>
      <w:r w:rsidRPr="00206C20">
        <w:t>-HBV-IPV/Hib vaccine</w:t>
      </w:r>
      <w:r>
        <w:t xml:space="preserve"> (</w:t>
      </w:r>
      <w:proofErr w:type="spellStart"/>
      <w:r>
        <w:t>Infanrix</w:t>
      </w:r>
      <w:proofErr w:type="spellEnd"/>
      <w:r>
        <w:t xml:space="preserve"> </w:t>
      </w:r>
      <w:proofErr w:type="spellStart"/>
      <w:r>
        <w:t>hexa</w:t>
      </w:r>
      <w:proofErr w:type="spellEnd"/>
      <w:r>
        <w:t>) at visit 2</w:t>
      </w:r>
      <w:r w:rsidRPr="00206C20">
        <w:t>.</w:t>
      </w:r>
    </w:p>
    <w:p w:rsidR="00F82B4E" w:rsidRDefault="00F82B4E" w:rsidP="00F82B4E">
      <w:pPr>
        <w:pStyle w:val="TableFooter"/>
      </w:pPr>
      <w:r>
        <w:t xml:space="preserve">^^ Subjects received a </w:t>
      </w:r>
      <w:r w:rsidR="002F02B8">
        <w:t>MMRV</w:t>
      </w:r>
      <w:r>
        <w:t xml:space="preserve"> vaccine (</w:t>
      </w:r>
      <w:proofErr w:type="spellStart"/>
      <w:r w:rsidRPr="00F82B4E">
        <w:t>Priorix</w:t>
      </w:r>
      <w:proofErr w:type="spellEnd"/>
      <w:r w:rsidRPr="00F82B4E">
        <w:t>-Tetra</w:t>
      </w:r>
      <w:r w:rsidR="00386056">
        <w:t>) 42 and 84 days later.</w:t>
      </w:r>
    </w:p>
    <w:p w:rsidR="00206C20" w:rsidRDefault="00F82B4E" w:rsidP="00045017">
      <w:pPr>
        <w:pStyle w:val="TableFooter"/>
      </w:pPr>
      <w:r>
        <w:t>#</w:t>
      </w:r>
      <w:r w:rsidR="00206C20">
        <w:t xml:space="preserve"> </w:t>
      </w:r>
      <w:r>
        <w:t>S</w:t>
      </w:r>
      <w:r w:rsidR="00206C20" w:rsidRPr="00206C20">
        <w:t xml:space="preserve">ubjects in the </w:t>
      </w:r>
      <w:proofErr w:type="spellStart"/>
      <w:r w:rsidR="00206C20" w:rsidRPr="00206C20">
        <w:t>MenACWY</w:t>
      </w:r>
      <w:proofErr w:type="spellEnd"/>
      <w:r w:rsidR="00206C20" w:rsidRPr="00206C20">
        <w:t xml:space="preserve">-TT arm received </w:t>
      </w:r>
      <w:r>
        <w:t>a</w:t>
      </w:r>
      <w:r w:rsidR="00206C20" w:rsidRPr="00206C20">
        <w:t xml:space="preserve"> </w:t>
      </w:r>
      <w:proofErr w:type="spellStart"/>
      <w:r w:rsidR="00206C20" w:rsidRPr="00206C20">
        <w:t>DTPa</w:t>
      </w:r>
      <w:proofErr w:type="spellEnd"/>
      <w:r w:rsidR="00206C20" w:rsidRPr="00206C20">
        <w:t>-HBV-IPV/Hib vaccine</w:t>
      </w:r>
      <w:r>
        <w:t xml:space="preserve"> (</w:t>
      </w:r>
      <w:proofErr w:type="spellStart"/>
      <w:r>
        <w:t>Infanrix</w:t>
      </w:r>
      <w:proofErr w:type="spellEnd"/>
      <w:r>
        <w:t xml:space="preserve"> </w:t>
      </w:r>
      <w:proofErr w:type="spellStart"/>
      <w:r>
        <w:t>hexa</w:t>
      </w:r>
      <w:proofErr w:type="spellEnd"/>
      <w:r>
        <w:t>) at visit 2</w:t>
      </w:r>
      <w:r w:rsidR="00206C20" w:rsidRPr="00206C20">
        <w:t>. Subjects in the Hib-</w:t>
      </w:r>
      <w:proofErr w:type="spellStart"/>
      <w:r w:rsidR="00206C20" w:rsidRPr="00206C20">
        <w:t>MenC</w:t>
      </w:r>
      <w:proofErr w:type="spellEnd"/>
      <w:r w:rsidR="00206C20" w:rsidRPr="00206C20">
        <w:t xml:space="preserve"> arm were given the option of not receiving</w:t>
      </w:r>
      <w:r>
        <w:t xml:space="preserve"> the vaccine.</w:t>
      </w:r>
    </w:p>
    <w:p w:rsidR="00045017" w:rsidRPr="00B1011F" w:rsidRDefault="00045017" w:rsidP="00045017">
      <w:pPr>
        <w:pStyle w:val="TableFooter"/>
        <w:rPr>
          <w:sz w:val="20"/>
        </w:rPr>
      </w:pPr>
      <w:r w:rsidRPr="002F02B8">
        <w:t xml:space="preserve">Source: </w:t>
      </w:r>
      <w:r w:rsidR="001D44A7">
        <w:t xml:space="preserve">Compiled during the evaluation from </w:t>
      </w:r>
      <w:r w:rsidR="002F02B8" w:rsidRPr="002F02B8">
        <w:t xml:space="preserve">Table 2.3-1 p44, Table 2.3-3 p51, Table 2.3-4 p52, Table 2.4-2 p59 </w:t>
      </w:r>
      <w:r w:rsidRPr="002F02B8">
        <w:t>of the submission.</w:t>
      </w:r>
    </w:p>
    <w:p w:rsidR="007F1017" w:rsidRDefault="007F1017" w:rsidP="007F1017"/>
    <w:p w:rsidR="00206C20" w:rsidRPr="00646CBD" w:rsidRDefault="00206C20" w:rsidP="00206C20">
      <w:pPr>
        <w:pStyle w:val="ListParagraph"/>
        <w:widowControl/>
        <w:numPr>
          <w:ilvl w:val="1"/>
          <w:numId w:val="1"/>
        </w:numPr>
      </w:pPr>
      <w:r w:rsidRPr="00646CBD">
        <w:t>I</w:t>
      </w:r>
      <w:r w:rsidR="00344B04" w:rsidRPr="00646CBD">
        <w:t xml:space="preserve">n </w:t>
      </w:r>
      <w:r w:rsidRPr="00646CBD">
        <w:t xml:space="preserve">the </w:t>
      </w:r>
      <w:r w:rsidR="00344B04" w:rsidRPr="00646CBD">
        <w:t>MenACWY-TT-027, MenACWY-TT-039 and Hib-MenC-016</w:t>
      </w:r>
      <w:r w:rsidRPr="00646CBD">
        <w:t xml:space="preserve"> trials</w:t>
      </w:r>
      <w:r w:rsidR="00344B04" w:rsidRPr="00646CBD">
        <w:t xml:space="preserve"> blinding </w:t>
      </w:r>
      <w:r w:rsidRPr="00646CBD">
        <w:t xml:space="preserve">of laboratory personnel was not specified, which </w:t>
      </w:r>
      <w:r w:rsidR="00446C96" w:rsidRPr="00646CBD">
        <w:t>introduces uncertainty into</w:t>
      </w:r>
      <w:r w:rsidRPr="00646CBD">
        <w:t xml:space="preserve"> </w:t>
      </w:r>
      <w:r w:rsidR="00446C96" w:rsidRPr="00646CBD">
        <w:t xml:space="preserve">the risk of detection bias in </w:t>
      </w:r>
      <w:r w:rsidRPr="00646CBD">
        <w:t>the immunogenicity results.</w:t>
      </w:r>
    </w:p>
    <w:p w:rsidR="00206C20" w:rsidRPr="00646CBD" w:rsidRDefault="00206C20" w:rsidP="00441851">
      <w:pPr>
        <w:pStyle w:val="ListParagraph"/>
        <w:widowControl/>
        <w:numPr>
          <w:ilvl w:val="1"/>
          <w:numId w:val="1"/>
        </w:numPr>
      </w:pPr>
      <w:r w:rsidRPr="00646CBD">
        <w:t>All of the trials were open-label, which increases the risk of bias in the safety results as the subjects were aware of the vaccines received.</w:t>
      </w:r>
      <w:r w:rsidR="00441851" w:rsidRPr="00646CBD">
        <w:t xml:space="preserve"> This could lead to over-</w:t>
      </w:r>
      <w:r w:rsidR="00446C96" w:rsidRPr="00646CBD">
        <w:t xml:space="preserve">reporting </w:t>
      </w:r>
      <w:r w:rsidR="00441851" w:rsidRPr="00646CBD">
        <w:t>or under-</w:t>
      </w:r>
      <w:r w:rsidR="00446C96" w:rsidRPr="00646CBD">
        <w:t xml:space="preserve">reporting </w:t>
      </w:r>
      <w:r w:rsidR="00441851" w:rsidRPr="00646CBD">
        <w:t>of the self-reported adverse events.</w:t>
      </w:r>
    </w:p>
    <w:p w:rsidR="00E01465" w:rsidRDefault="00206C20" w:rsidP="00206C20">
      <w:pPr>
        <w:pStyle w:val="ListParagraph"/>
        <w:widowControl/>
        <w:numPr>
          <w:ilvl w:val="1"/>
          <w:numId w:val="1"/>
        </w:numPr>
      </w:pPr>
      <w:r w:rsidRPr="00646CBD">
        <w:t xml:space="preserve">No vaccines were co-administered at the time of administration of the vaccine of interest in the </w:t>
      </w:r>
      <w:proofErr w:type="spellStart"/>
      <w:r w:rsidRPr="00646CBD">
        <w:t>MenACWY</w:t>
      </w:r>
      <w:proofErr w:type="spellEnd"/>
      <w:r w:rsidRPr="00646CBD">
        <w:t xml:space="preserve">-TT </w:t>
      </w:r>
      <w:proofErr w:type="gramStart"/>
      <w:r w:rsidRPr="00646CBD">
        <w:t>trials,</w:t>
      </w:r>
      <w:proofErr w:type="gramEnd"/>
      <w:r w:rsidRPr="00646CBD">
        <w:t xml:space="preserve"> however subjects in trials MenACWY</w:t>
      </w:r>
      <w:r w:rsidRPr="00646CBD">
        <w:noBreakHyphen/>
        <w:t>TT</w:t>
      </w:r>
      <w:r w:rsidRPr="00646CBD">
        <w:noBreakHyphen/>
        <w:t>013, MenACWY-TT-039 and MenACWY-TT-040 received concomitant vaccinations at the second visit after outcomes were measured. A MMR vaccine was co-administered with each of the Hib-</w:t>
      </w:r>
      <w:proofErr w:type="spellStart"/>
      <w:r w:rsidRPr="00646CBD">
        <w:t>MenC</w:t>
      </w:r>
      <w:proofErr w:type="spellEnd"/>
      <w:r w:rsidRPr="00646CBD">
        <w:t xml:space="preserve"> and </w:t>
      </w:r>
      <w:proofErr w:type="spellStart"/>
      <w:r w:rsidRPr="00646CBD">
        <w:t>MenC</w:t>
      </w:r>
      <w:proofErr w:type="spellEnd"/>
      <w:r w:rsidRPr="00646CBD">
        <w:t xml:space="preserve"> + Hib vaccine arms in trial Hib-MenC-016</w:t>
      </w:r>
      <w:r w:rsidR="00441851" w:rsidRPr="00646CBD">
        <w:t>, which introduces uncertainty into the indirect comparison of the safety outcomes.</w:t>
      </w:r>
    </w:p>
    <w:p w:rsidR="00E01465" w:rsidRDefault="00E01465">
      <w:pPr>
        <w:widowControl/>
        <w:jc w:val="left"/>
      </w:pPr>
      <w:r>
        <w:br w:type="page"/>
      </w:r>
    </w:p>
    <w:p w:rsidR="00B60939" w:rsidRPr="00882085" w:rsidRDefault="00B60939" w:rsidP="008470A2">
      <w:pPr>
        <w:pStyle w:val="Heading2"/>
      </w:pPr>
      <w:bookmarkStart w:id="6" w:name="_Toc500765124"/>
      <w:r w:rsidRPr="00C9624D">
        <w:lastRenderedPageBreak/>
        <w:t>Comparative effectiveness</w:t>
      </w:r>
      <w:bookmarkEnd w:id="6"/>
    </w:p>
    <w:p w:rsidR="002F02B8" w:rsidRPr="00646CBD" w:rsidRDefault="002F02B8" w:rsidP="002F02B8">
      <w:pPr>
        <w:pStyle w:val="ListParagraph"/>
        <w:widowControl/>
        <w:numPr>
          <w:ilvl w:val="1"/>
          <w:numId w:val="1"/>
        </w:numPr>
      </w:pPr>
      <w:r w:rsidRPr="00646CBD">
        <w:t xml:space="preserve">No direct evidence was presented regarding vaccine efficacy against infection or disease caused by </w:t>
      </w:r>
      <w:r w:rsidR="00CA7106" w:rsidRPr="00646CBD">
        <w:t>serogroups</w:t>
      </w:r>
      <w:r w:rsidRPr="00646CBD">
        <w:t xml:space="preserve"> A, C, W or Y. </w:t>
      </w:r>
      <w:r w:rsidR="00FC3536" w:rsidRPr="00646CBD">
        <w:t xml:space="preserve">The submission argued that pre-registration clinical effectiveness studies were not feasible due to the relatively low incidence of meningococcal disease (p61 of the submission). Consequently, the submission presented immunogenicity results as a surrogate outcome. </w:t>
      </w:r>
      <w:r w:rsidR="00E22F72" w:rsidRPr="00646CBD">
        <w:t xml:space="preserve">This increases uncertainty in the results. </w:t>
      </w:r>
      <w:r w:rsidRPr="00646CBD">
        <w:t>This approach has been previously accepted by the PBAC.</w:t>
      </w:r>
      <w:r w:rsidR="00FC3536" w:rsidRPr="00646CBD">
        <w:rPr>
          <w:rStyle w:val="FootnoteReference"/>
        </w:rPr>
        <w:t xml:space="preserve"> </w:t>
      </w:r>
      <w:r w:rsidR="00FC3536" w:rsidRPr="00646CBD">
        <w:rPr>
          <w:rStyle w:val="FootnoteReference"/>
        </w:rPr>
        <w:footnoteReference w:id="5"/>
      </w:r>
    </w:p>
    <w:p w:rsidR="002F02B8" w:rsidRPr="00646CBD" w:rsidRDefault="002F02B8" w:rsidP="002F02B8">
      <w:pPr>
        <w:pStyle w:val="ListParagraph"/>
        <w:widowControl/>
        <w:numPr>
          <w:ilvl w:val="1"/>
          <w:numId w:val="1"/>
        </w:numPr>
      </w:pPr>
      <w:r w:rsidRPr="00646CBD">
        <w:t xml:space="preserve">The PBAC has previously accepted the use of </w:t>
      </w:r>
      <w:r w:rsidR="00F62687" w:rsidRPr="00646CBD">
        <w:t>serum bactericidal antibodies (</w:t>
      </w:r>
      <w:r w:rsidRPr="00646CBD">
        <w:t>SBA</w:t>
      </w:r>
      <w:r w:rsidR="00F62687" w:rsidRPr="00646CBD">
        <w:t>)</w:t>
      </w:r>
      <w:r w:rsidRPr="00646CBD">
        <w:t xml:space="preserve"> titres as a surrogate outcome for clinical efficacy in its consideration of the Hib-</w:t>
      </w:r>
      <w:proofErr w:type="spellStart"/>
      <w:r w:rsidRPr="00646CBD">
        <w:t>MenC</w:t>
      </w:r>
      <w:proofErr w:type="spellEnd"/>
      <w:r w:rsidRPr="00646CBD">
        <w:t xml:space="preserve"> vaccine, which used </w:t>
      </w:r>
      <w:proofErr w:type="spellStart"/>
      <w:r w:rsidRPr="00646CBD">
        <w:t>rSBA</w:t>
      </w:r>
      <w:proofErr w:type="spellEnd"/>
      <w:r w:rsidRPr="00646CBD">
        <w:t xml:space="preserve"> titres &gt; 1:8 to estimate vaccine efficacy.</w:t>
      </w:r>
      <w:r w:rsidR="00E47BFC" w:rsidRPr="00646CBD">
        <w:rPr>
          <w:rStyle w:val="FootnoteReference"/>
        </w:rPr>
        <w:footnoteReference w:id="6"/>
      </w:r>
      <w:r w:rsidRPr="00646CBD">
        <w:t xml:space="preserve"> This level was based on a study from the 1960s assessing the bactericidal activity of an Army recruit population for susceptibility to meningococcal disease, which found that </w:t>
      </w:r>
      <w:proofErr w:type="spellStart"/>
      <w:r w:rsidRPr="00646CBD">
        <w:t>hSBA</w:t>
      </w:r>
      <w:proofErr w:type="spellEnd"/>
      <w:r w:rsidRPr="00646CBD">
        <w:t xml:space="preserve"> &lt;1:4 was correlated with the development of </w:t>
      </w:r>
      <w:proofErr w:type="spellStart"/>
      <w:r w:rsidRPr="00646CBD">
        <w:t>MenC</w:t>
      </w:r>
      <w:proofErr w:type="spellEnd"/>
      <w:r w:rsidRPr="00646CBD">
        <w:t>.</w:t>
      </w:r>
      <w:r w:rsidR="00E47BFC" w:rsidRPr="00646CBD">
        <w:rPr>
          <w:rStyle w:val="FootnoteReference"/>
        </w:rPr>
        <w:footnoteReference w:id="7"/>
      </w:r>
      <w:r w:rsidRPr="00646CBD">
        <w:t xml:space="preserve"> In addition, another study found that </w:t>
      </w:r>
      <w:proofErr w:type="spellStart"/>
      <w:r w:rsidRPr="00646CBD">
        <w:t>hSBA</w:t>
      </w:r>
      <w:proofErr w:type="spellEnd"/>
      <w:r w:rsidRPr="00646CBD">
        <w:t xml:space="preserve"> ≥1:4 were correlated with clinical protection against </w:t>
      </w:r>
      <w:proofErr w:type="spellStart"/>
      <w:r w:rsidRPr="00646CBD">
        <w:t>MenA</w:t>
      </w:r>
      <w:proofErr w:type="spellEnd"/>
      <w:r w:rsidRPr="00646CBD">
        <w:t xml:space="preserve">, </w:t>
      </w:r>
      <w:proofErr w:type="spellStart"/>
      <w:r w:rsidRPr="00646CBD">
        <w:t>MenB</w:t>
      </w:r>
      <w:proofErr w:type="spellEnd"/>
      <w:r w:rsidRPr="00646CBD">
        <w:t xml:space="preserve"> and </w:t>
      </w:r>
      <w:proofErr w:type="spellStart"/>
      <w:r w:rsidRPr="00646CBD">
        <w:t>MenC</w:t>
      </w:r>
      <w:proofErr w:type="spellEnd"/>
      <w:r w:rsidRPr="00646CBD">
        <w:t>.</w:t>
      </w:r>
      <w:r w:rsidR="00E47BFC" w:rsidRPr="00646CBD">
        <w:rPr>
          <w:rStyle w:val="FootnoteReference"/>
        </w:rPr>
        <w:footnoteReference w:id="8"/>
      </w:r>
      <w:r w:rsidRPr="00646CBD">
        <w:t xml:space="preserve"> </w:t>
      </w:r>
    </w:p>
    <w:p w:rsidR="003D7466" w:rsidRPr="00646CBD" w:rsidRDefault="003D7466" w:rsidP="00C96F31">
      <w:pPr>
        <w:pStyle w:val="ListParagraph"/>
        <w:widowControl/>
        <w:numPr>
          <w:ilvl w:val="1"/>
          <w:numId w:val="1"/>
        </w:numPr>
      </w:pPr>
      <w:r w:rsidRPr="00646CBD">
        <w:t>There is no established surrogate serological correlate of protection for non-</w:t>
      </w:r>
      <w:proofErr w:type="spellStart"/>
      <w:r w:rsidRPr="00646CBD">
        <w:t>MenC</w:t>
      </w:r>
      <w:proofErr w:type="spellEnd"/>
      <w:r w:rsidRPr="00646CBD">
        <w:t xml:space="preserve"> serogroups. The PBAC previously questioned the applicability of the </w:t>
      </w:r>
      <w:proofErr w:type="spellStart"/>
      <w:r w:rsidRPr="00646CBD">
        <w:t>hSBA</w:t>
      </w:r>
      <w:proofErr w:type="spellEnd"/>
      <w:r w:rsidRPr="00646CBD">
        <w:t xml:space="preserve"> ≥1:4 to bacterial proteins, as used in the 4CMenB vaccine, rather than polysaccharide capsule.</w:t>
      </w:r>
      <w:r w:rsidRPr="00646CBD">
        <w:rPr>
          <w:rStyle w:val="FootnoteReference"/>
        </w:rPr>
        <w:footnoteReference w:id="9"/>
      </w:r>
    </w:p>
    <w:p w:rsidR="00C96F31" w:rsidRPr="00646CBD" w:rsidRDefault="00C96F31" w:rsidP="00C96F31">
      <w:pPr>
        <w:pStyle w:val="ListParagraph"/>
        <w:widowControl/>
        <w:numPr>
          <w:ilvl w:val="1"/>
          <w:numId w:val="1"/>
        </w:numPr>
      </w:pPr>
      <w:r w:rsidRPr="00646CBD">
        <w:t xml:space="preserve">ATAGI considered that </w:t>
      </w:r>
      <w:proofErr w:type="spellStart"/>
      <w:r w:rsidRPr="00646CBD">
        <w:t>rSBA</w:t>
      </w:r>
      <w:proofErr w:type="spellEnd"/>
      <w:r w:rsidRPr="00646CBD">
        <w:t xml:space="preserve"> titre ≥ 1:8 is an appropriate serological correlation of protection against serogroups A, C, W and Y in the short term (p10 of ATAGI pre-submission advice).</w:t>
      </w:r>
    </w:p>
    <w:p w:rsidR="00C96F31" w:rsidRPr="00646CBD" w:rsidRDefault="00C96F31" w:rsidP="00C96F31">
      <w:pPr>
        <w:pStyle w:val="ListParagraph"/>
        <w:widowControl/>
        <w:numPr>
          <w:ilvl w:val="1"/>
          <w:numId w:val="1"/>
        </w:numPr>
      </w:pPr>
      <w:r w:rsidRPr="00C96F31">
        <w:t xml:space="preserve">The submission nominated a non-inferiority margin of -10% in respect to </w:t>
      </w:r>
      <w:proofErr w:type="spellStart"/>
      <w:r w:rsidRPr="00C96F31">
        <w:t>rSBA-MenC</w:t>
      </w:r>
      <w:proofErr w:type="spellEnd"/>
      <w:r w:rsidRPr="00C96F31">
        <w:t xml:space="preserve"> ≥ 1:8 titres (p72 of the submission).</w:t>
      </w:r>
      <w:r w:rsidRPr="00C96F31">
        <w:rPr>
          <w:i/>
        </w:rPr>
        <w:t xml:space="preserve"> </w:t>
      </w:r>
      <w:r w:rsidRPr="00646CBD">
        <w:t>This is reasonable</w:t>
      </w:r>
      <w:r w:rsidRPr="0022143D">
        <w:rPr>
          <w:i/>
        </w:rPr>
        <w:t xml:space="preserve">. </w:t>
      </w:r>
      <w:r w:rsidRPr="00646CBD">
        <w:t xml:space="preserve">The PBAC submission for </w:t>
      </w:r>
      <w:proofErr w:type="spellStart"/>
      <w:r w:rsidRPr="00646CBD">
        <w:t>Menitorix</w:t>
      </w:r>
      <w:proofErr w:type="spellEnd"/>
      <w:r w:rsidRPr="00646CBD">
        <w:t xml:space="preserve"> (November 2010) used a non-inferiority margin of -10%.</w:t>
      </w:r>
      <w:r w:rsidRPr="00646CBD">
        <w:rPr>
          <w:vertAlign w:val="superscript"/>
        </w:rPr>
        <w:footnoteReference w:id="10"/>
      </w:r>
    </w:p>
    <w:p w:rsidR="00B34FE2" w:rsidRPr="00C96F31" w:rsidRDefault="002F02B8" w:rsidP="002F02B8">
      <w:pPr>
        <w:pStyle w:val="ListParagraph"/>
        <w:widowControl/>
        <w:numPr>
          <w:ilvl w:val="1"/>
          <w:numId w:val="1"/>
        </w:numPr>
      </w:pPr>
      <w:r w:rsidRPr="00C96F31">
        <w:rPr>
          <w:rFonts w:cs="Calibri"/>
          <w:snapToGrid/>
          <w:szCs w:val="24"/>
          <w:lang w:val="en-US" w:eastAsia="en-AU"/>
        </w:rPr>
        <w:t xml:space="preserve">Table </w:t>
      </w:r>
      <w:r w:rsidR="00057ED6">
        <w:rPr>
          <w:rFonts w:cs="Calibri"/>
          <w:snapToGrid/>
          <w:szCs w:val="24"/>
          <w:lang w:val="en-US" w:eastAsia="en-AU"/>
        </w:rPr>
        <w:t>3</w:t>
      </w:r>
      <w:r w:rsidR="00C96F31">
        <w:rPr>
          <w:rFonts w:cs="Calibri"/>
          <w:snapToGrid/>
          <w:szCs w:val="24"/>
          <w:lang w:val="en-US" w:eastAsia="en-AU"/>
        </w:rPr>
        <w:t xml:space="preserve"> </w:t>
      </w:r>
      <w:r w:rsidRPr="00C96F31">
        <w:rPr>
          <w:rFonts w:cs="Calibri"/>
          <w:snapToGrid/>
          <w:szCs w:val="24"/>
          <w:lang w:val="en-US" w:eastAsia="en-AU"/>
        </w:rPr>
        <w:t>presents a summary of the</w:t>
      </w:r>
      <w:r w:rsidR="00C96F31">
        <w:rPr>
          <w:rFonts w:cs="Calibri"/>
          <w:snapToGrid/>
          <w:szCs w:val="24"/>
          <w:lang w:val="en-US" w:eastAsia="en-AU"/>
        </w:rPr>
        <w:t xml:space="preserve"> key</w:t>
      </w:r>
      <w:r w:rsidRPr="00C96F31">
        <w:rPr>
          <w:rFonts w:cs="Calibri"/>
          <w:snapToGrid/>
          <w:szCs w:val="24"/>
          <w:lang w:val="en-US" w:eastAsia="en-AU"/>
        </w:rPr>
        <w:t xml:space="preserve"> immunogenicity results across the trials.</w:t>
      </w:r>
    </w:p>
    <w:p w:rsidR="00C96F31" w:rsidRPr="005E12FD" w:rsidRDefault="00C96F31" w:rsidP="00840ED5">
      <w:pPr>
        <w:keepNext/>
        <w:rPr>
          <w:rStyle w:val="CommentReference"/>
        </w:rPr>
      </w:pPr>
      <w:r w:rsidRPr="005E12FD">
        <w:rPr>
          <w:rStyle w:val="CommentReference"/>
        </w:rPr>
        <w:lastRenderedPageBreak/>
        <w:t xml:space="preserve">Table </w:t>
      </w:r>
      <w:r w:rsidR="00057ED6">
        <w:rPr>
          <w:rStyle w:val="CommentReference"/>
        </w:rPr>
        <w:t>3</w:t>
      </w:r>
      <w:r w:rsidRPr="005E12FD">
        <w:rPr>
          <w:rStyle w:val="CommentReference"/>
        </w:rPr>
        <w:t xml:space="preserve">: Proportion of subjects with </w:t>
      </w:r>
      <w:proofErr w:type="spellStart"/>
      <w:r w:rsidRPr="005E12FD">
        <w:rPr>
          <w:rStyle w:val="CommentReference"/>
        </w:rPr>
        <w:t>rS</w:t>
      </w:r>
      <w:r>
        <w:rPr>
          <w:rStyle w:val="CommentReference"/>
        </w:rPr>
        <w:t>BA</w:t>
      </w:r>
      <w:proofErr w:type="spellEnd"/>
      <w:r>
        <w:rPr>
          <w:rStyle w:val="CommentReference"/>
        </w:rPr>
        <w:t>-Men titres ≥ 1:8 (ATP immunogenicity cohort)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499"/>
        <w:gridCol w:w="1479"/>
        <w:gridCol w:w="1710"/>
        <w:gridCol w:w="2028"/>
      </w:tblGrid>
      <w:tr w:rsidR="00C96F31" w:rsidRPr="008C2451" w:rsidTr="00175186">
        <w:trPr>
          <w:cantSplit/>
          <w:trHeight w:val="70"/>
          <w:tblHeader/>
        </w:trPr>
        <w:tc>
          <w:tcPr>
            <w:tcW w:w="1367" w:type="pct"/>
            <w:tcBorders>
              <w:top w:val="single" w:sz="4" w:space="0" w:color="auto"/>
              <w:left w:val="single" w:sz="4" w:space="0" w:color="auto"/>
              <w:right w:val="single" w:sz="4" w:space="0" w:color="auto"/>
            </w:tcBorders>
            <w:shd w:val="clear" w:color="auto" w:fill="auto"/>
            <w:vAlign w:val="center"/>
          </w:tcPr>
          <w:p w:rsidR="00C96F31" w:rsidRPr="008C2451" w:rsidRDefault="00C96F31" w:rsidP="00840ED5">
            <w:pPr>
              <w:pStyle w:val="Tabletext"/>
              <w:keepNext/>
              <w:rPr>
                <w:b/>
              </w:rPr>
            </w:pPr>
            <w:r w:rsidRPr="008C2451">
              <w:rPr>
                <w:b/>
              </w:rPr>
              <w:t>Trial ID</w:t>
            </w:r>
          </w:p>
        </w:tc>
        <w:tc>
          <w:tcPr>
            <w:tcW w:w="811" w:type="pct"/>
            <w:tcBorders>
              <w:top w:val="single" w:sz="4" w:space="0" w:color="auto"/>
              <w:left w:val="single" w:sz="4" w:space="0" w:color="auto"/>
              <w:right w:val="single" w:sz="4" w:space="0" w:color="auto"/>
            </w:tcBorders>
            <w:shd w:val="clear" w:color="auto" w:fill="auto"/>
            <w:vAlign w:val="center"/>
          </w:tcPr>
          <w:p w:rsidR="00C96F31" w:rsidRPr="008C2451" w:rsidRDefault="00C96F31" w:rsidP="00840ED5">
            <w:pPr>
              <w:pStyle w:val="Tabletext"/>
              <w:keepNext/>
              <w:rPr>
                <w:b/>
              </w:rPr>
            </w:pPr>
            <w:proofErr w:type="spellStart"/>
            <w:r>
              <w:rPr>
                <w:b/>
              </w:rPr>
              <w:t>MenACWY</w:t>
            </w:r>
            <w:proofErr w:type="spellEnd"/>
            <w:r>
              <w:rPr>
                <w:b/>
              </w:rPr>
              <w:t>-TT</w:t>
            </w:r>
          </w:p>
          <w:p w:rsidR="00C96F31" w:rsidRPr="008C2451" w:rsidRDefault="00C96F31" w:rsidP="00840ED5">
            <w:pPr>
              <w:pStyle w:val="Tabletext"/>
              <w:keepNext/>
              <w:rPr>
                <w:b/>
              </w:rPr>
            </w:pPr>
            <w:proofErr w:type="gramStart"/>
            <w:r w:rsidRPr="008C2451">
              <w:rPr>
                <w:b/>
              </w:rPr>
              <w:t>n/N</w:t>
            </w:r>
            <w:proofErr w:type="gramEnd"/>
            <w:r w:rsidRPr="008C2451">
              <w:rPr>
                <w:b/>
              </w:rPr>
              <w:t xml:space="preserve"> (%)</w:t>
            </w:r>
          </w:p>
        </w:tc>
        <w:tc>
          <w:tcPr>
            <w:tcW w:w="800" w:type="pct"/>
            <w:tcBorders>
              <w:top w:val="single" w:sz="4" w:space="0" w:color="auto"/>
              <w:left w:val="single" w:sz="4" w:space="0" w:color="auto"/>
              <w:right w:val="single" w:sz="4" w:space="0" w:color="auto"/>
            </w:tcBorders>
            <w:shd w:val="clear" w:color="auto" w:fill="auto"/>
            <w:vAlign w:val="center"/>
          </w:tcPr>
          <w:p w:rsidR="00C96F31" w:rsidRPr="008C2451" w:rsidRDefault="00C96F31" w:rsidP="00840ED5">
            <w:pPr>
              <w:pStyle w:val="Tabletext"/>
              <w:keepNext/>
              <w:rPr>
                <w:b/>
              </w:rPr>
            </w:pPr>
            <w:proofErr w:type="spellStart"/>
            <w:r>
              <w:rPr>
                <w:b/>
              </w:rPr>
              <w:t>MenC</w:t>
            </w:r>
            <w:proofErr w:type="spellEnd"/>
          </w:p>
          <w:p w:rsidR="00C96F31" w:rsidRPr="008C2451" w:rsidRDefault="00C96F31" w:rsidP="00840ED5">
            <w:pPr>
              <w:pStyle w:val="Tabletext"/>
              <w:keepNext/>
              <w:rPr>
                <w:b/>
              </w:rPr>
            </w:pPr>
            <w:proofErr w:type="gramStart"/>
            <w:r w:rsidRPr="008C2451">
              <w:rPr>
                <w:b/>
              </w:rPr>
              <w:t>n/N</w:t>
            </w:r>
            <w:proofErr w:type="gramEnd"/>
            <w:r w:rsidRPr="008C2451">
              <w:rPr>
                <w:b/>
              </w:rPr>
              <w:t xml:space="preserve"> (%)</w:t>
            </w:r>
          </w:p>
        </w:tc>
        <w:tc>
          <w:tcPr>
            <w:tcW w:w="925" w:type="pct"/>
            <w:tcBorders>
              <w:top w:val="single" w:sz="4" w:space="0" w:color="auto"/>
              <w:left w:val="single" w:sz="4" w:space="0" w:color="auto"/>
              <w:right w:val="single" w:sz="4" w:space="0" w:color="auto"/>
            </w:tcBorders>
            <w:shd w:val="clear" w:color="auto" w:fill="auto"/>
            <w:vAlign w:val="center"/>
          </w:tcPr>
          <w:p w:rsidR="00C96F31" w:rsidRPr="008C2451" w:rsidRDefault="00C96F31" w:rsidP="00840ED5">
            <w:pPr>
              <w:pStyle w:val="Tabletext"/>
              <w:keepNext/>
              <w:rPr>
                <w:b/>
              </w:rPr>
            </w:pPr>
            <w:r w:rsidRPr="008C2451">
              <w:rPr>
                <w:b/>
              </w:rPr>
              <w:t xml:space="preserve">Relative risk </w:t>
            </w:r>
          </w:p>
          <w:p w:rsidR="00C96F31" w:rsidRPr="008C2451" w:rsidRDefault="00C96F31" w:rsidP="00840ED5">
            <w:pPr>
              <w:pStyle w:val="Tabletext"/>
              <w:keepNext/>
              <w:rPr>
                <w:b/>
              </w:rPr>
            </w:pPr>
            <w:r w:rsidRPr="008C2451">
              <w:rPr>
                <w:b/>
              </w:rPr>
              <w:t>(95% CI)</w:t>
            </w:r>
          </w:p>
        </w:tc>
        <w:tc>
          <w:tcPr>
            <w:tcW w:w="1097" w:type="pct"/>
            <w:tcBorders>
              <w:top w:val="single" w:sz="4" w:space="0" w:color="auto"/>
              <w:left w:val="single" w:sz="4" w:space="0" w:color="auto"/>
              <w:right w:val="single" w:sz="4" w:space="0" w:color="auto"/>
            </w:tcBorders>
            <w:shd w:val="clear" w:color="auto" w:fill="auto"/>
            <w:vAlign w:val="center"/>
          </w:tcPr>
          <w:p w:rsidR="00C96F31" w:rsidRPr="008C2451" w:rsidRDefault="00C96F31" w:rsidP="00840ED5">
            <w:pPr>
              <w:pStyle w:val="Tabletext"/>
              <w:keepNext/>
              <w:rPr>
                <w:b/>
              </w:rPr>
            </w:pPr>
            <w:r w:rsidRPr="008C2451">
              <w:rPr>
                <w:b/>
              </w:rPr>
              <w:t>Risk difference</w:t>
            </w:r>
          </w:p>
          <w:p w:rsidR="00C96F31" w:rsidRPr="008C2451" w:rsidRDefault="00C96F31" w:rsidP="00840ED5">
            <w:pPr>
              <w:pStyle w:val="Tabletext"/>
              <w:keepNext/>
              <w:rPr>
                <w:b/>
              </w:rPr>
            </w:pPr>
            <w:r w:rsidRPr="008C2451">
              <w:rPr>
                <w:b/>
              </w:rPr>
              <w:t>(95% CI)</w:t>
            </w:r>
          </w:p>
        </w:tc>
      </w:tr>
      <w:tr w:rsidR="00FC3536" w:rsidRPr="0005465B" w:rsidTr="00337E78">
        <w:trPr>
          <w:cantSplit/>
          <w:trHeight w:val="70"/>
        </w:trPr>
        <w:tc>
          <w:tcPr>
            <w:tcW w:w="5000" w:type="pct"/>
            <w:gridSpan w:val="5"/>
            <w:shd w:val="clear" w:color="auto" w:fill="auto"/>
            <w:vAlign w:val="center"/>
          </w:tcPr>
          <w:p w:rsidR="00FC3536" w:rsidRPr="0005465B" w:rsidRDefault="00FC3536" w:rsidP="00840ED5">
            <w:pPr>
              <w:pStyle w:val="Tabletext"/>
              <w:keepNext/>
              <w:rPr>
                <w:b/>
              </w:rPr>
            </w:pPr>
            <w:proofErr w:type="spellStart"/>
            <w:r>
              <w:rPr>
                <w:rStyle w:val="CommentReference"/>
              </w:rPr>
              <w:t>MenACWY</w:t>
            </w:r>
            <w:proofErr w:type="spellEnd"/>
            <w:r>
              <w:rPr>
                <w:rStyle w:val="CommentReference"/>
              </w:rPr>
              <w:t>-TT clinical trials</w:t>
            </w:r>
          </w:p>
        </w:tc>
      </w:tr>
      <w:tr w:rsidR="00C96F31" w:rsidRPr="0005465B" w:rsidTr="00337E78">
        <w:trPr>
          <w:cantSplit/>
          <w:trHeight w:val="70"/>
        </w:trPr>
        <w:tc>
          <w:tcPr>
            <w:tcW w:w="5000" w:type="pct"/>
            <w:gridSpan w:val="5"/>
            <w:shd w:val="clear" w:color="auto" w:fill="auto"/>
            <w:vAlign w:val="center"/>
          </w:tcPr>
          <w:p w:rsidR="00C96F31" w:rsidRPr="0005465B" w:rsidRDefault="00C96F31" w:rsidP="00840ED5">
            <w:pPr>
              <w:pStyle w:val="Tabletext"/>
              <w:keepNext/>
              <w:rPr>
                <w:b/>
              </w:rPr>
            </w:pPr>
            <w:r w:rsidRPr="0005465B">
              <w:rPr>
                <w:b/>
              </w:rPr>
              <w:t>Serogroup A</w:t>
            </w:r>
          </w:p>
        </w:tc>
      </w:tr>
      <w:tr w:rsidR="00C96F31" w:rsidRPr="008C2451" w:rsidTr="00FC3536">
        <w:trPr>
          <w:cantSplit/>
          <w:trHeight w:val="70"/>
        </w:trPr>
        <w:tc>
          <w:tcPr>
            <w:tcW w:w="1367" w:type="pct"/>
            <w:tcBorders>
              <w:bottom w:val="nil"/>
            </w:tcBorders>
            <w:vAlign w:val="center"/>
          </w:tcPr>
          <w:p w:rsidR="00C96F31" w:rsidRDefault="00C96F31" w:rsidP="00840ED5">
            <w:pPr>
              <w:pStyle w:val="Tabletext"/>
              <w:keepNext/>
            </w:pPr>
            <w:r>
              <w:t>MenACWY-TT-013</w:t>
            </w:r>
          </w:p>
        </w:tc>
        <w:tc>
          <w:tcPr>
            <w:tcW w:w="811" w:type="pct"/>
            <w:tcBorders>
              <w:bottom w:val="nil"/>
            </w:tcBorders>
            <w:vAlign w:val="center"/>
          </w:tcPr>
          <w:p w:rsidR="00C96F31" w:rsidRPr="008C2451" w:rsidRDefault="00C96F31" w:rsidP="00840ED5">
            <w:pPr>
              <w:pStyle w:val="Tabletext"/>
              <w:keepNext/>
            </w:pPr>
          </w:p>
        </w:tc>
        <w:tc>
          <w:tcPr>
            <w:tcW w:w="800" w:type="pct"/>
            <w:tcBorders>
              <w:bottom w:val="nil"/>
            </w:tcBorders>
            <w:vAlign w:val="center"/>
          </w:tcPr>
          <w:p w:rsidR="00C96F31" w:rsidRPr="008C2451" w:rsidRDefault="00C96F31" w:rsidP="00840ED5">
            <w:pPr>
              <w:pStyle w:val="Tabletext"/>
              <w:keepNext/>
            </w:pPr>
          </w:p>
        </w:tc>
        <w:tc>
          <w:tcPr>
            <w:tcW w:w="925" w:type="pct"/>
            <w:tcBorders>
              <w:bottom w:val="nil"/>
            </w:tcBorders>
            <w:shd w:val="clear" w:color="auto" w:fill="auto"/>
            <w:vAlign w:val="center"/>
          </w:tcPr>
          <w:p w:rsidR="00C96F31" w:rsidRPr="008C2451" w:rsidRDefault="00C96F31" w:rsidP="00840ED5">
            <w:pPr>
              <w:pStyle w:val="Tabletext"/>
              <w:keepNext/>
            </w:pPr>
          </w:p>
        </w:tc>
        <w:tc>
          <w:tcPr>
            <w:tcW w:w="1097" w:type="pct"/>
            <w:tcBorders>
              <w:bottom w:val="nil"/>
            </w:tcBorders>
            <w:shd w:val="clear" w:color="auto" w:fill="auto"/>
            <w:vAlign w:val="center"/>
          </w:tcPr>
          <w:p w:rsidR="00C96F31" w:rsidRPr="008C2451" w:rsidRDefault="00C96F31" w:rsidP="00840ED5">
            <w:pPr>
              <w:pStyle w:val="Tabletext"/>
              <w:keepNext/>
            </w:pPr>
          </w:p>
        </w:tc>
      </w:tr>
      <w:tr w:rsidR="00C96F31" w:rsidRPr="008C2451" w:rsidTr="00FC3536">
        <w:trPr>
          <w:cantSplit/>
          <w:trHeight w:val="80"/>
        </w:trPr>
        <w:tc>
          <w:tcPr>
            <w:tcW w:w="1367" w:type="pct"/>
            <w:tcBorders>
              <w:top w:val="nil"/>
              <w:bottom w:val="nil"/>
            </w:tcBorders>
            <w:vAlign w:val="center"/>
          </w:tcPr>
          <w:p w:rsidR="00C96F31" w:rsidRPr="0050687B" w:rsidRDefault="00C96F31" w:rsidP="00840ED5">
            <w:pPr>
              <w:pStyle w:val="Tabletext"/>
              <w:keepNext/>
              <w:rPr>
                <w:i/>
              </w:rPr>
            </w:pPr>
            <w:r w:rsidRPr="0050687B">
              <w:rPr>
                <w:i/>
              </w:rPr>
              <w:t>Pre-vaccination</w:t>
            </w:r>
          </w:p>
        </w:tc>
        <w:tc>
          <w:tcPr>
            <w:tcW w:w="811" w:type="pct"/>
            <w:tcBorders>
              <w:top w:val="nil"/>
              <w:bottom w:val="nil"/>
            </w:tcBorders>
            <w:vAlign w:val="center"/>
          </w:tcPr>
          <w:p w:rsidR="00C96F31" w:rsidRPr="0050687B" w:rsidRDefault="00C96F31" w:rsidP="00840ED5">
            <w:pPr>
              <w:pStyle w:val="Tabletext"/>
              <w:keepNext/>
              <w:rPr>
                <w:i/>
              </w:rPr>
            </w:pPr>
            <w:r w:rsidRPr="0050687B">
              <w:rPr>
                <w:i/>
              </w:rPr>
              <w:t>19/37 (51.4)</w:t>
            </w:r>
          </w:p>
        </w:tc>
        <w:tc>
          <w:tcPr>
            <w:tcW w:w="800" w:type="pct"/>
            <w:tcBorders>
              <w:top w:val="nil"/>
              <w:bottom w:val="nil"/>
            </w:tcBorders>
            <w:vAlign w:val="center"/>
          </w:tcPr>
          <w:p w:rsidR="00C96F31" w:rsidRPr="0050687B" w:rsidRDefault="00C96F31" w:rsidP="00840ED5">
            <w:pPr>
              <w:pStyle w:val="Tabletext"/>
              <w:keepNext/>
              <w:rPr>
                <w:i/>
              </w:rPr>
            </w:pPr>
            <w:r w:rsidRPr="0050687B">
              <w:rPr>
                <w:i/>
              </w:rPr>
              <w:t>7/37 (18.9)</w:t>
            </w:r>
          </w:p>
        </w:tc>
        <w:tc>
          <w:tcPr>
            <w:tcW w:w="925" w:type="pct"/>
            <w:tcBorders>
              <w:top w:val="nil"/>
              <w:bottom w:val="nil"/>
            </w:tcBorders>
            <w:shd w:val="clear" w:color="auto" w:fill="auto"/>
            <w:vAlign w:val="center"/>
          </w:tcPr>
          <w:p w:rsidR="00C96F31" w:rsidRPr="008C2451" w:rsidRDefault="00C96F31" w:rsidP="00840ED5">
            <w:pPr>
              <w:pStyle w:val="Tabletext"/>
              <w:keepNext/>
            </w:pPr>
          </w:p>
        </w:tc>
        <w:tc>
          <w:tcPr>
            <w:tcW w:w="1097" w:type="pct"/>
            <w:tcBorders>
              <w:top w:val="nil"/>
              <w:bottom w:val="nil"/>
            </w:tcBorders>
            <w:shd w:val="clear" w:color="auto" w:fill="auto"/>
            <w:vAlign w:val="center"/>
          </w:tcPr>
          <w:p w:rsidR="00C96F31" w:rsidRPr="008C2451" w:rsidRDefault="00C96F31" w:rsidP="00840ED5">
            <w:pPr>
              <w:pStyle w:val="Tabletext"/>
              <w:keepNext/>
            </w:pPr>
          </w:p>
        </w:tc>
      </w:tr>
      <w:tr w:rsidR="00C96F31" w:rsidRPr="008C2451" w:rsidTr="00FC3536">
        <w:trPr>
          <w:cantSplit/>
          <w:trHeight w:val="154"/>
        </w:trPr>
        <w:tc>
          <w:tcPr>
            <w:tcW w:w="1367" w:type="pct"/>
            <w:tcBorders>
              <w:top w:val="nil"/>
              <w:bottom w:val="single" w:sz="4" w:space="0" w:color="auto"/>
            </w:tcBorders>
            <w:vAlign w:val="center"/>
          </w:tcPr>
          <w:p w:rsidR="00C96F31" w:rsidRDefault="00C96F31" w:rsidP="00337E78">
            <w:pPr>
              <w:pStyle w:val="Tabletext"/>
            </w:pPr>
            <w:r>
              <w:t>1 month post vaccination</w:t>
            </w:r>
          </w:p>
        </w:tc>
        <w:tc>
          <w:tcPr>
            <w:tcW w:w="811" w:type="pct"/>
            <w:tcBorders>
              <w:top w:val="nil"/>
              <w:bottom w:val="single" w:sz="4" w:space="0" w:color="auto"/>
            </w:tcBorders>
            <w:vAlign w:val="center"/>
          </w:tcPr>
          <w:p w:rsidR="00C96F31" w:rsidRPr="008C2451" w:rsidRDefault="00C96F31" w:rsidP="00337E78">
            <w:pPr>
              <w:pStyle w:val="Tabletext"/>
            </w:pPr>
            <w:r w:rsidRPr="008C2451">
              <w:t>42/42 (100)</w:t>
            </w:r>
          </w:p>
        </w:tc>
        <w:tc>
          <w:tcPr>
            <w:tcW w:w="800" w:type="pct"/>
            <w:tcBorders>
              <w:top w:val="nil"/>
              <w:bottom w:val="single" w:sz="4" w:space="0" w:color="auto"/>
            </w:tcBorders>
            <w:vAlign w:val="center"/>
          </w:tcPr>
          <w:p w:rsidR="00C96F31" w:rsidRPr="008C2451" w:rsidRDefault="00C96F31" w:rsidP="00337E78">
            <w:pPr>
              <w:pStyle w:val="Tabletext"/>
            </w:pPr>
            <w:r w:rsidRPr="008C2451">
              <w:t>14/39 (35.9)</w:t>
            </w:r>
          </w:p>
        </w:tc>
        <w:tc>
          <w:tcPr>
            <w:tcW w:w="925" w:type="pct"/>
            <w:tcBorders>
              <w:top w:val="nil"/>
              <w:bottom w:val="single" w:sz="4" w:space="0" w:color="auto"/>
            </w:tcBorders>
            <w:shd w:val="clear" w:color="auto" w:fill="auto"/>
            <w:vAlign w:val="center"/>
          </w:tcPr>
          <w:p w:rsidR="00C96F31" w:rsidRPr="008C2451" w:rsidRDefault="00C96F31" w:rsidP="00337E78">
            <w:pPr>
              <w:pStyle w:val="Tabletext"/>
            </w:pPr>
            <w:r w:rsidRPr="008C2451">
              <w:t>2.73 (1.81, 4.12)*</w:t>
            </w:r>
          </w:p>
        </w:tc>
        <w:tc>
          <w:tcPr>
            <w:tcW w:w="1097" w:type="pct"/>
            <w:tcBorders>
              <w:top w:val="nil"/>
              <w:bottom w:val="single" w:sz="4" w:space="0" w:color="auto"/>
            </w:tcBorders>
            <w:shd w:val="clear" w:color="auto" w:fill="auto"/>
            <w:vAlign w:val="center"/>
          </w:tcPr>
          <w:p w:rsidR="00C96F31" w:rsidRPr="008C2451" w:rsidRDefault="00C96F31" w:rsidP="00337E78">
            <w:pPr>
              <w:pStyle w:val="Tabletext"/>
            </w:pPr>
            <w:r w:rsidRPr="008C2451">
              <w:t>64.10 (48.86, 79.34)*</w:t>
            </w:r>
          </w:p>
        </w:tc>
      </w:tr>
      <w:tr w:rsidR="00C96F31" w:rsidRPr="008C2451" w:rsidTr="00FC3536">
        <w:trPr>
          <w:cantSplit/>
          <w:trHeight w:val="70"/>
        </w:trPr>
        <w:tc>
          <w:tcPr>
            <w:tcW w:w="1367" w:type="pct"/>
            <w:tcBorders>
              <w:bottom w:val="nil"/>
            </w:tcBorders>
            <w:vAlign w:val="center"/>
          </w:tcPr>
          <w:p w:rsidR="00C96F31" w:rsidRPr="008C2451" w:rsidRDefault="00C96F31" w:rsidP="00337E78">
            <w:pPr>
              <w:pStyle w:val="Tabletext"/>
            </w:pPr>
            <w:r>
              <w:t>MenACWY-TT-027</w:t>
            </w:r>
          </w:p>
        </w:tc>
        <w:tc>
          <w:tcPr>
            <w:tcW w:w="811" w:type="pct"/>
            <w:tcBorders>
              <w:bottom w:val="nil"/>
            </w:tcBorders>
            <w:vAlign w:val="center"/>
          </w:tcPr>
          <w:p w:rsidR="00C96F31" w:rsidRPr="008C2451" w:rsidRDefault="00C96F31" w:rsidP="00337E78">
            <w:pPr>
              <w:pStyle w:val="Tabletext"/>
            </w:pPr>
          </w:p>
        </w:tc>
        <w:tc>
          <w:tcPr>
            <w:tcW w:w="800" w:type="pct"/>
            <w:tcBorders>
              <w:bottom w:val="nil"/>
            </w:tcBorders>
            <w:vAlign w:val="center"/>
          </w:tcPr>
          <w:p w:rsidR="00C96F31" w:rsidRPr="008C2451" w:rsidRDefault="00C96F31" w:rsidP="00337E78">
            <w:pPr>
              <w:pStyle w:val="Tabletext"/>
            </w:pPr>
          </w:p>
        </w:tc>
        <w:tc>
          <w:tcPr>
            <w:tcW w:w="925" w:type="pct"/>
            <w:tcBorders>
              <w:bottom w:val="nil"/>
            </w:tcBorders>
            <w:vAlign w:val="center"/>
          </w:tcPr>
          <w:p w:rsidR="00C96F31" w:rsidRPr="008C2451" w:rsidRDefault="00C96F31" w:rsidP="00337E78">
            <w:pPr>
              <w:pStyle w:val="Tabletext"/>
            </w:pPr>
          </w:p>
        </w:tc>
        <w:tc>
          <w:tcPr>
            <w:tcW w:w="1097" w:type="pct"/>
            <w:tcBorders>
              <w:bottom w:val="nil"/>
            </w:tcBorders>
            <w:vAlign w:val="center"/>
          </w:tcPr>
          <w:p w:rsidR="00C96F31" w:rsidRPr="008C2451" w:rsidRDefault="00C96F31" w:rsidP="00337E78">
            <w:pPr>
              <w:pStyle w:val="Tabletext"/>
            </w:pPr>
          </w:p>
        </w:tc>
      </w:tr>
      <w:tr w:rsidR="00C96F31" w:rsidRPr="008C2451" w:rsidTr="00FC3536">
        <w:trPr>
          <w:cantSplit/>
          <w:trHeight w:val="80"/>
        </w:trPr>
        <w:tc>
          <w:tcPr>
            <w:tcW w:w="1367" w:type="pct"/>
            <w:tcBorders>
              <w:top w:val="nil"/>
              <w:bottom w:val="nil"/>
            </w:tcBorders>
          </w:tcPr>
          <w:p w:rsidR="00C96F31" w:rsidRPr="00411717" w:rsidRDefault="00C96F31" w:rsidP="00337E78">
            <w:pPr>
              <w:pStyle w:val="Tabletext"/>
              <w:rPr>
                <w:i/>
              </w:rPr>
            </w:pPr>
            <w:r w:rsidRPr="00411717">
              <w:rPr>
                <w:i/>
              </w:rPr>
              <w:t>Pre-vaccination</w:t>
            </w:r>
          </w:p>
        </w:tc>
        <w:tc>
          <w:tcPr>
            <w:tcW w:w="811" w:type="pct"/>
            <w:tcBorders>
              <w:top w:val="nil"/>
              <w:bottom w:val="nil"/>
            </w:tcBorders>
            <w:vAlign w:val="center"/>
          </w:tcPr>
          <w:p w:rsidR="00C96F31" w:rsidRPr="00E36C41" w:rsidRDefault="00C96F31" w:rsidP="00337E78">
            <w:pPr>
              <w:pStyle w:val="Tabletext"/>
              <w:rPr>
                <w:i/>
              </w:rPr>
            </w:pPr>
            <w:r w:rsidRPr="00E36C41">
              <w:rPr>
                <w:i/>
              </w:rPr>
              <w:t>81/191 (42.4)</w:t>
            </w:r>
          </w:p>
        </w:tc>
        <w:tc>
          <w:tcPr>
            <w:tcW w:w="800" w:type="pct"/>
            <w:tcBorders>
              <w:top w:val="nil"/>
              <w:bottom w:val="nil"/>
            </w:tcBorders>
            <w:vAlign w:val="center"/>
          </w:tcPr>
          <w:p w:rsidR="00C96F31" w:rsidRPr="00E36C41" w:rsidRDefault="00C96F31" w:rsidP="00337E78">
            <w:pPr>
              <w:pStyle w:val="Tabletext"/>
              <w:rPr>
                <w:i/>
              </w:rPr>
            </w:pPr>
            <w:r w:rsidRPr="00E36C41">
              <w:rPr>
                <w:i/>
              </w:rPr>
              <w:t>26/65 (40.0)</w:t>
            </w:r>
          </w:p>
        </w:tc>
        <w:tc>
          <w:tcPr>
            <w:tcW w:w="925" w:type="pct"/>
            <w:tcBorders>
              <w:top w:val="nil"/>
              <w:bottom w:val="nil"/>
            </w:tcBorders>
            <w:vAlign w:val="center"/>
          </w:tcPr>
          <w:p w:rsidR="00C96F31" w:rsidRPr="008C2451" w:rsidRDefault="00C96F31" w:rsidP="00337E78">
            <w:pPr>
              <w:pStyle w:val="Tabletext"/>
            </w:pPr>
          </w:p>
        </w:tc>
        <w:tc>
          <w:tcPr>
            <w:tcW w:w="1097" w:type="pct"/>
            <w:tcBorders>
              <w:top w:val="nil"/>
              <w:bottom w:val="nil"/>
            </w:tcBorders>
            <w:vAlign w:val="center"/>
          </w:tcPr>
          <w:p w:rsidR="00C96F31" w:rsidRPr="008C2451" w:rsidRDefault="00C96F31" w:rsidP="00337E78">
            <w:pPr>
              <w:pStyle w:val="Tabletext"/>
            </w:pPr>
          </w:p>
        </w:tc>
      </w:tr>
      <w:tr w:rsidR="00C96F31" w:rsidRPr="008C2451" w:rsidTr="00FC3536">
        <w:trPr>
          <w:cantSplit/>
          <w:trHeight w:val="177"/>
        </w:trPr>
        <w:tc>
          <w:tcPr>
            <w:tcW w:w="1367" w:type="pct"/>
            <w:tcBorders>
              <w:top w:val="nil"/>
              <w:bottom w:val="single" w:sz="4" w:space="0" w:color="auto"/>
            </w:tcBorders>
          </w:tcPr>
          <w:p w:rsidR="00C96F31" w:rsidRDefault="00C96F31" w:rsidP="00337E78">
            <w:pPr>
              <w:pStyle w:val="Tabletext"/>
            </w:pPr>
            <w:r w:rsidRPr="00CF1BBF">
              <w:t>1 month post vaccination</w:t>
            </w:r>
          </w:p>
        </w:tc>
        <w:tc>
          <w:tcPr>
            <w:tcW w:w="811" w:type="pct"/>
            <w:tcBorders>
              <w:top w:val="nil"/>
              <w:bottom w:val="single" w:sz="4" w:space="0" w:color="auto"/>
            </w:tcBorders>
            <w:vAlign w:val="center"/>
          </w:tcPr>
          <w:p w:rsidR="00C96F31" w:rsidRPr="008C2451" w:rsidRDefault="00C96F31" w:rsidP="00337E78">
            <w:pPr>
              <w:pStyle w:val="Tabletext"/>
            </w:pPr>
            <w:r w:rsidRPr="0050687B">
              <w:t>222/222 (100)</w:t>
            </w:r>
          </w:p>
        </w:tc>
        <w:tc>
          <w:tcPr>
            <w:tcW w:w="800" w:type="pct"/>
            <w:tcBorders>
              <w:top w:val="nil"/>
              <w:bottom w:val="single" w:sz="4" w:space="0" w:color="auto"/>
            </w:tcBorders>
            <w:vAlign w:val="center"/>
          </w:tcPr>
          <w:p w:rsidR="00C96F31" w:rsidRPr="008C2451" w:rsidRDefault="00C96F31" w:rsidP="00337E78">
            <w:pPr>
              <w:pStyle w:val="Tabletext"/>
            </w:pPr>
            <w:r w:rsidRPr="008C2451">
              <w:t>22/63 (34.9)</w:t>
            </w:r>
          </w:p>
        </w:tc>
        <w:tc>
          <w:tcPr>
            <w:tcW w:w="925" w:type="pct"/>
            <w:tcBorders>
              <w:top w:val="nil"/>
              <w:bottom w:val="single" w:sz="4" w:space="0" w:color="auto"/>
            </w:tcBorders>
            <w:vAlign w:val="center"/>
          </w:tcPr>
          <w:p w:rsidR="00C96F31" w:rsidRPr="008C2451" w:rsidRDefault="00C96F31" w:rsidP="00337E78">
            <w:pPr>
              <w:pStyle w:val="Tabletext"/>
            </w:pPr>
            <w:r w:rsidRPr="008C2451">
              <w:t>2.84 (2.03, 3.96)*</w:t>
            </w:r>
          </w:p>
        </w:tc>
        <w:tc>
          <w:tcPr>
            <w:tcW w:w="1097" w:type="pct"/>
            <w:tcBorders>
              <w:top w:val="nil"/>
              <w:bottom w:val="single" w:sz="4" w:space="0" w:color="auto"/>
            </w:tcBorders>
            <w:vAlign w:val="center"/>
          </w:tcPr>
          <w:p w:rsidR="00C96F31" w:rsidRPr="008C2451" w:rsidRDefault="00C96F31" w:rsidP="00337E78">
            <w:pPr>
              <w:pStyle w:val="Tabletext"/>
            </w:pPr>
            <w:r w:rsidRPr="008C2451">
              <w:t>65.08 (53.37, 76.79)*</w:t>
            </w:r>
          </w:p>
        </w:tc>
      </w:tr>
      <w:tr w:rsidR="00C96F31" w:rsidRPr="008C2451" w:rsidTr="00FC3536">
        <w:trPr>
          <w:cantSplit/>
          <w:trHeight w:val="118"/>
        </w:trPr>
        <w:tc>
          <w:tcPr>
            <w:tcW w:w="1367" w:type="pct"/>
            <w:tcBorders>
              <w:bottom w:val="nil"/>
            </w:tcBorders>
            <w:vAlign w:val="center"/>
          </w:tcPr>
          <w:p w:rsidR="00C96F31" w:rsidRPr="008C2451" w:rsidRDefault="00C96F31" w:rsidP="00337E78">
            <w:pPr>
              <w:pStyle w:val="Tabletext"/>
            </w:pPr>
            <w:r>
              <w:t>MenACWY-TT-039</w:t>
            </w:r>
            <w:r w:rsidRPr="008C2451">
              <w:t xml:space="preserve"> #</w:t>
            </w:r>
          </w:p>
        </w:tc>
        <w:tc>
          <w:tcPr>
            <w:tcW w:w="811" w:type="pct"/>
            <w:tcBorders>
              <w:bottom w:val="nil"/>
            </w:tcBorders>
            <w:vAlign w:val="center"/>
          </w:tcPr>
          <w:p w:rsidR="00C96F31" w:rsidRPr="008C2451" w:rsidRDefault="00C96F31" w:rsidP="00337E78">
            <w:pPr>
              <w:pStyle w:val="Tabletext"/>
            </w:pPr>
          </w:p>
        </w:tc>
        <w:tc>
          <w:tcPr>
            <w:tcW w:w="800" w:type="pct"/>
            <w:tcBorders>
              <w:bottom w:val="nil"/>
            </w:tcBorders>
            <w:vAlign w:val="center"/>
          </w:tcPr>
          <w:p w:rsidR="00C96F31" w:rsidRPr="008C2451" w:rsidRDefault="00C96F31" w:rsidP="00337E78">
            <w:pPr>
              <w:pStyle w:val="Tabletext"/>
            </w:pPr>
          </w:p>
        </w:tc>
        <w:tc>
          <w:tcPr>
            <w:tcW w:w="925" w:type="pct"/>
            <w:tcBorders>
              <w:bottom w:val="nil"/>
            </w:tcBorders>
            <w:vAlign w:val="center"/>
          </w:tcPr>
          <w:p w:rsidR="00C96F31" w:rsidRPr="008C2451" w:rsidRDefault="00C96F31" w:rsidP="00337E78">
            <w:pPr>
              <w:pStyle w:val="Tabletext"/>
            </w:pPr>
          </w:p>
        </w:tc>
        <w:tc>
          <w:tcPr>
            <w:tcW w:w="1097" w:type="pct"/>
            <w:tcBorders>
              <w:bottom w:val="nil"/>
            </w:tcBorders>
            <w:vAlign w:val="center"/>
          </w:tcPr>
          <w:p w:rsidR="00C96F31" w:rsidRPr="008C2451" w:rsidRDefault="00C96F31" w:rsidP="00337E78">
            <w:pPr>
              <w:pStyle w:val="Tabletext"/>
            </w:pPr>
          </w:p>
        </w:tc>
      </w:tr>
      <w:tr w:rsidR="00C96F31" w:rsidRPr="008C2451" w:rsidTr="00FC3536">
        <w:trPr>
          <w:cantSplit/>
          <w:trHeight w:val="114"/>
        </w:trPr>
        <w:tc>
          <w:tcPr>
            <w:tcW w:w="1367" w:type="pct"/>
            <w:tcBorders>
              <w:top w:val="nil"/>
              <w:bottom w:val="nil"/>
            </w:tcBorders>
            <w:vAlign w:val="center"/>
          </w:tcPr>
          <w:p w:rsidR="00C96F31" w:rsidRPr="00411717" w:rsidRDefault="00C96F31" w:rsidP="00337E78">
            <w:pPr>
              <w:pStyle w:val="Tabletext"/>
              <w:rPr>
                <w:i/>
              </w:rPr>
            </w:pPr>
            <w:r w:rsidRPr="00411717">
              <w:rPr>
                <w:i/>
              </w:rPr>
              <w:t>Pre-vaccination</w:t>
            </w:r>
          </w:p>
        </w:tc>
        <w:tc>
          <w:tcPr>
            <w:tcW w:w="811" w:type="pct"/>
            <w:tcBorders>
              <w:top w:val="nil"/>
              <w:bottom w:val="nil"/>
            </w:tcBorders>
            <w:vAlign w:val="center"/>
          </w:tcPr>
          <w:p w:rsidR="00C96F31" w:rsidRPr="008C753B" w:rsidRDefault="00C96F31" w:rsidP="00337E78">
            <w:pPr>
              <w:pStyle w:val="Tabletext"/>
              <w:rPr>
                <w:i/>
              </w:rPr>
            </w:pPr>
            <w:r w:rsidRPr="008C753B">
              <w:rPr>
                <w:i/>
              </w:rPr>
              <w:t>77/171 (45)</w:t>
            </w:r>
          </w:p>
        </w:tc>
        <w:tc>
          <w:tcPr>
            <w:tcW w:w="800" w:type="pct"/>
            <w:tcBorders>
              <w:top w:val="nil"/>
              <w:bottom w:val="nil"/>
            </w:tcBorders>
            <w:vAlign w:val="center"/>
          </w:tcPr>
          <w:p w:rsidR="00C96F31" w:rsidRPr="008C753B" w:rsidRDefault="00C96F31" w:rsidP="00337E78">
            <w:pPr>
              <w:pStyle w:val="Tabletext"/>
              <w:rPr>
                <w:i/>
              </w:rPr>
            </w:pPr>
            <w:r w:rsidRPr="008C753B">
              <w:rPr>
                <w:i/>
              </w:rPr>
              <w:t>18/53 (34.0)</w:t>
            </w:r>
          </w:p>
        </w:tc>
        <w:tc>
          <w:tcPr>
            <w:tcW w:w="925" w:type="pct"/>
            <w:tcBorders>
              <w:top w:val="nil"/>
              <w:bottom w:val="nil"/>
            </w:tcBorders>
            <w:vAlign w:val="center"/>
          </w:tcPr>
          <w:p w:rsidR="00C96F31" w:rsidRPr="008C2451" w:rsidRDefault="00C96F31" w:rsidP="00337E78">
            <w:pPr>
              <w:pStyle w:val="Tabletext"/>
            </w:pPr>
          </w:p>
        </w:tc>
        <w:tc>
          <w:tcPr>
            <w:tcW w:w="1097" w:type="pct"/>
            <w:tcBorders>
              <w:top w:val="nil"/>
              <w:bottom w:val="nil"/>
            </w:tcBorders>
            <w:vAlign w:val="center"/>
          </w:tcPr>
          <w:p w:rsidR="00C96F31" w:rsidRPr="008C2451" w:rsidRDefault="00C96F31" w:rsidP="00337E78">
            <w:pPr>
              <w:pStyle w:val="Tabletext"/>
            </w:pPr>
          </w:p>
        </w:tc>
      </w:tr>
      <w:tr w:rsidR="00C96F31" w:rsidRPr="008C2451" w:rsidTr="00FC3536">
        <w:trPr>
          <w:cantSplit/>
          <w:trHeight w:val="68"/>
        </w:trPr>
        <w:tc>
          <w:tcPr>
            <w:tcW w:w="1367" w:type="pct"/>
            <w:tcBorders>
              <w:top w:val="nil"/>
              <w:bottom w:val="single" w:sz="4" w:space="0" w:color="auto"/>
            </w:tcBorders>
            <w:vAlign w:val="center"/>
          </w:tcPr>
          <w:p w:rsidR="00C96F31" w:rsidRDefault="00C96F31" w:rsidP="00337E78">
            <w:pPr>
              <w:pStyle w:val="Tabletext"/>
            </w:pPr>
            <w:r>
              <w:t>1 month post vaccination</w:t>
            </w:r>
          </w:p>
        </w:tc>
        <w:tc>
          <w:tcPr>
            <w:tcW w:w="811" w:type="pct"/>
            <w:tcBorders>
              <w:top w:val="nil"/>
              <w:bottom w:val="single" w:sz="4" w:space="0" w:color="auto"/>
            </w:tcBorders>
            <w:vAlign w:val="center"/>
          </w:tcPr>
          <w:p w:rsidR="00C96F31" w:rsidRPr="008C2451" w:rsidRDefault="00C96F31" w:rsidP="00337E78">
            <w:pPr>
              <w:pStyle w:val="Tabletext"/>
            </w:pPr>
            <w:r w:rsidRPr="008C2451">
              <w:t>353/354 (99.7)</w:t>
            </w:r>
          </w:p>
        </w:tc>
        <w:tc>
          <w:tcPr>
            <w:tcW w:w="800" w:type="pct"/>
            <w:tcBorders>
              <w:top w:val="nil"/>
              <w:bottom w:val="single" w:sz="4" w:space="0" w:color="auto"/>
            </w:tcBorders>
            <w:vAlign w:val="center"/>
          </w:tcPr>
          <w:p w:rsidR="00C96F31" w:rsidRPr="008C2451" w:rsidRDefault="00C96F31" w:rsidP="00337E78">
            <w:pPr>
              <w:pStyle w:val="Tabletext"/>
            </w:pPr>
            <w:r w:rsidRPr="008C2451">
              <w:t>23/51 (45.1)</w:t>
            </w:r>
          </w:p>
        </w:tc>
        <w:tc>
          <w:tcPr>
            <w:tcW w:w="925" w:type="pct"/>
            <w:tcBorders>
              <w:top w:val="nil"/>
              <w:bottom w:val="single" w:sz="4" w:space="0" w:color="auto"/>
            </w:tcBorders>
            <w:vAlign w:val="center"/>
          </w:tcPr>
          <w:p w:rsidR="00C96F31" w:rsidRPr="008C2451" w:rsidRDefault="00C96F31" w:rsidP="00337E78">
            <w:pPr>
              <w:pStyle w:val="Tabletext"/>
            </w:pPr>
            <w:r w:rsidRPr="008C2451">
              <w:t>2.21 (1.63, 2.99)*</w:t>
            </w:r>
          </w:p>
        </w:tc>
        <w:tc>
          <w:tcPr>
            <w:tcW w:w="1097" w:type="pct"/>
            <w:tcBorders>
              <w:top w:val="nil"/>
              <w:bottom w:val="single" w:sz="4" w:space="0" w:color="auto"/>
            </w:tcBorders>
            <w:vAlign w:val="center"/>
          </w:tcPr>
          <w:p w:rsidR="00C96F31" w:rsidRPr="008C2451" w:rsidRDefault="00C96F31" w:rsidP="00337E78">
            <w:pPr>
              <w:pStyle w:val="Tabletext"/>
            </w:pPr>
            <w:r w:rsidRPr="008C2451">
              <w:t>54.62 (40.95, 68.29)*</w:t>
            </w:r>
          </w:p>
        </w:tc>
      </w:tr>
      <w:tr w:rsidR="00C96F31" w:rsidRPr="008C2451" w:rsidTr="00FC3536">
        <w:trPr>
          <w:cantSplit/>
          <w:trHeight w:val="70"/>
        </w:trPr>
        <w:tc>
          <w:tcPr>
            <w:tcW w:w="1367" w:type="pct"/>
            <w:tcBorders>
              <w:bottom w:val="nil"/>
            </w:tcBorders>
            <w:vAlign w:val="center"/>
          </w:tcPr>
          <w:p w:rsidR="00C96F31" w:rsidRPr="008C2451" w:rsidRDefault="00C96F31" w:rsidP="00337E78">
            <w:pPr>
              <w:pStyle w:val="Tabletext"/>
            </w:pPr>
            <w:r>
              <w:t>MenACWY-TT-040</w:t>
            </w:r>
          </w:p>
        </w:tc>
        <w:tc>
          <w:tcPr>
            <w:tcW w:w="811" w:type="pct"/>
            <w:tcBorders>
              <w:bottom w:val="nil"/>
            </w:tcBorders>
            <w:vAlign w:val="center"/>
          </w:tcPr>
          <w:p w:rsidR="00C96F31" w:rsidRPr="008C2451" w:rsidRDefault="00C96F31" w:rsidP="00337E78">
            <w:pPr>
              <w:pStyle w:val="Tabletext"/>
            </w:pPr>
          </w:p>
        </w:tc>
        <w:tc>
          <w:tcPr>
            <w:tcW w:w="800" w:type="pct"/>
            <w:tcBorders>
              <w:bottom w:val="nil"/>
            </w:tcBorders>
            <w:vAlign w:val="center"/>
          </w:tcPr>
          <w:p w:rsidR="00C96F31" w:rsidRPr="008C2451" w:rsidRDefault="00C96F31" w:rsidP="00337E78">
            <w:pPr>
              <w:pStyle w:val="Tabletext"/>
            </w:pPr>
          </w:p>
        </w:tc>
        <w:tc>
          <w:tcPr>
            <w:tcW w:w="925" w:type="pct"/>
            <w:tcBorders>
              <w:bottom w:val="nil"/>
            </w:tcBorders>
            <w:vAlign w:val="center"/>
          </w:tcPr>
          <w:p w:rsidR="00C96F31" w:rsidRPr="008C2451" w:rsidRDefault="00C96F31" w:rsidP="00337E78">
            <w:pPr>
              <w:pStyle w:val="Tabletext"/>
            </w:pPr>
          </w:p>
        </w:tc>
        <w:tc>
          <w:tcPr>
            <w:tcW w:w="1097" w:type="pct"/>
            <w:tcBorders>
              <w:bottom w:val="nil"/>
            </w:tcBorders>
            <w:vAlign w:val="center"/>
          </w:tcPr>
          <w:p w:rsidR="00C96F31" w:rsidRPr="008C2451" w:rsidRDefault="00C96F31" w:rsidP="00337E78">
            <w:pPr>
              <w:pStyle w:val="Tabletext"/>
            </w:pPr>
          </w:p>
        </w:tc>
      </w:tr>
      <w:tr w:rsidR="00C96F31" w:rsidRPr="008C2451" w:rsidTr="00FC3536">
        <w:trPr>
          <w:cantSplit/>
          <w:trHeight w:val="80"/>
        </w:trPr>
        <w:tc>
          <w:tcPr>
            <w:tcW w:w="1367" w:type="pct"/>
            <w:tcBorders>
              <w:top w:val="nil"/>
              <w:bottom w:val="nil"/>
            </w:tcBorders>
          </w:tcPr>
          <w:p w:rsidR="00C96F31" w:rsidRPr="00411717" w:rsidRDefault="00C96F31" w:rsidP="00337E78">
            <w:pPr>
              <w:pStyle w:val="Tabletext"/>
              <w:rPr>
                <w:i/>
              </w:rPr>
            </w:pPr>
            <w:r w:rsidRPr="00411717">
              <w:rPr>
                <w:i/>
              </w:rPr>
              <w:t>Pre-vaccination</w:t>
            </w:r>
          </w:p>
        </w:tc>
        <w:tc>
          <w:tcPr>
            <w:tcW w:w="811" w:type="pct"/>
            <w:tcBorders>
              <w:top w:val="nil"/>
              <w:bottom w:val="nil"/>
            </w:tcBorders>
            <w:vAlign w:val="center"/>
          </w:tcPr>
          <w:p w:rsidR="00C96F31" w:rsidRPr="007D19A4" w:rsidRDefault="00C96F31" w:rsidP="00337E78">
            <w:pPr>
              <w:pStyle w:val="Tabletext"/>
              <w:rPr>
                <w:i/>
              </w:rPr>
            </w:pPr>
            <w:r w:rsidRPr="007D19A4">
              <w:rPr>
                <w:i/>
              </w:rPr>
              <w:t>32/77 (41.6)</w:t>
            </w:r>
          </w:p>
        </w:tc>
        <w:tc>
          <w:tcPr>
            <w:tcW w:w="800" w:type="pct"/>
            <w:tcBorders>
              <w:top w:val="nil"/>
              <w:bottom w:val="nil"/>
            </w:tcBorders>
            <w:vAlign w:val="center"/>
          </w:tcPr>
          <w:p w:rsidR="00C96F31" w:rsidRPr="007D19A4" w:rsidRDefault="00C96F31" w:rsidP="00337E78">
            <w:pPr>
              <w:pStyle w:val="Tabletext"/>
              <w:rPr>
                <w:i/>
              </w:rPr>
            </w:pPr>
            <w:r w:rsidRPr="007D19A4">
              <w:rPr>
                <w:i/>
              </w:rPr>
              <w:t>18/46 (39.1)</w:t>
            </w:r>
          </w:p>
        </w:tc>
        <w:tc>
          <w:tcPr>
            <w:tcW w:w="925" w:type="pct"/>
            <w:tcBorders>
              <w:top w:val="nil"/>
              <w:bottom w:val="nil"/>
            </w:tcBorders>
            <w:vAlign w:val="center"/>
          </w:tcPr>
          <w:p w:rsidR="00C96F31" w:rsidRPr="008C2451" w:rsidRDefault="00C96F31" w:rsidP="00337E78">
            <w:pPr>
              <w:pStyle w:val="Tabletext"/>
            </w:pPr>
          </w:p>
        </w:tc>
        <w:tc>
          <w:tcPr>
            <w:tcW w:w="1097" w:type="pct"/>
            <w:tcBorders>
              <w:top w:val="nil"/>
              <w:bottom w:val="nil"/>
            </w:tcBorders>
            <w:vAlign w:val="center"/>
          </w:tcPr>
          <w:p w:rsidR="00C96F31" w:rsidRPr="008C2451" w:rsidRDefault="00C96F31" w:rsidP="00337E78">
            <w:pPr>
              <w:pStyle w:val="Tabletext"/>
            </w:pPr>
          </w:p>
        </w:tc>
      </w:tr>
      <w:tr w:rsidR="00C96F31" w:rsidRPr="008C2451" w:rsidTr="00FC3536">
        <w:trPr>
          <w:cantSplit/>
          <w:trHeight w:val="161"/>
        </w:trPr>
        <w:tc>
          <w:tcPr>
            <w:tcW w:w="1367" w:type="pct"/>
            <w:tcBorders>
              <w:top w:val="nil"/>
            </w:tcBorders>
          </w:tcPr>
          <w:p w:rsidR="00C96F31" w:rsidRDefault="00C96F31" w:rsidP="00337E78">
            <w:pPr>
              <w:pStyle w:val="Tabletext"/>
            </w:pPr>
            <w:r w:rsidRPr="002A2478">
              <w:t>1 month post vaccination</w:t>
            </w:r>
          </w:p>
        </w:tc>
        <w:tc>
          <w:tcPr>
            <w:tcW w:w="811" w:type="pct"/>
            <w:tcBorders>
              <w:top w:val="nil"/>
            </w:tcBorders>
            <w:vAlign w:val="center"/>
          </w:tcPr>
          <w:p w:rsidR="00C96F31" w:rsidRPr="008C2451" w:rsidRDefault="00C96F31" w:rsidP="00337E78">
            <w:pPr>
              <w:pStyle w:val="Tabletext"/>
            </w:pPr>
            <w:r w:rsidRPr="008C2451">
              <w:t>180/183 (98.4)</w:t>
            </w:r>
          </w:p>
        </w:tc>
        <w:tc>
          <w:tcPr>
            <w:tcW w:w="800" w:type="pct"/>
            <w:tcBorders>
              <w:top w:val="nil"/>
            </w:tcBorders>
            <w:vAlign w:val="center"/>
          </w:tcPr>
          <w:p w:rsidR="00C96F31" w:rsidRPr="008C2451" w:rsidRDefault="00C96F31" w:rsidP="00337E78">
            <w:pPr>
              <w:pStyle w:val="Tabletext"/>
            </w:pPr>
            <w:r w:rsidRPr="008C2451">
              <w:t>43/100 (43.0)</w:t>
            </w:r>
          </w:p>
        </w:tc>
        <w:tc>
          <w:tcPr>
            <w:tcW w:w="925" w:type="pct"/>
            <w:tcBorders>
              <w:top w:val="nil"/>
            </w:tcBorders>
            <w:vAlign w:val="center"/>
          </w:tcPr>
          <w:p w:rsidR="00C96F31" w:rsidRPr="008C2451" w:rsidRDefault="00C96F31" w:rsidP="00337E78">
            <w:pPr>
              <w:pStyle w:val="Tabletext"/>
            </w:pPr>
            <w:r w:rsidRPr="008C2451">
              <w:t>2.29 (1.82, 2.87)*</w:t>
            </w:r>
          </w:p>
        </w:tc>
        <w:tc>
          <w:tcPr>
            <w:tcW w:w="1097" w:type="pct"/>
            <w:tcBorders>
              <w:top w:val="nil"/>
            </w:tcBorders>
            <w:vAlign w:val="center"/>
          </w:tcPr>
          <w:p w:rsidR="00C96F31" w:rsidRPr="008C2451" w:rsidRDefault="00C96F31" w:rsidP="00337E78">
            <w:pPr>
              <w:pStyle w:val="Tabletext"/>
            </w:pPr>
            <w:r w:rsidRPr="008C2451">
              <w:t>55.36 (45.48, 65.24)*</w:t>
            </w:r>
          </w:p>
        </w:tc>
      </w:tr>
      <w:tr w:rsidR="00C96F31" w:rsidRPr="008C2451" w:rsidTr="00337E78">
        <w:trPr>
          <w:cantSplit/>
          <w:trHeight w:val="70"/>
        </w:trPr>
        <w:tc>
          <w:tcPr>
            <w:tcW w:w="5000" w:type="pct"/>
            <w:gridSpan w:val="5"/>
            <w:shd w:val="clear" w:color="auto" w:fill="auto"/>
            <w:vAlign w:val="center"/>
          </w:tcPr>
          <w:p w:rsidR="00C96F31" w:rsidRPr="00CF7B1E" w:rsidRDefault="00C96F31" w:rsidP="00337E78">
            <w:pPr>
              <w:pStyle w:val="Tabletext"/>
              <w:rPr>
                <w:b/>
              </w:rPr>
            </w:pPr>
            <w:r w:rsidRPr="00CF7B1E">
              <w:rPr>
                <w:b/>
              </w:rPr>
              <w:t>Serogroup C</w:t>
            </w:r>
          </w:p>
        </w:tc>
      </w:tr>
      <w:tr w:rsidR="00C96F31" w:rsidRPr="008C2451" w:rsidTr="00FC3536">
        <w:trPr>
          <w:cantSplit/>
          <w:trHeight w:val="147"/>
        </w:trPr>
        <w:tc>
          <w:tcPr>
            <w:tcW w:w="1367" w:type="pct"/>
            <w:tcBorders>
              <w:bottom w:val="nil"/>
            </w:tcBorders>
            <w:vAlign w:val="center"/>
          </w:tcPr>
          <w:p w:rsidR="00C96F31" w:rsidRPr="00CF7B1E" w:rsidRDefault="00C96F31" w:rsidP="00337E78">
            <w:pPr>
              <w:pStyle w:val="Tabletext"/>
              <w:rPr>
                <w:b/>
              </w:rPr>
            </w:pPr>
            <w:r w:rsidRPr="00CF7B1E">
              <w:rPr>
                <w:b/>
              </w:rPr>
              <w:t>MenACWY-TT-013</w:t>
            </w:r>
          </w:p>
        </w:tc>
        <w:tc>
          <w:tcPr>
            <w:tcW w:w="811" w:type="pct"/>
            <w:tcBorders>
              <w:bottom w:val="nil"/>
            </w:tcBorders>
            <w:vAlign w:val="center"/>
          </w:tcPr>
          <w:p w:rsidR="00C96F31" w:rsidRPr="00CF7B1E" w:rsidRDefault="00C96F31" w:rsidP="00337E78">
            <w:pPr>
              <w:pStyle w:val="Tabletext"/>
              <w:rPr>
                <w:b/>
              </w:rPr>
            </w:pPr>
          </w:p>
        </w:tc>
        <w:tc>
          <w:tcPr>
            <w:tcW w:w="800" w:type="pct"/>
            <w:tcBorders>
              <w:bottom w:val="nil"/>
            </w:tcBorders>
            <w:vAlign w:val="center"/>
          </w:tcPr>
          <w:p w:rsidR="00C96F31" w:rsidRPr="00CF7B1E" w:rsidRDefault="00C96F31" w:rsidP="00337E78">
            <w:pPr>
              <w:pStyle w:val="Tabletext"/>
              <w:rPr>
                <w:b/>
              </w:rPr>
            </w:pPr>
          </w:p>
        </w:tc>
        <w:tc>
          <w:tcPr>
            <w:tcW w:w="925" w:type="pct"/>
            <w:tcBorders>
              <w:bottom w:val="nil"/>
            </w:tcBorders>
            <w:shd w:val="clear" w:color="auto" w:fill="auto"/>
            <w:vAlign w:val="center"/>
          </w:tcPr>
          <w:p w:rsidR="00C96F31" w:rsidRPr="00CF7B1E" w:rsidRDefault="00C96F31" w:rsidP="00337E78">
            <w:pPr>
              <w:pStyle w:val="Tabletext"/>
              <w:rPr>
                <w:b/>
              </w:rPr>
            </w:pPr>
          </w:p>
        </w:tc>
        <w:tc>
          <w:tcPr>
            <w:tcW w:w="1097" w:type="pct"/>
            <w:tcBorders>
              <w:bottom w:val="nil"/>
            </w:tcBorders>
            <w:shd w:val="clear" w:color="auto" w:fill="auto"/>
            <w:vAlign w:val="center"/>
          </w:tcPr>
          <w:p w:rsidR="00C96F31" w:rsidRPr="00CF7B1E" w:rsidRDefault="00C96F31" w:rsidP="00337E78">
            <w:pPr>
              <w:pStyle w:val="Tabletext"/>
              <w:rPr>
                <w:b/>
              </w:rPr>
            </w:pPr>
          </w:p>
        </w:tc>
      </w:tr>
      <w:tr w:rsidR="00C96F31" w:rsidRPr="008C2451" w:rsidTr="00FC3536">
        <w:trPr>
          <w:cantSplit/>
          <w:trHeight w:val="80"/>
        </w:trPr>
        <w:tc>
          <w:tcPr>
            <w:tcW w:w="1367" w:type="pct"/>
            <w:tcBorders>
              <w:top w:val="nil"/>
              <w:bottom w:val="nil"/>
            </w:tcBorders>
            <w:vAlign w:val="center"/>
          </w:tcPr>
          <w:p w:rsidR="00C96F31" w:rsidRPr="00411717" w:rsidRDefault="00C96F31" w:rsidP="00337E78">
            <w:pPr>
              <w:pStyle w:val="Tabletext"/>
              <w:rPr>
                <w:b/>
                <w:i/>
              </w:rPr>
            </w:pPr>
            <w:r w:rsidRPr="00411717">
              <w:rPr>
                <w:b/>
                <w:i/>
              </w:rPr>
              <w:t>Pre-vaccination</w:t>
            </w:r>
          </w:p>
        </w:tc>
        <w:tc>
          <w:tcPr>
            <w:tcW w:w="811" w:type="pct"/>
            <w:tcBorders>
              <w:top w:val="nil"/>
              <w:bottom w:val="nil"/>
            </w:tcBorders>
            <w:vAlign w:val="center"/>
          </w:tcPr>
          <w:p w:rsidR="00C96F31" w:rsidRPr="00CF7B1E" w:rsidRDefault="00C96F31" w:rsidP="00337E78">
            <w:pPr>
              <w:pStyle w:val="Tabletext"/>
              <w:rPr>
                <w:b/>
                <w:i/>
              </w:rPr>
            </w:pPr>
            <w:r w:rsidRPr="00CF7B1E">
              <w:rPr>
                <w:b/>
                <w:i/>
              </w:rPr>
              <w:t>3/42 (7.1)</w:t>
            </w:r>
          </w:p>
        </w:tc>
        <w:tc>
          <w:tcPr>
            <w:tcW w:w="800" w:type="pct"/>
            <w:tcBorders>
              <w:top w:val="nil"/>
              <w:bottom w:val="nil"/>
            </w:tcBorders>
            <w:vAlign w:val="center"/>
          </w:tcPr>
          <w:p w:rsidR="00C96F31" w:rsidRPr="00CF7B1E" w:rsidRDefault="00C96F31" w:rsidP="00337E78">
            <w:pPr>
              <w:pStyle w:val="Tabletext"/>
              <w:rPr>
                <w:b/>
                <w:i/>
              </w:rPr>
            </w:pPr>
            <w:r w:rsidRPr="00CF7B1E">
              <w:rPr>
                <w:b/>
                <w:i/>
              </w:rPr>
              <w:t>4/45 (8.9)</w:t>
            </w:r>
          </w:p>
        </w:tc>
        <w:tc>
          <w:tcPr>
            <w:tcW w:w="925" w:type="pct"/>
            <w:tcBorders>
              <w:top w:val="nil"/>
              <w:bottom w:val="nil"/>
            </w:tcBorders>
            <w:shd w:val="clear" w:color="auto" w:fill="auto"/>
            <w:vAlign w:val="center"/>
          </w:tcPr>
          <w:p w:rsidR="00C96F31" w:rsidRPr="00CF7B1E" w:rsidRDefault="00C96F31" w:rsidP="00337E78">
            <w:pPr>
              <w:pStyle w:val="Tabletext"/>
              <w:rPr>
                <w:b/>
              </w:rPr>
            </w:pPr>
          </w:p>
        </w:tc>
        <w:tc>
          <w:tcPr>
            <w:tcW w:w="1097" w:type="pct"/>
            <w:tcBorders>
              <w:top w:val="nil"/>
              <w:bottom w:val="nil"/>
            </w:tcBorders>
            <w:shd w:val="clear" w:color="auto" w:fill="auto"/>
            <w:vAlign w:val="center"/>
          </w:tcPr>
          <w:p w:rsidR="00C96F31" w:rsidRPr="00CF7B1E" w:rsidRDefault="00C96F31" w:rsidP="00337E78">
            <w:pPr>
              <w:pStyle w:val="Tabletext"/>
              <w:rPr>
                <w:b/>
              </w:rPr>
            </w:pPr>
          </w:p>
        </w:tc>
      </w:tr>
      <w:tr w:rsidR="00C96F31" w:rsidRPr="008C2451" w:rsidTr="00FC3536">
        <w:trPr>
          <w:cantSplit/>
          <w:trHeight w:val="121"/>
        </w:trPr>
        <w:tc>
          <w:tcPr>
            <w:tcW w:w="1367" w:type="pct"/>
            <w:tcBorders>
              <w:top w:val="nil"/>
              <w:bottom w:val="single" w:sz="4" w:space="0" w:color="auto"/>
            </w:tcBorders>
            <w:vAlign w:val="center"/>
          </w:tcPr>
          <w:p w:rsidR="00C96F31" w:rsidRPr="00CF7B1E" w:rsidRDefault="00C96F31" w:rsidP="00337E78">
            <w:pPr>
              <w:pStyle w:val="Tabletext"/>
              <w:rPr>
                <w:b/>
              </w:rPr>
            </w:pPr>
            <w:r w:rsidRPr="00CF7B1E">
              <w:rPr>
                <w:b/>
              </w:rPr>
              <w:t>1 month post vaccination</w:t>
            </w:r>
          </w:p>
        </w:tc>
        <w:tc>
          <w:tcPr>
            <w:tcW w:w="811" w:type="pct"/>
            <w:tcBorders>
              <w:top w:val="nil"/>
              <w:bottom w:val="single" w:sz="4" w:space="0" w:color="auto"/>
            </w:tcBorders>
            <w:vAlign w:val="center"/>
          </w:tcPr>
          <w:p w:rsidR="00C96F31" w:rsidRPr="00CF7B1E" w:rsidRDefault="00C96F31" w:rsidP="00337E78">
            <w:pPr>
              <w:pStyle w:val="Tabletext"/>
              <w:rPr>
                <w:b/>
              </w:rPr>
            </w:pPr>
            <w:r w:rsidRPr="00CF7B1E">
              <w:rPr>
                <w:b/>
              </w:rPr>
              <w:t>42/42 (100)</w:t>
            </w:r>
          </w:p>
        </w:tc>
        <w:tc>
          <w:tcPr>
            <w:tcW w:w="800" w:type="pct"/>
            <w:tcBorders>
              <w:top w:val="nil"/>
              <w:bottom w:val="single" w:sz="4" w:space="0" w:color="auto"/>
            </w:tcBorders>
            <w:vAlign w:val="center"/>
          </w:tcPr>
          <w:p w:rsidR="00C96F31" w:rsidRPr="00CF7B1E" w:rsidRDefault="00C96F31" w:rsidP="00337E78">
            <w:pPr>
              <w:pStyle w:val="Tabletext"/>
              <w:rPr>
                <w:b/>
              </w:rPr>
            </w:pPr>
            <w:r w:rsidRPr="00CF7B1E">
              <w:rPr>
                <w:b/>
              </w:rPr>
              <w:t>45/46 (97.8)</w:t>
            </w:r>
          </w:p>
        </w:tc>
        <w:tc>
          <w:tcPr>
            <w:tcW w:w="925" w:type="pct"/>
            <w:tcBorders>
              <w:top w:val="nil"/>
              <w:bottom w:val="single" w:sz="4" w:space="0" w:color="auto"/>
            </w:tcBorders>
            <w:shd w:val="clear" w:color="auto" w:fill="auto"/>
            <w:vAlign w:val="center"/>
          </w:tcPr>
          <w:p w:rsidR="00C96F31" w:rsidRPr="00CF7B1E" w:rsidRDefault="00C96F31" w:rsidP="00337E78">
            <w:pPr>
              <w:pStyle w:val="Tabletext"/>
              <w:rPr>
                <w:b/>
              </w:rPr>
            </w:pPr>
            <w:r w:rsidRPr="00CF7B1E">
              <w:rPr>
                <w:b/>
              </w:rPr>
              <w:t>1.02 (0.96, 1.09)</w:t>
            </w:r>
          </w:p>
        </w:tc>
        <w:tc>
          <w:tcPr>
            <w:tcW w:w="1097" w:type="pct"/>
            <w:tcBorders>
              <w:top w:val="nil"/>
              <w:bottom w:val="single" w:sz="4" w:space="0" w:color="auto"/>
            </w:tcBorders>
            <w:shd w:val="clear" w:color="auto" w:fill="auto"/>
            <w:vAlign w:val="center"/>
          </w:tcPr>
          <w:p w:rsidR="00C96F31" w:rsidRPr="00CF7B1E" w:rsidRDefault="00C96F31" w:rsidP="00337E78">
            <w:pPr>
              <w:pStyle w:val="Tabletext"/>
              <w:rPr>
                <w:b/>
              </w:rPr>
            </w:pPr>
            <w:r w:rsidRPr="00CF7B1E">
              <w:rPr>
                <w:b/>
              </w:rPr>
              <w:t>2.17 (-3.79, 8.13)</w:t>
            </w:r>
          </w:p>
        </w:tc>
      </w:tr>
      <w:tr w:rsidR="00C96F31" w:rsidRPr="008C2451" w:rsidTr="00FC3536">
        <w:trPr>
          <w:cantSplit/>
          <w:trHeight w:val="75"/>
        </w:trPr>
        <w:tc>
          <w:tcPr>
            <w:tcW w:w="1367" w:type="pct"/>
            <w:tcBorders>
              <w:bottom w:val="nil"/>
            </w:tcBorders>
            <w:vAlign w:val="center"/>
          </w:tcPr>
          <w:p w:rsidR="00C96F31" w:rsidRPr="00CF7B1E" w:rsidRDefault="00C96F31" w:rsidP="00337E78">
            <w:pPr>
              <w:pStyle w:val="Tabletext"/>
              <w:widowControl w:val="0"/>
              <w:rPr>
                <w:b/>
              </w:rPr>
            </w:pPr>
            <w:r w:rsidRPr="00CF7B1E">
              <w:rPr>
                <w:b/>
              </w:rPr>
              <w:t>MenACWY-TT-027</w:t>
            </w:r>
          </w:p>
        </w:tc>
        <w:tc>
          <w:tcPr>
            <w:tcW w:w="811" w:type="pct"/>
            <w:tcBorders>
              <w:bottom w:val="nil"/>
            </w:tcBorders>
            <w:vAlign w:val="center"/>
          </w:tcPr>
          <w:p w:rsidR="00C96F31" w:rsidRPr="00CF7B1E" w:rsidRDefault="00C96F31" w:rsidP="00337E78">
            <w:pPr>
              <w:pStyle w:val="Tabletext"/>
              <w:widowControl w:val="0"/>
              <w:rPr>
                <w:b/>
              </w:rPr>
            </w:pPr>
          </w:p>
        </w:tc>
        <w:tc>
          <w:tcPr>
            <w:tcW w:w="800" w:type="pct"/>
            <w:tcBorders>
              <w:bottom w:val="nil"/>
            </w:tcBorders>
            <w:vAlign w:val="center"/>
          </w:tcPr>
          <w:p w:rsidR="00C96F31" w:rsidRPr="00CF7B1E" w:rsidRDefault="00C96F31" w:rsidP="00337E78">
            <w:pPr>
              <w:pStyle w:val="Tabletext"/>
              <w:widowControl w:val="0"/>
              <w:rPr>
                <w:b/>
              </w:rPr>
            </w:pPr>
          </w:p>
        </w:tc>
        <w:tc>
          <w:tcPr>
            <w:tcW w:w="925" w:type="pct"/>
            <w:tcBorders>
              <w:bottom w:val="nil"/>
            </w:tcBorders>
            <w:vAlign w:val="center"/>
          </w:tcPr>
          <w:p w:rsidR="00C96F31" w:rsidRPr="00CF7B1E" w:rsidRDefault="00C96F31" w:rsidP="00337E78">
            <w:pPr>
              <w:pStyle w:val="Tabletext"/>
              <w:widowControl w:val="0"/>
              <w:rPr>
                <w:b/>
              </w:rPr>
            </w:pPr>
          </w:p>
        </w:tc>
        <w:tc>
          <w:tcPr>
            <w:tcW w:w="1097" w:type="pct"/>
            <w:tcBorders>
              <w:bottom w:val="nil"/>
            </w:tcBorders>
            <w:vAlign w:val="center"/>
          </w:tcPr>
          <w:p w:rsidR="00C96F31" w:rsidRPr="00CF7B1E" w:rsidRDefault="00C96F31" w:rsidP="00337E78">
            <w:pPr>
              <w:pStyle w:val="Tabletext"/>
              <w:widowControl w:val="0"/>
              <w:rPr>
                <w:b/>
              </w:rPr>
            </w:pPr>
          </w:p>
        </w:tc>
      </w:tr>
      <w:tr w:rsidR="00C96F31" w:rsidRPr="008C2451" w:rsidTr="00FC3536">
        <w:trPr>
          <w:cantSplit/>
          <w:trHeight w:val="80"/>
        </w:trPr>
        <w:tc>
          <w:tcPr>
            <w:tcW w:w="1367" w:type="pct"/>
            <w:tcBorders>
              <w:top w:val="nil"/>
              <w:bottom w:val="nil"/>
            </w:tcBorders>
            <w:vAlign w:val="center"/>
          </w:tcPr>
          <w:p w:rsidR="00C96F31" w:rsidRPr="00411717" w:rsidRDefault="00C96F31" w:rsidP="00337E78">
            <w:pPr>
              <w:pStyle w:val="Tabletext"/>
              <w:widowControl w:val="0"/>
              <w:rPr>
                <w:b/>
                <w:i/>
              </w:rPr>
            </w:pPr>
            <w:r w:rsidRPr="00411717">
              <w:rPr>
                <w:b/>
                <w:i/>
              </w:rPr>
              <w:t>Pre-vaccination</w:t>
            </w:r>
          </w:p>
        </w:tc>
        <w:tc>
          <w:tcPr>
            <w:tcW w:w="811" w:type="pct"/>
            <w:tcBorders>
              <w:top w:val="nil"/>
              <w:bottom w:val="nil"/>
            </w:tcBorders>
            <w:vAlign w:val="center"/>
          </w:tcPr>
          <w:p w:rsidR="00C96F31" w:rsidRPr="00CF7B1E" w:rsidRDefault="00C96F31" w:rsidP="00337E78">
            <w:pPr>
              <w:pStyle w:val="Tabletext"/>
              <w:widowControl w:val="0"/>
              <w:rPr>
                <w:b/>
                <w:i/>
              </w:rPr>
            </w:pPr>
            <w:r w:rsidRPr="00CF7B1E">
              <w:rPr>
                <w:b/>
                <w:i/>
              </w:rPr>
              <w:t>80/203 (39.4)</w:t>
            </w:r>
          </w:p>
        </w:tc>
        <w:tc>
          <w:tcPr>
            <w:tcW w:w="800" w:type="pct"/>
            <w:tcBorders>
              <w:top w:val="nil"/>
              <w:bottom w:val="nil"/>
            </w:tcBorders>
            <w:vAlign w:val="center"/>
          </w:tcPr>
          <w:p w:rsidR="00C96F31" w:rsidRPr="00CF7B1E" w:rsidRDefault="00C96F31" w:rsidP="00337E78">
            <w:pPr>
              <w:pStyle w:val="Tabletext"/>
              <w:widowControl w:val="0"/>
              <w:rPr>
                <w:b/>
                <w:i/>
              </w:rPr>
            </w:pPr>
            <w:r w:rsidRPr="00CF7B1E">
              <w:rPr>
                <w:b/>
                <w:i/>
              </w:rPr>
              <w:t>19/61 (31.1)</w:t>
            </w:r>
          </w:p>
        </w:tc>
        <w:tc>
          <w:tcPr>
            <w:tcW w:w="925" w:type="pct"/>
            <w:tcBorders>
              <w:top w:val="nil"/>
              <w:bottom w:val="nil"/>
            </w:tcBorders>
            <w:vAlign w:val="center"/>
          </w:tcPr>
          <w:p w:rsidR="00C96F31" w:rsidRPr="00CF7B1E" w:rsidRDefault="00C96F31" w:rsidP="00337E78">
            <w:pPr>
              <w:pStyle w:val="Tabletext"/>
              <w:widowControl w:val="0"/>
              <w:rPr>
                <w:b/>
              </w:rPr>
            </w:pPr>
          </w:p>
        </w:tc>
        <w:tc>
          <w:tcPr>
            <w:tcW w:w="1097" w:type="pct"/>
            <w:tcBorders>
              <w:top w:val="nil"/>
              <w:bottom w:val="nil"/>
            </w:tcBorders>
            <w:vAlign w:val="center"/>
          </w:tcPr>
          <w:p w:rsidR="00C96F31" w:rsidRPr="00CF7B1E" w:rsidRDefault="00C96F31" w:rsidP="00337E78">
            <w:pPr>
              <w:pStyle w:val="Tabletext"/>
              <w:widowControl w:val="0"/>
              <w:rPr>
                <w:b/>
              </w:rPr>
            </w:pPr>
          </w:p>
        </w:tc>
      </w:tr>
      <w:tr w:rsidR="00C96F31" w:rsidRPr="008C2451" w:rsidTr="00FC3536">
        <w:trPr>
          <w:cantSplit/>
          <w:trHeight w:val="80"/>
        </w:trPr>
        <w:tc>
          <w:tcPr>
            <w:tcW w:w="1367" w:type="pct"/>
            <w:tcBorders>
              <w:top w:val="nil"/>
              <w:bottom w:val="single" w:sz="4" w:space="0" w:color="auto"/>
            </w:tcBorders>
            <w:vAlign w:val="center"/>
          </w:tcPr>
          <w:p w:rsidR="00C96F31" w:rsidRPr="00CF7B1E" w:rsidRDefault="00C96F31" w:rsidP="00337E78">
            <w:pPr>
              <w:pStyle w:val="Tabletext"/>
              <w:rPr>
                <w:b/>
              </w:rPr>
            </w:pPr>
            <w:r w:rsidRPr="00CF7B1E">
              <w:rPr>
                <w:b/>
              </w:rPr>
              <w:t>1 month post vaccination</w:t>
            </w:r>
          </w:p>
        </w:tc>
        <w:tc>
          <w:tcPr>
            <w:tcW w:w="811" w:type="pct"/>
            <w:tcBorders>
              <w:top w:val="nil"/>
              <w:bottom w:val="single" w:sz="4" w:space="0" w:color="auto"/>
            </w:tcBorders>
            <w:vAlign w:val="center"/>
          </w:tcPr>
          <w:p w:rsidR="00C96F31" w:rsidRPr="00CF7B1E" w:rsidRDefault="00C96F31" w:rsidP="00337E78">
            <w:pPr>
              <w:pStyle w:val="Tabletext"/>
              <w:rPr>
                <w:b/>
              </w:rPr>
            </w:pPr>
            <w:r w:rsidRPr="00CF7B1E">
              <w:rPr>
                <w:b/>
              </w:rPr>
              <w:t>220/220 (100)</w:t>
            </w:r>
          </w:p>
        </w:tc>
        <w:tc>
          <w:tcPr>
            <w:tcW w:w="800" w:type="pct"/>
            <w:tcBorders>
              <w:top w:val="nil"/>
              <w:bottom w:val="single" w:sz="4" w:space="0" w:color="auto"/>
            </w:tcBorders>
            <w:vAlign w:val="center"/>
          </w:tcPr>
          <w:p w:rsidR="00C96F31" w:rsidRPr="00CF7B1E" w:rsidRDefault="00C96F31" w:rsidP="00337E78">
            <w:pPr>
              <w:pStyle w:val="Tabletext"/>
              <w:rPr>
                <w:b/>
              </w:rPr>
            </w:pPr>
            <w:r w:rsidRPr="00CF7B1E">
              <w:rPr>
                <w:b/>
              </w:rPr>
              <w:t>67/68 (98.5)</w:t>
            </w:r>
          </w:p>
        </w:tc>
        <w:tc>
          <w:tcPr>
            <w:tcW w:w="925" w:type="pct"/>
            <w:tcBorders>
              <w:top w:val="nil"/>
              <w:bottom w:val="single" w:sz="4" w:space="0" w:color="auto"/>
            </w:tcBorders>
            <w:vAlign w:val="center"/>
          </w:tcPr>
          <w:p w:rsidR="00C96F31" w:rsidRPr="00CF7B1E" w:rsidRDefault="00C96F31" w:rsidP="00337E78">
            <w:pPr>
              <w:pStyle w:val="Tabletext"/>
              <w:rPr>
                <w:b/>
              </w:rPr>
            </w:pPr>
            <w:r w:rsidRPr="00CF7B1E">
              <w:rPr>
                <w:b/>
              </w:rPr>
              <w:t>1.02 (0.98, 1.06)</w:t>
            </w:r>
          </w:p>
        </w:tc>
        <w:tc>
          <w:tcPr>
            <w:tcW w:w="1097" w:type="pct"/>
            <w:tcBorders>
              <w:top w:val="nil"/>
              <w:bottom w:val="single" w:sz="4" w:space="0" w:color="auto"/>
            </w:tcBorders>
            <w:vAlign w:val="center"/>
          </w:tcPr>
          <w:p w:rsidR="00C96F31" w:rsidRPr="00CF7B1E" w:rsidRDefault="00C96F31" w:rsidP="00337E78">
            <w:pPr>
              <w:pStyle w:val="Tabletext"/>
              <w:rPr>
                <w:b/>
              </w:rPr>
            </w:pPr>
            <w:r w:rsidRPr="00CF7B1E">
              <w:rPr>
                <w:b/>
              </w:rPr>
              <w:t>1.47 (-2.03, 4.97)</w:t>
            </w:r>
          </w:p>
        </w:tc>
      </w:tr>
      <w:tr w:rsidR="00C96F31" w:rsidRPr="008C2451" w:rsidTr="00FC3536">
        <w:trPr>
          <w:cantSplit/>
          <w:trHeight w:val="70"/>
        </w:trPr>
        <w:tc>
          <w:tcPr>
            <w:tcW w:w="1367" w:type="pct"/>
            <w:tcBorders>
              <w:bottom w:val="nil"/>
            </w:tcBorders>
            <w:vAlign w:val="center"/>
          </w:tcPr>
          <w:p w:rsidR="00C96F31" w:rsidRPr="00CF7B1E" w:rsidRDefault="00C96F31" w:rsidP="00337E78">
            <w:pPr>
              <w:pStyle w:val="Tabletext"/>
              <w:widowControl w:val="0"/>
              <w:rPr>
                <w:b/>
              </w:rPr>
            </w:pPr>
            <w:r w:rsidRPr="00CF7B1E">
              <w:rPr>
                <w:b/>
              </w:rPr>
              <w:t>MenACWY-TT-039 #</w:t>
            </w:r>
          </w:p>
        </w:tc>
        <w:tc>
          <w:tcPr>
            <w:tcW w:w="811" w:type="pct"/>
            <w:tcBorders>
              <w:bottom w:val="nil"/>
            </w:tcBorders>
            <w:vAlign w:val="center"/>
          </w:tcPr>
          <w:p w:rsidR="00C96F31" w:rsidRPr="00CF7B1E" w:rsidRDefault="00C96F31" w:rsidP="00337E78">
            <w:pPr>
              <w:pStyle w:val="Tabletext"/>
              <w:widowControl w:val="0"/>
              <w:rPr>
                <w:b/>
              </w:rPr>
            </w:pPr>
          </w:p>
        </w:tc>
        <w:tc>
          <w:tcPr>
            <w:tcW w:w="800" w:type="pct"/>
            <w:tcBorders>
              <w:bottom w:val="nil"/>
            </w:tcBorders>
            <w:vAlign w:val="center"/>
          </w:tcPr>
          <w:p w:rsidR="00C96F31" w:rsidRPr="00CF7B1E" w:rsidRDefault="00C96F31" w:rsidP="00337E78">
            <w:pPr>
              <w:pStyle w:val="Tabletext"/>
              <w:widowControl w:val="0"/>
              <w:rPr>
                <w:b/>
              </w:rPr>
            </w:pPr>
          </w:p>
        </w:tc>
        <w:tc>
          <w:tcPr>
            <w:tcW w:w="925" w:type="pct"/>
            <w:tcBorders>
              <w:bottom w:val="nil"/>
            </w:tcBorders>
            <w:vAlign w:val="center"/>
          </w:tcPr>
          <w:p w:rsidR="00C96F31" w:rsidRPr="00CF7B1E" w:rsidRDefault="00C96F31" w:rsidP="00337E78">
            <w:pPr>
              <w:pStyle w:val="Tabletext"/>
              <w:widowControl w:val="0"/>
              <w:rPr>
                <w:b/>
              </w:rPr>
            </w:pPr>
          </w:p>
        </w:tc>
        <w:tc>
          <w:tcPr>
            <w:tcW w:w="1097" w:type="pct"/>
            <w:tcBorders>
              <w:bottom w:val="nil"/>
            </w:tcBorders>
            <w:vAlign w:val="center"/>
          </w:tcPr>
          <w:p w:rsidR="00C96F31" w:rsidRPr="00CF7B1E" w:rsidRDefault="00C96F31" w:rsidP="00337E78">
            <w:pPr>
              <w:pStyle w:val="Tabletext"/>
              <w:widowControl w:val="0"/>
              <w:rPr>
                <w:b/>
              </w:rPr>
            </w:pPr>
          </w:p>
        </w:tc>
      </w:tr>
      <w:tr w:rsidR="00C96F31" w:rsidRPr="008C2451" w:rsidTr="00FC3536">
        <w:trPr>
          <w:cantSplit/>
          <w:trHeight w:val="80"/>
        </w:trPr>
        <w:tc>
          <w:tcPr>
            <w:tcW w:w="1367" w:type="pct"/>
            <w:tcBorders>
              <w:top w:val="nil"/>
              <w:bottom w:val="nil"/>
            </w:tcBorders>
          </w:tcPr>
          <w:p w:rsidR="00C96F31" w:rsidRPr="00411717" w:rsidRDefault="00C96F31" w:rsidP="00337E78">
            <w:pPr>
              <w:pStyle w:val="Tabletext"/>
              <w:widowControl w:val="0"/>
              <w:rPr>
                <w:b/>
                <w:i/>
              </w:rPr>
            </w:pPr>
            <w:r w:rsidRPr="00411717">
              <w:rPr>
                <w:b/>
                <w:i/>
              </w:rPr>
              <w:t>Pre-vaccination</w:t>
            </w:r>
          </w:p>
        </w:tc>
        <w:tc>
          <w:tcPr>
            <w:tcW w:w="811" w:type="pct"/>
            <w:tcBorders>
              <w:top w:val="nil"/>
              <w:bottom w:val="nil"/>
            </w:tcBorders>
            <w:vAlign w:val="center"/>
          </w:tcPr>
          <w:p w:rsidR="00C96F31" w:rsidRPr="00CF7B1E" w:rsidRDefault="00C96F31" w:rsidP="00337E78">
            <w:pPr>
              <w:pStyle w:val="Tabletext"/>
              <w:widowControl w:val="0"/>
              <w:rPr>
                <w:b/>
                <w:i/>
              </w:rPr>
            </w:pPr>
            <w:r w:rsidRPr="00CF7B1E">
              <w:rPr>
                <w:b/>
                <w:i/>
              </w:rPr>
              <w:t>77/171 (45.0)</w:t>
            </w:r>
          </w:p>
        </w:tc>
        <w:tc>
          <w:tcPr>
            <w:tcW w:w="800" w:type="pct"/>
            <w:tcBorders>
              <w:top w:val="nil"/>
              <w:bottom w:val="nil"/>
            </w:tcBorders>
            <w:vAlign w:val="center"/>
          </w:tcPr>
          <w:p w:rsidR="00C96F31" w:rsidRPr="00CF7B1E" w:rsidRDefault="00C96F31" w:rsidP="00337E78">
            <w:pPr>
              <w:pStyle w:val="Tabletext"/>
              <w:widowControl w:val="0"/>
              <w:rPr>
                <w:b/>
                <w:i/>
              </w:rPr>
            </w:pPr>
            <w:r w:rsidRPr="00CF7B1E">
              <w:rPr>
                <w:b/>
                <w:i/>
              </w:rPr>
              <w:t>13/60 (21.7)</w:t>
            </w:r>
          </w:p>
        </w:tc>
        <w:tc>
          <w:tcPr>
            <w:tcW w:w="925" w:type="pct"/>
            <w:tcBorders>
              <w:top w:val="nil"/>
              <w:bottom w:val="nil"/>
            </w:tcBorders>
            <w:vAlign w:val="center"/>
          </w:tcPr>
          <w:p w:rsidR="00C96F31" w:rsidRPr="00CF7B1E" w:rsidRDefault="00C96F31" w:rsidP="00337E78">
            <w:pPr>
              <w:pStyle w:val="Tabletext"/>
              <w:widowControl w:val="0"/>
              <w:rPr>
                <w:b/>
              </w:rPr>
            </w:pPr>
          </w:p>
        </w:tc>
        <w:tc>
          <w:tcPr>
            <w:tcW w:w="1097" w:type="pct"/>
            <w:tcBorders>
              <w:top w:val="nil"/>
              <w:bottom w:val="nil"/>
            </w:tcBorders>
            <w:vAlign w:val="center"/>
          </w:tcPr>
          <w:p w:rsidR="00C96F31" w:rsidRPr="00CF7B1E" w:rsidRDefault="00C96F31" w:rsidP="00337E78">
            <w:pPr>
              <w:pStyle w:val="Tabletext"/>
              <w:widowControl w:val="0"/>
              <w:rPr>
                <w:b/>
              </w:rPr>
            </w:pPr>
          </w:p>
        </w:tc>
      </w:tr>
      <w:tr w:rsidR="00C96F31" w:rsidRPr="008C2451" w:rsidTr="00FC3536">
        <w:trPr>
          <w:cantSplit/>
          <w:trHeight w:val="68"/>
        </w:trPr>
        <w:tc>
          <w:tcPr>
            <w:tcW w:w="1367" w:type="pct"/>
            <w:tcBorders>
              <w:top w:val="nil"/>
              <w:bottom w:val="single" w:sz="4" w:space="0" w:color="auto"/>
            </w:tcBorders>
          </w:tcPr>
          <w:p w:rsidR="00C96F31" w:rsidRPr="00CF7B1E" w:rsidRDefault="00C96F31" w:rsidP="00337E78">
            <w:pPr>
              <w:pStyle w:val="Tabletext"/>
              <w:rPr>
                <w:b/>
              </w:rPr>
            </w:pPr>
            <w:r w:rsidRPr="00CF7B1E">
              <w:rPr>
                <w:b/>
              </w:rPr>
              <w:t>1 month post vaccination</w:t>
            </w:r>
          </w:p>
        </w:tc>
        <w:tc>
          <w:tcPr>
            <w:tcW w:w="811" w:type="pct"/>
            <w:tcBorders>
              <w:top w:val="nil"/>
              <w:bottom w:val="single" w:sz="4" w:space="0" w:color="auto"/>
            </w:tcBorders>
            <w:vAlign w:val="center"/>
          </w:tcPr>
          <w:p w:rsidR="00C96F31" w:rsidRPr="00CF7B1E" w:rsidRDefault="00C96F31" w:rsidP="00337E78">
            <w:pPr>
              <w:pStyle w:val="Tabletext"/>
              <w:rPr>
                <w:b/>
              </w:rPr>
            </w:pPr>
            <w:r w:rsidRPr="00CF7B1E">
              <w:rPr>
                <w:b/>
              </w:rPr>
              <w:t>353/354 (99.7)</w:t>
            </w:r>
          </w:p>
        </w:tc>
        <w:tc>
          <w:tcPr>
            <w:tcW w:w="800" w:type="pct"/>
            <w:tcBorders>
              <w:top w:val="nil"/>
              <w:bottom w:val="single" w:sz="4" w:space="0" w:color="auto"/>
            </w:tcBorders>
            <w:vAlign w:val="center"/>
          </w:tcPr>
          <w:p w:rsidR="00C96F31" w:rsidRPr="00CF7B1E" w:rsidRDefault="00C96F31" w:rsidP="00337E78">
            <w:pPr>
              <w:pStyle w:val="Tabletext"/>
              <w:rPr>
                <w:b/>
              </w:rPr>
            </w:pPr>
            <w:r w:rsidRPr="00CF7B1E">
              <w:rPr>
                <w:b/>
              </w:rPr>
              <w:t>118/121 (97.5)</w:t>
            </w:r>
          </w:p>
        </w:tc>
        <w:tc>
          <w:tcPr>
            <w:tcW w:w="925" w:type="pct"/>
            <w:tcBorders>
              <w:top w:val="nil"/>
              <w:bottom w:val="single" w:sz="4" w:space="0" w:color="auto"/>
            </w:tcBorders>
            <w:vAlign w:val="center"/>
          </w:tcPr>
          <w:p w:rsidR="00C96F31" w:rsidRPr="00CF7B1E" w:rsidRDefault="00C96F31" w:rsidP="00337E78">
            <w:pPr>
              <w:pStyle w:val="Tabletext"/>
              <w:rPr>
                <w:b/>
              </w:rPr>
            </w:pPr>
            <w:r w:rsidRPr="00CF7B1E">
              <w:rPr>
                <w:b/>
              </w:rPr>
              <w:t>1.02 (0.99, 1.05)</w:t>
            </w:r>
          </w:p>
        </w:tc>
        <w:tc>
          <w:tcPr>
            <w:tcW w:w="1097" w:type="pct"/>
            <w:tcBorders>
              <w:top w:val="nil"/>
              <w:bottom w:val="single" w:sz="4" w:space="0" w:color="auto"/>
            </w:tcBorders>
            <w:vAlign w:val="center"/>
          </w:tcPr>
          <w:p w:rsidR="00C96F31" w:rsidRPr="00CF7B1E" w:rsidRDefault="00C96F31" w:rsidP="00337E78">
            <w:pPr>
              <w:pStyle w:val="Tabletext"/>
              <w:rPr>
                <w:b/>
              </w:rPr>
            </w:pPr>
            <w:r w:rsidRPr="00CF7B1E">
              <w:rPr>
                <w:b/>
              </w:rPr>
              <w:t>2.20 (-0.63, 5.02)</w:t>
            </w:r>
          </w:p>
        </w:tc>
      </w:tr>
      <w:tr w:rsidR="00C96F31" w:rsidRPr="008C2451" w:rsidTr="00FC3536">
        <w:trPr>
          <w:cantSplit/>
          <w:trHeight w:val="70"/>
        </w:trPr>
        <w:tc>
          <w:tcPr>
            <w:tcW w:w="1367" w:type="pct"/>
            <w:tcBorders>
              <w:bottom w:val="nil"/>
            </w:tcBorders>
            <w:vAlign w:val="center"/>
          </w:tcPr>
          <w:p w:rsidR="00C96F31" w:rsidRPr="00CF7B1E" w:rsidRDefault="00C96F31" w:rsidP="00337E78">
            <w:pPr>
              <w:pStyle w:val="Tabletext"/>
              <w:rPr>
                <w:b/>
              </w:rPr>
            </w:pPr>
            <w:r w:rsidRPr="00CF7B1E">
              <w:rPr>
                <w:b/>
              </w:rPr>
              <w:t>MenACWY-TT-040</w:t>
            </w:r>
          </w:p>
        </w:tc>
        <w:tc>
          <w:tcPr>
            <w:tcW w:w="811" w:type="pct"/>
            <w:tcBorders>
              <w:bottom w:val="nil"/>
            </w:tcBorders>
            <w:vAlign w:val="center"/>
          </w:tcPr>
          <w:p w:rsidR="00C96F31" w:rsidRPr="00CF7B1E" w:rsidRDefault="00C96F31" w:rsidP="00337E78">
            <w:pPr>
              <w:pStyle w:val="Tabletext"/>
              <w:rPr>
                <w:b/>
              </w:rPr>
            </w:pPr>
          </w:p>
        </w:tc>
        <w:tc>
          <w:tcPr>
            <w:tcW w:w="800" w:type="pct"/>
            <w:tcBorders>
              <w:bottom w:val="nil"/>
            </w:tcBorders>
            <w:vAlign w:val="center"/>
          </w:tcPr>
          <w:p w:rsidR="00C96F31" w:rsidRPr="00CF7B1E" w:rsidRDefault="00C96F31" w:rsidP="00337E78">
            <w:pPr>
              <w:pStyle w:val="Tabletext"/>
              <w:rPr>
                <w:b/>
              </w:rPr>
            </w:pPr>
          </w:p>
        </w:tc>
        <w:tc>
          <w:tcPr>
            <w:tcW w:w="925" w:type="pct"/>
            <w:tcBorders>
              <w:bottom w:val="nil"/>
            </w:tcBorders>
            <w:vAlign w:val="center"/>
          </w:tcPr>
          <w:p w:rsidR="00C96F31" w:rsidRPr="00CF7B1E" w:rsidRDefault="00C96F31" w:rsidP="00337E78">
            <w:pPr>
              <w:pStyle w:val="Tabletext"/>
              <w:rPr>
                <w:b/>
              </w:rPr>
            </w:pPr>
          </w:p>
        </w:tc>
        <w:tc>
          <w:tcPr>
            <w:tcW w:w="1097" w:type="pct"/>
            <w:tcBorders>
              <w:bottom w:val="nil"/>
            </w:tcBorders>
            <w:vAlign w:val="center"/>
          </w:tcPr>
          <w:p w:rsidR="00C96F31" w:rsidRPr="00CF7B1E" w:rsidRDefault="00C96F31" w:rsidP="00337E78">
            <w:pPr>
              <w:pStyle w:val="Tabletext"/>
              <w:rPr>
                <w:b/>
              </w:rPr>
            </w:pPr>
          </w:p>
        </w:tc>
      </w:tr>
      <w:tr w:rsidR="00C96F31" w:rsidRPr="008C2451" w:rsidTr="00FC3536">
        <w:trPr>
          <w:cantSplit/>
          <w:trHeight w:val="80"/>
        </w:trPr>
        <w:tc>
          <w:tcPr>
            <w:tcW w:w="1367" w:type="pct"/>
            <w:tcBorders>
              <w:top w:val="nil"/>
              <w:bottom w:val="nil"/>
            </w:tcBorders>
          </w:tcPr>
          <w:p w:rsidR="00C96F31" w:rsidRPr="00411717" w:rsidRDefault="00C96F31" w:rsidP="00337E78">
            <w:pPr>
              <w:pStyle w:val="Tabletext"/>
              <w:rPr>
                <w:b/>
                <w:i/>
              </w:rPr>
            </w:pPr>
            <w:r w:rsidRPr="00411717">
              <w:rPr>
                <w:b/>
                <w:i/>
              </w:rPr>
              <w:t>Pre-vaccination</w:t>
            </w:r>
          </w:p>
        </w:tc>
        <w:tc>
          <w:tcPr>
            <w:tcW w:w="811" w:type="pct"/>
            <w:tcBorders>
              <w:top w:val="nil"/>
              <w:bottom w:val="nil"/>
            </w:tcBorders>
            <w:vAlign w:val="center"/>
          </w:tcPr>
          <w:p w:rsidR="00C96F31" w:rsidRPr="00CF7B1E" w:rsidRDefault="00C96F31" w:rsidP="00337E78">
            <w:pPr>
              <w:pStyle w:val="Tabletext"/>
              <w:rPr>
                <w:b/>
                <w:i/>
              </w:rPr>
            </w:pPr>
            <w:r w:rsidRPr="00CF7B1E">
              <w:rPr>
                <w:b/>
                <w:i/>
              </w:rPr>
              <w:t>25/91 (27.5)</w:t>
            </w:r>
          </w:p>
        </w:tc>
        <w:tc>
          <w:tcPr>
            <w:tcW w:w="800" w:type="pct"/>
            <w:tcBorders>
              <w:top w:val="nil"/>
              <w:bottom w:val="nil"/>
            </w:tcBorders>
            <w:vAlign w:val="center"/>
          </w:tcPr>
          <w:p w:rsidR="00C96F31" w:rsidRPr="00CF7B1E" w:rsidRDefault="00C96F31" w:rsidP="00337E78">
            <w:pPr>
              <w:pStyle w:val="Tabletext"/>
              <w:rPr>
                <w:b/>
                <w:i/>
              </w:rPr>
            </w:pPr>
            <w:r w:rsidRPr="00CF7B1E">
              <w:rPr>
                <w:b/>
                <w:i/>
              </w:rPr>
              <w:t>11/54 (20.4)</w:t>
            </w:r>
          </w:p>
        </w:tc>
        <w:tc>
          <w:tcPr>
            <w:tcW w:w="925" w:type="pct"/>
            <w:tcBorders>
              <w:top w:val="nil"/>
              <w:bottom w:val="nil"/>
            </w:tcBorders>
            <w:vAlign w:val="center"/>
          </w:tcPr>
          <w:p w:rsidR="00C96F31" w:rsidRPr="00CF7B1E" w:rsidRDefault="00C96F31" w:rsidP="00337E78">
            <w:pPr>
              <w:pStyle w:val="Tabletext"/>
              <w:rPr>
                <w:b/>
              </w:rPr>
            </w:pPr>
          </w:p>
        </w:tc>
        <w:tc>
          <w:tcPr>
            <w:tcW w:w="1097" w:type="pct"/>
            <w:tcBorders>
              <w:top w:val="nil"/>
              <w:bottom w:val="nil"/>
            </w:tcBorders>
            <w:vAlign w:val="center"/>
          </w:tcPr>
          <w:p w:rsidR="00C96F31" w:rsidRPr="00CF7B1E" w:rsidRDefault="00C96F31" w:rsidP="00337E78">
            <w:pPr>
              <w:pStyle w:val="Tabletext"/>
              <w:rPr>
                <w:b/>
              </w:rPr>
            </w:pPr>
          </w:p>
        </w:tc>
      </w:tr>
      <w:tr w:rsidR="00C96F31" w:rsidRPr="008C2451" w:rsidTr="00FC3536">
        <w:trPr>
          <w:cantSplit/>
          <w:trHeight w:val="80"/>
        </w:trPr>
        <w:tc>
          <w:tcPr>
            <w:tcW w:w="1367" w:type="pct"/>
            <w:tcBorders>
              <w:top w:val="nil"/>
            </w:tcBorders>
          </w:tcPr>
          <w:p w:rsidR="00C96F31" w:rsidRPr="00CF7B1E" w:rsidRDefault="00C96F31" w:rsidP="00337E78">
            <w:pPr>
              <w:pStyle w:val="Tabletext"/>
              <w:rPr>
                <w:b/>
              </w:rPr>
            </w:pPr>
            <w:r w:rsidRPr="00CF7B1E">
              <w:rPr>
                <w:b/>
              </w:rPr>
              <w:t>1 month post vaccination</w:t>
            </w:r>
          </w:p>
        </w:tc>
        <w:tc>
          <w:tcPr>
            <w:tcW w:w="811" w:type="pct"/>
            <w:tcBorders>
              <w:top w:val="nil"/>
            </w:tcBorders>
            <w:vAlign w:val="center"/>
          </w:tcPr>
          <w:p w:rsidR="00C96F31" w:rsidRPr="00CF7B1E" w:rsidRDefault="00C96F31" w:rsidP="00337E78">
            <w:pPr>
              <w:pStyle w:val="Tabletext"/>
              <w:rPr>
                <w:b/>
              </w:rPr>
            </w:pPr>
            <w:r w:rsidRPr="00CF7B1E">
              <w:rPr>
                <w:b/>
              </w:rPr>
              <w:t>178/183 (97.3)</w:t>
            </w:r>
          </w:p>
        </w:tc>
        <w:tc>
          <w:tcPr>
            <w:tcW w:w="800" w:type="pct"/>
            <w:tcBorders>
              <w:top w:val="nil"/>
            </w:tcBorders>
            <w:vAlign w:val="center"/>
          </w:tcPr>
          <w:p w:rsidR="00C96F31" w:rsidRPr="00CF7B1E" w:rsidRDefault="00C96F31" w:rsidP="00337E78">
            <w:pPr>
              <w:pStyle w:val="Tabletext"/>
              <w:rPr>
                <w:b/>
              </w:rPr>
            </w:pPr>
            <w:r w:rsidRPr="00CF7B1E">
              <w:rPr>
                <w:b/>
              </w:rPr>
              <w:t>112/114 (98.2)</w:t>
            </w:r>
          </w:p>
        </w:tc>
        <w:tc>
          <w:tcPr>
            <w:tcW w:w="925" w:type="pct"/>
            <w:tcBorders>
              <w:top w:val="nil"/>
            </w:tcBorders>
            <w:vAlign w:val="center"/>
          </w:tcPr>
          <w:p w:rsidR="00C96F31" w:rsidRPr="00CF7B1E" w:rsidRDefault="00C96F31" w:rsidP="00337E78">
            <w:pPr>
              <w:pStyle w:val="Tabletext"/>
              <w:rPr>
                <w:b/>
              </w:rPr>
            </w:pPr>
            <w:r w:rsidRPr="00CF7B1E">
              <w:rPr>
                <w:b/>
              </w:rPr>
              <w:t>0.99 (0.96, 1.02)</w:t>
            </w:r>
          </w:p>
        </w:tc>
        <w:tc>
          <w:tcPr>
            <w:tcW w:w="1097" w:type="pct"/>
            <w:tcBorders>
              <w:top w:val="nil"/>
            </w:tcBorders>
            <w:vAlign w:val="center"/>
          </w:tcPr>
          <w:p w:rsidR="00C96F31" w:rsidRPr="00CF7B1E" w:rsidRDefault="00C96F31" w:rsidP="00337E78">
            <w:pPr>
              <w:pStyle w:val="Tabletext"/>
              <w:rPr>
                <w:b/>
              </w:rPr>
            </w:pPr>
            <w:r w:rsidRPr="00CF7B1E">
              <w:rPr>
                <w:b/>
              </w:rPr>
              <w:t>-0.98 (-4.35, 2.40)</w:t>
            </w:r>
          </w:p>
        </w:tc>
      </w:tr>
      <w:tr w:rsidR="00C96F31" w:rsidRPr="0005465B" w:rsidTr="00337E78">
        <w:trPr>
          <w:cantSplit/>
          <w:trHeight w:val="70"/>
          <w:tblHeader/>
        </w:trPr>
        <w:tc>
          <w:tcPr>
            <w:tcW w:w="5000" w:type="pct"/>
            <w:gridSpan w:val="5"/>
            <w:shd w:val="clear" w:color="auto" w:fill="auto"/>
            <w:vAlign w:val="center"/>
          </w:tcPr>
          <w:p w:rsidR="00C96F31" w:rsidRPr="0005465B" w:rsidRDefault="00C96F31" w:rsidP="00337E78">
            <w:pPr>
              <w:pStyle w:val="Tabletext"/>
              <w:keepNext/>
              <w:rPr>
                <w:b/>
              </w:rPr>
            </w:pPr>
            <w:r w:rsidRPr="0005465B">
              <w:rPr>
                <w:b/>
              </w:rPr>
              <w:t>Serogroup W</w:t>
            </w:r>
            <w:r w:rsidRPr="00FA4517">
              <w:rPr>
                <w:b/>
                <w:vertAlign w:val="subscript"/>
              </w:rPr>
              <w:t>135</w:t>
            </w:r>
          </w:p>
        </w:tc>
      </w:tr>
      <w:tr w:rsidR="00C96F31" w:rsidRPr="008C2451" w:rsidTr="00FC3536">
        <w:trPr>
          <w:cantSplit/>
          <w:trHeight w:val="75"/>
        </w:trPr>
        <w:tc>
          <w:tcPr>
            <w:tcW w:w="1367" w:type="pct"/>
            <w:tcBorders>
              <w:bottom w:val="nil"/>
            </w:tcBorders>
            <w:vAlign w:val="center"/>
          </w:tcPr>
          <w:p w:rsidR="00C96F31" w:rsidRPr="008C2451" w:rsidRDefault="00C96F31" w:rsidP="00337E78">
            <w:pPr>
              <w:pStyle w:val="Tabletext"/>
              <w:keepNext/>
            </w:pPr>
            <w:r>
              <w:t>MenACWY-TT-013</w:t>
            </w:r>
          </w:p>
        </w:tc>
        <w:tc>
          <w:tcPr>
            <w:tcW w:w="811" w:type="pct"/>
            <w:tcBorders>
              <w:bottom w:val="nil"/>
            </w:tcBorders>
            <w:vAlign w:val="center"/>
          </w:tcPr>
          <w:p w:rsidR="00C96F31" w:rsidRPr="008C2451" w:rsidRDefault="00C96F31" w:rsidP="00337E78">
            <w:pPr>
              <w:pStyle w:val="Tabletext"/>
              <w:keepNext/>
            </w:pPr>
          </w:p>
        </w:tc>
        <w:tc>
          <w:tcPr>
            <w:tcW w:w="800" w:type="pct"/>
            <w:tcBorders>
              <w:bottom w:val="nil"/>
            </w:tcBorders>
            <w:vAlign w:val="center"/>
          </w:tcPr>
          <w:p w:rsidR="00C96F31" w:rsidRPr="008C2451" w:rsidRDefault="00C96F31" w:rsidP="00337E78">
            <w:pPr>
              <w:pStyle w:val="Tabletext"/>
              <w:keepNext/>
            </w:pPr>
          </w:p>
        </w:tc>
        <w:tc>
          <w:tcPr>
            <w:tcW w:w="925" w:type="pct"/>
            <w:tcBorders>
              <w:bottom w:val="nil"/>
            </w:tcBorders>
            <w:shd w:val="clear" w:color="auto" w:fill="auto"/>
            <w:vAlign w:val="center"/>
          </w:tcPr>
          <w:p w:rsidR="00C96F31" w:rsidRPr="008C2451" w:rsidRDefault="00C96F31" w:rsidP="00337E78">
            <w:pPr>
              <w:pStyle w:val="Tabletext"/>
              <w:keepNext/>
            </w:pPr>
          </w:p>
        </w:tc>
        <w:tc>
          <w:tcPr>
            <w:tcW w:w="1097" w:type="pct"/>
            <w:tcBorders>
              <w:bottom w:val="nil"/>
            </w:tcBorders>
            <w:shd w:val="clear" w:color="auto" w:fill="auto"/>
            <w:vAlign w:val="center"/>
          </w:tcPr>
          <w:p w:rsidR="00C96F31" w:rsidRPr="008C2451" w:rsidRDefault="00C96F31" w:rsidP="00337E78">
            <w:pPr>
              <w:pStyle w:val="Tabletext"/>
              <w:keepNext/>
            </w:pPr>
          </w:p>
        </w:tc>
      </w:tr>
      <w:tr w:rsidR="00C96F31" w:rsidRPr="008C2451" w:rsidTr="00FC3536">
        <w:trPr>
          <w:cantSplit/>
          <w:trHeight w:val="132"/>
        </w:trPr>
        <w:tc>
          <w:tcPr>
            <w:tcW w:w="1367" w:type="pct"/>
            <w:tcBorders>
              <w:top w:val="nil"/>
              <w:bottom w:val="nil"/>
            </w:tcBorders>
            <w:vAlign w:val="center"/>
          </w:tcPr>
          <w:p w:rsidR="00C96F31" w:rsidRPr="00411717" w:rsidRDefault="00C96F31" w:rsidP="00337E78">
            <w:pPr>
              <w:pStyle w:val="Tabletext"/>
              <w:keepNext/>
              <w:rPr>
                <w:i/>
              </w:rPr>
            </w:pPr>
            <w:r w:rsidRPr="00411717">
              <w:rPr>
                <w:i/>
              </w:rPr>
              <w:t>Pre-vaccination</w:t>
            </w:r>
          </w:p>
        </w:tc>
        <w:tc>
          <w:tcPr>
            <w:tcW w:w="811" w:type="pct"/>
            <w:tcBorders>
              <w:top w:val="nil"/>
              <w:bottom w:val="nil"/>
            </w:tcBorders>
            <w:vAlign w:val="center"/>
          </w:tcPr>
          <w:p w:rsidR="00C96F31" w:rsidRPr="0050687B" w:rsidRDefault="00C96F31" w:rsidP="00337E78">
            <w:pPr>
              <w:pStyle w:val="Tabletext"/>
              <w:keepNext/>
              <w:rPr>
                <w:i/>
              </w:rPr>
            </w:pPr>
            <w:r w:rsidRPr="0050687B">
              <w:rPr>
                <w:i/>
              </w:rPr>
              <w:t>15/42 (35.7)</w:t>
            </w:r>
          </w:p>
        </w:tc>
        <w:tc>
          <w:tcPr>
            <w:tcW w:w="800" w:type="pct"/>
            <w:tcBorders>
              <w:top w:val="nil"/>
              <w:bottom w:val="nil"/>
            </w:tcBorders>
            <w:vAlign w:val="center"/>
          </w:tcPr>
          <w:p w:rsidR="00C96F31" w:rsidRPr="0050687B" w:rsidRDefault="00C96F31" w:rsidP="00337E78">
            <w:pPr>
              <w:pStyle w:val="Tabletext"/>
              <w:keepNext/>
              <w:rPr>
                <w:i/>
              </w:rPr>
            </w:pPr>
            <w:r w:rsidRPr="0050687B">
              <w:rPr>
                <w:i/>
              </w:rPr>
              <w:t>14/45 (31.3)</w:t>
            </w:r>
          </w:p>
        </w:tc>
        <w:tc>
          <w:tcPr>
            <w:tcW w:w="925" w:type="pct"/>
            <w:tcBorders>
              <w:top w:val="nil"/>
              <w:bottom w:val="nil"/>
            </w:tcBorders>
            <w:shd w:val="clear" w:color="auto" w:fill="auto"/>
            <w:vAlign w:val="center"/>
          </w:tcPr>
          <w:p w:rsidR="00C96F31" w:rsidRPr="008C2451" w:rsidRDefault="00C96F31" w:rsidP="00337E78">
            <w:pPr>
              <w:pStyle w:val="Tabletext"/>
              <w:keepNext/>
            </w:pPr>
          </w:p>
        </w:tc>
        <w:tc>
          <w:tcPr>
            <w:tcW w:w="1097" w:type="pct"/>
            <w:tcBorders>
              <w:top w:val="nil"/>
              <w:bottom w:val="nil"/>
            </w:tcBorders>
            <w:shd w:val="clear" w:color="auto" w:fill="auto"/>
            <w:vAlign w:val="center"/>
          </w:tcPr>
          <w:p w:rsidR="00C96F31" w:rsidRPr="008C2451" w:rsidRDefault="00C96F31" w:rsidP="00337E78">
            <w:pPr>
              <w:pStyle w:val="Tabletext"/>
              <w:keepNext/>
            </w:pPr>
          </w:p>
        </w:tc>
      </w:tr>
      <w:tr w:rsidR="00C96F31" w:rsidRPr="008C2451" w:rsidTr="00FC3536">
        <w:trPr>
          <w:cantSplit/>
          <w:trHeight w:val="177"/>
        </w:trPr>
        <w:tc>
          <w:tcPr>
            <w:tcW w:w="1367" w:type="pct"/>
            <w:tcBorders>
              <w:top w:val="nil"/>
              <w:bottom w:val="single" w:sz="4" w:space="0" w:color="auto"/>
            </w:tcBorders>
            <w:vAlign w:val="center"/>
          </w:tcPr>
          <w:p w:rsidR="00C96F31" w:rsidRDefault="00C96F31" w:rsidP="00337E78">
            <w:pPr>
              <w:pStyle w:val="Tabletext"/>
            </w:pPr>
            <w:r>
              <w:t>1 month post vaccination</w:t>
            </w:r>
          </w:p>
        </w:tc>
        <w:tc>
          <w:tcPr>
            <w:tcW w:w="811" w:type="pct"/>
            <w:tcBorders>
              <w:top w:val="nil"/>
              <w:bottom w:val="single" w:sz="4" w:space="0" w:color="auto"/>
            </w:tcBorders>
            <w:vAlign w:val="center"/>
          </w:tcPr>
          <w:p w:rsidR="00C96F31" w:rsidRPr="008C2451" w:rsidRDefault="00C96F31" w:rsidP="00337E78">
            <w:pPr>
              <w:pStyle w:val="Tabletext"/>
            </w:pPr>
            <w:r w:rsidRPr="008C2451">
              <w:t>43/43 (100)</w:t>
            </w:r>
          </w:p>
        </w:tc>
        <w:tc>
          <w:tcPr>
            <w:tcW w:w="800" w:type="pct"/>
            <w:tcBorders>
              <w:top w:val="nil"/>
              <w:bottom w:val="single" w:sz="4" w:space="0" w:color="auto"/>
            </w:tcBorders>
            <w:vAlign w:val="center"/>
          </w:tcPr>
          <w:p w:rsidR="00C96F31" w:rsidRPr="008C2451" w:rsidRDefault="00C96F31" w:rsidP="00337E78">
            <w:pPr>
              <w:pStyle w:val="Tabletext"/>
            </w:pPr>
            <w:r w:rsidRPr="008C2451">
              <w:t>15/45 (33.3)</w:t>
            </w:r>
          </w:p>
        </w:tc>
        <w:tc>
          <w:tcPr>
            <w:tcW w:w="925" w:type="pct"/>
            <w:tcBorders>
              <w:top w:val="nil"/>
              <w:bottom w:val="single" w:sz="4" w:space="0" w:color="auto"/>
            </w:tcBorders>
            <w:shd w:val="clear" w:color="auto" w:fill="auto"/>
            <w:vAlign w:val="center"/>
          </w:tcPr>
          <w:p w:rsidR="00C96F31" w:rsidRPr="008C2451" w:rsidRDefault="00C96F31" w:rsidP="00337E78">
            <w:pPr>
              <w:pStyle w:val="Tabletext"/>
            </w:pPr>
            <w:r w:rsidRPr="008C2451">
              <w:t>2.93 (1.95, 4.41)*</w:t>
            </w:r>
          </w:p>
        </w:tc>
        <w:tc>
          <w:tcPr>
            <w:tcW w:w="1097" w:type="pct"/>
            <w:tcBorders>
              <w:top w:val="nil"/>
              <w:bottom w:val="single" w:sz="4" w:space="0" w:color="auto"/>
            </w:tcBorders>
            <w:shd w:val="clear" w:color="auto" w:fill="auto"/>
            <w:vAlign w:val="center"/>
          </w:tcPr>
          <w:p w:rsidR="00C96F31" w:rsidRPr="008C2451" w:rsidRDefault="00C96F31" w:rsidP="00337E78">
            <w:pPr>
              <w:pStyle w:val="Tabletext"/>
            </w:pPr>
            <w:r w:rsidRPr="008C2451">
              <w:t>66.67 (52.65, 80.68)*</w:t>
            </w:r>
          </w:p>
        </w:tc>
      </w:tr>
      <w:tr w:rsidR="00C96F31" w:rsidRPr="008C2451" w:rsidTr="00FC3536">
        <w:trPr>
          <w:cantSplit/>
          <w:trHeight w:val="70"/>
        </w:trPr>
        <w:tc>
          <w:tcPr>
            <w:tcW w:w="1367" w:type="pct"/>
            <w:tcBorders>
              <w:bottom w:val="nil"/>
            </w:tcBorders>
            <w:vAlign w:val="center"/>
          </w:tcPr>
          <w:p w:rsidR="00C96F31" w:rsidRPr="008C2451" w:rsidRDefault="00C96F31" w:rsidP="00337E78">
            <w:pPr>
              <w:pStyle w:val="Tabletext"/>
            </w:pPr>
            <w:r>
              <w:t>MenACWY-TT-027</w:t>
            </w:r>
          </w:p>
        </w:tc>
        <w:tc>
          <w:tcPr>
            <w:tcW w:w="811" w:type="pct"/>
            <w:tcBorders>
              <w:bottom w:val="nil"/>
            </w:tcBorders>
            <w:vAlign w:val="center"/>
          </w:tcPr>
          <w:p w:rsidR="00C96F31" w:rsidRPr="008C2451" w:rsidRDefault="00C96F31" w:rsidP="00337E78">
            <w:pPr>
              <w:pStyle w:val="Tabletext"/>
            </w:pPr>
          </w:p>
        </w:tc>
        <w:tc>
          <w:tcPr>
            <w:tcW w:w="800" w:type="pct"/>
            <w:tcBorders>
              <w:bottom w:val="nil"/>
            </w:tcBorders>
            <w:vAlign w:val="center"/>
          </w:tcPr>
          <w:p w:rsidR="00C96F31" w:rsidRPr="008C2451" w:rsidRDefault="00C96F31" w:rsidP="00337E78">
            <w:pPr>
              <w:pStyle w:val="Tabletext"/>
            </w:pPr>
          </w:p>
        </w:tc>
        <w:tc>
          <w:tcPr>
            <w:tcW w:w="925" w:type="pct"/>
            <w:tcBorders>
              <w:bottom w:val="nil"/>
            </w:tcBorders>
            <w:vAlign w:val="center"/>
          </w:tcPr>
          <w:p w:rsidR="00C96F31" w:rsidRPr="008C2451" w:rsidRDefault="00C96F31" w:rsidP="00337E78">
            <w:pPr>
              <w:pStyle w:val="Tabletext"/>
            </w:pPr>
          </w:p>
        </w:tc>
        <w:tc>
          <w:tcPr>
            <w:tcW w:w="1097" w:type="pct"/>
            <w:tcBorders>
              <w:bottom w:val="nil"/>
            </w:tcBorders>
            <w:vAlign w:val="center"/>
          </w:tcPr>
          <w:p w:rsidR="00C96F31" w:rsidRPr="008C2451" w:rsidRDefault="00C96F31" w:rsidP="00337E78">
            <w:pPr>
              <w:pStyle w:val="Tabletext"/>
            </w:pPr>
          </w:p>
        </w:tc>
      </w:tr>
      <w:tr w:rsidR="00C96F31" w:rsidRPr="008C2451" w:rsidTr="00FC3536">
        <w:trPr>
          <w:cantSplit/>
          <w:trHeight w:val="80"/>
        </w:trPr>
        <w:tc>
          <w:tcPr>
            <w:tcW w:w="1367" w:type="pct"/>
            <w:tcBorders>
              <w:top w:val="nil"/>
              <w:bottom w:val="nil"/>
            </w:tcBorders>
            <w:vAlign w:val="center"/>
          </w:tcPr>
          <w:p w:rsidR="00C96F31" w:rsidRPr="00411717" w:rsidRDefault="00C96F31" w:rsidP="00337E78">
            <w:pPr>
              <w:pStyle w:val="Tabletext"/>
              <w:rPr>
                <w:i/>
              </w:rPr>
            </w:pPr>
            <w:r w:rsidRPr="00411717">
              <w:rPr>
                <w:i/>
              </w:rPr>
              <w:t>Pre-vaccination</w:t>
            </w:r>
          </w:p>
        </w:tc>
        <w:tc>
          <w:tcPr>
            <w:tcW w:w="811" w:type="pct"/>
            <w:tcBorders>
              <w:top w:val="nil"/>
              <w:bottom w:val="nil"/>
            </w:tcBorders>
            <w:vAlign w:val="center"/>
          </w:tcPr>
          <w:p w:rsidR="00C96F31" w:rsidRPr="00E36C41" w:rsidRDefault="00C96F31" w:rsidP="00337E78">
            <w:pPr>
              <w:pStyle w:val="Tabletext"/>
              <w:rPr>
                <w:i/>
              </w:rPr>
            </w:pPr>
            <w:r w:rsidRPr="00E36C41">
              <w:rPr>
                <w:i/>
              </w:rPr>
              <w:t>59/208 (28.4)</w:t>
            </w:r>
          </w:p>
        </w:tc>
        <w:tc>
          <w:tcPr>
            <w:tcW w:w="800" w:type="pct"/>
            <w:tcBorders>
              <w:top w:val="nil"/>
              <w:bottom w:val="nil"/>
            </w:tcBorders>
            <w:vAlign w:val="center"/>
          </w:tcPr>
          <w:p w:rsidR="00C96F31" w:rsidRPr="00E36C41" w:rsidRDefault="00C96F31" w:rsidP="00337E78">
            <w:pPr>
              <w:pStyle w:val="Tabletext"/>
              <w:rPr>
                <w:i/>
              </w:rPr>
            </w:pPr>
            <w:r w:rsidRPr="00E36C41">
              <w:rPr>
                <w:i/>
              </w:rPr>
              <w:t>24/26 (38.7)</w:t>
            </w:r>
          </w:p>
        </w:tc>
        <w:tc>
          <w:tcPr>
            <w:tcW w:w="925" w:type="pct"/>
            <w:tcBorders>
              <w:top w:val="nil"/>
              <w:bottom w:val="nil"/>
            </w:tcBorders>
            <w:vAlign w:val="center"/>
          </w:tcPr>
          <w:p w:rsidR="00C96F31" w:rsidRPr="008C2451" w:rsidRDefault="00C96F31" w:rsidP="00337E78">
            <w:pPr>
              <w:pStyle w:val="Tabletext"/>
            </w:pPr>
          </w:p>
        </w:tc>
        <w:tc>
          <w:tcPr>
            <w:tcW w:w="1097" w:type="pct"/>
            <w:tcBorders>
              <w:top w:val="nil"/>
              <w:bottom w:val="nil"/>
            </w:tcBorders>
            <w:vAlign w:val="center"/>
          </w:tcPr>
          <w:p w:rsidR="00C96F31" w:rsidRPr="008C2451" w:rsidRDefault="00C96F31" w:rsidP="00337E78">
            <w:pPr>
              <w:pStyle w:val="Tabletext"/>
            </w:pPr>
          </w:p>
        </w:tc>
      </w:tr>
      <w:tr w:rsidR="00C96F31" w:rsidRPr="008C2451" w:rsidTr="00FC3536">
        <w:trPr>
          <w:cantSplit/>
          <w:trHeight w:val="191"/>
        </w:trPr>
        <w:tc>
          <w:tcPr>
            <w:tcW w:w="1367" w:type="pct"/>
            <w:tcBorders>
              <w:top w:val="nil"/>
              <w:bottom w:val="single" w:sz="4" w:space="0" w:color="auto"/>
            </w:tcBorders>
            <w:vAlign w:val="center"/>
          </w:tcPr>
          <w:p w:rsidR="00C96F31" w:rsidRDefault="00C96F31" w:rsidP="00337E78">
            <w:pPr>
              <w:pStyle w:val="Tabletext"/>
            </w:pPr>
            <w:r>
              <w:t>1 month post vaccination</w:t>
            </w:r>
          </w:p>
        </w:tc>
        <w:tc>
          <w:tcPr>
            <w:tcW w:w="811" w:type="pct"/>
            <w:tcBorders>
              <w:top w:val="nil"/>
              <w:bottom w:val="single" w:sz="4" w:space="0" w:color="auto"/>
            </w:tcBorders>
            <w:vAlign w:val="center"/>
          </w:tcPr>
          <w:p w:rsidR="00C96F31" w:rsidRPr="008C2451" w:rsidRDefault="00C96F31" w:rsidP="00337E78">
            <w:pPr>
              <w:pStyle w:val="Tabletext"/>
            </w:pPr>
            <w:r w:rsidRPr="008C2451">
              <w:t>222/222 (100)</w:t>
            </w:r>
          </w:p>
        </w:tc>
        <w:tc>
          <w:tcPr>
            <w:tcW w:w="800" w:type="pct"/>
            <w:tcBorders>
              <w:top w:val="nil"/>
              <w:bottom w:val="single" w:sz="4" w:space="0" w:color="auto"/>
            </w:tcBorders>
            <w:vAlign w:val="center"/>
          </w:tcPr>
          <w:p w:rsidR="00C96F31" w:rsidRPr="008C2451" w:rsidRDefault="00C96F31" w:rsidP="00337E78">
            <w:pPr>
              <w:pStyle w:val="Tabletext"/>
            </w:pPr>
            <w:r w:rsidRPr="008C2451">
              <w:t>27/63 (42.9)</w:t>
            </w:r>
          </w:p>
        </w:tc>
        <w:tc>
          <w:tcPr>
            <w:tcW w:w="925" w:type="pct"/>
            <w:tcBorders>
              <w:top w:val="nil"/>
              <w:bottom w:val="single" w:sz="4" w:space="0" w:color="auto"/>
            </w:tcBorders>
            <w:vAlign w:val="center"/>
          </w:tcPr>
          <w:p w:rsidR="00C96F31" w:rsidRPr="008C2451" w:rsidRDefault="00C96F31" w:rsidP="00337E78">
            <w:pPr>
              <w:pStyle w:val="Tabletext"/>
            </w:pPr>
            <w:r w:rsidRPr="008C2451">
              <w:t>2.32 (1.75, 3.08)*</w:t>
            </w:r>
          </w:p>
        </w:tc>
        <w:tc>
          <w:tcPr>
            <w:tcW w:w="1097" w:type="pct"/>
            <w:tcBorders>
              <w:top w:val="nil"/>
              <w:bottom w:val="single" w:sz="4" w:space="0" w:color="auto"/>
            </w:tcBorders>
            <w:vAlign w:val="center"/>
          </w:tcPr>
          <w:p w:rsidR="00C96F31" w:rsidRPr="008C2451" w:rsidRDefault="00C96F31" w:rsidP="00337E78">
            <w:pPr>
              <w:pStyle w:val="Tabletext"/>
            </w:pPr>
            <w:r w:rsidRPr="008C2451">
              <w:t>57.14 (45.00, 69.29)*</w:t>
            </w:r>
          </w:p>
        </w:tc>
      </w:tr>
      <w:tr w:rsidR="00C96F31" w:rsidRPr="008C2451" w:rsidTr="00FC3536">
        <w:trPr>
          <w:cantSplit/>
          <w:trHeight w:val="146"/>
        </w:trPr>
        <w:tc>
          <w:tcPr>
            <w:tcW w:w="1367" w:type="pct"/>
            <w:tcBorders>
              <w:bottom w:val="nil"/>
            </w:tcBorders>
            <w:vAlign w:val="center"/>
          </w:tcPr>
          <w:p w:rsidR="00C96F31" w:rsidRPr="008C2451" w:rsidRDefault="00C96F31" w:rsidP="00337E78">
            <w:pPr>
              <w:pStyle w:val="Tabletext"/>
            </w:pPr>
            <w:r>
              <w:t>MenACWY-TT-039</w:t>
            </w:r>
            <w:r w:rsidRPr="008C2451">
              <w:t xml:space="preserve"> #</w:t>
            </w:r>
          </w:p>
        </w:tc>
        <w:tc>
          <w:tcPr>
            <w:tcW w:w="811" w:type="pct"/>
            <w:tcBorders>
              <w:bottom w:val="nil"/>
            </w:tcBorders>
            <w:vAlign w:val="center"/>
          </w:tcPr>
          <w:p w:rsidR="00C96F31" w:rsidRPr="008C2451" w:rsidRDefault="00C96F31" w:rsidP="00337E78">
            <w:pPr>
              <w:pStyle w:val="Tabletext"/>
            </w:pPr>
          </w:p>
        </w:tc>
        <w:tc>
          <w:tcPr>
            <w:tcW w:w="800" w:type="pct"/>
            <w:tcBorders>
              <w:bottom w:val="nil"/>
            </w:tcBorders>
            <w:vAlign w:val="center"/>
          </w:tcPr>
          <w:p w:rsidR="00C96F31" w:rsidRPr="008C2451" w:rsidRDefault="00C96F31" w:rsidP="00337E78">
            <w:pPr>
              <w:pStyle w:val="Tabletext"/>
            </w:pPr>
          </w:p>
        </w:tc>
        <w:tc>
          <w:tcPr>
            <w:tcW w:w="925" w:type="pct"/>
            <w:tcBorders>
              <w:bottom w:val="nil"/>
            </w:tcBorders>
            <w:vAlign w:val="center"/>
          </w:tcPr>
          <w:p w:rsidR="00C96F31" w:rsidRPr="008C2451" w:rsidRDefault="00C96F31" w:rsidP="00337E78">
            <w:pPr>
              <w:pStyle w:val="Tabletext"/>
            </w:pPr>
          </w:p>
        </w:tc>
        <w:tc>
          <w:tcPr>
            <w:tcW w:w="1097" w:type="pct"/>
            <w:tcBorders>
              <w:bottom w:val="nil"/>
            </w:tcBorders>
            <w:vAlign w:val="center"/>
          </w:tcPr>
          <w:p w:rsidR="00C96F31" w:rsidRPr="008C2451" w:rsidRDefault="00C96F31" w:rsidP="00337E78">
            <w:pPr>
              <w:pStyle w:val="Tabletext"/>
            </w:pPr>
          </w:p>
        </w:tc>
      </w:tr>
      <w:tr w:rsidR="00C96F31" w:rsidRPr="008C2451" w:rsidTr="00FC3536">
        <w:trPr>
          <w:cantSplit/>
          <w:trHeight w:val="80"/>
        </w:trPr>
        <w:tc>
          <w:tcPr>
            <w:tcW w:w="1367" w:type="pct"/>
            <w:tcBorders>
              <w:top w:val="nil"/>
              <w:bottom w:val="nil"/>
            </w:tcBorders>
          </w:tcPr>
          <w:p w:rsidR="00C96F31" w:rsidRPr="00411717" w:rsidRDefault="00C96F31" w:rsidP="00337E78">
            <w:pPr>
              <w:pStyle w:val="Tabletext"/>
              <w:rPr>
                <w:i/>
              </w:rPr>
            </w:pPr>
            <w:r w:rsidRPr="00411717">
              <w:rPr>
                <w:i/>
              </w:rPr>
              <w:t>Pre-vaccination</w:t>
            </w:r>
          </w:p>
        </w:tc>
        <w:tc>
          <w:tcPr>
            <w:tcW w:w="811" w:type="pct"/>
            <w:tcBorders>
              <w:top w:val="nil"/>
              <w:bottom w:val="nil"/>
            </w:tcBorders>
            <w:vAlign w:val="center"/>
          </w:tcPr>
          <w:p w:rsidR="00C96F31" w:rsidRPr="008C753B" w:rsidRDefault="00C96F31" w:rsidP="00337E78">
            <w:pPr>
              <w:pStyle w:val="Tabletext"/>
              <w:rPr>
                <w:i/>
              </w:rPr>
            </w:pPr>
            <w:r w:rsidRPr="008C753B">
              <w:rPr>
                <w:i/>
              </w:rPr>
              <w:t>81/177 (45.8)</w:t>
            </w:r>
          </w:p>
        </w:tc>
        <w:tc>
          <w:tcPr>
            <w:tcW w:w="800" w:type="pct"/>
            <w:tcBorders>
              <w:top w:val="nil"/>
              <w:bottom w:val="nil"/>
            </w:tcBorders>
            <w:vAlign w:val="center"/>
          </w:tcPr>
          <w:p w:rsidR="00C96F31" w:rsidRPr="008C753B" w:rsidRDefault="00C96F31" w:rsidP="00337E78">
            <w:pPr>
              <w:pStyle w:val="Tabletext"/>
              <w:rPr>
                <w:i/>
              </w:rPr>
            </w:pPr>
            <w:r w:rsidRPr="008C753B">
              <w:rPr>
                <w:i/>
              </w:rPr>
              <w:t>30/61 (49.2)</w:t>
            </w:r>
          </w:p>
        </w:tc>
        <w:tc>
          <w:tcPr>
            <w:tcW w:w="925" w:type="pct"/>
            <w:tcBorders>
              <w:top w:val="nil"/>
              <w:bottom w:val="nil"/>
            </w:tcBorders>
            <w:vAlign w:val="center"/>
          </w:tcPr>
          <w:p w:rsidR="00C96F31" w:rsidRPr="008C2451" w:rsidRDefault="00C96F31" w:rsidP="00337E78">
            <w:pPr>
              <w:pStyle w:val="Tabletext"/>
            </w:pPr>
          </w:p>
        </w:tc>
        <w:tc>
          <w:tcPr>
            <w:tcW w:w="1097" w:type="pct"/>
            <w:tcBorders>
              <w:top w:val="nil"/>
              <w:bottom w:val="nil"/>
            </w:tcBorders>
            <w:vAlign w:val="center"/>
          </w:tcPr>
          <w:p w:rsidR="00C96F31" w:rsidRPr="008C2451" w:rsidRDefault="00C96F31" w:rsidP="00337E78">
            <w:pPr>
              <w:pStyle w:val="Tabletext"/>
            </w:pPr>
          </w:p>
        </w:tc>
      </w:tr>
      <w:tr w:rsidR="00C96F31" w:rsidRPr="008C2451" w:rsidTr="00FC3536">
        <w:trPr>
          <w:cantSplit/>
          <w:trHeight w:val="120"/>
        </w:trPr>
        <w:tc>
          <w:tcPr>
            <w:tcW w:w="1367" w:type="pct"/>
            <w:tcBorders>
              <w:top w:val="nil"/>
              <w:bottom w:val="single" w:sz="4" w:space="0" w:color="auto"/>
            </w:tcBorders>
          </w:tcPr>
          <w:p w:rsidR="00C96F31" w:rsidRDefault="00C96F31" w:rsidP="00337E78">
            <w:pPr>
              <w:pStyle w:val="Tabletext"/>
            </w:pPr>
            <w:r w:rsidRPr="00207447">
              <w:t>1 month post vaccination</w:t>
            </w:r>
          </w:p>
        </w:tc>
        <w:tc>
          <w:tcPr>
            <w:tcW w:w="811" w:type="pct"/>
            <w:tcBorders>
              <w:top w:val="nil"/>
              <w:bottom w:val="single" w:sz="4" w:space="0" w:color="auto"/>
            </w:tcBorders>
            <w:vAlign w:val="center"/>
          </w:tcPr>
          <w:p w:rsidR="00C96F31" w:rsidRPr="008C2451" w:rsidRDefault="00C96F31" w:rsidP="00337E78">
            <w:pPr>
              <w:pStyle w:val="Tabletext"/>
            </w:pPr>
            <w:r w:rsidRPr="008C2451">
              <w:t>354/354 (100)</w:t>
            </w:r>
          </w:p>
        </w:tc>
        <w:tc>
          <w:tcPr>
            <w:tcW w:w="800" w:type="pct"/>
            <w:tcBorders>
              <w:top w:val="nil"/>
              <w:bottom w:val="single" w:sz="4" w:space="0" w:color="auto"/>
            </w:tcBorders>
            <w:vAlign w:val="center"/>
          </w:tcPr>
          <w:p w:rsidR="00C96F31" w:rsidRPr="008C2451" w:rsidRDefault="00C96F31" w:rsidP="00337E78">
            <w:pPr>
              <w:pStyle w:val="Tabletext"/>
            </w:pPr>
            <w:r w:rsidRPr="008C2451">
              <w:t>29/58 (50.0)</w:t>
            </w:r>
          </w:p>
        </w:tc>
        <w:tc>
          <w:tcPr>
            <w:tcW w:w="925" w:type="pct"/>
            <w:tcBorders>
              <w:top w:val="nil"/>
              <w:bottom w:val="single" w:sz="4" w:space="0" w:color="auto"/>
            </w:tcBorders>
            <w:vAlign w:val="center"/>
          </w:tcPr>
          <w:p w:rsidR="00C96F31" w:rsidRPr="008C2451" w:rsidRDefault="00C96F31" w:rsidP="00337E78">
            <w:pPr>
              <w:pStyle w:val="Tabletext"/>
            </w:pPr>
            <w:r w:rsidRPr="008C2451">
              <w:t>2.00 (1.55, 2.58)*</w:t>
            </w:r>
          </w:p>
        </w:tc>
        <w:tc>
          <w:tcPr>
            <w:tcW w:w="1097" w:type="pct"/>
            <w:tcBorders>
              <w:top w:val="nil"/>
              <w:bottom w:val="single" w:sz="4" w:space="0" w:color="auto"/>
            </w:tcBorders>
            <w:vAlign w:val="center"/>
          </w:tcPr>
          <w:p w:rsidR="00C96F31" w:rsidRPr="008C2451" w:rsidRDefault="00C96F31" w:rsidP="00337E78">
            <w:pPr>
              <w:pStyle w:val="Tabletext"/>
            </w:pPr>
            <w:r w:rsidRPr="008C2451">
              <w:t>50.00 (37.24, 62.76)*</w:t>
            </w:r>
          </w:p>
        </w:tc>
      </w:tr>
      <w:tr w:rsidR="00C96F31" w:rsidRPr="008C2451" w:rsidTr="00FC3536">
        <w:trPr>
          <w:cantSplit/>
          <w:trHeight w:val="201"/>
        </w:trPr>
        <w:tc>
          <w:tcPr>
            <w:tcW w:w="1367" w:type="pct"/>
            <w:tcBorders>
              <w:bottom w:val="nil"/>
            </w:tcBorders>
            <w:vAlign w:val="center"/>
          </w:tcPr>
          <w:p w:rsidR="00C96F31" w:rsidRPr="008C2451" w:rsidRDefault="00C96F31" w:rsidP="00337E78">
            <w:pPr>
              <w:pStyle w:val="Tabletext"/>
            </w:pPr>
            <w:r>
              <w:t>MenACWY-TT-040</w:t>
            </w:r>
          </w:p>
        </w:tc>
        <w:tc>
          <w:tcPr>
            <w:tcW w:w="811" w:type="pct"/>
            <w:tcBorders>
              <w:bottom w:val="nil"/>
            </w:tcBorders>
            <w:vAlign w:val="center"/>
          </w:tcPr>
          <w:p w:rsidR="00C96F31" w:rsidRPr="008C2451" w:rsidRDefault="00C96F31" w:rsidP="00337E78">
            <w:pPr>
              <w:pStyle w:val="Tabletext"/>
            </w:pPr>
          </w:p>
        </w:tc>
        <w:tc>
          <w:tcPr>
            <w:tcW w:w="800" w:type="pct"/>
            <w:tcBorders>
              <w:bottom w:val="nil"/>
            </w:tcBorders>
            <w:vAlign w:val="center"/>
          </w:tcPr>
          <w:p w:rsidR="00C96F31" w:rsidRPr="008C2451" w:rsidRDefault="00C96F31" w:rsidP="00337E78">
            <w:pPr>
              <w:pStyle w:val="Tabletext"/>
            </w:pPr>
          </w:p>
        </w:tc>
        <w:tc>
          <w:tcPr>
            <w:tcW w:w="925" w:type="pct"/>
            <w:tcBorders>
              <w:bottom w:val="nil"/>
            </w:tcBorders>
            <w:vAlign w:val="center"/>
          </w:tcPr>
          <w:p w:rsidR="00C96F31" w:rsidRPr="008C2451" w:rsidRDefault="00C96F31" w:rsidP="00337E78">
            <w:pPr>
              <w:pStyle w:val="Tabletext"/>
            </w:pPr>
          </w:p>
        </w:tc>
        <w:tc>
          <w:tcPr>
            <w:tcW w:w="1097" w:type="pct"/>
            <w:tcBorders>
              <w:bottom w:val="nil"/>
            </w:tcBorders>
            <w:vAlign w:val="center"/>
          </w:tcPr>
          <w:p w:rsidR="00C96F31" w:rsidRPr="008C2451" w:rsidRDefault="00C96F31" w:rsidP="00337E78">
            <w:pPr>
              <w:pStyle w:val="Tabletext"/>
            </w:pPr>
          </w:p>
        </w:tc>
      </w:tr>
      <w:tr w:rsidR="00C96F31" w:rsidRPr="008C2451" w:rsidTr="00FC3536">
        <w:trPr>
          <w:cantSplit/>
          <w:trHeight w:val="116"/>
        </w:trPr>
        <w:tc>
          <w:tcPr>
            <w:tcW w:w="1367" w:type="pct"/>
            <w:tcBorders>
              <w:top w:val="nil"/>
              <w:bottom w:val="nil"/>
            </w:tcBorders>
          </w:tcPr>
          <w:p w:rsidR="00C96F31" w:rsidRPr="00411717" w:rsidRDefault="00C96F31" w:rsidP="00337E78">
            <w:pPr>
              <w:pStyle w:val="Tabletext"/>
              <w:rPr>
                <w:i/>
              </w:rPr>
            </w:pPr>
            <w:r w:rsidRPr="00411717">
              <w:rPr>
                <w:i/>
              </w:rPr>
              <w:t>Pre-vaccination</w:t>
            </w:r>
          </w:p>
        </w:tc>
        <w:tc>
          <w:tcPr>
            <w:tcW w:w="811" w:type="pct"/>
            <w:tcBorders>
              <w:top w:val="nil"/>
              <w:bottom w:val="nil"/>
            </w:tcBorders>
            <w:vAlign w:val="center"/>
          </w:tcPr>
          <w:p w:rsidR="00C96F31" w:rsidRPr="00C33FF8" w:rsidRDefault="00C96F31" w:rsidP="00337E78">
            <w:pPr>
              <w:pStyle w:val="Tabletext"/>
              <w:rPr>
                <w:i/>
              </w:rPr>
            </w:pPr>
            <w:r w:rsidRPr="00C33FF8">
              <w:rPr>
                <w:i/>
              </w:rPr>
              <w:t>42/84 (50)</w:t>
            </w:r>
          </w:p>
        </w:tc>
        <w:tc>
          <w:tcPr>
            <w:tcW w:w="800" w:type="pct"/>
            <w:tcBorders>
              <w:top w:val="nil"/>
              <w:bottom w:val="nil"/>
            </w:tcBorders>
            <w:vAlign w:val="center"/>
          </w:tcPr>
          <w:p w:rsidR="00C96F31" w:rsidRPr="00C33FF8" w:rsidRDefault="00C96F31" w:rsidP="00337E78">
            <w:pPr>
              <w:pStyle w:val="Tabletext"/>
              <w:rPr>
                <w:i/>
              </w:rPr>
            </w:pPr>
            <w:r w:rsidRPr="00C33FF8">
              <w:rPr>
                <w:i/>
              </w:rPr>
              <w:t>22/55 (40)</w:t>
            </w:r>
          </w:p>
        </w:tc>
        <w:tc>
          <w:tcPr>
            <w:tcW w:w="925" w:type="pct"/>
            <w:tcBorders>
              <w:top w:val="nil"/>
              <w:bottom w:val="nil"/>
            </w:tcBorders>
            <w:vAlign w:val="center"/>
          </w:tcPr>
          <w:p w:rsidR="00C96F31" w:rsidRPr="008C2451" w:rsidRDefault="00C96F31" w:rsidP="00337E78">
            <w:pPr>
              <w:pStyle w:val="Tabletext"/>
            </w:pPr>
          </w:p>
        </w:tc>
        <w:tc>
          <w:tcPr>
            <w:tcW w:w="1097" w:type="pct"/>
            <w:tcBorders>
              <w:top w:val="nil"/>
              <w:bottom w:val="nil"/>
            </w:tcBorders>
            <w:vAlign w:val="center"/>
          </w:tcPr>
          <w:p w:rsidR="00C96F31" w:rsidRPr="008C2451" w:rsidRDefault="00C96F31" w:rsidP="00337E78">
            <w:pPr>
              <w:pStyle w:val="Tabletext"/>
            </w:pPr>
          </w:p>
        </w:tc>
      </w:tr>
      <w:tr w:rsidR="00C96F31" w:rsidRPr="008C2451" w:rsidTr="00FC3536">
        <w:trPr>
          <w:cantSplit/>
          <w:trHeight w:val="101"/>
        </w:trPr>
        <w:tc>
          <w:tcPr>
            <w:tcW w:w="1367" w:type="pct"/>
            <w:tcBorders>
              <w:top w:val="nil"/>
            </w:tcBorders>
          </w:tcPr>
          <w:p w:rsidR="00C96F31" w:rsidRDefault="00C96F31" w:rsidP="00337E78">
            <w:pPr>
              <w:pStyle w:val="Tabletext"/>
            </w:pPr>
            <w:r w:rsidRPr="00E619EF">
              <w:t>1 month post vaccination</w:t>
            </w:r>
          </w:p>
        </w:tc>
        <w:tc>
          <w:tcPr>
            <w:tcW w:w="811" w:type="pct"/>
            <w:tcBorders>
              <w:top w:val="nil"/>
            </w:tcBorders>
            <w:vAlign w:val="center"/>
          </w:tcPr>
          <w:p w:rsidR="00C96F31" w:rsidRPr="008C2451" w:rsidRDefault="00C96F31" w:rsidP="00337E78">
            <w:pPr>
              <w:pStyle w:val="Tabletext"/>
            </w:pPr>
            <w:r w:rsidRPr="008C2451">
              <w:t>183/186 (98.4)</w:t>
            </w:r>
          </w:p>
        </w:tc>
        <w:tc>
          <w:tcPr>
            <w:tcW w:w="800" w:type="pct"/>
            <w:tcBorders>
              <w:top w:val="nil"/>
            </w:tcBorders>
            <w:vAlign w:val="center"/>
          </w:tcPr>
          <w:p w:rsidR="00C96F31" w:rsidRPr="008C2451" w:rsidRDefault="00C96F31" w:rsidP="00337E78">
            <w:pPr>
              <w:pStyle w:val="Tabletext"/>
            </w:pPr>
            <w:r w:rsidRPr="008C2451">
              <w:t>41/112 (36.6)</w:t>
            </w:r>
          </w:p>
        </w:tc>
        <w:tc>
          <w:tcPr>
            <w:tcW w:w="925" w:type="pct"/>
            <w:tcBorders>
              <w:top w:val="nil"/>
            </w:tcBorders>
            <w:vAlign w:val="center"/>
          </w:tcPr>
          <w:p w:rsidR="00C96F31" w:rsidRPr="008C2451" w:rsidRDefault="00C96F31" w:rsidP="00337E78">
            <w:pPr>
              <w:pStyle w:val="Tabletext"/>
            </w:pPr>
            <w:r w:rsidRPr="008C2451">
              <w:t>2.69 (2.10, 3.43)*</w:t>
            </w:r>
          </w:p>
        </w:tc>
        <w:tc>
          <w:tcPr>
            <w:tcW w:w="1097" w:type="pct"/>
            <w:tcBorders>
              <w:top w:val="nil"/>
            </w:tcBorders>
            <w:vAlign w:val="center"/>
          </w:tcPr>
          <w:p w:rsidR="00C96F31" w:rsidRPr="008C2451" w:rsidRDefault="00C96F31" w:rsidP="00337E78">
            <w:pPr>
              <w:pStyle w:val="Tabletext"/>
            </w:pPr>
            <w:r w:rsidRPr="008C2451">
              <w:t>61.78 (52.68, 70.88)*</w:t>
            </w:r>
          </w:p>
        </w:tc>
      </w:tr>
      <w:tr w:rsidR="00C96F31" w:rsidRPr="0005465B" w:rsidTr="00337E78">
        <w:trPr>
          <w:cantSplit/>
          <w:trHeight w:val="70"/>
        </w:trPr>
        <w:tc>
          <w:tcPr>
            <w:tcW w:w="5000" w:type="pct"/>
            <w:gridSpan w:val="5"/>
            <w:shd w:val="clear" w:color="auto" w:fill="auto"/>
            <w:vAlign w:val="center"/>
          </w:tcPr>
          <w:p w:rsidR="00C96F31" w:rsidRPr="0005465B" w:rsidRDefault="00C96F31" w:rsidP="00337E78">
            <w:pPr>
              <w:pStyle w:val="Tabletext"/>
              <w:rPr>
                <w:b/>
              </w:rPr>
            </w:pPr>
            <w:r w:rsidRPr="0005465B">
              <w:rPr>
                <w:b/>
              </w:rPr>
              <w:t>Serogroup Y</w:t>
            </w:r>
          </w:p>
        </w:tc>
      </w:tr>
      <w:tr w:rsidR="00C96F31" w:rsidRPr="008C2451" w:rsidTr="00FC3536">
        <w:trPr>
          <w:cantSplit/>
          <w:trHeight w:val="175"/>
        </w:trPr>
        <w:tc>
          <w:tcPr>
            <w:tcW w:w="1367" w:type="pct"/>
            <w:tcBorders>
              <w:bottom w:val="nil"/>
            </w:tcBorders>
            <w:vAlign w:val="center"/>
          </w:tcPr>
          <w:p w:rsidR="00C96F31" w:rsidRPr="008C2451" w:rsidRDefault="00C96F31" w:rsidP="00337E78">
            <w:pPr>
              <w:pStyle w:val="Tabletext"/>
            </w:pPr>
            <w:r>
              <w:t>MenACWY-TT-013</w:t>
            </w:r>
          </w:p>
        </w:tc>
        <w:tc>
          <w:tcPr>
            <w:tcW w:w="811" w:type="pct"/>
            <w:tcBorders>
              <w:bottom w:val="nil"/>
            </w:tcBorders>
            <w:vAlign w:val="center"/>
          </w:tcPr>
          <w:p w:rsidR="00C96F31" w:rsidRPr="008C2451" w:rsidRDefault="00C96F31" w:rsidP="00337E78">
            <w:pPr>
              <w:pStyle w:val="Tabletext"/>
            </w:pPr>
          </w:p>
        </w:tc>
        <w:tc>
          <w:tcPr>
            <w:tcW w:w="800" w:type="pct"/>
            <w:tcBorders>
              <w:bottom w:val="nil"/>
            </w:tcBorders>
            <w:vAlign w:val="center"/>
          </w:tcPr>
          <w:p w:rsidR="00C96F31" w:rsidRPr="008C2451" w:rsidRDefault="00C96F31" w:rsidP="00337E78">
            <w:pPr>
              <w:pStyle w:val="Tabletext"/>
            </w:pPr>
          </w:p>
        </w:tc>
        <w:tc>
          <w:tcPr>
            <w:tcW w:w="925" w:type="pct"/>
            <w:tcBorders>
              <w:bottom w:val="nil"/>
            </w:tcBorders>
            <w:shd w:val="clear" w:color="auto" w:fill="auto"/>
            <w:vAlign w:val="center"/>
          </w:tcPr>
          <w:p w:rsidR="00C96F31" w:rsidRPr="008C2451" w:rsidRDefault="00C96F31" w:rsidP="00337E78">
            <w:pPr>
              <w:pStyle w:val="Tabletext"/>
            </w:pPr>
          </w:p>
        </w:tc>
        <w:tc>
          <w:tcPr>
            <w:tcW w:w="1097" w:type="pct"/>
            <w:tcBorders>
              <w:bottom w:val="nil"/>
            </w:tcBorders>
            <w:shd w:val="clear" w:color="auto" w:fill="auto"/>
            <w:vAlign w:val="center"/>
          </w:tcPr>
          <w:p w:rsidR="00C96F31" w:rsidRPr="008C2451" w:rsidRDefault="00C96F31" w:rsidP="00337E78">
            <w:pPr>
              <w:pStyle w:val="Tabletext"/>
            </w:pPr>
          </w:p>
        </w:tc>
      </w:tr>
      <w:tr w:rsidR="00C96F31" w:rsidRPr="008C2451" w:rsidTr="00FC3536">
        <w:trPr>
          <w:cantSplit/>
          <w:trHeight w:val="98"/>
        </w:trPr>
        <w:tc>
          <w:tcPr>
            <w:tcW w:w="1367" w:type="pct"/>
            <w:tcBorders>
              <w:top w:val="nil"/>
              <w:bottom w:val="nil"/>
            </w:tcBorders>
            <w:vAlign w:val="center"/>
          </w:tcPr>
          <w:p w:rsidR="00C96F31" w:rsidRPr="00411717" w:rsidRDefault="00C96F31" w:rsidP="00337E78">
            <w:pPr>
              <w:pStyle w:val="Tabletext"/>
              <w:rPr>
                <w:i/>
              </w:rPr>
            </w:pPr>
            <w:r w:rsidRPr="00411717">
              <w:rPr>
                <w:i/>
              </w:rPr>
              <w:t>Pre-vaccination</w:t>
            </w:r>
          </w:p>
        </w:tc>
        <w:tc>
          <w:tcPr>
            <w:tcW w:w="811" w:type="pct"/>
            <w:tcBorders>
              <w:top w:val="nil"/>
              <w:bottom w:val="nil"/>
            </w:tcBorders>
            <w:vAlign w:val="center"/>
          </w:tcPr>
          <w:p w:rsidR="00C96F31" w:rsidRPr="0050687B" w:rsidRDefault="00C96F31" w:rsidP="00337E78">
            <w:pPr>
              <w:pStyle w:val="Tabletext"/>
              <w:rPr>
                <w:i/>
              </w:rPr>
            </w:pPr>
            <w:r w:rsidRPr="0050687B">
              <w:rPr>
                <w:i/>
              </w:rPr>
              <w:t>24/41 (58.5)</w:t>
            </w:r>
          </w:p>
        </w:tc>
        <w:tc>
          <w:tcPr>
            <w:tcW w:w="800" w:type="pct"/>
            <w:tcBorders>
              <w:top w:val="nil"/>
              <w:bottom w:val="nil"/>
            </w:tcBorders>
            <w:vAlign w:val="center"/>
          </w:tcPr>
          <w:p w:rsidR="00C96F31" w:rsidRPr="0050687B" w:rsidRDefault="00C96F31" w:rsidP="00337E78">
            <w:pPr>
              <w:pStyle w:val="Tabletext"/>
              <w:rPr>
                <w:i/>
              </w:rPr>
            </w:pPr>
            <w:r w:rsidRPr="0050687B">
              <w:rPr>
                <w:i/>
              </w:rPr>
              <w:t>20/45 (44.4)</w:t>
            </w:r>
          </w:p>
        </w:tc>
        <w:tc>
          <w:tcPr>
            <w:tcW w:w="925" w:type="pct"/>
            <w:tcBorders>
              <w:top w:val="nil"/>
              <w:bottom w:val="nil"/>
            </w:tcBorders>
            <w:shd w:val="clear" w:color="auto" w:fill="auto"/>
            <w:vAlign w:val="center"/>
          </w:tcPr>
          <w:p w:rsidR="00C96F31" w:rsidRPr="008C2451" w:rsidRDefault="00C96F31" w:rsidP="00337E78">
            <w:pPr>
              <w:pStyle w:val="Tabletext"/>
            </w:pPr>
          </w:p>
        </w:tc>
        <w:tc>
          <w:tcPr>
            <w:tcW w:w="1097" w:type="pct"/>
            <w:tcBorders>
              <w:top w:val="nil"/>
              <w:bottom w:val="nil"/>
            </w:tcBorders>
            <w:shd w:val="clear" w:color="auto" w:fill="auto"/>
            <w:vAlign w:val="center"/>
          </w:tcPr>
          <w:p w:rsidR="00C96F31" w:rsidRPr="008C2451" w:rsidRDefault="00C96F31" w:rsidP="00337E78">
            <w:pPr>
              <w:pStyle w:val="Tabletext"/>
            </w:pPr>
          </w:p>
        </w:tc>
      </w:tr>
      <w:tr w:rsidR="00C96F31" w:rsidRPr="008C2451" w:rsidTr="00FC3536">
        <w:trPr>
          <w:cantSplit/>
          <w:trHeight w:val="157"/>
        </w:trPr>
        <w:tc>
          <w:tcPr>
            <w:tcW w:w="1367" w:type="pct"/>
            <w:tcBorders>
              <w:top w:val="nil"/>
              <w:bottom w:val="single" w:sz="4" w:space="0" w:color="auto"/>
            </w:tcBorders>
            <w:vAlign w:val="center"/>
          </w:tcPr>
          <w:p w:rsidR="00C96F31" w:rsidRDefault="00C96F31" w:rsidP="00337E78">
            <w:pPr>
              <w:pStyle w:val="Tabletext"/>
            </w:pPr>
            <w:r>
              <w:t>1 month post vaccination</w:t>
            </w:r>
          </w:p>
        </w:tc>
        <w:tc>
          <w:tcPr>
            <w:tcW w:w="811" w:type="pct"/>
            <w:tcBorders>
              <w:top w:val="nil"/>
              <w:bottom w:val="single" w:sz="4" w:space="0" w:color="auto"/>
            </w:tcBorders>
            <w:vAlign w:val="center"/>
          </w:tcPr>
          <w:p w:rsidR="00C96F31" w:rsidRPr="008C2451" w:rsidRDefault="00C96F31" w:rsidP="00337E78">
            <w:pPr>
              <w:pStyle w:val="Tabletext"/>
            </w:pPr>
            <w:r w:rsidRPr="008C2451">
              <w:t>42/42 (100)</w:t>
            </w:r>
          </w:p>
        </w:tc>
        <w:tc>
          <w:tcPr>
            <w:tcW w:w="800" w:type="pct"/>
            <w:tcBorders>
              <w:top w:val="nil"/>
              <w:bottom w:val="single" w:sz="4" w:space="0" w:color="auto"/>
            </w:tcBorders>
            <w:vAlign w:val="center"/>
          </w:tcPr>
          <w:p w:rsidR="00C96F31" w:rsidRPr="008C2451" w:rsidRDefault="00C96F31" w:rsidP="00337E78">
            <w:pPr>
              <w:pStyle w:val="Tabletext"/>
            </w:pPr>
            <w:r w:rsidRPr="008C2451">
              <w:t>21/45 (46.7)</w:t>
            </w:r>
          </w:p>
        </w:tc>
        <w:tc>
          <w:tcPr>
            <w:tcW w:w="925" w:type="pct"/>
            <w:tcBorders>
              <w:top w:val="nil"/>
              <w:bottom w:val="single" w:sz="4" w:space="0" w:color="auto"/>
            </w:tcBorders>
            <w:shd w:val="clear" w:color="auto" w:fill="auto"/>
            <w:vAlign w:val="center"/>
          </w:tcPr>
          <w:p w:rsidR="00C96F31" w:rsidRPr="008C2451" w:rsidRDefault="00C96F31" w:rsidP="00337E78">
            <w:pPr>
              <w:pStyle w:val="Tabletext"/>
            </w:pPr>
            <w:r w:rsidRPr="008C2451">
              <w:t>2.11 (1.55, 2.88)*</w:t>
            </w:r>
          </w:p>
        </w:tc>
        <w:tc>
          <w:tcPr>
            <w:tcW w:w="1097" w:type="pct"/>
            <w:tcBorders>
              <w:top w:val="nil"/>
              <w:bottom w:val="single" w:sz="4" w:space="0" w:color="auto"/>
            </w:tcBorders>
            <w:shd w:val="clear" w:color="auto" w:fill="auto"/>
            <w:vAlign w:val="center"/>
          </w:tcPr>
          <w:p w:rsidR="00C96F31" w:rsidRPr="008C2451" w:rsidRDefault="00C96F31" w:rsidP="00337E78">
            <w:pPr>
              <w:pStyle w:val="Tabletext"/>
            </w:pPr>
            <w:r w:rsidRPr="008C2451">
              <w:t>53.33 (38.56, 68.10)*</w:t>
            </w:r>
          </w:p>
        </w:tc>
      </w:tr>
      <w:tr w:rsidR="00C96F31" w:rsidRPr="008C2451" w:rsidTr="00FC3536">
        <w:trPr>
          <w:cantSplit/>
          <w:trHeight w:val="74"/>
        </w:trPr>
        <w:tc>
          <w:tcPr>
            <w:tcW w:w="1367" w:type="pct"/>
            <w:tcBorders>
              <w:bottom w:val="nil"/>
            </w:tcBorders>
            <w:vAlign w:val="center"/>
          </w:tcPr>
          <w:p w:rsidR="00C96F31" w:rsidRPr="008C2451" w:rsidRDefault="00C96F31" w:rsidP="00337E78">
            <w:pPr>
              <w:pStyle w:val="Tabletext"/>
            </w:pPr>
            <w:r>
              <w:t>MenACWY-TT-027</w:t>
            </w:r>
          </w:p>
        </w:tc>
        <w:tc>
          <w:tcPr>
            <w:tcW w:w="811" w:type="pct"/>
            <w:tcBorders>
              <w:bottom w:val="nil"/>
            </w:tcBorders>
            <w:vAlign w:val="center"/>
          </w:tcPr>
          <w:p w:rsidR="00C96F31" w:rsidRPr="008C2451" w:rsidRDefault="00C96F31" w:rsidP="00337E78">
            <w:pPr>
              <w:pStyle w:val="Tabletext"/>
            </w:pPr>
          </w:p>
        </w:tc>
        <w:tc>
          <w:tcPr>
            <w:tcW w:w="800" w:type="pct"/>
            <w:tcBorders>
              <w:bottom w:val="nil"/>
            </w:tcBorders>
            <w:vAlign w:val="center"/>
          </w:tcPr>
          <w:p w:rsidR="00C96F31" w:rsidRPr="008C2451" w:rsidRDefault="00C96F31" w:rsidP="00337E78">
            <w:pPr>
              <w:pStyle w:val="Tabletext"/>
            </w:pPr>
          </w:p>
        </w:tc>
        <w:tc>
          <w:tcPr>
            <w:tcW w:w="925" w:type="pct"/>
            <w:tcBorders>
              <w:bottom w:val="nil"/>
            </w:tcBorders>
            <w:vAlign w:val="center"/>
          </w:tcPr>
          <w:p w:rsidR="00C96F31" w:rsidRPr="008C2451" w:rsidRDefault="00C96F31" w:rsidP="00337E78">
            <w:pPr>
              <w:pStyle w:val="Tabletext"/>
            </w:pPr>
          </w:p>
        </w:tc>
        <w:tc>
          <w:tcPr>
            <w:tcW w:w="1097" w:type="pct"/>
            <w:tcBorders>
              <w:bottom w:val="nil"/>
            </w:tcBorders>
            <w:vAlign w:val="center"/>
          </w:tcPr>
          <w:p w:rsidR="00C96F31" w:rsidRPr="008C2451" w:rsidRDefault="00C96F31" w:rsidP="00337E78">
            <w:pPr>
              <w:pStyle w:val="Tabletext"/>
            </w:pPr>
          </w:p>
        </w:tc>
      </w:tr>
      <w:tr w:rsidR="00C96F31" w:rsidRPr="008C2451" w:rsidTr="00FC3536">
        <w:trPr>
          <w:cantSplit/>
          <w:trHeight w:val="80"/>
        </w:trPr>
        <w:tc>
          <w:tcPr>
            <w:tcW w:w="1367" w:type="pct"/>
            <w:tcBorders>
              <w:top w:val="nil"/>
              <w:bottom w:val="nil"/>
            </w:tcBorders>
          </w:tcPr>
          <w:p w:rsidR="00C96F31" w:rsidRPr="00411717" w:rsidRDefault="00C96F31" w:rsidP="00337E78">
            <w:pPr>
              <w:pStyle w:val="Tabletext"/>
              <w:rPr>
                <w:i/>
              </w:rPr>
            </w:pPr>
            <w:r w:rsidRPr="00411717">
              <w:rPr>
                <w:i/>
              </w:rPr>
              <w:t>Pre-vaccination</w:t>
            </w:r>
          </w:p>
        </w:tc>
        <w:tc>
          <w:tcPr>
            <w:tcW w:w="811" w:type="pct"/>
            <w:tcBorders>
              <w:top w:val="nil"/>
              <w:bottom w:val="nil"/>
            </w:tcBorders>
            <w:vAlign w:val="center"/>
          </w:tcPr>
          <w:p w:rsidR="00C96F31" w:rsidRPr="00E36C41" w:rsidRDefault="00C96F31" w:rsidP="00337E78">
            <w:pPr>
              <w:pStyle w:val="Tabletext"/>
              <w:rPr>
                <w:i/>
              </w:rPr>
            </w:pPr>
            <w:r w:rsidRPr="00E36C41">
              <w:rPr>
                <w:i/>
              </w:rPr>
              <w:t>115/208 (55.3)</w:t>
            </w:r>
          </w:p>
        </w:tc>
        <w:tc>
          <w:tcPr>
            <w:tcW w:w="800" w:type="pct"/>
            <w:tcBorders>
              <w:top w:val="nil"/>
              <w:bottom w:val="nil"/>
            </w:tcBorders>
            <w:vAlign w:val="center"/>
          </w:tcPr>
          <w:p w:rsidR="00C96F31" w:rsidRPr="00E36C41" w:rsidRDefault="00C96F31" w:rsidP="00337E78">
            <w:pPr>
              <w:pStyle w:val="Tabletext"/>
              <w:rPr>
                <w:i/>
              </w:rPr>
            </w:pPr>
            <w:r w:rsidRPr="00E36C41">
              <w:rPr>
                <w:i/>
              </w:rPr>
              <w:t>41/67 (61.2)</w:t>
            </w:r>
          </w:p>
        </w:tc>
        <w:tc>
          <w:tcPr>
            <w:tcW w:w="925" w:type="pct"/>
            <w:tcBorders>
              <w:top w:val="nil"/>
              <w:bottom w:val="nil"/>
            </w:tcBorders>
            <w:vAlign w:val="center"/>
          </w:tcPr>
          <w:p w:rsidR="00C96F31" w:rsidRPr="008C2451" w:rsidRDefault="00C96F31" w:rsidP="00337E78">
            <w:pPr>
              <w:pStyle w:val="Tabletext"/>
            </w:pPr>
          </w:p>
        </w:tc>
        <w:tc>
          <w:tcPr>
            <w:tcW w:w="1097" w:type="pct"/>
            <w:tcBorders>
              <w:top w:val="nil"/>
              <w:bottom w:val="nil"/>
            </w:tcBorders>
            <w:vAlign w:val="center"/>
          </w:tcPr>
          <w:p w:rsidR="00C96F31" w:rsidRPr="008C2451" w:rsidRDefault="00C96F31" w:rsidP="00337E78">
            <w:pPr>
              <w:pStyle w:val="Tabletext"/>
            </w:pPr>
          </w:p>
        </w:tc>
      </w:tr>
      <w:tr w:rsidR="00C96F31" w:rsidRPr="008C2451" w:rsidTr="00FC3536">
        <w:trPr>
          <w:cantSplit/>
          <w:trHeight w:val="135"/>
        </w:trPr>
        <w:tc>
          <w:tcPr>
            <w:tcW w:w="1367" w:type="pct"/>
            <w:tcBorders>
              <w:top w:val="nil"/>
              <w:bottom w:val="single" w:sz="4" w:space="0" w:color="auto"/>
            </w:tcBorders>
          </w:tcPr>
          <w:p w:rsidR="00C96F31" w:rsidRDefault="00C96F31" w:rsidP="00337E78">
            <w:pPr>
              <w:pStyle w:val="Tabletext"/>
            </w:pPr>
            <w:r w:rsidRPr="00EF1C13">
              <w:t>1 month post vaccination</w:t>
            </w:r>
          </w:p>
        </w:tc>
        <w:tc>
          <w:tcPr>
            <w:tcW w:w="811" w:type="pct"/>
            <w:tcBorders>
              <w:top w:val="nil"/>
              <w:bottom w:val="single" w:sz="4" w:space="0" w:color="auto"/>
            </w:tcBorders>
            <w:vAlign w:val="center"/>
          </w:tcPr>
          <w:p w:rsidR="00C96F31" w:rsidRPr="008C2451" w:rsidRDefault="00C96F31" w:rsidP="00337E78">
            <w:pPr>
              <w:pStyle w:val="Tabletext"/>
            </w:pPr>
            <w:r w:rsidRPr="008C2451">
              <w:t>222/222 (100)</w:t>
            </w:r>
          </w:p>
        </w:tc>
        <w:tc>
          <w:tcPr>
            <w:tcW w:w="800" w:type="pct"/>
            <w:tcBorders>
              <w:top w:val="nil"/>
              <w:bottom w:val="single" w:sz="4" w:space="0" w:color="auto"/>
            </w:tcBorders>
            <w:vAlign w:val="center"/>
          </w:tcPr>
          <w:p w:rsidR="00C96F31" w:rsidRPr="008C2451" w:rsidRDefault="00C96F31" w:rsidP="00337E78">
            <w:pPr>
              <w:pStyle w:val="Tabletext"/>
            </w:pPr>
            <w:r w:rsidRPr="008C2451">
              <w:t>49/66 (74.2)</w:t>
            </w:r>
          </w:p>
        </w:tc>
        <w:tc>
          <w:tcPr>
            <w:tcW w:w="925" w:type="pct"/>
            <w:tcBorders>
              <w:top w:val="nil"/>
              <w:bottom w:val="single" w:sz="4" w:space="0" w:color="auto"/>
            </w:tcBorders>
            <w:vAlign w:val="center"/>
          </w:tcPr>
          <w:p w:rsidR="00C96F31" w:rsidRPr="008C2451" w:rsidRDefault="00C96F31" w:rsidP="00337E78">
            <w:pPr>
              <w:pStyle w:val="Tabletext"/>
            </w:pPr>
            <w:r w:rsidRPr="008C2451">
              <w:t>1.35 (1.17, 1.56)*</w:t>
            </w:r>
          </w:p>
        </w:tc>
        <w:tc>
          <w:tcPr>
            <w:tcW w:w="1097" w:type="pct"/>
            <w:tcBorders>
              <w:top w:val="nil"/>
              <w:bottom w:val="single" w:sz="4" w:space="0" w:color="auto"/>
            </w:tcBorders>
            <w:vAlign w:val="center"/>
          </w:tcPr>
          <w:p w:rsidR="00C96F31" w:rsidRPr="008C2451" w:rsidRDefault="00C96F31" w:rsidP="00337E78">
            <w:pPr>
              <w:pStyle w:val="Tabletext"/>
            </w:pPr>
            <w:r w:rsidRPr="008C2451">
              <w:t>25.76 (15.22, 36.29)*</w:t>
            </w:r>
          </w:p>
        </w:tc>
      </w:tr>
      <w:tr w:rsidR="00C96F31" w:rsidRPr="008C2451" w:rsidTr="00FC3536">
        <w:trPr>
          <w:cantSplit/>
          <w:trHeight w:val="70"/>
        </w:trPr>
        <w:tc>
          <w:tcPr>
            <w:tcW w:w="1367" w:type="pct"/>
            <w:tcBorders>
              <w:bottom w:val="nil"/>
            </w:tcBorders>
            <w:vAlign w:val="center"/>
          </w:tcPr>
          <w:p w:rsidR="00C96F31" w:rsidRPr="008C2451" w:rsidRDefault="00C96F31" w:rsidP="00337E78">
            <w:pPr>
              <w:pStyle w:val="Tabletext"/>
            </w:pPr>
            <w:r>
              <w:t>MenACWY-TT-039</w:t>
            </w:r>
            <w:r w:rsidRPr="008C2451">
              <w:t xml:space="preserve"> #</w:t>
            </w:r>
          </w:p>
        </w:tc>
        <w:tc>
          <w:tcPr>
            <w:tcW w:w="811" w:type="pct"/>
            <w:tcBorders>
              <w:bottom w:val="nil"/>
            </w:tcBorders>
            <w:vAlign w:val="center"/>
          </w:tcPr>
          <w:p w:rsidR="00C96F31" w:rsidRPr="008C2451" w:rsidRDefault="00C96F31" w:rsidP="00337E78">
            <w:pPr>
              <w:pStyle w:val="Tabletext"/>
            </w:pPr>
          </w:p>
        </w:tc>
        <w:tc>
          <w:tcPr>
            <w:tcW w:w="800" w:type="pct"/>
            <w:tcBorders>
              <w:bottom w:val="nil"/>
            </w:tcBorders>
            <w:vAlign w:val="center"/>
          </w:tcPr>
          <w:p w:rsidR="00C96F31" w:rsidRPr="008C2451" w:rsidRDefault="00C96F31" w:rsidP="00337E78">
            <w:pPr>
              <w:pStyle w:val="Tabletext"/>
            </w:pPr>
          </w:p>
        </w:tc>
        <w:tc>
          <w:tcPr>
            <w:tcW w:w="925" w:type="pct"/>
            <w:tcBorders>
              <w:bottom w:val="nil"/>
            </w:tcBorders>
            <w:vAlign w:val="center"/>
          </w:tcPr>
          <w:p w:rsidR="00C96F31" w:rsidRPr="008C2451" w:rsidRDefault="00C96F31" w:rsidP="00337E78">
            <w:pPr>
              <w:pStyle w:val="Tabletext"/>
            </w:pPr>
          </w:p>
        </w:tc>
        <w:tc>
          <w:tcPr>
            <w:tcW w:w="1097" w:type="pct"/>
            <w:tcBorders>
              <w:bottom w:val="nil"/>
            </w:tcBorders>
            <w:vAlign w:val="center"/>
          </w:tcPr>
          <w:p w:rsidR="00C96F31" w:rsidRPr="008C2451" w:rsidRDefault="00C96F31" w:rsidP="00337E78">
            <w:pPr>
              <w:pStyle w:val="Tabletext"/>
            </w:pPr>
          </w:p>
        </w:tc>
      </w:tr>
      <w:tr w:rsidR="00C96F31" w:rsidRPr="008C2451" w:rsidTr="00FC3536">
        <w:trPr>
          <w:cantSplit/>
          <w:trHeight w:val="80"/>
        </w:trPr>
        <w:tc>
          <w:tcPr>
            <w:tcW w:w="1367" w:type="pct"/>
            <w:tcBorders>
              <w:top w:val="nil"/>
              <w:bottom w:val="nil"/>
            </w:tcBorders>
          </w:tcPr>
          <w:p w:rsidR="00C96F31" w:rsidRPr="00411717" w:rsidRDefault="00C96F31" w:rsidP="00337E78">
            <w:pPr>
              <w:pStyle w:val="Tabletext"/>
              <w:rPr>
                <w:i/>
              </w:rPr>
            </w:pPr>
            <w:r w:rsidRPr="00411717">
              <w:rPr>
                <w:i/>
              </w:rPr>
              <w:t>Pre-vaccination</w:t>
            </w:r>
          </w:p>
        </w:tc>
        <w:tc>
          <w:tcPr>
            <w:tcW w:w="811" w:type="pct"/>
            <w:tcBorders>
              <w:top w:val="nil"/>
              <w:bottom w:val="nil"/>
            </w:tcBorders>
            <w:vAlign w:val="center"/>
          </w:tcPr>
          <w:p w:rsidR="00C96F31" w:rsidRPr="008C753B" w:rsidRDefault="00C96F31" w:rsidP="00337E78">
            <w:pPr>
              <w:pStyle w:val="Tabletext"/>
              <w:rPr>
                <w:i/>
              </w:rPr>
            </w:pPr>
            <w:r w:rsidRPr="008C753B">
              <w:rPr>
                <w:i/>
              </w:rPr>
              <w:t>112/181 (61.9)</w:t>
            </w:r>
          </w:p>
        </w:tc>
        <w:tc>
          <w:tcPr>
            <w:tcW w:w="800" w:type="pct"/>
            <w:tcBorders>
              <w:top w:val="nil"/>
              <w:bottom w:val="nil"/>
            </w:tcBorders>
            <w:vAlign w:val="center"/>
          </w:tcPr>
          <w:p w:rsidR="00C96F31" w:rsidRPr="008C753B" w:rsidRDefault="00C96F31" w:rsidP="00337E78">
            <w:pPr>
              <w:pStyle w:val="Tabletext"/>
              <w:rPr>
                <w:i/>
              </w:rPr>
            </w:pPr>
            <w:r w:rsidRPr="008C753B">
              <w:rPr>
                <w:i/>
              </w:rPr>
              <w:t>34/62 (54.8)</w:t>
            </w:r>
          </w:p>
        </w:tc>
        <w:tc>
          <w:tcPr>
            <w:tcW w:w="925" w:type="pct"/>
            <w:tcBorders>
              <w:top w:val="nil"/>
              <w:bottom w:val="nil"/>
            </w:tcBorders>
            <w:vAlign w:val="center"/>
          </w:tcPr>
          <w:p w:rsidR="00C96F31" w:rsidRPr="008C2451" w:rsidRDefault="00C96F31" w:rsidP="00337E78">
            <w:pPr>
              <w:pStyle w:val="Tabletext"/>
            </w:pPr>
          </w:p>
        </w:tc>
        <w:tc>
          <w:tcPr>
            <w:tcW w:w="1097" w:type="pct"/>
            <w:tcBorders>
              <w:top w:val="nil"/>
              <w:bottom w:val="nil"/>
            </w:tcBorders>
            <w:vAlign w:val="center"/>
          </w:tcPr>
          <w:p w:rsidR="00C96F31" w:rsidRPr="008C2451" w:rsidRDefault="00C96F31" w:rsidP="00337E78">
            <w:pPr>
              <w:pStyle w:val="Tabletext"/>
            </w:pPr>
          </w:p>
        </w:tc>
      </w:tr>
      <w:tr w:rsidR="00C96F31" w:rsidRPr="008C2451" w:rsidTr="00FC3536">
        <w:trPr>
          <w:cantSplit/>
          <w:trHeight w:val="68"/>
        </w:trPr>
        <w:tc>
          <w:tcPr>
            <w:tcW w:w="1367" w:type="pct"/>
            <w:tcBorders>
              <w:top w:val="nil"/>
              <w:bottom w:val="single" w:sz="4" w:space="0" w:color="auto"/>
            </w:tcBorders>
          </w:tcPr>
          <w:p w:rsidR="00C96F31" w:rsidRDefault="00C96F31" w:rsidP="00337E78">
            <w:pPr>
              <w:pStyle w:val="Tabletext"/>
            </w:pPr>
            <w:r w:rsidRPr="002549FF">
              <w:t>1 month post vaccination</w:t>
            </w:r>
          </w:p>
        </w:tc>
        <w:tc>
          <w:tcPr>
            <w:tcW w:w="811" w:type="pct"/>
            <w:tcBorders>
              <w:top w:val="nil"/>
              <w:bottom w:val="single" w:sz="4" w:space="0" w:color="auto"/>
            </w:tcBorders>
            <w:vAlign w:val="center"/>
          </w:tcPr>
          <w:p w:rsidR="00C96F31" w:rsidRPr="008C2451" w:rsidRDefault="00C96F31" w:rsidP="00337E78">
            <w:pPr>
              <w:pStyle w:val="Tabletext"/>
            </w:pPr>
            <w:r w:rsidRPr="008C2451">
              <w:t>354/354 (100)</w:t>
            </w:r>
          </w:p>
        </w:tc>
        <w:tc>
          <w:tcPr>
            <w:tcW w:w="800" w:type="pct"/>
            <w:tcBorders>
              <w:top w:val="nil"/>
              <w:bottom w:val="single" w:sz="4" w:space="0" w:color="auto"/>
            </w:tcBorders>
            <w:vAlign w:val="center"/>
          </w:tcPr>
          <w:p w:rsidR="00C96F31" w:rsidRPr="008C2451" w:rsidRDefault="00C96F31" w:rsidP="00337E78">
            <w:pPr>
              <w:pStyle w:val="Tabletext"/>
            </w:pPr>
            <w:r w:rsidRPr="008C2451">
              <w:t>32/59 (54.2)</w:t>
            </w:r>
          </w:p>
        </w:tc>
        <w:tc>
          <w:tcPr>
            <w:tcW w:w="925" w:type="pct"/>
            <w:tcBorders>
              <w:top w:val="nil"/>
              <w:bottom w:val="single" w:sz="4" w:space="0" w:color="auto"/>
            </w:tcBorders>
            <w:vAlign w:val="center"/>
          </w:tcPr>
          <w:p w:rsidR="00C96F31" w:rsidRPr="008C2451" w:rsidRDefault="00C96F31" w:rsidP="00337E78">
            <w:pPr>
              <w:pStyle w:val="Tabletext"/>
            </w:pPr>
            <w:r w:rsidRPr="008C2451">
              <w:t>1.84 (1.46, 2.33)*</w:t>
            </w:r>
          </w:p>
        </w:tc>
        <w:tc>
          <w:tcPr>
            <w:tcW w:w="1097" w:type="pct"/>
            <w:tcBorders>
              <w:top w:val="nil"/>
              <w:bottom w:val="single" w:sz="4" w:space="0" w:color="auto"/>
            </w:tcBorders>
            <w:vAlign w:val="center"/>
          </w:tcPr>
          <w:p w:rsidR="00C96F31" w:rsidRPr="008C2451" w:rsidRDefault="00C96F31" w:rsidP="00337E78">
            <w:pPr>
              <w:pStyle w:val="Tabletext"/>
            </w:pPr>
            <w:r w:rsidRPr="008C2451">
              <w:t>45.76 (33.15, 58.38)*</w:t>
            </w:r>
          </w:p>
        </w:tc>
      </w:tr>
      <w:tr w:rsidR="00C96F31" w:rsidRPr="008C2451" w:rsidTr="00FC3536">
        <w:trPr>
          <w:cantSplit/>
          <w:trHeight w:val="173"/>
        </w:trPr>
        <w:tc>
          <w:tcPr>
            <w:tcW w:w="1367" w:type="pct"/>
            <w:tcBorders>
              <w:bottom w:val="nil"/>
            </w:tcBorders>
            <w:vAlign w:val="center"/>
          </w:tcPr>
          <w:p w:rsidR="00C96F31" w:rsidRPr="008C2451" w:rsidRDefault="00C96F31" w:rsidP="00337E78">
            <w:pPr>
              <w:pStyle w:val="Tabletext"/>
            </w:pPr>
            <w:r>
              <w:t>MenACWY-TT-040</w:t>
            </w:r>
          </w:p>
        </w:tc>
        <w:tc>
          <w:tcPr>
            <w:tcW w:w="811" w:type="pct"/>
            <w:tcBorders>
              <w:bottom w:val="nil"/>
            </w:tcBorders>
            <w:vAlign w:val="center"/>
          </w:tcPr>
          <w:p w:rsidR="00C96F31" w:rsidRPr="008C2451" w:rsidRDefault="00C96F31" w:rsidP="00337E78">
            <w:pPr>
              <w:pStyle w:val="Tabletext"/>
            </w:pPr>
          </w:p>
        </w:tc>
        <w:tc>
          <w:tcPr>
            <w:tcW w:w="800" w:type="pct"/>
            <w:tcBorders>
              <w:bottom w:val="nil"/>
            </w:tcBorders>
            <w:vAlign w:val="center"/>
          </w:tcPr>
          <w:p w:rsidR="00C96F31" w:rsidRPr="008C2451" w:rsidRDefault="00C96F31" w:rsidP="00337E78">
            <w:pPr>
              <w:pStyle w:val="Tabletext"/>
            </w:pPr>
          </w:p>
        </w:tc>
        <w:tc>
          <w:tcPr>
            <w:tcW w:w="925" w:type="pct"/>
            <w:tcBorders>
              <w:bottom w:val="nil"/>
            </w:tcBorders>
            <w:vAlign w:val="center"/>
          </w:tcPr>
          <w:p w:rsidR="00C96F31" w:rsidRPr="008C2451" w:rsidRDefault="00C96F31" w:rsidP="00337E78">
            <w:pPr>
              <w:pStyle w:val="Tabletext"/>
            </w:pPr>
          </w:p>
        </w:tc>
        <w:tc>
          <w:tcPr>
            <w:tcW w:w="1097" w:type="pct"/>
            <w:tcBorders>
              <w:bottom w:val="nil"/>
            </w:tcBorders>
            <w:vAlign w:val="center"/>
          </w:tcPr>
          <w:p w:rsidR="00C96F31" w:rsidRPr="008C2451" w:rsidRDefault="00C96F31" w:rsidP="00337E78">
            <w:pPr>
              <w:pStyle w:val="Tabletext"/>
            </w:pPr>
          </w:p>
        </w:tc>
      </w:tr>
      <w:tr w:rsidR="00C96F31" w:rsidRPr="008C2451" w:rsidTr="00FC3536">
        <w:trPr>
          <w:cantSplit/>
          <w:trHeight w:val="88"/>
        </w:trPr>
        <w:tc>
          <w:tcPr>
            <w:tcW w:w="1367" w:type="pct"/>
            <w:tcBorders>
              <w:top w:val="nil"/>
              <w:bottom w:val="nil"/>
            </w:tcBorders>
          </w:tcPr>
          <w:p w:rsidR="00C96F31" w:rsidRPr="00411717" w:rsidRDefault="00C96F31" w:rsidP="00337E78">
            <w:pPr>
              <w:pStyle w:val="Tabletext"/>
              <w:rPr>
                <w:i/>
              </w:rPr>
            </w:pPr>
            <w:r w:rsidRPr="00411717">
              <w:rPr>
                <w:i/>
              </w:rPr>
              <w:lastRenderedPageBreak/>
              <w:t>Pre-vaccination</w:t>
            </w:r>
          </w:p>
        </w:tc>
        <w:tc>
          <w:tcPr>
            <w:tcW w:w="811" w:type="pct"/>
            <w:tcBorders>
              <w:top w:val="nil"/>
              <w:bottom w:val="nil"/>
            </w:tcBorders>
            <w:vAlign w:val="center"/>
          </w:tcPr>
          <w:p w:rsidR="00C96F31" w:rsidRPr="00C33FF8" w:rsidRDefault="00C96F31" w:rsidP="00337E78">
            <w:pPr>
              <w:pStyle w:val="Tabletext"/>
              <w:rPr>
                <w:i/>
              </w:rPr>
            </w:pPr>
            <w:r w:rsidRPr="00C33FF8">
              <w:rPr>
                <w:i/>
              </w:rPr>
              <w:t>53/87 (60.9)</w:t>
            </w:r>
          </w:p>
        </w:tc>
        <w:tc>
          <w:tcPr>
            <w:tcW w:w="800" w:type="pct"/>
            <w:tcBorders>
              <w:top w:val="nil"/>
              <w:bottom w:val="nil"/>
            </w:tcBorders>
            <w:vAlign w:val="center"/>
          </w:tcPr>
          <w:p w:rsidR="00C96F31" w:rsidRPr="00C33FF8" w:rsidRDefault="00C96F31" w:rsidP="00337E78">
            <w:pPr>
              <w:pStyle w:val="Tabletext"/>
              <w:rPr>
                <w:i/>
              </w:rPr>
            </w:pPr>
            <w:r w:rsidRPr="00C33FF8">
              <w:rPr>
                <w:i/>
              </w:rPr>
              <w:t>30/55 (54.5)</w:t>
            </w:r>
          </w:p>
        </w:tc>
        <w:tc>
          <w:tcPr>
            <w:tcW w:w="925" w:type="pct"/>
            <w:tcBorders>
              <w:top w:val="nil"/>
              <w:bottom w:val="nil"/>
            </w:tcBorders>
            <w:vAlign w:val="center"/>
          </w:tcPr>
          <w:p w:rsidR="00C96F31" w:rsidRPr="008C2451" w:rsidRDefault="00C96F31" w:rsidP="00337E78">
            <w:pPr>
              <w:pStyle w:val="Tabletext"/>
            </w:pPr>
          </w:p>
        </w:tc>
        <w:tc>
          <w:tcPr>
            <w:tcW w:w="1097" w:type="pct"/>
            <w:tcBorders>
              <w:top w:val="nil"/>
              <w:bottom w:val="nil"/>
            </w:tcBorders>
            <w:vAlign w:val="center"/>
          </w:tcPr>
          <w:p w:rsidR="00C96F31" w:rsidRPr="008C2451" w:rsidRDefault="00C96F31" w:rsidP="00337E78">
            <w:pPr>
              <w:pStyle w:val="Tabletext"/>
            </w:pPr>
          </w:p>
        </w:tc>
      </w:tr>
      <w:tr w:rsidR="00C96F31" w:rsidRPr="008C2451" w:rsidTr="00FC3536">
        <w:trPr>
          <w:cantSplit/>
          <w:trHeight w:val="133"/>
        </w:trPr>
        <w:tc>
          <w:tcPr>
            <w:tcW w:w="1367" w:type="pct"/>
            <w:tcBorders>
              <w:top w:val="nil"/>
              <w:bottom w:val="single" w:sz="4" w:space="0" w:color="auto"/>
            </w:tcBorders>
          </w:tcPr>
          <w:p w:rsidR="00C96F31" w:rsidRDefault="00C96F31" w:rsidP="00337E78">
            <w:pPr>
              <w:pStyle w:val="Tabletext"/>
            </w:pPr>
            <w:r w:rsidRPr="008A495C">
              <w:t>1 month post vaccination</w:t>
            </w:r>
          </w:p>
        </w:tc>
        <w:tc>
          <w:tcPr>
            <w:tcW w:w="811" w:type="pct"/>
            <w:tcBorders>
              <w:top w:val="nil"/>
              <w:bottom w:val="single" w:sz="4" w:space="0" w:color="auto"/>
            </w:tcBorders>
            <w:vAlign w:val="center"/>
          </w:tcPr>
          <w:p w:rsidR="00C96F31" w:rsidRPr="008C2451" w:rsidRDefault="00C96F31" w:rsidP="00337E78">
            <w:pPr>
              <w:pStyle w:val="Tabletext"/>
            </w:pPr>
            <w:r w:rsidRPr="008C2451">
              <w:t>180/185 (97.3)</w:t>
            </w:r>
          </w:p>
        </w:tc>
        <w:tc>
          <w:tcPr>
            <w:tcW w:w="800" w:type="pct"/>
            <w:tcBorders>
              <w:top w:val="nil"/>
              <w:bottom w:val="single" w:sz="4" w:space="0" w:color="auto"/>
            </w:tcBorders>
            <w:vAlign w:val="center"/>
          </w:tcPr>
          <w:p w:rsidR="00C96F31" w:rsidRPr="008C2451" w:rsidRDefault="00C96F31" w:rsidP="00337E78">
            <w:pPr>
              <w:pStyle w:val="Tabletext"/>
            </w:pPr>
            <w:r w:rsidRPr="008C2451">
              <w:t>71/110 (64.5)</w:t>
            </w:r>
          </w:p>
        </w:tc>
        <w:tc>
          <w:tcPr>
            <w:tcW w:w="925" w:type="pct"/>
            <w:tcBorders>
              <w:top w:val="nil"/>
              <w:bottom w:val="single" w:sz="4" w:space="0" w:color="auto"/>
            </w:tcBorders>
            <w:vAlign w:val="center"/>
          </w:tcPr>
          <w:p w:rsidR="00C96F31" w:rsidRPr="008C2451" w:rsidRDefault="00C96F31" w:rsidP="00337E78">
            <w:pPr>
              <w:pStyle w:val="Tabletext"/>
            </w:pPr>
            <w:r w:rsidRPr="008C2451">
              <w:t>1.51 (1.31, 1.73)*</w:t>
            </w:r>
          </w:p>
        </w:tc>
        <w:tc>
          <w:tcPr>
            <w:tcW w:w="1097" w:type="pct"/>
            <w:tcBorders>
              <w:top w:val="nil"/>
              <w:bottom w:val="single" w:sz="4" w:space="0" w:color="auto"/>
            </w:tcBorders>
            <w:vAlign w:val="center"/>
          </w:tcPr>
          <w:p w:rsidR="00C96F31" w:rsidRPr="008C2451" w:rsidRDefault="00C96F31" w:rsidP="00337E78">
            <w:pPr>
              <w:pStyle w:val="Tabletext"/>
            </w:pPr>
            <w:r w:rsidRPr="008C2451">
              <w:t>32.75 (23.51, 41.99)*</w:t>
            </w:r>
          </w:p>
        </w:tc>
      </w:tr>
      <w:tr w:rsidR="00FC3536" w:rsidRPr="00B84117" w:rsidTr="00FC3536">
        <w:trPr>
          <w:cantSplit/>
          <w:trHeight w:val="133"/>
        </w:trPr>
        <w:tc>
          <w:tcPr>
            <w:tcW w:w="1367" w:type="pct"/>
            <w:tcBorders>
              <w:top w:val="single" w:sz="4" w:space="0" w:color="auto"/>
              <w:left w:val="single" w:sz="4" w:space="0" w:color="auto"/>
              <w:bottom w:val="single" w:sz="4" w:space="0" w:color="auto"/>
              <w:right w:val="single" w:sz="4" w:space="0" w:color="auto"/>
            </w:tcBorders>
          </w:tcPr>
          <w:p w:rsidR="00FC3536" w:rsidRPr="00FC3536" w:rsidRDefault="00FC3536" w:rsidP="00840ED5">
            <w:pPr>
              <w:pStyle w:val="Tabletext"/>
              <w:keepNext/>
              <w:rPr>
                <w:b/>
              </w:rPr>
            </w:pPr>
            <w:r w:rsidRPr="00FC3536">
              <w:rPr>
                <w:b/>
              </w:rPr>
              <w:t>Trial ID</w:t>
            </w:r>
          </w:p>
        </w:tc>
        <w:tc>
          <w:tcPr>
            <w:tcW w:w="811" w:type="pct"/>
            <w:tcBorders>
              <w:top w:val="single" w:sz="4" w:space="0" w:color="auto"/>
              <w:left w:val="single" w:sz="4" w:space="0" w:color="auto"/>
              <w:bottom w:val="single" w:sz="4" w:space="0" w:color="auto"/>
              <w:right w:val="single" w:sz="4" w:space="0" w:color="auto"/>
            </w:tcBorders>
            <w:vAlign w:val="center"/>
          </w:tcPr>
          <w:p w:rsidR="00FC3536" w:rsidRPr="00FC3536" w:rsidRDefault="00FC3536" w:rsidP="00840ED5">
            <w:pPr>
              <w:pStyle w:val="Tabletext"/>
              <w:keepNext/>
              <w:rPr>
                <w:b/>
              </w:rPr>
            </w:pPr>
            <w:r w:rsidRPr="00FC3536">
              <w:rPr>
                <w:b/>
              </w:rPr>
              <w:t>Hib-</w:t>
            </w:r>
            <w:proofErr w:type="spellStart"/>
            <w:r w:rsidRPr="00FC3536">
              <w:rPr>
                <w:b/>
              </w:rPr>
              <w:t>MenC</w:t>
            </w:r>
            <w:proofErr w:type="spellEnd"/>
            <w:r w:rsidRPr="00FC3536">
              <w:rPr>
                <w:b/>
              </w:rPr>
              <w:t xml:space="preserve"> + MMR</w:t>
            </w:r>
          </w:p>
          <w:p w:rsidR="00FC3536" w:rsidRPr="00FC3536" w:rsidRDefault="00FC3536" w:rsidP="00840ED5">
            <w:pPr>
              <w:pStyle w:val="Tabletext"/>
              <w:keepNext/>
              <w:rPr>
                <w:b/>
              </w:rPr>
            </w:pPr>
            <w:proofErr w:type="gramStart"/>
            <w:r w:rsidRPr="00FC3536">
              <w:rPr>
                <w:b/>
              </w:rPr>
              <w:t>n/N</w:t>
            </w:r>
            <w:proofErr w:type="gramEnd"/>
            <w:r w:rsidRPr="00FC3536">
              <w:rPr>
                <w:b/>
              </w:rPr>
              <w:t xml:space="preserve"> (%)</w:t>
            </w:r>
          </w:p>
        </w:tc>
        <w:tc>
          <w:tcPr>
            <w:tcW w:w="800" w:type="pct"/>
            <w:tcBorders>
              <w:top w:val="single" w:sz="4" w:space="0" w:color="auto"/>
              <w:left w:val="single" w:sz="4" w:space="0" w:color="auto"/>
              <w:bottom w:val="single" w:sz="4" w:space="0" w:color="auto"/>
              <w:right w:val="single" w:sz="4" w:space="0" w:color="auto"/>
            </w:tcBorders>
            <w:vAlign w:val="center"/>
          </w:tcPr>
          <w:p w:rsidR="00FC3536" w:rsidRPr="00FC3536" w:rsidRDefault="00FC3536" w:rsidP="00840ED5">
            <w:pPr>
              <w:pStyle w:val="Tabletext"/>
              <w:keepNext/>
              <w:rPr>
                <w:b/>
              </w:rPr>
            </w:pPr>
            <w:proofErr w:type="spellStart"/>
            <w:r w:rsidRPr="00FC3536">
              <w:rPr>
                <w:b/>
              </w:rPr>
              <w:t>MenC</w:t>
            </w:r>
            <w:proofErr w:type="spellEnd"/>
            <w:r w:rsidRPr="00FC3536">
              <w:rPr>
                <w:b/>
              </w:rPr>
              <w:t xml:space="preserve"> + Hib + MMR</w:t>
            </w:r>
          </w:p>
          <w:p w:rsidR="00FC3536" w:rsidRPr="00FC3536" w:rsidRDefault="00FC3536" w:rsidP="00840ED5">
            <w:pPr>
              <w:pStyle w:val="Tabletext"/>
              <w:keepNext/>
              <w:rPr>
                <w:b/>
              </w:rPr>
            </w:pPr>
            <w:proofErr w:type="gramStart"/>
            <w:r w:rsidRPr="00FC3536">
              <w:rPr>
                <w:b/>
              </w:rPr>
              <w:t>n/N</w:t>
            </w:r>
            <w:proofErr w:type="gramEnd"/>
            <w:r w:rsidRPr="00FC3536">
              <w:rPr>
                <w:b/>
              </w:rPr>
              <w:t xml:space="preserve"> (%)</w:t>
            </w:r>
          </w:p>
        </w:tc>
        <w:tc>
          <w:tcPr>
            <w:tcW w:w="925" w:type="pct"/>
            <w:tcBorders>
              <w:top w:val="single" w:sz="4" w:space="0" w:color="auto"/>
              <w:left w:val="single" w:sz="4" w:space="0" w:color="auto"/>
              <w:bottom w:val="single" w:sz="4" w:space="0" w:color="auto"/>
              <w:right w:val="single" w:sz="4" w:space="0" w:color="auto"/>
            </w:tcBorders>
            <w:vAlign w:val="center"/>
          </w:tcPr>
          <w:p w:rsidR="00FC3536" w:rsidRPr="00FC3536" w:rsidRDefault="00FC3536" w:rsidP="00840ED5">
            <w:pPr>
              <w:pStyle w:val="Tabletext"/>
              <w:keepNext/>
              <w:rPr>
                <w:b/>
              </w:rPr>
            </w:pPr>
            <w:r w:rsidRPr="00FC3536">
              <w:rPr>
                <w:b/>
              </w:rPr>
              <w:t>Relative risk (95% CI)</w:t>
            </w:r>
          </w:p>
        </w:tc>
        <w:tc>
          <w:tcPr>
            <w:tcW w:w="1097" w:type="pct"/>
            <w:tcBorders>
              <w:top w:val="single" w:sz="4" w:space="0" w:color="auto"/>
              <w:left w:val="single" w:sz="4" w:space="0" w:color="auto"/>
              <w:bottom w:val="single" w:sz="4" w:space="0" w:color="auto"/>
              <w:right w:val="single" w:sz="4" w:space="0" w:color="auto"/>
            </w:tcBorders>
            <w:vAlign w:val="center"/>
          </w:tcPr>
          <w:p w:rsidR="00FC3536" w:rsidRPr="00FC3536" w:rsidRDefault="00FC3536" w:rsidP="00840ED5">
            <w:pPr>
              <w:pStyle w:val="Tabletext"/>
              <w:keepNext/>
              <w:rPr>
                <w:b/>
              </w:rPr>
            </w:pPr>
            <w:r w:rsidRPr="00FC3536">
              <w:rPr>
                <w:b/>
              </w:rPr>
              <w:t>Risk difference (95% CI)</w:t>
            </w:r>
          </w:p>
        </w:tc>
      </w:tr>
      <w:tr w:rsidR="00FC3536" w:rsidRPr="00B1011F" w:rsidTr="00FC3536">
        <w:trPr>
          <w:cantSplit/>
          <w:trHeight w:val="133"/>
        </w:trPr>
        <w:tc>
          <w:tcPr>
            <w:tcW w:w="5000" w:type="pct"/>
            <w:gridSpan w:val="5"/>
            <w:tcBorders>
              <w:top w:val="single" w:sz="4" w:space="0" w:color="auto"/>
              <w:left w:val="single" w:sz="4" w:space="0" w:color="auto"/>
              <w:bottom w:val="single" w:sz="4" w:space="0" w:color="auto"/>
              <w:right w:val="single" w:sz="4" w:space="0" w:color="auto"/>
            </w:tcBorders>
          </w:tcPr>
          <w:p w:rsidR="00FC3536" w:rsidRPr="00FC3536" w:rsidRDefault="00840ED5" w:rsidP="00840ED5">
            <w:pPr>
              <w:pStyle w:val="Tabletext"/>
              <w:keepNext/>
              <w:rPr>
                <w:b/>
              </w:rPr>
            </w:pPr>
            <w:r>
              <w:rPr>
                <w:b/>
              </w:rPr>
              <w:t>Hib-</w:t>
            </w:r>
            <w:proofErr w:type="spellStart"/>
            <w:r>
              <w:rPr>
                <w:b/>
              </w:rPr>
              <w:t>MenC</w:t>
            </w:r>
            <w:proofErr w:type="spellEnd"/>
            <w:r>
              <w:rPr>
                <w:b/>
              </w:rPr>
              <w:t xml:space="preserve"> clinical trial</w:t>
            </w:r>
          </w:p>
        </w:tc>
      </w:tr>
      <w:tr w:rsidR="00FC3536" w:rsidRPr="00B1011F" w:rsidTr="00FC3536">
        <w:trPr>
          <w:cantSplit/>
          <w:trHeight w:val="133"/>
        </w:trPr>
        <w:tc>
          <w:tcPr>
            <w:tcW w:w="1367" w:type="pct"/>
            <w:tcBorders>
              <w:top w:val="single" w:sz="4" w:space="0" w:color="auto"/>
              <w:left w:val="single" w:sz="4" w:space="0" w:color="auto"/>
              <w:bottom w:val="nil"/>
              <w:right w:val="single" w:sz="4" w:space="0" w:color="auto"/>
            </w:tcBorders>
          </w:tcPr>
          <w:p w:rsidR="00FC3536" w:rsidRPr="00B1011F" w:rsidRDefault="00FC3536" w:rsidP="00FC3536">
            <w:pPr>
              <w:pStyle w:val="Tabletext"/>
            </w:pPr>
            <w:r>
              <w:t>Hib-MenC-016</w:t>
            </w:r>
          </w:p>
        </w:tc>
        <w:tc>
          <w:tcPr>
            <w:tcW w:w="811" w:type="pct"/>
            <w:tcBorders>
              <w:top w:val="single" w:sz="4" w:space="0" w:color="auto"/>
              <w:left w:val="single" w:sz="4" w:space="0" w:color="auto"/>
              <w:bottom w:val="nil"/>
              <w:right w:val="single" w:sz="4" w:space="0" w:color="auto"/>
            </w:tcBorders>
            <w:vAlign w:val="center"/>
          </w:tcPr>
          <w:p w:rsidR="00FC3536" w:rsidRPr="00B1011F" w:rsidRDefault="00FC3536" w:rsidP="00FC3536">
            <w:pPr>
              <w:pStyle w:val="Tabletext"/>
            </w:pPr>
          </w:p>
        </w:tc>
        <w:tc>
          <w:tcPr>
            <w:tcW w:w="800" w:type="pct"/>
            <w:tcBorders>
              <w:top w:val="single" w:sz="4" w:space="0" w:color="auto"/>
              <w:left w:val="single" w:sz="4" w:space="0" w:color="auto"/>
              <w:bottom w:val="nil"/>
              <w:right w:val="single" w:sz="4" w:space="0" w:color="auto"/>
            </w:tcBorders>
            <w:vAlign w:val="center"/>
          </w:tcPr>
          <w:p w:rsidR="00FC3536" w:rsidRPr="00B1011F" w:rsidRDefault="00FC3536" w:rsidP="00FC3536">
            <w:pPr>
              <w:pStyle w:val="Tabletext"/>
            </w:pPr>
          </w:p>
        </w:tc>
        <w:tc>
          <w:tcPr>
            <w:tcW w:w="925" w:type="pct"/>
            <w:tcBorders>
              <w:top w:val="single" w:sz="4" w:space="0" w:color="auto"/>
              <w:left w:val="single" w:sz="4" w:space="0" w:color="auto"/>
              <w:bottom w:val="nil"/>
              <w:right w:val="single" w:sz="4" w:space="0" w:color="auto"/>
            </w:tcBorders>
            <w:vAlign w:val="center"/>
          </w:tcPr>
          <w:p w:rsidR="00FC3536" w:rsidRPr="00B1011F" w:rsidRDefault="00FC3536" w:rsidP="00FC3536">
            <w:pPr>
              <w:pStyle w:val="Tabletext"/>
            </w:pPr>
          </w:p>
        </w:tc>
        <w:tc>
          <w:tcPr>
            <w:tcW w:w="1097" w:type="pct"/>
            <w:tcBorders>
              <w:top w:val="single" w:sz="4" w:space="0" w:color="auto"/>
              <w:left w:val="single" w:sz="4" w:space="0" w:color="auto"/>
              <w:bottom w:val="nil"/>
              <w:right w:val="single" w:sz="4" w:space="0" w:color="auto"/>
            </w:tcBorders>
            <w:vAlign w:val="center"/>
          </w:tcPr>
          <w:p w:rsidR="00FC3536" w:rsidRPr="00B1011F" w:rsidRDefault="00FC3536" w:rsidP="00FC3536">
            <w:pPr>
              <w:pStyle w:val="Tabletext"/>
            </w:pPr>
          </w:p>
        </w:tc>
      </w:tr>
      <w:tr w:rsidR="00FC3536" w:rsidRPr="00B1011F" w:rsidTr="00FC3536">
        <w:trPr>
          <w:cantSplit/>
          <w:trHeight w:val="133"/>
        </w:trPr>
        <w:tc>
          <w:tcPr>
            <w:tcW w:w="1367" w:type="pct"/>
            <w:tcBorders>
              <w:top w:val="nil"/>
              <w:left w:val="single" w:sz="4" w:space="0" w:color="auto"/>
              <w:bottom w:val="nil"/>
              <w:right w:val="single" w:sz="4" w:space="0" w:color="auto"/>
            </w:tcBorders>
          </w:tcPr>
          <w:p w:rsidR="00FC3536" w:rsidRPr="00FC3536" w:rsidRDefault="00FC3536" w:rsidP="00FC3536">
            <w:pPr>
              <w:pStyle w:val="Tabletext"/>
              <w:rPr>
                <w:i/>
              </w:rPr>
            </w:pPr>
            <w:r w:rsidRPr="00FC3536">
              <w:rPr>
                <w:i/>
              </w:rPr>
              <w:t>Pre-vaccination</w:t>
            </w:r>
          </w:p>
        </w:tc>
        <w:tc>
          <w:tcPr>
            <w:tcW w:w="811" w:type="pct"/>
            <w:tcBorders>
              <w:top w:val="nil"/>
              <w:left w:val="single" w:sz="4" w:space="0" w:color="auto"/>
              <w:bottom w:val="nil"/>
              <w:right w:val="single" w:sz="4" w:space="0" w:color="auto"/>
            </w:tcBorders>
            <w:vAlign w:val="center"/>
          </w:tcPr>
          <w:p w:rsidR="00FC3536" w:rsidRPr="00FC3536" w:rsidRDefault="00FC3536" w:rsidP="00FC3536">
            <w:pPr>
              <w:pStyle w:val="Tabletext"/>
              <w:rPr>
                <w:i/>
              </w:rPr>
            </w:pPr>
            <w:r w:rsidRPr="00FC3536">
              <w:rPr>
                <w:i/>
              </w:rPr>
              <w:t>37/255 (14.5)</w:t>
            </w:r>
          </w:p>
        </w:tc>
        <w:tc>
          <w:tcPr>
            <w:tcW w:w="800" w:type="pct"/>
            <w:tcBorders>
              <w:top w:val="nil"/>
              <w:left w:val="single" w:sz="4" w:space="0" w:color="auto"/>
              <w:bottom w:val="nil"/>
              <w:right w:val="single" w:sz="4" w:space="0" w:color="auto"/>
            </w:tcBorders>
            <w:vAlign w:val="center"/>
          </w:tcPr>
          <w:p w:rsidR="00FC3536" w:rsidRPr="00FC3536" w:rsidRDefault="00FC3536" w:rsidP="00FC3536">
            <w:pPr>
              <w:pStyle w:val="Tabletext"/>
              <w:rPr>
                <w:i/>
              </w:rPr>
            </w:pPr>
            <w:r w:rsidRPr="00FC3536">
              <w:rPr>
                <w:i/>
              </w:rPr>
              <w:t>7/83 (8.4)</w:t>
            </w:r>
          </w:p>
        </w:tc>
        <w:tc>
          <w:tcPr>
            <w:tcW w:w="925" w:type="pct"/>
            <w:tcBorders>
              <w:top w:val="nil"/>
              <w:left w:val="single" w:sz="4" w:space="0" w:color="auto"/>
              <w:bottom w:val="nil"/>
              <w:right w:val="single" w:sz="4" w:space="0" w:color="auto"/>
            </w:tcBorders>
            <w:vAlign w:val="center"/>
          </w:tcPr>
          <w:p w:rsidR="00FC3536" w:rsidRDefault="00FC3536" w:rsidP="00FC3536">
            <w:pPr>
              <w:pStyle w:val="Tabletext"/>
            </w:pPr>
          </w:p>
        </w:tc>
        <w:tc>
          <w:tcPr>
            <w:tcW w:w="1097" w:type="pct"/>
            <w:tcBorders>
              <w:top w:val="nil"/>
              <w:left w:val="single" w:sz="4" w:space="0" w:color="auto"/>
              <w:bottom w:val="nil"/>
              <w:right w:val="single" w:sz="4" w:space="0" w:color="auto"/>
            </w:tcBorders>
            <w:vAlign w:val="center"/>
          </w:tcPr>
          <w:p w:rsidR="00FC3536" w:rsidRDefault="00FC3536" w:rsidP="00FC3536">
            <w:pPr>
              <w:pStyle w:val="Tabletext"/>
            </w:pPr>
          </w:p>
        </w:tc>
      </w:tr>
      <w:tr w:rsidR="00FC3536" w:rsidRPr="00B1011F" w:rsidTr="00FC3536">
        <w:trPr>
          <w:cantSplit/>
          <w:trHeight w:val="133"/>
        </w:trPr>
        <w:tc>
          <w:tcPr>
            <w:tcW w:w="1367" w:type="pct"/>
            <w:tcBorders>
              <w:top w:val="nil"/>
              <w:left w:val="single" w:sz="4" w:space="0" w:color="auto"/>
              <w:bottom w:val="single" w:sz="4" w:space="0" w:color="auto"/>
              <w:right w:val="single" w:sz="4" w:space="0" w:color="auto"/>
            </w:tcBorders>
          </w:tcPr>
          <w:p w:rsidR="00FC3536" w:rsidRDefault="00FC3536" w:rsidP="003D7466">
            <w:pPr>
              <w:pStyle w:val="Tabletext"/>
            </w:pPr>
            <w:r>
              <w:t>1 month post vaccination</w:t>
            </w:r>
          </w:p>
        </w:tc>
        <w:tc>
          <w:tcPr>
            <w:tcW w:w="811" w:type="pct"/>
            <w:tcBorders>
              <w:top w:val="nil"/>
              <w:left w:val="single" w:sz="4" w:space="0" w:color="auto"/>
              <w:bottom w:val="single" w:sz="4" w:space="0" w:color="auto"/>
              <w:right w:val="single" w:sz="4" w:space="0" w:color="auto"/>
            </w:tcBorders>
            <w:vAlign w:val="center"/>
          </w:tcPr>
          <w:p w:rsidR="00FC3536" w:rsidRDefault="00FC3536" w:rsidP="00FC3536">
            <w:pPr>
              <w:pStyle w:val="Tabletext"/>
            </w:pPr>
            <w:r>
              <w:t>280/281 (99.6)</w:t>
            </w:r>
          </w:p>
        </w:tc>
        <w:tc>
          <w:tcPr>
            <w:tcW w:w="800" w:type="pct"/>
            <w:tcBorders>
              <w:top w:val="nil"/>
              <w:left w:val="single" w:sz="4" w:space="0" w:color="auto"/>
              <w:bottom w:val="single" w:sz="4" w:space="0" w:color="auto"/>
              <w:right w:val="single" w:sz="4" w:space="0" w:color="auto"/>
            </w:tcBorders>
            <w:vAlign w:val="center"/>
          </w:tcPr>
          <w:p w:rsidR="00FC3536" w:rsidRDefault="00FC3536" w:rsidP="00FC3536">
            <w:pPr>
              <w:pStyle w:val="Tabletext"/>
            </w:pPr>
            <w:r>
              <w:t>98/98 (100)</w:t>
            </w:r>
          </w:p>
        </w:tc>
        <w:tc>
          <w:tcPr>
            <w:tcW w:w="925" w:type="pct"/>
            <w:tcBorders>
              <w:top w:val="nil"/>
              <w:left w:val="single" w:sz="4" w:space="0" w:color="auto"/>
              <w:bottom w:val="single" w:sz="4" w:space="0" w:color="auto"/>
              <w:right w:val="single" w:sz="4" w:space="0" w:color="auto"/>
            </w:tcBorders>
            <w:vAlign w:val="center"/>
          </w:tcPr>
          <w:p w:rsidR="00FC3536" w:rsidRDefault="00FC3536" w:rsidP="00FC3536">
            <w:pPr>
              <w:pStyle w:val="Tabletext"/>
            </w:pPr>
            <w:r>
              <w:t>1.00 (0.98, 1.02)</w:t>
            </w:r>
          </w:p>
        </w:tc>
        <w:tc>
          <w:tcPr>
            <w:tcW w:w="1097" w:type="pct"/>
            <w:tcBorders>
              <w:top w:val="nil"/>
              <w:left w:val="single" w:sz="4" w:space="0" w:color="auto"/>
              <w:bottom w:val="single" w:sz="4" w:space="0" w:color="auto"/>
              <w:right w:val="single" w:sz="4" w:space="0" w:color="auto"/>
            </w:tcBorders>
            <w:vAlign w:val="center"/>
          </w:tcPr>
          <w:p w:rsidR="00FC3536" w:rsidRDefault="00FC3536" w:rsidP="00FC3536">
            <w:pPr>
              <w:pStyle w:val="Tabletext"/>
            </w:pPr>
            <w:r>
              <w:t>-0.36 (-1.99, 1.28)</w:t>
            </w:r>
          </w:p>
        </w:tc>
      </w:tr>
    </w:tbl>
    <w:p w:rsidR="00C96F31" w:rsidRPr="00C96F31" w:rsidRDefault="00C96F31" w:rsidP="00C96F31">
      <w:pPr>
        <w:pStyle w:val="TableFooter"/>
      </w:pPr>
      <w:r w:rsidRPr="00C96F31">
        <w:t xml:space="preserve">CI: confidence interval; </w:t>
      </w:r>
      <w:r w:rsidR="00FC3536">
        <w:t>Hib: monovalent haemophilus influenza type B vaccine; Hib-</w:t>
      </w:r>
      <w:proofErr w:type="spellStart"/>
      <w:r w:rsidR="00FC3536">
        <w:t>MenC</w:t>
      </w:r>
      <w:proofErr w:type="spellEnd"/>
      <w:r w:rsidR="00FC3536">
        <w:t xml:space="preserve">: haemophilus influenza type B &amp; meningococcal C vaccine; </w:t>
      </w:r>
      <w:proofErr w:type="spellStart"/>
      <w:r w:rsidR="00FC3536">
        <w:t>MenC</w:t>
      </w:r>
      <w:proofErr w:type="spellEnd"/>
      <w:r w:rsidR="00FC3536">
        <w:t xml:space="preserve">: monovalent meningococcal C vaccine; MMR: measles, mumps &amp; rubella vaccine; </w:t>
      </w:r>
      <w:proofErr w:type="spellStart"/>
      <w:r w:rsidRPr="00C96F31">
        <w:t>MenACWY</w:t>
      </w:r>
      <w:proofErr w:type="spellEnd"/>
      <w:r w:rsidRPr="00C96F31">
        <w:t xml:space="preserve">-TT: Meningococcal serogroups ACWY tetanus toxoid vaccine; </w:t>
      </w:r>
      <w:proofErr w:type="spellStart"/>
      <w:r w:rsidRPr="00C96F31">
        <w:t>MenC</w:t>
      </w:r>
      <w:proofErr w:type="spellEnd"/>
      <w:r w:rsidRPr="00C96F31">
        <w:t>: monovalent meningococcal C vaccine; n: number of participants with event; N: total participants in group</w:t>
      </w:r>
    </w:p>
    <w:p w:rsidR="00C96F31" w:rsidRPr="00C96F31" w:rsidRDefault="00C96F31" w:rsidP="00C96F31">
      <w:pPr>
        <w:pStyle w:val="TableFooter"/>
      </w:pPr>
      <w:r w:rsidRPr="00C96F31">
        <w:t>#Outcome measurements taken at day 42 in trial MenACWY-TT-039</w:t>
      </w:r>
    </w:p>
    <w:p w:rsidR="00C96F31" w:rsidRPr="00C96F31" w:rsidRDefault="00C96F31" w:rsidP="00C96F31">
      <w:pPr>
        <w:pStyle w:val="TableFooter"/>
      </w:pPr>
      <w:r w:rsidRPr="00C96F31">
        <w:t>*Statistically significant result</w:t>
      </w:r>
    </w:p>
    <w:p w:rsidR="00FC3536" w:rsidRDefault="00C96F31" w:rsidP="00FC3536">
      <w:pPr>
        <w:pStyle w:val="TableFooter"/>
        <w:rPr>
          <w:rFonts w:eastAsia="Calibri"/>
        </w:rPr>
      </w:pPr>
      <w:r w:rsidRPr="00C96F31">
        <w:t>Source: Table 2.5-3, p76 of the submission and Table 19, p.101 of MenACWY-TT-013 CSR; Table 22, p.86 of MenACWY-TT-027 CSR; Table 20, p.101 of MenACWY-TT-039 CSR; Table 21, p.105 of MenACWY-TT-040 CSR</w:t>
      </w:r>
      <w:r w:rsidR="00FC3536">
        <w:t xml:space="preserve"> and Table 2.5-10, p84 </w:t>
      </w:r>
      <w:r w:rsidR="00FC3536" w:rsidRPr="00D13A3E">
        <w:t xml:space="preserve">of the </w:t>
      </w:r>
      <w:r w:rsidR="00FC3536">
        <w:t>submission; Table 16, p.65 of Hib-</w:t>
      </w:r>
      <w:proofErr w:type="spellStart"/>
      <w:r w:rsidR="00FC3536">
        <w:t>MenC</w:t>
      </w:r>
      <w:proofErr w:type="spellEnd"/>
      <w:r w:rsidR="00FC3536">
        <w:t xml:space="preserve"> CSR.</w:t>
      </w:r>
    </w:p>
    <w:p w:rsidR="00C96F31" w:rsidRDefault="00C96F31" w:rsidP="00D43B2A">
      <w:pPr>
        <w:rPr>
          <w:rStyle w:val="CommentReference"/>
          <w:b w:val="0"/>
        </w:rPr>
      </w:pPr>
    </w:p>
    <w:p w:rsidR="00337E78" w:rsidRPr="00337E78" w:rsidRDefault="00337E78" w:rsidP="00337E78">
      <w:pPr>
        <w:pStyle w:val="ListParagraph"/>
        <w:widowControl/>
        <w:numPr>
          <w:ilvl w:val="1"/>
          <w:numId w:val="1"/>
        </w:numPr>
        <w:rPr>
          <w:rFonts w:cs="Calibri"/>
          <w:snapToGrid/>
          <w:szCs w:val="24"/>
          <w:lang w:val="en-US" w:eastAsia="en-AU"/>
        </w:rPr>
      </w:pPr>
      <w:r w:rsidRPr="00337E78">
        <w:rPr>
          <w:rFonts w:cs="Calibri"/>
          <w:snapToGrid/>
          <w:szCs w:val="24"/>
          <w:lang w:val="en-US" w:eastAsia="en-AU"/>
        </w:rPr>
        <w:t xml:space="preserve">The submission claimed that the three non-inferiority trials (MenACWY-TT-027, 039 and 040) all demonstrated non-inferiority of the </w:t>
      </w:r>
      <w:proofErr w:type="spellStart"/>
      <w:r w:rsidRPr="00337E78">
        <w:rPr>
          <w:rFonts w:cs="Calibri"/>
          <w:snapToGrid/>
          <w:szCs w:val="24"/>
          <w:lang w:val="en-US" w:eastAsia="en-AU"/>
        </w:rPr>
        <w:t>MenACWY</w:t>
      </w:r>
      <w:proofErr w:type="spellEnd"/>
      <w:r w:rsidRPr="00337E78">
        <w:rPr>
          <w:rFonts w:cs="Calibri"/>
          <w:snapToGrid/>
          <w:szCs w:val="24"/>
          <w:lang w:val="en-US" w:eastAsia="en-AU"/>
        </w:rPr>
        <w:t xml:space="preserve">-TT vaccine compared to the monovalent </w:t>
      </w:r>
      <w:proofErr w:type="spellStart"/>
      <w:r w:rsidRPr="00337E78">
        <w:rPr>
          <w:rFonts w:cs="Calibri"/>
          <w:snapToGrid/>
          <w:szCs w:val="24"/>
          <w:lang w:val="en-US" w:eastAsia="en-AU"/>
        </w:rPr>
        <w:t>MenC</w:t>
      </w:r>
      <w:proofErr w:type="spellEnd"/>
      <w:r w:rsidRPr="00337E78">
        <w:rPr>
          <w:rFonts w:cs="Calibri"/>
          <w:snapToGrid/>
          <w:szCs w:val="24"/>
          <w:lang w:val="en-US" w:eastAsia="en-AU"/>
        </w:rPr>
        <w:t xml:space="preserve"> vaccine since the lower limit of the 95% confidence interval was above the pre-specified non-inferiority limit of -10% (-15% in MenACWY-TT-027) in the trials (p75 of the submission). </w:t>
      </w:r>
      <w:r w:rsidRPr="00645BB0">
        <w:rPr>
          <w:rFonts w:cs="Calibri"/>
          <w:snapToGrid/>
          <w:szCs w:val="24"/>
          <w:lang w:val="en-US" w:eastAsia="en-AU"/>
        </w:rPr>
        <w:t>This is reasonable</w:t>
      </w:r>
      <w:r w:rsidRPr="00337E78">
        <w:rPr>
          <w:rFonts w:cs="Calibri"/>
          <w:i/>
          <w:snapToGrid/>
          <w:szCs w:val="24"/>
          <w:lang w:val="en-US" w:eastAsia="en-AU"/>
        </w:rPr>
        <w:t>.</w:t>
      </w:r>
    </w:p>
    <w:p w:rsidR="00337E78" w:rsidRPr="00646CBD" w:rsidRDefault="00337E78" w:rsidP="00337E78">
      <w:pPr>
        <w:pStyle w:val="ListParagraph"/>
        <w:widowControl/>
        <w:numPr>
          <w:ilvl w:val="1"/>
          <w:numId w:val="1"/>
        </w:numPr>
        <w:rPr>
          <w:rFonts w:cs="Calibri"/>
          <w:snapToGrid/>
          <w:szCs w:val="24"/>
          <w:lang w:val="en-US" w:eastAsia="en-AU"/>
        </w:rPr>
      </w:pPr>
      <w:r w:rsidRPr="00337E78">
        <w:rPr>
          <w:rFonts w:cs="Calibri"/>
          <w:snapToGrid/>
          <w:szCs w:val="24"/>
          <w:lang w:val="en-US" w:eastAsia="en-AU"/>
        </w:rPr>
        <w:t xml:space="preserve">The submission claimed that the </w:t>
      </w:r>
      <w:proofErr w:type="spellStart"/>
      <w:r w:rsidRPr="00337E78">
        <w:rPr>
          <w:rFonts w:cs="Calibri"/>
          <w:snapToGrid/>
          <w:szCs w:val="24"/>
          <w:lang w:val="en-US" w:eastAsia="en-AU"/>
        </w:rPr>
        <w:t>MenACWY</w:t>
      </w:r>
      <w:proofErr w:type="spellEnd"/>
      <w:r w:rsidRPr="00337E78">
        <w:rPr>
          <w:rFonts w:cs="Calibri"/>
          <w:snapToGrid/>
          <w:szCs w:val="24"/>
          <w:lang w:val="en-US" w:eastAsia="en-AU"/>
        </w:rPr>
        <w:t xml:space="preserve">-TT vaccine elicited a protective bactericidal antibody response against the four serogroups in each of the </w:t>
      </w:r>
      <w:proofErr w:type="spellStart"/>
      <w:r w:rsidRPr="00337E78">
        <w:rPr>
          <w:rFonts w:cs="Calibri"/>
          <w:snapToGrid/>
          <w:szCs w:val="24"/>
          <w:lang w:val="en-US" w:eastAsia="en-AU"/>
        </w:rPr>
        <w:t>MenACWY</w:t>
      </w:r>
      <w:proofErr w:type="spellEnd"/>
      <w:r w:rsidR="00FC3536">
        <w:rPr>
          <w:rFonts w:cs="Calibri"/>
          <w:snapToGrid/>
          <w:szCs w:val="24"/>
          <w:lang w:val="en-US" w:eastAsia="en-AU"/>
        </w:rPr>
        <w:t> </w:t>
      </w:r>
      <w:r w:rsidRPr="00337E78">
        <w:rPr>
          <w:rFonts w:cs="Calibri"/>
          <w:snapToGrid/>
          <w:szCs w:val="24"/>
          <w:lang w:val="en-US" w:eastAsia="en-AU"/>
        </w:rPr>
        <w:t xml:space="preserve">TT trials (p75 of the submission). </w:t>
      </w:r>
      <w:r w:rsidRPr="00646CBD">
        <w:rPr>
          <w:rFonts w:cs="Calibri"/>
          <w:snapToGrid/>
          <w:szCs w:val="24"/>
          <w:lang w:val="en-US" w:eastAsia="en-AU"/>
        </w:rPr>
        <w:t xml:space="preserve">Based on the relative risks, the </w:t>
      </w:r>
      <w:proofErr w:type="spellStart"/>
      <w:r w:rsidRPr="00646CBD">
        <w:rPr>
          <w:rFonts w:cs="Calibri"/>
          <w:snapToGrid/>
          <w:szCs w:val="24"/>
          <w:lang w:val="en-US" w:eastAsia="en-AU"/>
        </w:rPr>
        <w:t>MenACWY</w:t>
      </w:r>
      <w:proofErr w:type="spellEnd"/>
      <w:r w:rsidR="00FC3536" w:rsidRPr="00646CBD">
        <w:rPr>
          <w:rFonts w:cs="Calibri"/>
          <w:snapToGrid/>
          <w:szCs w:val="24"/>
          <w:lang w:val="en-US" w:eastAsia="en-AU"/>
        </w:rPr>
        <w:t> </w:t>
      </w:r>
      <w:r w:rsidRPr="00646CBD">
        <w:rPr>
          <w:rFonts w:cs="Calibri"/>
          <w:snapToGrid/>
          <w:szCs w:val="24"/>
          <w:lang w:val="en-US" w:eastAsia="en-AU"/>
        </w:rPr>
        <w:t>TT vaccine may be more beneficial at protecting against serogroups A and W than it is against serogroup Y.</w:t>
      </w:r>
    </w:p>
    <w:p w:rsidR="00337E78" w:rsidRPr="00646CBD" w:rsidRDefault="00337E78" w:rsidP="00337E78">
      <w:pPr>
        <w:pStyle w:val="ListParagraph"/>
        <w:widowControl/>
        <w:numPr>
          <w:ilvl w:val="1"/>
          <w:numId w:val="1"/>
        </w:numPr>
      </w:pPr>
      <w:r w:rsidRPr="00646CBD">
        <w:rPr>
          <w:rFonts w:cs="Calibri"/>
          <w:snapToGrid/>
          <w:szCs w:val="24"/>
          <w:lang w:val="en-US" w:eastAsia="en-AU"/>
        </w:rPr>
        <w:t>The submission also claimed that the Hib-</w:t>
      </w:r>
      <w:proofErr w:type="spellStart"/>
      <w:r w:rsidRPr="00646CBD">
        <w:rPr>
          <w:rFonts w:cs="Calibri"/>
          <w:snapToGrid/>
          <w:szCs w:val="24"/>
          <w:lang w:val="en-US" w:eastAsia="en-AU"/>
        </w:rPr>
        <w:t>MenC</w:t>
      </w:r>
      <w:proofErr w:type="spellEnd"/>
      <w:r w:rsidRPr="00646CBD">
        <w:rPr>
          <w:rFonts w:cs="Calibri"/>
          <w:snapToGrid/>
          <w:szCs w:val="24"/>
          <w:lang w:val="en-US" w:eastAsia="en-AU"/>
        </w:rPr>
        <w:t xml:space="preserve"> + MMR arm was non-inferior to the </w:t>
      </w:r>
      <w:proofErr w:type="spellStart"/>
      <w:r w:rsidRPr="00646CBD">
        <w:rPr>
          <w:rFonts w:cs="Calibri"/>
          <w:snapToGrid/>
          <w:szCs w:val="24"/>
          <w:lang w:val="en-US" w:eastAsia="en-AU"/>
        </w:rPr>
        <w:t>MenC</w:t>
      </w:r>
      <w:proofErr w:type="spellEnd"/>
      <w:r w:rsidRPr="00646CBD">
        <w:rPr>
          <w:rFonts w:cs="Calibri"/>
          <w:snapToGrid/>
          <w:szCs w:val="24"/>
          <w:lang w:val="en-US" w:eastAsia="en-AU"/>
        </w:rPr>
        <w:t xml:space="preserve"> + Hib + MMR arm in terms of </w:t>
      </w:r>
      <w:proofErr w:type="spellStart"/>
      <w:r w:rsidRPr="00646CBD">
        <w:rPr>
          <w:rFonts w:cs="Calibri"/>
          <w:snapToGrid/>
          <w:szCs w:val="24"/>
          <w:lang w:val="en-US" w:eastAsia="en-AU"/>
        </w:rPr>
        <w:t>rSBA</w:t>
      </w:r>
      <w:proofErr w:type="spellEnd"/>
      <w:r w:rsidRPr="00646CBD">
        <w:rPr>
          <w:rFonts w:cs="Calibri"/>
          <w:snapToGrid/>
          <w:szCs w:val="24"/>
          <w:lang w:val="en-US" w:eastAsia="en-AU"/>
        </w:rPr>
        <w:t xml:space="preserve"> ≥ 1:8 </w:t>
      </w:r>
      <w:proofErr w:type="spellStart"/>
      <w:r w:rsidRPr="00646CBD">
        <w:rPr>
          <w:rFonts w:cs="Calibri"/>
          <w:snapToGrid/>
          <w:szCs w:val="24"/>
          <w:lang w:val="en-US" w:eastAsia="en-AU"/>
        </w:rPr>
        <w:t>titre</w:t>
      </w:r>
      <w:proofErr w:type="spellEnd"/>
      <w:r w:rsidRPr="00646CBD">
        <w:rPr>
          <w:rFonts w:cs="Calibri"/>
          <w:snapToGrid/>
          <w:szCs w:val="24"/>
          <w:lang w:val="en-US" w:eastAsia="en-AU"/>
        </w:rPr>
        <w:t xml:space="preserve"> against meningococcal C (p83 to 84 of the submission). </w:t>
      </w:r>
      <w:r w:rsidR="00CD4B8A" w:rsidRPr="00646CBD">
        <w:rPr>
          <w:rFonts w:cs="Calibri"/>
          <w:snapToGrid/>
          <w:szCs w:val="24"/>
          <w:lang w:val="en-US" w:eastAsia="en-AU"/>
        </w:rPr>
        <w:t>T</w:t>
      </w:r>
      <w:r w:rsidRPr="00646CBD">
        <w:rPr>
          <w:rFonts w:cs="Calibri"/>
          <w:snapToGrid/>
          <w:szCs w:val="24"/>
          <w:lang w:val="en-US" w:eastAsia="en-AU"/>
        </w:rPr>
        <w:t xml:space="preserve">he concomitant administration of the Hib and MMR vaccines may, but is unlikely to, affect the immunogenicity results against </w:t>
      </w:r>
      <w:proofErr w:type="spellStart"/>
      <w:r w:rsidRPr="00646CBD">
        <w:rPr>
          <w:rFonts w:cs="Calibri"/>
          <w:snapToGrid/>
          <w:szCs w:val="24"/>
          <w:lang w:val="en-US" w:eastAsia="en-AU"/>
        </w:rPr>
        <w:t>MenC</w:t>
      </w:r>
      <w:proofErr w:type="spellEnd"/>
      <w:r w:rsidRPr="00646CBD">
        <w:rPr>
          <w:rFonts w:cs="Calibri"/>
          <w:snapToGrid/>
          <w:szCs w:val="24"/>
          <w:lang w:val="en-US" w:eastAsia="en-AU"/>
        </w:rPr>
        <w:t>.</w:t>
      </w:r>
    </w:p>
    <w:p w:rsidR="00E01465" w:rsidRDefault="00337E78" w:rsidP="00337E78">
      <w:pPr>
        <w:pStyle w:val="ListParagraph"/>
        <w:widowControl/>
        <w:numPr>
          <w:ilvl w:val="1"/>
          <w:numId w:val="1"/>
        </w:numPr>
        <w:rPr>
          <w:rFonts w:cs="Calibri"/>
          <w:snapToGrid/>
          <w:szCs w:val="24"/>
          <w:lang w:val="en-US" w:eastAsia="en-AU"/>
        </w:rPr>
      </w:pPr>
      <w:r w:rsidRPr="00337E78">
        <w:rPr>
          <w:rFonts w:cs="Calibri"/>
          <w:snapToGrid/>
          <w:szCs w:val="24"/>
          <w:lang w:val="en-US" w:eastAsia="en-AU"/>
        </w:rPr>
        <w:t xml:space="preserve">Table </w:t>
      </w:r>
      <w:r w:rsidR="00057ED6">
        <w:rPr>
          <w:rFonts w:cs="Calibri"/>
          <w:snapToGrid/>
          <w:szCs w:val="24"/>
          <w:lang w:val="en-US" w:eastAsia="en-AU"/>
        </w:rPr>
        <w:t>4</w:t>
      </w:r>
      <w:r w:rsidRPr="00337E78">
        <w:rPr>
          <w:rFonts w:cs="Calibri"/>
          <w:snapToGrid/>
          <w:szCs w:val="24"/>
          <w:lang w:val="en-US" w:eastAsia="en-AU"/>
        </w:rPr>
        <w:t xml:space="preserve"> presents the results of the persistence studies conducted by the submission.</w:t>
      </w:r>
    </w:p>
    <w:p w:rsidR="00E01465" w:rsidRDefault="00E01465">
      <w:pPr>
        <w:widowControl/>
        <w:jc w:val="left"/>
        <w:rPr>
          <w:rFonts w:cs="Calibri"/>
          <w:snapToGrid/>
          <w:szCs w:val="24"/>
          <w:lang w:val="en-US" w:eastAsia="en-AU"/>
        </w:rPr>
      </w:pPr>
      <w:r>
        <w:rPr>
          <w:rFonts w:cs="Calibri"/>
          <w:snapToGrid/>
          <w:szCs w:val="24"/>
          <w:lang w:val="en-US" w:eastAsia="en-AU"/>
        </w:rPr>
        <w:br w:type="page"/>
      </w:r>
    </w:p>
    <w:p w:rsidR="00337E78" w:rsidRPr="00411717" w:rsidRDefault="00337E78" w:rsidP="00337E78">
      <w:pPr>
        <w:keepNext/>
        <w:rPr>
          <w:rStyle w:val="CommentReference"/>
        </w:rPr>
      </w:pPr>
      <w:r w:rsidRPr="00411717">
        <w:rPr>
          <w:rStyle w:val="CommentReference"/>
        </w:rPr>
        <w:lastRenderedPageBreak/>
        <w:t xml:space="preserve">Table </w:t>
      </w:r>
      <w:r w:rsidR="00057ED6">
        <w:rPr>
          <w:rStyle w:val="CommentReference"/>
        </w:rPr>
        <w:t>4</w:t>
      </w:r>
      <w:r>
        <w:rPr>
          <w:rStyle w:val="CommentReference"/>
        </w:rPr>
        <w:t xml:space="preserve">: </w:t>
      </w:r>
      <w:r w:rsidRPr="00411717">
        <w:rPr>
          <w:rStyle w:val="CommentReference"/>
        </w:rPr>
        <w:t xml:space="preserve">Proportion of subjects with </w:t>
      </w:r>
      <w:proofErr w:type="spellStart"/>
      <w:r w:rsidRPr="00411717">
        <w:rPr>
          <w:rStyle w:val="CommentReference"/>
        </w:rPr>
        <w:t>rSBA</w:t>
      </w:r>
      <w:proofErr w:type="spellEnd"/>
      <w:r w:rsidRPr="00411717">
        <w:rPr>
          <w:rStyle w:val="CommentReference"/>
        </w:rPr>
        <w:t>-Men titres ≥ 1:8 during the persistence stage</w:t>
      </w:r>
      <w:r>
        <w:rPr>
          <w:rStyle w:val="CommentReference"/>
        </w:rPr>
        <w:t xml:space="preserve"> (ATP immunogenicity cohort)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453"/>
        <w:gridCol w:w="1599"/>
        <w:gridCol w:w="1743"/>
        <w:gridCol w:w="1599"/>
        <w:gridCol w:w="2128"/>
      </w:tblGrid>
      <w:tr w:rsidR="00F1705A" w:rsidRPr="00C27EBB" w:rsidTr="00A1697C">
        <w:trPr>
          <w:trHeight w:val="432"/>
          <w:tblHeader/>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337E78" w:rsidRDefault="00F1705A" w:rsidP="00337E78">
            <w:pPr>
              <w:pStyle w:val="TableHeading"/>
              <w:spacing w:before="0" w:after="0"/>
            </w:pPr>
            <w:r>
              <w:t>Y</w:t>
            </w:r>
            <w:r w:rsidR="00337E78">
              <w:t>ear</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337E78" w:rsidRPr="00110F2D" w:rsidRDefault="00337E78" w:rsidP="00337E78">
            <w:pPr>
              <w:pStyle w:val="TableHeading"/>
              <w:spacing w:before="0" w:after="0"/>
            </w:pPr>
            <w:r>
              <w:t>Trial ID</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337E78" w:rsidRPr="008C2451" w:rsidRDefault="00337E78" w:rsidP="00337E78">
            <w:pPr>
              <w:pStyle w:val="Tabletext"/>
              <w:rPr>
                <w:b/>
              </w:rPr>
            </w:pPr>
            <w:proofErr w:type="spellStart"/>
            <w:r>
              <w:rPr>
                <w:b/>
              </w:rPr>
              <w:t>MenACWY</w:t>
            </w:r>
            <w:proofErr w:type="spellEnd"/>
            <w:r>
              <w:rPr>
                <w:b/>
              </w:rPr>
              <w:t>-TT</w:t>
            </w:r>
          </w:p>
          <w:p w:rsidR="00337E78" w:rsidRPr="008E7035" w:rsidRDefault="00337E78" w:rsidP="00337E78">
            <w:pPr>
              <w:pStyle w:val="TableHeading"/>
              <w:spacing w:before="0" w:after="0"/>
            </w:pPr>
            <w:proofErr w:type="gramStart"/>
            <w:r w:rsidRPr="008C2451">
              <w:t>n/N</w:t>
            </w:r>
            <w:proofErr w:type="gramEnd"/>
            <w:r w:rsidRPr="008C2451">
              <w:t xml:space="preserve"> (%)</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337E78" w:rsidRPr="008C2451" w:rsidRDefault="00337E78" w:rsidP="00337E78">
            <w:pPr>
              <w:pStyle w:val="Tabletext"/>
              <w:rPr>
                <w:b/>
              </w:rPr>
            </w:pPr>
            <w:proofErr w:type="spellStart"/>
            <w:r>
              <w:rPr>
                <w:b/>
              </w:rPr>
              <w:t>MenC</w:t>
            </w:r>
            <w:proofErr w:type="spellEnd"/>
          </w:p>
          <w:p w:rsidR="00337E78" w:rsidRPr="008E7035" w:rsidRDefault="00337E78" w:rsidP="00337E78">
            <w:pPr>
              <w:pStyle w:val="TableHeading"/>
              <w:spacing w:before="0" w:after="0"/>
            </w:pPr>
            <w:proofErr w:type="gramStart"/>
            <w:r w:rsidRPr="008C2451">
              <w:t>n/N</w:t>
            </w:r>
            <w:proofErr w:type="gramEnd"/>
            <w:r w:rsidRPr="008C2451">
              <w:t xml:space="preserve"> (%)</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337E78" w:rsidRDefault="00337E78" w:rsidP="00337E78">
            <w:pPr>
              <w:pStyle w:val="TableHeading"/>
              <w:spacing w:before="0" w:after="0"/>
            </w:pPr>
            <w:r w:rsidRPr="00110F2D">
              <w:t xml:space="preserve">Relative risk </w:t>
            </w:r>
          </w:p>
          <w:p w:rsidR="00337E78" w:rsidRPr="00110F2D" w:rsidRDefault="00337E78" w:rsidP="00337E78">
            <w:pPr>
              <w:pStyle w:val="TableHeading"/>
              <w:spacing w:before="0" w:after="0"/>
            </w:pPr>
            <w:r w:rsidRPr="00110F2D">
              <w:t>(95%</w:t>
            </w:r>
            <w:r>
              <w:t xml:space="preserve"> </w:t>
            </w:r>
            <w:r w:rsidRPr="00110F2D">
              <w:t>CI)</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337E78" w:rsidRDefault="00337E78" w:rsidP="00337E78">
            <w:pPr>
              <w:pStyle w:val="TableHeading"/>
              <w:spacing w:before="0" w:after="0"/>
            </w:pPr>
            <w:r w:rsidRPr="00110F2D">
              <w:t>Risk difference</w:t>
            </w:r>
          </w:p>
          <w:p w:rsidR="00337E78" w:rsidRPr="00110F2D" w:rsidRDefault="00337E78" w:rsidP="00337E78">
            <w:pPr>
              <w:pStyle w:val="TableHeading"/>
              <w:spacing w:before="0" w:after="0"/>
            </w:pPr>
            <w:r w:rsidRPr="00110F2D">
              <w:t>(95% CI)</w:t>
            </w:r>
          </w:p>
        </w:tc>
      </w:tr>
      <w:tr w:rsidR="00FC3536" w:rsidRPr="00C27EBB" w:rsidTr="00A1697C">
        <w:trPr>
          <w:trHeight w:val="68"/>
        </w:trPr>
        <w:tc>
          <w:tcPr>
            <w:tcW w:w="5000" w:type="pct"/>
            <w:gridSpan w:val="6"/>
            <w:shd w:val="clear" w:color="auto" w:fill="auto"/>
            <w:vAlign w:val="center"/>
          </w:tcPr>
          <w:p w:rsidR="00FC3536" w:rsidRPr="003F7BB0" w:rsidRDefault="00FC3536" w:rsidP="005C13B6">
            <w:pPr>
              <w:pStyle w:val="TableText0"/>
              <w:widowControl w:val="0"/>
              <w:spacing w:before="0" w:after="0"/>
              <w:rPr>
                <w:b/>
              </w:rPr>
            </w:pPr>
            <w:proofErr w:type="spellStart"/>
            <w:r>
              <w:rPr>
                <w:rStyle w:val="CommentReference"/>
              </w:rPr>
              <w:t>MenACWY</w:t>
            </w:r>
            <w:proofErr w:type="spellEnd"/>
            <w:r>
              <w:rPr>
                <w:rStyle w:val="CommentReference"/>
              </w:rPr>
              <w:t xml:space="preserve">-TT </w:t>
            </w:r>
            <w:r w:rsidRPr="00411717">
              <w:rPr>
                <w:rStyle w:val="CommentReference"/>
              </w:rPr>
              <w:t>clinical trials</w:t>
            </w:r>
          </w:p>
        </w:tc>
      </w:tr>
      <w:tr w:rsidR="00337E78" w:rsidRPr="00C27EBB" w:rsidTr="00A1697C">
        <w:trPr>
          <w:trHeight w:val="68"/>
        </w:trPr>
        <w:tc>
          <w:tcPr>
            <w:tcW w:w="5000" w:type="pct"/>
            <w:gridSpan w:val="6"/>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b/>
              </w:rPr>
              <w:t>Serogroup A</w:t>
            </w:r>
          </w:p>
        </w:tc>
      </w:tr>
      <w:tr w:rsidR="00F1705A" w:rsidRPr="00C27EBB" w:rsidTr="00A1697C">
        <w:trPr>
          <w:trHeight w:val="68"/>
        </w:trPr>
        <w:tc>
          <w:tcPr>
            <w:tcW w:w="390" w:type="pct"/>
            <w:vMerge w:val="restart"/>
            <w:shd w:val="clear" w:color="auto" w:fill="auto"/>
          </w:tcPr>
          <w:p w:rsidR="00337E78" w:rsidRDefault="00337E78" w:rsidP="00337E78">
            <w:pPr>
              <w:pStyle w:val="TableText0"/>
              <w:keepNext w:val="0"/>
              <w:widowControl w:val="0"/>
              <w:spacing w:after="0"/>
              <w:rPr>
                <w:rFonts w:cs="Arial"/>
                <w:szCs w:val="18"/>
              </w:rPr>
            </w:pPr>
            <w:r>
              <w:rPr>
                <w:rFonts w:cs="Arial"/>
                <w:szCs w:val="18"/>
              </w:rPr>
              <w:t>1</w:t>
            </w:r>
          </w:p>
        </w:tc>
        <w:tc>
          <w:tcPr>
            <w:tcW w:w="786" w:type="pct"/>
            <w:shd w:val="clear" w:color="auto" w:fill="auto"/>
            <w:vAlign w:val="center"/>
          </w:tcPr>
          <w:p w:rsidR="00337E78" w:rsidRDefault="00337E78" w:rsidP="00337E78">
            <w:pPr>
              <w:pStyle w:val="TableText0"/>
              <w:keepNext w:val="0"/>
              <w:widowControl w:val="0"/>
              <w:spacing w:before="0" w:after="0"/>
              <w:rPr>
                <w:rFonts w:cs="Arial"/>
                <w:szCs w:val="18"/>
              </w:rPr>
            </w:pPr>
            <w:r>
              <w:rPr>
                <w:rFonts w:cs="Arial"/>
                <w:szCs w:val="18"/>
              </w:rPr>
              <w:t>Study 014</w:t>
            </w:r>
            <w:r w:rsidRPr="00105E64">
              <w:rPr>
                <w:rFonts w:cs="Arial"/>
                <w:szCs w:val="18"/>
                <w:vertAlign w:val="superscript"/>
              </w:rPr>
              <w:t>#</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39/40 (97.5)</w:t>
            </w:r>
          </w:p>
        </w:tc>
        <w:tc>
          <w:tcPr>
            <w:tcW w:w="943"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11/36 (30.6)</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3.19 (1.95, 5.23)*</w:t>
            </w:r>
          </w:p>
        </w:tc>
        <w:tc>
          <w:tcPr>
            <w:tcW w:w="1151"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0.67 (0.51, 0.83)*</w:t>
            </w:r>
          </w:p>
        </w:tc>
      </w:tr>
      <w:tr w:rsidR="00F1705A" w:rsidRPr="00C27EBB" w:rsidTr="00A1697C">
        <w:trPr>
          <w:trHeight w:val="68"/>
        </w:trPr>
        <w:tc>
          <w:tcPr>
            <w:tcW w:w="390" w:type="pct"/>
            <w:vMerge/>
            <w:shd w:val="clear" w:color="auto" w:fill="auto"/>
            <w:vAlign w:val="center"/>
          </w:tcPr>
          <w:p w:rsidR="00337E78" w:rsidRPr="003F7BB0" w:rsidRDefault="00337E78" w:rsidP="00337E78">
            <w:pPr>
              <w:pStyle w:val="TableText0"/>
              <w:keepNext w:val="0"/>
              <w:widowControl w:val="0"/>
              <w:spacing w:before="0" w:after="0"/>
              <w:rPr>
                <w:rFonts w:cs="Arial"/>
                <w:szCs w:val="18"/>
              </w:rPr>
            </w:pPr>
          </w:p>
        </w:tc>
        <w:tc>
          <w:tcPr>
            <w:tcW w:w="786"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Study 028</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210/212 (99.1)</w:t>
            </w:r>
          </w:p>
        </w:tc>
        <w:tc>
          <w:tcPr>
            <w:tcW w:w="943"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16/49 (32.7)</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3.03 </w:t>
            </w:r>
            <w:r>
              <w:rPr>
                <w:rFonts w:cs="Arial"/>
                <w:szCs w:val="18"/>
              </w:rPr>
              <w:t>(</w:t>
            </w:r>
            <w:r w:rsidRPr="003F7BB0">
              <w:rPr>
                <w:rFonts w:cs="Arial"/>
                <w:szCs w:val="18"/>
              </w:rPr>
              <w:t>2.03, 4.54</w:t>
            </w:r>
            <w:r>
              <w:rPr>
                <w:rFonts w:cs="Arial"/>
                <w:szCs w:val="18"/>
              </w:rPr>
              <w:t>)*</w:t>
            </w:r>
          </w:p>
        </w:tc>
        <w:tc>
          <w:tcPr>
            <w:tcW w:w="1151"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0.66 </w:t>
            </w:r>
            <w:r>
              <w:rPr>
                <w:rFonts w:cs="Arial"/>
                <w:szCs w:val="18"/>
              </w:rPr>
              <w:t>(</w:t>
            </w:r>
            <w:r w:rsidRPr="003F7BB0">
              <w:rPr>
                <w:rFonts w:cs="Arial"/>
                <w:szCs w:val="18"/>
              </w:rPr>
              <w:t>0.53, 0.80</w:t>
            </w:r>
            <w:r>
              <w:rPr>
                <w:rFonts w:cs="Arial"/>
                <w:szCs w:val="18"/>
              </w:rPr>
              <w:t>)*</w:t>
            </w:r>
          </w:p>
        </w:tc>
      </w:tr>
      <w:tr w:rsidR="00F1705A" w:rsidRPr="00C27EBB" w:rsidTr="00A1697C">
        <w:trPr>
          <w:trHeight w:val="68"/>
        </w:trPr>
        <w:tc>
          <w:tcPr>
            <w:tcW w:w="390"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2</w:t>
            </w:r>
          </w:p>
        </w:tc>
        <w:tc>
          <w:tcPr>
            <w:tcW w:w="786"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Study 029</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188/190 (98.9)</w:t>
            </w:r>
          </w:p>
        </w:tc>
        <w:tc>
          <w:tcPr>
            <w:tcW w:w="943"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30/45 (66.7)</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1.48 </w:t>
            </w:r>
            <w:r>
              <w:rPr>
                <w:rFonts w:cs="Arial"/>
                <w:szCs w:val="18"/>
              </w:rPr>
              <w:t>(</w:t>
            </w:r>
            <w:r w:rsidRPr="003F7BB0">
              <w:rPr>
                <w:rFonts w:cs="Arial"/>
                <w:szCs w:val="18"/>
              </w:rPr>
              <w:t>1.21, 1.83</w:t>
            </w:r>
            <w:r>
              <w:rPr>
                <w:rFonts w:cs="Arial"/>
                <w:szCs w:val="18"/>
              </w:rPr>
              <w:t>)*</w:t>
            </w:r>
          </w:p>
        </w:tc>
        <w:tc>
          <w:tcPr>
            <w:tcW w:w="1151"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0.32 </w:t>
            </w:r>
            <w:r>
              <w:rPr>
                <w:rFonts w:cs="Arial"/>
                <w:szCs w:val="18"/>
              </w:rPr>
              <w:t>(</w:t>
            </w:r>
            <w:r w:rsidRPr="003F7BB0">
              <w:rPr>
                <w:rFonts w:cs="Arial"/>
                <w:szCs w:val="18"/>
              </w:rPr>
              <w:t>0.18, 0.46</w:t>
            </w:r>
            <w:r>
              <w:rPr>
                <w:rFonts w:cs="Arial"/>
                <w:szCs w:val="18"/>
              </w:rPr>
              <w:t>)*</w:t>
            </w:r>
          </w:p>
        </w:tc>
      </w:tr>
      <w:tr w:rsidR="00F1705A" w:rsidRPr="00C27EBB" w:rsidTr="00A1697C">
        <w:trPr>
          <w:trHeight w:val="68"/>
        </w:trPr>
        <w:tc>
          <w:tcPr>
            <w:tcW w:w="390"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3</w:t>
            </w:r>
          </w:p>
        </w:tc>
        <w:tc>
          <w:tcPr>
            <w:tcW w:w="786"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Study 030</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168/170 (98.8)</w:t>
            </w:r>
          </w:p>
        </w:tc>
        <w:tc>
          <w:tcPr>
            <w:tcW w:w="943"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27/32 (84.4)</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1.17 </w:t>
            </w:r>
            <w:r>
              <w:rPr>
                <w:rFonts w:cs="Arial"/>
                <w:szCs w:val="18"/>
              </w:rPr>
              <w:t>(</w:t>
            </w:r>
            <w:r w:rsidRPr="003F7BB0">
              <w:rPr>
                <w:rFonts w:cs="Arial"/>
                <w:szCs w:val="18"/>
              </w:rPr>
              <w:t>1.01, 1.36</w:t>
            </w:r>
            <w:r>
              <w:rPr>
                <w:rFonts w:cs="Arial"/>
                <w:szCs w:val="18"/>
              </w:rPr>
              <w:t>)*</w:t>
            </w:r>
          </w:p>
        </w:tc>
        <w:tc>
          <w:tcPr>
            <w:tcW w:w="1151"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0.14 </w:t>
            </w:r>
            <w:r>
              <w:rPr>
                <w:rFonts w:cs="Arial"/>
                <w:szCs w:val="18"/>
              </w:rPr>
              <w:t>(</w:t>
            </w:r>
            <w:r w:rsidRPr="003F7BB0">
              <w:rPr>
                <w:rFonts w:cs="Arial"/>
                <w:szCs w:val="18"/>
              </w:rPr>
              <w:t>0.02, 0.27</w:t>
            </w:r>
            <w:r>
              <w:rPr>
                <w:rFonts w:cs="Arial"/>
                <w:szCs w:val="18"/>
              </w:rPr>
              <w:t>)*</w:t>
            </w:r>
          </w:p>
        </w:tc>
      </w:tr>
      <w:tr w:rsidR="00F1705A" w:rsidRPr="00C27EBB" w:rsidTr="00A1697C">
        <w:trPr>
          <w:trHeight w:val="68"/>
        </w:trPr>
        <w:tc>
          <w:tcPr>
            <w:tcW w:w="390"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4</w:t>
            </w:r>
          </w:p>
        </w:tc>
        <w:tc>
          <w:tcPr>
            <w:tcW w:w="786"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Study 031</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133/136 (97.8)</w:t>
            </w:r>
          </w:p>
        </w:tc>
        <w:tc>
          <w:tcPr>
            <w:tcW w:w="943"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21/24 (87.5)</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1.12 </w:t>
            </w:r>
            <w:r>
              <w:rPr>
                <w:rFonts w:cs="Arial"/>
                <w:szCs w:val="18"/>
              </w:rPr>
              <w:t>(</w:t>
            </w:r>
            <w:r w:rsidRPr="003F7BB0">
              <w:rPr>
                <w:rFonts w:cs="Arial"/>
                <w:szCs w:val="18"/>
              </w:rPr>
              <w:t>0.96, 1.30</w:t>
            </w:r>
            <w:r>
              <w:rPr>
                <w:rFonts w:cs="Arial"/>
                <w:szCs w:val="18"/>
              </w:rPr>
              <w:t>)</w:t>
            </w:r>
          </w:p>
        </w:tc>
        <w:tc>
          <w:tcPr>
            <w:tcW w:w="1151"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0.10 </w:t>
            </w:r>
            <w:r>
              <w:rPr>
                <w:rFonts w:cs="Arial"/>
                <w:szCs w:val="18"/>
              </w:rPr>
              <w:t>(</w:t>
            </w:r>
            <w:r w:rsidRPr="003F7BB0">
              <w:rPr>
                <w:rFonts w:cs="Arial"/>
                <w:szCs w:val="18"/>
              </w:rPr>
              <w:t>-0.03, 0.24</w:t>
            </w:r>
            <w:r>
              <w:rPr>
                <w:rFonts w:cs="Arial"/>
                <w:szCs w:val="18"/>
              </w:rPr>
              <w:t>)</w:t>
            </w:r>
          </w:p>
        </w:tc>
      </w:tr>
      <w:tr w:rsidR="00F1705A" w:rsidRPr="00C27EBB" w:rsidTr="00A1697C">
        <w:trPr>
          <w:trHeight w:val="68"/>
        </w:trPr>
        <w:tc>
          <w:tcPr>
            <w:tcW w:w="390"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5</w:t>
            </w:r>
          </w:p>
        </w:tc>
        <w:tc>
          <w:tcPr>
            <w:tcW w:w="786"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Study 032^</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36/49 (73.5)</w:t>
            </w:r>
          </w:p>
        </w:tc>
        <w:tc>
          <w:tcPr>
            <w:tcW w:w="943"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0/11 (0)</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17.52 </w:t>
            </w:r>
            <w:r>
              <w:rPr>
                <w:rFonts w:cs="Arial"/>
                <w:szCs w:val="18"/>
              </w:rPr>
              <w:t>(</w:t>
            </w:r>
            <w:r w:rsidRPr="003F7BB0">
              <w:rPr>
                <w:rFonts w:cs="Arial"/>
                <w:szCs w:val="18"/>
              </w:rPr>
              <w:t>1.16, 265.61</w:t>
            </w:r>
            <w:r>
              <w:rPr>
                <w:rFonts w:cs="Arial"/>
                <w:szCs w:val="18"/>
              </w:rPr>
              <w:t>)*</w:t>
            </w:r>
          </w:p>
        </w:tc>
        <w:tc>
          <w:tcPr>
            <w:tcW w:w="1151"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0.73 </w:t>
            </w:r>
            <w:r>
              <w:rPr>
                <w:rFonts w:cs="Arial"/>
                <w:szCs w:val="18"/>
              </w:rPr>
              <w:t>(</w:t>
            </w:r>
            <w:r w:rsidRPr="003F7BB0">
              <w:rPr>
                <w:rFonts w:cs="Arial"/>
                <w:szCs w:val="18"/>
              </w:rPr>
              <w:t>0.57, 0.90</w:t>
            </w:r>
            <w:r>
              <w:rPr>
                <w:rFonts w:cs="Arial"/>
                <w:szCs w:val="18"/>
              </w:rPr>
              <w:t>)*</w:t>
            </w:r>
          </w:p>
        </w:tc>
      </w:tr>
      <w:tr w:rsidR="00337E78" w:rsidRPr="00C27EBB" w:rsidTr="00A1697C">
        <w:trPr>
          <w:trHeight w:val="68"/>
        </w:trPr>
        <w:tc>
          <w:tcPr>
            <w:tcW w:w="5000" w:type="pct"/>
            <w:gridSpan w:val="6"/>
            <w:shd w:val="clear" w:color="auto" w:fill="auto"/>
            <w:vAlign w:val="center"/>
          </w:tcPr>
          <w:p w:rsidR="00337E78" w:rsidRPr="003F7BB0" w:rsidRDefault="00337E78" w:rsidP="00A1697C">
            <w:pPr>
              <w:pStyle w:val="TableText0"/>
              <w:widowControl w:val="0"/>
              <w:spacing w:before="0" w:after="0"/>
              <w:rPr>
                <w:rFonts w:cs="Arial"/>
                <w:szCs w:val="18"/>
              </w:rPr>
            </w:pPr>
            <w:r w:rsidRPr="003F7BB0">
              <w:rPr>
                <w:b/>
              </w:rPr>
              <w:t>Serogroup C</w:t>
            </w:r>
          </w:p>
        </w:tc>
      </w:tr>
      <w:tr w:rsidR="00F1705A" w:rsidRPr="00411717" w:rsidTr="00A1697C">
        <w:trPr>
          <w:trHeight w:val="68"/>
        </w:trPr>
        <w:tc>
          <w:tcPr>
            <w:tcW w:w="390" w:type="pct"/>
            <w:vMerge w:val="restart"/>
            <w:shd w:val="clear" w:color="auto" w:fill="auto"/>
          </w:tcPr>
          <w:p w:rsidR="00337E78" w:rsidRPr="00411717" w:rsidRDefault="00337E78" w:rsidP="00337E78">
            <w:pPr>
              <w:pStyle w:val="TableText0"/>
              <w:keepNext w:val="0"/>
              <w:widowControl w:val="0"/>
              <w:spacing w:after="0"/>
              <w:rPr>
                <w:rFonts w:cs="Arial"/>
                <w:b/>
                <w:szCs w:val="18"/>
              </w:rPr>
            </w:pPr>
            <w:r w:rsidRPr="00411717">
              <w:rPr>
                <w:rFonts w:cs="Arial"/>
                <w:b/>
                <w:szCs w:val="18"/>
              </w:rPr>
              <w:t>1</w:t>
            </w:r>
          </w:p>
        </w:tc>
        <w:tc>
          <w:tcPr>
            <w:tcW w:w="786"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Study 014</w:t>
            </w:r>
            <w:r w:rsidRPr="00411717">
              <w:rPr>
                <w:rFonts w:cs="Arial"/>
                <w:b/>
                <w:szCs w:val="18"/>
                <w:vertAlign w:val="superscript"/>
              </w:rPr>
              <w:t>#</w:t>
            </w:r>
          </w:p>
        </w:tc>
        <w:tc>
          <w:tcPr>
            <w:tcW w:w="865"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36/39 (92.3)</w:t>
            </w:r>
          </w:p>
        </w:tc>
        <w:tc>
          <w:tcPr>
            <w:tcW w:w="943"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24/40 (60.0)</w:t>
            </w:r>
          </w:p>
        </w:tc>
        <w:tc>
          <w:tcPr>
            <w:tcW w:w="865"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1.54 (1.18, 2.01)*</w:t>
            </w:r>
          </w:p>
        </w:tc>
        <w:tc>
          <w:tcPr>
            <w:tcW w:w="1151"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0.32 (0.15, 0.50)*</w:t>
            </w:r>
          </w:p>
        </w:tc>
      </w:tr>
      <w:tr w:rsidR="00F1705A" w:rsidRPr="00411717" w:rsidTr="00A1697C">
        <w:trPr>
          <w:trHeight w:val="68"/>
        </w:trPr>
        <w:tc>
          <w:tcPr>
            <w:tcW w:w="390" w:type="pct"/>
            <w:vMerge/>
            <w:shd w:val="clear" w:color="auto" w:fill="auto"/>
            <w:vAlign w:val="center"/>
          </w:tcPr>
          <w:p w:rsidR="00337E78" w:rsidRPr="00411717" w:rsidRDefault="00337E78" w:rsidP="00337E78">
            <w:pPr>
              <w:pStyle w:val="TableText0"/>
              <w:keepNext w:val="0"/>
              <w:widowControl w:val="0"/>
              <w:spacing w:before="0" w:after="0"/>
              <w:rPr>
                <w:rFonts w:cs="Arial"/>
                <w:b/>
                <w:szCs w:val="18"/>
              </w:rPr>
            </w:pPr>
          </w:p>
        </w:tc>
        <w:tc>
          <w:tcPr>
            <w:tcW w:w="786"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Study 028</w:t>
            </w:r>
          </w:p>
        </w:tc>
        <w:tc>
          <w:tcPr>
            <w:tcW w:w="865"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203/207 (98.1)</w:t>
            </w:r>
          </w:p>
        </w:tc>
        <w:tc>
          <w:tcPr>
            <w:tcW w:w="943"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50/63 (79.4)</w:t>
            </w:r>
          </w:p>
        </w:tc>
        <w:tc>
          <w:tcPr>
            <w:tcW w:w="865"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1.24 (1.09, 1.40)*</w:t>
            </w:r>
          </w:p>
        </w:tc>
        <w:tc>
          <w:tcPr>
            <w:tcW w:w="1151"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0.19 (0.09, 0.29)*</w:t>
            </w:r>
          </w:p>
        </w:tc>
      </w:tr>
      <w:tr w:rsidR="00F1705A" w:rsidRPr="00411717" w:rsidTr="00A1697C">
        <w:trPr>
          <w:trHeight w:val="68"/>
        </w:trPr>
        <w:tc>
          <w:tcPr>
            <w:tcW w:w="390"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2</w:t>
            </w:r>
          </w:p>
        </w:tc>
        <w:tc>
          <w:tcPr>
            <w:tcW w:w="786"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Study 029</w:t>
            </w:r>
          </w:p>
        </w:tc>
        <w:tc>
          <w:tcPr>
            <w:tcW w:w="865"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185/197 (93.9)</w:t>
            </w:r>
          </w:p>
        </w:tc>
        <w:tc>
          <w:tcPr>
            <w:tcW w:w="943"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38/52 (73.1)</w:t>
            </w:r>
          </w:p>
        </w:tc>
        <w:tc>
          <w:tcPr>
            <w:tcW w:w="865"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1.29 (1.09, 1.52)*</w:t>
            </w:r>
          </w:p>
        </w:tc>
        <w:tc>
          <w:tcPr>
            <w:tcW w:w="1151"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0.21 (0.08, 0.33)*</w:t>
            </w:r>
          </w:p>
        </w:tc>
      </w:tr>
      <w:tr w:rsidR="00F1705A" w:rsidRPr="00411717" w:rsidTr="00A1697C">
        <w:trPr>
          <w:trHeight w:val="68"/>
        </w:trPr>
        <w:tc>
          <w:tcPr>
            <w:tcW w:w="390"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3</w:t>
            </w:r>
          </w:p>
        </w:tc>
        <w:tc>
          <w:tcPr>
            <w:tcW w:w="786"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Study 030</w:t>
            </w:r>
          </w:p>
        </w:tc>
        <w:tc>
          <w:tcPr>
            <w:tcW w:w="865"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158/174 (90.8)</w:t>
            </w:r>
          </w:p>
        </w:tc>
        <w:tc>
          <w:tcPr>
            <w:tcW w:w="943"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36/37 (97.3)</w:t>
            </w:r>
          </w:p>
        </w:tc>
        <w:tc>
          <w:tcPr>
            <w:tcW w:w="865"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0.93 (0.87, 1.00)</w:t>
            </w:r>
          </w:p>
        </w:tc>
        <w:tc>
          <w:tcPr>
            <w:tcW w:w="1151"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-0.06 (-0.13, 0.00)</w:t>
            </w:r>
          </w:p>
        </w:tc>
      </w:tr>
      <w:tr w:rsidR="00F1705A" w:rsidRPr="00411717" w:rsidTr="00A1697C">
        <w:trPr>
          <w:trHeight w:val="68"/>
        </w:trPr>
        <w:tc>
          <w:tcPr>
            <w:tcW w:w="390"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4</w:t>
            </w:r>
          </w:p>
        </w:tc>
        <w:tc>
          <w:tcPr>
            <w:tcW w:w="786"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Study 031</w:t>
            </w:r>
          </w:p>
        </w:tc>
        <w:tc>
          <w:tcPr>
            <w:tcW w:w="865"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125/137 (91.2)</w:t>
            </w:r>
          </w:p>
        </w:tc>
        <w:tc>
          <w:tcPr>
            <w:tcW w:w="943"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27/30 (90.0)</w:t>
            </w:r>
          </w:p>
        </w:tc>
        <w:tc>
          <w:tcPr>
            <w:tcW w:w="865"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1.01 (0.89, 1.15)</w:t>
            </w:r>
          </w:p>
        </w:tc>
        <w:tc>
          <w:tcPr>
            <w:tcW w:w="1151"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0.01 (-0.10, 0.13)</w:t>
            </w:r>
          </w:p>
        </w:tc>
      </w:tr>
      <w:tr w:rsidR="00F1705A" w:rsidRPr="00411717" w:rsidTr="00A1697C">
        <w:trPr>
          <w:trHeight w:val="68"/>
        </w:trPr>
        <w:tc>
          <w:tcPr>
            <w:tcW w:w="390"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5</w:t>
            </w:r>
          </w:p>
        </w:tc>
        <w:tc>
          <w:tcPr>
            <w:tcW w:w="786"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Study 032^</w:t>
            </w:r>
          </w:p>
        </w:tc>
        <w:tc>
          <w:tcPr>
            <w:tcW w:w="865"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38/49 (77.6)</w:t>
            </w:r>
          </w:p>
        </w:tc>
        <w:tc>
          <w:tcPr>
            <w:tcW w:w="943"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7/11 (63.6)</w:t>
            </w:r>
          </w:p>
        </w:tc>
        <w:tc>
          <w:tcPr>
            <w:tcW w:w="865"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1.22 (0.76, 1.95)</w:t>
            </w:r>
          </w:p>
        </w:tc>
        <w:tc>
          <w:tcPr>
            <w:tcW w:w="1151" w:type="pct"/>
            <w:shd w:val="clear" w:color="auto" w:fill="auto"/>
            <w:vAlign w:val="center"/>
          </w:tcPr>
          <w:p w:rsidR="00337E78" w:rsidRPr="00411717" w:rsidRDefault="00337E78" w:rsidP="00337E78">
            <w:pPr>
              <w:pStyle w:val="TableText0"/>
              <w:keepNext w:val="0"/>
              <w:widowControl w:val="0"/>
              <w:spacing w:before="0" w:after="0"/>
              <w:rPr>
                <w:rFonts w:cs="Arial"/>
                <w:b/>
                <w:szCs w:val="18"/>
              </w:rPr>
            </w:pPr>
            <w:r w:rsidRPr="00411717">
              <w:rPr>
                <w:rFonts w:cs="Arial"/>
                <w:b/>
                <w:szCs w:val="18"/>
              </w:rPr>
              <w:t>0.14 (-0.17, 0.45)</w:t>
            </w:r>
          </w:p>
        </w:tc>
      </w:tr>
      <w:tr w:rsidR="00337E78" w:rsidRPr="00C27EBB" w:rsidTr="00A1697C">
        <w:trPr>
          <w:trHeight w:val="68"/>
          <w:tblHeader/>
        </w:trPr>
        <w:tc>
          <w:tcPr>
            <w:tcW w:w="5000" w:type="pct"/>
            <w:gridSpan w:val="6"/>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b/>
              </w:rPr>
              <w:t>Serogroup W</w:t>
            </w:r>
            <w:r w:rsidRPr="003F7BB0">
              <w:rPr>
                <w:b/>
                <w:vertAlign w:val="subscript"/>
              </w:rPr>
              <w:t>135</w:t>
            </w:r>
          </w:p>
        </w:tc>
      </w:tr>
      <w:tr w:rsidR="00F1705A" w:rsidRPr="00C27EBB" w:rsidTr="00A1697C">
        <w:trPr>
          <w:trHeight w:val="68"/>
        </w:trPr>
        <w:tc>
          <w:tcPr>
            <w:tcW w:w="390" w:type="pct"/>
            <w:vMerge w:val="restart"/>
            <w:shd w:val="clear" w:color="auto" w:fill="auto"/>
          </w:tcPr>
          <w:p w:rsidR="00337E78" w:rsidRDefault="00337E78" w:rsidP="00337E78">
            <w:pPr>
              <w:pStyle w:val="TableText0"/>
              <w:keepNext w:val="0"/>
              <w:widowControl w:val="0"/>
              <w:spacing w:after="0"/>
              <w:rPr>
                <w:rFonts w:cs="Arial"/>
                <w:szCs w:val="18"/>
              </w:rPr>
            </w:pPr>
            <w:r>
              <w:rPr>
                <w:rFonts w:cs="Arial"/>
                <w:szCs w:val="18"/>
              </w:rPr>
              <w:t>1</w:t>
            </w:r>
          </w:p>
        </w:tc>
        <w:tc>
          <w:tcPr>
            <w:tcW w:w="786" w:type="pct"/>
            <w:shd w:val="clear" w:color="auto" w:fill="auto"/>
            <w:vAlign w:val="center"/>
          </w:tcPr>
          <w:p w:rsidR="00337E78" w:rsidRDefault="00337E78" w:rsidP="00337E78">
            <w:pPr>
              <w:pStyle w:val="TableText0"/>
              <w:keepNext w:val="0"/>
              <w:widowControl w:val="0"/>
              <w:spacing w:before="0" w:after="0"/>
              <w:rPr>
                <w:rFonts w:cs="Arial"/>
                <w:szCs w:val="18"/>
              </w:rPr>
            </w:pPr>
            <w:r>
              <w:rPr>
                <w:rFonts w:cs="Arial"/>
                <w:szCs w:val="18"/>
              </w:rPr>
              <w:t>Study 014</w:t>
            </w:r>
            <w:r w:rsidRPr="00105E64">
              <w:rPr>
                <w:rFonts w:cs="Arial"/>
                <w:szCs w:val="18"/>
                <w:vertAlign w:val="superscript"/>
              </w:rPr>
              <w:t>#</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39/40 (97.5)</w:t>
            </w:r>
          </w:p>
        </w:tc>
        <w:tc>
          <w:tcPr>
            <w:tcW w:w="943"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17/41 (41.5)</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2.35 (1.63, 3.39)*</w:t>
            </w:r>
          </w:p>
        </w:tc>
        <w:tc>
          <w:tcPr>
            <w:tcW w:w="1151"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0.56 (0.40, 0.72)*</w:t>
            </w:r>
          </w:p>
        </w:tc>
      </w:tr>
      <w:tr w:rsidR="00F1705A" w:rsidRPr="00C27EBB" w:rsidTr="00A1697C">
        <w:trPr>
          <w:trHeight w:val="68"/>
        </w:trPr>
        <w:tc>
          <w:tcPr>
            <w:tcW w:w="390" w:type="pct"/>
            <w:vMerge/>
            <w:shd w:val="clear" w:color="auto" w:fill="auto"/>
            <w:vAlign w:val="center"/>
          </w:tcPr>
          <w:p w:rsidR="00337E78" w:rsidRPr="003F7BB0" w:rsidRDefault="00337E78" w:rsidP="00337E78">
            <w:pPr>
              <w:pStyle w:val="TableText0"/>
              <w:keepNext w:val="0"/>
              <w:widowControl w:val="0"/>
              <w:spacing w:before="0" w:after="0"/>
              <w:rPr>
                <w:rFonts w:cs="Arial"/>
                <w:szCs w:val="18"/>
              </w:rPr>
            </w:pPr>
          </w:p>
        </w:tc>
        <w:tc>
          <w:tcPr>
            <w:tcW w:w="786"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Study 028</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216/216 (100)</w:t>
            </w:r>
          </w:p>
        </w:tc>
        <w:tc>
          <w:tcPr>
            <w:tcW w:w="943"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38/64 (59.4)</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1.68 </w:t>
            </w:r>
            <w:r>
              <w:rPr>
                <w:rFonts w:cs="Arial"/>
                <w:szCs w:val="18"/>
              </w:rPr>
              <w:t>(</w:t>
            </w:r>
            <w:r w:rsidRPr="003F7BB0">
              <w:rPr>
                <w:rFonts w:cs="Arial"/>
                <w:szCs w:val="18"/>
              </w:rPr>
              <w:t>1.38, 2.06</w:t>
            </w:r>
            <w:r>
              <w:rPr>
                <w:rFonts w:cs="Arial"/>
                <w:szCs w:val="18"/>
              </w:rPr>
              <w:t>)*</w:t>
            </w:r>
          </w:p>
        </w:tc>
        <w:tc>
          <w:tcPr>
            <w:tcW w:w="1151"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0.41 </w:t>
            </w:r>
            <w:r>
              <w:rPr>
                <w:rFonts w:cs="Arial"/>
                <w:szCs w:val="18"/>
              </w:rPr>
              <w:t>(</w:t>
            </w:r>
            <w:r w:rsidRPr="003F7BB0">
              <w:rPr>
                <w:rFonts w:cs="Arial"/>
                <w:szCs w:val="18"/>
              </w:rPr>
              <w:t>0.29, 0.53</w:t>
            </w:r>
            <w:r>
              <w:rPr>
                <w:rFonts w:cs="Arial"/>
                <w:szCs w:val="18"/>
              </w:rPr>
              <w:t>)*</w:t>
            </w:r>
          </w:p>
        </w:tc>
      </w:tr>
      <w:tr w:rsidR="00F1705A" w:rsidRPr="00C27EBB" w:rsidTr="00A1697C">
        <w:trPr>
          <w:trHeight w:val="68"/>
        </w:trPr>
        <w:tc>
          <w:tcPr>
            <w:tcW w:w="390"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2</w:t>
            </w:r>
          </w:p>
        </w:tc>
        <w:tc>
          <w:tcPr>
            <w:tcW w:w="786"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Study 029</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198/199 (99.5)</w:t>
            </w:r>
          </w:p>
        </w:tc>
        <w:tc>
          <w:tcPr>
            <w:tcW w:w="943"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24/44 (54.5)</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1.82 </w:t>
            </w:r>
            <w:r>
              <w:rPr>
                <w:rFonts w:cs="Arial"/>
                <w:szCs w:val="18"/>
              </w:rPr>
              <w:t>(</w:t>
            </w:r>
            <w:r w:rsidRPr="003F7BB0">
              <w:rPr>
                <w:rFonts w:cs="Arial"/>
                <w:szCs w:val="18"/>
              </w:rPr>
              <w:t>1.39, 2.39</w:t>
            </w:r>
            <w:r>
              <w:rPr>
                <w:rFonts w:cs="Arial"/>
                <w:szCs w:val="18"/>
              </w:rPr>
              <w:t>)*</w:t>
            </w:r>
          </w:p>
        </w:tc>
        <w:tc>
          <w:tcPr>
            <w:tcW w:w="1151"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0.45 </w:t>
            </w:r>
            <w:r>
              <w:rPr>
                <w:rFonts w:cs="Arial"/>
                <w:szCs w:val="18"/>
              </w:rPr>
              <w:t>(</w:t>
            </w:r>
            <w:r w:rsidRPr="003F7BB0">
              <w:rPr>
                <w:rFonts w:cs="Arial"/>
                <w:szCs w:val="18"/>
              </w:rPr>
              <w:t>0.30, 0.60</w:t>
            </w:r>
            <w:r>
              <w:rPr>
                <w:rFonts w:cs="Arial"/>
                <w:szCs w:val="18"/>
              </w:rPr>
              <w:t>)*</w:t>
            </w:r>
          </w:p>
        </w:tc>
      </w:tr>
      <w:tr w:rsidR="00F1705A" w:rsidRPr="00C27EBB" w:rsidTr="00A1697C">
        <w:trPr>
          <w:trHeight w:val="68"/>
        </w:trPr>
        <w:tc>
          <w:tcPr>
            <w:tcW w:w="390"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3</w:t>
            </w:r>
          </w:p>
        </w:tc>
        <w:tc>
          <w:tcPr>
            <w:tcW w:w="786"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Study 030</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172/174 (98.9)</w:t>
            </w:r>
          </w:p>
        </w:tc>
        <w:tc>
          <w:tcPr>
            <w:tcW w:w="943"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24/33 (72.7)</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1.36 </w:t>
            </w:r>
            <w:r>
              <w:rPr>
                <w:rFonts w:cs="Arial"/>
                <w:szCs w:val="18"/>
              </w:rPr>
              <w:t>(</w:t>
            </w:r>
            <w:r w:rsidRPr="003F7BB0">
              <w:rPr>
                <w:rFonts w:cs="Arial"/>
                <w:szCs w:val="18"/>
              </w:rPr>
              <w:t>1.10, 1.68</w:t>
            </w:r>
            <w:r>
              <w:rPr>
                <w:rFonts w:cs="Arial"/>
                <w:szCs w:val="18"/>
              </w:rPr>
              <w:t>)*</w:t>
            </w:r>
          </w:p>
        </w:tc>
        <w:tc>
          <w:tcPr>
            <w:tcW w:w="1151"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0.26 </w:t>
            </w:r>
            <w:r>
              <w:rPr>
                <w:rFonts w:cs="Arial"/>
                <w:szCs w:val="18"/>
              </w:rPr>
              <w:t>(</w:t>
            </w:r>
            <w:r w:rsidRPr="003F7BB0">
              <w:rPr>
                <w:rFonts w:cs="Arial"/>
                <w:szCs w:val="18"/>
              </w:rPr>
              <w:t>0.11, 0.41</w:t>
            </w:r>
            <w:r>
              <w:rPr>
                <w:rFonts w:cs="Arial"/>
                <w:szCs w:val="18"/>
              </w:rPr>
              <w:t>)*</w:t>
            </w:r>
          </w:p>
        </w:tc>
      </w:tr>
      <w:tr w:rsidR="00F1705A" w:rsidRPr="00C27EBB" w:rsidTr="00A1697C">
        <w:trPr>
          <w:trHeight w:val="68"/>
        </w:trPr>
        <w:tc>
          <w:tcPr>
            <w:tcW w:w="390"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4</w:t>
            </w:r>
          </w:p>
        </w:tc>
        <w:tc>
          <w:tcPr>
            <w:tcW w:w="786"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Study 031</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133/138 (96.4)</w:t>
            </w:r>
          </w:p>
        </w:tc>
        <w:tc>
          <w:tcPr>
            <w:tcW w:w="943"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18/27 (66.7)</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1.45 </w:t>
            </w:r>
            <w:r>
              <w:rPr>
                <w:rFonts w:cs="Arial"/>
                <w:szCs w:val="18"/>
              </w:rPr>
              <w:t>(</w:t>
            </w:r>
            <w:r w:rsidRPr="003F7BB0">
              <w:rPr>
                <w:rFonts w:cs="Arial"/>
                <w:szCs w:val="18"/>
              </w:rPr>
              <w:t>1.11, 1.89</w:t>
            </w:r>
            <w:r>
              <w:rPr>
                <w:rFonts w:cs="Arial"/>
                <w:szCs w:val="18"/>
              </w:rPr>
              <w:t>)*</w:t>
            </w:r>
          </w:p>
        </w:tc>
        <w:tc>
          <w:tcPr>
            <w:tcW w:w="1151"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0.30 </w:t>
            </w:r>
            <w:r>
              <w:rPr>
                <w:rFonts w:cs="Arial"/>
                <w:szCs w:val="18"/>
              </w:rPr>
              <w:t>(</w:t>
            </w:r>
            <w:r w:rsidRPr="003F7BB0">
              <w:rPr>
                <w:rFonts w:cs="Arial"/>
                <w:szCs w:val="18"/>
              </w:rPr>
              <w:t>0.12, 0.48</w:t>
            </w:r>
            <w:r>
              <w:rPr>
                <w:rFonts w:cs="Arial"/>
                <w:szCs w:val="18"/>
              </w:rPr>
              <w:t>)*</w:t>
            </w:r>
          </w:p>
        </w:tc>
      </w:tr>
      <w:tr w:rsidR="00F1705A" w:rsidRPr="00C27EBB" w:rsidTr="00A1697C">
        <w:trPr>
          <w:trHeight w:val="68"/>
        </w:trPr>
        <w:tc>
          <w:tcPr>
            <w:tcW w:w="390"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5</w:t>
            </w:r>
          </w:p>
        </w:tc>
        <w:tc>
          <w:tcPr>
            <w:tcW w:w="786"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Study 032^</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17/49 (34.7)</w:t>
            </w:r>
          </w:p>
        </w:tc>
        <w:tc>
          <w:tcPr>
            <w:tcW w:w="943"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2/11 (18.2)</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1.91 </w:t>
            </w:r>
            <w:r>
              <w:rPr>
                <w:rFonts w:cs="Arial"/>
                <w:szCs w:val="18"/>
              </w:rPr>
              <w:t>(</w:t>
            </w:r>
            <w:r w:rsidRPr="003F7BB0">
              <w:rPr>
                <w:rFonts w:cs="Arial"/>
                <w:szCs w:val="18"/>
              </w:rPr>
              <w:t>0.51, 7.08</w:t>
            </w:r>
            <w:r>
              <w:rPr>
                <w:rFonts w:cs="Arial"/>
                <w:szCs w:val="18"/>
              </w:rPr>
              <w:t>)</w:t>
            </w:r>
          </w:p>
        </w:tc>
        <w:tc>
          <w:tcPr>
            <w:tcW w:w="1151"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0.17 </w:t>
            </w:r>
            <w:r>
              <w:rPr>
                <w:rFonts w:cs="Arial"/>
                <w:szCs w:val="18"/>
              </w:rPr>
              <w:t>(</w:t>
            </w:r>
            <w:r w:rsidRPr="003F7BB0">
              <w:rPr>
                <w:rFonts w:cs="Arial"/>
                <w:szCs w:val="18"/>
              </w:rPr>
              <w:t>-0.10, 0.43</w:t>
            </w:r>
            <w:r>
              <w:rPr>
                <w:rFonts w:cs="Arial"/>
                <w:szCs w:val="18"/>
              </w:rPr>
              <w:t>)</w:t>
            </w:r>
          </w:p>
        </w:tc>
      </w:tr>
      <w:tr w:rsidR="00337E78" w:rsidRPr="00C27EBB" w:rsidTr="00A1697C">
        <w:trPr>
          <w:trHeight w:val="68"/>
        </w:trPr>
        <w:tc>
          <w:tcPr>
            <w:tcW w:w="5000" w:type="pct"/>
            <w:gridSpan w:val="6"/>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b/>
              </w:rPr>
              <w:t>Serogroup Y</w:t>
            </w:r>
          </w:p>
        </w:tc>
      </w:tr>
      <w:tr w:rsidR="00F1705A" w:rsidRPr="00C27EBB" w:rsidTr="00A1697C">
        <w:trPr>
          <w:trHeight w:val="68"/>
        </w:trPr>
        <w:tc>
          <w:tcPr>
            <w:tcW w:w="390" w:type="pct"/>
            <w:vMerge w:val="restart"/>
            <w:shd w:val="clear" w:color="auto" w:fill="auto"/>
          </w:tcPr>
          <w:p w:rsidR="00337E78" w:rsidRDefault="00337E78" w:rsidP="00337E78">
            <w:pPr>
              <w:pStyle w:val="TableText0"/>
              <w:keepNext w:val="0"/>
              <w:widowControl w:val="0"/>
              <w:spacing w:after="0"/>
              <w:rPr>
                <w:rFonts w:cs="Arial"/>
                <w:szCs w:val="18"/>
              </w:rPr>
            </w:pPr>
            <w:r>
              <w:rPr>
                <w:rFonts w:cs="Arial"/>
                <w:szCs w:val="18"/>
              </w:rPr>
              <w:t>1</w:t>
            </w:r>
          </w:p>
        </w:tc>
        <w:tc>
          <w:tcPr>
            <w:tcW w:w="786" w:type="pct"/>
            <w:shd w:val="clear" w:color="auto" w:fill="auto"/>
            <w:vAlign w:val="center"/>
          </w:tcPr>
          <w:p w:rsidR="00337E78" w:rsidRDefault="00337E78" w:rsidP="00337E78">
            <w:pPr>
              <w:pStyle w:val="TableText0"/>
              <w:keepNext w:val="0"/>
              <w:widowControl w:val="0"/>
              <w:spacing w:before="0" w:after="0"/>
              <w:rPr>
                <w:rFonts w:cs="Arial"/>
                <w:szCs w:val="18"/>
              </w:rPr>
            </w:pPr>
            <w:r>
              <w:rPr>
                <w:rFonts w:cs="Arial"/>
                <w:szCs w:val="18"/>
              </w:rPr>
              <w:t>Study 014</w:t>
            </w:r>
            <w:r w:rsidRPr="00105E64">
              <w:rPr>
                <w:rFonts w:cs="Arial"/>
                <w:szCs w:val="18"/>
                <w:vertAlign w:val="superscript"/>
              </w:rPr>
              <w:t>#</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39/40 (97.5)</w:t>
            </w:r>
          </w:p>
        </w:tc>
        <w:tc>
          <w:tcPr>
            <w:tcW w:w="943"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30/40 (75.0)</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1.30 (1.08, 1.57)*</w:t>
            </w:r>
          </w:p>
        </w:tc>
        <w:tc>
          <w:tcPr>
            <w:tcW w:w="1151"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0.22 (0.08, 0.37)*</w:t>
            </w:r>
          </w:p>
        </w:tc>
      </w:tr>
      <w:tr w:rsidR="00F1705A" w:rsidRPr="00C27EBB" w:rsidTr="00A1697C">
        <w:trPr>
          <w:trHeight w:val="68"/>
        </w:trPr>
        <w:tc>
          <w:tcPr>
            <w:tcW w:w="390" w:type="pct"/>
            <w:vMerge/>
            <w:shd w:val="clear" w:color="auto" w:fill="auto"/>
            <w:vAlign w:val="center"/>
          </w:tcPr>
          <w:p w:rsidR="00337E78" w:rsidRPr="003F7BB0" w:rsidRDefault="00337E78" w:rsidP="00337E78">
            <w:pPr>
              <w:pStyle w:val="TableText0"/>
              <w:keepNext w:val="0"/>
              <w:widowControl w:val="0"/>
              <w:spacing w:before="0" w:after="0"/>
              <w:rPr>
                <w:rFonts w:cs="Arial"/>
                <w:szCs w:val="18"/>
              </w:rPr>
            </w:pPr>
          </w:p>
        </w:tc>
        <w:tc>
          <w:tcPr>
            <w:tcW w:w="786"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Study 028</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214/216 (99.1)</w:t>
            </w:r>
          </w:p>
        </w:tc>
        <w:tc>
          <w:tcPr>
            <w:tcW w:w="943"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42/66 (63.6)</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1.56 </w:t>
            </w:r>
            <w:r>
              <w:rPr>
                <w:rFonts w:cs="Arial"/>
                <w:szCs w:val="18"/>
              </w:rPr>
              <w:t>(</w:t>
            </w:r>
            <w:r w:rsidRPr="003F7BB0">
              <w:rPr>
                <w:rFonts w:cs="Arial"/>
                <w:szCs w:val="18"/>
              </w:rPr>
              <w:t>1.30, 1.87</w:t>
            </w:r>
            <w:r>
              <w:rPr>
                <w:rFonts w:cs="Arial"/>
                <w:szCs w:val="18"/>
              </w:rPr>
              <w:t>)*</w:t>
            </w:r>
          </w:p>
        </w:tc>
        <w:tc>
          <w:tcPr>
            <w:tcW w:w="1151"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0.41 </w:t>
            </w:r>
            <w:r>
              <w:rPr>
                <w:rFonts w:cs="Arial"/>
                <w:szCs w:val="18"/>
              </w:rPr>
              <w:t>(</w:t>
            </w:r>
            <w:r w:rsidRPr="003F7BB0">
              <w:rPr>
                <w:rFonts w:cs="Arial"/>
                <w:szCs w:val="18"/>
              </w:rPr>
              <w:t>0.29, 0.53</w:t>
            </w:r>
            <w:r>
              <w:rPr>
                <w:rFonts w:cs="Arial"/>
                <w:szCs w:val="18"/>
              </w:rPr>
              <w:t>)*</w:t>
            </w:r>
          </w:p>
        </w:tc>
      </w:tr>
      <w:tr w:rsidR="00F1705A" w:rsidRPr="00C27EBB" w:rsidTr="00A1697C">
        <w:trPr>
          <w:trHeight w:val="68"/>
        </w:trPr>
        <w:tc>
          <w:tcPr>
            <w:tcW w:w="390"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2</w:t>
            </w:r>
          </w:p>
        </w:tc>
        <w:tc>
          <w:tcPr>
            <w:tcW w:w="786"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Study 029</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193/197 (98.0)</w:t>
            </w:r>
          </w:p>
        </w:tc>
        <w:tc>
          <w:tcPr>
            <w:tcW w:w="943"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37/50 (74.0)</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1.32 </w:t>
            </w:r>
            <w:r>
              <w:rPr>
                <w:rFonts w:cs="Arial"/>
                <w:szCs w:val="18"/>
              </w:rPr>
              <w:t>(</w:t>
            </w:r>
            <w:r w:rsidRPr="003F7BB0">
              <w:rPr>
                <w:rFonts w:cs="Arial"/>
                <w:szCs w:val="18"/>
              </w:rPr>
              <w:t>1.12, 1.56</w:t>
            </w:r>
            <w:r>
              <w:rPr>
                <w:rFonts w:cs="Arial"/>
                <w:szCs w:val="18"/>
              </w:rPr>
              <w:t>)*</w:t>
            </w:r>
          </w:p>
        </w:tc>
        <w:tc>
          <w:tcPr>
            <w:tcW w:w="1151"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0.45 </w:t>
            </w:r>
            <w:r>
              <w:rPr>
                <w:rFonts w:cs="Arial"/>
                <w:szCs w:val="18"/>
              </w:rPr>
              <w:t>(</w:t>
            </w:r>
            <w:r w:rsidRPr="003F7BB0">
              <w:rPr>
                <w:rFonts w:cs="Arial"/>
                <w:szCs w:val="18"/>
              </w:rPr>
              <w:t>0.30, 0.60</w:t>
            </w:r>
            <w:r>
              <w:rPr>
                <w:rFonts w:cs="Arial"/>
                <w:szCs w:val="18"/>
              </w:rPr>
              <w:t>)*</w:t>
            </w:r>
          </w:p>
        </w:tc>
      </w:tr>
      <w:tr w:rsidR="00F1705A" w:rsidRPr="00C27EBB" w:rsidTr="00A1697C">
        <w:trPr>
          <w:trHeight w:val="68"/>
        </w:trPr>
        <w:tc>
          <w:tcPr>
            <w:tcW w:w="390"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3</w:t>
            </w:r>
          </w:p>
        </w:tc>
        <w:tc>
          <w:tcPr>
            <w:tcW w:w="786"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Study 030</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174/177 (98.3)</w:t>
            </w:r>
          </w:p>
        </w:tc>
        <w:tc>
          <w:tcPr>
            <w:tcW w:w="943"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33/36 (91.7)</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1.07 </w:t>
            </w:r>
            <w:r>
              <w:rPr>
                <w:rFonts w:cs="Arial"/>
                <w:szCs w:val="18"/>
              </w:rPr>
              <w:t>(</w:t>
            </w:r>
            <w:r w:rsidRPr="003F7BB0">
              <w:rPr>
                <w:rFonts w:cs="Arial"/>
                <w:szCs w:val="18"/>
              </w:rPr>
              <w:t>0.97, 1.19</w:t>
            </w:r>
            <w:r>
              <w:rPr>
                <w:rFonts w:cs="Arial"/>
                <w:szCs w:val="18"/>
              </w:rPr>
              <w:t>)</w:t>
            </w:r>
          </w:p>
        </w:tc>
        <w:tc>
          <w:tcPr>
            <w:tcW w:w="1151"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0.26 </w:t>
            </w:r>
            <w:r>
              <w:rPr>
                <w:rFonts w:cs="Arial"/>
                <w:szCs w:val="18"/>
              </w:rPr>
              <w:t>(</w:t>
            </w:r>
            <w:r w:rsidRPr="003F7BB0">
              <w:rPr>
                <w:rFonts w:cs="Arial"/>
                <w:szCs w:val="18"/>
              </w:rPr>
              <w:t>0.11, 0.41</w:t>
            </w:r>
            <w:r>
              <w:rPr>
                <w:rFonts w:cs="Arial"/>
                <w:szCs w:val="18"/>
              </w:rPr>
              <w:t>)*</w:t>
            </w:r>
          </w:p>
        </w:tc>
      </w:tr>
      <w:tr w:rsidR="00F1705A" w:rsidRPr="00C27EBB" w:rsidTr="00A1697C">
        <w:trPr>
          <w:trHeight w:val="68"/>
        </w:trPr>
        <w:tc>
          <w:tcPr>
            <w:tcW w:w="390"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4</w:t>
            </w:r>
          </w:p>
        </w:tc>
        <w:tc>
          <w:tcPr>
            <w:tcW w:w="786"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Study 031</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134/138 (97.1)</w:t>
            </w:r>
          </w:p>
        </w:tc>
        <w:tc>
          <w:tcPr>
            <w:tcW w:w="943"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23/29 (79.3)</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1.22 </w:t>
            </w:r>
            <w:r>
              <w:rPr>
                <w:rFonts w:cs="Arial"/>
                <w:szCs w:val="18"/>
              </w:rPr>
              <w:t>(</w:t>
            </w:r>
            <w:r w:rsidRPr="003F7BB0">
              <w:rPr>
                <w:rFonts w:cs="Arial"/>
                <w:szCs w:val="18"/>
              </w:rPr>
              <w:t>1.01, 1.48</w:t>
            </w:r>
            <w:r>
              <w:rPr>
                <w:rFonts w:cs="Arial"/>
                <w:szCs w:val="18"/>
              </w:rPr>
              <w:t>)*</w:t>
            </w:r>
          </w:p>
        </w:tc>
        <w:tc>
          <w:tcPr>
            <w:tcW w:w="1151"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0.30 </w:t>
            </w:r>
            <w:r>
              <w:rPr>
                <w:rFonts w:cs="Arial"/>
                <w:szCs w:val="18"/>
              </w:rPr>
              <w:t>(</w:t>
            </w:r>
            <w:r w:rsidRPr="003F7BB0">
              <w:rPr>
                <w:rFonts w:cs="Arial"/>
                <w:szCs w:val="18"/>
              </w:rPr>
              <w:t>0.12, 0.48</w:t>
            </w:r>
            <w:r>
              <w:rPr>
                <w:rFonts w:cs="Arial"/>
                <w:szCs w:val="18"/>
              </w:rPr>
              <w:t>)*</w:t>
            </w:r>
          </w:p>
        </w:tc>
      </w:tr>
      <w:tr w:rsidR="00F1705A" w:rsidRPr="00C27EBB" w:rsidTr="00A1697C">
        <w:trPr>
          <w:trHeight w:val="68"/>
        </w:trPr>
        <w:tc>
          <w:tcPr>
            <w:tcW w:w="390"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5</w:t>
            </w:r>
          </w:p>
        </w:tc>
        <w:tc>
          <w:tcPr>
            <w:tcW w:w="786"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Pr>
                <w:rFonts w:cs="Arial"/>
                <w:szCs w:val="18"/>
              </w:rPr>
              <w:t>Study 032^</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21/49 (42.9)</w:t>
            </w:r>
          </w:p>
        </w:tc>
        <w:tc>
          <w:tcPr>
            <w:tcW w:w="943"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2/11 (18.2)</w:t>
            </w:r>
          </w:p>
        </w:tc>
        <w:tc>
          <w:tcPr>
            <w:tcW w:w="865"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2.36 </w:t>
            </w:r>
            <w:r>
              <w:rPr>
                <w:rFonts w:cs="Arial"/>
                <w:szCs w:val="18"/>
              </w:rPr>
              <w:t>(</w:t>
            </w:r>
            <w:r w:rsidRPr="003F7BB0">
              <w:rPr>
                <w:rFonts w:cs="Arial"/>
                <w:szCs w:val="18"/>
              </w:rPr>
              <w:t>0.65, 8.60</w:t>
            </w:r>
            <w:r>
              <w:rPr>
                <w:rFonts w:cs="Arial"/>
                <w:szCs w:val="18"/>
              </w:rPr>
              <w:t>)</w:t>
            </w:r>
          </w:p>
        </w:tc>
        <w:tc>
          <w:tcPr>
            <w:tcW w:w="1151" w:type="pct"/>
            <w:shd w:val="clear" w:color="auto" w:fill="auto"/>
            <w:vAlign w:val="center"/>
          </w:tcPr>
          <w:p w:rsidR="00337E78" w:rsidRPr="003F7BB0" w:rsidRDefault="00337E78" w:rsidP="00337E78">
            <w:pPr>
              <w:pStyle w:val="TableText0"/>
              <w:keepNext w:val="0"/>
              <w:widowControl w:val="0"/>
              <w:spacing w:before="0" w:after="0"/>
              <w:rPr>
                <w:rFonts w:cs="Arial"/>
                <w:szCs w:val="18"/>
              </w:rPr>
            </w:pPr>
            <w:r w:rsidRPr="003F7BB0">
              <w:rPr>
                <w:rFonts w:cs="Arial"/>
                <w:szCs w:val="18"/>
              </w:rPr>
              <w:t xml:space="preserve">0.17 </w:t>
            </w:r>
            <w:r>
              <w:rPr>
                <w:rFonts w:cs="Arial"/>
                <w:szCs w:val="18"/>
              </w:rPr>
              <w:t>(</w:t>
            </w:r>
            <w:r w:rsidRPr="003F7BB0">
              <w:rPr>
                <w:rFonts w:cs="Arial"/>
                <w:szCs w:val="18"/>
              </w:rPr>
              <w:t>-0.10, 0.43</w:t>
            </w:r>
            <w:r>
              <w:rPr>
                <w:rFonts w:cs="Arial"/>
                <w:szCs w:val="18"/>
              </w:rPr>
              <w:t>)</w:t>
            </w:r>
          </w:p>
        </w:tc>
      </w:tr>
      <w:tr w:rsidR="00FC3536" w:rsidRPr="00C27EBB" w:rsidTr="00A1697C">
        <w:trPr>
          <w:trHeight w:val="68"/>
        </w:trPr>
        <w:tc>
          <w:tcPr>
            <w:tcW w:w="5000" w:type="pct"/>
            <w:gridSpan w:val="6"/>
            <w:shd w:val="clear" w:color="auto" w:fill="auto"/>
            <w:vAlign w:val="center"/>
          </w:tcPr>
          <w:p w:rsidR="00FC3536" w:rsidRPr="003F7BB0" w:rsidRDefault="00FC3536" w:rsidP="00840ED5">
            <w:pPr>
              <w:pStyle w:val="TableText0"/>
              <w:keepNext w:val="0"/>
              <w:widowControl w:val="0"/>
              <w:spacing w:before="0" w:after="0"/>
              <w:rPr>
                <w:rFonts w:cs="Arial"/>
                <w:szCs w:val="18"/>
              </w:rPr>
            </w:pPr>
            <w:r>
              <w:rPr>
                <w:rStyle w:val="CommentReference"/>
              </w:rPr>
              <w:t>Hib-</w:t>
            </w:r>
            <w:proofErr w:type="spellStart"/>
            <w:r>
              <w:rPr>
                <w:rStyle w:val="CommentReference"/>
              </w:rPr>
              <w:t>MenC</w:t>
            </w:r>
            <w:proofErr w:type="spellEnd"/>
            <w:r w:rsidR="00840ED5">
              <w:rPr>
                <w:rStyle w:val="CommentReference"/>
              </w:rPr>
              <w:t xml:space="preserve"> clinical trial</w:t>
            </w:r>
          </w:p>
        </w:tc>
      </w:tr>
      <w:tr w:rsidR="00F1705A" w:rsidRPr="00110F2D" w:rsidTr="00A1697C">
        <w:trPr>
          <w:trHeight w:val="432"/>
          <w:tblHeader/>
        </w:trPr>
        <w:tc>
          <w:tcPr>
            <w:tcW w:w="390" w:type="pct"/>
            <w:tcBorders>
              <w:top w:val="single" w:sz="4" w:space="0" w:color="auto"/>
              <w:left w:val="single" w:sz="4" w:space="0" w:color="auto"/>
              <w:right w:val="single" w:sz="4" w:space="0" w:color="auto"/>
            </w:tcBorders>
            <w:shd w:val="clear" w:color="auto" w:fill="auto"/>
            <w:vAlign w:val="center"/>
          </w:tcPr>
          <w:p w:rsidR="00F1705A" w:rsidRPr="00F1705A" w:rsidRDefault="00F1705A" w:rsidP="00F1705A">
            <w:pPr>
              <w:pStyle w:val="TableText0"/>
              <w:keepNext w:val="0"/>
              <w:spacing w:before="0" w:after="0"/>
              <w:rPr>
                <w:rFonts w:cs="Arial"/>
                <w:b/>
                <w:szCs w:val="18"/>
              </w:rPr>
            </w:pPr>
            <w:r w:rsidRPr="00F1705A">
              <w:rPr>
                <w:b/>
              </w:rPr>
              <w:t>Year</w:t>
            </w:r>
          </w:p>
        </w:tc>
        <w:tc>
          <w:tcPr>
            <w:tcW w:w="786" w:type="pct"/>
            <w:tcBorders>
              <w:top w:val="single" w:sz="4" w:space="0" w:color="auto"/>
              <w:left w:val="single" w:sz="4" w:space="0" w:color="auto"/>
              <w:right w:val="single" w:sz="4" w:space="0" w:color="auto"/>
            </w:tcBorders>
            <w:shd w:val="clear" w:color="auto" w:fill="auto"/>
            <w:vAlign w:val="center"/>
          </w:tcPr>
          <w:p w:rsidR="00F1705A" w:rsidRPr="00F1705A" w:rsidRDefault="00F1705A" w:rsidP="00F1705A">
            <w:pPr>
              <w:pStyle w:val="TableText0"/>
              <w:spacing w:before="0" w:after="0"/>
              <w:rPr>
                <w:b/>
              </w:rPr>
            </w:pPr>
            <w:r w:rsidRPr="00F1705A">
              <w:rPr>
                <w:b/>
              </w:rPr>
              <w:t>Trial ID</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F1705A" w:rsidRPr="0017609C" w:rsidRDefault="00F1705A" w:rsidP="00F1705A">
            <w:pPr>
              <w:pStyle w:val="Tabletext"/>
              <w:keepNext/>
              <w:rPr>
                <w:b/>
              </w:rPr>
            </w:pPr>
            <w:r w:rsidRPr="0017609C">
              <w:rPr>
                <w:b/>
              </w:rPr>
              <w:t>Hib-</w:t>
            </w:r>
            <w:proofErr w:type="spellStart"/>
            <w:r w:rsidRPr="0017609C">
              <w:rPr>
                <w:b/>
              </w:rPr>
              <w:t>MenC</w:t>
            </w:r>
            <w:proofErr w:type="spellEnd"/>
            <w:r w:rsidRPr="0017609C">
              <w:rPr>
                <w:b/>
              </w:rPr>
              <w:t xml:space="preserve"> + MMR</w:t>
            </w:r>
          </w:p>
          <w:p w:rsidR="00F1705A" w:rsidRPr="0017609C" w:rsidRDefault="00F1705A" w:rsidP="00F1705A">
            <w:pPr>
              <w:pStyle w:val="TableHeading"/>
              <w:spacing w:before="0" w:after="0"/>
            </w:pPr>
            <w:proofErr w:type="gramStart"/>
            <w:r w:rsidRPr="0017609C">
              <w:t>n/N</w:t>
            </w:r>
            <w:proofErr w:type="gramEnd"/>
            <w:r w:rsidRPr="0017609C">
              <w:t xml:space="preserve"> (%)</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F1705A" w:rsidRPr="0017609C" w:rsidRDefault="00F1705A" w:rsidP="00F1705A">
            <w:pPr>
              <w:pStyle w:val="Tabletext"/>
              <w:keepNext/>
              <w:rPr>
                <w:b/>
              </w:rPr>
            </w:pPr>
            <w:proofErr w:type="spellStart"/>
            <w:r w:rsidRPr="0017609C">
              <w:rPr>
                <w:b/>
              </w:rPr>
              <w:t>MenC</w:t>
            </w:r>
            <w:proofErr w:type="spellEnd"/>
            <w:r w:rsidRPr="0017609C">
              <w:rPr>
                <w:b/>
              </w:rPr>
              <w:t xml:space="preserve"> + Hib + MMR</w:t>
            </w:r>
          </w:p>
          <w:p w:rsidR="00F1705A" w:rsidRPr="0017609C" w:rsidRDefault="00F1705A" w:rsidP="00F1705A">
            <w:pPr>
              <w:pStyle w:val="TableHeading"/>
              <w:spacing w:before="0" w:after="0"/>
            </w:pPr>
            <w:proofErr w:type="gramStart"/>
            <w:r w:rsidRPr="0017609C">
              <w:t>n/N</w:t>
            </w:r>
            <w:proofErr w:type="gramEnd"/>
            <w:r w:rsidRPr="0017609C">
              <w:t xml:space="preserve"> (%)</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F1705A" w:rsidRDefault="00F1705A" w:rsidP="00F1705A">
            <w:pPr>
              <w:pStyle w:val="TableHeading"/>
              <w:spacing w:before="0" w:after="0"/>
            </w:pPr>
            <w:r w:rsidRPr="00110F2D">
              <w:t xml:space="preserve">Relative risk </w:t>
            </w:r>
          </w:p>
          <w:p w:rsidR="00F1705A" w:rsidRPr="00110F2D" w:rsidRDefault="00F1705A" w:rsidP="00F1705A">
            <w:pPr>
              <w:pStyle w:val="TableHeading"/>
              <w:spacing w:before="0" w:after="0"/>
            </w:pPr>
            <w:r w:rsidRPr="00110F2D">
              <w:t>(95%</w:t>
            </w:r>
            <w:r>
              <w:t xml:space="preserve"> </w:t>
            </w:r>
            <w:r w:rsidRPr="00110F2D">
              <w:t>CI)</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F1705A" w:rsidRDefault="00F1705A" w:rsidP="00F1705A">
            <w:pPr>
              <w:pStyle w:val="TableHeading"/>
              <w:spacing w:before="0" w:after="0"/>
            </w:pPr>
            <w:r w:rsidRPr="00110F2D">
              <w:t>Risk difference</w:t>
            </w:r>
          </w:p>
          <w:p w:rsidR="00F1705A" w:rsidRPr="00110F2D" w:rsidRDefault="00F1705A" w:rsidP="00F1705A">
            <w:pPr>
              <w:pStyle w:val="TableHeading"/>
              <w:spacing w:before="0" w:after="0"/>
            </w:pPr>
            <w:r w:rsidRPr="00110F2D">
              <w:t>(95% CI)</w:t>
            </w:r>
          </w:p>
        </w:tc>
      </w:tr>
      <w:tr w:rsidR="00F1705A" w:rsidRPr="009C32FC" w:rsidTr="00A1697C">
        <w:trPr>
          <w:trHeight w:val="68"/>
        </w:trPr>
        <w:tc>
          <w:tcPr>
            <w:tcW w:w="390" w:type="pct"/>
            <w:tcBorders>
              <w:left w:val="single" w:sz="4" w:space="0" w:color="auto"/>
              <w:right w:val="single" w:sz="4" w:space="0" w:color="auto"/>
            </w:tcBorders>
            <w:shd w:val="clear" w:color="auto" w:fill="auto"/>
            <w:vAlign w:val="center"/>
          </w:tcPr>
          <w:p w:rsidR="00F1705A" w:rsidRPr="003F7BB0" w:rsidRDefault="00F1705A" w:rsidP="00F1705A">
            <w:pPr>
              <w:pStyle w:val="TableText0"/>
              <w:keepNext w:val="0"/>
              <w:widowControl w:val="0"/>
              <w:spacing w:before="0" w:after="0"/>
              <w:rPr>
                <w:rFonts w:cs="Arial"/>
                <w:szCs w:val="18"/>
              </w:rPr>
            </w:pPr>
            <w:r>
              <w:rPr>
                <w:rFonts w:cs="Arial"/>
                <w:szCs w:val="18"/>
              </w:rPr>
              <w:t>1</w:t>
            </w:r>
          </w:p>
        </w:tc>
        <w:tc>
          <w:tcPr>
            <w:tcW w:w="786" w:type="pct"/>
            <w:tcBorders>
              <w:left w:val="single" w:sz="4" w:space="0" w:color="auto"/>
              <w:right w:val="single" w:sz="4" w:space="0" w:color="auto"/>
            </w:tcBorders>
            <w:shd w:val="clear" w:color="auto" w:fill="auto"/>
          </w:tcPr>
          <w:p w:rsidR="00F1705A" w:rsidRPr="003F7BB0" w:rsidRDefault="00F1705A" w:rsidP="00F1705A">
            <w:pPr>
              <w:pStyle w:val="TableText0"/>
              <w:keepNext w:val="0"/>
              <w:widowControl w:val="0"/>
              <w:spacing w:before="0" w:after="0"/>
              <w:rPr>
                <w:rFonts w:cs="Arial"/>
                <w:szCs w:val="18"/>
              </w:rPr>
            </w:pPr>
            <w:r>
              <w:rPr>
                <w:szCs w:val="20"/>
              </w:rPr>
              <w:t>Hib-MenC-</w:t>
            </w:r>
            <w:r w:rsidRPr="00652273">
              <w:rPr>
                <w:szCs w:val="20"/>
              </w:rPr>
              <w:t>017</w:t>
            </w:r>
          </w:p>
        </w:tc>
        <w:tc>
          <w:tcPr>
            <w:tcW w:w="865" w:type="pct"/>
            <w:tcBorders>
              <w:left w:val="single" w:sz="4" w:space="0" w:color="auto"/>
            </w:tcBorders>
            <w:shd w:val="clear" w:color="auto" w:fill="auto"/>
            <w:vAlign w:val="center"/>
          </w:tcPr>
          <w:p w:rsidR="00F1705A" w:rsidRPr="001B71AE" w:rsidRDefault="00F1705A" w:rsidP="00F1705A">
            <w:pPr>
              <w:pStyle w:val="TableText0"/>
              <w:keepNext w:val="0"/>
              <w:widowControl w:val="0"/>
              <w:spacing w:before="0" w:after="0"/>
              <w:rPr>
                <w:rFonts w:cs="Arial"/>
                <w:szCs w:val="18"/>
              </w:rPr>
            </w:pPr>
            <w:r>
              <w:rPr>
                <w:rFonts w:cs="Arial"/>
                <w:szCs w:val="18"/>
              </w:rPr>
              <w:t>216/249 (86.7)</w:t>
            </w:r>
          </w:p>
        </w:tc>
        <w:tc>
          <w:tcPr>
            <w:tcW w:w="943" w:type="pct"/>
            <w:shd w:val="clear" w:color="auto" w:fill="auto"/>
            <w:vAlign w:val="center"/>
          </w:tcPr>
          <w:p w:rsidR="00F1705A" w:rsidRPr="001B71AE" w:rsidRDefault="00F1705A" w:rsidP="00F1705A">
            <w:pPr>
              <w:pStyle w:val="TableText0"/>
              <w:keepNext w:val="0"/>
              <w:widowControl w:val="0"/>
              <w:spacing w:before="0" w:after="0"/>
              <w:rPr>
                <w:rFonts w:cs="Arial"/>
                <w:szCs w:val="18"/>
              </w:rPr>
            </w:pPr>
            <w:r>
              <w:rPr>
                <w:rFonts w:cs="Arial"/>
                <w:szCs w:val="18"/>
              </w:rPr>
              <w:t>68/89 (76.4)</w:t>
            </w:r>
          </w:p>
        </w:tc>
        <w:tc>
          <w:tcPr>
            <w:tcW w:w="865" w:type="pct"/>
            <w:shd w:val="clear" w:color="auto" w:fill="auto"/>
            <w:vAlign w:val="center"/>
          </w:tcPr>
          <w:p w:rsidR="00F1705A" w:rsidRPr="009C32FC" w:rsidRDefault="00F1705A" w:rsidP="00F1705A">
            <w:pPr>
              <w:pStyle w:val="TableText0"/>
              <w:keepNext w:val="0"/>
              <w:widowControl w:val="0"/>
              <w:spacing w:before="0" w:after="0"/>
              <w:rPr>
                <w:rFonts w:cs="Arial"/>
                <w:szCs w:val="18"/>
              </w:rPr>
            </w:pPr>
            <w:r w:rsidRPr="009C32FC">
              <w:rPr>
                <w:rFonts w:cs="Arial"/>
                <w:szCs w:val="18"/>
              </w:rPr>
              <w:t xml:space="preserve">1.14 </w:t>
            </w:r>
            <w:r>
              <w:rPr>
                <w:rFonts w:cs="Arial"/>
                <w:szCs w:val="18"/>
              </w:rPr>
              <w:t>(</w:t>
            </w:r>
            <w:r w:rsidRPr="009C32FC">
              <w:rPr>
                <w:rFonts w:cs="Arial"/>
                <w:szCs w:val="18"/>
              </w:rPr>
              <w:t>1.00, 1.29</w:t>
            </w:r>
            <w:r>
              <w:rPr>
                <w:rFonts w:cs="Arial"/>
                <w:szCs w:val="18"/>
              </w:rPr>
              <w:t>)*</w:t>
            </w:r>
          </w:p>
        </w:tc>
        <w:tc>
          <w:tcPr>
            <w:tcW w:w="1151" w:type="pct"/>
            <w:shd w:val="clear" w:color="auto" w:fill="auto"/>
            <w:vAlign w:val="center"/>
          </w:tcPr>
          <w:p w:rsidR="00F1705A" w:rsidRPr="009C32FC" w:rsidRDefault="00F1705A" w:rsidP="00F1705A">
            <w:pPr>
              <w:pStyle w:val="TableText0"/>
              <w:keepNext w:val="0"/>
              <w:widowControl w:val="0"/>
              <w:spacing w:before="0" w:after="0"/>
              <w:rPr>
                <w:rFonts w:cs="Arial"/>
                <w:szCs w:val="18"/>
              </w:rPr>
            </w:pPr>
            <w:r>
              <w:rPr>
                <w:rFonts w:cs="Arial"/>
                <w:szCs w:val="18"/>
              </w:rPr>
              <w:t>0.</w:t>
            </w:r>
            <w:r w:rsidRPr="003C2BEA">
              <w:rPr>
                <w:rFonts w:cs="Arial"/>
                <w:szCs w:val="18"/>
              </w:rPr>
              <w:t>1034</w:t>
            </w:r>
            <w:r>
              <w:rPr>
                <w:rFonts w:cs="Arial"/>
                <w:szCs w:val="18"/>
              </w:rPr>
              <w:t xml:space="preserve"> (</w:t>
            </w:r>
            <w:r w:rsidRPr="003C2BEA">
              <w:rPr>
                <w:rFonts w:cs="Arial"/>
                <w:szCs w:val="18"/>
              </w:rPr>
              <w:t>0.</w:t>
            </w:r>
            <w:r>
              <w:rPr>
                <w:rFonts w:cs="Arial"/>
                <w:szCs w:val="18"/>
              </w:rPr>
              <w:t>00</w:t>
            </w:r>
            <w:r w:rsidRPr="003C2BEA">
              <w:rPr>
                <w:rFonts w:cs="Arial"/>
                <w:szCs w:val="18"/>
              </w:rPr>
              <w:t>57</w:t>
            </w:r>
            <w:r>
              <w:rPr>
                <w:rFonts w:cs="Arial"/>
                <w:szCs w:val="18"/>
              </w:rPr>
              <w:t>, 0.</w:t>
            </w:r>
            <w:r w:rsidRPr="003C2BEA">
              <w:rPr>
                <w:rFonts w:cs="Arial"/>
                <w:szCs w:val="18"/>
              </w:rPr>
              <w:t>2012</w:t>
            </w:r>
            <w:r>
              <w:rPr>
                <w:rFonts w:cs="Arial"/>
                <w:szCs w:val="18"/>
              </w:rPr>
              <w:t>)*</w:t>
            </w:r>
          </w:p>
        </w:tc>
      </w:tr>
      <w:tr w:rsidR="00F1705A" w:rsidRPr="009C32FC" w:rsidTr="00A1697C">
        <w:trPr>
          <w:trHeight w:val="68"/>
        </w:trPr>
        <w:tc>
          <w:tcPr>
            <w:tcW w:w="390" w:type="pct"/>
            <w:tcBorders>
              <w:left w:val="single" w:sz="4" w:space="0" w:color="auto"/>
              <w:right w:val="single" w:sz="4" w:space="0" w:color="auto"/>
            </w:tcBorders>
            <w:shd w:val="clear" w:color="auto" w:fill="auto"/>
            <w:vAlign w:val="center"/>
          </w:tcPr>
          <w:p w:rsidR="00F1705A" w:rsidRPr="003F7BB0" w:rsidRDefault="00F1705A" w:rsidP="00F1705A">
            <w:pPr>
              <w:pStyle w:val="TableText0"/>
              <w:keepNext w:val="0"/>
              <w:widowControl w:val="0"/>
              <w:spacing w:before="0" w:after="0"/>
              <w:rPr>
                <w:rFonts w:cs="Arial"/>
                <w:szCs w:val="18"/>
              </w:rPr>
            </w:pPr>
            <w:r>
              <w:rPr>
                <w:rFonts w:cs="Arial"/>
                <w:szCs w:val="18"/>
              </w:rPr>
              <w:t>2</w:t>
            </w:r>
          </w:p>
        </w:tc>
        <w:tc>
          <w:tcPr>
            <w:tcW w:w="786" w:type="pct"/>
            <w:tcBorders>
              <w:left w:val="single" w:sz="4" w:space="0" w:color="auto"/>
              <w:right w:val="single" w:sz="4" w:space="0" w:color="auto"/>
            </w:tcBorders>
            <w:shd w:val="clear" w:color="auto" w:fill="auto"/>
          </w:tcPr>
          <w:p w:rsidR="00F1705A" w:rsidRPr="003F7BB0" w:rsidRDefault="00F1705A" w:rsidP="00F1705A">
            <w:pPr>
              <w:pStyle w:val="TableText0"/>
              <w:keepNext w:val="0"/>
              <w:widowControl w:val="0"/>
              <w:spacing w:before="0" w:after="0"/>
              <w:rPr>
                <w:rFonts w:cs="Arial"/>
                <w:szCs w:val="18"/>
              </w:rPr>
            </w:pPr>
            <w:r>
              <w:rPr>
                <w:szCs w:val="20"/>
              </w:rPr>
              <w:t>Hib-MenC-</w:t>
            </w:r>
            <w:r w:rsidRPr="00652273">
              <w:rPr>
                <w:szCs w:val="20"/>
              </w:rPr>
              <w:t>018</w:t>
            </w:r>
          </w:p>
        </w:tc>
        <w:tc>
          <w:tcPr>
            <w:tcW w:w="865" w:type="pct"/>
            <w:tcBorders>
              <w:left w:val="single" w:sz="4" w:space="0" w:color="auto"/>
            </w:tcBorders>
            <w:shd w:val="clear" w:color="auto" w:fill="auto"/>
            <w:vAlign w:val="center"/>
          </w:tcPr>
          <w:p w:rsidR="00F1705A" w:rsidRPr="001B71AE" w:rsidRDefault="00F1705A" w:rsidP="00F1705A">
            <w:pPr>
              <w:pStyle w:val="TableText0"/>
              <w:keepNext w:val="0"/>
              <w:widowControl w:val="0"/>
              <w:spacing w:before="0" w:after="0"/>
              <w:rPr>
                <w:rFonts w:cs="Arial"/>
                <w:szCs w:val="18"/>
              </w:rPr>
            </w:pPr>
            <w:r>
              <w:rPr>
                <w:rFonts w:cs="Arial"/>
                <w:szCs w:val="18"/>
              </w:rPr>
              <w:t>164/235 (69.8)</w:t>
            </w:r>
          </w:p>
        </w:tc>
        <w:tc>
          <w:tcPr>
            <w:tcW w:w="943" w:type="pct"/>
            <w:shd w:val="clear" w:color="auto" w:fill="auto"/>
            <w:vAlign w:val="center"/>
          </w:tcPr>
          <w:p w:rsidR="00F1705A" w:rsidRPr="001B71AE" w:rsidRDefault="00F1705A" w:rsidP="00F1705A">
            <w:pPr>
              <w:pStyle w:val="TableText0"/>
              <w:keepNext w:val="0"/>
              <w:widowControl w:val="0"/>
              <w:spacing w:before="0" w:after="0"/>
              <w:rPr>
                <w:rFonts w:cs="Arial"/>
                <w:szCs w:val="18"/>
              </w:rPr>
            </w:pPr>
            <w:r>
              <w:rPr>
                <w:rFonts w:cs="Arial"/>
                <w:szCs w:val="18"/>
              </w:rPr>
              <w:t>52/86 (60.5)</w:t>
            </w:r>
          </w:p>
        </w:tc>
        <w:tc>
          <w:tcPr>
            <w:tcW w:w="865" w:type="pct"/>
            <w:shd w:val="clear" w:color="auto" w:fill="auto"/>
            <w:vAlign w:val="center"/>
          </w:tcPr>
          <w:p w:rsidR="00F1705A" w:rsidRPr="009C32FC" w:rsidRDefault="00F1705A" w:rsidP="00F1705A">
            <w:pPr>
              <w:pStyle w:val="TableText0"/>
              <w:keepNext w:val="0"/>
              <w:widowControl w:val="0"/>
              <w:spacing w:before="0" w:after="0"/>
              <w:rPr>
                <w:rFonts w:cs="Arial"/>
                <w:szCs w:val="18"/>
              </w:rPr>
            </w:pPr>
            <w:r w:rsidRPr="009C32FC">
              <w:rPr>
                <w:rFonts w:cs="Arial"/>
                <w:szCs w:val="18"/>
              </w:rPr>
              <w:t xml:space="preserve">1.15 </w:t>
            </w:r>
            <w:r>
              <w:rPr>
                <w:rFonts w:cs="Arial"/>
                <w:szCs w:val="18"/>
              </w:rPr>
              <w:t>(</w:t>
            </w:r>
            <w:r w:rsidRPr="009C32FC">
              <w:rPr>
                <w:rFonts w:cs="Arial"/>
                <w:szCs w:val="18"/>
              </w:rPr>
              <w:t>0.95, 1.40</w:t>
            </w:r>
            <w:r>
              <w:rPr>
                <w:rFonts w:cs="Arial"/>
                <w:szCs w:val="18"/>
              </w:rPr>
              <w:t>)</w:t>
            </w:r>
          </w:p>
        </w:tc>
        <w:tc>
          <w:tcPr>
            <w:tcW w:w="1151" w:type="pct"/>
            <w:shd w:val="clear" w:color="auto" w:fill="auto"/>
            <w:vAlign w:val="center"/>
          </w:tcPr>
          <w:p w:rsidR="00F1705A" w:rsidRPr="009C32FC" w:rsidRDefault="00F1705A" w:rsidP="00F1705A">
            <w:pPr>
              <w:pStyle w:val="TableText0"/>
              <w:keepNext w:val="0"/>
              <w:widowControl w:val="0"/>
              <w:spacing w:before="0" w:after="0"/>
              <w:rPr>
                <w:rFonts w:cs="Arial"/>
                <w:szCs w:val="18"/>
              </w:rPr>
            </w:pPr>
            <w:r>
              <w:rPr>
                <w:rFonts w:cs="Arial"/>
                <w:szCs w:val="18"/>
              </w:rPr>
              <w:t>0.0932 (</w:t>
            </w:r>
            <w:r w:rsidRPr="003C2BEA">
              <w:rPr>
                <w:rFonts w:cs="Arial"/>
                <w:szCs w:val="18"/>
              </w:rPr>
              <w:t>-</w:t>
            </w:r>
            <w:r>
              <w:rPr>
                <w:rFonts w:cs="Arial"/>
                <w:szCs w:val="18"/>
              </w:rPr>
              <w:t>0.0</w:t>
            </w:r>
            <w:r w:rsidRPr="003C2BEA">
              <w:rPr>
                <w:rFonts w:cs="Arial"/>
                <w:szCs w:val="18"/>
              </w:rPr>
              <w:t>256</w:t>
            </w:r>
            <w:r>
              <w:rPr>
                <w:rFonts w:cs="Arial"/>
                <w:szCs w:val="18"/>
              </w:rPr>
              <w:t>, 0.</w:t>
            </w:r>
            <w:r w:rsidRPr="003C2BEA">
              <w:rPr>
                <w:rFonts w:cs="Arial"/>
                <w:szCs w:val="18"/>
              </w:rPr>
              <w:t>2121</w:t>
            </w:r>
            <w:r>
              <w:rPr>
                <w:rFonts w:cs="Arial"/>
                <w:szCs w:val="18"/>
              </w:rPr>
              <w:t>)</w:t>
            </w:r>
          </w:p>
        </w:tc>
      </w:tr>
      <w:tr w:rsidR="00F1705A" w:rsidRPr="009C32FC" w:rsidTr="00A1697C">
        <w:trPr>
          <w:trHeight w:val="68"/>
        </w:trPr>
        <w:tc>
          <w:tcPr>
            <w:tcW w:w="390" w:type="pct"/>
            <w:tcBorders>
              <w:left w:val="single" w:sz="4" w:space="0" w:color="auto"/>
              <w:right w:val="single" w:sz="4" w:space="0" w:color="auto"/>
            </w:tcBorders>
            <w:shd w:val="clear" w:color="auto" w:fill="auto"/>
            <w:vAlign w:val="center"/>
          </w:tcPr>
          <w:p w:rsidR="00F1705A" w:rsidRPr="003F7BB0" w:rsidRDefault="00F1705A" w:rsidP="00F1705A">
            <w:pPr>
              <w:pStyle w:val="TableText0"/>
              <w:keepNext w:val="0"/>
              <w:widowControl w:val="0"/>
              <w:spacing w:before="0" w:after="0"/>
              <w:rPr>
                <w:rFonts w:cs="Arial"/>
                <w:szCs w:val="18"/>
              </w:rPr>
            </w:pPr>
            <w:r>
              <w:rPr>
                <w:rFonts w:cs="Arial"/>
                <w:szCs w:val="18"/>
              </w:rPr>
              <w:t>3</w:t>
            </w:r>
          </w:p>
        </w:tc>
        <w:tc>
          <w:tcPr>
            <w:tcW w:w="786" w:type="pct"/>
            <w:tcBorders>
              <w:left w:val="single" w:sz="4" w:space="0" w:color="auto"/>
              <w:right w:val="single" w:sz="4" w:space="0" w:color="auto"/>
            </w:tcBorders>
            <w:shd w:val="clear" w:color="auto" w:fill="auto"/>
          </w:tcPr>
          <w:p w:rsidR="00F1705A" w:rsidRPr="003F7BB0" w:rsidRDefault="00F1705A" w:rsidP="00F1705A">
            <w:pPr>
              <w:pStyle w:val="TableText0"/>
              <w:keepNext w:val="0"/>
              <w:widowControl w:val="0"/>
              <w:spacing w:before="0" w:after="0"/>
              <w:rPr>
                <w:rFonts w:cs="Arial"/>
                <w:szCs w:val="18"/>
              </w:rPr>
            </w:pPr>
            <w:r>
              <w:rPr>
                <w:szCs w:val="20"/>
              </w:rPr>
              <w:t>Hib-MenC-</w:t>
            </w:r>
            <w:r w:rsidRPr="00652273">
              <w:rPr>
                <w:szCs w:val="20"/>
              </w:rPr>
              <w:t>019</w:t>
            </w:r>
          </w:p>
        </w:tc>
        <w:tc>
          <w:tcPr>
            <w:tcW w:w="865" w:type="pct"/>
            <w:tcBorders>
              <w:left w:val="single" w:sz="4" w:space="0" w:color="auto"/>
            </w:tcBorders>
            <w:shd w:val="clear" w:color="auto" w:fill="auto"/>
            <w:vAlign w:val="center"/>
          </w:tcPr>
          <w:p w:rsidR="00F1705A" w:rsidRPr="001B71AE" w:rsidRDefault="00F1705A" w:rsidP="00F1705A">
            <w:pPr>
              <w:pStyle w:val="TableText0"/>
              <w:keepNext w:val="0"/>
              <w:widowControl w:val="0"/>
              <w:spacing w:before="0" w:after="0"/>
              <w:rPr>
                <w:rFonts w:cs="Arial"/>
                <w:szCs w:val="18"/>
              </w:rPr>
            </w:pPr>
            <w:r>
              <w:rPr>
                <w:rFonts w:cs="Arial"/>
                <w:szCs w:val="18"/>
              </w:rPr>
              <w:t>145/266 (64.2)</w:t>
            </w:r>
          </w:p>
        </w:tc>
        <w:tc>
          <w:tcPr>
            <w:tcW w:w="943" w:type="pct"/>
            <w:shd w:val="clear" w:color="auto" w:fill="auto"/>
            <w:vAlign w:val="center"/>
          </w:tcPr>
          <w:p w:rsidR="00F1705A" w:rsidRPr="001B71AE" w:rsidRDefault="00F1705A" w:rsidP="00F1705A">
            <w:pPr>
              <w:pStyle w:val="TableText0"/>
              <w:keepNext w:val="0"/>
              <w:widowControl w:val="0"/>
              <w:spacing w:before="0" w:after="0"/>
              <w:rPr>
                <w:rFonts w:cs="Arial"/>
                <w:szCs w:val="18"/>
              </w:rPr>
            </w:pPr>
            <w:r>
              <w:rPr>
                <w:rFonts w:cs="Arial"/>
                <w:szCs w:val="18"/>
              </w:rPr>
              <w:t>41/77 (53.2)</w:t>
            </w:r>
          </w:p>
        </w:tc>
        <w:tc>
          <w:tcPr>
            <w:tcW w:w="865" w:type="pct"/>
            <w:shd w:val="clear" w:color="auto" w:fill="auto"/>
            <w:vAlign w:val="center"/>
          </w:tcPr>
          <w:p w:rsidR="00F1705A" w:rsidRPr="009C32FC" w:rsidRDefault="00F1705A" w:rsidP="00F1705A">
            <w:pPr>
              <w:pStyle w:val="TableText0"/>
              <w:keepNext w:val="0"/>
              <w:widowControl w:val="0"/>
              <w:spacing w:before="0" w:after="0"/>
              <w:rPr>
                <w:rFonts w:cs="Arial"/>
                <w:szCs w:val="18"/>
              </w:rPr>
            </w:pPr>
            <w:r w:rsidRPr="009C32FC">
              <w:rPr>
                <w:rFonts w:cs="Arial"/>
                <w:szCs w:val="18"/>
              </w:rPr>
              <w:t xml:space="preserve">1.02 </w:t>
            </w:r>
            <w:r>
              <w:rPr>
                <w:rFonts w:cs="Arial"/>
                <w:szCs w:val="18"/>
              </w:rPr>
              <w:t>(</w:t>
            </w:r>
            <w:r w:rsidRPr="009C32FC">
              <w:rPr>
                <w:rFonts w:cs="Arial"/>
                <w:szCs w:val="18"/>
              </w:rPr>
              <w:t>0.81, 1.30</w:t>
            </w:r>
            <w:r>
              <w:rPr>
                <w:rFonts w:cs="Arial"/>
                <w:szCs w:val="18"/>
              </w:rPr>
              <w:t>)</w:t>
            </w:r>
          </w:p>
        </w:tc>
        <w:tc>
          <w:tcPr>
            <w:tcW w:w="1151" w:type="pct"/>
            <w:shd w:val="clear" w:color="auto" w:fill="auto"/>
            <w:vAlign w:val="center"/>
          </w:tcPr>
          <w:p w:rsidR="00F1705A" w:rsidRPr="009C32FC" w:rsidRDefault="00F1705A" w:rsidP="00F1705A">
            <w:pPr>
              <w:pStyle w:val="TableText0"/>
              <w:keepNext w:val="0"/>
              <w:widowControl w:val="0"/>
              <w:spacing w:before="0" w:after="0"/>
              <w:rPr>
                <w:rFonts w:cs="Arial"/>
                <w:szCs w:val="18"/>
              </w:rPr>
            </w:pPr>
            <w:r>
              <w:rPr>
                <w:rFonts w:cs="Arial"/>
                <w:szCs w:val="18"/>
              </w:rPr>
              <w:t>0.0</w:t>
            </w:r>
            <w:r w:rsidRPr="003C2BEA">
              <w:rPr>
                <w:rFonts w:cs="Arial"/>
                <w:szCs w:val="18"/>
              </w:rPr>
              <w:t>126</w:t>
            </w:r>
            <w:r>
              <w:rPr>
                <w:rFonts w:cs="Arial"/>
                <w:szCs w:val="18"/>
              </w:rPr>
              <w:t xml:space="preserve"> (</w:t>
            </w:r>
            <w:r w:rsidRPr="003C2BEA">
              <w:rPr>
                <w:rFonts w:cs="Arial"/>
                <w:szCs w:val="18"/>
              </w:rPr>
              <w:t>-</w:t>
            </w:r>
            <w:r>
              <w:rPr>
                <w:rFonts w:cs="Arial"/>
                <w:szCs w:val="18"/>
              </w:rPr>
              <w:t>0.</w:t>
            </w:r>
            <w:r w:rsidRPr="003C2BEA">
              <w:rPr>
                <w:rFonts w:cs="Arial"/>
                <w:szCs w:val="18"/>
              </w:rPr>
              <w:t>1138</w:t>
            </w:r>
            <w:r>
              <w:rPr>
                <w:rFonts w:cs="Arial"/>
                <w:szCs w:val="18"/>
              </w:rPr>
              <w:t>, 0.</w:t>
            </w:r>
            <w:r w:rsidRPr="003C2BEA">
              <w:rPr>
                <w:rFonts w:cs="Arial"/>
                <w:szCs w:val="18"/>
              </w:rPr>
              <w:t>1391</w:t>
            </w:r>
            <w:r>
              <w:rPr>
                <w:rFonts w:cs="Arial"/>
                <w:szCs w:val="18"/>
              </w:rPr>
              <w:t>)</w:t>
            </w:r>
          </w:p>
        </w:tc>
      </w:tr>
      <w:tr w:rsidR="00F1705A" w:rsidRPr="009C32FC" w:rsidTr="00A1697C">
        <w:trPr>
          <w:trHeight w:val="68"/>
        </w:trPr>
        <w:tc>
          <w:tcPr>
            <w:tcW w:w="390" w:type="pct"/>
            <w:tcBorders>
              <w:left w:val="single" w:sz="4" w:space="0" w:color="auto"/>
              <w:right w:val="single" w:sz="4" w:space="0" w:color="auto"/>
            </w:tcBorders>
            <w:shd w:val="clear" w:color="auto" w:fill="auto"/>
            <w:vAlign w:val="center"/>
          </w:tcPr>
          <w:p w:rsidR="00F1705A" w:rsidRPr="003F7BB0" w:rsidRDefault="00F1705A" w:rsidP="00F1705A">
            <w:pPr>
              <w:pStyle w:val="TableText0"/>
              <w:keepNext w:val="0"/>
              <w:widowControl w:val="0"/>
              <w:spacing w:before="0" w:after="0"/>
              <w:rPr>
                <w:rFonts w:cs="Arial"/>
                <w:szCs w:val="18"/>
              </w:rPr>
            </w:pPr>
            <w:r>
              <w:rPr>
                <w:rFonts w:cs="Arial"/>
                <w:szCs w:val="18"/>
              </w:rPr>
              <w:t>4^^</w:t>
            </w:r>
          </w:p>
        </w:tc>
        <w:tc>
          <w:tcPr>
            <w:tcW w:w="786" w:type="pct"/>
            <w:tcBorders>
              <w:left w:val="single" w:sz="4" w:space="0" w:color="auto"/>
              <w:right w:val="single" w:sz="4" w:space="0" w:color="auto"/>
            </w:tcBorders>
            <w:shd w:val="clear" w:color="auto" w:fill="auto"/>
          </w:tcPr>
          <w:p w:rsidR="00F1705A" w:rsidRPr="003F7BB0" w:rsidRDefault="00F1705A" w:rsidP="00F1705A">
            <w:pPr>
              <w:pStyle w:val="TableText0"/>
              <w:keepNext w:val="0"/>
              <w:widowControl w:val="0"/>
              <w:spacing w:before="0" w:after="0"/>
              <w:rPr>
                <w:rFonts w:cs="Arial"/>
                <w:szCs w:val="18"/>
              </w:rPr>
            </w:pPr>
            <w:r>
              <w:rPr>
                <w:szCs w:val="20"/>
              </w:rPr>
              <w:t>Hib-MenC-</w:t>
            </w:r>
            <w:r w:rsidRPr="00652273">
              <w:rPr>
                <w:szCs w:val="20"/>
              </w:rPr>
              <w:t>020</w:t>
            </w:r>
          </w:p>
        </w:tc>
        <w:tc>
          <w:tcPr>
            <w:tcW w:w="865" w:type="pct"/>
            <w:tcBorders>
              <w:left w:val="single" w:sz="4" w:space="0" w:color="auto"/>
            </w:tcBorders>
            <w:shd w:val="clear" w:color="auto" w:fill="auto"/>
            <w:vAlign w:val="center"/>
          </w:tcPr>
          <w:p w:rsidR="00F1705A" w:rsidRPr="001B71AE" w:rsidRDefault="00F1705A" w:rsidP="00F1705A">
            <w:pPr>
              <w:pStyle w:val="TableText0"/>
              <w:keepNext w:val="0"/>
              <w:widowControl w:val="0"/>
              <w:spacing w:before="0" w:after="0"/>
              <w:rPr>
                <w:rFonts w:cs="Arial"/>
                <w:szCs w:val="18"/>
              </w:rPr>
            </w:pPr>
            <w:r>
              <w:rPr>
                <w:rFonts w:cs="Arial"/>
                <w:szCs w:val="18"/>
              </w:rPr>
              <w:t>26/208 (12.5)</w:t>
            </w:r>
          </w:p>
        </w:tc>
        <w:tc>
          <w:tcPr>
            <w:tcW w:w="943" w:type="pct"/>
            <w:shd w:val="clear" w:color="auto" w:fill="auto"/>
            <w:vAlign w:val="center"/>
          </w:tcPr>
          <w:p w:rsidR="00F1705A" w:rsidRPr="001B71AE" w:rsidRDefault="00F1705A" w:rsidP="00F1705A">
            <w:pPr>
              <w:pStyle w:val="TableText0"/>
              <w:keepNext w:val="0"/>
              <w:widowControl w:val="0"/>
              <w:spacing w:before="0" w:after="0"/>
              <w:rPr>
                <w:rFonts w:cs="Arial"/>
                <w:szCs w:val="18"/>
              </w:rPr>
            </w:pPr>
            <w:r>
              <w:rPr>
                <w:rFonts w:cs="Arial"/>
                <w:szCs w:val="18"/>
              </w:rPr>
              <w:t>9/73 (12.3)</w:t>
            </w:r>
          </w:p>
        </w:tc>
        <w:tc>
          <w:tcPr>
            <w:tcW w:w="865" w:type="pct"/>
            <w:shd w:val="clear" w:color="auto" w:fill="auto"/>
            <w:vAlign w:val="center"/>
          </w:tcPr>
          <w:p w:rsidR="00F1705A" w:rsidRPr="009C32FC" w:rsidRDefault="00F1705A" w:rsidP="00F1705A">
            <w:pPr>
              <w:pStyle w:val="TableText0"/>
              <w:keepNext w:val="0"/>
              <w:widowControl w:val="0"/>
              <w:spacing w:before="0" w:after="0"/>
              <w:rPr>
                <w:rFonts w:cs="Arial"/>
                <w:szCs w:val="18"/>
              </w:rPr>
            </w:pPr>
            <w:r w:rsidRPr="009C32FC">
              <w:rPr>
                <w:rFonts w:cs="Arial"/>
                <w:szCs w:val="18"/>
              </w:rPr>
              <w:t xml:space="preserve">1.01 </w:t>
            </w:r>
            <w:r>
              <w:rPr>
                <w:rFonts w:cs="Arial"/>
                <w:szCs w:val="18"/>
              </w:rPr>
              <w:t>(</w:t>
            </w:r>
            <w:r w:rsidRPr="009C32FC">
              <w:rPr>
                <w:rFonts w:cs="Arial"/>
                <w:szCs w:val="18"/>
              </w:rPr>
              <w:t>0.50, 2.06</w:t>
            </w:r>
            <w:r>
              <w:rPr>
                <w:rFonts w:cs="Arial"/>
                <w:szCs w:val="18"/>
              </w:rPr>
              <w:t>)</w:t>
            </w:r>
          </w:p>
        </w:tc>
        <w:tc>
          <w:tcPr>
            <w:tcW w:w="1151" w:type="pct"/>
            <w:shd w:val="clear" w:color="auto" w:fill="auto"/>
            <w:vAlign w:val="center"/>
          </w:tcPr>
          <w:p w:rsidR="00F1705A" w:rsidRPr="009C32FC" w:rsidRDefault="00F1705A" w:rsidP="00F1705A">
            <w:pPr>
              <w:pStyle w:val="TableText0"/>
              <w:keepNext w:val="0"/>
              <w:widowControl w:val="0"/>
              <w:spacing w:before="0" w:after="0"/>
              <w:rPr>
                <w:rFonts w:cs="Arial"/>
                <w:szCs w:val="18"/>
              </w:rPr>
            </w:pPr>
            <w:r w:rsidRPr="003C2BEA">
              <w:rPr>
                <w:rFonts w:cs="Arial"/>
                <w:szCs w:val="18"/>
              </w:rPr>
              <w:t>0.</w:t>
            </w:r>
            <w:r>
              <w:rPr>
                <w:rFonts w:cs="Arial"/>
                <w:szCs w:val="18"/>
              </w:rPr>
              <w:t>00</w:t>
            </w:r>
            <w:r w:rsidRPr="003C2BEA">
              <w:rPr>
                <w:rFonts w:cs="Arial"/>
                <w:szCs w:val="18"/>
              </w:rPr>
              <w:t>17</w:t>
            </w:r>
            <w:r>
              <w:rPr>
                <w:rFonts w:cs="Arial"/>
                <w:szCs w:val="18"/>
              </w:rPr>
              <w:t xml:space="preserve"> (</w:t>
            </w:r>
            <w:r w:rsidRPr="003C2BEA">
              <w:rPr>
                <w:rFonts w:cs="Arial"/>
                <w:szCs w:val="18"/>
              </w:rPr>
              <w:t>-</w:t>
            </w:r>
            <w:r>
              <w:rPr>
                <w:rFonts w:cs="Arial"/>
                <w:szCs w:val="18"/>
              </w:rPr>
              <w:t>0.0</w:t>
            </w:r>
            <w:r w:rsidRPr="003C2BEA">
              <w:rPr>
                <w:rFonts w:cs="Arial"/>
                <w:szCs w:val="18"/>
              </w:rPr>
              <w:t>861</w:t>
            </w:r>
            <w:r>
              <w:rPr>
                <w:rFonts w:cs="Arial"/>
                <w:szCs w:val="18"/>
              </w:rPr>
              <w:t>, 0.0</w:t>
            </w:r>
            <w:r w:rsidRPr="003C2BEA">
              <w:rPr>
                <w:rFonts w:cs="Arial"/>
                <w:szCs w:val="18"/>
              </w:rPr>
              <w:t>895</w:t>
            </w:r>
            <w:r>
              <w:rPr>
                <w:rFonts w:cs="Arial"/>
                <w:szCs w:val="18"/>
              </w:rPr>
              <w:t>)</w:t>
            </w:r>
          </w:p>
        </w:tc>
      </w:tr>
      <w:tr w:rsidR="00F1705A" w:rsidRPr="009C32FC" w:rsidTr="00A1697C">
        <w:trPr>
          <w:trHeight w:val="68"/>
        </w:trPr>
        <w:tc>
          <w:tcPr>
            <w:tcW w:w="390" w:type="pct"/>
            <w:tcBorders>
              <w:left w:val="single" w:sz="4" w:space="0" w:color="auto"/>
              <w:right w:val="single" w:sz="4" w:space="0" w:color="auto"/>
            </w:tcBorders>
            <w:shd w:val="clear" w:color="auto" w:fill="auto"/>
            <w:vAlign w:val="center"/>
          </w:tcPr>
          <w:p w:rsidR="00F1705A" w:rsidRPr="003F7BB0" w:rsidRDefault="00F1705A" w:rsidP="003D7466">
            <w:pPr>
              <w:pStyle w:val="TableText0"/>
              <w:keepNext w:val="0"/>
              <w:spacing w:before="0" w:after="0"/>
              <w:rPr>
                <w:rFonts w:cs="Arial"/>
                <w:szCs w:val="18"/>
              </w:rPr>
            </w:pPr>
            <w:r>
              <w:rPr>
                <w:rFonts w:cs="Arial"/>
                <w:szCs w:val="18"/>
              </w:rPr>
              <w:t>5^^</w:t>
            </w:r>
          </w:p>
        </w:tc>
        <w:tc>
          <w:tcPr>
            <w:tcW w:w="786" w:type="pct"/>
            <w:tcBorders>
              <w:left w:val="single" w:sz="4" w:space="0" w:color="auto"/>
              <w:right w:val="single" w:sz="4" w:space="0" w:color="auto"/>
            </w:tcBorders>
            <w:shd w:val="clear" w:color="auto" w:fill="auto"/>
            <w:vAlign w:val="center"/>
          </w:tcPr>
          <w:p w:rsidR="00F1705A" w:rsidRPr="003F7BB0" w:rsidRDefault="00F1705A" w:rsidP="003D7466">
            <w:pPr>
              <w:pStyle w:val="TableText0"/>
              <w:keepNext w:val="0"/>
              <w:spacing w:before="0" w:after="0"/>
              <w:rPr>
                <w:rFonts w:cs="Arial"/>
                <w:szCs w:val="18"/>
              </w:rPr>
            </w:pPr>
            <w:r>
              <w:rPr>
                <w:szCs w:val="20"/>
              </w:rPr>
              <w:t>Hib-MenC-</w:t>
            </w:r>
            <w:r w:rsidRPr="00652273">
              <w:rPr>
                <w:szCs w:val="20"/>
              </w:rPr>
              <w:t>020</w:t>
            </w:r>
          </w:p>
        </w:tc>
        <w:tc>
          <w:tcPr>
            <w:tcW w:w="865" w:type="pct"/>
            <w:tcBorders>
              <w:left w:val="single" w:sz="4" w:space="0" w:color="auto"/>
            </w:tcBorders>
            <w:shd w:val="clear" w:color="auto" w:fill="auto"/>
            <w:vAlign w:val="center"/>
          </w:tcPr>
          <w:p w:rsidR="00F1705A" w:rsidRPr="001B71AE" w:rsidRDefault="00F1705A" w:rsidP="003D7466">
            <w:pPr>
              <w:pStyle w:val="TableText0"/>
              <w:keepNext w:val="0"/>
              <w:spacing w:before="0" w:after="0"/>
              <w:rPr>
                <w:rFonts w:cs="Arial"/>
                <w:szCs w:val="18"/>
              </w:rPr>
            </w:pPr>
            <w:r>
              <w:rPr>
                <w:rFonts w:cs="Arial"/>
                <w:szCs w:val="18"/>
              </w:rPr>
              <w:t>37/195 (19.0)</w:t>
            </w:r>
          </w:p>
        </w:tc>
        <w:tc>
          <w:tcPr>
            <w:tcW w:w="943" w:type="pct"/>
            <w:shd w:val="clear" w:color="auto" w:fill="auto"/>
            <w:vAlign w:val="center"/>
          </w:tcPr>
          <w:p w:rsidR="00F1705A" w:rsidRPr="001B71AE" w:rsidRDefault="00F1705A" w:rsidP="003D7466">
            <w:pPr>
              <w:pStyle w:val="TableText0"/>
              <w:keepNext w:val="0"/>
              <w:spacing w:before="0" w:after="0"/>
              <w:rPr>
                <w:rFonts w:cs="Arial"/>
                <w:szCs w:val="18"/>
              </w:rPr>
            </w:pPr>
            <w:r>
              <w:rPr>
                <w:rFonts w:cs="Arial"/>
                <w:szCs w:val="18"/>
              </w:rPr>
              <w:t>17/68 (25.0)</w:t>
            </w:r>
          </w:p>
        </w:tc>
        <w:tc>
          <w:tcPr>
            <w:tcW w:w="865" w:type="pct"/>
            <w:shd w:val="clear" w:color="auto" w:fill="auto"/>
            <w:vAlign w:val="center"/>
          </w:tcPr>
          <w:p w:rsidR="00F1705A" w:rsidRPr="009C32FC" w:rsidRDefault="00F1705A" w:rsidP="003D7466">
            <w:pPr>
              <w:pStyle w:val="TableText0"/>
              <w:keepNext w:val="0"/>
              <w:spacing w:before="0" w:after="0"/>
              <w:rPr>
                <w:rFonts w:cs="Arial"/>
                <w:szCs w:val="18"/>
              </w:rPr>
            </w:pPr>
            <w:r w:rsidRPr="009C32FC">
              <w:rPr>
                <w:rFonts w:cs="Arial"/>
                <w:szCs w:val="18"/>
              </w:rPr>
              <w:t xml:space="preserve">0.76 </w:t>
            </w:r>
            <w:r>
              <w:rPr>
                <w:rFonts w:cs="Arial"/>
                <w:szCs w:val="18"/>
              </w:rPr>
              <w:t>(</w:t>
            </w:r>
            <w:r w:rsidRPr="009C32FC">
              <w:rPr>
                <w:rFonts w:cs="Arial"/>
                <w:szCs w:val="18"/>
              </w:rPr>
              <w:t>0.46, 1.26</w:t>
            </w:r>
            <w:r>
              <w:rPr>
                <w:rFonts w:cs="Arial"/>
                <w:szCs w:val="18"/>
              </w:rPr>
              <w:t>)</w:t>
            </w:r>
          </w:p>
        </w:tc>
        <w:tc>
          <w:tcPr>
            <w:tcW w:w="1151" w:type="pct"/>
            <w:shd w:val="clear" w:color="auto" w:fill="auto"/>
            <w:vAlign w:val="center"/>
          </w:tcPr>
          <w:p w:rsidR="00F1705A" w:rsidRPr="009C32FC" w:rsidRDefault="00F1705A" w:rsidP="00F1705A">
            <w:pPr>
              <w:pStyle w:val="TableText0"/>
              <w:keepNext w:val="0"/>
              <w:spacing w:before="0" w:after="0"/>
              <w:rPr>
                <w:rFonts w:cs="Arial"/>
                <w:szCs w:val="18"/>
              </w:rPr>
            </w:pPr>
            <w:r w:rsidRPr="003C2BEA">
              <w:rPr>
                <w:rFonts w:cs="Arial"/>
                <w:szCs w:val="18"/>
              </w:rPr>
              <w:t>-</w:t>
            </w:r>
            <w:r>
              <w:rPr>
                <w:rFonts w:cs="Arial"/>
                <w:szCs w:val="18"/>
              </w:rPr>
              <w:t>0.0</w:t>
            </w:r>
            <w:r w:rsidRPr="003C2BEA">
              <w:rPr>
                <w:rFonts w:cs="Arial"/>
                <w:szCs w:val="18"/>
              </w:rPr>
              <w:t>603</w:t>
            </w:r>
            <w:r>
              <w:rPr>
                <w:rFonts w:cs="Arial"/>
                <w:szCs w:val="18"/>
              </w:rPr>
              <w:t xml:space="preserve"> (</w:t>
            </w:r>
            <w:r w:rsidRPr="003C2BEA">
              <w:rPr>
                <w:rFonts w:cs="Arial"/>
                <w:szCs w:val="18"/>
              </w:rPr>
              <w:t>-</w:t>
            </w:r>
            <w:r>
              <w:rPr>
                <w:rFonts w:cs="Arial"/>
                <w:szCs w:val="18"/>
              </w:rPr>
              <w:t>0.</w:t>
            </w:r>
            <w:r w:rsidRPr="003C2BEA">
              <w:rPr>
                <w:rFonts w:cs="Arial"/>
                <w:szCs w:val="18"/>
              </w:rPr>
              <w:t>1770</w:t>
            </w:r>
            <w:r>
              <w:rPr>
                <w:rFonts w:cs="Arial"/>
                <w:szCs w:val="18"/>
              </w:rPr>
              <w:t>, 0.0</w:t>
            </w:r>
            <w:r w:rsidRPr="003C2BEA">
              <w:rPr>
                <w:rFonts w:cs="Arial"/>
                <w:szCs w:val="18"/>
              </w:rPr>
              <w:t>565</w:t>
            </w:r>
            <w:r>
              <w:rPr>
                <w:rFonts w:cs="Arial"/>
                <w:szCs w:val="18"/>
              </w:rPr>
              <w:t>)</w:t>
            </w:r>
          </w:p>
        </w:tc>
      </w:tr>
    </w:tbl>
    <w:p w:rsidR="00337E78" w:rsidRDefault="00FC3536" w:rsidP="00337E78">
      <w:pPr>
        <w:pStyle w:val="TableNotes0"/>
        <w:ind w:left="0"/>
      </w:pPr>
      <w:r w:rsidRPr="00AB2F97">
        <w:t xml:space="preserve"> </w:t>
      </w:r>
      <w:r w:rsidR="00337E78" w:rsidRPr="00AB2F97">
        <w:t>CI</w:t>
      </w:r>
      <w:r w:rsidR="00337E78">
        <w:t>:</w:t>
      </w:r>
      <w:r w:rsidR="00337E78" w:rsidRPr="00AB2F97">
        <w:t xml:space="preserve"> confidence interval; </w:t>
      </w:r>
      <w:r>
        <w:t>Hib: monovalent haemophilus influenza type B vaccine; Hib-</w:t>
      </w:r>
      <w:proofErr w:type="spellStart"/>
      <w:r>
        <w:t>MenC</w:t>
      </w:r>
      <w:proofErr w:type="spellEnd"/>
      <w:r>
        <w:t xml:space="preserve">: haemophilus influenza type B &amp; meningococcal C vaccine; </w:t>
      </w:r>
      <w:proofErr w:type="spellStart"/>
      <w:r>
        <w:t>MenC</w:t>
      </w:r>
      <w:proofErr w:type="spellEnd"/>
      <w:r>
        <w:t xml:space="preserve">: monovalent meningococcal C vaccine; MMR: measles, mumps &amp; rubella vaccine; </w:t>
      </w:r>
      <w:proofErr w:type="spellStart"/>
      <w:r w:rsidR="00337E78">
        <w:t>MenACWY</w:t>
      </w:r>
      <w:proofErr w:type="spellEnd"/>
      <w:r w:rsidR="00337E78">
        <w:t xml:space="preserve">-TT: Meningococcal serogroups ACWY tetanus toxoid vaccine; </w:t>
      </w:r>
      <w:proofErr w:type="spellStart"/>
      <w:r w:rsidR="00337E78">
        <w:t>MenC</w:t>
      </w:r>
      <w:proofErr w:type="spellEnd"/>
      <w:r w:rsidR="00337E78">
        <w:t xml:space="preserve">: monovalent meningococcal C vaccine; </w:t>
      </w:r>
      <w:r w:rsidR="00337E78" w:rsidRPr="00AB2F97">
        <w:t>n</w:t>
      </w:r>
      <w:r w:rsidR="00337E78">
        <w:t>:</w:t>
      </w:r>
      <w:r w:rsidR="00337E78" w:rsidRPr="00AB2F97">
        <w:t xml:space="preserve"> number of participants with event; N</w:t>
      </w:r>
      <w:r w:rsidR="00337E78">
        <w:t>:</w:t>
      </w:r>
      <w:r w:rsidR="00337E78" w:rsidRPr="00AB2F97">
        <w:t xml:space="preserve"> total participants in group</w:t>
      </w:r>
    </w:p>
    <w:p w:rsidR="00337E78" w:rsidRDefault="00337E78" w:rsidP="00337E78">
      <w:pPr>
        <w:pStyle w:val="TableNotes0"/>
        <w:keepNext w:val="0"/>
        <w:keepLines w:val="0"/>
        <w:widowControl w:val="0"/>
        <w:ind w:left="0"/>
      </w:pPr>
      <w:r>
        <w:t># Month 15</w:t>
      </w:r>
    </w:p>
    <w:p w:rsidR="00337E78" w:rsidRDefault="00337E78" w:rsidP="00337E78">
      <w:pPr>
        <w:pStyle w:val="TableNotes0"/>
        <w:keepNext w:val="0"/>
        <w:keepLines w:val="0"/>
        <w:widowControl w:val="0"/>
        <w:ind w:left="0"/>
      </w:pPr>
      <w:r>
        <w:t xml:space="preserve">^ Serological assays for Year 5 data in Study 032 were performed at the Health Protection Agency (HPA) in the United Kingdom where titres were expressed </w:t>
      </w:r>
      <w:r w:rsidRPr="00FD6079">
        <w:t>as the reciprocal of the</w:t>
      </w:r>
      <w:r w:rsidRPr="00411717">
        <w:t xml:space="preserve"> last </w:t>
      </w:r>
      <w:r w:rsidRPr="00FD6079">
        <w:t xml:space="preserve">dilution resulting in </w:t>
      </w:r>
      <w:r w:rsidRPr="00411717">
        <w:t xml:space="preserve">at least </w:t>
      </w:r>
      <w:r w:rsidRPr="00FD6079">
        <w:t>50% inhibition</w:t>
      </w:r>
      <w:r>
        <w:t xml:space="preserve"> (rather than GSK Biologicals’ central laboratory where titres were expressed as the reciprocal of the dilution resulting in 50% inhibition).</w:t>
      </w:r>
    </w:p>
    <w:p w:rsidR="00FC3536" w:rsidRDefault="00FC3536" w:rsidP="00FC3536">
      <w:pPr>
        <w:pStyle w:val="TableNotes0"/>
        <w:keepNext w:val="0"/>
        <w:keepLines w:val="0"/>
        <w:widowControl w:val="0"/>
        <w:ind w:left="0"/>
      </w:pPr>
      <w:r>
        <w:t xml:space="preserve">^^ Serological assays for Year 4 and Year 5 data in Study 016 were performed at Public Health England (PHE) where titres were expressed </w:t>
      </w:r>
      <w:r w:rsidRPr="00FD6079">
        <w:t>as the reciprocal of the</w:t>
      </w:r>
      <w:r w:rsidRPr="0017609C">
        <w:t xml:space="preserve"> last </w:t>
      </w:r>
      <w:r w:rsidRPr="00FD6079">
        <w:t xml:space="preserve">dilution resulting in </w:t>
      </w:r>
      <w:r w:rsidRPr="0017609C">
        <w:t xml:space="preserve">at least </w:t>
      </w:r>
      <w:r w:rsidRPr="00FD6079">
        <w:t>50% inhibition</w:t>
      </w:r>
      <w:r>
        <w:t xml:space="preserve"> (rather than GSK Biologicals’ central laboratory where titres were expressed as the reciprocal of the dilution resulting in 50% inhibition).</w:t>
      </w:r>
    </w:p>
    <w:p w:rsidR="00337E78" w:rsidRDefault="00337E78" w:rsidP="00337E78">
      <w:pPr>
        <w:pStyle w:val="TableNotes0"/>
        <w:keepNext w:val="0"/>
        <w:keepLines w:val="0"/>
        <w:widowControl w:val="0"/>
        <w:ind w:left="0"/>
      </w:pPr>
      <w:r>
        <w:t>* P &lt; 0.05</w:t>
      </w:r>
    </w:p>
    <w:p w:rsidR="00337E78" w:rsidRDefault="00337E78" w:rsidP="00337E78">
      <w:pPr>
        <w:pStyle w:val="TableNotes0"/>
        <w:keepNext w:val="0"/>
        <w:keepLines w:val="0"/>
        <w:widowControl w:val="0"/>
        <w:ind w:left="0"/>
      </w:pPr>
      <w:r>
        <w:t xml:space="preserve">Source: Table 2.5.9, p82 </w:t>
      </w:r>
      <w:r w:rsidR="00FC3536">
        <w:t xml:space="preserve">and Table 2.5-12, p85 </w:t>
      </w:r>
      <w:r>
        <w:t>of the submission</w:t>
      </w:r>
    </w:p>
    <w:p w:rsidR="00AA7A64" w:rsidRPr="00AA7A64" w:rsidRDefault="00337E78" w:rsidP="003D7466">
      <w:pPr>
        <w:pStyle w:val="ListParagraph"/>
        <w:widowControl/>
        <w:numPr>
          <w:ilvl w:val="1"/>
          <w:numId w:val="1"/>
        </w:numPr>
        <w:rPr>
          <w:rFonts w:cs="Calibri"/>
          <w:snapToGrid/>
          <w:szCs w:val="24"/>
          <w:lang w:val="en-US" w:eastAsia="en-AU"/>
        </w:rPr>
      </w:pPr>
      <w:r w:rsidRPr="00AA7A64">
        <w:rPr>
          <w:rFonts w:cs="Calibri"/>
          <w:snapToGrid/>
          <w:szCs w:val="24"/>
          <w:lang w:val="en-US" w:eastAsia="en-AU"/>
        </w:rPr>
        <w:lastRenderedPageBreak/>
        <w:t xml:space="preserve">The proportion of subjects with </w:t>
      </w:r>
      <w:proofErr w:type="spellStart"/>
      <w:r w:rsidRPr="00AA7A64">
        <w:rPr>
          <w:rFonts w:cs="Calibri"/>
          <w:snapToGrid/>
          <w:szCs w:val="24"/>
          <w:lang w:val="en-US" w:eastAsia="en-AU"/>
        </w:rPr>
        <w:t>rSBA</w:t>
      </w:r>
      <w:proofErr w:type="spellEnd"/>
      <w:r w:rsidRPr="00AA7A64">
        <w:rPr>
          <w:rFonts w:cs="Calibri"/>
          <w:snapToGrid/>
          <w:szCs w:val="24"/>
          <w:lang w:val="en-US" w:eastAsia="en-AU"/>
        </w:rPr>
        <w:t xml:space="preserve"> antibody </w:t>
      </w:r>
      <w:proofErr w:type="spellStart"/>
      <w:r w:rsidRPr="00AA7A64">
        <w:rPr>
          <w:rFonts w:cs="Calibri"/>
          <w:snapToGrid/>
          <w:szCs w:val="24"/>
          <w:lang w:val="en-US" w:eastAsia="en-AU"/>
        </w:rPr>
        <w:t>titres</w:t>
      </w:r>
      <w:proofErr w:type="spellEnd"/>
      <w:r w:rsidRPr="00AA7A64">
        <w:rPr>
          <w:rFonts w:cs="Calibri"/>
          <w:snapToGrid/>
          <w:szCs w:val="24"/>
          <w:lang w:val="en-US" w:eastAsia="en-AU"/>
        </w:rPr>
        <w:t xml:space="preserve"> ≥ 1:8 for Years 1 to 5 were higher for each of the four meningococcal serogroups </w:t>
      </w:r>
      <w:r w:rsidR="00AA7A64" w:rsidRPr="00AA7A64">
        <w:rPr>
          <w:rFonts w:cs="Calibri"/>
          <w:snapToGrid/>
          <w:szCs w:val="24"/>
          <w:lang w:val="en-US" w:eastAsia="en-AU"/>
        </w:rPr>
        <w:t>with</w:t>
      </w:r>
      <w:r w:rsidRPr="00AA7A64">
        <w:rPr>
          <w:rFonts w:cs="Calibri"/>
          <w:snapToGrid/>
          <w:szCs w:val="24"/>
          <w:lang w:val="en-US" w:eastAsia="en-AU"/>
        </w:rPr>
        <w:t xml:space="preserve"> the </w:t>
      </w:r>
      <w:proofErr w:type="spellStart"/>
      <w:r w:rsidRPr="00AA7A64">
        <w:rPr>
          <w:rFonts w:cs="Calibri"/>
          <w:snapToGrid/>
          <w:szCs w:val="24"/>
          <w:lang w:val="en-US" w:eastAsia="en-AU"/>
        </w:rPr>
        <w:t>MenACWY</w:t>
      </w:r>
      <w:proofErr w:type="spellEnd"/>
      <w:r w:rsidRPr="00AA7A64">
        <w:rPr>
          <w:rFonts w:cs="Calibri"/>
          <w:snapToGrid/>
          <w:szCs w:val="24"/>
          <w:lang w:val="en-US" w:eastAsia="en-AU"/>
        </w:rPr>
        <w:t xml:space="preserve">-TT </w:t>
      </w:r>
      <w:r w:rsidR="00AA7A64" w:rsidRPr="00AA7A64">
        <w:rPr>
          <w:rFonts w:cs="Calibri"/>
          <w:snapToGrid/>
          <w:szCs w:val="24"/>
          <w:lang w:val="en-US" w:eastAsia="en-AU"/>
        </w:rPr>
        <w:t>vaccine</w:t>
      </w:r>
      <w:r w:rsidRPr="00AA7A64">
        <w:rPr>
          <w:rFonts w:cs="Calibri"/>
          <w:snapToGrid/>
          <w:szCs w:val="24"/>
          <w:lang w:val="en-US" w:eastAsia="en-AU"/>
        </w:rPr>
        <w:t xml:space="preserve"> compared to the </w:t>
      </w:r>
      <w:proofErr w:type="spellStart"/>
      <w:r w:rsidRPr="00AA7A64">
        <w:rPr>
          <w:rFonts w:cs="Calibri"/>
          <w:snapToGrid/>
          <w:szCs w:val="24"/>
          <w:lang w:val="en-US" w:eastAsia="en-AU"/>
        </w:rPr>
        <w:t>M</w:t>
      </w:r>
      <w:r w:rsidR="00AA7A64" w:rsidRPr="00AA7A64">
        <w:rPr>
          <w:rFonts w:cs="Calibri"/>
          <w:snapToGrid/>
          <w:szCs w:val="24"/>
          <w:lang w:val="en-US" w:eastAsia="en-AU"/>
        </w:rPr>
        <w:t>enC</w:t>
      </w:r>
      <w:proofErr w:type="spellEnd"/>
      <w:r w:rsidR="00AA7A64" w:rsidRPr="00AA7A64">
        <w:rPr>
          <w:rFonts w:cs="Calibri"/>
          <w:snapToGrid/>
          <w:szCs w:val="24"/>
          <w:lang w:val="en-US" w:eastAsia="en-AU"/>
        </w:rPr>
        <w:t xml:space="preserve"> vaccine (p79 of the submission). </w:t>
      </w:r>
      <w:r w:rsidRPr="00AA7A64">
        <w:rPr>
          <w:rFonts w:cs="Calibri"/>
          <w:snapToGrid/>
          <w:szCs w:val="24"/>
          <w:lang w:val="en-US" w:eastAsia="en-AU"/>
        </w:rPr>
        <w:t xml:space="preserve">For each of the serogroups, the proportion of subjects with </w:t>
      </w:r>
      <w:proofErr w:type="spellStart"/>
      <w:r w:rsidRPr="00AA7A64">
        <w:rPr>
          <w:rFonts w:cs="Calibri"/>
          <w:snapToGrid/>
          <w:szCs w:val="24"/>
          <w:lang w:val="en-US" w:eastAsia="en-AU"/>
        </w:rPr>
        <w:t>rSBA</w:t>
      </w:r>
      <w:proofErr w:type="spellEnd"/>
      <w:r w:rsidRPr="00AA7A64">
        <w:rPr>
          <w:rFonts w:cs="Calibri"/>
          <w:snapToGrid/>
          <w:szCs w:val="24"/>
          <w:lang w:val="en-US" w:eastAsia="en-AU"/>
        </w:rPr>
        <w:t xml:space="preserve"> antibody </w:t>
      </w:r>
      <w:proofErr w:type="spellStart"/>
      <w:r w:rsidRPr="00AA7A64">
        <w:rPr>
          <w:rFonts w:cs="Calibri"/>
          <w:snapToGrid/>
          <w:szCs w:val="24"/>
          <w:lang w:val="en-US" w:eastAsia="en-AU"/>
        </w:rPr>
        <w:t>titres</w:t>
      </w:r>
      <w:proofErr w:type="spellEnd"/>
      <w:r w:rsidRPr="00AA7A64">
        <w:rPr>
          <w:rFonts w:cs="Calibri"/>
          <w:snapToGrid/>
          <w:szCs w:val="24"/>
          <w:lang w:val="en-US" w:eastAsia="en-AU"/>
        </w:rPr>
        <w:t xml:space="preserve"> ≥ 1:8 in the </w:t>
      </w:r>
      <w:proofErr w:type="spellStart"/>
      <w:r w:rsidRPr="00AA7A64">
        <w:rPr>
          <w:rFonts w:cs="Calibri"/>
          <w:snapToGrid/>
          <w:szCs w:val="24"/>
          <w:lang w:val="en-US" w:eastAsia="en-AU"/>
        </w:rPr>
        <w:t>MenACWY</w:t>
      </w:r>
      <w:proofErr w:type="spellEnd"/>
      <w:r w:rsidRPr="00AA7A64">
        <w:rPr>
          <w:rFonts w:cs="Calibri"/>
          <w:snapToGrid/>
          <w:szCs w:val="24"/>
          <w:lang w:val="en-US" w:eastAsia="en-AU"/>
        </w:rPr>
        <w:t xml:space="preserve">-TT arm remained relatively stable over Years 1 to 4, while the proportion of subjects with </w:t>
      </w:r>
      <w:proofErr w:type="spellStart"/>
      <w:r w:rsidRPr="00AA7A64">
        <w:rPr>
          <w:rFonts w:cs="Calibri"/>
          <w:snapToGrid/>
          <w:szCs w:val="24"/>
          <w:lang w:val="en-US" w:eastAsia="en-AU"/>
        </w:rPr>
        <w:t>rSBA</w:t>
      </w:r>
      <w:proofErr w:type="spellEnd"/>
      <w:r w:rsidRPr="00AA7A64">
        <w:rPr>
          <w:rFonts w:cs="Calibri"/>
          <w:snapToGrid/>
          <w:szCs w:val="24"/>
          <w:lang w:val="en-US" w:eastAsia="en-AU"/>
        </w:rPr>
        <w:t xml:space="preserve"> antibody </w:t>
      </w:r>
      <w:proofErr w:type="spellStart"/>
      <w:r w:rsidRPr="00AA7A64">
        <w:rPr>
          <w:rFonts w:cs="Calibri"/>
          <w:snapToGrid/>
          <w:szCs w:val="24"/>
          <w:lang w:val="en-US" w:eastAsia="en-AU"/>
        </w:rPr>
        <w:t>titres</w:t>
      </w:r>
      <w:proofErr w:type="spellEnd"/>
      <w:r w:rsidRPr="00AA7A64">
        <w:rPr>
          <w:rFonts w:cs="Calibri"/>
          <w:snapToGrid/>
          <w:szCs w:val="24"/>
          <w:lang w:val="en-US" w:eastAsia="en-AU"/>
        </w:rPr>
        <w:t xml:space="preserve"> ≥ 1:8 in the </w:t>
      </w:r>
      <w:proofErr w:type="spellStart"/>
      <w:r w:rsidRPr="00AA7A64">
        <w:rPr>
          <w:rFonts w:cs="Calibri"/>
          <w:snapToGrid/>
          <w:szCs w:val="24"/>
          <w:lang w:val="en-US" w:eastAsia="en-AU"/>
        </w:rPr>
        <w:t>MenC</w:t>
      </w:r>
      <w:proofErr w:type="spellEnd"/>
      <w:r w:rsidRPr="00AA7A64">
        <w:rPr>
          <w:rFonts w:cs="Calibri"/>
          <w:snapToGrid/>
          <w:szCs w:val="24"/>
          <w:lang w:val="en-US" w:eastAsia="en-AU"/>
        </w:rPr>
        <w:t xml:space="preserve"> arm increased (p79 of the submission).</w:t>
      </w:r>
      <w:r w:rsidR="00AA7A64" w:rsidRPr="00646CBD">
        <w:rPr>
          <w:rFonts w:cs="Calibri"/>
          <w:snapToGrid/>
          <w:szCs w:val="24"/>
          <w:lang w:val="en-US" w:eastAsia="en-AU"/>
        </w:rPr>
        <w:t xml:space="preserve"> The high rate of withdrawal may bias these results.</w:t>
      </w:r>
    </w:p>
    <w:p w:rsidR="00337E78" w:rsidRPr="00646CBD" w:rsidRDefault="00337E78" w:rsidP="00337E78">
      <w:pPr>
        <w:pStyle w:val="ListParagraph"/>
        <w:widowControl/>
        <w:numPr>
          <w:ilvl w:val="1"/>
          <w:numId w:val="1"/>
        </w:numPr>
        <w:rPr>
          <w:rFonts w:cs="Calibri"/>
          <w:snapToGrid/>
          <w:szCs w:val="24"/>
          <w:lang w:val="en-US" w:eastAsia="en-AU"/>
        </w:rPr>
      </w:pPr>
      <w:r w:rsidRPr="00646CBD">
        <w:rPr>
          <w:rFonts w:cs="Calibri"/>
          <w:snapToGrid/>
          <w:szCs w:val="24"/>
          <w:lang w:val="en-US" w:eastAsia="en-AU"/>
        </w:rPr>
        <w:t xml:space="preserve">The proportion of subjects with </w:t>
      </w:r>
      <w:proofErr w:type="spellStart"/>
      <w:r w:rsidRPr="00646CBD">
        <w:rPr>
          <w:rFonts w:cs="Calibri"/>
          <w:snapToGrid/>
          <w:szCs w:val="24"/>
          <w:lang w:val="en-US" w:eastAsia="en-AU"/>
        </w:rPr>
        <w:t>rSBA-MenC</w:t>
      </w:r>
      <w:proofErr w:type="spellEnd"/>
      <w:r w:rsidRPr="00646CBD">
        <w:rPr>
          <w:rFonts w:cs="Calibri"/>
          <w:snapToGrid/>
          <w:szCs w:val="24"/>
          <w:lang w:val="en-US" w:eastAsia="en-AU"/>
        </w:rPr>
        <w:t xml:space="preserve"> </w:t>
      </w:r>
      <w:proofErr w:type="spellStart"/>
      <w:r w:rsidRPr="00646CBD">
        <w:rPr>
          <w:rFonts w:cs="Calibri"/>
          <w:snapToGrid/>
          <w:szCs w:val="24"/>
          <w:lang w:val="en-US" w:eastAsia="en-AU"/>
        </w:rPr>
        <w:t>titres</w:t>
      </w:r>
      <w:proofErr w:type="spellEnd"/>
      <w:r w:rsidRPr="00646CBD">
        <w:rPr>
          <w:rFonts w:cs="Calibri"/>
          <w:snapToGrid/>
          <w:szCs w:val="24"/>
          <w:lang w:val="en-US" w:eastAsia="en-AU"/>
        </w:rPr>
        <w:t xml:space="preserve"> ≥ 1:8 was higher </w:t>
      </w:r>
      <w:r w:rsidR="00AA7A64" w:rsidRPr="00646CBD">
        <w:rPr>
          <w:rFonts w:cs="Calibri"/>
          <w:snapToGrid/>
          <w:szCs w:val="24"/>
          <w:lang w:val="en-US" w:eastAsia="en-AU"/>
        </w:rPr>
        <w:t>with</w:t>
      </w:r>
      <w:r w:rsidRPr="00646CBD">
        <w:rPr>
          <w:rFonts w:cs="Calibri"/>
          <w:snapToGrid/>
          <w:szCs w:val="24"/>
          <w:lang w:val="en-US" w:eastAsia="en-AU"/>
        </w:rPr>
        <w:t xml:space="preserve"> the Hib-</w:t>
      </w:r>
      <w:proofErr w:type="spellStart"/>
      <w:r w:rsidRPr="00646CBD">
        <w:rPr>
          <w:rFonts w:cs="Calibri"/>
          <w:snapToGrid/>
          <w:szCs w:val="24"/>
          <w:lang w:val="en-US" w:eastAsia="en-AU"/>
        </w:rPr>
        <w:t>MenC</w:t>
      </w:r>
      <w:proofErr w:type="spellEnd"/>
      <w:r w:rsidRPr="00646CBD">
        <w:rPr>
          <w:rFonts w:cs="Calibri"/>
          <w:snapToGrid/>
          <w:szCs w:val="24"/>
          <w:lang w:val="en-US" w:eastAsia="en-AU"/>
        </w:rPr>
        <w:t xml:space="preserve"> + MMR arm compared with the </w:t>
      </w:r>
      <w:proofErr w:type="spellStart"/>
      <w:r w:rsidRPr="00646CBD">
        <w:rPr>
          <w:rFonts w:cs="Calibri"/>
          <w:snapToGrid/>
          <w:szCs w:val="24"/>
          <w:lang w:val="en-US" w:eastAsia="en-AU"/>
        </w:rPr>
        <w:t>MenC</w:t>
      </w:r>
      <w:proofErr w:type="spellEnd"/>
      <w:r w:rsidRPr="00646CBD">
        <w:rPr>
          <w:rFonts w:cs="Calibri"/>
          <w:snapToGrid/>
          <w:szCs w:val="24"/>
          <w:lang w:val="en-US" w:eastAsia="en-AU"/>
        </w:rPr>
        <w:t xml:space="preserve"> + Hib + MMR arm for Year 1 to Year 4. The proportion of subjects with </w:t>
      </w:r>
      <w:proofErr w:type="spellStart"/>
      <w:r w:rsidRPr="00646CBD">
        <w:rPr>
          <w:rFonts w:cs="Calibri"/>
          <w:snapToGrid/>
          <w:szCs w:val="24"/>
          <w:lang w:val="en-US" w:eastAsia="en-AU"/>
        </w:rPr>
        <w:t>rSBA-MenC</w:t>
      </w:r>
      <w:proofErr w:type="spellEnd"/>
      <w:r w:rsidRPr="00646CBD">
        <w:rPr>
          <w:rFonts w:cs="Calibri"/>
          <w:snapToGrid/>
          <w:szCs w:val="24"/>
          <w:lang w:val="en-US" w:eastAsia="en-AU"/>
        </w:rPr>
        <w:t xml:space="preserve"> </w:t>
      </w:r>
      <w:proofErr w:type="spellStart"/>
      <w:r w:rsidRPr="00646CBD">
        <w:rPr>
          <w:rFonts w:cs="Calibri"/>
          <w:snapToGrid/>
          <w:szCs w:val="24"/>
          <w:lang w:val="en-US" w:eastAsia="en-AU"/>
        </w:rPr>
        <w:t>titres</w:t>
      </w:r>
      <w:proofErr w:type="spellEnd"/>
      <w:r w:rsidRPr="00646CBD">
        <w:rPr>
          <w:rFonts w:cs="Calibri"/>
          <w:snapToGrid/>
          <w:szCs w:val="24"/>
          <w:lang w:val="en-US" w:eastAsia="en-AU"/>
        </w:rPr>
        <w:t xml:space="preserve"> ≥ 1:8 declined over time in both arms (p85 of the submission). </w:t>
      </w:r>
      <w:r w:rsidR="00AA7A64" w:rsidRPr="00646CBD">
        <w:rPr>
          <w:rFonts w:cs="Calibri"/>
          <w:snapToGrid/>
          <w:szCs w:val="24"/>
          <w:lang w:val="en-US" w:eastAsia="en-AU"/>
        </w:rPr>
        <w:t>T</w:t>
      </w:r>
      <w:r w:rsidRPr="00646CBD">
        <w:rPr>
          <w:rFonts w:cs="Calibri"/>
          <w:snapToGrid/>
          <w:szCs w:val="24"/>
          <w:lang w:val="en-US" w:eastAsia="en-AU"/>
        </w:rPr>
        <w:t xml:space="preserve">he concomitant administration of the Hib and MMR vaccines may, but is unlikely to, affect the immunogenicity results against </w:t>
      </w:r>
      <w:proofErr w:type="spellStart"/>
      <w:r w:rsidRPr="00646CBD">
        <w:rPr>
          <w:rFonts w:cs="Calibri"/>
          <w:snapToGrid/>
          <w:szCs w:val="24"/>
          <w:lang w:val="en-US" w:eastAsia="en-AU"/>
        </w:rPr>
        <w:t>MenC</w:t>
      </w:r>
      <w:proofErr w:type="spellEnd"/>
      <w:r w:rsidRPr="00646CBD">
        <w:rPr>
          <w:rFonts w:cs="Calibri"/>
          <w:snapToGrid/>
          <w:szCs w:val="24"/>
          <w:lang w:val="en-US" w:eastAsia="en-AU"/>
        </w:rPr>
        <w:t>.</w:t>
      </w:r>
    </w:p>
    <w:p w:rsidR="002F02B8" w:rsidRPr="004D4904" w:rsidRDefault="002F02B8" w:rsidP="00AA7A64">
      <w:pPr>
        <w:pStyle w:val="ListParagraph"/>
        <w:widowControl/>
        <w:numPr>
          <w:ilvl w:val="1"/>
          <w:numId w:val="1"/>
        </w:numPr>
      </w:pPr>
      <w:r w:rsidRPr="004D4904">
        <w:rPr>
          <w:rFonts w:cs="Calibri"/>
          <w:snapToGrid/>
          <w:szCs w:val="24"/>
          <w:lang w:val="en-US" w:eastAsia="en-AU"/>
        </w:rPr>
        <w:t xml:space="preserve">Table </w:t>
      </w:r>
      <w:r w:rsidR="00057ED6">
        <w:rPr>
          <w:rFonts w:cs="Calibri"/>
          <w:snapToGrid/>
          <w:szCs w:val="24"/>
          <w:lang w:val="en-US" w:eastAsia="en-AU"/>
        </w:rPr>
        <w:t>5</w:t>
      </w:r>
      <w:r w:rsidRPr="004D4904">
        <w:rPr>
          <w:rFonts w:cs="Calibri"/>
          <w:snapToGrid/>
          <w:szCs w:val="24"/>
          <w:lang w:val="en-US" w:eastAsia="en-AU"/>
        </w:rPr>
        <w:t xml:space="preserve"> presents the results of the </w:t>
      </w:r>
      <w:r w:rsidR="00AA7A64" w:rsidRPr="004D4904">
        <w:rPr>
          <w:rFonts w:cs="Calibri"/>
          <w:snapToGrid/>
          <w:szCs w:val="24"/>
          <w:lang w:val="en-US" w:eastAsia="en-AU"/>
        </w:rPr>
        <w:t xml:space="preserve">key </w:t>
      </w:r>
      <w:r w:rsidRPr="004D4904">
        <w:rPr>
          <w:rFonts w:cs="Calibri"/>
          <w:snapToGrid/>
          <w:szCs w:val="24"/>
          <w:lang w:val="en-US" w:eastAsia="en-AU"/>
        </w:rPr>
        <w:t>indirect comparison conducted by the submission.</w:t>
      </w:r>
    </w:p>
    <w:p w:rsidR="004D4904" w:rsidRPr="00C969DA" w:rsidRDefault="004D4904" w:rsidP="004D4904">
      <w:pPr>
        <w:keepNext/>
        <w:keepLines/>
        <w:rPr>
          <w:rStyle w:val="CommentReference"/>
        </w:rPr>
      </w:pPr>
      <w:r w:rsidRPr="004D4904">
        <w:rPr>
          <w:rStyle w:val="CommentReference"/>
        </w:rPr>
        <w:t xml:space="preserve">Table </w:t>
      </w:r>
      <w:r w:rsidR="00057ED6">
        <w:rPr>
          <w:rStyle w:val="CommentReference"/>
        </w:rPr>
        <w:t>5</w:t>
      </w:r>
      <w:r w:rsidRPr="004D4904">
        <w:rPr>
          <w:rStyle w:val="CommentReference"/>
        </w:rPr>
        <w:t xml:space="preserve">: Summary of results of the indirect comparison for </w:t>
      </w:r>
      <w:proofErr w:type="spellStart"/>
      <w:r w:rsidRPr="004D4904">
        <w:rPr>
          <w:rStyle w:val="CommentReference"/>
        </w:rPr>
        <w:t>rSBA-MenC</w:t>
      </w:r>
      <w:proofErr w:type="spellEnd"/>
      <w:r w:rsidRPr="004D4904">
        <w:rPr>
          <w:rStyle w:val="CommentReference"/>
        </w:rPr>
        <w:t xml:space="preserve"> ≥ 1:8 at one month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164"/>
        <w:gridCol w:w="1454"/>
        <w:gridCol w:w="1743"/>
        <w:gridCol w:w="1595"/>
        <w:gridCol w:w="1691"/>
      </w:tblGrid>
      <w:tr w:rsidR="004D4904" w:rsidRPr="0012305B" w:rsidTr="003D7466">
        <w:trPr>
          <w:tblHeader/>
        </w:trPr>
        <w:tc>
          <w:tcPr>
            <w:tcW w:w="863" w:type="pct"/>
            <w:vAlign w:val="center"/>
          </w:tcPr>
          <w:p w:rsidR="004D4904" w:rsidRPr="0012305B" w:rsidRDefault="004D4904" w:rsidP="003D7466">
            <w:pPr>
              <w:pStyle w:val="Tabletext"/>
              <w:rPr>
                <w:b/>
              </w:rPr>
            </w:pPr>
            <w:r w:rsidRPr="0012305B">
              <w:rPr>
                <w:b/>
              </w:rPr>
              <w:t>Trial type or estimate</w:t>
            </w:r>
          </w:p>
        </w:tc>
        <w:tc>
          <w:tcPr>
            <w:tcW w:w="629" w:type="pct"/>
            <w:shd w:val="clear" w:color="auto" w:fill="auto"/>
            <w:vAlign w:val="center"/>
          </w:tcPr>
          <w:p w:rsidR="004D4904" w:rsidRPr="0012305B" w:rsidRDefault="004D4904" w:rsidP="003D7466">
            <w:pPr>
              <w:pStyle w:val="Tabletext"/>
              <w:jc w:val="center"/>
              <w:rPr>
                <w:b/>
              </w:rPr>
            </w:pPr>
            <w:r w:rsidRPr="0012305B">
              <w:rPr>
                <w:b/>
              </w:rPr>
              <w:t>Trial ID</w:t>
            </w:r>
          </w:p>
        </w:tc>
        <w:tc>
          <w:tcPr>
            <w:tcW w:w="786" w:type="pct"/>
            <w:shd w:val="clear" w:color="auto" w:fill="auto"/>
            <w:vAlign w:val="center"/>
          </w:tcPr>
          <w:p w:rsidR="004D4904" w:rsidRPr="0012305B" w:rsidRDefault="004D4904" w:rsidP="003D7466">
            <w:pPr>
              <w:pStyle w:val="Tabletext"/>
              <w:jc w:val="center"/>
              <w:rPr>
                <w:b/>
              </w:rPr>
            </w:pPr>
            <w:proofErr w:type="gramStart"/>
            <w:r w:rsidRPr="0012305B">
              <w:rPr>
                <w:b/>
              </w:rPr>
              <w:t>n</w:t>
            </w:r>
            <w:proofErr w:type="gramEnd"/>
            <w:r w:rsidRPr="0012305B">
              <w:rPr>
                <w:b/>
              </w:rPr>
              <w:t xml:space="preserve"> with event/N (%)</w:t>
            </w:r>
          </w:p>
        </w:tc>
        <w:tc>
          <w:tcPr>
            <w:tcW w:w="943" w:type="pct"/>
            <w:shd w:val="clear" w:color="auto" w:fill="auto"/>
            <w:vAlign w:val="center"/>
          </w:tcPr>
          <w:p w:rsidR="004D4904" w:rsidRDefault="004D4904" w:rsidP="003D7466">
            <w:pPr>
              <w:pStyle w:val="Tabletext"/>
              <w:jc w:val="center"/>
              <w:rPr>
                <w:b/>
              </w:rPr>
            </w:pPr>
            <w:proofErr w:type="spellStart"/>
            <w:r>
              <w:rPr>
                <w:b/>
              </w:rPr>
              <w:t>MenC</w:t>
            </w:r>
            <w:proofErr w:type="spellEnd"/>
          </w:p>
          <w:p w:rsidR="004D4904" w:rsidRPr="0012305B" w:rsidRDefault="004D4904" w:rsidP="003D7466">
            <w:pPr>
              <w:pStyle w:val="Tabletext"/>
              <w:jc w:val="center"/>
              <w:rPr>
                <w:b/>
              </w:rPr>
            </w:pPr>
            <w:proofErr w:type="gramStart"/>
            <w:r w:rsidRPr="0012305B">
              <w:rPr>
                <w:b/>
              </w:rPr>
              <w:t>n</w:t>
            </w:r>
            <w:proofErr w:type="gramEnd"/>
            <w:r w:rsidRPr="0012305B">
              <w:rPr>
                <w:b/>
              </w:rPr>
              <w:t xml:space="preserve"> with event/N (%)</w:t>
            </w:r>
          </w:p>
        </w:tc>
        <w:tc>
          <w:tcPr>
            <w:tcW w:w="863" w:type="pct"/>
            <w:shd w:val="clear" w:color="auto" w:fill="auto"/>
            <w:vAlign w:val="center"/>
          </w:tcPr>
          <w:p w:rsidR="004D4904" w:rsidRPr="0012305B" w:rsidRDefault="004D4904" w:rsidP="003D7466">
            <w:pPr>
              <w:pStyle w:val="Tabletext"/>
              <w:jc w:val="center"/>
              <w:rPr>
                <w:b/>
              </w:rPr>
            </w:pPr>
            <w:r w:rsidRPr="0012305B">
              <w:rPr>
                <w:b/>
              </w:rPr>
              <w:t>Treatment effect (RR)</w:t>
            </w:r>
          </w:p>
        </w:tc>
        <w:tc>
          <w:tcPr>
            <w:tcW w:w="915" w:type="pct"/>
            <w:vAlign w:val="center"/>
          </w:tcPr>
          <w:p w:rsidR="004D4904" w:rsidRPr="0012305B" w:rsidRDefault="004D4904" w:rsidP="003D7466">
            <w:pPr>
              <w:pStyle w:val="Tabletext"/>
              <w:jc w:val="center"/>
              <w:rPr>
                <w:b/>
              </w:rPr>
            </w:pPr>
            <w:r w:rsidRPr="0012305B">
              <w:rPr>
                <w:b/>
              </w:rPr>
              <w:t>Treatment effect (R</w:t>
            </w:r>
            <w:r>
              <w:rPr>
                <w:b/>
              </w:rPr>
              <w:t>D</w:t>
            </w:r>
            <w:r w:rsidRPr="0012305B">
              <w:rPr>
                <w:b/>
              </w:rPr>
              <w:t>)</w:t>
            </w:r>
          </w:p>
        </w:tc>
      </w:tr>
      <w:tr w:rsidR="004D4904" w:rsidRPr="0012305B" w:rsidTr="003D7466">
        <w:tc>
          <w:tcPr>
            <w:tcW w:w="863" w:type="pct"/>
            <w:vMerge w:val="restart"/>
            <w:vAlign w:val="center"/>
          </w:tcPr>
          <w:p w:rsidR="004D4904" w:rsidRPr="0012305B" w:rsidRDefault="004D4904" w:rsidP="003D7466">
            <w:pPr>
              <w:pStyle w:val="Tabletext"/>
            </w:pPr>
            <w:proofErr w:type="spellStart"/>
            <w:r>
              <w:t>MenACWY</w:t>
            </w:r>
            <w:proofErr w:type="spellEnd"/>
            <w:r>
              <w:t>-TT</w:t>
            </w:r>
            <w:r w:rsidRPr="0012305B">
              <w:t xml:space="preserve"> vs</w:t>
            </w:r>
            <w:r>
              <w:t>.</w:t>
            </w:r>
            <w:r w:rsidRPr="0012305B">
              <w:t xml:space="preserve"> </w:t>
            </w:r>
            <w:proofErr w:type="spellStart"/>
            <w:r>
              <w:t>MenC</w:t>
            </w:r>
            <w:proofErr w:type="spellEnd"/>
            <w:r>
              <w:t xml:space="preserve"> </w:t>
            </w:r>
            <w:r w:rsidRPr="0012305B">
              <w:t>trials</w:t>
            </w:r>
          </w:p>
        </w:tc>
        <w:tc>
          <w:tcPr>
            <w:tcW w:w="629" w:type="pct"/>
            <w:shd w:val="clear" w:color="auto" w:fill="auto"/>
            <w:vAlign w:val="center"/>
          </w:tcPr>
          <w:p w:rsidR="004D4904" w:rsidRPr="0012305B" w:rsidRDefault="004D4904" w:rsidP="003D7466">
            <w:pPr>
              <w:pStyle w:val="Tabletext"/>
            </w:pPr>
            <w:r>
              <w:t>MenACWY-TT-013</w:t>
            </w:r>
          </w:p>
        </w:tc>
        <w:tc>
          <w:tcPr>
            <w:tcW w:w="786" w:type="pct"/>
            <w:shd w:val="clear" w:color="auto" w:fill="auto"/>
            <w:vAlign w:val="center"/>
          </w:tcPr>
          <w:p w:rsidR="004D4904" w:rsidRPr="0012305B" w:rsidRDefault="004D4904" w:rsidP="003D7466">
            <w:pPr>
              <w:pStyle w:val="Tabletext"/>
              <w:jc w:val="center"/>
            </w:pPr>
            <w:r>
              <w:t>42/42 (100</w:t>
            </w:r>
            <w:r w:rsidRPr="0012305B">
              <w:t>)</w:t>
            </w:r>
          </w:p>
        </w:tc>
        <w:tc>
          <w:tcPr>
            <w:tcW w:w="943" w:type="pct"/>
            <w:shd w:val="clear" w:color="auto" w:fill="auto"/>
            <w:vAlign w:val="center"/>
          </w:tcPr>
          <w:p w:rsidR="004D4904" w:rsidRPr="0012305B" w:rsidRDefault="004D4904" w:rsidP="003D7466">
            <w:pPr>
              <w:pStyle w:val="Tabletext"/>
              <w:jc w:val="center"/>
            </w:pPr>
            <w:r w:rsidRPr="00345F84">
              <w:t>45/46 (97.8)</w:t>
            </w:r>
          </w:p>
        </w:tc>
        <w:tc>
          <w:tcPr>
            <w:tcW w:w="863" w:type="pct"/>
            <w:shd w:val="clear" w:color="auto" w:fill="auto"/>
            <w:vAlign w:val="center"/>
          </w:tcPr>
          <w:p w:rsidR="004D4904" w:rsidRPr="0012305B" w:rsidRDefault="004D4904" w:rsidP="003D7466">
            <w:pPr>
              <w:pStyle w:val="Tabletext"/>
              <w:jc w:val="center"/>
            </w:pPr>
            <w:r w:rsidRPr="003160BA">
              <w:t>1.02 (0.96, 1.09)</w:t>
            </w:r>
          </w:p>
        </w:tc>
        <w:tc>
          <w:tcPr>
            <w:tcW w:w="915" w:type="pct"/>
            <w:vAlign w:val="center"/>
          </w:tcPr>
          <w:p w:rsidR="004D4904" w:rsidRPr="003160BA" w:rsidRDefault="004D4904" w:rsidP="003D7466">
            <w:pPr>
              <w:pStyle w:val="Tabletext"/>
              <w:jc w:val="center"/>
            </w:pPr>
            <w:r w:rsidRPr="0018521D">
              <w:t>2.17 (-3.79, 8.13)</w:t>
            </w:r>
          </w:p>
        </w:tc>
      </w:tr>
      <w:tr w:rsidR="004D4904" w:rsidRPr="0012305B" w:rsidTr="003D7466">
        <w:tc>
          <w:tcPr>
            <w:tcW w:w="863" w:type="pct"/>
            <w:vMerge/>
            <w:vAlign w:val="center"/>
          </w:tcPr>
          <w:p w:rsidR="004D4904" w:rsidRPr="0012305B" w:rsidRDefault="004D4904" w:rsidP="003D7466">
            <w:pPr>
              <w:pStyle w:val="Tabletext"/>
            </w:pPr>
          </w:p>
        </w:tc>
        <w:tc>
          <w:tcPr>
            <w:tcW w:w="629" w:type="pct"/>
            <w:shd w:val="clear" w:color="auto" w:fill="auto"/>
            <w:vAlign w:val="center"/>
          </w:tcPr>
          <w:p w:rsidR="004D4904" w:rsidRPr="0012305B" w:rsidRDefault="004D4904" w:rsidP="003D7466">
            <w:pPr>
              <w:pStyle w:val="Tabletext"/>
            </w:pPr>
            <w:r w:rsidRPr="00BB11C3">
              <w:t>MenACWY-TT-0</w:t>
            </w:r>
            <w:r>
              <w:t>27</w:t>
            </w:r>
          </w:p>
        </w:tc>
        <w:tc>
          <w:tcPr>
            <w:tcW w:w="786" w:type="pct"/>
            <w:shd w:val="clear" w:color="auto" w:fill="auto"/>
            <w:vAlign w:val="center"/>
          </w:tcPr>
          <w:p w:rsidR="004D4904" w:rsidRPr="0012305B" w:rsidRDefault="004D4904" w:rsidP="003D7466">
            <w:pPr>
              <w:pStyle w:val="Tabletext"/>
              <w:jc w:val="center"/>
            </w:pPr>
            <w:r w:rsidRPr="00DE5EA6">
              <w:t>220/220 (100)</w:t>
            </w:r>
          </w:p>
        </w:tc>
        <w:tc>
          <w:tcPr>
            <w:tcW w:w="943" w:type="pct"/>
            <w:shd w:val="clear" w:color="auto" w:fill="auto"/>
            <w:vAlign w:val="center"/>
          </w:tcPr>
          <w:p w:rsidR="004D4904" w:rsidRPr="0012305B" w:rsidRDefault="004D4904" w:rsidP="003D7466">
            <w:pPr>
              <w:pStyle w:val="Tabletext"/>
              <w:jc w:val="center"/>
            </w:pPr>
            <w:r w:rsidRPr="00345F84">
              <w:t>67/68 (98.5)</w:t>
            </w:r>
          </w:p>
        </w:tc>
        <w:tc>
          <w:tcPr>
            <w:tcW w:w="863" w:type="pct"/>
            <w:shd w:val="clear" w:color="auto" w:fill="auto"/>
            <w:vAlign w:val="center"/>
          </w:tcPr>
          <w:p w:rsidR="004D4904" w:rsidRPr="0012305B" w:rsidRDefault="004D4904" w:rsidP="003D7466">
            <w:pPr>
              <w:pStyle w:val="Tabletext"/>
              <w:jc w:val="center"/>
            </w:pPr>
            <w:r w:rsidRPr="003160BA">
              <w:t>1.02 (0.98, 1.06)</w:t>
            </w:r>
          </w:p>
        </w:tc>
        <w:tc>
          <w:tcPr>
            <w:tcW w:w="915" w:type="pct"/>
            <w:vAlign w:val="center"/>
          </w:tcPr>
          <w:p w:rsidR="004D4904" w:rsidRPr="003160BA" w:rsidRDefault="004D4904" w:rsidP="003D7466">
            <w:pPr>
              <w:pStyle w:val="Tabletext"/>
              <w:jc w:val="center"/>
            </w:pPr>
            <w:r w:rsidRPr="0018521D">
              <w:t>1.47 (-2.03, 4.97)</w:t>
            </w:r>
          </w:p>
        </w:tc>
      </w:tr>
      <w:tr w:rsidR="004D4904" w:rsidRPr="0012305B" w:rsidTr="003D7466">
        <w:tc>
          <w:tcPr>
            <w:tcW w:w="863" w:type="pct"/>
            <w:vMerge/>
            <w:vAlign w:val="center"/>
          </w:tcPr>
          <w:p w:rsidR="004D4904" w:rsidRPr="0012305B" w:rsidRDefault="004D4904" w:rsidP="003D7466">
            <w:pPr>
              <w:pStyle w:val="Tabletext"/>
            </w:pPr>
          </w:p>
        </w:tc>
        <w:tc>
          <w:tcPr>
            <w:tcW w:w="629" w:type="pct"/>
            <w:shd w:val="clear" w:color="auto" w:fill="auto"/>
            <w:vAlign w:val="center"/>
          </w:tcPr>
          <w:p w:rsidR="004D4904" w:rsidRPr="0012305B" w:rsidRDefault="004D4904" w:rsidP="003D7466">
            <w:pPr>
              <w:pStyle w:val="Tabletext"/>
            </w:pPr>
            <w:r w:rsidRPr="00BB11C3">
              <w:t>MenACWY-TT-0</w:t>
            </w:r>
            <w:r>
              <w:t>39</w:t>
            </w:r>
          </w:p>
        </w:tc>
        <w:tc>
          <w:tcPr>
            <w:tcW w:w="786" w:type="pct"/>
            <w:shd w:val="clear" w:color="auto" w:fill="auto"/>
            <w:vAlign w:val="center"/>
          </w:tcPr>
          <w:p w:rsidR="004D4904" w:rsidRPr="0012305B" w:rsidRDefault="004D4904" w:rsidP="003D7466">
            <w:pPr>
              <w:pStyle w:val="Tabletext"/>
              <w:jc w:val="center"/>
            </w:pPr>
            <w:r w:rsidRPr="00DE5EA6">
              <w:t>353/354 (99.7)</w:t>
            </w:r>
          </w:p>
        </w:tc>
        <w:tc>
          <w:tcPr>
            <w:tcW w:w="943" w:type="pct"/>
            <w:shd w:val="clear" w:color="auto" w:fill="auto"/>
            <w:vAlign w:val="center"/>
          </w:tcPr>
          <w:p w:rsidR="004D4904" w:rsidRPr="0012305B" w:rsidRDefault="004D4904" w:rsidP="003D7466">
            <w:pPr>
              <w:pStyle w:val="Tabletext"/>
              <w:jc w:val="center"/>
            </w:pPr>
            <w:r w:rsidRPr="00345F84">
              <w:t>118/121 (97.5)</w:t>
            </w:r>
          </w:p>
        </w:tc>
        <w:tc>
          <w:tcPr>
            <w:tcW w:w="863" w:type="pct"/>
            <w:shd w:val="clear" w:color="auto" w:fill="auto"/>
            <w:vAlign w:val="center"/>
          </w:tcPr>
          <w:p w:rsidR="004D4904" w:rsidRPr="0012305B" w:rsidRDefault="004D4904" w:rsidP="003D7466">
            <w:pPr>
              <w:pStyle w:val="Tabletext"/>
              <w:jc w:val="center"/>
            </w:pPr>
            <w:r w:rsidRPr="003160BA">
              <w:t>1.02 (0.99, 1.05)</w:t>
            </w:r>
          </w:p>
        </w:tc>
        <w:tc>
          <w:tcPr>
            <w:tcW w:w="915" w:type="pct"/>
            <w:vAlign w:val="center"/>
          </w:tcPr>
          <w:p w:rsidR="004D4904" w:rsidRPr="003160BA" w:rsidRDefault="004D4904" w:rsidP="003D7466">
            <w:pPr>
              <w:pStyle w:val="Tabletext"/>
              <w:jc w:val="center"/>
            </w:pPr>
            <w:r w:rsidRPr="0018521D">
              <w:t>2.20 (-0.63, 5.02)</w:t>
            </w:r>
          </w:p>
        </w:tc>
      </w:tr>
      <w:tr w:rsidR="004D4904" w:rsidRPr="0012305B" w:rsidTr="003D7466">
        <w:tc>
          <w:tcPr>
            <w:tcW w:w="863" w:type="pct"/>
            <w:vMerge/>
            <w:vAlign w:val="center"/>
          </w:tcPr>
          <w:p w:rsidR="004D4904" w:rsidRPr="0012305B" w:rsidRDefault="004D4904" w:rsidP="003D7466">
            <w:pPr>
              <w:pStyle w:val="Tabletext"/>
            </w:pPr>
          </w:p>
        </w:tc>
        <w:tc>
          <w:tcPr>
            <w:tcW w:w="629" w:type="pct"/>
            <w:shd w:val="clear" w:color="auto" w:fill="auto"/>
            <w:vAlign w:val="center"/>
          </w:tcPr>
          <w:p w:rsidR="004D4904" w:rsidRPr="0012305B" w:rsidRDefault="004D4904" w:rsidP="003D7466">
            <w:pPr>
              <w:pStyle w:val="Tabletext"/>
            </w:pPr>
            <w:r w:rsidRPr="00BB11C3">
              <w:t>MenACWY-TT-0</w:t>
            </w:r>
            <w:r>
              <w:t>40</w:t>
            </w:r>
          </w:p>
        </w:tc>
        <w:tc>
          <w:tcPr>
            <w:tcW w:w="786" w:type="pct"/>
            <w:shd w:val="clear" w:color="auto" w:fill="auto"/>
            <w:vAlign w:val="center"/>
          </w:tcPr>
          <w:p w:rsidR="004D4904" w:rsidRPr="0012305B" w:rsidRDefault="004D4904" w:rsidP="003D7466">
            <w:pPr>
              <w:pStyle w:val="Tabletext"/>
              <w:jc w:val="center"/>
            </w:pPr>
            <w:r w:rsidRPr="00DE5EA6">
              <w:t>178/183 (97.3)</w:t>
            </w:r>
          </w:p>
        </w:tc>
        <w:tc>
          <w:tcPr>
            <w:tcW w:w="943" w:type="pct"/>
            <w:shd w:val="clear" w:color="auto" w:fill="auto"/>
            <w:vAlign w:val="center"/>
          </w:tcPr>
          <w:p w:rsidR="004D4904" w:rsidRPr="0012305B" w:rsidRDefault="004D4904" w:rsidP="003D7466">
            <w:pPr>
              <w:pStyle w:val="Tabletext"/>
              <w:jc w:val="center"/>
            </w:pPr>
            <w:r w:rsidRPr="00345F84">
              <w:t>112/114 (98.2)</w:t>
            </w:r>
          </w:p>
        </w:tc>
        <w:tc>
          <w:tcPr>
            <w:tcW w:w="863" w:type="pct"/>
            <w:shd w:val="clear" w:color="auto" w:fill="auto"/>
            <w:vAlign w:val="center"/>
          </w:tcPr>
          <w:p w:rsidR="004D4904" w:rsidRPr="0012305B" w:rsidRDefault="004D4904" w:rsidP="003D7466">
            <w:pPr>
              <w:pStyle w:val="Tabletext"/>
              <w:jc w:val="center"/>
            </w:pPr>
            <w:r w:rsidRPr="003160BA">
              <w:t>0.99 (0.96, 1.02)</w:t>
            </w:r>
          </w:p>
        </w:tc>
        <w:tc>
          <w:tcPr>
            <w:tcW w:w="915" w:type="pct"/>
            <w:vAlign w:val="center"/>
          </w:tcPr>
          <w:p w:rsidR="004D4904" w:rsidRPr="003160BA" w:rsidRDefault="004D4904" w:rsidP="003D7466">
            <w:pPr>
              <w:pStyle w:val="Tabletext"/>
              <w:jc w:val="center"/>
            </w:pPr>
            <w:r w:rsidRPr="0018521D">
              <w:t>-0.98 (-4.35, 2.40)</w:t>
            </w:r>
          </w:p>
        </w:tc>
      </w:tr>
      <w:tr w:rsidR="004D4904" w:rsidRPr="0012305B" w:rsidTr="003D7466">
        <w:tc>
          <w:tcPr>
            <w:tcW w:w="863" w:type="pct"/>
            <w:vMerge/>
            <w:vAlign w:val="center"/>
          </w:tcPr>
          <w:p w:rsidR="004D4904" w:rsidRPr="0012305B" w:rsidRDefault="004D4904" w:rsidP="003D7466">
            <w:pPr>
              <w:pStyle w:val="Tabletext"/>
            </w:pPr>
          </w:p>
        </w:tc>
        <w:tc>
          <w:tcPr>
            <w:tcW w:w="629" w:type="pct"/>
            <w:shd w:val="clear" w:color="auto" w:fill="auto"/>
            <w:vAlign w:val="center"/>
          </w:tcPr>
          <w:p w:rsidR="004D4904" w:rsidRPr="0012305B" w:rsidRDefault="004D4904" w:rsidP="003D7466">
            <w:pPr>
              <w:pStyle w:val="Tabletext"/>
            </w:pPr>
            <w:r w:rsidRPr="0012305B">
              <w:t>Pooled</w:t>
            </w:r>
          </w:p>
        </w:tc>
        <w:tc>
          <w:tcPr>
            <w:tcW w:w="786" w:type="pct"/>
            <w:shd w:val="clear" w:color="auto" w:fill="auto"/>
            <w:vAlign w:val="center"/>
          </w:tcPr>
          <w:p w:rsidR="004D4904" w:rsidRPr="0012305B" w:rsidRDefault="004D4904" w:rsidP="003D7466">
            <w:pPr>
              <w:pStyle w:val="Tabletext"/>
              <w:jc w:val="center"/>
            </w:pPr>
            <w:r w:rsidRPr="008C58B4">
              <w:t>793/799 (99.2)</w:t>
            </w:r>
          </w:p>
        </w:tc>
        <w:tc>
          <w:tcPr>
            <w:tcW w:w="943" w:type="pct"/>
            <w:shd w:val="clear" w:color="auto" w:fill="auto"/>
            <w:vAlign w:val="center"/>
          </w:tcPr>
          <w:p w:rsidR="004D4904" w:rsidRPr="0012305B" w:rsidRDefault="004D4904" w:rsidP="003D7466">
            <w:pPr>
              <w:pStyle w:val="Tabletext"/>
              <w:jc w:val="center"/>
            </w:pPr>
            <w:r w:rsidRPr="008C58B4">
              <w:t>342/349 (98.0)</w:t>
            </w:r>
          </w:p>
        </w:tc>
        <w:tc>
          <w:tcPr>
            <w:tcW w:w="863" w:type="pct"/>
            <w:shd w:val="clear" w:color="auto" w:fill="auto"/>
            <w:vAlign w:val="center"/>
          </w:tcPr>
          <w:p w:rsidR="004D4904" w:rsidRPr="0012305B" w:rsidRDefault="004D4904" w:rsidP="003D7466">
            <w:pPr>
              <w:pStyle w:val="Tabletext"/>
              <w:jc w:val="center"/>
            </w:pPr>
            <w:r w:rsidRPr="008C58B4">
              <w:t>1.01 (0.99, 1.03)</w:t>
            </w:r>
          </w:p>
        </w:tc>
        <w:tc>
          <w:tcPr>
            <w:tcW w:w="915" w:type="pct"/>
            <w:vAlign w:val="center"/>
          </w:tcPr>
          <w:p w:rsidR="004D4904" w:rsidRPr="008C58B4" w:rsidRDefault="004D4904" w:rsidP="003D7466">
            <w:pPr>
              <w:pStyle w:val="Tabletext"/>
              <w:jc w:val="center"/>
            </w:pPr>
            <w:r w:rsidRPr="0018521D">
              <w:t>1.15 (-0.61, 2.91)</w:t>
            </w:r>
          </w:p>
        </w:tc>
      </w:tr>
      <w:tr w:rsidR="004D4904" w:rsidRPr="0012305B" w:rsidTr="003D7466">
        <w:tc>
          <w:tcPr>
            <w:tcW w:w="863" w:type="pct"/>
            <w:vAlign w:val="center"/>
          </w:tcPr>
          <w:p w:rsidR="004D4904" w:rsidRPr="0012305B" w:rsidRDefault="004D4904" w:rsidP="003D7466">
            <w:pPr>
              <w:pStyle w:val="Tabletext"/>
            </w:pPr>
            <w:r>
              <w:t>Hib-</w:t>
            </w:r>
            <w:proofErr w:type="spellStart"/>
            <w:r>
              <w:t>MenC</w:t>
            </w:r>
            <w:proofErr w:type="spellEnd"/>
            <w:r>
              <w:t xml:space="preserve"> vs. </w:t>
            </w:r>
            <w:proofErr w:type="spellStart"/>
            <w:r>
              <w:t>MenC</w:t>
            </w:r>
            <w:proofErr w:type="spellEnd"/>
            <w:r>
              <w:t xml:space="preserve"> (+Hib + MMR) trial</w:t>
            </w:r>
          </w:p>
        </w:tc>
        <w:tc>
          <w:tcPr>
            <w:tcW w:w="629" w:type="pct"/>
            <w:shd w:val="clear" w:color="auto" w:fill="auto"/>
            <w:vAlign w:val="center"/>
          </w:tcPr>
          <w:p w:rsidR="004D4904" w:rsidRPr="0012305B" w:rsidRDefault="004D4904" w:rsidP="003D7466">
            <w:pPr>
              <w:pStyle w:val="Tabletext"/>
            </w:pPr>
            <w:r>
              <w:t>Hib-MenC-016</w:t>
            </w:r>
          </w:p>
        </w:tc>
        <w:tc>
          <w:tcPr>
            <w:tcW w:w="786" w:type="pct"/>
            <w:shd w:val="clear" w:color="auto" w:fill="auto"/>
            <w:vAlign w:val="center"/>
          </w:tcPr>
          <w:p w:rsidR="004D4904" w:rsidRPr="0012305B" w:rsidRDefault="004D4904" w:rsidP="003D7466">
            <w:pPr>
              <w:pStyle w:val="Tabletext"/>
              <w:jc w:val="center"/>
            </w:pPr>
            <w:r w:rsidRPr="00324341">
              <w:t>280/281 (99.6)</w:t>
            </w:r>
          </w:p>
        </w:tc>
        <w:tc>
          <w:tcPr>
            <w:tcW w:w="943" w:type="pct"/>
            <w:shd w:val="clear" w:color="auto" w:fill="auto"/>
            <w:vAlign w:val="center"/>
          </w:tcPr>
          <w:p w:rsidR="004D4904" w:rsidRPr="0012305B" w:rsidRDefault="004D4904" w:rsidP="003D7466">
            <w:pPr>
              <w:pStyle w:val="Tabletext"/>
              <w:jc w:val="center"/>
            </w:pPr>
            <w:r w:rsidRPr="00324341">
              <w:t>98/98 (100)</w:t>
            </w:r>
          </w:p>
        </w:tc>
        <w:tc>
          <w:tcPr>
            <w:tcW w:w="863" w:type="pct"/>
            <w:shd w:val="clear" w:color="auto" w:fill="auto"/>
            <w:vAlign w:val="center"/>
          </w:tcPr>
          <w:p w:rsidR="004D4904" w:rsidRPr="0012305B" w:rsidRDefault="004D4904" w:rsidP="003D7466">
            <w:pPr>
              <w:pStyle w:val="Tabletext"/>
              <w:jc w:val="center"/>
            </w:pPr>
            <w:r w:rsidRPr="00324341">
              <w:t>1.00 (0.98, 1.02)</w:t>
            </w:r>
          </w:p>
        </w:tc>
        <w:tc>
          <w:tcPr>
            <w:tcW w:w="915" w:type="pct"/>
            <w:vAlign w:val="center"/>
          </w:tcPr>
          <w:p w:rsidR="004D4904" w:rsidRPr="00324341" w:rsidRDefault="004D4904" w:rsidP="003D7466">
            <w:pPr>
              <w:pStyle w:val="Tabletext"/>
              <w:jc w:val="center"/>
            </w:pPr>
            <w:r w:rsidRPr="0018521D">
              <w:t>-0.36 (-1.99, 1.28)</w:t>
            </w:r>
          </w:p>
        </w:tc>
      </w:tr>
      <w:tr w:rsidR="004D4904" w:rsidRPr="0012305B" w:rsidTr="003D7466">
        <w:tc>
          <w:tcPr>
            <w:tcW w:w="863" w:type="pct"/>
            <w:vAlign w:val="center"/>
          </w:tcPr>
          <w:p w:rsidR="004D4904" w:rsidRPr="0012305B" w:rsidRDefault="004D4904" w:rsidP="003D7466">
            <w:pPr>
              <w:pStyle w:val="Tabletext"/>
            </w:pPr>
            <w:r w:rsidRPr="0012305B">
              <w:t>Indirect estimate of effect a</w:t>
            </w:r>
            <w:r>
              <w:t xml:space="preserve">djusted for </w:t>
            </w:r>
            <w:proofErr w:type="spellStart"/>
            <w:r>
              <w:t>MenC</w:t>
            </w:r>
            <w:proofErr w:type="spellEnd"/>
          </w:p>
        </w:tc>
        <w:tc>
          <w:tcPr>
            <w:tcW w:w="629" w:type="pct"/>
            <w:shd w:val="clear" w:color="auto" w:fill="auto"/>
            <w:vAlign w:val="center"/>
          </w:tcPr>
          <w:p w:rsidR="004D4904" w:rsidRPr="0012305B" w:rsidRDefault="004D4904" w:rsidP="003D7466">
            <w:pPr>
              <w:pStyle w:val="Tabletext"/>
            </w:pPr>
            <w:r w:rsidRPr="0012305B">
              <w:t>–</w:t>
            </w:r>
          </w:p>
        </w:tc>
        <w:tc>
          <w:tcPr>
            <w:tcW w:w="786" w:type="pct"/>
            <w:shd w:val="clear" w:color="auto" w:fill="auto"/>
            <w:vAlign w:val="center"/>
          </w:tcPr>
          <w:p w:rsidR="004D4904" w:rsidRPr="0012305B" w:rsidRDefault="004D4904" w:rsidP="003D7466">
            <w:pPr>
              <w:pStyle w:val="Tabletext"/>
              <w:jc w:val="center"/>
            </w:pPr>
            <w:r w:rsidRPr="0012305B">
              <w:t>–</w:t>
            </w:r>
          </w:p>
        </w:tc>
        <w:tc>
          <w:tcPr>
            <w:tcW w:w="943" w:type="pct"/>
            <w:shd w:val="clear" w:color="auto" w:fill="auto"/>
            <w:vAlign w:val="center"/>
          </w:tcPr>
          <w:p w:rsidR="004D4904" w:rsidRPr="0012305B" w:rsidRDefault="004D4904" w:rsidP="003D7466">
            <w:pPr>
              <w:pStyle w:val="Tabletext"/>
              <w:jc w:val="center"/>
            </w:pPr>
            <w:r w:rsidRPr="0012305B">
              <w:t>–</w:t>
            </w:r>
          </w:p>
        </w:tc>
        <w:tc>
          <w:tcPr>
            <w:tcW w:w="863" w:type="pct"/>
            <w:shd w:val="clear" w:color="auto" w:fill="auto"/>
            <w:vAlign w:val="center"/>
          </w:tcPr>
          <w:p w:rsidR="004D4904" w:rsidRPr="0018521D" w:rsidRDefault="004D4904" w:rsidP="003D7466">
            <w:pPr>
              <w:pStyle w:val="Tabletext"/>
              <w:jc w:val="center"/>
              <w:rPr>
                <w:b/>
              </w:rPr>
            </w:pPr>
            <w:r w:rsidRPr="0018521D">
              <w:rPr>
                <w:b/>
              </w:rPr>
              <w:t>1.01 (0.99, 1.04)</w:t>
            </w:r>
          </w:p>
        </w:tc>
        <w:tc>
          <w:tcPr>
            <w:tcW w:w="915" w:type="pct"/>
            <w:vAlign w:val="center"/>
          </w:tcPr>
          <w:p w:rsidR="004D4904" w:rsidRPr="0018521D" w:rsidRDefault="004D4904" w:rsidP="003D7466">
            <w:pPr>
              <w:pStyle w:val="Tabletext"/>
              <w:jc w:val="center"/>
              <w:rPr>
                <w:b/>
              </w:rPr>
            </w:pPr>
            <w:r w:rsidRPr="0018521D">
              <w:rPr>
                <w:b/>
              </w:rPr>
              <w:t>1.50 (-0.90, 3.91)</w:t>
            </w:r>
          </w:p>
        </w:tc>
      </w:tr>
    </w:tbl>
    <w:p w:rsidR="004D4904" w:rsidRDefault="004D4904" w:rsidP="004D4904">
      <w:pPr>
        <w:pStyle w:val="TableNotes0"/>
        <w:keepNext w:val="0"/>
        <w:keepLines w:val="0"/>
        <w:widowControl w:val="0"/>
        <w:ind w:left="0"/>
      </w:pPr>
      <w:r>
        <w:t>CI: confidence interval; n = number of participants with event; N = total number of participants in group.</w:t>
      </w:r>
    </w:p>
    <w:p w:rsidR="004D4904" w:rsidRPr="004D4904" w:rsidRDefault="004D4904" w:rsidP="004D4904">
      <w:pPr>
        <w:pStyle w:val="TableNotes0"/>
        <w:keepNext w:val="0"/>
        <w:keepLines w:val="0"/>
        <w:widowControl w:val="0"/>
        <w:ind w:left="0"/>
      </w:pPr>
      <w:r>
        <w:t xml:space="preserve">Source: Table 2.6-3, p101 </w:t>
      </w:r>
      <w:r w:rsidRPr="00D13A3E">
        <w:t xml:space="preserve">of the </w:t>
      </w:r>
      <w:r>
        <w:t>submission.</w:t>
      </w:r>
    </w:p>
    <w:p w:rsidR="004D4904" w:rsidRPr="004D4904" w:rsidRDefault="004D4904" w:rsidP="004D4904">
      <w:pPr>
        <w:widowControl/>
        <w:rPr>
          <w:highlight w:val="yellow"/>
        </w:rPr>
      </w:pPr>
    </w:p>
    <w:p w:rsidR="004D4904" w:rsidRDefault="00FC3536" w:rsidP="004D4904">
      <w:pPr>
        <w:pStyle w:val="ListParagraph"/>
        <w:widowControl/>
        <w:numPr>
          <w:ilvl w:val="1"/>
          <w:numId w:val="1"/>
        </w:numPr>
        <w:rPr>
          <w:rFonts w:cs="Calibri"/>
          <w:snapToGrid/>
          <w:szCs w:val="24"/>
          <w:lang w:val="en-US" w:eastAsia="en-AU"/>
        </w:rPr>
      </w:pPr>
      <w:r>
        <w:rPr>
          <w:rFonts w:cs="Calibri"/>
          <w:snapToGrid/>
          <w:szCs w:val="24"/>
          <w:lang w:val="en-US" w:eastAsia="en-AU"/>
        </w:rPr>
        <w:t>The submission claimed that t</w:t>
      </w:r>
      <w:r w:rsidR="004D4904" w:rsidRPr="004D4904">
        <w:rPr>
          <w:rFonts w:cs="Calibri"/>
          <w:snapToGrid/>
          <w:szCs w:val="24"/>
          <w:lang w:val="en-US" w:eastAsia="en-AU"/>
        </w:rPr>
        <w:t xml:space="preserve">here was no statistically significant difference between the </w:t>
      </w:r>
      <w:proofErr w:type="spellStart"/>
      <w:r w:rsidR="004D4904" w:rsidRPr="004D4904">
        <w:rPr>
          <w:rFonts w:cs="Calibri"/>
          <w:snapToGrid/>
          <w:szCs w:val="24"/>
          <w:lang w:val="en-US" w:eastAsia="en-AU"/>
        </w:rPr>
        <w:t>MenACWY</w:t>
      </w:r>
      <w:proofErr w:type="spellEnd"/>
      <w:r w:rsidR="004D4904" w:rsidRPr="004D4904">
        <w:rPr>
          <w:rFonts w:cs="Calibri"/>
          <w:snapToGrid/>
          <w:szCs w:val="24"/>
          <w:lang w:val="en-US" w:eastAsia="en-AU"/>
        </w:rPr>
        <w:t>-TT vaccine and the Hib-</w:t>
      </w:r>
      <w:proofErr w:type="spellStart"/>
      <w:r w:rsidR="004D4904" w:rsidRPr="004D4904">
        <w:rPr>
          <w:rFonts w:cs="Calibri"/>
          <w:snapToGrid/>
          <w:szCs w:val="24"/>
          <w:lang w:val="en-US" w:eastAsia="en-AU"/>
        </w:rPr>
        <w:t>MenC</w:t>
      </w:r>
      <w:proofErr w:type="spellEnd"/>
      <w:r w:rsidR="004D4904" w:rsidRPr="004D4904">
        <w:rPr>
          <w:rFonts w:cs="Calibri"/>
          <w:snapToGrid/>
          <w:szCs w:val="24"/>
          <w:lang w:val="en-US" w:eastAsia="en-AU"/>
        </w:rPr>
        <w:t xml:space="preserve"> vaccine (via the </w:t>
      </w:r>
      <w:proofErr w:type="spellStart"/>
      <w:r w:rsidR="004D4904" w:rsidRPr="004D4904">
        <w:rPr>
          <w:rFonts w:cs="Calibri"/>
          <w:snapToGrid/>
          <w:szCs w:val="24"/>
          <w:lang w:val="en-US" w:eastAsia="en-AU"/>
        </w:rPr>
        <w:t>MenC</w:t>
      </w:r>
      <w:proofErr w:type="spellEnd"/>
      <w:r w:rsidR="004D4904" w:rsidRPr="004D4904">
        <w:rPr>
          <w:rFonts w:cs="Calibri"/>
          <w:snapToGrid/>
          <w:szCs w:val="24"/>
          <w:lang w:val="en-US" w:eastAsia="en-AU"/>
        </w:rPr>
        <w:t xml:space="preserve"> vaccine as the common reference) for </w:t>
      </w:r>
      <w:proofErr w:type="spellStart"/>
      <w:r w:rsidR="004D4904" w:rsidRPr="004D4904">
        <w:rPr>
          <w:rFonts w:cs="Calibri"/>
          <w:snapToGrid/>
          <w:szCs w:val="24"/>
          <w:lang w:val="en-US" w:eastAsia="en-AU"/>
        </w:rPr>
        <w:t>rSBA-MenC</w:t>
      </w:r>
      <w:proofErr w:type="spellEnd"/>
      <w:r w:rsidR="004D4904" w:rsidRPr="004D4904">
        <w:rPr>
          <w:rFonts w:cs="Calibri"/>
          <w:snapToGrid/>
          <w:szCs w:val="24"/>
          <w:lang w:val="en-US" w:eastAsia="en-AU"/>
        </w:rPr>
        <w:t xml:space="preserve"> ≥ 1:8 at one month with an indirect relative risk of 1.01 (95% CI: 0.99; 1.04), although numerically the relative risk slightly </w:t>
      </w:r>
      <w:proofErr w:type="spellStart"/>
      <w:r w:rsidR="004D4904" w:rsidRPr="004D4904">
        <w:rPr>
          <w:rFonts w:cs="Calibri"/>
          <w:snapToGrid/>
          <w:szCs w:val="24"/>
          <w:lang w:val="en-US" w:eastAsia="en-AU"/>
        </w:rPr>
        <w:t>favoured</w:t>
      </w:r>
      <w:proofErr w:type="spellEnd"/>
      <w:r w:rsidR="004D4904" w:rsidRPr="004D4904">
        <w:rPr>
          <w:rFonts w:cs="Calibri"/>
          <w:snapToGrid/>
          <w:szCs w:val="24"/>
          <w:lang w:val="en-US" w:eastAsia="en-AU"/>
        </w:rPr>
        <w:t xml:space="preserve"> the </w:t>
      </w:r>
      <w:proofErr w:type="spellStart"/>
      <w:r w:rsidR="004D4904" w:rsidRPr="004D4904">
        <w:rPr>
          <w:rFonts w:cs="Calibri"/>
          <w:snapToGrid/>
          <w:szCs w:val="24"/>
          <w:lang w:val="en-US" w:eastAsia="en-AU"/>
        </w:rPr>
        <w:t>MenACWY</w:t>
      </w:r>
      <w:proofErr w:type="spellEnd"/>
      <w:r w:rsidR="004D4904" w:rsidRPr="004D4904">
        <w:rPr>
          <w:rFonts w:cs="Calibri"/>
          <w:snapToGrid/>
          <w:szCs w:val="24"/>
          <w:lang w:val="en-US" w:eastAsia="en-AU"/>
        </w:rPr>
        <w:t xml:space="preserve">-TT vaccine. Therefore, the </w:t>
      </w:r>
      <w:r w:rsidR="00233A3E">
        <w:rPr>
          <w:rFonts w:cs="Calibri"/>
          <w:snapToGrid/>
          <w:szCs w:val="24"/>
          <w:lang w:val="en-US" w:eastAsia="en-AU"/>
        </w:rPr>
        <w:t xml:space="preserve">submission considered </w:t>
      </w:r>
      <w:proofErr w:type="spellStart"/>
      <w:r w:rsidR="004D4904" w:rsidRPr="004D4904">
        <w:rPr>
          <w:rFonts w:cs="Calibri"/>
          <w:snapToGrid/>
          <w:szCs w:val="24"/>
          <w:lang w:val="en-US" w:eastAsia="en-AU"/>
        </w:rPr>
        <w:t>MenACWY</w:t>
      </w:r>
      <w:proofErr w:type="spellEnd"/>
      <w:r w:rsidR="004D4904" w:rsidRPr="004D4904">
        <w:rPr>
          <w:rFonts w:cs="Calibri"/>
          <w:snapToGrid/>
          <w:szCs w:val="24"/>
          <w:lang w:val="en-US" w:eastAsia="en-AU"/>
        </w:rPr>
        <w:t>-TT to be non-inferior to the Hib-</w:t>
      </w:r>
      <w:proofErr w:type="spellStart"/>
      <w:r w:rsidR="004D4904" w:rsidRPr="004D4904">
        <w:rPr>
          <w:rFonts w:cs="Calibri"/>
          <w:snapToGrid/>
          <w:szCs w:val="24"/>
          <w:lang w:val="en-US" w:eastAsia="en-AU"/>
        </w:rPr>
        <w:t>MenC</w:t>
      </w:r>
      <w:proofErr w:type="spellEnd"/>
      <w:r w:rsidR="004D4904" w:rsidRPr="004D4904">
        <w:rPr>
          <w:rFonts w:cs="Calibri"/>
          <w:snapToGrid/>
          <w:szCs w:val="24"/>
          <w:lang w:val="en-US" w:eastAsia="en-AU"/>
        </w:rPr>
        <w:t xml:space="preserve"> vaccine in terms of </w:t>
      </w:r>
      <w:proofErr w:type="spellStart"/>
      <w:r w:rsidR="004D4904" w:rsidRPr="004D4904">
        <w:rPr>
          <w:rFonts w:cs="Calibri"/>
          <w:snapToGrid/>
          <w:szCs w:val="24"/>
          <w:lang w:val="en-US" w:eastAsia="en-AU"/>
        </w:rPr>
        <w:t>rSBA-MenC</w:t>
      </w:r>
      <w:proofErr w:type="spellEnd"/>
      <w:r w:rsidR="004D4904" w:rsidRPr="004D4904">
        <w:rPr>
          <w:rFonts w:cs="Calibri"/>
          <w:snapToGrid/>
          <w:szCs w:val="24"/>
          <w:lang w:val="en-US" w:eastAsia="en-AU"/>
        </w:rPr>
        <w:t xml:space="preserve"> ≥ 1:8 at one month (p101 of the submission).</w:t>
      </w:r>
    </w:p>
    <w:p w:rsidR="00CD0AFF" w:rsidRPr="00CD0AFF" w:rsidRDefault="00CD0AFF" w:rsidP="00CD0AFF">
      <w:pPr>
        <w:pStyle w:val="ListParagraph"/>
        <w:widowControl/>
        <w:numPr>
          <w:ilvl w:val="1"/>
          <w:numId w:val="1"/>
        </w:numPr>
        <w:rPr>
          <w:rFonts w:cs="Calibri"/>
          <w:snapToGrid/>
          <w:szCs w:val="24"/>
          <w:lang w:val="en-US" w:eastAsia="en-AU"/>
        </w:rPr>
      </w:pPr>
      <w:r w:rsidRPr="00CD0AFF">
        <w:rPr>
          <w:rFonts w:cs="Calibri"/>
          <w:snapToGrid/>
          <w:szCs w:val="24"/>
          <w:lang w:val="en-US" w:eastAsia="en-AU"/>
        </w:rPr>
        <w:t>The submission also claimed that</w:t>
      </w:r>
      <w:r>
        <w:rPr>
          <w:rFonts w:cs="Calibri"/>
          <w:snapToGrid/>
          <w:szCs w:val="24"/>
          <w:lang w:val="en-US" w:eastAsia="en-AU"/>
        </w:rPr>
        <w:t xml:space="preserve"> t</w:t>
      </w:r>
      <w:r w:rsidRPr="00CD0AFF">
        <w:rPr>
          <w:rFonts w:cs="Calibri"/>
          <w:snapToGrid/>
          <w:szCs w:val="24"/>
          <w:lang w:val="en-US" w:eastAsia="en-AU"/>
        </w:rPr>
        <w:t xml:space="preserve">he </w:t>
      </w:r>
      <w:proofErr w:type="spellStart"/>
      <w:r w:rsidRPr="00CD0AFF">
        <w:rPr>
          <w:rFonts w:cs="Calibri"/>
          <w:snapToGrid/>
          <w:szCs w:val="24"/>
          <w:lang w:val="en-US" w:eastAsia="en-AU"/>
        </w:rPr>
        <w:t>MenACWY</w:t>
      </w:r>
      <w:proofErr w:type="spellEnd"/>
      <w:r w:rsidRPr="00CD0AFF">
        <w:rPr>
          <w:rFonts w:cs="Calibri"/>
          <w:snapToGrid/>
          <w:szCs w:val="24"/>
          <w:lang w:val="en-US" w:eastAsia="en-AU"/>
        </w:rPr>
        <w:t xml:space="preserve">-TT vaccine was associated with a higher proportion of subjects achieving </w:t>
      </w:r>
      <w:proofErr w:type="spellStart"/>
      <w:r w:rsidRPr="00CD0AFF">
        <w:rPr>
          <w:rFonts w:cs="Calibri"/>
          <w:snapToGrid/>
          <w:szCs w:val="24"/>
          <w:lang w:val="en-US" w:eastAsia="en-AU"/>
        </w:rPr>
        <w:t>rSBA-MenC</w:t>
      </w:r>
      <w:proofErr w:type="spellEnd"/>
      <w:r w:rsidRPr="00CD0AFF">
        <w:rPr>
          <w:rFonts w:cs="Calibri"/>
          <w:snapToGrid/>
          <w:szCs w:val="24"/>
          <w:lang w:val="en-US" w:eastAsia="en-AU"/>
        </w:rPr>
        <w:t xml:space="preserve"> ≥ 1:128 </w:t>
      </w:r>
      <w:proofErr w:type="spellStart"/>
      <w:r w:rsidRPr="00CD0AFF">
        <w:rPr>
          <w:rFonts w:cs="Calibri"/>
          <w:snapToGrid/>
          <w:szCs w:val="24"/>
          <w:lang w:val="en-US" w:eastAsia="en-AU"/>
        </w:rPr>
        <w:t>titre</w:t>
      </w:r>
      <w:r>
        <w:rPr>
          <w:rFonts w:cs="Calibri"/>
          <w:snapToGrid/>
          <w:szCs w:val="24"/>
          <w:lang w:val="en-US" w:eastAsia="en-AU"/>
        </w:rPr>
        <w:t>s</w:t>
      </w:r>
      <w:proofErr w:type="spellEnd"/>
      <w:r w:rsidRPr="00CD0AFF">
        <w:rPr>
          <w:rFonts w:cs="Calibri"/>
          <w:snapToGrid/>
          <w:szCs w:val="24"/>
          <w:lang w:val="en-US" w:eastAsia="en-AU"/>
        </w:rPr>
        <w:t xml:space="preserve"> </w:t>
      </w:r>
      <w:r>
        <w:rPr>
          <w:rFonts w:cs="Calibri"/>
          <w:snapToGrid/>
          <w:szCs w:val="24"/>
          <w:lang w:val="en-US" w:eastAsia="en-AU"/>
        </w:rPr>
        <w:t>(relative risk =</w:t>
      </w:r>
      <w:r w:rsidRPr="00CD0AFF">
        <w:rPr>
          <w:rFonts w:cs="Calibri"/>
          <w:snapToGrid/>
          <w:szCs w:val="24"/>
          <w:lang w:val="en-US" w:eastAsia="en-AU"/>
        </w:rPr>
        <w:t xml:space="preserve"> </w:t>
      </w:r>
      <w:r w:rsidRPr="00CD0AFF">
        <w:rPr>
          <w:rFonts w:cs="Calibri"/>
          <w:snapToGrid/>
          <w:szCs w:val="24"/>
          <w:lang w:val="en-US" w:eastAsia="en-AU"/>
        </w:rPr>
        <w:lastRenderedPageBreak/>
        <w:t>1.21</w:t>
      </w:r>
      <w:r>
        <w:rPr>
          <w:rFonts w:cs="Calibri"/>
          <w:snapToGrid/>
          <w:szCs w:val="24"/>
          <w:lang w:val="en-US" w:eastAsia="en-AU"/>
        </w:rPr>
        <w:t xml:space="preserve">, </w:t>
      </w:r>
      <w:r w:rsidRPr="00CD0AFF">
        <w:rPr>
          <w:rFonts w:cs="Calibri"/>
          <w:snapToGrid/>
          <w:szCs w:val="24"/>
          <w:lang w:val="en-US" w:eastAsia="en-AU"/>
        </w:rPr>
        <w:t>95% CI: 1.04, 1.41)</w:t>
      </w:r>
      <w:r>
        <w:rPr>
          <w:rFonts w:cs="Calibri"/>
          <w:snapToGrid/>
          <w:szCs w:val="24"/>
          <w:lang w:val="en-US" w:eastAsia="en-AU"/>
        </w:rPr>
        <w:t xml:space="preserve"> and GMT ratios (2.51, </w:t>
      </w:r>
      <w:r w:rsidRPr="00CD0AFF">
        <w:rPr>
          <w:rFonts w:cs="Calibri"/>
          <w:snapToGrid/>
          <w:szCs w:val="24"/>
          <w:lang w:val="en-US" w:eastAsia="en-AU"/>
        </w:rPr>
        <w:t>95% CI: 1.63, 3.88)</w:t>
      </w:r>
      <w:r>
        <w:rPr>
          <w:rFonts w:cs="Calibri"/>
          <w:snapToGrid/>
          <w:szCs w:val="24"/>
          <w:lang w:val="en-US" w:eastAsia="en-AU"/>
        </w:rPr>
        <w:t xml:space="preserve"> </w:t>
      </w:r>
      <w:r w:rsidRPr="00CD0AFF">
        <w:rPr>
          <w:rFonts w:cs="Calibri"/>
          <w:snapToGrid/>
          <w:szCs w:val="24"/>
          <w:lang w:val="en-US" w:eastAsia="en-AU"/>
        </w:rPr>
        <w:t>compared with the Hib-</w:t>
      </w:r>
      <w:proofErr w:type="spellStart"/>
      <w:r w:rsidRPr="00CD0AFF">
        <w:rPr>
          <w:rFonts w:cs="Calibri"/>
          <w:snapToGrid/>
          <w:szCs w:val="24"/>
          <w:lang w:val="en-US" w:eastAsia="en-AU"/>
        </w:rPr>
        <w:t>MenC</w:t>
      </w:r>
      <w:proofErr w:type="spellEnd"/>
      <w:r w:rsidRPr="00CD0AFF">
        <w:rPr>
          <w:rFonts w:cs="Calibri"/>
          <w:snapToGrid/>
          <w:szCs w:val="24"/>
          <w:lang w:val="en-US" w:eastAsia="en-AU"/>
        </w:rPr>
        <w:t xml:space="preserve"> vaccine (p102 of the submission).</w:t>
      </w:r>
    </w:p>
    <w:p w:rsidR="004D4904" w:rsidRPr="00646CBD" w:rsidRDefault="004D4904" w:rsidP="004D4904">
      <w:pPr>
        <w:pStyle w:val="ListParagraph"/>
        <w:widowControl/>
        <w:numPr>
          <w:ilvl w:val="1"/>
          <w:numId w:val="1"/>
        </w:numPr>
      </w:pPr>
      <w:r w:rsidRPr="00646CBD">
        <w:rPr>
          <w:rFonts w:cs="Calibri"/>
          <w:snapToGrid/>
          <w:szCs w:val="24"/>
          <w:lang w:val="en-US" w:eastAsia="en-AU"/>
        </w:rPr>
        <w:t>Conducting an indirect comparison of non-inferiority trials introduces uncertainty as finding a non-statistically significant result does not mean that the vaccines are non-inferior.</w:t>
      </w:r>
    </w:p>
    <w:p w:rsidR="004D4904" w:rsidRPr="006C284F" w:rsidRDefault="004D4904" w:rsidP="00FC3536">
      <w:pPr>
        <w:pStyle w:val="ListParagraph"/>
        <w:widowControl/>
        <w:numPr>
          <w:ilvl w:val="1"/>
          <w:numId w:val="1"/>
        </w:numPr>
        <w:rPr>
          <w:rFonts w:cs="Calibri"/>
          <w:snapToGrid/>
          <w:szCs w:val="24"/>
          <w:lang w:val="en-US" w:eastAsia="en-AU"/>
        </w:rPr>
      </w:pPr>
      <w:r w:rsidRPr="006C284F">
        <w:rPr>
          <w:rFonts w:cs="Calibri"/>
          <w:snapToGrid/>
          <w:szCs w:val="24"/>
          <w:lang w:val="en-US" w:eastAsia="en-AU"/>
        </w:rPr>
        <w:t xml:space="preserve">There </w:t>
      </w:r>
      <w:proofErr w:type="gramStart"/>
      <w:r w:rsidRPr="006C284F">
        <w:rPr>
          <w:rFonts w:cs="Calibri"/>
          <w:snapToGrid/>
          <w:szCs w:val="24"/>
          <w:lang w:val="en-US" w:eastAsia="en-AU"/>
        </w:rPr>
        <w:t>was</w:t>
      </w:r>
      <w:proofErr w:type="gramEnd"/>
      <w:r w:rsidRPr="006C284F">
        <w:rPr>
          <w:rFonts w:cs="Calibri"/>
          <w:snapToGrid/>
          <w:szCs w:val="24"/>
          <w:lang w:val="en-US" w:eastAsia="en-AU"/>
        </w:rPr>
        <w:t xml:space="preserve"> a higher proportion of subjects with </w:t>
      </w:r>
      <w:proofErr w:type="spellStart"/>
      <w:r w:rsidRPr="006C284F">
        <w:rPr>
          <w:rFonts w:cs="Calibri"/>
          <w:snapToGrid/>
          <w:szCs w:val="24"/>
          <w:lang w:val="en-US" w:eastAsia="en-AU"/>
        </w:rPr>
        <w:t>rSBA</w:t>
      </w:r>
      <w:proofErr w:type="spellEnd"/>
      <w:r w:rsidRPr="006C284F">
        <w:rPr>
          <w:rFonts w:cs="Calibri"/>
          <w:snapToGrid/>
          <w:szCs w:val="24"/>
          <w:lang w:val="en-US" w:eastAsia="en-AU"/>
        </w:rPr>
        <w:t xml:space="preserve">-Men </w:t>
      </w:r>
      <w:proofErr w:type="spellStart"/>
      <w:r w:rsidRPr="006C284F">
        <w:rPr>
          <w:rFonts w:cs="Calibri"/>
          <w:snapToGrid/>
          <w:szCs w:val="24"/>
          <w:lang w:val="en-US" w:eastAsia="en-AU"/>
        </w:rPr>
        <w:t>titres</w:t>
      </w:r>
      <w:proofErr w:type="spellEnd"/>
      <w:r w:rsidRPr="006C284F">
        <w:rPr>
          <w:rFonts w:cs="Calibri"/>
          <w:snapToGrid/>
          <w:szCs w:val="24"/>
          <w:lang w:val="en-US" w:eastAsia="en-AU"/>
        </w:rPr>
        <w:t xml:space="preserve"> ≥ 1:8 in </w:t>
      </w:r>
      <w:proofErr w:type="spellStart"/>
      <w:r w:rsidRPr="006C284F">
        <w:rPr>
          <w:rFonts w:cs="Calibri"/>
          <w:snapToGrid/>
          <w:szCs w:val="24"/>
          <w:lang w:val="en-US" w:eastAsia="en-AU"/>
        </w:rPr>
        <w:t>MenACWY</w:t>
      </w:r>
      <w:proofErr w:type="spellEnd"/>
      <w:r w:rsidRPr="006C284F">
        <w:rPr>
          <w:rFonts w:cs="Calibri"/>
          <w:snapToGrid/>
          <w:szCs w:val="24"/>
          <w:lang w:val="en-US" w:eastAsia="en-AU"/>
        </w:rPr>
        <w:t>-TT clinical trials pre-vaccination (7.1 – 45.0%) compared to the Hib-</w:t>
      </w:r>
      <w:proofErr w:type="spellStart"/>
      <w:r w:rsidRPr="006C284F">
        <w:rPr>
          <w:rFonts w:cs="Calibri"/>
          <w:snapToGrid/>
          <w:szCs w:val="24"/>
          <w:lang w:val="en-US" w:eastAsia="en-AU"/>
        </w:rPr>
        <w:t>MenC</w:t>
      </w:r>
      <w:proofErr w:type="spellEnd"/>
      <w:r w:rsidRPr="006C284F">
        <w:rPr>
          <w:rFonts w:cs="Calibri"/>
          <w:snapToGrid/>
          <w:szCs w:val="24"/>
          <w:lang w:val="en-US" w:eastAsia="en-AU"/>
        </w:rPr>
        <w:t xml:space="preserve"> trials pre-vaccination (8.4 - 14.5%). </w:t>
      </w:r>
      <w:r w:rsidR="00FC3536" w:rsidRPr="006C284F">
        <w:rPr>
          <w:rFonts w:cs="Calibri"/>
          <w:snapToGrid/>
          <w:szCs w:val="24"/>
          <w:lang w:val="en-US" w:eastAsia="en-AU"/>
        </w:rPr>
        <w:t xml:space="preserve">However, the proportion of subjects achieving </w:t>
      </w:r>
      <w:proofErr w:type="spellStart"/>
      <w:r w:rsidR="00FC3536" w:rsidRPr="006C284F">
        <w:rPr>
          <w:rFonts w:cs="Calibri"/>
          <w:snapToGrid/>
          <w:szCs w:val="24"/>
          <w:lang w:val="en-US" w:eastAsia="en-AU"/>
        </w:rPr>
        <w:t>rSBA-MenC</w:t>
      </w:r>
      <w:proofErr w:type="spellEnd"/>
      <w:r w:rsidR="00FC3536" w:rsidRPr="006C284F">
        <w:rPr>
          <w:rFonts w:cs="Calibri"/>
          <w:snapToGrid/>
          <w:szCs w:val="24"/>
          <w:lang w:val="en-US" w:eastAsia="en-AU"/>
        </w:rPr>
        <w:t xml:space="preserve"> ≥ 1:8 </w:t>
      </w:r>
      <w:proofErr w:type="spellStart"/>
      <w:r w:rsidR="00FC3536" w:rsidRPr="006C284F">
        <w:rPr>
          <w:rFonts w:cs="Calibri"/>
          <w:snapToGrid/>
          <w:szCs w:val="24"/>
          <w:lang w:val="en-US" w:eastAsia="en-AU"/>
        </w:rPr>
        <w:t>titre</w:t>
      </w:r>
      <w:proofErr w:type="spellEnd"/>
      <w:r w:rsidR="00FC3536" w:rsidRPr="006C284F">
        <w:rPr>
          <w:rFonts w:cs="Calibri"/>
          <w:snapToGrid/>
          <w:szCs w:val="24"/>
          <w:lang w:val="en-US" w:eastAsia="en-AU"/>
        </w:rPr>
        <w:t xml:space="preserve"> with the common reference (the </w:t>
      </w:r>
      <w:proofErr w:type="spellStart"/>
      <w:r w:rsidR="00FC3536" w:rsidRPr="006C284F">
        <w:rPr>
          <w:rFonts w:cs="Calibri"/>
          <w:snapToGrid/>
          <w:szCs w:val="24"/>
          <w:lang w:val="en-US" w:eastAsia="en-AU"/>
        </w:rPr>
        <w:t>MenC</w:t>
      </w:r>
      <w:proofErr w:type="spellEnd"/>
      <w:r w:rsidR="00FC3536" w:rsidRPr="006C284F">
        <w:rPr>
          <w:rFonts w:cs="Calibri"/>
          <w:snapToGrid/>
          <w:szCs w:val="24"/>
          <w:lang w:val="en-US" w:eastAsia="en-AU"/>
        </w:rPr>
        <w:t xml:space="preserve"> vaccine) was consistent across the trials (98.0% vs. 100%).</w:t>
      </w:r>
    </w:p>
    <w:p w:rsidR="007763E6" w:rsidRPr="00646CBD" w:rsidRDefault="007763E6" w:rsidP="007763E6">
      <w:pPr>
        <w:pStyle w:val="ListParagraph"/>
        <w:widowControl/>
        <w:numPr>
          <w:ilvl w:val="1"/>
          <w:numId w:val="1"/>
        </w:numPr>
        <w:rPr>
          <w:rFonts w:cs="Calibri"/>
          <w:snapToGrid/>
          <w:szCs w:val="24"/>
          <w:lang w:val="en-US" w:eastAsia="en-AU"/>
        </w:rPr>
      </w:pPr>
      <w:r w:rsidRPr="00646CBD">
        <w:rPr>
          <w:rFonts w:cs="Calibri"/>
          <w:snapToGrid/>
          <w:szCs w:val="24"/>
          <w:lang w:val="en-US" w:eastAsia="en-AU"/>
        </w:rPr>
        <w:t>The submission did not conduct an indirect comparison using the persistence data.</w:t>
      </w:r>
    </w:p>
    <w:p w:rsidR="002F02B8" w:rsidRPr="00FE70C3" w:rsidRDefault="002F02B8" w:rsidP="00D43B2A">
      <w:pPr>
        <w:rPr>
          <w:rStyle w:val="CommentReference"/>
          <w:b w:val="0"/>
        </w:rPr>
      </w:pPr>
    </w:p>
    <w:p w:rsidR="00B60939" w:rsidRPr="00C9624D" w:rsidRDefault="00B60939" w:rsidP="002F02B8">
      <w:pPr>
        <w:pStyle w:val="Heading2"/>
        <w:keepNext/>
      </w:pPr>
      <w:bookmarkStart w:id="7" w:name="_Toc500765125"/>
      <w:r w:rsidRPr="00C9624D">
        <w:t>Comparative harms</w:t>
      </w:r>
      <w:bookmarkEnd w:id="7"/>
    </w:p>
    <w:p w:rsidR="00CF535A" w:rsidRDefault="002F02B8" w:rsidP="00586FAD">
      <w:pPr>
        <w:pStyle w:val="ListParagraph"/>
        <w:widowControl/>
        <w:numPr>
          <w:ilvl w:val="1"/>
          <w:numId w:val="1"/>
        </w:numPr>
        <w:rPr>
          <w:rFonts w:cs="Calibri"/>
          <w:snapToGrid/>
          <w:szCs w:val="24"/>
          <w:lang w:val="en-US" w:eastAsia="en-AU"/>
        </w:rPr>
      </w:pPr>
      <w:r w:rsidRPr="00F1705A">
        <w:rPr>
          <w:rFonts w:cs="Calibri"/>
          <w:snapToGrid/>
          <w:szCs w:val="24"/>
          <w:lang w:val="en-US" w:eastAsia="en-AU"/>
        </w:rPr>
        <w:t xml:space="preserve">Table </w:t>
      </w:r>
      <w:r w:rsidR="0025223B">
        <w:rPr>
          <w:rFonts w:cs="Calibri"/>
          <w:snapToGrid/>
          <w:szCs w:val="24"/>
          <w:lang w:val="en-US" w:eastAsia="en-AU"/>
        </w:rPr>
        <w:t>6</w:t>
      </w:r>
      <w:r w:rsidRPr="00F1705A">
        <w:rPr>
          <w:rFonts w:cs="Calibri"/>
          <w:snapToGrid/>
          <w:szCs w:val="24"/>
          <w:lang w:val="en-US" w:eastAsia="en-AU"/>
        </w:rPr>
        <w:t xml:space="preserve"> presents a summary of the safety results across the </w:t>
      </w:r>
      <w:proofErr w:type="spellStart"/>
      <w:r w:rsidR="00F1705A" w:rsidRPr="00F1705A">
        <w:rPr>
          <w:rFonts w:cs="Calibri"/>
          <w:snapToGrid/>
          <w:szCs w:val="24"/>
          <w:lang w:val="en-US" w:eastAsia="en-AU"/>
        </w:rPr>
        <w:t>MenACWY</w:t>
      </w:r>
      <w:proofErr w:type="spellEnd"/>
      <w:r w:rsidR="00F1705A" w:rsidRPr="00F1705A">
        <w:rPr>
          <w:rFonts w:cs="Calibri"/>
          <w:snapToGrid/>
          <w:szCs w:val="24"/>
          <w:lang w:val="en-US" w:eastAsia="en-AU"/>
        </w:rPr>
        <w:t xml:space="preserve">-TT </w:t>
      </w:r>
      <w:r w:rsidRPr="00F1705A">
        <w:rPr>
          <w:rFonts w:cs="Calibri"/>
          <w:snapToGrid/>
          <w:szCs w:val="24"/>
          <w:lang w:val="en-US" w:eastAsia="en-AU"/>
        </w:rPr>
        <w:t>trials.</w:t>
      </w:r>
    </w:p>
    <w:p w:rsidR="00CF535A" w:rsidRDefault="00CF535A">
      <w:pPr>
        <w:widowControl/>
        <w:jc w:val="left"/>
        <w:rPr>
          <w:rFonts w:cs="Calibri"/>
          <w:snapToGrid/>
          <w:szCs w:val="24"/>
          <w:lang w:val="en-US" w:eastAsia="en-AU"/>
        </w:rPr>
      </w:pPr>
      <w:r>
        <w:rPr>
          <w:rFonts w:cs="Calibri"/>
          <w:snapToGrid/>
          <w:szCs w:val="24"/>
          <w:lang w:val="en-US" w:eastAsia="en-AU"/>
        </w:rPr>
        <w:br w:type="page"/>
      </w:r>
    </w:p>
    <w:p w:rsidR="002F02B8" w:rsidRPr="00F1705A" w:rsidRDefault="002F02B8" w:rsidP="00CF535A">
      <w:pPr>
        <w:pStyle w:val="ListParagraph"/>
        <w:widowControl/>
      </w:pPr>
    </w:p>
    <w:p w:rsidR="00F1705A" w:rsidRPr="00F1705A" w:rsidRDefault="00F1705A" w:rsidP="00F1705A">
      <w:pPr>
        <w:keepNext/>
        <w:keepLines/>
        <w:rPr>
          <w:rStyle w:val="CommentReference"/>
        </w:rPr>
      </w:pPr>
      <w:r w:rsidRPr="00F1705A">
        <w:rPr>
          <w:rStyle w:val="CommentReference"/>
        </w:rPr>
        <w:t xml:space="preserve">Table </w:t>
      </w:r>
      <w:r w:rsidR="0025223B">
        <w:rPr>
          <w:rStyle w:val="CommentReference"/>
        </w:rPr>
        <w:t>6</w:t>
      </w:r>
      <w:r w:rsidRPr="00F1705A">
        <w:rPr>
          <w:rStyle w:val="CommentReference"/>
        </w:rPr>
        <w:t>: Summary of adverse events in the randomised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1849"/>
        <w:gridCol w:w="75"/>
        <w:gridCol w:w="1773"/>
        <w:gridCol w:w="1848"/>
        <w:gridCol w:w="7"/>
        <w:gridCol w:w="1841"/>
      </w:tblGrid>
      <w:tr w:rsidR="00F1705A" w:rsidTr="00EA6E8B">
        <w:trPr>
          <w:cantSplit/>
          <w:trHeight w:val="70"/>
          <w:tblHeader/>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05A" w:rsidRPr="00CF7B1E" w:rsidRDefault="00F1705A" w:rsidP="003D7466">
            <w:pPr>
              <w:pStyle w:val="Tabletext"/>
              <w:rPr>
                <w:b/>
              </w:rPr>
            </w:pPr>
            <w:r w:rsidRPr="00CF7B1E">
              <w:rPr>
                <w:b/>
              </w:rPr>
              <w:t>Trial ID</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05A" w:rsidRPr="00CF7B1E" w:rsidRDefault="00F1705A" w:rsidP="003D7466">
            <w:pPr>
              <w:pStyle w:val="Tabletext"/>
              <w:rPr>
                <w:b/>
              </w:rPr>
            </w:pPr>
            <w:proofErr w:type="spellStart"/>
            <w:r w:rsidRPr="00CF7B1E">
              <w:rPr>
                <w:b/>
              </w:rPr>
              <w:t>MenACWY</w:t>
            </w:r>
            <w:proofErr w:type="spellEnd"/>
            <w:r w:rsidRPr="00CF7B1E">
              <w:rPr>
                <w:b/>
              </w:rPr>
              <w:t>-TT</w:t>
            </w:r>
          </w:p>
          <w:p w:rsidR="00F1705A" w:rsidRPr="00CF7B1E" w:rsidRDefault="00F1705A" w:rsidP="003D7466">
            <w:pPr>
              <w:pStyle w:val="Tabletext"/>
              <w:rPr>
                <w:b/>
              </w:rPr>
            </w:pPr>
            <w:proofErr w:type="gramStart"/>
            <w:r w:rsidRPr="00CF7B1E">
              <w:rPr>
                <w:b/>
              </w:rPr>
              <w:t>n/N</w:t>
            </w:r>
            <w:proofErr w:type="gramEnd"/>
            <w:r w:rsidRPr="00CF7B1E">
              <w:rPr>
                <w:b/>
              </w:rPr>
              <w:t xml:space="preserve">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705A" w:rsidRPr="00CF7B1E" w:rsidRDefault="00F1705A" w:rsidP="003D7466">
            <w:pPr>
              <w:pStyle w:val="Tabletext"/>
              <w:rPr>
                <w:b/>
              </w:rPr>
            </w:pPr>
            <w:proofErr w:type="spellStart"/>
            <w:r w:rsidRPr="00CF7B1E">
              <w:rPr>
                <w:b/>
              </w:rPr>
              <w:t>MenC</w:t>
            </w:r>
            <w:proofErr w:type="spellEnd"/>
          </w:p>
          <w:p w:rsidR="00F1705A" w:rsidRPr="00CF7B1E" w:rsidRDefault="00F1705A" w:rsidP="003D7466">
            <w:pPr>
              <w:pStyle w:val="Tabletext"/>
              <w:rPr>
                <w:b/>
              </w:rPr>
            </w:pPr>
            <w:proofErr w:type="gramStart"/>
            <w:r w:rsidRPr="00CF7B1E">
              <w:rPr>
                <w:b/>
              </w:rPr>
              <w:t>n/N</w:t>
            </w:r>
            <w:proofErr w:type="gramEnd"/>
            <w:r w:rsidRPr="00CF7B1E">
              <w:rPr>
                <w:b/>
              </w:rPr>
              <w:t xml:space="preserve"> (%)</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05A" w:rsidRPr="00CF7B1E" w:rsidRDefault="00F1705A" w:rsidP="003D7466">
            <w:pPr>
              <w:pStyle w:val="Tabletext"/>
              <w:rPr>
                <w:b/>
              </w:rPr>
            </w:pPr>
            <w:r w:rsidRPr="00CF7B1E">
              <w:rPr>
                <w:b/>
              </w:rPr>
              <w:t xml:space="preserve">Relative risk </w:t>
            </w:r>
          </w:p>
          <w:p w:rsidR="00F1705A" w:rsidRPr="00CF7B1E" w:rsidRDefault="00F1705A" w:rsidP="003D7466">
            <w:pPr>
              <w:pStyle w:val="Tabletext"/>
              <w:rPr>
                <w:b/>
              </w:rPr>
            </w:pPr>
            <w:r w:rsidRPr="00CF7B1E">
              <w:rPr>
                <w:b/>
              </w:rPr>
              <w:t>(95% CI)</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705A" w:rsidRPr="00CF7B1E" w:rsidRDefault="00F1705A" w:rsidP="003D7466">
            <w:pPr>
              <w:pStyle w:val="Tabletext"/>
              <w:rPr>
                <w:b/>
              </w:rPr>
            </w:pPr>
            <w:r w:rsidRPr="00CF7B1E">
              <w:rPr>
                <w:b/>
              </w:rPr>
              <w:t xml:space="preserve">Risk difference </w:t>
            </w:r>
          </w:p>
          <w:p w:rsidR="00F1705A" w:rsidRPr="00CF7B1E" w:rsidRDefault="00F1705A" w:rsidP="003D7466">
            <w:pPr>
              <w:pStyle w:val="Tabletext"/>
              <w:rPr>
                <w:b/>
              </w:rPr>
            </w:pPr>
            <w:r w:rsidRPr="00CF7B1E">
              <w:rPr>
                <w:b/>
              </w:rPr>
              <w:t>(95% CI)</w:t>
            </w:r>
          </w:p>
        </w:tc>
      </w:tr>
      <w:tr w:rsidR="00F1705A" w:rsidRPr="00CF7B1E" w:rsidTr="00EA6E8B">
        <w:trPr>
          <w:cantSplit/>
          <w:trHeight w:val="70"/>
        </w:trPr>
        <w:tc>
          <w:tcPr>
            <w:tcW w:w="90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1705A" w:rsidRPr="00CF7B1E" w:rsidRDefault="00F1705A" w:rsidP="003D7466">
            <w:pPr>
              <w:pStyle w:val="Tabletext"/>
              <w:widowControl w:val="0"/>
              <w:rPr>
                <w:b/>
              </w:rPr>
            </w:pPr>
            <w:r w:rsidRPr="00CF7B1E">
              <w:rPr>
                <w:b/>
              </w:rPr>
              <w:t>Any symptoms</w:t>
            </w:r>
            <w:r>
              <w:rPr>
                <w:b/>
              </w:rPr>
              <w:t xml:space="preserve"> at day 4</w:t>
            </w:r>
          </w:p>
        </w:tc>
      </w:tr>
      <w:tr w:rsidR="00F1705A" w:rsidTr="00EA6E8B">
        <w:trPr>
          <w:cantSplit/>
          <w:trHeight w:val="70"/>
        </w:trPr>
        <w:tc>
          <w:tcPr>
            <w:tcW w:w="1804" w:type="dxa"/>
            <w:tcBorders>
              <w:top w:val="single" w:sz="4" w:space="0" w:color="auto"/>
              <w:left w:val="single" w:sz="4" w:space="0" w:color="auto"/>
              <w:bottom w:val="single" w:sz="4" w:space="0" w:color="auto"/>
              <w:right w:val="single" w:sz="4" w:space="0" w:color="auto"/>
            </w:tcBorders>
            <w:vAlign w:val="center"/>
            <w:hideMark/>
          </w:tcPr>
          <w:p w:rsidR="00F1705A" w:rsidRPr="00E50D61" w:rsidRDefault="00F1705A" w:rsidP="003D7466">
            <w:pPr>
              <w:pStyle w:val="Tabletext"/>
              <w:widowControl w:val="0"/>
            </w:pPr>
            <w:r>
              <w:t>MenACWY-TT-013</w:t>
            </w:r>
            <w:r w:rsidRPr="00E50D61">
              <w:t>#</w:t>
            </w:r>
          </w:p>
        </w:tc>
        <w:tc>
          <w:tcPr>
            <w:tcW w:w="1804" w:type="dxa"/>
            <w:tcBorders>
              <w:top w:val="single" w:sz="4" w:space="0" w:color="auto"/>
              <w:left w:val="single" w:sz="4" w:space="0" w:color="auto"/>
              <w:bottom w:val="single" w:sz="4" w:space="0" w:color="auto"/>
              <w:right w:val="single" w:sz="4" w:space="0" w:color="auto"/>
            </w:tcBorders>
            <w:vAlign w:val="center"/>
          </w:tcPr>
          <w:p w:rsidR="00F1705A" w:rsidRPr="00E50D61" w:rsidRDefault="00F1705A" w:rsidP="003D7466">
            <w:pPr>
              <w:pStyle w:val="Tabletext"/>
              <w:widowControl w:val="0"/>
            </w:pPr>
            <w:r>
              <w:t>39/48 (81.3)</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t>37/48 (77.1)</w:t>
            </w:r>
          </w:p>
        </w:tc>
        <w:tc>
          <w:tcPr>
            <w:tcW w:w="1803" w:type="dxa"/>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t>1.05 (0.86, 1.29)</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t>0.04 (-0.12, 0.20)</w:t>
            </w:r>
          </w:p>
        </w:tc>
      </w:tr>
      <w:tr w:rsidR="00F1705A" w:rsidTr="00EA6E8B">
        <w:trPr>
          <w:cantSplit/>
          <w:trHeight w:val="70"/>
        </w:trPr>
        <w:tc>
          <w:tcPr>
            <w:tcW w:w="1804" w:type="dxa"/>
            <w:tcBorders>
              <w:top w:val="single" w:sz="4" w:space="0" w:color="auto"/>
              <w:left w:val="single" w:sz="4" w:space="0" w:color="auto"/>
              <w:bottom w:val="single" w:sz="4" w:space="0" w:color="auto"/>
              <w:right w:val="single" w:sz="4" w:space="0" w:color="auto"/>
            </w:tcBorders>
            <w:vAlign w:val="center"/>
            <w:hideMark/>
          </w:tcPr>
          <w:p w:rsidR="00F1705A" w:rsidRPr="00E50D61" w:rsidRDefault="00F1705A" w:rsidP="003D7466">
            <w:pPr>
              <w:pStyle w:val="Tabletext"/>
              <w:widowControl w:val="0"/>
            </w:pPr>
            <w:r>
              <w:t>MenACWY-TT-027</w:t>
            </w:r>
          </w:p>
        </w:tc>
        <w:tc>
          <w:tcPr>
            <w:tcW w:w="1804" w:type="dxa"/>
            <w:tcBorders>
              <w:top w:val="single" w:sz="4" w:space="0" w:color="auto"/>
              <w:left w:val="single" w:sz="4" w:space="0" w:color="auto"/>
              <w:bottom w:val="single" w:sz="4" w:space="0" w:color="auto"/>
              <w:right w:val="single" w:sz="4" w:space="0" w:color="auto"/>
            </w:tcBorders>
            <w:vAlign w:val="center"/>
          </w:tcPr>
          <w:p w:rsidR="00F1705A" w:rsidRPr="00E50D61" w:rsidRDefault="00F1705A" w:rsidP="003D7466">
            <w:pPr>
              <w:pStyle w:val="Tabletext"/>
              <w:widowControl w:val="0"/>
            </w:pPr>
            <w:r>
              <w:t>186/229 (81.2)</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t>63/75 (84.0)</w:t>
            </w:r>
          </w:p>
        </w:tc>
        <w:tc>
          <w:tcPr>
            <w:tcW w:w="1803" w:type="dxa"/>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rsidRPr="008310FD">
              <w:t>0.97 (0.86, 1.09)</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rsidRPr="008310FD">
              <w:t>-0.03 (-0.12, 0.07)</w:t>
            </w:r>
          </w:p>
        </w:tc>
      </w:tr>
      <w:tr w:rsidR="00F1705A" w:rsidTr="00EA6E8B">
        <w:trPr>
          <w:cantSplit/>
          <w:trHeight w:val="70"/>
        </w:trPr>
        <w:tc>
          <w:tcPr>
            <w:tcW w:w="1804" w:type="dxa"/>
            <w:tcBorders>
              <w:top w:val="single" w:sz="4" w:space="0" w:color="auto"/>
              <w:left w:val="single" w:sz="4" w:space="0" w:color="auto"/>
              <w:bottom w:val="single" w:sz="4" w:space="0" w:color="auto"/>
              <w:right w:val="single" w:sz="4" w:space="0" w:color="auto"/>
            </w:tcBorders>
            <w:vAlign w:val="center"/>
            <w:hideMark/>
          </w:tcPr>
          <w:p w:rsidR="00F1705A" w:rsidRPr="00E50D61" w:rsidRDefault="00F1705A" w:rsidP="003D7466">
            <w:pPr>
              <w:pStyle w:val="Tabletext"/>
              <w:widowControl w:val="0"/>
            </w:pPr>
            <w:r>
              <w:t>MenACWY-TT-039</w:t>
            </w:r>
            <w:r w:rsidRPr="00E50D61">
              <w:t xml:space="preserve"> </w:t>
            </w:r>
          </w:p>
        </w:tc>
        <w:tc>
          <w:tcPr>
            <w:tcW w:w="1804" w:type="dxa"/>
            <w:tcBorders>
              <w:top w:val="single" w:sz="4" w:space="0" w:color="auto"/>
              <w:left w:val="single" w:sz="4" w:space="0" w:color="auto"/>
              <w:bottom w:val="single" w:sz="4" w:space="0" w:color="auto"/>
              <w:right w:val="single" w:sz="4" w:space="0" w:color="auto"/>
            </w:tcBorders>
            <w:vAlign w:val="center"/>
          </w:tcPr>
          <w:p w:rsidR="00F1705A" w:rsidRPr="00E50D61" w:rsidRDefault="00F1705A" w:rsidP="003D7466">
            <w:pPr>
              <w:pStyle w:val="Tabletext"/>
              <w:widowControl w:val="0"/>
            </w:pPr>
            <w:r>
              <w:t>306/374 (81.8)</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t>108/125 (86.4)</w:t>
            </w:r>
          </w:p>
        </w:tc>
        <w:tc>
          <w:tcPr>
            <w:tcW w:w="1803" w:type="dxa"/>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rsidRPr="008310FD">
              <w:t>0.95 (0.87, 1.03)</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rsidRPr="008310FD">
              <w:t>-0.05 (-0.12, 0.03)</w:t>
            </w:r>
          </w:p>
        </w:tc>
      </w:tr>
      <w:tr w:rsidR="00F1705A" w:rsidRPr="00537413" w:rsidTr="00EA6E8B">
        <w:trPr>
          <w:cantSplit/>
          <w:trHeight w:val="70"/>
        </w:trPr>
        <w:tc>
          <w:tcPr>
            <w:tcW w:w="1804" w:type="dxa"/>
            <w:tcBorders>
              <w:top w:val="single" w:sz="4" w:space="0" w:color="auto"/>
              <w:left w:val="single" w:sz="4" w:space="0" w:color="auto"/>
              <w:bottom w:val="single" w:sz="4" w:space="0" w:color="auto"/>
              <w:right w:val="single" w:sz="4" w:space="0" w:color="auto"/>
            </w:tcBorders>
            <w:vAlign w:val="center"/>
            <w:hideMark/>
          </w:tcPr>
          <w:p w:rsidR="00F1705A" w:rsidRPr="00537413" w:rsidRDefault="00F1705A" w:rsidP="003D7466">
            <w:pPr>
              <w:pStyle w:val="Tabletext"/>
              <w:widowControl w:val="0"/>
              <w:rPr>
                <w:b/>
              </w:rPr>
            </w:pPr>
            <w:r w:rsidRPr="00537413">
              <w:rPr>
                <w:b/>
              </w:rPr>
              <w:t>MenACWY-TT-040</w:t>
            </w:r>
          </w:p>
        </w:tc>
        <w:tc>
          <w:tcPr>
            <w:tcW w:w="1804" w:type="dxa"/>
            <w:tcBorders>
              <w:top w:val="single" w:sz="4" w:space="0" w:color="auto"/>
              <w:left w:val="single" w:sz="4" w:space="0" w:color="auto"/>
              <w:bottom w:val="single" w:sz="4" w:space="0" w:color="auto"/>
              <w:right w:val="single" w:sz="4" w:space="0" w:color="auto"/>
            </w:tcBorders>
            <w:vAlign w:val="center"/>
          </w:tcPr>
          <w:p w:rsidR="00F1705A" w:rsidRPr="00537413" w:rsidRDefault="00F1705A" w:rsidP="003D7466">
            <w:pPr>
              <w:pStyle w:val="Tabletext"/>
              <w:widowControl w:val="0"/>
              <w:rPr>
                <w:b/>
              </w:rPr>
            </w:pPr>
            <w:r w:rsidRPr="00537413">
              <w:rPr>
                <w:b/>
              </w:rPr>
              <w:t>147/220 (66.8)</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F1705A" w:rsidRPr="00537413" w:rsidRDefault="00F1705A" w:rsidP="003D7466">
            <w:pPr>
              <w:pStyle w:val="Tabletext"/>
              <w:widowControl w:val="0"/>
              <w:rPr>
                <w:b/>
              </w:rPr>
            </w:pPr>
            <w:r w:rsidRPr="00537413">
              <w:rPr>
                <w:b/>
              </w:rPr>
              <w:t>69/127 (54.3)</w:t>
            </w:r>
          </w:p>
        </w:tc>
        <w:tc>
          <w:tcPr>
            <w:tcW w:w="1803" w:type="dxa"/>
            <w:tcBorders>
              <w:top w:val="single" w:sz="4" w:space="0" w:color="auto"/>
              <w:left w:val="single" w:sz="4" w:space="0" w:color="auto"/>
              <w:bottom w:val="single" w:sz="4" w:space="0" w:color="auto"/>
              <w:right w:val="single" w:sz="4" w:space="0" w:color="auto"/>
            </w:tcBorders>
            <w:vAlign w:val="center"/>
          </w:tcPr>
          <w:p w:rsidR="00F1705A" w:rsidRPr="00537413" w:rsidRDefault="00F1705A" w:rsidP="003D7466">
            <w:pPr>
              <w:pStyle w:val="Tabletext"/>
              <w:widowControl w:val="0"/>
              <w:rPr>
                <w:b/>
              </w:rPr>
            </w:pPr>
            <w:r w:rsidRPr="00537413">
              <w:rPr>
                <w:b/>
              </w:rPr>
              <w:t>1.23 (1.02, 1.48)*</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F1705A" w:rsidRPr="00537413" w:rsidRDefault="00F1705A" w:rsidP="003D7466">
            <w:pPr>
              <w:pStyle w:val="Tabletext"/>
              <w:widowControl w:val="0"/>
              <w:rPr>
                <w:b/>
              </w:rPr>
            </w:pPr>
            <w:r w:rsidRPr="00537413">
              <w:rPr>
                <w:b/>
              </w:rPr>
              <w:t>0.12 (0.02, 0.23)*</w:t>
            </w:r>
          </w:p>
        </w:tc>
      </w:tr>
      <w:tr w:rsidR="00F1705A" w:rsidRPr="00CF7B1E" w:rsidTr="00EA6E8B">
        <w:trPr>
          <w:cantSplit/>
          <w:trHeight w:val="70"/>
        </w:trPr>
        <w:tc>
          <w:tcPr>
            <w:tcW w:w="90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1705A" w:rsidRPr="00CF7B1E" w:rsidRDefault="00F1705A" w:rsidP="003D7466">
            <w:pPr>
              <w:pStyle w:val="Tabletext"/>
              <w:widowControl w:val="0"/>
              <w:rPr>
                <w:b/>
              </w:rPr>
            </w:pPr>
            <w:r w:rsidRPr="00CF7B1E">
              <w:rPr>
                <w:b/>
              </w:rPr>
              <w:t>Severity Grade 3</w:t>
            </w:r>
            <w:r>
              <w:rPr>
                <w:b/>
              </w:rPr>
              <w:t xml:space="preserve"> at day 4</w:t>
            </w:r>
            <w:r w:rsidR="007763E6">
              <w:rPr>
                <w:b/>
              </w:rPr>
              <w:t xml:space="preserve"> any symptoms</w:t>
            </w:r>
          </w:p>
        </w:tc>
      </w:tr>
      <w:tr w:rsidR="00EA6E8B" w:rsidTr="00EA6E8B">
        <w:trPr>
          <w:cantSplit/>
          <w:trHeight w:val="70"/>
        </w:trPr>
        <w:tc>
          <w:tcPr>
            <w:tcW w:w="1804" w:type="dxa"/>
            <w:tcBorders>
              <w:top w:val="single" w:sz="4" w:space="0" w:color="auto"/>
              <w:left w:val="single" w:sz="4" w:space="0" w:color="auto"/>
              <w:bottom w:val="single" w:sz="4" w:space="0" w:color="auto"/>
              <w:right w:val="single" w:sz="4" w:space="0" w:color="auto"/>
            </w:tcBorders>
            <w:vAlign w:val="center"/>
            <w:hideMark/>
          </w:tcPr>
          <w:p w:rsidR="00EA6E8B" w:rsidRPr="00E50D61" w:rsidRDefault="00EA6E8B" w:rsidP="00EA6E8B">
            <w:pPr>
              <w:pStyle w:val="Tabletext"/>
              <w:widowControl w:val="0"/>
            </w:pPr>
            <w:r>
              <w:t>MenACWY-TT-013</w:t>
            </w:r>
            <w:r w:rsidRPr="00E50D61">
              <w:t>#</w:t>
            </w:r>
          </w:p>
        </w:tc>
        <w:tc>
          <w:tcPr>
            <w:tcW w:w="1804" w:type="dxa"/>
            <w:tcBorders>
              <w:top w:val="single" w:sz="4" w:space="0" w:color="auto"/>
              <w:left w:val="single" w:sz="4" w:space="0" w:color="auto"/>
              <w:bottom w:val="single" w:sz="4" w:space="0" w:color="auto"/>
              <w:right w:val="single" w:sz="4" w:space="0" w:color="auto"/>
            </w:tcBorders>
            <w:vAlign w:val="center"/>
          </w:tcPr>
          <w:p w:rsidR="00EA6E8B" w:rsidRPr="00E50D61" w:rsidRDefault="00EA6E8B" w:rsidP="00EA6E8B">
            <w:pPr>
              <w:pStyle w:val="Tabletext"/>
              <w:widowControl w:val="0"/>
            </w:pPr>
            <w:r>
              <w:t>3/48 (6.3)</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EA6E8B" w:rsidRDefault="00EA6E8B" w:rsidP="00EA6E8B">
            <w:pPr>
              <w:pStyle w:val="Tabletext"/>
              <w:widowControl w:val="0"/>
            </w:pPr>
            <w:r>
              <w:t>3/48 (6.3)</w:t>
            </w:r>
          </w:p>
        </w:tc>
        <w:tc>
          <w:tcPr>
            <w:tcW w:w="1803" w:type="dxa"/>
            <w:tcBorders>
              <w:top w:val="single" w:sz="4" w:space="0" w:color="auto"/>
              <w:left w:val="single" w:sz="4" w:space="0" w:color="auto"/>
              <w:bottom w:val="single" w:sz="4" w:space="0" w:color="auto"/>
              <w:right w:val="single" w:sz="4" w:space="0" w:color="auto"/>
            </w:tcBorders>
            <w:vAlign w:val="center"/>
          </w:tcPr>
          <w:p w:rsidR="00EA6E8B" w:rsidRDefault="00EA6E8B" w:rsidP="00EA6E8B">
            <w:pPr>
              <w:pStyle w:val="Tabletext"/>
              <w:widowControl w:val="0"/>
            </w:pPr>
            <w:r>
              <w:t>1.00 (0.21, 4.71)</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EA6E8B" w:rsidRDefault="00EA6E8B" w:rsidP="00EA6E8B">
            <w:pPr>
              <w:pStyle w:val="Tabletext"/>
              <w:widowControl w:val="0"/>
            </w:pPr>
            <w:r>
              <w:t>0.00 (-0.10, 0.10)</w:t>
            </w:r>
          </w:p>
        </w:tc>
      </w:tr>
      <w:tr w:rsidR="00EA6E8B" w:rsidTr="00EA6E8B">
        <w:trPr>
          <w:cantSplit/>
          <w:trHeight w:val="70"/>
        </w:trPr>
        <w:tc>
          <w:tcPr>
            <w:tcW w:w="1804" w:type="dxa"/>
            <w:tcBorders>
              <w:top w:val="single" w:sz="4" w:space="0" w:color="auto"/>
              <w:left w:val="single" w:sz="4" w:space="0" w:color="auto"/>
              <w:bottom w:val="single" w:sz="4" w:space="0" w:color="auto"/>
              <w:right w:val="single" w:sz="4" w:space="0" w:color="auto"/>
            </w:tcBorders>
            <w:vAlign w:val="center"/>
            <w:hideMark/>
          </w:tcPr>
          <w:p w:rsidR="00EA6E8B" w:rsidRPr="00E50D61" w:rsidRDefault="00EA6E8B" w:rsidP="00EA6E8B">
            <w:pPr>
              <w:pStyle w:val="Tabletext"/>
              <w:widowControl w:val="0"/>
            </w:pPr>
            <w:r>
              <w:t>MenACWY-TT-027</w:t>
            </w:r>
          </w:p>
        </w:tc>
        <w:tc>
          <w:tcPr>
            <w:tcW w:w="1804" w:type="dxa"/>
            <w:tcBorders>
              <w:top w:val="single" w:sz="4" w:space="0" w:color="auto"/>
              <w:left w:val="single" w:sz="4" w:space="0" w:color="auto"/>
              <w:bottom w:val="single" w:sz="4" w:space="0" w:color="auto"/>
              <w:right w:val="single" w:sz="4" w:space="0" w:color="auto"/>
            </w:tcBorders>
            <w:vAlign w:val="center"/>
          </w:tcPr>
          <w:p w:rsidR="00EA6E8B" w:rsidRPr="00E50D61" w:rsidRDefault="00EA6E8B" w:rsidP="00EA6E8B">
            <w:pPr>
              <w:pStyle w:val="Tabletext"/>
              <w:widowControl w:val="0"/>
            </w:pPr>
            <w:r>
              <w:t>22/229 (9.6)</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EA6E8B" w:rsidRDefault="00EA6E8B" w:rsidP="00EA6E8B">
            <w:pPr>
              <w:pStyle w:val="Tabletext"/>
              <w:widowControl w:val="0"/>
            </w:pPr>
            <w:r>
              <w:t>4/75 (5.3)</w:t>
            </w:r>
          </w:p>
        </w:tc>
        <w:tc>
          <w:tcPr>
            <w:tcW w:w="1803" w:type="dxa"/>
            <w:tcBorders>
              <w:top w:val="single" w:sz="4" w:space="0" w:color="auto"/>
              <w:left w:val="single" w:sz="4" w:space="0" w:color="auto"/>
              <w:bottom w:val="single" w:sz="4" w:space="0" w:color="auto"/>
              <w:right w:val="single" w:sz="4" w:space="0" w:color="auto"/>
            </w:tcBorders>
            <w:vAlign w:val="center"/>
          </w:tcPr>
          <w:p w:rsidR="00EA6E8B" w:rsidRDefault="00EA6E8B" w:rsidP="00EA6E8B">
            <w:pPr>
              <w:pStyle w:val="Tabletext"/>
              <w:widowControl w:val="0"/>
            </w:pPr>
            <w:r w:rsidRPr="00984BA0">
              <w:t>1.80 (0.64, 5.06)</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EA6E8B" w:rsidRDefault="00EA6E8B" w:rsidP="00EA6E8B">
            <w:pPr>
              <w:pStyle w:val="Tabletext"/>
              <w:widowControl w:val="0"/>
            </w:pPr>
            <w:r w:rsidRPr="00984BA0">
              <w:t>0.04 (-0.02, 0.11)</w:t>
            </w:r>
          </w:p>
        </w:tc>
      </w:tr>
      <w:tr w:rsidR="00EA6E8B" w:rsidRPr="00537413" w:rsidTr="00EA6E8B">
        <w:trPr>
          <w:cantSplit/>
          <w:trHeight w:val="70"/>
        </w:trPr>
        <w:tc>
          <w:tcPr>
            <w:tcW w:w="1804" w:type="dxa"/>
            <w:tcBorders>
              <w:top w:val="single" w:sz="4" w:space="0" w:color="auto"/>
              <w:left w:val="single" w:sz="4" w:space="0" w:color="auto"/>
              <w:bottom w:val="single" w:sz="4" w:space="0" w:color="auto"/>
              <w:right w:val="single" w:sz="4" w:space="0" w:color="auto"/>
            </w:tcBorders>
            <w:vAlign w:val="center"/>
            <w:hideMark/>
          </w:tcPr>
          <w:p w:rsidR="00EA6E8B" w:rsidRPr="00537413" w:rsidRDefault="00EA6E8B" w:rsidP="00EA6E8B">
            <w:pPr>
              <w:pStyle w:val="Tabletext"/>
              <w:widowControl w:val="0"/>
            </w:pPr>
            <w:r w:rsidRPr="00EA6E8B">
              <w:rPr>
                <w:b/>
              </w:rPr>
              <w:t xml:space="preserve">MenACWY-TT-039 </w:t>
            </w:r>
          </w:p>
        </w:tc>
        <w:tc>
          <w:tcPr>
            <w:tcW w:w="1804" w:type="dxa"/>
            <w:tcBorders>
              <w:top w:val="single" w:sz="4" w:space="0" w:color="auto"/>
              <w:left w:val="single" w:sz="4" w:space="0" w:color="auto"/>
              <w:bottom w:val="single" w:sz="4" w:space="0" w:color="auto"/>
              <w:right w:val="single" w:sz="4" w:space="0" w:color="auto"/>
            </w:tcBorders>
            <w:vAlign w:val="center"/>
          </w:tcPr>
          <w:p w:rsidR="00EA6E8B" w:rsidRPr="00537413" w:rsidRDefault="00EA6E8B" w:rsidP="00EA6E8B">
            <w:pPr>
              <w:pStyle w:val="Tabletext"/>
              <w:widowControl w:val="0"/>
            </w:pPr>
            <w:r w:rsidRPr="00EA6E8B">
              <w:rPr>
                <w:b/>
              </w:rPr>
              <w:t>31/374 (8.3)</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EA6E8B" w:rsidRPr="00537413" w:rsidRDefault="00EA6E8B" w:rsidP="00EA6E8B">
            <w:pPr>
              <w:pStyle w:val="Tabletext"/>
              <w:widowControl w:val="0"/>
            </w:pPr>
            <w:r w:rsidRPr="00EA6E8B">
              <w:rPr>
                <w:b/>
              </w:rPr>
              <w:t>2/125 (1.6)</w:t>
            </w:r>
          </w:p>
        </w:tc>
        <w:tc>
          <w:tcPr>
            <w:tcW w:w="1803" w:type="dxa"/>
            <w:tcBorders>
              <w:top w:val="single" w:sz="4" w:space="0" w:color="auto"/>
              <w:left w:val="single" w:sz="4" w:space="0" w:color="auto"/>
              <w:bottom w:val="single" w:sz="4" w:space="0" w:color="auto"/>
              <w:right w:val="single" w:sz="4" w:space="0" w:color="auto"/>
            </w:tcBorders>
            <w:vAlign w:val="center"/>
          </w:tcPr>
          <w:p w:rsidR="00EA6E8B" w:rsidRPr="00537413" w:rsidRDefault="00EA6E8B" w:rsidP="00EA6E8B">
            <w:pPr>
              <w:pStyle w:val="Tabletext"/>
              <w:widowControl w:val="0"/>
            </w:pPr>
            <w:r w:rsidRPr="00EA6E8B">
              <w:rPr>
                <w:b/>
              </w:rPr>
              <w:t>5.18 (1.26, 21.34)*</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EA6E8B" w:rsidRPr="00537413" w:rsidRDefault="00EA6E8B" w:rsidP="00EA6E8B">
            <w:pPr>
              <w:pStyle w:val="Tabletext"/>
              <w:widowControl w:val="0"/>
            </w:pPr>
            <w:r w:rsidRPr="00EA6E8B">
              <w:rPr>
                <w:b/>
              </w:rPr>
              <w:t>0.07 (0.03, 0.10)*</w:t>
            </w:r>
          </w:p>
        </w:tc>
      </w:tr>
      <w:tr w:rsidR="00EA6E8B" w:rsidRPr="00537413" w:rsidTr="00EA6E8B">
        <w:trPr>
          <w:cantSplit/>
          <w:trHeight w:val="70"/>
        </w:trPr>
        <w:tc>
          <w:tcPr>
            <w:tcW w:w="1804" w:type="dxa"/>
            <w:tcBorders>
              <w:top w:val="single" w:sz="4" w:space="0" w:color="auto"/>
              <w:left w:val="single" w:sz="4" w:space="0" w:color="auto"/>
              <w:bottom w:val="single" w:sz="4" w:space="0" w:color="auto"/>
              <w:right w:val="single" w:sz="4" w:space="0" w:color="auto"/>
            </w:tcBorders>
            <w:vAlign w:val="center"/>
            <w:hideMark/>
          </w:tcPr>
          <w:p w:rsidR="00EA6E8B" w:rsidRPr="00537413" w:rsidRDefault="00EA6E8B" w:rsidP="00EA6E8B">
            <w:pPr>
              <w:pStyle w:val="Tabletext"/>
              <w:widowControl w:val="0"/>
              <w:rPr>
                <w:b/>
              </w:rPr>
            </w:pPr>
            <w:r w:rsidRPr="00EA6E8B">
              <w:t>MenACWY-TT-040</w:t>
            </w:r>
          </w:p>
        </w:tc>
        <w:tc>
          <w:tcPr>
            <w:tcW w:w="1804" w:type="dxa"/>
            <w:tcBorders>
              <w:top w:val="single" w:sz="4" w:space="0" w:color="auto"/>
              <w:left w:val="single" w:sz="4" w:space="0" w:color="auto"/>
              <w:bottom w:val="single" w:sz="4" w:space="0" w:color="auto"/>
              <w:right w:val="single" w:sz="4" w:space="0" w:color="auto"/>
            </w:tcBorders>
            <w:vAlign w:val="center"/>
          </w:tcPr>
          <w:p w:rsidR="00EA6E8B" w:rsidRPr="00537413" w:rsidRDefault="00EA6E8B" w:rsidP="00EA6E8B">
            <w:pPr>
              <w:pStyle w:val="Tabletext"/>
              <w:widowControl w:val="0"/>
              <w:rPr>
                <w:b/>
              </w:rPr>
            </w:pPr>
            <w:r>
              <w:t>15/220 (6.8)</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EA6E8B" w:rsidRPr="00537413" w:rsidRDefault="00EA6E8B" w:rsidP="00EA6E8B">
            <w:pPr>
              <w:pStyle w:val="Tabletext"/>
              <w:widowControl w:val="0"/>
              <w:rPr>
                <w:b/>
              </w:rPr>
            </w:pPr>
            <w:r>
              <w:t>4/127 (3.1)</w:t>
            </w:r>
          </w:p>
        </w:tc>
        <w:tc>
          <w:tcPr>
            <w:tcW w:w="1803" w:type="dxa"/>
            <w:tcBorders>
              <w:top w:val="single" w:sz="4" w:space="0" w:color="auto"/>
              <w:left w:val="single" w:sz="4" w:space="0" w:color="auto"/>
              <w:bottom w:val="single" w:sz="4" w:space="0" w:color="auto"/>
              <w:right w:val="single" w:sz="4" w:space="0" w:color="auto"/>
            </w:tcBorders>
            <w:vAlign w:val="center"/>
          </w:tcPr>
          <w:p w:rsidR="00EA6E8B" w:rsidRPr="00537413" w:rsidRDefault="00EA6E8B" w:rsidP="00EA6E8B">
            <w:pPr>
              <w:pStyle w:val="Tabletext"/>
              <w:widowControl w:val="0"/>
              <w:rPr>
                <w:b/>
              </w:rPr>
            </w:pPr>
            <w:r w:rsidRPr="00984BA0">
              <w:t>2.16 (0.73, 6.38)</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EA6E8B" w:rsidRPr="00537413" w:rsidRDefault="00EA6E8B" w:rsidP="00EA6E8B">
            <w:pPr>
              <w:pStyle w:val="Tabletext"/>
              <w:widowControl w:val="0"/>
              <w:rPr>
                <w:b/>
              </w:rPr>
            </w:pPr>
            <w:r w:rsidRPr="00984BA0">
              <w:t>0.04 (-0.01, 0.08)</w:t>
            </w:r>
          </w:p>
        </w:tc>
      </w:tr>
      <w:tr w:rsidR="00F1705A" w:rsidRPr="00CF7B1E" w:rsidTr="00EA6E8B">
        <w:trPr>
          <w:cantSplit/>
          <w:trHeight w:val="111"/>
        </w:trPr>
        <w:tc>
          <w:tcPr>
            <w:tcW w:w="90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1705A" w:rsidRPr="00CF7B1E" w:rsidRDefault="00F1705A" w:rsidP="003D7466">
            <w:pPr>
              <w:pStyle w:val="Tabletext"/>
              <w:widowControl w:val="0"/>
              <w:rPr>
                <w:b/>
              </w:rPr>
            </w:pPr>
            <w:r w:rsidRPr="00CF7B1E">
              <w:rPr>
                <w:b/>
              </w:rPr>
              <w:t>Treatment related AEs</w:t>
            </w:r>
            <w:r>
              <w:rPr>
                <w:b/>
              </w:rPr>
              <w:t xml:space="preserve"> at day 4</w:t>
            </w:r>
            <w:r w:rsidR="007763E6">
              <w:rPr>
                <w:b/>
              </w:rPr>
              <w:t xml:space="preserve"> any symptoms</w:t>
            </w:r>
          </w:p>
        </w:tc>
      </w:tr>
      <w:tr w:rsidR="00F1705A" w:rsidTr="00EA6E8B">
        <w:trPr>
          <w:cantSplit/>
          <w:trHeight w:val="70"/>
        </w:trPr>
        <w:tc>
          <w:tcPr>
            <w:tcW w:w="1804" w:type="dxa"/>
            <w:tcBorders>
              <w:top w:val="single" w:sz="4" w:space="0" w:color="auto"/>
              <w:left w:val="single" w:sz="4" w:space="0" w:color="auto"/>
              <w:bottom w:val="single" w:sz="4" w:space="0" w:color="auto"/>
              <w:right w:val="single" w:sz="4" w:space="0" w:color="auto"/>
            </w:tcBorders>
            <w:vAlign w:val="center"/>
            <w:hideMark/>
          </w:tcPr>
          <w:p w:rsidR="00F1705A" w:rsidRPr="00E50D61" w:rsidRDefault="00F1705A" w:rsidP="003D7466">
            <w:pPr>
              <w:pStyle w:val="Tabletext"/>
              <w:widowControl w:val="0"/>
            </w:pPr>
            <w:r>
              <w:t>MenACWY-TT-013</w:t>
            </w:r>
            <w:r w:rsidRPr="00E50D61">
              <w:t>#</w:t>
            </w:r>
          </w:p>
        </w:tc>
        <w:tc>
          <w:tcPr>
            <w:tcW w:w="1804" w:type="dxa"/>
            <w:tcBorders>
              <w:top w:val="single" w:sz="4" w:space="0" w:color="auto"/>
              <w:left w:val="single" w:sz="4" w:space="0" w:color="auto"/>
              <w:bottom w:val="single" w:sz="4" w:space="0" w:color="auto"/>
              <w:right w:val="single" w:sz="4" w:space="0" w:color="auto"/>
            </w:tcBorders>
            <w:vAlign w:val="center"/>
          </w:tcPr>
          <w:p w:rsidR="00F1705A" w:rsidRPr="00E50D61" w:rsidRDefault="00F1705A" w:rsidP="003D7466">
            <w:pPr>
              <w:pStyle w:val="Tabletext"/>
              <w:widowControl w:val="0"/>
            </w:pPr>
            <w:r>
              <w:t>35/48 (72.9)</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t>31/48 (64.6)</w:t>
            </w:r>
          </w:p>
        </w:tc>
        <w:tc>
          <w:tcPr>
            <w:tcW w:w="1803" w:type="dxa"/>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t>1.13 (0.86, 1.48)</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t>0.02 (-0.05, 0.10)</w:t>
            </w:r>
          </w:p>
        </w:tc>
      </w:tr>
      <w:tr w:rsidR="00F1705A" w:rsidTr="00EA6E8B">
        <w:trPr>
          <w:cantSplit/>
          <w:trHeight w:val="70"/>
        </w:trPr>
        <w:tc>
          <w:tcPr>
            <w:tcW w:w="1804" w:type="dxa"/>
            <w:tcBorders>
              <w:top w:val="single" w:sz="4" w:space="0" w:color="auto"/>
              <w:left w:val="single" w:sz="4" w:space="0" w:color="auto"/>
              <w:bottom w:val="single" w:sz="4" w:space="0" w:color="auto"/>
              <w:right w:val="single" w:sz="4" w:space="0" w:color="auto"/>
            </w:tcBorders>
            <w:vAlign w:val="center"/>
            <w:hideMark/>
          </w:tcPr>
          <w:p w:rsidR="00F1705A" w:rsidRPr="00E50D61" w:rsidRDefault="00F1705A" w:rsidP="003D7466">
            <w:pPr>
              <w:pStyle w:val="Tabletext"/>
              <w:widowControl w:val="0"/>
            </w:pPr>
            <w:r>
              <w:t>MenACWY-TT-027</w:t>
            </w:r>
          </w:p>
        </w:tc>
        <w:tc>
          <w:tcPr>
            <w:tcW w:w="1804" w:type="dxa"/>
            <w:tcBorders>
              <w:top w:val="single" w:sz="4" w:space="0" w:color="auto"/>
              <w:left w:val="single" w:sz="4" w:space="0" w:color="auto"/>
              <w:bottom w:val="single" w:sz="4" w:space="0" w:color="auto"/>
              <w:right w:val="single" w:sz="4" w:space="0" w:color="auto"/>
            </w:tcBorders>
            <w:vAlign w:val="center"/>
          </w:tcPr>
          <w:p w:rsidR="00F1705A" w:rsidRPr="00E50D61" w:rsidRDefault="00F1705A" w:rsidP="003D7466">
            <w:pPr>
              <w:pStyle w:val="Tabletext"/>
              <w:widowControl w:val="0"/>
            </w:pPr>
            <w:r>
              <w:t>176/229 (76.9)</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t>61/75 (81.3)</w:t>
            </w:r>
          </w:p>
        </w:tc>
        <w:tc>
          <w:tcPr>
            <w:tcW w:w="1803" w:type="dxa"/>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rsidRPr="008C0942">
              <w:t>0.94 (0.83, 1.08)</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rsidRPr="008C0942">
              <w:t>-0.04 (-0.15, 0.06)</w:t>
            </w:r>
          </w:p>
        </w:tc>
      </w:tr>
      <w:tr w:rsidR="00F1705A" w:rsidTr="00EA6E8B">
        <w:trPr>
          <w:cantSplit/>
          <w:trHeight w:val="70"/>
        </w:trPr>
        <w:tc>
          <w:tcPr>
            <w:tcW w:w="1804" w:type="dxa"/>
            <w:tcBorders>
              <w:top w:val="single" w:sz="4" w:space="0" w:color="auto"/>
              <w:left w:val="single" w:sz="4" w:space="0" w:color="auto"/>
              <w:bottom w:val="single" w:sz="4" w:space="0" w:color="auto"/>
              <w:right w:val="single" w:sz="4" w:space="0" w:color="auto"/>
            </w:tcBorders>
            <w:vAlign w:val="center"/>
            <w:hideMark/>
          </w:tcPr>
          <w:p w:rsidR="00F1705A" w:rsidRPr="00E50D61" w:rsidRDefault="00F1705A" w:rsidP="003D7466">
            <w:pPr>
              <w:pStyle w:val="Tabletext"/>
              <w:widowControl w:val="0"/>
            </w:pPr>
            <w:r>
              <w:t>MenACWY-TT-039</w:t>
            </w:r>
            <w:r w:rsidRPr="00E50D61">
              <w:t xml:space="preserve"> </w:t>
            </w:r>
          </w:p>
        </w:tc>
        <w:tc>
          <w:tcPr>
            <w:tcW w:w="1804" w:type="dxa"/>
            <w:tcBorders>
              <w:top w:val="single" w:sz="4" w:space="0" w:color="auto"/>
              <w:left w:val="single" w:sz="4" w:space="0" w:color="auto"/>
              <w:bottom w:val="single" w:sz="4" w:space="0" w:color="auto"/>
              <w:right w:val="single" w:sz="4" w:space="0" w:color="auto"/>
            </w:tcBorders>
            <w:vAlign w:val="center"/>
          </w:tcPr>
          <w:p w:rsidR="00F1705A" w:rsidRPr="00E50D61" w:rsidRDefault="00F1705A" w:rsidP="003D7466">
            <w:pPr>
              <w:pStyle w:val="Tabletext"/>
              <w:widowControl w:val="0"/>
            </w:pPr>
            <w:r>
              <w:t>291/374 (77.8)</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t>102/125 (81.6)</w:t>
            </w:r>
          </w:p>
        </w:tc>
        <w:tc>
          <w:tcPr>
            <w:tcW w:w="1803" w:type="dxa"/>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rsidRPr="008C0942">
              <w:t>0.95 (0.86, 1.05)</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rsidRPr="008C0942">
              <w:t>-0.04 (-0.12, 0.04)</w:t>
            </w:r>
          </w:p>
        </w:tc>
      </w:tr>
      <w:tr w:rsidR="00F1705A" w:rsidTr="00EA6E8B">
        <w:trPr>
          <w:cantSplit/>
          <w:trHeight w:val="70"/>
        </w:trPr>
        <w:tc>
          <w:tcPr>
            <w:tcW w:w="1804" w:type="dxa"/>
            <w:tcBorders>
              <w:top w:val="single" w:sz="4" w:space="0" w:color="auto"/>
              <w:left w:val="single" w:sz="4" w:space="0" w:color="auto"/>
              <w:bottom w:val="single" w:sz="4" w:space="0" w:color="auto"/>
              <w:right w:val="single" w:sz="4" w:space="0" w:color="auto"/>
            </w:tcBorders>
            <w:vAlign w:val="center"/>
            <w:hideMark/>
          </w:tcPr>
          <w:p w:rsidR="00F1705A" w:rsidRPr="00E50D61" w:rsidRDefault="00F1705A" w:rsidP="003D7466">
            <w:pPr>
              <w:pStyle w:val="Tabletext"/>
              <w:widowControl w:val="0"/>
            </w:pPr>
            <w:r>
              <w:t>MenACWY-TT-040</w:t>
            </w:r>
          </w:p>
        </w:tc>
        <w:tc>
          <w:tcPr>
            <w:tcW w:w="1804" w:type="dxa"/>
            <w:tcBorders>
              <w:top w:val="single" w:sz="4" w:space="0" w:color="auto"/>
              <w:left w:val="single" w:sz="4" w:space="0" w:color="auto"/>
              <w:bottom w:val="single" w:sz="4" w:space="0" w:color="auto"/>
              <w:right w:val="single" w:sz="4" w:space="0" w:color="auto"/>
            </w:tcBorders>
            <w:vAlign w:val="center"/>
          </w:tcPr>
          <w:p w:rsidR="00F1705A" w:rsidRPr="00E50D61" w:rsidRDefault="00F1705A" w:rsidP="003D7466">
            <w:pPr>
              <w:pStyle w:val="Tabletext"/>
              <w:widowControl w:val="0"/>
            </w:pPr>
            <w:r>
              <w:t>123/220 (55.9)</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t>58/127 (45.7)</w:t>
            </w:r>
          </w:p>
        </w:tc>
        <w:tc>
          <w:tcPr>
            <w:tcW w:w="1803" w:type="dxa"/>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rsidRPr="008C0942">
              <w:t>1.22 (0.98, 1.53)</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F1705A" w:rsidRDefault="00F1705A" w:rsidP="003D7466">
            <w:pPr>
              <w:pStyle w:val="Tabletext"/>
              <w:widowControl w:val="0"/>
            </w:pPr>
            <w:r w:rsidRPr="008C0942">
              <w:t>0.10 (-0.01, 0.21)</w:t>
            </w:r>
          </w:p>
        </w:tc>
      </w:tr>
      <w:tr w:rsidR="00F1705A" w:rsidRPr="00CF7B1E" w:rsidTr="003D7466">
        <w:trPr>
          <w:trHeight w:val="70"/>
        </w:trPr>
        <w:tc>
          <w:tcPr>
            <w:tcW w:w="90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1705A" w:rsidRPr="00CF7B1E" w:rsidRDefault="00F1705A" w:rsidP="003D7466">
            <w:pPr>
              <w:pStyle w:val="Tabletext"/>
              <w:widowControl w:val="0"/>
              <w:rPr>
                <w:b/>
              </w:rPr>
            </w:pPr>
            <w:r w:rsidRPr="00CF7B1E">
              <w:rPr>
                <w:b/>
              </w:rPr>
              <w:t>Severity Grade 3</w:t>
            </w:r>
            <w:r>
              <w:rPr>
                <w:b/>
              </w:rPr>
              <w:t xml:space="preserve"> </w:t>
            </w:r>
            <w:r w:rsidRPr="00CF7B1E">
              <w:rPr>
                <w:b/>
              </w:rPr>
              <w:t>local symptoms</w:t>
            </w:r>
            <w:r>
              <w:rPr>
                <w:b/>
              </w:rPr>
              <w:t xml:space="preserve"> at day 4</w:t>
            </w:r>
          </w:p>
        </w:tc>
      </w:tr>
      <w:tr w:rsidR="00F1705A" w:rsidTr="003D7466">
        <w:trPr>
          <w:trHeight w:val="70"/>
        </w:trPr>
        <w:tc>
          <w:tcPr>
            <w:tcW w:w="1804" w:type="dxa"/>
            <w:tcBorders>
              <w:top w:val="single" w:sz="4" w:space="0" w:color="auto"/>
              <w:left w:val="single" w:sz="4" w:space="0" w:color="auto"/>
              <w:bottom w:val="single" w:sz="4" w:space="0" w:color="auto"/>
              <w:right w:val="single" w:sz="4" w:space="0" w:color="auto"/>
            </w:tcBorders>
            <w:vAlign w:val="center"/>
            <w:hideMark/>
          </w:tcPr>
          <w:p w:rsidR="00F1705A" w:rsidRPr="00E50D61" w:rsidRDefault="00F1705A" w:rsidP="003D7466">
            <w:pPr>
              <w:pStyle w:val="Tabletext"/>
              <w:widowControl w:val="0"/>
            </w:pPr>
            <w:r>
              <w:t>MenACWY-TT-013</w:t>
            </w:r>
            <w:r w:rsidRPr="00E50D61">
              <w:t>#</w:t>
            </w:r>
          </w:p>
        </w:tc>
        <w:tc>
          <w:tcPr>
            <w:tcW w:w="1804" w:type="dxa"/>
            <w:tcBorders>
              <w:top w:val="single" w:sz="4" w:space="0" w:color="auto"/>
              <w:left w:val="single" w:sz="4" w:space="0" w:color="auto"/>
              <w:bottom w:val="single" w:sz="4" w:space="0" w:color="auto"/>
              <w:right w:val="single" w:sz="4" w:space="0" w:color="auto"/>
            </w:tcBorders>
            <w:vAlign w:val="center"/>
            <w:hideMark/>
          </w:tcPr>
          <w:p w:rsidR="00F1705A" w:rsidRPr="00E50D61" w:rsidRDefault="00F1705A" w:rsidP="003D7466">
            <w:pPr>
              <w:pStyle w:val="Tabletext"/>
              <w:widowControl w:val="0"/>
            </w:pPr>
            <w:r>
              <w:t>2/48 (4.2)</w:t>
            </w:r>
          </w:p>
        </w:tc>
        <w:tc>
          <w:tcPr>
            <w:tcW w:w="1803" w:type="dxa"/>
            <w:gridSpan w:val="2"/>
            <w:tcBorders>
              <w:top w:val="single" w:sz="4" w:space="0" w:color="auto"/>
              <w:left w:val="single" w:sz="4" w:space="0" w:color="auto"/>
              <w:bottom w:val="single" w:sz="4" w:space="0" w:color="auto"/>
              <w:right w:val="single" w:sz="4" w:space="0" w:color="auto"/>
            </w:tcBorders>
            <w:vAlign w:val="center"/>
            <w:hideMark/>
          </w:tcPr>
          <w:p w:rsidR="00F1705A" w:rsidRDefault="00F1705A" w:rsidP="003D7466">
            <w:pPr>
              <w:pStyle w:val="Tabletext"/>
              <w:widowControl w:val="0"/>
            </w:pPr>
            <w:r>
              <w:t>0/48 (0)</w:t>
            </w:r>
          </w:p>
        </w:tc>
        <w:tc>
          <w:tcPr>
            <w:tcW w:w="1803" w:type="dxa"/>
            <w:tcBorders>
              <w:top w:val="single" w:sz="4" w:space="0" w:color="auto"/>
              <w:left w:val="single" w:sz="4" w:space="0" w:color="auto"/>
              <w:bottom w:val="single" w:sz="4" w:space="0" w:color="auto"/>
              <w:right w:val="single" w:sz="4" w:space="0" w:color="auto"/>
            </w:tcBorders>
            <w:vAlign w:val="center"/>
            <w:hideMark/>
          </w:tcPr>
          <w:p w:rsidR="00F1705A" w:rsidRDefault="00F1705A" w:rsidP="003D7466">
            <w:pPr>
              <w:pStyle w:val="Tabletext"/>
              <w:widowControl w:val="0"/>
            </w:pPr>
            <w:r>
              <w:t>5.00 (0.25, 101.48)</w:t>
            </w:r>
          </w:p>
        </w:tc>
        <w:tc>
          <w:tcPr>
            <w:tcW w:w="1803" w:type="dxa"/>
            <w:gridSpan w:val="2"/>
            <w:tcBorders>
              <w:top w:val="single" w:sz="4" w:space="0" w:color="auto"/>
              <w:left w:val="single" w:sz="4" w:space="0" w:color="auto"/>
              <w:bottom w:val="single" w:sz="4" w:space="0" w:color="auto"/>
              <w:right w:val="single" w:sz="4" w:space="0" w:color="auto"/>
            </w:tcBorders>
            <w:vAlign w:val="center"/>
            <w:hideMark/>
          </w:tcPr>
          <w:p w:rsidR="00F1705A" w:rsidRDefault="00F1705A" w:rsidP="003D7466">
            <w:pPr>
              <w:pStyle w:val="Tabletext"/>
              <w:widowControl w:val="0"/>
            </w:pPr>
            <w:r>
              <w:t>0.04 (-0.03, 0.11)</w:t>
            </w:r>
          </w:p>
        </w:tc>
      </w:tr>
      <w:tr w:rsidR="00F1705A" w:rsidTr="003D7466">
        <w:trPr>
          <w:trHeight w:val="70"/>
        </w:trPr>
        <w:tc>
          <w:tcPr>
            <w:tcW w:w="1804" w:type="dxa"/>
            <w:tcBorders>
              <w:top w:val="single" w:sz="4" w:space="0" w:color="auto"/>
              <w:left w:val="single" w:sz="4" w:space="0" w:color="auto"/>
              <w:bottom w:val="single" w:sz="4" w:space="0" w:color="auto"/>
              <w:right w:val="single" w:sz="4" w:space="0" w:color="auto"/>
            </w:tcBorders>
            <w:vAlign w:val="center"/>
            <w:hideMark/>
          </w:tcPr>
          <w:p w:rsidR="00F1705A" w:rsidRPr="00E50D61" w:rsidRDefault="00F1705A" w:rsidP="003D7466">
            <w:pPr>
              <w:pStyle w:val="Tabletext"/>
              <w:widowControl w:val="0"/>
            </w:pPr>
            <w:r>
              <w:t>MenACWY-TT-027</w:t>
            </w:r>
          </w:p>
        </w:tc>
        <w:tc>
          <w:tcPr>
            <w:tcW w:w="1804" w:type="dxa"/>
            <w:tcBorders>
              <w:top w:val="single" w:sz="4" w:space="0" w:color="auto"/>
              <w:left w:val="single" w:sz="4" w:space="0" w:color="auto"/>
              <w:bottom w:val="single" w:sz="4" w:space="0" w:color="auto"/>
              <w:right w:val="single" w:sz="4" w:space="0" w:color="auto"/>
            </w:tcBorders>
            <w:vAlign w:val="center"/>
            <w:hideMark/>
          </w:tcPr>
          <w:p w:rsidR="00F1705A" w:rsidRPr="00E50D61" w:rsidRDefault="00F1705A" w:rsidP="003D7466">
            <w:pPr>
              <w:pStyle w:val="Tabletext"/>
              <w:widowControl w:val="0"/>
            </w:pPr>
            <w:r>
              <w:t>11/229 (4.8)</w:t>
            </w:r>
          </w:p>
        </w:tc>
        <w:tc>
          <w:tcPr>
            <w:tcW w:w="1803" w:type="dxa"/>
            <w:gridSpan w:val="2"/>
            <w:tcBorders>
              <w:top w:val="single" w:sz="4" w:space="0" w:color="auto"/>
              <w:left w:val="single" w:sz="4" w:space="0" w:color="auto"/>
              <w:bottom w:val="single" w:sz="4" w:space="0" w:color="auto"/>
              <w:right w:val="single" w:sz="4" w:space="0" w:color="auto"/>
            </w:tcBorders>
            <w:vAlign w:val="center"/>
            <w:hideMark/>
          </w:tcPr>
          <w:p w:rsidR="00F1705A" w:rsidRDefault="00F1705A" w:rsidP="003D7466">
            <w:pPr>
              <w:pStyle w:val="Tabletext"/>
              <w:widowControl w:val="0"/>
            </w:pPr>
            <w:r>
              <w:t>1/75 (1.3)</w:t>
            </w:r>
          </w:p>
        </w:tc>
        <w:tc>
          <w:tcPr>
            <w:tcW w:w="1803" w:type="dxa"/>
            <w:tcBorders>
              <w:top w:val="single" w:sz="4" w:space="0" w:color="auto"/>
              <w:left w:val="single" w:sz="4" w:space="0" w:color="auto"/>
              <w:bottom w:val="single" w:sz="4" w:space="0" w:color="auto"/>
              <w:right w:val="single" w:sz="4" w:space="0" w:color="auto"/>
            </w:tcBorders>
            <w:vAlign w:val="center"/>
            <w:hideMark/>
          </w:tcPr>
          <w:p w:rsidR="00F1705A" w:rsidRDefault="00F1705A" w:rsidP="003D7466">
            <w:pPr>
              <w:pStyle w:val="Tabletext"/>
              <w:widowControl w:val="0"/>
            </w:pPr>
            <w:r>
              <w:t>3.60 (0.47, 27.44)</w:t>
            </w:r>
          </w:p>
        </w:tc>
        <w:tc>
          <w:tcPr>
            <w:tcW w:w="1803" w:type="dxa"/>
            <w:gridSpan w:val="2"/>
            <w:tcBorders>
              <w:top w:val="single" w:sz="4" w:space="0" w:color="auto"/>
              <w:left w:val="single" w:sz="4" w:space="0" w:color="auto"/>
              <w:bottom w:val="single" w:sz="4" w:space="0" w:color="auto"/>
              <w:right w:val="single" w:sz="4" w:space="0" w:color="auto"/>
            </w:tcBorders>
            <w:vAlign w:val="center"/>
            <w:hideMark/>
          </w:tcPr>
          <w:p w:rsidR="00F1705A" w:rsidRDefault="00F1705A" w:rsidP="003D7466">
            <w:pPr>
              <w:pStyle w:val="Tabletext"/>
              <w:widowControl w:val="0"/>
            </w:pPr>
            <w:r>
              <w:t>0.03 (-0.00, 0.07)</w:t>
            </w:r>
          </w:p>
        </w:tc>
      </w:tr>
      <w:tr w:rsidR="00F1705A" w:rsidRPr="00E50D61" w:rsidTr="003D7466">
        <w:trPr>
          <w:trHeight w:val="70"/>
        </w:trPr>
        <w:tc>
          <w:tcPr>
            <w:tcW w:w="1804" w:type="dxa"/>
            <w:tcBorders>
              <w:top w:val="single" w:sz="4" w:space="0" w:color="auto"/>
              <w:left w:val="single" w:sz="4" w:space="0" w:color="auto"/>
              <w:bottom w:val="single" w:sz="4" w:space="0" w:color="auto"/>
              <w:right w:val="single" w:sz="4" w:space="0" w:color="auto"/>
            </w:tcBorders>
            <w:vAlign w:val="center"/>
            <w:hideMark/>
          </w:tcPr>
          <w:p w:rsidR="00F1705A" w:rsidRPr="002B5A30" w:rsidRDefault="00F1705A" w:rsidP="003D7466">
            <w:pPr>
              <w:pStyle w:val="Tabletext"/>
              <w:widowControl w:val="0"/>
              <w:rPr>
                <w:b/>
              </w:rPr>
            </w:pPr>
            <w:r>
              <w:rPr>
                <w:b/>
              </w:rPr>
              <w:t>MenACWY-TT-039</w:t>
            </w:r>
            <w:r w:rsidRPr="002B5A30">
              <w:rPr>
                <w:b/>
              </w:rPr>
              <w:t xml:space="preserve"> </w:t>
            </w:r>
          </w:p>
        </w:tc>
        <w:tc>
          <w:tcPr>
            <w:tcW w:w="1804" w:type="dxa"/>
            <w:tcBorders>
              <w:top w:val="single" w:sz="4" w:space="0" w:color="auto"/>
              <w:left w:val="single" w:sz="4" w:space="0" w:color="auto"/>
              <w:bottom w:val="single" w:sz="4" w:space="0" w:color="auto"/>
              <w:right w:val="single" w:sz="4" w:space="0" w:color="auto"/>
            </w:tcBorders>
            <w:vAlign w:val="center"/>
            <w:hideMark/>
          </w:tcPr>
          <w:p w:rsidR="00F1705A" w:rsidRPr="002B5A30" w:rsidRDefault="00F1705A" w:rsidP="003D7466">
            <w:pPr>
              <w:pStyle w:val="Tabletext"/>
              <w:widowControl w:val="0"/>
              <w:rPr>
                <w:b/>
              </w:rPr>
            </w:pPr>
            <w:r w:rsidRPr="002B5A30">
              <w:rPr>
                <w:b/>
              </w:rPr>
              <w:t>26/374 (7.0)</w:t>
            </w:r>
          </w:p>
        </w:tc>
        <w:tc>
          <w:tcPr>
            <w:tcW w:w="1803" w:type="dxa"/>
            <w:gridSpan w:val="2"/>
            <w:tcBorders>
              <w:top w:val="single" w:sz="4" w:space="0" w:color="auto"/>
              <w:left w:val="single" w:sz="4" w:space="0" w:color="auto"/>
              <w:bottom w:val="single" w:sz="4" w:space="0" w:color="auto"/>
              <w:right w:val="single" w:sz="4" w:space="0" w:color="auto"/>
            </w:tcBorders>
            <w:vAlign w:val="center"/>
            <w:hideMark/>
          </w:tcPr>
          <w:p w:rsidR="00F1705A" w:rsidRPr="002B5A30" w:rsidRDefault="00F1705A" w:rsidP="003D7466">
            <w:pPr>
              <w:pStyle w:val="Tabletext"/>
              <w:widowControl w:val="0"/>
              <w:rPr>
                <w:b/>
              </w:rPr>
            </w:pPr>
            <w:r w:rsidRPr="002B5A30">
              <w:rPr>
                <w:b/>
              </w:rPr>
              <w:t>1/125 (0.8)</w:t>
            </w:r>
          </w:p>
        </w:tc>
        <w:tc>
          <w:tcPr>
            <w:tcW w:w="1803" w:type="dxa"/>
            <w:tcBorders>
              <w:top w:val="single" w:sz="4" w:space="0" w:color="auto"/>
              <w:left w:val="single" w:sz="4" w:space="0" w:color="auto"/>
              <w:bottom w:val="single" w:sz="4" w:space="0" w:color="auto"/>
              <w:right w:val="single" w:sz="4" w:space="0" w:color="auto"/>
            </w:tcBorders>
            <w:vAlign w:val="center"/>
            <w:hideMark/>
          </w:tcPr>
          <w:p w:rsidR="00F1705A" w:rsidRPr="00E50D61" w:rsidRDefault="00F1705A" w:rsidP="003D7466">
            <w:pPr>
              <w:pStyle w:val="Tabletext"/>
              <w:widowControl w:val="0"/>
              <w:rPr>
                <w:b/>
              </w:rPr>
            </w:pPr>
            <w:r w:rsidRPr="00E50D61">
              <w:rPr>
                <w:b/>
              </w:rPr>
              <w:t>8.69 (1.19, 63.38)*</w:t>
            </w:r>
          </w:p>
        </w:tc>
        <w:tc>
          <w:tcPr>
            <w:tcW w:w="1803" w:type="dxa"/>
            <w:gridSpan w:val="2"/>
            <w:tcBorders>
              <w:top w:val="single" w:sz="4" w:space="0" w:color="auto"/>
              <w:left w:val="single" w:sz="4" w:space="0" w:color="auto"/>
              <w:bottom w:val="single" w:sz="4" w:space="0" w:color="auto"/>
              <w:right w:val="single" w:sz="4" w:space="0" w:color="auto"/>
            </w:tcBorders>
            <w:vAlign w:val="center"/>
            <w:hideMark/>
          </w:tcPr>
          <w:p w:rsidR="00F1705A" w:rsidRPr="00E50D61" w:rsidRDefault="00F1705A" w:rsidP="003D7466">
            <w:pPr>
              <w:pStyle w:val="Tabletext"/>
              <w:widowControl w:val="0"/>
              <w:rPr>
                <w:b/>
              </w:rPr>
            </w:pPr>
            <w:r w:rsidRPr="00E50D61">
              <w:rPr>
                <w:b/>
              </w:rPr>
              <w:t>0.06 (0.03, 0.09)*</w:t>
            </w:r>
          </w:p>
        </w:tc>
      </w:tr>
      <w:tr w:rsidR="00F1705A" w:rsidTr="003D7466">
        <w:trPr>
          <w:trHeight w:val="70"/>
        </w:trPr>
        <w:tc>
          <w:tcPr>
            <w:tcW w:w="1804" w:type="dxa"/>
            <w:tcBorders>
              <w:top w:val="single" w:sz="4" w:space="0" w:color="auto"/>
              <w:left w:val="single" w:sz="4" w:space="0" w:color="auto"/>
              <w:bottom w:val="single" w:sz="4" w:space="0" w:color="auto"/>
              <w:right w:val="single" w:sz="4" w:space="0" w:color="auto"/>
            </w:tcBorders>
            <w:vAlign w:val="center"/>
            <w:hideMark/>
          </w:tcPr>
          <w:p w:rsidR="00F1705A" w:rsidRPr="00E50D61" w:rsidRDefault="00F1705A" w:rsidP="003D7466">
            <w:pPr>
              <w:pStyle w:val="Tabletext"/>
              <w:widowControl w:val="0"/>
            </w:pPr>
            <w:r>
              <w:t>MenACWY-TT-040</w:t>
            </w:r>
          </w:p>
        </w:tc>
        <w:tc>
          <w:tcPr>
            <w:tcW w:w="1804" w:type="dxa"/>
            <w:tcBorders>
              <w:top w:val="single" w:sz="4" w:space="0" w:color="auto"/>
              <w:left w:val="single" w:sz="4" w:space="0" w:color="auto"/>
              <w:bottom w:val="single" w:sz="4" w:space="0" w:color="auto"/>
              <w:right w:val="single" w:sz="4" w:space="0" w:color="auto"/>
            </w:tcBorders>
            <w:vAlign w:val="center"/>
            <w:hideMark/>
          </w:tcPr>
          <w:p w:rsidR="00F1705A" w:rsidRPr="00E50D61" w:rsidRDefault="00F1705A" w:rsidP="003D7466">
            <w:pPr>
              <w:pStyle w:val="Tabletext"/>
              <w:widowControl w:val="0"/>
            </w:pPr>
            <w:r>
              <w:t>9/220 (4.1)</w:t>
            </w:r>
          </w:p>
        </w:tc>
        <w:tc>
          <w:tcPr>
            <w:tcW w:w="1803" w:type="dxa"/>
            <w:gridSpan w:val="2"/>
            <w:tcBorders>
              <w:top w:val="single" w:sz="4" w:space="0" w:color="auto"/>
              <w:left w:val="single" w:sz="4" w:space="0" w:color="auto"/>
              <w:bottom w:val="single" w:sz="4" w:space="0" w:color="auto"/>
              <w:right w:val="single" w:sz="4" w:space="0" w:color="auto"/>
            </w:tcBorders>
            <w:vAlign w:val="center"/>
            <w:hideMark/>
          </w:tcPr>
          <w:p w:rsidR="00F1705A" w:rsidRDefault="00F1705A" w:rsidP="003D7466">
            <w:pPr>
              <w:pStyle w:val="Tabletext"/>
              <w:widowControl w:val="0"/>
            </w:pPr>
            <w:r>
              <w:t>3/127 (2.4)</w:t>
            </w:r>
          </w:p>
        </w:tc>
        <w:tc>
          <w:tcPr>
            <w:tcW w:w="1803" w:type="dxa"/>
            <w:tcBorders>
              <w:top w:val="single" w:sz="4" w:space="0" w:color="auto"/>
              <w:left w:val="single" w:sz="4" w:space="0" w:color="auto"/>
              <w:bottom w:val="single" w:sz="4" w:space="0" w:color="auto"/>
              <w:right w:val="single" w:sz="4" w:space="0" w:color="auto"/>
            </w:tcBorders>
            <w:vAlign w:val="center"/>
            <w:hideMark/>
          </w:tcPr>
          <w:p w:rsidR="00F1705A" w:rsidRDefault="00F1705A" w:rsidP="003D7466">
            <w:pPr>
              <w:pStyle w:val="Tabletext"/>
              <w:widowControl w:val="0"/>
            </w:pPr>
            <w:r>
              <w:t>1.73 (0.48, 6.28)</w:t>
            </w:r>
          </w:p>
        </w:tc>
        <w:tc>
          <w:tcPr>
            <w:tcW w:w="1803" w:type="dxa"/>
            <w:gridSpan w:val="2"/>
            <w:tcBorders>
              <w:top w:val="single" w:sz="4" w:space="0" w:color="auto"/>
              <w:left w:val="single" w:sz="4" w:space="0" w:color="auto"/>
              <w:bottom w:val="single" w:sz="4" w:space="0" w:color="auto"/>
              <w:right w:val="single" w:sz="4" w:space="0" w:color="auto"/>
            </w:tcBorders>
            <w:vAlign w:val="center"/>
            <w:hideMark/>
          </w:tcPr>
          <w:p w:rsidR="00F1705A" w:rsidRDefault="00F1705A" w:rsidP="003D7466">
            <w:pPr>
              <w:pStyle w:val="Tabletext"/>
              <w:widowControl w:val="0"/>
            </w:pPr>
            <w:r>
              <w:t>0.02 (-0.02, 0.05)</w:t>
            </w:r>
          </w:p>
        </w:tc>
      </w:tr>
      <w:tr w:rsidR="00F1705A" w:rsidRPr="00537413" w:rsidTr="003D7466">
        <w:trPr>
          <w:trHeight w:val="64"/>
        </w:trPr>
        <w:tc>
          <w:tcPr>
            <w:tcW w:w="9017" w:type="dxa"/>
            <w:gridSpan w:val="7"/>
            <w:tcBorders>
              <w:bottom w:val="single" w:sz="4" w:space="0" w:color="auto"/>
            </w:tcBorders>
            <w:shd w:val="clear" w:color="auto" w:fill="auto"/>
            <w:vAlign w:val="center"/>
          </w:tcPr>
          <w:p w:rsidR="00F1705A" w:rsidRPr="00537413" w:rsidRDefault="00F1705A" w:rsidP="003D7466">
            <w:pPr>
              <w:pStyle w:val="Tabletext"/>
              <w:widowControl w:val="0"/>
              <w:rPr>
                <w:b/>
              </w:rPr>
            </w:pPr>
            <w:r w:rsidRPr="00537413">
              <w:rPr>
                <w:b/>
              </w:rPr>
              <w:t>Severity Grade 3</w:t>
            </w:r>
            <w:r>
              <w:rPr>
                <w:b/>
              </w:rPr>
              <w:t xml:space="preserve"> general symptoms</w:t>
            </w:r>
            <w:r w:rsidR="00BB2855">
              <w:rPr>
                <w:b/>
              </w:rPr>
              <w:t xml:space="preserve"> at day 4</w:t>
            </w:r>
          </w:p>
        </w:tc>
      </w:tr>
      <w:tr w:rsidR="00F1705A" w:rsidRPr="00537413" w:rsidTr="009E1FD8">
        <w:trPr>
          <w:trHeight w:val="64"/>
        </w:trPr>
        <w:tc>
          <w:tcPr>
            <w:tcW w:w="1804" w:type="dxa"/>
            <w:tcBorders>
              <w:top w:val="single" w:sz="4" w:space="0" w:color="auto"/>
            </w:tcBorders>
            <w:shd w:val="clear" w:color="auto" w:fill="auto"/>
            <w:vAlign w:val="center"/>
          </w:tcPr>
          <w:p w:rsidR="00F1705A" w:rsidRPr="00537413" w:rsidRDefault="00F1705A" w:rsidP="003D7466">
            <w:pPr>
              <w:pStyle w:val="Tabletext"/>
              <w:widowControl w:val="0"/>
            </w:pPr>
            <w:r w:rsidRPr="00537413">
              <w:t>Study 013#</w:t>
            </w:r>
          </w:p>
        </w:tc>
        <w:tc>
          <w:tcPr>
            <w:tcW w:w="1877" w:type="dxa"/>
            <w:gridSpan w:val="2"/>
            <w:tcBorders>
              <w:top w:val="single" w:sz="4" w:space="0" w:color="auto"/>
            </w:tcBorders>
            <w:shd w:val="clear" w:color="auto" w:fill="auto"/>
            <w:vAlign w:val="center"/>
          </w:tcPr>
          <w:p w:rsidR="00F1705A" w:rsidRPr="00537413" w:rsidRDefault="00F1705A" w:rsidP="003D7466">
            <w:pPr>
              <w:pStyle w:val="Tabletext"/>
              <w:widowControl w:val="0"/>
            </w:pPr>
            <w:r w:rsidRPr="00537413">
              <w:t>1/48 (2.1)</w:t>
            </w:r>
          </w:p>
        </w:tc>
        <w:tc>
          <w:tcPr>
            <w:tcW w:w="1730" w:type="dxa"/>
            <w:tcBorders>
              <w:top w:val="single" w:sz="4" w:space="0" w:color="auto"/>
            </w:tcBorders>
            <w:shd w:val="clear" w:color="auto" w:fill="auto"/>
            <w:vAlign w:val="center"/>
          </w:tcPr>
          <w:p w:rsidR="00F1705A" w:rsidRPr="00537413" w:rsidRDefault="00F1705A" w:rsidP="003D7466">
            <w:pPr>
              <w:pStyle w:val="Tabletext"/>
              <w:widowControl w:val="0"/>
            </w:pPr>
            <w:r w:rsidRPr="00537413">
              <w:t>3/48 (6.3)</w:t>
            </w:r>
          </w:p>
        </w:tc>
        <w:tc>
          <w:tcPr>
            <w:tcW w:w="1810" w:type="dxa"/>
            <w:gridSpan w:val="2"/>
            <w:tcBorders>
              <w:top w:val="single" w:sz="4" w:space="0" w:color="auto"/>
            </w:tcBorders>
            <w:shd w:val="clear" w:color="auto" w:fill="auto"/>
            <w:vAlign w:val="center"/>
          </w:tcPr>
          <w:p w:rsidR="00F1705A" w:rsidRPr="00537413" w:rsidRDefault="00F1705A" w:rsidP="003D7466">
            <w:pPr>
              <w:pStyle w:val="Tabletext"/>
              <w:widowControl w:val="0"/>
            </w:pPr>
            <w:r w:rsidRPr="00537413">
              <w:t>0.33 (0.04, 3.09)</w:t>
            </w:r>
          </w:p>
        </w:tc>
        <w:tc>
          <w:tcPr>
            <w:tcW w:w="1796" w:type="dxa"/>
            <w:tcBorders>
              <w:top w:val="single" w:sz="4" w:space="0" w:color="auto"/>
            </w:tcBorders>
            <w:shd w:val="clear" w:color="auto" w:fill="auto"/>
            <w:vAlign w:val="center"/>
          </w:tcPr>
          <w:p w:rsidR="00F1705A" w:rsidRPr="00537413" w:rsidRDefault="00F1705A" w:rsidP="003D7466">
            <w:pPr>
              <w:pStyle w:val="Tabletext"/>
              <w:widowControl w:val="0"/>
            </w:pPr>
            <w:r w:rsidRPr="00537413">
              <w:t>-0.04 (-0.12, 0.04)</w:t>
            </w:r>
          </w:p>
        </w:tc>
      </w:tr>
      <w:tr w:rsidR="00F1705A" w:rsidRPr="00537413" w:rsidTr="009E1FD8">
        <w:trPr>
          <w:trHeight w:val="64"/>
        </w:trPr>
        <w:tc>
          <w:tcPr>
            <w:tcW w:w="1804" w:type="dxa"/>
            <w:tcBorders>
              <w:bottom w:val="single" w:sz="4" w:space="0" w:color="auto"/>
            </w:tcBorders>
            <w:shd w:val="clear" w:color="auto" w:fill="auto"/>
            <w:vAlign w:val="center"/>
          </w:tcPr>
          <w:p w:rsidR="00F1705A" w:rsidRPr="00537413" w:rsidRDefault="00F1705A" w:rsidP="003D7466">
            <w:pPr>
              <w:pStyle w:val="Tabletext"/>
              <w:widowControl w:val="0"/>
            </w:pPr>
            <w:r w:rsidRPr="00537413">
              <w:t>Study 027</w:t>
            </w:r>
          </w:p>
        </w:tc>
        <w:tc>
          <w:tcPr>
            <w:tcW w:w="1877" w:type="dxa"/>
            <w:gridSpan w:val="2"/>
            <w:tcBorders>
              <w:bottom w:val="single" w:sz="4" w:space="0" w:color="auto"/>
            </w:tcBorders>
            <w:shd w:val="clear" w:color="auto" w:fill="auto"/>
            <w:vAlign w:val="center"/>
          </w:tcPr>
          <w:p w:rsidR="00F1705A" w:rsidRPr="00537413" w:rsidRDefault="00F1705A" w:rsidP="003D7466">
            <w:pPr>
              <w:pStyle w:val="Tabletext"/>
              <w:widowControl w:val="0"/>
            </w:pPr>
            <w:r w:rsidRPr="00537413">
              <w:t>11/229 (4.8)</w:t>
            </w:r>
          </w:p>
        </w:tc>
        <w:tc>
          <w:tcPr>
            <w:tcW w:w="1730" w:type="dxa"/>
            <w:tcBorders>
              <w:bottom w:val="single" w:sz="4" w:space="0" w:color="auto"/>
            </w:tcBorders>
            <w:shd w:val="clear" w:color="auto" w:fill="auto"/>
            <w:vAlign w:val="center"/>
          </w:tcPr>
          <w:p w:rsidR="00F1705A" w:rsidRPr="00537413" w:rsidRDefault="00F1705A" w:rsidP="003D7466">
            <w:pPr>
              <w:pStyle w:val="Tabletext"/>
              <w:widowControl w:val="0"/>
            </w:pPr>
            <w:r w:rsidRPr="00537413">
              <w:t>3/75 (4.0)</w:t>
            </w:r>
          </w:p>
        </w:tc>
        <w:tc>
          <w:tcPr>
            <w:tcW w:w="1810" w:type="dxa"/>
            <w:gridSpan w:val="2"/>
            <w:tcBorders>
              <w:bottom w:val="single" w:sz="4" w:space="0" w:color="auto"/>
            </w:tcBorders>
            <w:shd w:val="clear" w:color="auto" w:fill="auto"/>
            <w:vAlign w:val="center"/>
          </w:tcPr>
          <w:p w:rsidR="00F1705A" w:rsidRPr="00537413" w:rsidRDefault="00F1705A" w:rsidP="003D7466">
            <w:pPr>
              <w:pStyle w:val="Tabletext"/>
              <w:widowControl w:val="0"/>
            </w:pPr>
            <w:r w:rsidRPr="00537413">
              <w:t>1.20 (0.34, 4.19)</w:t>
            </w:r>
          </w:p>
        </w:tc>
        <w:tc>
          <w:tcPr>
            <w:tcW w:w="1796" w:type="dxa"/>
            <w:tcBorders>
              <w:bottom w:val="single" w:sz="4" w:space="0" w:color="auto"/>
            </w:tcBorders>
            <w:shd w:val="clear" w:color="auto" w:fill="auto"/>
            <w:vAlign w:val="center"/>
          </w:tcPr>
          <w:p w:rsidR="00F1705A" w:rsidRPr="00537413" w:rsidRDefault="00F1705A" w:rsidP="003D7466">
            <w:pPr>
              <w:pStyle w:val="Tabletext"/>
              <w:widowControl w:val="0"/>
            </w:pPr>
            <w:r w:rsidRPr="00537413">
              <w:t>0.01 (-0.04, 0.06)</w:t>
            </w:r>
          </w:p>
        </w:tc>
      </w:tr>
      <w:tr w:rsidR="00F1705A" w:rsidRPr="00537413" w:rsidTr="009E1FD8">
        <w:trPr>
          <w:trHeight w:val="64"/>
        </w:trPr>
        <w:tc>
          <w:tcPr>
            <w:tcW w:w="1804" w:type="dxa"/>
            <w:tcBorders>
              <w:bottom w:val="single" w:sz="4" w:space="0" w:color="auto"/>
            </w:tcBorders>
            <w:shd w:val="clear" w:color="auto" w:fill="auto"/>
            <w:vAlign w:val="center"/>
          </w:tcPr>
          <w:p w:rsidR="00F1705A" w:rsidRPr="00537413" w:rsidRDefault="00F1705A" w:rsidP="003D7466">
            <w:pPr>
              <w:pStyle w:val="Tabletext"/>
              <w:widowControl w:val="0"/>
            </w:pPr>
            <w:r w:rsidRPr="00537413">
              <w:t xml:space="preserve">Study 039 </w:t>
            </w:r>
          </w:p>
        </w:tc>
        <w:tc>
          <w:tcPr>
            <w:tcW w:w="1877" w:type="dxa"/>
            <w:gridSpan w:val="2"/>
            <w:tcBorders>
              <w:bottom w:val="single" w:sz="4" w:space="0" w:color="auto"/>
            </w:tcBorders>
            <w:shd w:val="clear" w:color="auto" w:fill="auto"/>
            <w:vAlign w:val="center"/>
          </w:tcPr>
          <w:p w:rsidR="00F1705A" w:rsidRPr="00537413" w:rsidRDefault="00F1705A" w:rsidP="003D7466">
            <w:pPr>
              <w:pStyle w:val="Tabletext"/>
              <w:widowControl w:val="0"/>
            </w:pPr>
            <w:r w:rsidRPr="00537413">
              <w:t>6/374 (1.6)</w:t>
            </w:r>
          </w:p>
        </w:tc>
        <w:tc>
          <w:tcPr>
            <w:tcW w:w="1730" w:type="dxa"/>
            <w:tcBorders>
              <w:bottom w:val="single" w:sz="4" w:space="0" w:color="auto"/>
            </w:tcBorders>
            <w:shd w:val="clear" w:color="auto" w:fill="auto"/>
            <w:vAlign w:val="center"/>
          </w:tcPr>
          <w:p w:rsidR="00F1705A" w:rsidRPr="00537413" w:rsidRDefault="00F1705A" w:rsidP="003D7466">
            <w:pPr>
              <w:pStyle w:val="Tabletext"/>
              <w:widowControl w:val="0"/>
            </w:pPr>
            <w:r w:rsidRPr="00537413">
              <w:t>1/125 (0.8)</w:t>
            </w:r>
          </w:p>
        </w:tc>
        <w:tc>
          <w:tcPr>
            <w:tcW w:w="1810" w:type="dxa"/>
            <w:gridSpan w:val="2"/>
            <w:tcBorders>
              <w:bottom w:val="single" w:sz="4" w:space="0" w:color="auto"/>
            </w:tcBorders>
            <w:shd w:val="clear" w:color="auto" w:fill="auto"/>
            <w:vAlign w:val="center"/>
          </w:tcPr>
          <w:p w:rsidR="00F1705A" w:rsidRPr="00537413" w:rsidRDefault="00F1705A" w:rsidP="003D7466">
            <w:pPr>
              <w:pStyle w:val="Tabletext"/>
              <w:widowControl w:val="0"/>
            </w:pPr>
            <w:r w:rsidRPr="00537413">
              <w:t>2.01 (0.24, 16.50)</w:t>
            </w:r>
          </w:p>
        </w:tc>
        <w:tc>
          <w:tcPr>
            <w:tcW w:w="1796" w:type="dxa"/>
            <w:tcBorders>
              <w:bottom w:val="single" w:sz="4" w:space="0" w:color="auto"/>
            </w:tcBorders>
            <w:shd w:val="clear" w:color="auto" w:fill="auto"/>
            <w:vAlign w:val="center"/>
          </w:tcPr>
          <w:p w:rsidR="00F1705A" w:rsidRPr="00537413" w:rsidRDefault="00F1705A" w:rsidP="003D7466">
            <w:pPr>
              <w:pStyle w:val="Tabletext"/>
              <w:widowControl w:val="0"/>
            </w:pPr>
            <w:r w:rsidRPr="00537413">
              <w:t>0.01 (-0.01, 0.03)</w:t>
            </w:r>
          </w:p>
        </w:tc>
      </w:tr>
      <w:tr w:rsidR="00F1705A" w:rsidRPr="00537413" w:rsidTr="009E1FD8">
        <w:trPr>
          <w:trHeight w:val="64"/>
        </w:trPr>
        <w:tc>
          <w:tcPr>
            <w:tcW w:w="1804" w:type="dxa"/>
            <w:tcBorders>
              <w:top w:val="single" w:sz="4" w:space="0" w:color="auto"/>
              <w:bottom w:val="single" w:sz="4" w:space="0" w:color="auto"/>
            </w:tcBorders>
            <w:shd w:val="clear" w:color="auto" w:fill="auto"/>
            <w:vAlign w:val="center"/>
          </w:tcPr>
          <w:p w:rsidR="00F1705A" w:rsidRPr="00537413" w:rsidRDefault="00F1705A" w:rsidP="003D7466">
            <w:pPr>
              <w:pStyle w:val="Tabletext"/>
              <w:widowControl w:val="0"/>
            </w:pPr>
            <w:r w:rsidRPr="00537413">
              <w:t>Study 040</w:t>
            </w:r>
          </w:p>
        </w:tc>
        <w:tc>
          <w:tcPr>
            <w:tcW w:w="1877" w:type="dxa"/>
            <w:gridSpan w:val="2"/>
            <w:tcBorders>
              <w:top w:val="single" w:sz="4" w:space="0" w:color="auto"/>
              <w:bottom w:val="single" w:sz="4" w:space="0" w:color="auto"/>
            </w:tcBorders>
            <w:shd w:val="clear" w:color="auto" w:fill="auto"/>
            <w:vAlign w:val="center"/>
          </w:tcPr>
          <w:p w:rsidR="00F1705A" w:rsidRPr="00537413" w:rsidRDefault="00F1705A" w:rsidP="003D7466">
            <w:pPr>
              <w:pStyle w:val="Tabletext"/>
              <w:widowControl w:val="0"/>
            </w:pPr>
            <w:r w:rsidRPr="00537413">
              <w:t>7/220 (3.2)</w:t>
            </w:r>
          </w:p>
        </w:tc>
        <w:tc>
          <w:tcPr>
            <w:tcW w:w="1730" w:type="dxa"/>
            <w:tcBorders>
              <w:top w:val="single" w:sz="4" w:space="0" w:color="auto"/>
              <w:bottom w:val="single" w:sz="4" w:space="0" w:color="auto"/>
            </w:tcBorders>
            <w:shd w:val="clear" w:color="auto" w:fill="auto"/>
            <w:vAlign w:val="center"/>
          </w:tcPr>
          <w:p w:rsidR="00F1705A" w:rsidRPr="00537413" w:rsidRDefault="00F1705A" w:rsidP="003D7466">
            <w:pPr>
              <w:pStyle w:val="Tabletext"/>
              <w:widowControl w:val="0"/>
            </w:pPr>
            <w:r w:rsidRPr="00537413">
              <w:t>1/127 (0.8)</w:t>
            </w:r>
          </w:p>
        </w:tc>
        <w:tc>
          <w:tcPr>
            <w:tcW w:w="1810" w:type="dxa"/>
            <w:gridSpan w:val="2"/>
            <w:tcBorders>
              <w:top w:val="single" w:sz="4" w:space="0" w:color="auto"/>
              <w:bottom w:val="single" w:sz="4" w:space="0" w:color="auto"/>
            </w:tcBorders>
            <w:shd w:val="clear" w:color="auto" w:fill="auto"/>
            <w:vAlign w:val="center"/>
          </w:tcPr>
          <w:p w:rsidR="00F1705A" w:rsidRPr="00537413" w:rsidRDefault="00F1705A" w:rsidP="003D7466">
            <w:pPr>
              <w:pStyle w:val="Tabletext"/>
              <w:widowControl w:val="0"/>
            </w:pPr>
            <w:r w:rsidRPr="00537413">
              <w:t>4.04 (0.50, 32.47)</w:t>
            </w:r>
          </w:p>
        </w:tc>
        <w:tc>
          <w:tcPr>
            <w:tcW w:w="1796" w:type="dxa"/>
            <w:tcBorders>
              <w:top w:val="single" w:sz="4" w:space="0" w:color="auto"/>
              <w:bottom w:val="single" w:sz="4" w:space="0" w:color="auto"/>
            </w:tcBorders>
            <w:shd w:val="clear" w:color="auto" w:fill="auto"/>
            <w:vAlign w:val="center"/>
          </w:tcPr>
          <w:p w:rsidR="00F1705A" w:rsidRPr="00537413" w:rsidRDefault="00F1705A" w:rsidP="003D7466">
            <w:pPr>
              <w:pStyle w:val="Tabletext"/>
              <w:widowControl w:val="0"/>
            </w:pPr>
            <w:r w:rsidRPr="00537413">
              <w:t>0.02 (-0.00, 0.05)</w:t>
            </w:r>
          </w:p>
        </w:tc>
      </w:tr>
      <w:tr w:rsidR="00EA6E8B" w:rsidRPr="00537413" w:rsidTr="003D7466">
        <w:trPr>
          <w:trHeight w:val="64"/>
        </w:trPr>
        <w:tc>
          <w:tcPr>
            <w:tcW w:w="9017" w:type="dxa"/>
            <w:gridSpan w:val="7"/>
            <w:tcBorders>
              <w:top w:val="single" w:sz="4" w:space="0" w:color="auto"/>
              <w:bottom w:val="single" w:sz="4" w:space="0" w:color="auto"/>
            </w:tcBorders>
            <w:shd w:val="clear" w:color="auto" w:fill="auto"/>
            <w:vAlign w:val="center"/>
          </w:tcPr>
          <w:p w:rsidR="00EA6E8B" w:rsidRPr="00537413" w:rsidRDefault="00EA6E8B" w:rsidP="00EA6E8B">
            <w:pPr>
              <w:pStyle w:val="Tabletext"/>
              <w:keepNext/>
              <w:widowControl w:val="0"/>
            </w:pPr>
            <w:r w:rsidRPr="00537413">
              <w:rPr>
                <w:b/>
              </w:rPr>
              <w:t>Severity Grade 3</w:t>
            </w:r>
            <w:r>
              <w:rPr>
                <w:b/>
              </w:rPr>
              <w:t xml:space="preserve"> unsolicited AEs at day 31</w:t>
            </w:r>
          </w:p>
        </w:tc>
      </w:tr>
      <w:tr w:rsidR="00EA6E8B" w:rsidRPr="00537413" w:rsidTr="009E1FD8">
        <w:trPr>
          <w:trHeight w:val="64"/>
        </w:trPr>
        <w:tc>
          <w:tcPr>
            <w:tcW w:w="1804" w:type="dxa"/>
            <w:tcBorders>
              <w:top w:val="single" w:sz="4" w:space="0" w:color="auto"/>
              <w:bottom w:val="single" w:sz="4" w:space="0" w:color="auto"/>
            </w:tcBorders>
            <w:shd w:val="clear" w:color="auto" w:fill="auto"/>
            <w:vAlign w:val="center"/>
          </w:tcPr>
          <w:p w:rsidR="00EA6E8B" w:rsidRPr="00537413" w:rsidRDefault="00EA6E8B" w:rsidP="00EA6E8B">
            <w:pPr>
              <w:pStyle w:val="Tabletext"/>
              <w:widowControl w:val="0"/>
            </w:pPr>
            <w:r>
              <w:rPr>
                <w:rFonts w:cs="Arial"/>
                <w:szCs w:val="18"/>
              </w:rPr>
              <w:t>Study 013</w:t>
            </w:r>
          </w:p>
        </w:tc>
        <w:tc>
          <w:tcPr>
            <w:tcW w:w="1877" w:type="dxa"/>
            <w:gridSpan w:val="2"/>
            <w:tcBorders>
              <w:top w:val="single" w:sz="4" w:space="0" w:color="auto"/>
              <w:bottom w:val="single" w:sz="4" w:space="0" w:color="auto"/>
            </w:tcBorders>
            <w:shd w:val="clear" w:color="auto" w:fill="auto"/>
            <w:vAlign w:val="center"/>
          </w:tcPr>
          <w:p w:rsidR="00EA6E8B" w:rsidRPr="00537413" w:rsidRDefault="00EA6E8B" w:rsidP="00EA6E8B">
            <w:pPr>
              <w:pStyle w:val="Tabletext"/>
              <w:widowControl w:val="0"/>
            </w:pPr>
            <w:r>
              <w:t>0/48 (0)</w:t>
            </w:r>
          </w:p>
        </w:tc>
        <w:tc>
          <w:tcPr>
            <w:tcW w:w="1730" w:type="dxa"/>
            <w:tcBorders>
              <w:top w:val="single" w:sz="4" w:space="0" w:color="auto"/>
              <w:bottom w:val="single" w:sz="4" w:space="0" w:color="auto"/>
            </w:tcBorders>
            <w:shd w:val="clear" w:color="auto" w:fill="auto"/>
            <w:vAlign w:val="center"/>
          </w:tcPr>
          <w:p w:rsidR="00EA6E8B" w:rsidRPr="00537413" w:rsidRDefault="00EA6E8B" w:rsidP="00EA6E8B">
            <w:pPr>
              <w:pStyle w:val="Tabletext"/>
              <w:widowControl w:val="0"/>
            </w:pPr>
            <w:r>
              <w:t>0/48 (0)</w:t>
            </w:r>
          </w:p>
        </w:tc>
        <w:tc>
          <w:tcPr>
            <w:tcW w:w="1810" w:type="dxa"/>
            <w:gridSpan w:val="2"/>
            <w:tcBorders>
              <w:top w:val="single" w:sz="4" w:space="0" w:color="auto"/>
              <w:bottom w:val="single" w:sz="4" w:space="0" w:color="auto"/>
            </w:tcBorders>
            <w:shd w:val="clear" w:color="auto" w:fill="auto"/>
            <w:vAlign w:val="center"/>
          </w:tcPr>
          <w:p w:rsidR="00EA6E8B" w:rsidRPr="00537413" w:rsidRDefault="00EA6E8B" w:rsidP="00EA6E8B">
            <w:pPr>
              <w:pStyle w:val="Tabletext"/>
              <w:widowControl w:val="0"/>
            </w:pPr>
            <w:r>
              <w:t>Not estimable</w:t>
            </w:r>
          </w:p>
        </w:tc>
        <w:tc>
          <w:tcPr>
            <w:tcW w:w="1796" w:type="dxa"/>
            <w:tcBorders>
              <w:top w:val="single" w:sz="4" w:space="0" w:color="auto"/>
              <w:bottom w:val="single" w:sz="4" w:space="0" w:color="auto"/>
            </w:tcBorders>
            <w:shd w:val="clear" w:color="auto" w:fill="auto"/>
            <w:vAlign w:val="center"/>
          </w:tcPr>
          <w:p w:rsidR="00EA6E8B" w:rsidRPr="00537413" w:rsidRDefault="00EA6E8B" w:rsidP="00EA6E8B">
            <w:pPr>
              <w:pStyle w:val="Tabletext"/>
              <w:widowControl w:val="0"/>
            </w:pPr>
            <w:r>
              <w:t>0.00 (-0.04, 0.04)</w:t>
            </w:r>
          </w:p>
        </w:tc>
      </w:tr>
      <w:tr w:rsidR="00EA6E8B" w:rsidRPr="00537413" w:rsidTr="009E1FD8">
        <w:trPr>
          <w:trHeight w:val="64"/>
        </w:trPr>
        <w:tc>
          <w:tcPr>
            <w:tcW w:w="1804" w:type="dxa"/>
            <w:tcBorders>
              <w:top w:val="single" w:sz="4" w:space="0" w:color="auto"/>
              <w:bottom w:val="single" w:sz="4" w:space="0" w:color="auto"/>
            </w:tcBorders>
            <w:shd w:val="clear" w:color="auto" w:fill="auto"/>
            <w:vAlign w:val="center"/>
          </w:tcPr>
          <w:p w:rsidR="00EA6E8B" w:rsidRPr="00537413" w:rsidRDefault="00EA6E8B" w:rsidP="00EA6E8B">
            <w:pPr>
              <w:pStyle w:val="Tabletext"/>
              <w:widowControl w:val="0"/>
            </w:pPr>
            <w:r>
              <w:rPr>
                <w:rFonts w:cs="Arial"/>
                <w:szCs w:val="18"/>
              </w:rPr>
              <w:t>Study 027</w:t>
            </w:r>
          </w:p>
        </w:tc>
        <w:tc>
          <w:tcPr>
            <w:tcW w:w="1877" w:type="dxa"/>
            <w:gridSpan w:val="2"/>
            <w:tcBorders>
              <w:top w:val="single" w:sz="4" w:space="0" w:color="auto"/>
              <w:bottom w:val="single" w:sz="4" w:space="0" w:color="auto"/>
            </w:tcBorders>
            <w:shd w:val="clear" w:color="auto" w:fill="auto"/>
            <w:vAlign w:val="center"/>
          </w:tcPr>
          <w:p w:rsidR="00EA6E8B" w:rsidRPr="00537413" w:rsidRDefault="00EA6E8B" w:rsidP="00EA6E8B">
            <w:pPr>
              <w:pStyle w:val="Tabletext"/>
              <w:widowControl w:val="0"/>
            </w:pPr>
            <w:r>
              <w:t>26/229 (11.4)</w:t>
            </w:r>
          </w:p>
        </w:tc>
        <w:tc>
          <w:tcPr>
            <w:tcW w:w="1730" w:type="dxa"/>
            <w:tcBorders>
              <w:top w:val="single" w:sz="4" w:space="0" w:color="auto"/>
              <w:bottom w:val="single" w:sz="4" w:space="0" w:color="auto"/>
            </w:tcBorders>
            <w:shd w:val="clear" w:color="auto" w:fill="auto"/>
            <w:vAlign w:val="center"/>
          </w:tcPr>
          <w:p w:rsidR="00EA6E8B" w:rsidRPr="00537413" w:rsidRDefault="00EA6E8B" w:rsidP="00EA6E8B">
            <w:pPr>
              <w:pStyle w:val="Tabletext"/>
              <w:widowControl w:val="0"/>
            </w:pPr>
            <w:r>
              <w:t>11/75 (14.7)</w:t>
            </w:r>
          </w:p>
        </w:tc>
        <w:tc>
          <w:tcPr>
            <w:tcW w:w="1810" w:type="dxa"/>
            <w:gridSpan w:val="2"/>
            <w:tcBorders>
              <w:top w:val="single" w:sz="4" w:space="0" w:color="auto"/>
              <w:bottom w:val="single" w:sz="4" w:space="0" w:color="auto"/>
            </w:tcBorders>
            <w:shd w:val="clear" w:color="auto" w:fill="auto"/>
            <w:vAlign w:val="center"/>
          </w:tcPr>
          <w:p w:rsidR="00EA6E8B" w:rsidRPr="00537413" w:rsidRDefault="00EA6E8B" w:rsidP="00EA6E8B">
            <w:pPr>
              <w:pStyle w:val="Tabletext"/>
              <w:widowControl w:val="0"/>
            </w:pPr>
            <w:r w:rsidRPr="001B3B00">
              <w:t>0.77 (0.40, 1.49)</w:t>
            </w:r>
          </w:p>
        </w:tc>
        <w:tc>
          <w:tcPr>
            <w:tcW w:w="1796" w:type="dxa"/>
            <w:tcBorders>
              <w:top w:val="single" w:sz="4" w:space="0" w:color="auto"/>
              <w:bottom w:val="single" w:sz="4" w:space="0" w:color="auto"/>
            </w:tcBorders>
            <w:shd w:val="clear" w:color="auto" w:fill="auto"/>
            <w:vAlign w:val="center"/>
          </w:tcPr>
          <w:p w:rsidR="00EA6E8B" w:rsidRPr="00537413" w:rsidRDefault="00EA6E8B" w:rsidP="00EA6E8B">
            <w:pPr>
              <w:pStyle w:val="Tabletext"/>
              <w:widowControl w:val="0"/>
            </w:pPr>
            <w:r w:rsidRPr="001B3B00">
              <w:t>-0.03 (-0.12, 0.06)</w:t>
            </w:r>
          </w:p>
        </w:tc>
      </w:tr>
      <w:tr w:rsidR="00EA6E8B" w:rsidRPr="00537413" w:rsidTr="009E1FD8">
        <w:trPr>
          <w:trHeight w:val="64"/>
        </w:trPr>
        <w:tc>
          <w:tcPr>
            <w:tcW w:w="1804" w:type="dxa"/>
            <w:tcBorders>
              <w:top w:val="single" w:sz="4" w:space="0" w:color="auto"/>
              <w:bottom w:val="single" w:sz="4" w:space="0" w:color="auto"/>
            </w:tcBorders>
            <w:shd w:val="clear" w:color="auto" w:fill="auto"/>
            <w:vAlign w:val="center"/>
          </w:tcPr>
          <w:p w:rsidR="00EA6E8B" w:rsidRPr="00537413" w:rsidRDefault="00EA6E8B" w:rsidP="00EA6E8B">
            <w:pPr>
              <w:pStyle w:val="Tabletext"/>
              <w:widowControl w:val="0"/>
            </w:pPr>
            <w:r>
              <w:rPr>
                <w:rFonts w:cs="Arial"/>
                <w:szCs w:val="18"/>
              </w:rPr>
              <w:t xml:space="preserve">Study 039 </w:t>
            </w:r>
            <w:r w:rsidRPr="00CF7A0C">
              <w:rPr>
                <w:rFonts w:cs="Arial"/>
                <w:szCs w:val="18"/>
                <w:vertAlign w:val="superscript"/>
              </w:rPr>
              <w:t>#</w:t>
            </w:r>
          </w:p>
        </w:tc>
        <w:tc>
          <w:tcPr>
            <w:tcW w:w="1877" w:type="dxa"/>
            <w:gridSpan w:val="2"/>
            <w:tcBorders>
              <w:top w:val="single" w:sz="4" w:space="0" w:color="auto"/>
              <w:bottom w:val="single" w:sz="4" w:space="0" w:color="auto"/>
            </w:tcBorders>
            <w:shd w:val="clear" w:color="auto" w:fill="auto"/>
            <w:vAlign w:val="center"/>
          </w:tcPr>
          <w:p w:rsidR="00EA6E8B" w:rsidRPr="00537413" w:rsidRDefault="00EA6E8B" w:rsidP="00EA6E8B">
            <w:pPr>
              <w:pStyle w:val="Tabletext"/>
              <w:widowControl w:val="0"/>
            </w:pPr>
            <w:r>
              <w:t>38/374 (10.2)</w:t>
            </w:r>
          </w:p>
        </w:tc>
        <w:tc>
          <w:tcPr>
            <w:tcW w:w="1730" w:type="dxa"/>
            <w:tcBorders>
              <w:top w:val="single" w:sz="4" w:space="0" w:color="auto"/>
              <w:bottom w:val="single" w:sz="4" w:space="0" w:color="auto"/>
            </w:tcBorders>
            <w:shd w:val="clear" w:color="auto" w:fill="auto"/>
            <w:vAlign w:val="center"/>
          </w:tcPr>
          <w:p w:rsidR="00EA6E8B" w:rsidRPr="00537413" w:rsidRDefault="00EA6E8B" w:rsidP="00EA6E8B">
            <w:pPr>
              <w:pStyle w:val="Tabletext"/>
              <w:widowControl w:val="0"/>
            </w:pPr>
            <w:r>
              <w:t>12/125 (9.6)</w:t>
            </w:r>
          </w:p>
        </w:tc>
        <w:tc>
          <w:tcPr>
            <w:tcW w:w="1810" w:type="dxa"/>
            <w:gridSpan w:val="2"/>
            <w:tcBorders>
              <w:top w:val="single" w:sz="4" w:space="0" w:color="auto"/>
              <w:bottom w:val="single" w:sz="4" w:space="0" w:color="auto"/>
            </w:tcBorders>
            <w:shd w:val="clear" w:color="auto" w:fill="auto"/>
            <w:vAlign w:val="center"/>
          </w:tcPr>
          <w:p w:rsidR="00EA6E8B" w:rsidRPr="00537413" w:rsidRDefault="00EA6E8B" w:rsidP="00EA6E8B">
            <w:pPr>
              <w:pStyle w:val="Tabletext"/>
              <w:widowControl w:val="0"/>
            </w:pPr>
            <w:r w:rsidRPr="001B3B00">
              <w:t>1.06 (0.57, 1.96)</w:t>
            </w:r>
          </w:p>
        </w:tc>
        <w:tc>
          <w:tcPr>
            <w:tcW w:w="1796" w:type="dxa"/>
            <w:tcBorders>
              <w:top w:val="single" w:sz="4" w:space="0" w:color="auto"/>
              <w:bottom w:val="single" w:sz="4" w:space="0" w:color="auto"/>
            </w:tcBorders>
            <w:shd w:val="clear" w:color="auto" w:fill="auto"/>
            <w:vAlign w:val="center"/>
          </w:tcPr>
          <w:p w:rsidR="00EA6E8B" w:rsidRPr="00537413" w:rsidRDefault="00EA6E8B" w:rsidP="00EA6E8B">
            <w:pPr>
              <w:pStyle w:val="Tabletext"/>
              <w:widowControl w:val="0"/>
            </w:pPr>
            <w:r w:rsidRPr="001B3B00">
              <w:t>0.01 (-0.05, 0.07)</w:t>
            </w:r>
          </w:p>
        </w:tc>
      </w:tr>
      <w:tr w:rsidR="00EA6E8B" w:rsidRPr="00537413" w:rsidTr="009E1FD8">
        <w:trPr>
          <w:trHeight w:val="64"/>
        </w:trPr>
        <w:tc>
          <w:tcPr>
            <w:tcW w:w="1804" w:type="dxa"/>
            <w:tcBorders>
              <w:top w:val="single" w:sz="4" w:space="0" w:color="auto"/>
              <w:bottom w:val="single" w:sz="4" w:space="0" w:color="auto"/>
            </w:tcBorders>
            <w:shd w:val="clear" w:color="auto" w:fill="auto"/>
            <w:vAlign w:val="center"/>
          </w:tcPr>
          <w:p w:rsidR="00EA6E8B" w:rsidRPr="00537413" w:rsidRDefault="00EA6E8B" w:rsidP="00EA6E8B">
            <w:pPr>
              <w:pStyle w:val="Tabletext"/>
              <w:widowControl w:val="0"/>
            </w:pPr>
            <w:r>
              <w:rPr>
                <w:rFonts w:cs="Arial"/>
                <w:szCs w:val="18"/>
              </w:rPr>
              <w:t>Study 040</w:t>
            </w:r>
          </w:p>
        </w:tc>
        <w:tc>
          <w:tcPr>
            <w:tcW w:w="1877" w:type="dxa"/>
            <w:gridSpan w:val="2"/>
            <w:tcBorders>
              <w:top w:val="single" w:sz="4" w:space="0" w:color="auto"/>
              <w:bottom w:val="single" w:sz="4" w:space="0" w:color="auto"/>
            </w:tcBorders>
            <w:shd w:val="clear" w:color="auto" w:fill="auto"/>
            <w:vAlign w:val="center"/>
          </w:tcPr>
          <w:p w:rsidR="00EA6E8B" w:rsidRPr="00537413" w:rsidRDefault="00EA6E8B" w:rsidP="00EA6E8B">
            <w:pPr>
              <w:pStyle w:val="Tabletext"/>
              <w:widowControl w:val="0"/>
            </w:pPr>
            <w:r>
              <w:t>5/220 (2.3)</w:t>
            </w:r>
          </w:p>
        </w:tc>
        <w:tc>
          <w:tcPr>
            <w:tcW w:w="1730" w:type="dxa"/>
            <w:tcBorders>
              <w:top w:val="single" w:sz="4" w:space="0" w:color="auto"/>
              <w:bottom w:val="single" w:sz="4" w:space="0" w:color="auto"/>
            </w:tcBorders>
            <w:shd w:val="clear" w:color="auto" w:fill="auto"/>
            <w:vAlign w:val="center"/>
          </w:tcPr>
          <w:p w:rsidR="00EA6E8B" w:rsidRPr="00537413" w:rsidRDefault="00EA6E8B" w:rsidP="00EA6E8B">
            <w:pPr>
              <w:pStyle w:val="Tabletext"/>
              <w:widowControl w:val="0"/>
            </w:pPr>
            <w:r>
              <w:t>0/127 (0)</w:t>
            </w:r>
          </w:p>
        </w:tc>
        <w:tc>
          <w:tcPr>
            <w:tcW w:w="1810" w:type="dxa"/>
            <w:gridSpan w:val="2"/>
            <w:tcBorders>
              <w:top w:val="single" w:sz="4" w:space="0" w:color="auto"/>
              <w:bottom w:val="single" w:sz="4" w:space="0" w:color="auto"/>
            </w:tcBorders>
            <w:shd w:val="clear" w:color="auto" w:fill="auto"/>
            <w:vAlign w:val="center"/>
          </w:tcPr>
          <w:p w:rsidR="00EA6E8B" w:rsidRPr="00537413" w:rsidRDefault="00EA6E8B" w:rsidP="00EA6E8B">
            <w:pPr>
              <w:pStyle w:val="Tabletext"/>
              <w:widowControl w:val="0"/>
            </w:pPr>
            <w:r w:rsidRPr="001B3B00">
              <w:t>6.37 (0.36, 114.28)</w:t>
            </w:r>
          </w:p>
        </w:tc>
        <w:tc>
          <w:tcPr>
            <w:tcW w:w="1796" w:type="dxa"/>
            <w:tcBorders>
              <w:top w:val="single" w:sz="4" w:space="0" w:color="auto"/>
              <w:bottom w:val="single" w:sz="4" w:space="0" w:color="auto"/>
            </w:tcBorders>
            <w:shd w:val="clear" w:color="auto" w:fill="auto"/>
            <w:vAlign w:val="center"/>
          </w:tcPr>
          <w:p w:rsidR="00EA6E8B" w:rsidRPr="00537413" w:rsidRDefault="00EA6E8B" w:rsidP="00EA6E8B">
            <w:pPr>
              <w:pStyle w:val="Tabletext"/>
              <w:widowControl w:val="0"/>
            </w:pPr>
            <w:r w:rsidRPr="001B3B00">
              <w:t>0.02 (-0.00, 0.05)</w:t>
            </w:r>
          </w:p>
        </w:tc>
      </w:tr>
    </w:tbl>
    <w:p w:rsidR="00F1705A" w:rsidRPr="00F1705A" w:rsidRDefault="00F1705A" w:rsidP="00F1705A">
      <w:pPr>
        <w:pStyle w:val="TableNotes0"/>
        <w:keepNext w:val="0"/>
        <w:keepLines w:val="0"/>
        <w:widowControl w:val="0"/>
        <w:ind w:left="0"/>
      </w:pPr>
      <w:r w:rsidRPr="00F1705A">
        <w:t xml:space="preserve">AE: adverse event; CI: confidence interval; n: number of participants reporting data; </w:t>
      </w:r>
      <w:proofErr w:type="spellStart"/>
      <w:r>
        <w:t>MenACWY</w:t>
      </w:r>
      <w:proofErr w:type="spellEnd"/>
      <w:r>
        <w:t xml:space="preserve">-TT: Meningococcal serogroups ACWY tetanus toxoid vaccine; </w:t>
      </w:r>
      <w:proofErr w:type="spellStart"/>
      <w:r>
        <w:t>MenC</w:t>
      </w:r>
      <w:proofErr w:type="spellEnd"/>
      <w:r>
        <w:t xml:space="preserve">: monovalent meningococcal C vaccine; </w:t>
      </w:r>
      <w:r w:rsidRPr="00F1705A">
        <w:t>N: total participants in group; RD: risk difference; RR: relative risk.</w:t>
      </w:r>
    </w:p>
    <w:p w:rsidR="00F1705A" w:rsidRPr="00F1705A" w:rsidRDefault="00F1705A" w:rsidP="00F1705A">
      <w:pPr>
        <w:pStyle w:val="TableNotes0"/>
        <w:keepNext w:val="0"/>
        <w:keepLines w:val="0"/>
        <w:widowControl w:val="0"/>
        <w:ind w:left="0"/>
      </w:pPr>
      <w:r w:rsidRPr="00F1705A">
        <w:t xml:space="preserve"># </w:t>
      </w:r>
      <w:proofErr w:type="gramStart"/>
      <w:r w:rsidRPr="00F1705A">
        <w:t>Adverse</w:t>
      </w:r>
      <w:proofErr w:type="gramEnd"/>
      <w:r w:rsidRPr="00F1705A">
        <w:t xml:space="preserve"> events were reported up to day 8 after vaccine administration for trial MenACWY-TT-013</w:t>
      </w:r>
    </w:p>
    <w:p w:rsidR="00F1705A" w:rsidRPr="00F1705A" w:rsidRDefault="00F1705A" w:rsidP="00F1705A">
      <w:pPr>
        <w:pStyle w:val="TableNotes0"/>
        <w:keepNext w:val="0"/>
        <w:keepLines w:val="0"/>
        <w:widowControl w:val="0"/>
        <w:ind w:left="0"/>
      </w:pPr>
      <w:r w:rsidRPr="00F1705A">
        <w:t>*statistically significant result</w:t>
      </w:r>
    </w:p>
    <w:p w:rsidR="00F1705A" w:rsidRPr="00F1705A" w:rsidRDefault="00F1705A" w:rsidP="00F1705A">
      <w:pPr>
        <w:pStyle w:val="TableNotes0"/>
        <w:keepNext w:val="0"/>
        <w:keepLines w:val="0"/>
        <w:widowControl w:val="0"/>
        <w:ind w:left="0"/>
      </w:pPr>
      <w:r w:rsidRPr="00F1705A">
        <w:t>Source: Table 2.5-14 p87</w:t>
      </w:r>
      <w:r w:rsidR="007763E6">
        <w:t xml:space="preserve">, </w:t>
      </w:r>
      <w:r w:rsidR="007763E6" w:rsidRPr="000364AB">
        <w:rPr>
          <w:rFonts w:eastAsia="Calibri"/>
        </w:rPr>
        <w:t xml:space="preserve">Table 2.5-15, p87-88 </w:t>
      </w:r>
      <w:r w:rsidR="007763E6">
        <w:rPr>
          <w:rFonts w:eastAsia="Calibri"/>
        </w:rPr>
        <w:t xml:space="preserve">and </w:t>
      </w:r>
      <w:r w:rsidR="007763E6" w:rsidRPr="000364AB">
        <w:rPr>
          <w:rFonts w:eastAsia="Calibri"/>
        </w:rPr>
        <w:t>Table 2.5-1</w:t>
      </w:r>
      <w:r w:rsidR="007763E6">
        <w:rPr>
          <w:rFonts w:eastAsia="Calibri"/>
        </w:rPr>
        <w:t>6</w:t>
      </w:r>
      <w:r w:rsidR="007763E6" w:rsidRPr="000364AB">
        <w:rPr>
          <w:rFonts w:eastAsia="Calibri"/>
        </w:rPr>
        <w:t>, p8</w:t>
      </w:r>
      <w:r w:rsidR="007763E6">
        <w:rPr>
          <w:rFonts w:eastAsia="Calibri"/>
        </w:rPr>
        <w:t>9</w:t>
      </w:r>
      <w:r w:rsidR="007763E6" w:rsidRPr="000364AB">
        <w:rPr>
          <w:rFonts w:eastAsia="Calibri"/>
        </w:rPr>
        <w:t xml:space="preserve"> </w:t>
      </w:r>
      <w:r w:rsidR="00EA6E8B">
        <w:rPr>
          <w:rFonts w:eastAsia="Calibri"/>
        </w:rPr>
        <w:t xml:space="preserve">and Table 2.5.17, p90 </w:t>
      </w:r>
      <w:r w:rsidR="007763E6" w:rsidRPr="000364AB">
        <w:rPr>
          <w:rFonts w:eastAsia="Calibri"/>
        </w:rPr>
        <w:t>of the submission</w:t>
      </w:r>
    </w:p>
    <w:p w:rsidR="00F1705A" w:rsidRDefault="00F1705A" w:rsidP="00F1705A">
      <w:pPr>
        <w:widowControl/>
        <w:rPr>
          <w:highlight w:val="yellow"/>
        </w:rPr>
      </w:pPr>
    </w:p>
    <w:p w:rsidR="00EA6E8B" w:rsidRPr="00646CBD" w:rsidRDefault="00EA6E8B" w:rsidP="009E1FD8">
      <w:pPr>
        <w:pStyle w:val="ListParagraph"/>
        <w:widowControl/>
        <w:numPr>
          <w:ilvl w:val="1"/>
          <w:numId w:val="1"/>
        </w:numPr>
        <w:rPr>
          <w:rFonts w:cs="Calibri"/>
          <w:snapToGrid/>
          <w:szCs w:val="24"/>
          <w:lang w:val="en-US" w:eastAsia="en-AU"/>
        </w:rPr>
      </w:pPr>
      <w:r w:rsidRPr="00646CBD">
        <w:rPr>
          <w:rFonts w:cs="Calibri"/>
          <w:snapToGrid/>
          <w:szCs w:val="24"/>
          <w:lang w:val="en-US" w:eastAsia="en-AU"/>
        </w:rPr>
        <w:t>The most commonly reported local symptoms were redness, pain and swelling. The most commonly reported general symptoms were drowsiness, fever and irritability. The most commonly reported unsolicited treatment-related AE was diarrhea.</w:t>
      </w:r>
    </w:p>
    <w:p w:rsidR="009E1FD8" w:rsidRPr="00646CBD" w:rsidRDefault="009E1FD8" w:rsidP="009E1FD8">
      <w:pPr>
        <w:pStyle w:val="ListParagraph"/>
        <w:widowControl/>
        <w:numPr>
          <w:ilvl w:val="1"/>
          <w:numId w:val="1"/>
        </w:numPr>
        <w:rPr>
          <w:rFonts w:cs="Calibri"/>
          <w:snapToGrid/>
          <w:szCs w:val="24"/>
          <w:lang w:val="en-US" w:eastAsia="en-AU"/>
        </w:rPr>
      </w:pPr>
      <w:r w:rsidRPr="00646CBD">
        <w:rPr>
          <w:rFonts w:cs="Calibri"/>
          <w:snapToGrid/>
          <w:szCs w:val="24"/>
          <w:lang w:val="en-US" w:eastAsia="en-AU"/>
        </w:rPr>
        <w:t>The submission did not report whether any febrile seizures occurred.</w:t>
      </w:r>
    </w:p>
    <w:p w:rsidR="009E1FD8" w:rsidRPr="009E1FD8" w:rsidRDefault="009E1FD8" w:rsidP="003D7466">
      <w:pPr>
        <w:pStyle w:val="ListParagraph"/>
        <w:widowControl/>
        <w:numPr>
          <w:ilvl w:val="1"/>
          <w:numId w:val="1"/>
        </w:numPr>
        <w:rPr>
          <w:rFonts w:cs="Calibri"/>
          <w:snapToGrid/>
          <w:szCs w:val="24"/>
          <w:lang w:val="en-US" w:eastAsia="en-AU"/>
        </w:rPr>
      </w:pPr>
      <w:r w:rsidRPr="009E1FD8">
        <w:rPr>
          <w:rFonts w:cs="Calibri"/>
          <w:snapToGrid/>
          <w:szCs w:val="24"/>
          <w:lang w:val="en-US" w:eastAsia="en-AU"/>
        </w:rPr>
        <w:t xml:space="preserve">The submission claimed that vaccination with the </w:t>
      </w:r>
      <w:proofErr w:type="spellStart"/>
      <w:r w:rsidRPr="009E1FD8">
        <w:rPr>
          <w:rFonts w:cs="Calibri"/>
          <w:snapToGrid/>
          <w:szCs w:val="24"/>
          <w:lang w:val="en-US" w:eastAsia="en-AU"/>
        </w:rPr>
        <w:t>MenACWY</w:t>
      </w:r>
      <w:proofErr w:type="spellEnd"/>
      <w:r w:rsidRPr="009E1FD8">
        <w:rPr>
          <w:rFonts w:cs="Calibri"/>
          <w:snapToGrid/>
          <w:szCs w:val="24"/>
          <w:lang w:val="en-US" w:eastAsia="en-AU"/>
        </w:rPr>
        <w:t xml:space="preserve">-TT vaccine was well tolerated across the </w:t>
      </w:r>
      <w:proofErr w:type="spellStart"/>
      <w:r w:rsidRPr="009E1FD8">
        <w:rPr>
          <w:rFonts w:cs="Calibri"/>
          <w:snapToGrid/>
          <w:szCs w:val="24"/>
          <w:lang w:val="en-US" w:eastAsia="en-AU"/>
        </w:rPr>
        <w:t>MenACWY</w:t>
      </w:r>
      <w:proofErr w:type="spellEnd"/>
      <w:r w:rsidRPr="009E1FD8">
        <w:rPr>
          <w:rFonts w:cs="Calibri"/>
          <w:snapToGrid/>
          <w:szCs w:val="24"/>
          <w:lang w:val="en-US" w:eastAsia="en-AU"/>
        </w:rPr>
        <w:t xml:space="preserve">-TT trials and that the overall safety profile was similar to that reported in the </w:t>
      </w:r>
      <w:proofErr w:type="spellStart"/>
      <w:r w:rsidRPr="009E1FD8">
        <w:rPr>
          <w:rFonts w:cs="Calibri"/>
          <w:snapToGrid/>
          <w:szCs w:val="24"/>
          <w:lang w:val="en-US" w:eastAsia="en-AU"/>
        </w:rPr>
        <w:t>MenC</w:t>
      </w:r>
      <w:proofErr w:type="spellEnd"/>
      <w:r w:rsidRPr="009E1FD8">
        <w:rPr>
          <w:rFonts w:cs="Calibri"/>
          <w:snapToGrid/>
          <w:szCs w:val="24"/>
          <w:lang w:val="en-US" w:eastAsia="en-AU"/>
        </w:rPr>
        <w:t xml:space="preserve"> arms in terms of frequencies, types and severity of events, with limited statistically significant differences occurring across treatment </w:t>
      </w:r>
      <w:r w:rsidRPr="009E1FD8">
        <w:rPr>
          <w:rFonts w:cs="Calibri"/>
          <w:snapToGrid/>
          <w:szCs w:val="24"/>
          <w:lang w:val="en-US" w:eastAsia="en-AU"/>
        </w:rPr>
        <w:lastRenderedPageBreak/>
        <w:t xml:space="preserve">groups (p86 of the submission). </w:t>
      </w:r>
      <w:r w:rsidRPr="006C284F">
        <w:rPr>
          <w:rFonts w:cs="Calibri"/>
          <w:snapToGrid/>
          <w:szCs w:val="24"/>
          <w:lang w:val="en-US" w:eastAsia="en-AU"/>
        </w:rPr>
        <w:t xml:space="preserve">There were </w:t>
      </w:r>
      <w:r w:rsidR="00EA6E8B" w:rsidRPr="006C284F">
        <w:rPr>
          <w:rFonts w:cs="Calibri"/>
          <w:snapToGrid/>
          <w:szCs w:val="24"/>
          <w:lang w:val="en-US" w:eastAsia="en-AU"/>
        </w:rPr>
        <w:t>some</w:t>
      </w:r>
      <w:r w:rsidRPr="006C284F">
        <w:rPr>
          <w:rFonts w:cs="Calibri"/>
          <w:snapToGrid/>
          <w:szCs w:val="24"/>
          <w:lang w:val="en-US" w:eastAsia="en-AU"/>
        </w:rPr>
        <w:t xml:space="preserve"> measures where there were statistically significant differences.</w:t>
      </w:r>
    </w:p>
    <w:p w:rsidR="007763E6" w:rsidRDefault="007763E6" w:rsidP="007763E6">
      <w:pPr>
        <w:pStyle w:val="ListParagraph"/>
        <w:widowControl/>
        <w:numPr>
          <w:ilvl w:val="1"/>
          <w:numId w:val="1"/>
        </w:numPr>
        <w:rPr>
          <w:rFonts w:cs="Calibri"/>
          <w:snapToGrid/>
          <w:szCs w:val="24"/>
          <w:lang w:val="en-US" w:eastAsia="en-AU"/>
        </w:rPr>
      </w:pPr>
      <w:r w:rsidRPr="007763E6">
        <w:rPr>
          <w:rFonts w:cs="Calibri"/>
          <w:snapToGrid/>
          <w:szCs w:val="24"/>
          <w:lang w:val="en-US" w:eastAsia="en-AU"/>
        </w:rPr>
        <w:t xml:space="preserve">The indirect comparison of any symptom (local and general) adverse events at day </w:t>
      </w:r>
      <w:r w:rsidR="00367C98">
        <w:rPr>
          <w:rFonts w:cs="Calibri"/>
          <w:snapToGrid/>
          <w:szCs w:val="24"/>
          <w:lang w:val="en-US" w:eastAsia="en-AU"/>
        </w:rPr>
        <w:t>four</w:t>
      </w:r>
      <w:r w:rsidRPr="007763E6">
        <w:rPr>
          <w:rFonts w:cs="Calibri"/>
          <w:snapToGrid/>
          <w:szCs w:val="24"/>
          <w:lang w:val="en-US" w:eastAsia="en-AU"/>
        </w:rPr>
        <w:t xml:space="preserve"> and unsolicited adverse events at day 31 is presented in Figure </w:t>
      </w:r>
      <w:r w:rsidR="00367C98">
        <w:rPr>
          <w:rFonts w:cs="Calibri"/>
          <w:snapToGrid/>
          <w:szCs w:val="24"/>
          <w:lang w:val="en-US" w:eastAsia="en-AU"/>
        </w:rPr>
        <w:t>2</w:t>
      </w:r>
      <w:r w:rsidRPr="007763E6">
        <w:rPr>
          <w:rFonts w:cs="Calibri"/>
          <w:snapToGrid/>
          <w:szCs w:val="24"/>
          <w:lang w:val="en-US" w:eastAsia="en-AU"/>
        </w:rPr>
        <w:t xml:space="preserve"> and Figure </w:t>
      </w:r>
      <w:r w:rsidR="00367C98">
        <w:rPr>
          <w:rFonts w:cs="Calibri"/>
          <w:snapToGrid/>
          <w:szCs w:val="24"/>
          <w:lang w:val="en-US" w:eastAsia="en-AU"/>
        </w:rPr>
        <w:t>3</w:t>
      </w:r>
      <w:r w:rsidRPr="007763E6">
        <w:rPr>
          <w:rFonts w:cs="Calibri"/>
          <w:snapToGrid/>
          <w:szCs w:val="24"/>
          <w:lang w:val="en-US" w:eastAsia="en-AU"/>
        </w:rPr>
        <w:t>.</w:t>
      </w:r>
    </w:p>
    <w:p w:rsidR="007763E6" w:rsidRDefault="007763E6" w:rsidP="007763E6">
      <w:pPr>
        <w:keepNext/>
      </w:pPr>
      <w:r w:rsidRPr="002E79E3">
        <w:rPr>
          <w:rFonts w:ascii="Arial Narrow" w:hAnsi="Arial Narrow" w:cs="Times New Roman"/>
          <w:b/>
          <w:snapToGrid/>
          <w:sz w:val="20"/>
        </w:rPr>
        <w:t xml:space="preserve">Figure </w:t>
      </w:r>
      <w:r w:rsidR="00367C98">
        <w:rPr>
          <w:rFonts w:ascii="Arial Narrow" w:hAnsi="Arial Narrow" w:cs="Times New Roman"/>
          <w:b/>
          <w:snapToGrid/>
          <w:sz w:val="20"/>
        </w:rPr>
        <w:t>2</w:t>
      </w:r>
      <w:r>
        <w:rPr>
          <w:rFonts w:ascii="Arial Narrow" w:hAnsi="Arial Narrow" w:cs="Times New Roman"/>
          <w:b/>
          <w:snapToGrid/>
          <w:sz w:val="20"/>
        </w:rPr>
        <w:t xml:space="preserve">: </w:t>
      </w:r>
      <w:r w:rsidRPr="00EA4E3A">
        <w:rPr>
          <w:rFonts w:ascii="Arial Narrow" w:hAnsi="Arial Narrow" w:cs="Times New Roman"/>
          <w:b/>
          <w:snapToGrid/>
          <w:sz w:val="20"/>
        </w:rPr>
        <w:t xml:space="preserve">Indirect comparison of </w:t>
      </w:r>
      <w:proofErr w:type="spellStart"/>
      <w:r w:rsidRPr="00EA4E3A">
        <w:rPr>
          <w:rFonts w:ascii="Arial Narrow" w:hAnsi="Arial Narrow" w:cs="Times New Roman"/>
          <w:b/>
          <w:snapToGrid/>
          <w:sz w:val="20"/>
        </w:rPr>
        <w:t>reactogenicity</w:t>
      </w:r>
      <w:proofErr w:type="spellEnd"/>
      <w:r w:rsidRPr="00EA4E3A">
        <w:rPr>
          <w:rFonts w:ascii="Arial Narrow" w:hAnsi="Arial Narrow" w:cs="Times New Roman"/>
          <w:b/>
          <w:snapToGrid/>
          <w:sz w:val="20"/>
        </w:rPr>
        <w:t xml:space="preserve"> at Day 4</w:t>
      </w:r>
    </w:p>
    <w:p w:rsidR="007763E6" w:rsidRDefault="007763E6" w:rsidP="007763E6">
      <w:pPr>
        <w:pStyle w:val="TextUnderTable"/>
        <w:rPr>
          <w:szCs w:val="20"/>
        </w:rPr>
      </w:pPr>
      <w:r>
        <w:rPr>
          <w:noProof/>
        </w:rPr>
        <w:drawing>
          <wp:inline distT="0" distB="0" distL="0" distR="0" wp14:anchorId="7B950954" wp14:editId="1526E456">
            <wp:extent cx="5727700" cy="3955415"/>
            <wp:effectExtent l="0" t="0" r="6350" b="6985"/>
            <wp:docPr id="10" name="Picture 10" title="Figure 2: Indirect comparison of reactogenicity at Day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C reactodgenicity RR.png"/>
                    <pic:cNvPicPr/>
                  </pic:nvPicPr>
                  <pic:blipFill>
                    <a:blip r:embed="rId10">
                      <a:extLst>
                        <a:ext uri="{28A0092B-C50C-407E-A947-70E740481C1C}">
                          <a14:useLocalDpi xmlns:a14="http://schemas.microsoft.com/office/drawing/2010/main" val="0"/>
                        </a:ext>
                      </a:extLst>
                    </a:blip>
                    <a:stretch>
                      <a:fillRect/>
                    </a:stretch>
                  </pic:blipFill>
                  <pic:spPr>
                    <a:xfrm>
                      <a:off x="0" y="0"/>
                      <a:ext cx="5727700" cy="3955415"/>
                    </a:xfrm>
                    <a:prstGeom prst="rect">
                      <a:avLst/>
                    </a:prstGeom>
                  </pic:spPr>
                </pic:pic>
              </a:graphicData>
            </a:graphic>
          </wp:inline>
        </w:drawing>
      </w:r>
    </w:p>
    <w:p w:rsidR="007763E6" w:rsidRDefault="007763E6" w:rsidP="007763E6">
      <w:pPr>
        <w:pStyle w:val="TableFooter"/>
      </w:pPr>
      <w:r>
        <w:t xml:space="preserve">Source: Figure 2.6-24, p115 </w:t>
      </w:r>
      <w:r w:rsidRPr="00D13A3E">
        <w:t xml:space="preserve">of the </w:t>
      </w:r>
      <w:r>
        <w:t>submission.</w:t>
      </w:r>
    </w:p>
    <w:p w:rsidR="007763E6" w:rsidRDefault="007763E6" w:rsidP="007763E6">
      <w:pPr>
        <w:pStyle w:val="TableFooter"/>
      </w:pPr>
    </w:p>
    <w:p w:rsidR="007763E6" w:rsidRPr="00A1697C" w:rsidRDefault="007763E6" w:rsidP="00A1697C">
      <w:pPr>
        <w:keepNext/>
      </w:pPr>
      <w:r w:rsidRPr="002E79E3">
        <w:rPr>
          <w:rFonts w:ascii="Arial Narrow" w:hAnsi="Arial Narrow" w:cs="Times New Roman"/>
          <w:b/>
          <w:snapToGrid/>
          <w:sz w:val="20"/>
        </w:rPr>
        <w:t xml:space="preserve">Figure </w:t>
      </w:r>
      <w:r w:rsidR="00367C98">
        <w:rPr>
          <w:rFonts w:ascii="Arial Narrow" w:hAnsi="Arial Narrow" w:cs="Times New Roman"/>
          <w:b/>
          <w:snapToGrid/>
          <w:sz w:val="20"/>
        </w:rPr>
        <w:t>3</w:t>
      </w:r>
      <w:r>
        <w:rPr>
          <w:rFonts w:ascii="Arial Narrow" w:hAnsi="Arial Narrow" w:cs="Times New Roman"/>
          <w:b/>
          <w:snapToGrid/>
          <w:sz w:val="20"/>
        </w:rPr>
        <w:t xml:space="preserve">: </w:t>
      </w:r>
      <w:r w:rsidRPr="002A7A9E">
        <w:rPr>
          <w:rFonts w:ascii="Arial Narrow" w:hAnsi="Arial Narrow" w:cs="Times New Roman"/>
          <w:b/>
          <w:snapToGrid/>
          <w:sz w:val="20"/>
        </w:rPr>
        <w:t>Indirect comparison of unsolicited adverse events at Day 31</w:t>
      </w:r>
    </w:p>
    <w:p w:rsidR="007763E6" w:rsidRDefault="007763E6" w:rsidP="007763E6">
      <w:pPr>
        <w:rPr>
          <w:highlight w:val="yellow"/>
        </w:rPr>
      </w:pPr>
      <w:r w:rsidRPr="009C20D6">
        <w:rPr>
          <w:noProof/>
          <w:lang w:eastAsia="en-AU"/>
        </w:rPr>
        <w:drawing>
          <wp:inline distT="0" distB="0" distL="0" distR="0" wp14:anchorId="05C89A86" wp14:editId="3060A651">
            <wp:extent cx="5727700" cy="1120775"/>
            <wp:effectExtent l="0" t="0" r="6350" b="3175"/>
            <wp:docPr id="11" name="Picture 11" title="Figure 3: Indirect comparison of unsolicited adverse events at Day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C unsolicited RR.png"/>
                    <pic:cNvPicPr/>
                  </pic:nvPicPr>
                  <pic:blipFill>
                    <a:blip r:embed="rId11">
                      <a:extLst>
                        <a:ext uri="{28A0092B-C50C-407E-A947-70E740481C1C}">
                          <a14:useLocalDpi xmlns:a14="http://schemas.microsoft.com/office/drawing/2010/main" val="0"/>
                        </a:ext>
                      </a:extLst>
                    </a:blip>
                    <a:stretch>
                      <a:fillRect/>
                    </a:stretch>
                  </pic:blipFill>
                  <pic:spPr>
                    <a:xfrm>
                      <a:off x="0" y="0"/>
                      <a:ext cx="5727700" cy="1120775"/>
                    </a:xfrm>
                    <a:prstGeom prst="rect">
                      <a:avLst/>
                    </a:prstGeom>
                  </pic:spPr>
                </pic:pic>
              </a:graphicData>
            </a:graphic>
          </wp:inline>
        </w:drawing>
      </w:r>
    </w:p>
    <w:p w:rsidR="007763E6" w:rsidRDefault="007763E6" w:rsidP="007763E6">
      <w:pPr>
        <w:pStyle w:val="TableFooter"/>
      </w:pPr>
      <w:r>
        <w:t xml:space="preserve">Source: Figure 2.6-25, p116 </w:t>
      </w:r>
      <w:r w:rsidRPr="00D13A3E">
        <w:t xml:space="preserve">of the </w:t>
      </w:r>
      <w:r>
        <w:t>submission.</w:t>
      </w:r>
    </w:p>
    <w:p w:rsidR="007763E6" w:rsidRPr="00F1705A" w:rsidRDefault="007763E6" w:rsidP="00F1705A">
      <w:pPr>
        <w:widowControl/>
        <w:rPr>
          <w:highlight w:val="yellow"/>
        </w:rPr>
      </w:pPr>
    </w:p>
    <w:p w:rsidR="007763E6" w:rsidRPr="007763E6" w:rsidRDefault="007763E6" w:rsidP="007763E6">
      <w:pPr>
        <w:pStyle w:val="ListParagraph"/>
        <w:widowControl/>
        <w:numPr>
          <w:ilvl w:val="1"/>
          <w:numId w:val="1"/>
        </w:numPr>
      </w:pPr>
      <w:r w:rsidRPr="007763E6">
        <w:t>The submission claimed that:</w:t>
      </w:r>
    </w:p>
    <w:p w:rsidR="007763E6" w:rsidRPr="007763E6" w:rsidRDefault="007763E6" w:rsidP="007763E6">
      <w:pPr>
        <w:pStyle w:val="ListParagraph"/>
        <w:widowControl/>
        <w:numPr>
          <w:ilvl w:val="2"/>
          <w:numId w:val="1"/>
        </w:numPr>
        <w:ind w:left="1276"/>
      </w:pPr>
      <w:proofErr w:type="gramStart"/>
      <w:r w:rsidRPr="007763E6">
        <w:t>any</w:t>
      </w:r>
      <w:proofErr w:type="gramEnd"/>
      <w:r w:rsidRPr="007763E6">
        <w:t xml:space="preserve"> symptom (local and general symptoms) adverse events were similar across the </w:t>
      </w:r>
      <w:proofErr w:type="spellStart"/>
      <w:r w:rsidRPr="007763E6">
        <w:t>MenACWY</w:t>
      </w:r>
      <w:proofErr w:type="spellEnd"/>
      <w:r w:rsidRPr="007763E6">
        <w:t>-TT vaccine and the Hib-</w:t>
      </w:r>
      <w:proofErr w:type="spellStart"/>
      <w:r w:rsidRPr="007763E6">
        <w:t>MenC</w:t>
      </w:r>
      <w:proofErr w:type="spellEnd"/>
      <w:r w:rsidRPr="007763E6">
        <w:t xml:space="preserve"> vaccine (p115 of the submission).</w:t>
      </w:r>
    </w:p>
    <w:p w:rsidR="007763E6" w:rsidRPr="007763E6" w:rsidRDefault="007763E6" w:rsidP="007763E6">
      <w:pPr>
        <w:pStyle w:val="ListParagraph"/>
        <w:widowControl/>
        <w:numPr>
          <w:ilvl w:val="2"/>
          <w:numId w:val="1"/>
        </w:numPr>
        <w:ind w:left="1276"/>
      </w:pPr>
      <w:r w:rsidRPr="007763E6">
        <w:lastRenderedPageBreak/>
        <w:t xml:space="preserve">There were more severity grade 3 adverse events associated with the </w:t>
      </w:r>
      <w:proofErr w:type="spellStart"/>
      <w:r w:rsidRPr="007763E6">
        <w:t>MenACWY</w:t>
      </w:r>
      <w:proofErr w:type="spellEnd"/>
      <w:r w:rsidRPr="007763E6">
        <w:t>-TT vaccine compared with the Hib-</w:t>
      </w:r>
      <w:proofErr w:type="spellStart"/>
      <w:r w:rsidRPr="007763E6">
        <w:t>MenC</w:t>
      </w:r>
      <w:proofErr w:type="spellEnd"/>
      <w:r w:rsidRPr="007763E6">
        <w:t xml:space="preserve"> vaccine (p115 of the submission).</w:t>
      </w:r>
    </w:p>
    <w:p w:rsidR="007763E6" w:rsidRPr="007763E6" w:rsidRDefault="007763E6" w:rsidP="007763E6">
      <w:pPr>
        <w:pStyle w:val="ListParagraph"/>
        <w:widowControl/>
        <w:numPr>
          <w:ilvl w:val="2"/>
          <w:numId w:val="1"/>
        </w:numPr>
        <w:ind w:left="1276"/>
      </w:pPr>
      <w:r w:rsidRPr="007763E6">
        <w:t xml:space="preserve">Treatment-related adverse events were statistically significantly more likely to occur with the </w:t>
      </w:r>
      <w:proofErr w:type="spellStart"/>
      <w:r w:rsidRPr="007763E6">
        <w:t>MenACWY</w:t>
      </w:r>
      <w:proofErr w:type="spellEnd"/>
      <w:r w:rsidRPr="007763E6">
        <w:t>-TT vaccine compared with the Hib-</w:t>
      </w:r>
      <w:proofErr w:type="spellStart"/>
      <w:r w:rsidRPr="007763E6">
        <w:t>MenC</w:t>
      </w:r>
      <w:proofErr w:type="spellEnd"/>
      <w:r w:rsidRPr="007763E6">
        <w:t xml:space="preserve"> vaccine as shown by the indirect relative risk of 1.70 (95% CI: 1.05, 2.75); p = 0.03. However, when comparing the numerical percentages of the individual vaccines there was substantial variation in the </w:t>
      </w:r>
      <w:proofErr w:type="spellStart"/>
      <w:r w:rsidRPr="007763E6">
        <w:t>MenC</w:t>
      </w:r>
      <w:proofErr w:type="spellEnd"/>
      <w:r w:rsidRPr="007763E6">
        <w:t xml:space="preserve"> common reference (</w:t>
      </w:r>
      <w:proofErr w:type="spellStart"/>
      <w:r w:rsidRPr="007763E6">
        <w:t>MenACWY</w:t>
      </w:r>
      <w:proofErr w:type="spellEnd"/>
      <w:r w:rsidRPr="007763E6">
        <w:t xml:space="preserve">-TT 10.6% vs. </w:t>
      </w:r>
      <w:proofErr w:type="spellStart"/>
      <w:r w:rsidRPr="007763E6">
        <w:t>MenC</w:t>
      </w:r>
      <w:proofErr w:type="spellEnd"/>
      <w:r w:rsidRPr="007763E6">
        <w:t xml:space="preserve"> 7.2% and Hib-</w:t>
      </w:r>
      <w:proofErr w:type="spellStart"/>
      <w:r w:rsidRPr="007763E6">
        <w:t>MenC</w:t>
      </w:r>
      <w:proofErr w:type="spellEnd"/>
      <w:r w:rsidRPr="007763E6">
        <w:t xml:space="preserve"> 29.3% vs. </w:t>
      </w:r>
      <w:proofErr w:type="spellStart"/>
      <w:r w:rsidRPr="007763E6">
        <w:t>MenC</w:t>
      </w:r>
      <w:proofErr w:type="spellEnd"/>
      <w:r w:rsidRPr="007763E6">
        <w:t xml:space="preserve"> 43.1%) (</w:t>
      </w:r>
      <w:proofErr w:type="gramStart"/>
      <w:r w:rsidRPr="007763E6">
        <w:t>p116</w:t>
      </w:r>
      <w:proofErr w:type="gramEnd"/>
      <w:r w:rsidRPr="007763E6">
        <w:t xml:space="preserve"> of the submission).</w:t>
      </w:r>
    </w:p>
    <w:p w:rsidR="007763E6" w:rsidRPr="006C284F" w:rsidRDefault="007763E6" w:rsidP="007763E6">
      <w:pPr>
        <w:pStyle w:val="ListParagraph"/>
        <w:widowControl/>
        <w:numPr>
          <w:ilvl w:val="1"/>
          <w:numId w:val="1"/>
        </w:numPr>
      </w:pPr>
      <w:r w:rsidRPr="006C284F">
        <w:t>In the comparator trial (trial Hib-MenC-016) subjects were co-administered the MMR vaccine and received Hib vaccination via a combined vaccine (Hib-</w:t>
      </w:r>
      <w:proofErr w:type="spellStart"/>
      <w:r w:rsidRPr="006C284F">
        <w:t>MenC</w:t>
      </w:r>
      <w:proofErr w:type="spellEnd"/>
      <w:r w:rsidRPr="006C284F">
        <w:t xml:space="preserve"> vaccine) or via separate vaccines (Hib vaccine + </w:t>
      </w:r>
      <w:proofErr w:type="spellStart"/>
      <w:r w:rsidRPr="006C284F">
        <w:t>MenC</w:t>
      </w:r>
      <w:proofErr w:type="spellEnd"/>
      <w:r w:rsidRPr="006C284F">
        <w:t xml:space="preserve"> vaccine). This may bias the safety outcomes in favour of the </w:t>
      </w:r>
      <w:proofErr w:type="spellStart"/>
      <w:r w:rsidRPr="006C284F">
        <w:t>MenACWY</w:t>
      </w:r>
      <w:proofErr w:type="spellEnd"/>
      <w:r w:rsidRPr="006C284F">
        <w:t>-TT vaccine.</w:t>
      </w:r>
    </w:p>
    <w:p w:rsidR="007F1017" w:rsidRPr="00C9624D" w:rsidRDefault="007F1017" w:rsidP="00C9624D">
      <w:pPr>
        <w:pStyle w:val="Heading2"/>
      </w:pPr>
      <w:bookmarkStart w:id="8" w:name="_Toc500765126"/>
      <w:r w:rsidRPr="00C9624D">
        <w:t>Benefits/harms</w:t>
      </w:r>
      <w:bookmarkEnd w:id="8"/>
    </w:p>
    <w:p w:rsidR="00B60939" w:rsidRPr="00882085" w:rsidRDefault="00E926A5" w:rsidP="00586FAD">
      <w:pPr>
        <w:pStyle w:val="ListParagraph"/>
        <w:widowControl/>
        <w:numPr>
          <w:ilvl w:val="1"/>
          <w:numId w:val="1"/>
        </w:numPr>
      </w:pPr>
      <w:r>
        <w:rPr>
          <w:rFonts w:cs="Calibri"/>
          <w:snapToGrid/>
          <w:szCs w:val="24"/>
          <w:lang w:val="en-US" w:eastAsia="en-AU"/>
        </w:rPr>
        <w:t xml:space="preserve">The naïve indirect comparison presented in the submission did not allow for a </w:t>
      </w:r>
      <w:r w:rsidR="0085309D">
        <w:rPr>
          <w:rFonts w:cs="Calibri"/>
          <w:snapToGrid/>
          <w:szCs w:val="24"/>
          <w:lang w:val="en-US" w:eastAsia="en-AU"/>
        </w:rPr>
        <w:t xml:space="preserve">quantitative </w:t>
      </w:r>
      <w:r>
        <w:rPr>
          <w:rFonts w:cs="Calibri"/>
          <w:snapToGrid/>
          <w:szCs w:val="24"/>
          <w:lang w:val="en-US" w:eastAsia="en-AU"/>
        </w:rPr>
        <w:t xml:space="preserve">comparison of the benefits and harms of </w:t>
      </w:r>
      <w:r w:rsidR="00206F08">
        <w:rPr>
          <w:rFonts w:cs="Calibri"/>
          <w:snapToGrid/>
          <w:szCs w:val="24"/>
          <w:lang w:val="en-US" w:eastAsia="en-AU"/>
        </w:rPr>
        <w:t xml:space="preserve">the </w:t>
      </w:r>
      <w:proofErr w:type="spellStart"/>
      <w:r w:rsidR="00206F08">
        <w:rPr>
          <w:rFonts w:cs="Calibri"/>
          <w:snapToGrid/>
          <w:szCs w:val="24"/>
          <w:lang w:val="en-US" w:eastAsia="en-AU"/>
        </w:rPr>
        <w:t>MenACWY</w:t>
      </w:r>
      <w:proofErr w:type="spellEnd"/>
      <w:r w:rsidR="00206F08">
        <w:rPr>
          <w:rFonts w:cs="Calibri"/>
          <w:snapToGrid/>
          <w:szCs w:val="24"/>
          <w:lang w:val="en-US" w:eastAsia="en-AU"/>
        </w:rPr>
        <w:t>-TT vaccine and the Hib-</w:t>
      </w:r>
      <w:proofErr w:type="spellStart"/>
      <w:r w:rsidR="00206F08">
        <w:rPr>
          <w:rFonts w:cs="Calibri"/>
          <w:snapToGrid/>
          <w:szCs w:val="24"/>
          <w:lang w:val="en-US" w:eastAsia="en-AU"/>
        </w:rPr>
        <w:t>MenC</w:t>
      </w:r>
      <w:proofErr w:type="spellEnd"/>
      <w:r w:rsidR="00206F08">
        <w:rPr>
          <w:rFonts w:cs="Calibri"/>
          <w:snapToGrid/>
          <w:szCs w:val="24"/>
          <w:lang w:val="en-US" w:eastAsia="en-AU"/>
        </w:rPr>
        <w:t xml:space="preserve"> vaccine. </w:t>
      </w:r>
      <w:r>
        <w:rPr>
          <w:rFonts w:cs="Calibri"/>
          <w:snapToGrid/>
          <w:szCs w:val="24"/>
          <w:lang w:val="en-US" w:eastAsia="en-AU"/>
        </w:rPr>
        <w:t>Accordingly, a benefits/harms table has not been presented.</w:t>
      </w:r>
    </w:p>
    <w:p w:rsidR="00B60939" w:rsidRPr="00C9624D" w:rsidRDefault="00B60939" w:rsidP="00C9624D">
      <w:pPr>
        <w:pStyle w:val="Heading2"/>
      </w:pPr>
      <w:bookmarkStart w:id="9" w:name="_Toc500765127"/>
      <w:r w:rsidRPr="00C9624D">
        <w:t>Clinical claim</w:t>
      </w:r>
      <w:bookmarkEnd w:id="9"/>
    </w:p>
    <w:p w:rsidR="002F02B8" w:rsidRPr="002F02B8" w:rsidRDefault="002F02B8" w:rsidP="00EA6E8B">
      <w:pPr>
        <w:pStyle w:val="ListParagraph"/>
        <w:widowControl/>
        <w:numPr>
          <w:ilvl w:val="1"/>
          <w:numId w:val="1"/>
        </w:numPr>
      </w:pPr>
      <w:r w:rsidRPr="002F02B8">
        <w:t xml:space="preserve">The submission described the </w:t>
      </w:r>
      <w:proofErr w:type="spellStart"/>
      <w:r w:rsidRPr="002F02B8">
        <w:t>MenACWY</w:t>
      </w:r>
      <w:proofErr w:type="spellEnd"/>
      <w:r w:rsidRPr="002F02B8">
        <w:t>-TT vaccine as non-inferior in terms of effectiveness (</w:t>
      </w:r>
      <w:r w:rsidR="005C13B6">
        <w:t xml:space="preserve">based on </w:t>
      </w:r>
      <w:proofErr w:type="spellStart"/>
      <w:r w:rsidR="00EA6E8B" w:rsidRPr="00EA6E8B">
        <w:t>rSBA-MenC</w:t>
      </w:r>
      <w:proofErr w:type="spellEnd"/>
      <w:r w:rsidR="00EA6E8B" w:rsidRPr="00EA6E8B">
        <w:t xml:space="preserve"> ≥ 1:8 at one month</w:t>
      </w:r>
      <w:r w:rsidRPr="002F02B8">
        <w:t>) and non-inferior in terms of safety compared to the Hib-</w:t>
      </w:r>
      <w:proofErr w:type="spellStart"/>
      <w:r w:rsidRPr="002F02B8">
        <w:t>MenC</w:t>
      </w:r>
      <w:proofErr w:type="spellEnd"/>
      <w:r w:rsidRPr="002F02B8">
        <w:t xml:space="preserve"> vaccine (p</w:t>
      </w:r>
      <w:r w:rsidR="00EA6E8B">
        <w:t>126</w:t>
      </w:r>
      <w:r w:rsidRPr="002F02B8">
        <w:t xml:space="preserve"> of the submission).</w:t>
      </w:r>
    </w:p>
    <w:p w:rsidR="004F1A33" w:rsidRPr="00646CBD" w:rsidRDefault="003D7466" w:rsidP="004F1A33">
      <w:pPr>
        <w:pStyle w:val="ListParagraph"/>
        <w:widowControl/>
        <w:numPr>
          <w:ilvl w:val="1"/>
          <w:numId w:val="1"/>
        </w:numPr>
      </w:pPr>
      <w:r w:rsidRPr="00646CBD">
        <w:t>This claim should be considered with caution.</w:t>
      </w:r>
    </w:p>
    <w:p w:rsidR="005C13B6" w:rsidRPr="006C284F" w:rsidRDefault="003D7466" w:rsidP="00E663E9">
      <w:pPr>
        <w:pStyle w:val="ListParagraph"/>
        <w:widowControl/>
        <w:numPr>
          <w:ilvl w:val="0"/>
          <w:numId w:val="24"/>
        </w:numPr>
      </w:pPr>
      <w:r w:rsidRPr="006C284F">
        <w:t xml:space="preserve">The indirect comparison found that the </w:t>
      </w:r>
      <w:proofErr w:type="spellStart"/>
      <w:r w:rsidRPr="006C284F">
        <w:t>MenACWY</w:t>
      </w:r>
      <w:proofErr w:type="spellEnd"/>
      <w:r w:rsidRPr="006C284F">
        <w:t>-TT vaccine elicited an immune response to serogroup C (</w:t>
      </w:r>
      <w:proofErr w:type="spellStart"/>
      <w:r w:rsidRPr="006C284F">
        <w:t>rSBA-MenC</w:t>
      </w:r>
      <w:proofErr w:type="spellEnd"/>
      <w:r w:rsidRPr="006C284F">
        <w:t xml:space="preserve"> ≥ 1:8) that was comparable with the Hib-Men C vaccine. However, the trials included in the submission were all non-inferiority trials. </w:t>
      </w:r>
      <w:r w:rsidR="00303D37" w:rsidRPr="006C284F">
        <w:t>Conducting an indirect comparison of non-inferiority trials introduces uncertainty as the</w:t>
      </w:r>
      <w:r w:rsidRPr="006C284F">
        <w:t xml:space="preserve"> finding </w:t>
      </w:r>
      <w:r w:rsidR="00303D37" w:rsidRPr="006C284F">
        <w:t xml:space="preserve">of </w:t>
      </w:r>
      <w:r w:rsidRPr="006C284F">
        <w:t>a non-statistically significant result does not mean that the vaccines are non-inferior.</w:t>
      </w:r>
    </w:p>
    <w:p w:rsidR="00B60939" w:rsidRPr="006C284F" w:rsidRDefault="00A1697C" w:rsidP="00671B36">
      <w:pPr>
        <w:pStyle w:val="ListParagraph"/>
        <w:widowControl/>
        <w:numPr>
          <w:ilvl w:val="0"/>
          <w:numId w:val="24"/>
        </w:numPr>
      </w:pPr>
      <w:r w:rsidRPr="006C284F">
        <w:t>All of the trials were open-label, which increases the risk of bias in the safety results as the subjects were aware of the vaccines received. Furthermore, i</w:t>
      </w:r>
      <w:r w:rsidR="003D7466" w:rsidRPr="006C284F">
        <w:t>n the comparator trial (trial Hib-MenC-016) subjects were co-administered the MMR vaccine and received Hib vaccination via a combined vaccine (Hib-</w:t>
      </w:r>
      <w:proofErr w:type="spellStart"/>
      <w:r w:rsidR="003D7466" w:rsidRPr="006C284F">
        <w:t>MenC</w:t>
      </w:r>
      <w:proofErr w:type="spellEnd"/>
      <w:r w:rsidR="003D7466" w:rsidRPr="006C284F">
        <w:t xml:space="preserve"> vaccine) or via separate vaccines (Hib vaccine + </w:t>
      </w:r>
      <w:proofErr w:type="spellStart"/>
      <w:r w:rsidR="003D7466" w:rsidRPr="006C284F">
        <w:t>MenC</w:t>
      </w:r>
      <w:proofErr w:type="spellEnd"/>
      <w:r w:rsidR="003D7466" w:rsidRPr="006C284F">
        <w:t xml:space="preserve"> vaccine). This may bias the safety outcomes in favour of the </w:t>
      </w:r>
      <w:proofErr w:type="spellStart"/>
      <w:r w:rsidR="003D7466" w:rsidRPr="006C284F">
        <w:t>MenACWY</w:t>
      </w:r>
      <w:proofErr w:type="spellEnd"/>
      <w:r w:rsidR="003D7466" w:rsidRPr="006C284F">
        <w:t>-TT vaccine.</w:t>
      </w:r>
    </w:p>
    <w:p w:rsidR="00257786" w:rsidRPr="00883ED6" w:rsidRDefault="00257786" w:rsidP="00257786">
      <w:pPr>
        <w:pStyle w:val="ListParagraph"/>
        <w:widowControl/>
        <w:numPr>
          <w:ilvl w:val="1"/>
          <w:numId w:val="1"/>
        </w:numPr>
      </w:pPr>
      <w:bookmarkStart w:id="10" w:name="_Toc500765128"/>
      <w:r w:rsidRPr="00883ED6">
        <w:t xml:space="preserve">The PBAC accepted the ATAGI advice that the clinical claim of non-inferiority to the </w:t>
      </w:r>
      <w:proofErr w:type="spellStart"/>
      <w:r w:rsidRPr="00883ED6">
        <w:t>MenC</w:t>
      </w:r>
      <w:proofErr w:type="spellEnd"/>
      <w:r w:rsidRPr="00883ED6">
        <w:t xml:space="preserve"> component of the Hib-</w:t>
      </w:r>
      <w:proofErr w:type="spellStart"/>
      <w:r w:rsidRPr="00883ED6">
        <w:t>MenC</w:t>
      </w:r>
      <w:proofErr w:type="spellEnd"/>
      <w:r w:rsidRPr="00883ED6">
        <w:t xml:space="preserve"> vaccine based on </w:t>
      </w:r>
      <w:proofErr w:type="spellStart"/>
      <w:r w:rsidRPr="00883ED6">
        <w:t>rSBA-MenC</w:t>
      </w:r>
      <w:proofErr w:type="spellEnd"/>
      <w:r w:rsidRPr="00883ED6">
        <w:t xml:space="preserve"> protection at one </w:t>
      </w:r>
      <w:r w:rsidRPr="00883ED6">
        <w:lastRenderedPageBreak/>
        <w:t xml:space="preserve">month and the added benefit of serogroup A, W135 and Y antibody </w:t>
      </w:r>
      <w:proofErr w:type="gramStart"/>
      <w:r w:rsidRPr="00883ED6">
        <w:t>protection,</w:t>
      </w:r>
      <w:proofErr w:type="gramEnd"/>
      <w:r w:rsidRPr="00883ED6">
        <w:t xml:space="preserve"> was reasonable.</w:t>
      </w:r>
    </w:p>
    <w:p w:rsidR="00257786" w:rsidRPr="00883ED6" w:rsidRDefault="00257786" w:rsidP="00257786">
      <w:pPr>
        <w:pStyle w:val="ListParagraph"/>
        <w:widowControl/>
        <w:numPr>
          <w:ilvl w:val="1"/>
          <w:numId w:val="1"/>
        </w:numPr>
      </w:pPr>
      <w:r w:rsidRPr="00883ED6">
        <w:t xml:space="preserve">The PBAC accepted the ATAGI advice that overall, </w:t>
      </w:r>
      <w:proofErr w:type="spellStart"/>
      <w:r w:rsidRPr="00883ED6">
        <w:t>MenACWY</w:t>
      </w:r>
      <w:proofErr w:type="spellEnd"/>
      <w:r w:rsidRPr="00883ED6">
        <w:t>-TT had a similar safety profile to the comparator.</w:t>
      </w:r>
    </w:p>
    <w:p w:rsidR="00B60939" w:rsidRPr="00C9624D" w:rsidRDefault="00B60939" w:rsidP="008F68C3">
      <w:pPr>
        <w:pStyle w:val="Heading2"/>
        <w:keepNext/>
      </w:pPr>
      <w:r w:rsidRPr="00C9624D">
        <w:t>Economic analysis</w:t>
      </w:r>
      <w:bookmarkEnd w:id="10"/>
      <w:r w:rsidR="00491B3A" w:rsidRPr="00C9624D">
        <w:t xml:space="preserve"> </w:t>
      </w:r>
    </w:p>
    <w:p w:rsidR="00451A4D" w:rsidRPr="00451A4D" w:rsidRDefault="00451A4D" w:rsidP="00586FAD">
      <w:pPr>
        <w:pStyle w:val="ListParagraph"/>
        <w:widowControl/>
        <w:numPr>
          <w:ilvl w:val="1"/>
          <w:numId w:val="1"/>
        </w:numPr>
      </w:pPr>
      <w:r w:rsidRPr="00451A4D">
        <w:rPr>
          <w:rFonts w:cs="Calibri"/>
          <w:snapToGrid/>
          <w:szCs w:val="24"/>
          <w:lang w:val="en-US" w:eastAsia="en-AU"/>
        </w:rPr>
        <w:t xml:space="preserve">The submission </w:t>
      </w:r>
      <w:r w:rsidR="00655565" w:rsidRPr="00451A4D">
        <w:rPr>
          <w:rFonts w:cs="Calibri"/>
          <w:snapToGrid/>
          <w:szCs w:val="24"/>
          <w:lang w:val="en-US" w:eastAsia="en-AU"/>
        </w:rPr>
        <w:t>present</w:t>
      </w:r>
      <w:r w:rsidR="00655565">
        <w:rPr>
          <w:rFonts w:cs="Calibri"/>
          <w:snapToGrid/>
          <w:szCs w:val="24"/>
          <w:lang w:val="en-US" w:eastAsia="en-AU"/>
        </w:rPr>
        <w:t>ed</w:t>
      </w:r>
      <w:r w:rsidR="00655565" w:rsidRPr="00451A4D">
        <w:rPr>
          <w:rFonts w:cs="Calibri"/>
          <w:snapToGrid/>
          <w:szCs w:val="24"/>
          <w:lang w:val="en-US" w:eastAsia="en-AU"/>
        </w:rPr>
        <w:t xml:space="preserve"> </w:t>
      </w:r>
      <w:r w:rsidRPr="00451A4D">
        <w:rPr>
          <w:rFonts w:cs="Calibri"/>
          <w:snapToGrid/>
          <w:szCs w:val="24"/>
          <w:lang w:val="en-US" w:eastAsia="en-AU"/>
        </w:rPr>
        <w:t>a cost-</w:t>
      </w:r>
      <w:proofErr w:type="spellStart"/>
      <w:r w:rsidRPr="00451A4D">
        <w:rPr>
          <w:rFonts w:cs="Calibri"/>
          <w:snapToGrid/>
          <w:szCs w:val="24"/>
          <w:lang w:val="en-US" w:eastAsia="en-AU"/>
        </w:rPr>
        <w:t>minimisation</w:t>
      </w:r>
      <w:proofErr w:type="spellEnd"/>
      <w:r w:rsidRPr="00451A4D">
        <w:rPr>
          <w:rFonts w:cs="Calibri"/>
          <w:snapToGrid/>
          <w:szCs w:val="24"/>
          <w:lang w:val="en-US" w:eastAsia="en-AU"/>
        </w:rPr>
        <w:t xml:space="preserve"> analysis of the </w:t>
      </w:r>
      <w:proofErr w:type="spellStart"/>
      <w:r w:rsidRPr="00451A4D">
        <w:rPr>
          <w:rFonts w:cs="Calibri"/>
          <w:snapToGrid/>
          <w:szCs w:val="24"/>
          <w:lang w:val="en-US" w:eastAsia="en-AU"/>
        </w:rPr>
        <w:t>MenACWY</w:t>
      </w:r>
      <w:proofErr w:type="spellEnd"/>
      <w:r w:rsidR="00CC003B">
        <w:rPr>
          <w:rFonts w:cs="Calibri"/>
          <w:snapToGrid/>
          <w:szCs w:val="24"/>
          <w:lang w:val="en-US" w:eastAsia="en-AU"/>
        </w:rPr>
        <w:t>-TT</w:t>
      </w:r>
      <w:r w:rsidRPr="00451A4D">
        <w:rPr>
          <w:rFonts w:cs="Calibri"/>
          <w:snapToGrid/>
          <w:szCs w:val="24"/>
          <w:lang w:val="en-US" w:eastAsia="en-AU"/>
        </w:rPr>
        <w:t xml:space="preserve"> vaccine compared to the Hib-</w:t>
      </w:r>
      <w:proofErr w:type="spellStart"/>
      <w:r w:rsidRPr="00451A4D">
        <w:rPr>
          <w:rFonts w:cs="Calibri"/>
          <w:snapToGrid/>
          <w:szCs w:val="24"/>
          <w:lang w:val="en-US" w:eastAsia="en-AU"/>
        </w:rPr>
        <w:t>MenC</w:t>
      </w:r>
      <w:proofErr w:type="spellEnd"/>
      <w:r w:rsidRPr="00451A4D">
        <w:rPr>
          <w:rFonts w:cs="Calibri"/>
          <w:snapToGrid/>
          <w:szCs w:val="24"/>
          <w:lang w:val="en-US" w:eastAsia="en-AU"/>
        </w:rPr>
        <w:t xml:space="preserve"> vaccine.</w:t>
      </w:r>
    </w:p>
    <w:p w:rsidR="002A1DA0" w:rsidRDefault="00A86E8B" w:rsidP="00586FAD">
      <w:pPr>
        <w:pStyle w:val="ListParagraph"/>
        <w:widowControl/>
        <w:numPr>
          <w:ilvl w:val="1"/>
          <w:numId w:val="1"/>
        </w:numPr>
      </w:pPr>
      <w:r w:rsidRPr="004448A4">
        <w:t xml:space="preserve">The </w:t>
      </w:r>
      <w:proofErr w:type="spellStart"/>
      <w:r w:rsidRPr="004448A4">
        <w:t>equi</w:t>
      </w:r>
      <w:proofErr w:type="spellEnd"/>
      <w:r w:rsidRPr="004448A4">
        <w:t xml:space="preserve">-effective doses </w:t>
      </w:r>
      <w:r w:rsidR="00655565">
        <w:t>were</w:t>
      </w:r>
      <w:r w:rsidR="00655565" w:rsidRPr="004448A4">
        <w:t xml:space="preserve"> </w:t>
      </w:r>
      <w:r w:rsidRPr="004448A4">
        <w:t>estimated as</w:t>
      </w:r>
      <w:r w:rsidR="00154FE0" w:rsidRPr="004448A4">
        <w:t>:</w:t>
      </w:r>
      <w:r w:rsidR="00F34627" w:rsidRPr="004448A4">
        <w:t xml:space="preserve"> </w:t>
      </w:r>
    </w:p>
    <w:p w:rsidR="002A1DA0" w:rsidRDefault="002A1DA0" w:rsidP="00586FAD">
      <w:pPr>
        <w:pStyle w:val="ListParagraph"/>
        <w:widowControl/>
        <w:numPr>
          <w:ilvl w:val="2"/>
          <w:numId w:val="2"/>
        </w:numPr>
        <w:ind w:left="1418"/>
      </w:pPr>
      <w:r>
        <w:t xml:space="preserve">5 </w:t>
      </w:r>
      <w:proofErr w:type="spellStart"/>
      <w:r>
        <w:t>μg</w:t>
      </w:r>
      <w:proofErr w:type="spellEnd"/>
      <w:r>
        <w:t xml:space="preserve"> of meningococcal serogroup C component from the </w:t>
      </w:r>
      <w:proofErr w:type="spellStart"/>
      <w:r>
        <w:t>MenACWY</w:t>
      </w:r>
      <w:proofErr w:type="spellEnd"/>
      <w:r>
        <w:t>-TT (</w:t>
      </w:r>
      <w:proofErr w:type="spellStart"/>
      <w:r>
        <w:t>Nimenrix</w:t>
      </w:r>
      <w:proofErr w:type="spellEnd"/>
      <w:r>
        <w:t>) conjugate vaccine, and</w:t>
      </w:r>
    </w:p>
    <w:p w:rsidR="002A1DA0" w:rsidRDefault="002A1DA0" w:rsidP="00586FAD">
      <w:pPr>
        <w:pStyle w:val="ListParagraph"/>
        <w:widowControl/>
        <w:numPr>
          <w:ilvl w:val="2"/>
          <w:numId w:val="2"/>
        </w:numPr>
        <w:ind w:left="1418"/>
      </w:pPr>
      <w:r>
        <w:t xml:space="preserve">5 </w:t>
      </w:r>
      <w:proofErr w:type="spellStart"/>
      <w:r>
        <w:t>μg</w:t>
      </w:r>
      <w:proofErr w:type="spellEnd"/>
      <w:r>
        <w:t xml:space="preserve"> of meningococcal serogroup C component of the Hib-</w:t>
      </w:r>
      <w:proofErr w:type="spellStart"/>
      <w:r>
        <w:t>MenC</w:t>
      </w:r>
      <w:proofErr w:type="spellEnd"/>
      <w:r>
        <w:t xml:space="preserve"> (</w:t>
      </w:r>
      <w:proofErr w:type="spellStart"/>
      <w:r>
        <w:t>Menitorix</w:t>
      </w:r>
      <w:proofErr w:type="spellEnd"/>
      <w:r>
        <w:t>) conjugate vaccine.</w:t>
      </w:r>
    </w:p>
    <w:p w:rsidR="00154FE0" w:rsidRPr="00646CBD" w:rsidRDefault="00655565" w:rsidP="00586FAD">
      <w:pPr>
        <w:pStyle w:val="ListParagraph"/>
        <w:widowControl/>
        <w:numPr>
          <w:ilvl w:val="1"/>
          <w:numId w:val="1"/>
        </w:numPr>
      </w:pPr>
      <w:r w:rsidRPr="00646CBD">
        <w:t xml:space="preserve">The </w:t>
      </w:r>
      <w:proofErr w:type="spellStart"/>
      <w:r w:rsidRPr="00646CBD">
        <w:t>equi</w:t>
      </w:r>
      <w:proofErr w:type="spellEnd"/>
      <w:r w:rsidRPr="00646CBD">
        <w:t>-effective doses are</w:t>
      </w:r>
      <w:r w:rsidR="002A1DA0" w:rsidRPr="00646CBD">
        <w:t xml:space="preserve"> reasonable if the PBAC accepts the claim </w:t>
      </w:r>
      <w:r w:rsidRPr="00646CBD">
        <w:t xml:space="preserve">that the meningococcal serogroup C component of the </w:t>
      </w:r>
      <w:proofErr w:type="spellStart"/>
      <w:r w:rsidRPr="00646CBD">
        <w:t>MenACWY</w:t>
      </w:r>
      <w:proofErr w:type="spellEnd"/>
      <w:r w:rsidRPr="00646CBD">
        <w:t>-TT conjugate vaccine is non-inferior to the meningococcal serogroup C component of the Hib-</w:t>
      </w:r>
      <w:proofErr w:type="spellStart"/>
      <w:r w:rsidRPr="00646CBD">
        <w:t>MenC</w:t>
      </w:r>
      <w:proofErr w:type="spellEnd"/>
      <w:r w:rsidRPr="00646CBD">
        <w:t xml:space="preserve"> conjugate vaccine.</w:t>
      </w:r>
    </w:p>
    <w:p w:rsidR="00D03AF6" w:rsidRPr="00646CBD" w:rsidRDefault="00D03AF6" w:rsidP="00586FAD">
      <w:pPr>
        <w:pStyle w:val="ListParagraph"/>
        <w:widowControl/>
        <w:numPr>
          <w:ilvl w:val="1"/>
          <w:numId w:val="1"/>
        </w:numPr>
      </w:pPr>
      <w:r w:rsidRPr="00206F08">
        <w:t xml:space="preserve">The submission proposed the price of the </w:t>
      </w:r>
      <w:proofErr w:type="spellStart"/>
      <w:r w:rsidRPr="00206F08">
        <w:t>MenACWY</w:t>
      </w:r>
      <w:proofErr w:type="spellEnd"/>
      <w:r w:rsidRPr="00206F08">
        <w:t>-TT vaccine to be equ</w:t>
      </w:r>
      <w:r w:rsidR="00206F08" w:rsidRPr="00206F08">
        <w:t>al to the assumed price of the meningococcal C component of the Hib-</w:t>
      </w:r>
      <w:proofErr w:type="spellStart"/>
      <w:r w:rsidRPr="00206F08">
        <w:t>MenC</w:t>
      </w:r>
      <w:proofErr w:type="spellEnd"/>
      <w:r w:rsidRPr="00206F08">
        <w:t xml:space="preserve"> vaccine (p</w:t>
      </w:r>
      <w:r w:rsidR="00002CD2" w:rsidRPr="00206F08">
        <w:t>13</w:t>
      </w:r>
      <w:r w:rsidR="00206F08" w:rsidRPr="00206F08">
        <w:t>0</w:t>
      </w:r>
      <w:r w:rsidRPr="00206F08">
        <w:t xml:space="preserve"> of the </w:t>
      </w:r>
      <w:r w:rsidR="00002CD2" w:rsidRPr="00206F08">
        <w:t>submission</w:t>
      </w:r>
      <w:r w:rsidR="004F1A33">
        <w:t>)</w:t>
      </w:r>
      <w:r w:rsidRPr="00646CBD">
        <w:t>.</w:t>
      </w:r>
    </w:p>
    <w:p w:rsidR="00D03AF6" w:rsidRPr="00646CBD" w:rsidRDefault="00655565" w:rsidP="00586FAD">
      <w:pPr>
        <w:pStyle w:val="ListParagraph"/>
        <w:widowControl/>
        <w:numPr>
          <w:ilvl w:val="1"/>
          <w:numId w:val="1"/>
        </w:numPr>
      </w:pPr>
      <w:r w:rsidRPr="00D03AF6">
        <w:t>The submission suggested that a monovalent Hib vaccine will also need to be listed on the NIP (p128 of the submission).</w:t>
      </w:r>
      <w:r>
        <w:t xml:space="preserve"> </w:t>
      </w:r>
      <w:r w:rsidR="00D03AF6" w:rsidRPr="00646CBD">
        <w:t>There is no monovalent Hib vaccine currently supplied in Australia (p19 of the ATAGI pre-</w:t>
      </w:r>
      <w:r w:rsidR="008E3581" w:rsidRPr="00646CBD">
        <w:t>submission</w:t>
      </w:r>
      <w:r w:rsidR="00D03AF6" w:rsidRPr="00646CBD">
        <w:t xml:space="preserve"> advice 2017).</w:t>
      </w:r>
    </w:p>
    <w:p w:rsidR="00D03AF6" w:rsidRDefault="00D03AF6" w:rsidP="00586FAD">
      <w:pPr>
        <w:pStyle w:val="ListParagraph"/>
        <w:widowControl/>
        <w:numPr>
          <w:ilvl w:val="1"/>
          <w:numId w:val="1"/>
        </w:numPr>
      </w:pPr>
      <w:r w:rsidRPr="005B5B8A">
        <w:t>The price of a monovalent Hib vaccine for infants aged 18 months was proposed to be the same with the Hib component in</w:t>
      </w:r>
      <w:r>
        <w:t xml:space="preserve"> the</w:t>
      </w:r>
      <w:r w:rsidRPr="005B5B8A">
        <w:t xml:space="preserve"> Hib-</w:t>
      </w:r>
      <w:proofErr w:type="spellStart"/>
      <w:r w:rsidRPr="005B5B8A">
        <w:t>MenC</w:t>
      </w:r>
      <w:proofErr w:type="spellEnd"/>
      <w:r>
        <w:t xml:space="preserve"> vaccine. Consequently, the submission claimed that listing the </w:t>
      </w:r>
      <w:proofErr w:type="spellStart"/>
      <w:r>
        <w:t>MenACWY</w:t>
      </w:r>
      <w:proofErr w:type="spellEnd"/>
      <w:r>
        <w:t>-TT vaccine will be cost-neutral (p</w:t>
      </w:r>
      <w:r w:rsidR="00206F08">
        <w:t>133</w:t>
      </w:r>
      <w:r>
        <w:t xml:space="preserve"> of the submission).</w:t>
      </w:r>
    </w:p>
    <w:p w:rsidR="00D03AF6" w:rsidRPr="00646CBD" w:rsidRDefault="00D03AF6" w:rsidP="00586FAD">
      <w:pPr>
        <w:pStyle w:val="ListParagraph"/>
        <w:widowControl/>
        <w:numPr>
          <w:ilvl w:val="1"/>
          <w:numId w:val="1"/>
        </w:numPr>
      </w:pPr>
      <w:r w:rsidRPr="00646CBD">
        <w:t>There will be additional costs to the NIP if:</w:t>
      </w:r>
    </w:p>
    <w:p w:rsidR="00D03AF6" w:rsidRPr="00646CBD" w:rsidRDefault="00D03AF6" w:rsidP="00EA0398">
      <w:pPr>
        <w:pStyle w:val="ListParagraph"/>
        <w:widowControl/>
        <w:numPr>
          <w:ilvl w:val="1"/>
          <w:numId w:val="4"/>
        </w:numPr>
        <w:ind w:left="1418"/>
      </w:pPr>
      <w:r w:rsidRPr="00646CBD">
        <w:t xml:space="preserve">The monovalent Hib vaccine is not listed on the NIP when the </w:t>
      </w:r>
      <w:proofErr w:type="spellStart"/>
      <w:r w:rsidRPr="00646CBD">
        <w:t>MenACWY</w:t>
      </w:r>
      <w:proofErr w:type="spellEnd"/>
      <w:r w:rsidRPr="00646CBD">
        <w:t>-TT is listed on the NIP, and the Hib-</w:t>
      </w:r>
      <w:proofErr w:type="spellStart"/>
      <w:r w:rsidRPr="00646CBD">
        <w:t>MenC</w:t>
      </w:r>
      <w:proofErr w:type="spellEnd"/>
      <w:r w:rsidRPr="00646CBD">
        <w:t xml:space="preserve"> vaccine is used as a Hib booster (p</w:t>
      </w:r>
      <w:r w:rsidR="00206F08" w:rsidRPr="00646CBD">
        <w:t>19</w:t>
      </w:r>
      <w:r w:rsidRPr="00646CBD">
        <w:t xml:space="preserve"> of the ATAGI pre-</w:t>
      </w:r>
      <w:r w:rsidR="008E3581" w:rsidRPr="00646CBD">
        <w:t>submission a</w:t>
      </w:r>
      <w:r w:rsidRPr="00646CBD">
        <w:t>dvice 2017), or</w:t>
      </w:r>
    </w:p>
    <w:p w:rsidR="00C25D9C" w:rsidRPr="00646CBD" w:rsidRDefault="00D03AF6" w:rsidP="00EA0398">
      <w:pPr>
        <w:pStyle w:val="ListParagraph"/>
        <w:widowControl/>
        <w:numPr>
          <w:ilvl w:val="1"/>
          <w:numId w:val="4"/>
        </w:numPr>
        <w:ind w:left="1418"/>
      </w:pPr>
      <w:r w:rsidRPr="00646CBD">
        <w:t>The monovalent Hib vaccine is listed on the NIP at a higher price than the Hib component of the Hib-</w:t>
      </w:r>
      <w:proofErr w:type="spellStart"/>
      <w:r w:rsidRPr="00646CBD">
        <w:t>MenC</w:t>
      </w:r>
      <w:proofErr w:type="spellEnd"/>
      <w:r w:rsidRPr="00646CBD">
        <w:t xml:space="preserve"> vaccine.</w:t>
      </w:r>
    </w:p>
    <w:p w:rsidR="00C25D9C" w:rsidRDefault="00C25D9C" w:rsidP="00206F08">
      <w:pPr>
        <w:pStyle w:val="Heading2"/>
        <w:keepNext/>
        <w:spacing w:after="160"/>
      </w:pPr>
      <w:bookmarkStart w:id="11" w:name="_Toc500765129"/>
      <w:r w:rsidRPr="002C2775">
        <w:lastRenderedPageBreak/>
        <w:t>Drug cost/patient/course</w:t>
      </w:r>
      <w:bookmarkEnd w:id="11"/>
    </w:p>
    <w:p w:rsidR="004448A4" w:rsidRPr="00646CBD" w:rsidRDefault="00D03AF6" w:rsidP="00586FAD">
      <w:pPr>
        <w:pStyle w:val="ListParagraph"/>
        <w:keepNext/>
        <w:widowControl/>
        <w:numPr>
          <w:ilvl w:val="1"/>
          <w:numId w:val="1"/>
        </w:numPr>
      </w:pPr>
      <w:r w:rsidRPr="00206F08">
        <w:t>$</w:t>
      </w:r>
      <w:r w:rsidR="002D3336">
        <w:rPr>
          <w:noProof/>
          <w:color w:val="000000"/>
          <w:highlight w:val="black"/>
        </w:rPr>
        <w:t>''''''''''</w:t>
      </w:r>
      <w:r w:rsidRPr="00206F08">
        <w:t xml:space="preserve">, assuming one dose per patient. </w:t>
      </w:r>
      <w:r w:rsidRPr="00646CBD">
        <w:t>The price for the monovalent Hib vaccine is unknown.</w:t>
      </w:r>
      <w:r w:rsidRPr="00646CBD" w:rsidDel="00D03AF6">
        <w:t xml:space="preserve"> </w:t>
      </w:r>
    </w:p>
    <w:p w:rsidR="00B60939" w:rsidRPr="00C9624D" w:rsidRDefault="00B60939" w:rsidP="00206F08">
      <w:pPr>
        <w:pStyle w:val="Heading2"/>
        <w:keepNext/>
      </w:pPr>
      <w:bookmarkStart w:id="12" w:name="_Toc500765130"/>
      <w:r w:rsidRPr="00C9624D">
        <w:t>Estimated PBS usage &amp; financial implications</w:t>
      </w:r>
      <w:bookmarkEnd w:id="12"/>
    </w:p>
    <w:p w:rsidR="00206F08" w:rsidRDefault="00C25D9C" w:rsidP="00586FAD">
      <w:pPr>
        <w:pStyle w:val="ListParagraph"/>
        <w:widowControl/>
        <w:numPr>
          <w:ilvl w:val="1"/>
          <w:numId w:val="1"/>
        </w:numPr>
      </w:pPr>
      <w:r>
        <w:t xml:space="preserve">This submission </w:t>
      </w:r>
      <w:r w:rsidR="00B201A4">
        <w:t>wa</w:t>
      </w:r>
      <w:r>
        <w:t>s not considered by DUSC</w:t>
      </w:r>
      <w:r w:rsidR="00206F08">
        <w:t>.</w:t>
      </w:r>
    </w:p>
    <w:p w:rsidR="0072416F" w:rsidRPr="00B201A4" w:rsidRDefault="004E1568" w:rsidP="00586FAD">
      <w:pPr>
        <w:pStyle w:val="ListParagraph"/>
        <w:widowControl/>
        <w:numPr>
          <w:ilvl w:val="1"/>
          <w:numId w:val="1"/>
        </w:numPr>
      </w:pPr>
      <w:r>
        <w:t>The submission employed an epidemiological approach to estimate NIP usage and financial implications.</w:t>
      </w:r>
      <w:r w:rsidR="000119D9">
        <w:t xml:space="preserve"> Estimates of the number of eligible target population were taken from the Australian Bureau of Statistics population estimates and the uptake rate of the proposed program was taken from the current Hib-</w:t>
      </w:r>
      <w:proofErr w:type="spellStart"/>
      <w:r w:rsidR="000119D9">
        <w:t>MenC</w:t>
      </w:r>
      <w:proofErr w:type="spellEnd"/>
      <w:r w:rsidR="000119D9">
        <w:t xml:space="preserve"> vaccine coverage rate</w:t>
      </w:r>
      <w:r w:rsidR="000119D9" w:rsidRPr="00646CBD">
        <w:t>.</w:t>
      </w:r>
      <w:r w:rsidR="009D66B0" w:rsidRPr="00646CBD">
        <w:t xml:space="preserve"> This is reasonable. The submission claimed that if a monovalent Hib vaccine is also listed on the NIP, then the number of eligible patients and uptake rate of the monovalent Hib vaccine would be the same </w:t>
      </w:r>
      <w:r w:rsidR="00DD72D1">
        <w:t>as</w:t>
      </w:r>
      <w:r w:rsidR="009D66B0" w:rsidRPr="00646CBD">
        <w:t xml:space="preserve"> the </w:t>
      </w:r>
      <w:proofErr w:type="spellStart"/>
      <w:r w:rsidR="009D66B0" w:rsidRPr="00646CBD">
        <w:t>MenACWY</w:t>
      </w:r>
      <w:proofErr w:type="spellEnd"/>
      <w:r w:rsidR="009D66B0" w:rsidRPr="00646CBD">
        <w:t>-TT vaccine. The uptake rate may differ as the monovalent Hib vaccine is proposed to be implemented at a different time (i.e. at age 18 months).</w:t>
      </w:r>
    </w:p>
    <w:p w:rsidR="00DD6C15" w:rsidRPr="00CD4B8A" w:rsidRDefault="000119D9" w:rsidP="00586FAD">
      <w:pPr>
        <w:pStyle w:val="ListParagraph"/>
        <w:widowControl/>
        <w:numPr>
          <w:ilvl w:val="1"/>
          <w:numId w:val="1"/>
        </w:numPr>
      </w:pPr>
      <w:r w:rsidRPr="00CD4B8A">
        <w:t xml:space="preserve">Table </w:t>
      </w:r>
      <w:r w:rsidR="0025223B">
        <w:t>7</w:t>
      </w:r>
      <w:r w:rsidRPr="00CD4B8A">
        <w:t xml:space="preserve"> summarises the estimated use and financial implications with listing </w:t>
      </w:r>
      <w:proofErr w:type="spellStart"/>
      <w:r w:rsidRPr="00CD4B8A">
        <w:t>MenACWY</w:t>
      </w:r>
      <w:proofErr w:type="spellEnd"/>
      <w:r w:rsidRPr="00CD4B8A">
        <w:t>-TT + a monovalent Hib vaccine on the NIP.</w:t>
      </w:r>
    </w:p>
    <w:p w:rsidR="00C25D9C" w:rsidRPr="00CD4B8A" w:rsidRDefault="002A2F50" w:rsidP="00CF535A">
      <w:pPr>
        <w:widowControl/>
        <w:jc w:val="left"/>
      </w:pPr>
      <w:r w:rsidRPr="00CD4B8A">
        <w:rPr>
          <w:rStyle w:val="CommentReference"/>
        </w:rPr>
        <w:t xml:space="preserve">Table </w:t>
      </w:r>
      <w:r w:rsidR="0025223B">
        <w:rPr>
          <w:rStyle w:val="CommentReference"/>
        </w:rPr>
        <w:t>7</w:t>
      </w:r>
      <w:r w:rsidRPr="00CD4B8A">
        <w:rPr>
          <w:rStyle w:val="CommentReference"/>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97"/>
        <w:gridCol w:w="1038"/>
        <w:gridCol w:w="1038"/>
        <w:gridCol w:w="1038"/>
        <w:gridCol w:w="1038"/>
        <w:gridCol w:w="1060"/>
        <w:gridCol w:w="1037"/>
        <w:gridCol w:w="1037"/>
      </w:tblGrid>
      <w:tr w:rsidR="00FF252E" w:rsidRPr="00D1078F" w:rsidTr="004D2B9B">
        <w:trPr>
          <w:tblHeader/>
        </w:trPr>
        <w:tc>
          <w:tcPr>
            <w:tcW w:w="991" w:type="pct"/>
            <w:shd w:val="clear" w:color="auto" w:fill="auto"/>
            <w:vAlign w:val="center"/>
          </w:tcPr>
          <w:p w:rsidR="00FF252E" w:rsidRPr="003639A6" w:rsidRDefault="00FF252E" w:rsidP="00385A9D">
            <w:pPr>
              <w:pStyle w:val="Tabletext"/>
            </w:pPr>
          </w:p>
        </w:tc>
        <w:tc>
          <w:tcPr>
            <w:tcW w:w="573" w:type="pct"/>
            <w:shd w:val="clear" w:color="auto" w:fill="auto"/>
            <w:vAlign w:val="center"/>
          </w:tcPr>
          <w:p w:rsidR="00FF252E" w:rsidRPr="00D1078F" w:rsidRDefault="00FF252E" w:rsidP="00385A9D">
            <w:pPr>
              <w:pStyle w:val="Tabletext"/>
              <w:jc w:val="center"/>
              <w:rPr>
                <w:b/>
              </w:rPr>
            </w:pPr>
            <w:r w:rsidRPr="00D1078F">
              <w:rPr>
                <w:b/>
              </w:rPr>
              <w:t>Year 1</w:t>
            </w:r>
            <w:r>
              <w:rPr>
                <w:b/>
              </w:rPr>
              <w:t xml:space="preserve"> (Aug-Dec)</w:t>
            </w:r>
          </w:p>
        </w:tc>
        <w:tc>
          <w:tcPr>
            <w:tcW w:w="573" w:type="pct"/>
            <w:shd w:val="clear" w:color="auto" w:fill="auto"/>
            <w:vAlign w:val="center"/>
          </w:tcPr>
          <w:p w:rsidR="00FF252E" w:rsidRPr="00D1078F" w:rsidRDefault="00FF252E" w:rsidP="00385A9D">
            <w:pPr>
              <w:pStyle w:val="Tabletext"/>
              <w:jc w:val="center"/>
              <w:rPr>
                <w:b/>
              </w:rPr>
            </w:pPr>
            <w:r w:rsidRPr="00D1078F">
              <w:rPr>
                <w:b/>
              </w:rPr>
              <w:t>Year 2</w:t>
            </w:r>
          </w:p>
        </w:tc>
        <w:tc>
          <w:tcPr>
            <w:tcW w:w="573" w:type="pct"/>
            <w:shd w:val="clear" w:color="auto" w:fill="auto"/>
            <w:vAlign w:val="center"/>
          </w:tcPr>
          <w:p w:rsidR="00FF252E" w:rsidRPr="00D1078F" w:rsidRDefault="00FF252E" w:rsidP="00385A9D">
            <w:pPr>
              <w:pStyle w:val="Tabletext"/>
              <w:jc w:val="center"/>
              <w:rPr>
                <w:b/>
              </w:rPr>
            </w:pPr>
            <w:r w:rsidRPr="00D1078F">
              <w:rPr>
                <w:b/>
              </w:rPr>
              <w:t>Year 3</w:t>
            </w:r>
          </w:p>
        </w:tc>
        <w:tc>
          <w:tcPr>
            <w:tcW w:w="573" w:type="pct"/>
            <w:shd w:val="clear" w:color="auto" w:fill="auto"/>
            <w:vAlign w:val="center"/>
          </w:tcPr>
          <w:p w:rsidR="00FF252E" w:rsidRPr="00D1078F" w:rsidRDefault="00FF252E" w:rsidP="004D2B9B">
            <w:pPr>
              <w:pStyle w:val="Tabletext"/>
              <w:jc w:val="center"/>
              <w:rPr>
                <w:b/>
              </w:rPr>
            </w:pPr>
            <w:r w:rsidRPr="00D1078F">
              <w:rPr>
                <w:b/>
              </w:rPr>
              <w:t>Year 4</w:t>
            </w:r>
          </w:p>
        </w:tc>
        <w:tc>
          <w:tcPr>
            <w:tcW w:w="573" w:type="pct"/>
            <w:shd w:val="clear" w:color="auto" w:fill="auto"/>
            <w:vAlign w:val="center"/>
          </w:tcPr>
          <w:p w:rsidR="00FF252E" w:rsidRPr="00D1078F" w:rsidRDefault="00FF252E" w:rsidP="004D2B9B">
            <w:pPr>
              <w:pStyle w:val="Tabletext"/>
              <w:jc w:val="center"/>
              <w:rPr>
                <w:b/>
              </w:rPr>
            </w:pPr>
            <w:r w:rsidRPr="00D1078F">
              <w:rPr>
                <w:b/>
              </w:rPr>
              <w:t>Year 5</w:t>
            </w:r>
          </w:p>
        </w:tc>
        <w:tc>
          <w:tcPr>
            <w:tcW w:w="572" w:type="pct"/>
            <w:vAlign w:val="center"/>
          </w:tcPr>
          <w:p w:rsidR="00FF252E" w:rsidRPr="00D1078F" w:rsidRDefault="00FF252E" w:rsidP="004D2B9B">
            <w:pPr>
              <w:pStyle w:val="Tabletext"/>
              <w:jc w:val="center"/>
              <w:rPr>
                <w:b/>
              </w:rPr>
            </w:pPr>
            <w:r w:rsidRPr="00D1078F">
              <w:rPr>
                <w:b/>
              </w:rPr>
              <w:t>Year 6</w:t>
            </w:r>
          </w:p>
        </w:tc>
        <w:tc>
          <w:tcPr>
            <w:tcW w:w="572" w:type="pct"/>
            <w:vAlign w:val="center"/>
          </w:tcPr>
          <w:p w:rsidR="00FF252E" w:rsidRPr="00D1078F" w:rsidRDefault="00FF252E" w:rsidP="004D2B9B">
            <w:pPr>
              <w:pStyle w:val="Tabletext"/>
              <w:jc w:val="center"/>
              <w:rPr>
                <w:b/>
              </w:rPr>
            </w:pPr>
            <w:r>
              <w:rPr>
                <w:b/>
              </w:rPr>
              <w:t>Year 7</w:t>
            </w:r>
          </w:p>
        </w:tc>
      </w:tr>
      <w:tr w:rsidR="00DD6C15" w:rsidRPr="00D1078F" w:rsidTr="00DD6C15">
        <w:tc>
          <w:tcPr>
            <w:tcW w:w="5000" w:type="pct"/>
            <w:gridSpan w:val="8"/>
            <w:shd w:val="clear" w:color="auto" w:fill="auto"/>
            <w:vAlign w:val="center"/>
          </w:tcPr>
          <w:p w:rsidR="00DD6C15" w:rsidRPr="00D1078F" w:rsidRDefault="00DD6C15" w:rsidP="00385A9D">
            <w:pPr>
              <w:pStyle w:val="Tabletext"/>
              <w:rPr>
                <w:b/>
                <w:bCs/>
                <w:color w:val="000000"/>
              </w:rPr>
            </w:pPr>
            <w:r w:rsidRPr="00D1078F">
              <w:rPr>
                <w:b/>
                <w:bCs/>
                <w:color w:val="000000"/>
              </w:rPr>
              <w:t>Estimated extent of use</w:t>
            </w:r>
          </w:p>
        </w:tc>
      </w:tr>
      <w:tr w:rsidR="00FF252E" w:rsidRPr="003639A6" w:rsidTr="00DD6C15">
        <w:tc>
          <w:tcPr>
            <w:tcW w:w="991" w:type="pct"/>
            <w:shd w:val="clear" w:color="auto" w:fill="auto"/>
            <w:vAlign w:val="center"/>
          </w:tcPr>
          <w:p w:rsidR="00FF252E" w:rsidRPr="003639A6" w:rsidRDefault="00FF252E" w:rsidP="00FF252E">
            <w:pPr>
              <w:pStyle w:val="Tabletext"/>
              <w:rPr>
                <w:rFonts w:ascii="Times" w:hAnsi="Times"/>
              </w:rPr>
            </w:pPr>
            <w:r w:rsidRPr="003639A6">
              <w:t>Number of patients treated</w:t>
            </w:r>
          </w:p>
        </w:tc>
        <w:tc>
          <w:tcPr>
            <w:tcW w:w="573" w:type="pct"/>
            <w:shd w:val="clear" w:color="auto" w:fill="auto"/>
            <w:vAlign w:val="center"/>
          </w:tcPr>
          <w:p w:rsidR="00FF252E" w:rsidRPr="002D3336" w:rsidRDefault="002D3336" w:rsidP="00DD6C15">
            <w:pPr>
              <w:pStyle w:val="Tabletext"/>
              <w:jc w:val="center"/>
              <w:rPr>
                <w:bCs/>
                <w:color w:val="000000"/>
                <w:highlight w:val="black"/>
              </w:rPr>
            </w:pPr>
            <w:r>
              <w:rPr>
                <w:rFonts w:cs="Arial"/>
                <w:noProof/>
                <w:color w:val="000000"/>
                <w:szCs w:val="20"/>
                <w:highlight w:val="black"/>
                <w:lang w:val="en-US"/>
              </w:rPr>
              <w:t>'''''''''''''''''''''</w:t>
            </w:r>
          </w:p>
        </w:tc>
        <w:tc>
          <w:tcPr>
            <w:tcW w:w="573" w:type="pct"/>
            <w:shd w:val="clear" w:color="auto" w:fill="auto"/>
            <w:vAlign w:val="center"/>
          </w:tcPr>
          <w:p w:rsidR="00FF252E" w:rsidRPr="002D3336" w:rsidRDefault="002D3336" w:rsidP="00DD6C15">
            <w:pPr>
              <w:pStyle w:val="Tabletext"/>
              <w:jc w:val="center"/>
              <w:rPr>
                <w:bCs/>
                <w:color w:val="000000"/>
                <w:highlight w:val="black"/>
              </w:rPr>
            </w:pPr>
            <w:r>
              <w:rPr>
                <w:rFonts w:cs="Arial"/>
                <w:noProof/>
                <w:color w:val="000000"/>
                <w:szCs w:val="20"/>
                <w:highlight w:val="black"/>
                <w:lang w:val="en-US"/>
              </w:rPr>
              <w:t>''''''''''''''''''''</w:t>
            </w:r>
          </w:p>
        </w:tc>
        <w:tc>
          <w:tcPr>
            <w:tcW w:w="573" w:type="pct"/>
            <w:shd w:val="clear" w:color="auto" w:fill="auto"/>
            <w:vAlign w:val="center"/>
          </w:tcPr>
          <w:p w:rsidR="00FF252E" w:rsidRPr="002D3336" w:rsidRDefault="002D3336" w:rsidP="00DD6C15">
            <w:pPr>
              <w:pStyle w:val="Tabletext"/>
              <w:jc w:val="center"/>
              <w:rPr>
                <w:bCs/>
                <w:color w:val="000000"/>
                <w:highlight w:val="black"/>
              </w:rPr>
            </w:pPr>
            <w:r>
              <w:rPr>
                <w:rFonts w:cs="Arial"/>
                <w:noProof/>
                <w:color w:val="000000"/>
                <w:szCs w:val="20"/>
                <w:highlight w:val="black"/>
                <w:lang w:val="en-US"/>
              </w:rPr>
              <w:t>'''''''''''''''''''</w:t>
            </w:r>
          </w:p>
        </w:tc>
        <w:tc>
          <w:tcPr>
            <w:tcW w:w="573" w:type="pct"/>
            <w:shd w:val="clear" w:color="auto" w:fill="auto"/>
            <w:vAlign w:val="center"/>
          </w:tcPr>
          <w:p w:rsidR="00FF252E" w:rsidRPr="002D3336" w:rsidRDefault="002D3336" w:rsidP="00DD6C15">
            <w:pPr>
              <w:pStyle w:val="Tabletext"/>
              <w:jc w:val="center"/>
              <w:rPr>
                <w:bCs/>
                <w:color w:val="000000"/>
                <w:highlight w:val="black"/>
              </w:rPr>
            </w:pPr>
            <w:r>
              <w:rPr>
                <w:rFonts w:cs="Arial"/>
                <w:noProof/>
                <w:color w:val="000000"/>
                <w:szCs w:val="20"/>
                <w:highlight w:val="black"/>
                <w:lang w:val="en-US"/>
              </w:rPr>
              <w:t>'''''''''''''''''''</w:t>
            </w:r>
          </w:p>
        </w:tc>
        <w:tc>
          <w:tcPr>
            <w:tcW w:w="573" w:type="pct"/>
            <w:shd w:val="clear" w:color="auto" w:fill="auto"/>
            <w:vAlign w:val="center"/>
          </w:tcPr>
          <w:p w:rsidR="00FF252E" w:rsidRPr="002D3336" w:rsidRDefault="002D3336" w:rsidP="00DD6C15">
            <w:pPr>
              <w:pStyle w:val="Tabletext"/>
              <w:jc w:val="center"/>
              <w:rPr>
                <w:bCs/>
                <w:color w:val="000000"/>
                <w:highlight w:val="black"/>
              </w:rPr>
            </w:pPr>
            <w:r>
              <w:rPr>
                <w:rFonts w:cs="Arial"/>
                <w:noProof/>
                <w:color w:val="000000"/>
                <w:szCs w:val="20"/>
                <w:highlight w:val="black"/>
                <w:lang w:val="en-US"/>
              </w:rPr>
              <w:t>'''''''''''''''''''</w:t>
            </w:r>
          </w:p>
        </w:tc>
        <w:tc>
          <w:tcPr>
            <w:tcW w:w="572" w:type="pct"/>
            <w:vAlign w:val="center"/>
          </w:tcPr>
          <w:p w:rsidR="00FF252E" w:rsidRPr="002D3336" w:rsidRDefault="002D3336" w:rsidP="00DD6C15">
            <w:pPr>
              <w:pStyle w:val="Tabletext"/>
              <w:jc w:val="center"/>
              <w:rPr>
                <w:bCs/>
                <w:color w:val="000000"/>
                <w:highlight w:val="black"/>
              </w:rPr>
            </w:pPr>
            <w:r>
              <w:rPr>
                <w:rFonts w:cs="Arial"/>
                <w:noProof/>
                <w:color w:val="000000"/>
                <w:szCs w:val="20"/>
                <w:highlight w:val="black"/>
                <w:lang w:val="en-US"/>
              </w:rPr>
              <w:t>''''''''''''''''''''''</w:t>
            </w:r>
          </w:p>
        </w:tc>
        <w:tc>
          <w:tcPr>
            <w:tcW w:w="572" w:type="pct"/>
            <w:vAlign w:val="center"/>
          </w:tcPr>
          <w:p w:rsidR="00FF252E" w:rsidRPr="002D3336" w:rsidRDefault="002D3336" w:rsidP="00DD6C15">
            <w:pPr>
              <w:pStyle w:val="Tabletext"/>
              <w:jc w:val="center"/>
              <w:rPr>
                <w:bCs/>
                <w:color w:val="000000"/>
                <w:highlight w:val="black"/>
              </w:rPr>
            </w:pPr>
            <w:r>
              <w:rPr>
                <w:rFonts w:cs="Arial"/>
                <w:noProof/>
                <w:color w:val="000000"/>
                <w:szCs w:val="20"/>
                <w:highlight w:val="black"/>
                <w:lang w:val="en-US"/>
              </w:rPr>
              <w:t>''''''''''''''''''''</w:t>
            </w:r>
          </w:p>
        </w:tc>
      </w:tr>
      <w:tr w:rsidR="00FF252E" w:rsidRPr="003639A6" w:rsidTr="00DD6C15">
        <w:tc>
          <w:tcPr>
            <w:tcW w:w="991" w:type="pct"/>
            <w:shd w:val="clear" w:color="auto" w:fill="auto"/>
            <w:vAlign w:val="center"/>
          </w:tcPr>
          <w:p w:rsidR="00FF252E" w:rsidRPr="003639A6" w:rsidRDefault="00FF252E" w:rsidP="00FF252E">
            <w:pPr>
              <w:pStyle w:val="Tabletext"/>
              <w:rPr>
                <w:rFonts w:ascii="Times" w:hAnsi="Times"/>
              </w:rPr>
            </w:pPr>
            <w:r w:rsidRPr="003639A6">
              <w:t xml:space="preserve">Number of </w:t>
            </w:r>
            <w:r>
              <w:t>scripts</w:t>
            </w:r>
            <w:r w:rsidRPr="003639A6">
              <w:t xml:space="preserve"> </w:t>
            </w:r>
            <w:proofErr w:type="spellStart"/>
            <w:r w:rsidRPr="003639A6">
              <w:t>dispensed</w:t>
            </w:r>
            <w:r w:rsidRPr="003639A6">
              <w:rPr>
                <w:vertAlign w:val="superscript"/>
              </w:rPr>
              <w:t>a</w:t>
            </w:r>
            <w:proofErr w:type="spellEnd"/>
          </w:p>
        </w:tc>
        <w:tc>
          <w:tcPr>
            <w:tcW w:w="573" w:type="pct"/>
            <w:shd w:val="clear" w:color="auto" w:fill="auto"/>
            <w:vAlign w:val="center"/>
          </w:tcPr>
          <w:p w:rsidR="00FF252E" w:rsidRPr="002D3336" w:rsidRDefault="002D3336" w:rsidP="00DD6C15">
            <w:pPr>
              <w:pStyle w:val="Tabletext"/>
              <w:jc w:val="center"/>
              <w:rPr>
                <w:bCs/>
                <w:color w:val="000000"/>
                <w:highlight w:val="black"/>
              </w:rPr>
            </w:pPr>
            <w:r>
              <w:rPr>
                <w:rFonts w:cs="Arial"/>
                <w:noProof/>
                <w:color w:val="000000"/>
                <w:szCs w:val="20"/>
                <w:highlight w:val="black"/>
                <w:lang w:val="en-US"/>
              </w:rPr>
              <w:t>'''''''''''''''''''</w:t>
            </w:r>
          </w:p>
        </w:tc>
        <w:tc>
          <w:tcPr>
            <w:tcW w:w="573" w:type="pct"/>
            <w:shd w:val="clear" w:color="auto" w:fill="auto"/>
            <w:vAlign w:val="center"/>
          </w:tcPr>
          <w:p w:rsidR="00FF252E" w:rsidRPr="002D3336" w:rsidRDefault="002D3336" w:rsidP="00DD6C15">
            <w:pPr>
              <w:pStyle w:val="Tabletext"/>
              <w:jc w:val="center"/>
              <w:rPr>
                <w:bCs/>
                <w:color w:val="000000"/>
                <w:highlight w:val="black"/>
              </w:rPr>
            </w:pPr>
            <w:r>
              <w:rPr>
                <w:rFonts w:cs="Arial"/>
                <w:noProof/>
                <w:color w:val="000000"/>
                <w:szCs w:val="20"/>
                <w:highlight w:val="black"/>
                <w:lang w:val="en-US"/>
              </w:rPr>
              <w:t>''''''''''''''''''''</w:t>
            </w:r>
          </w:p>
        </w:tc>
        <w:tc>
          <w:tcPr>
            <w:tcW w:w="573" w:type="pct"/>
            <w:shd w:val="clear" w:color="auto" w:fill="auto"/>
            <w:vAlign w:val="center"/>
          </w:tcPr>
          <w:p w:rsidR="00FF252E" w:rsidRPr="002D3336" w:rsidRDefault="002D3336" w:rsidP="00DD6C15">
            <w:pPr>
              <w:pStyle w:val="Tabletext"/>
              <w:jc w:val="center"/>
              <w:rPr>
                <w:bCs/>
                <w:color w:val="000000"/>
                <w:highlight w:val="black"/>
              </w:rPr>
            </w:pPr>
            <w:r>
              <w:rPr>
                <w:rFonts w:cs="Arial"/>
                <w:noProof/>
                <w:color w:val="000000"/>
                <w:szCs w:val="20"/>
                <w:highlight w:val="black"/>
                <w:lang w:val="en-US"/>
              </w:rPr>
              <w:t>'''''''''''''''''''''</w:t>
            </w:r>
          </w:p>
        </w:tc>
        <w:tc>
          <w:tcPr>
            <w:tcW w:w="573" w:type="pct"/>
            <w:shd w:val="clear" w:color="auto" w:fill="auto"/>
            <w:vAlign w:val="center"/>
          </w:tcPr>
          <w:p w:rsidR="00FF252E" w:rsidRPr="002D3336" w:rsidRDefault="002D3336" w:rsidP="00DD6C15">
            <w:pPr>
              <w:pStyle w:val="Tabletext"/>
              <w:jc w:val="center"/>
              <w:rPr>
                <w:bCs/>
                <w:color w:val="000000"/>
                <w:highlight w:val="black"/>
              </w:rPr>
            </w:pPr>
            <w:r>
              <w:rPr>
                <w:rFonts w:cs="Arial"/>
                <w:noProof/>
                <w:color w:val="000000"/>
                <w:szCs w:val="20"/>
                <w:highlight w:val="black"/>
                <w:lang w:val="en-US"/>
              </w:rPr>
              <w:t>'''''''''''''''''</w:t>
            </w:r>
          </w:p>
        </w:tc>
        <w:tc>
          <w:tcPr>
            <w:tcW w:w="573" w:type="pct"/>
            <w:shd w:val="clear" w:color="auto" w:fill="auto"/>
            <w:vAlign w:val="center"/>
          </w:tcPr>
          <w:p w:rsidR="00FF252E" w:rsidRPr="002D3336" w:rsidRDefault="002D3336" w:rsidP="00DD6C15">
            <w:pPr>
              <w:pStyle w:val="Tabletext"/>
              <w:jc w:val="center"/>
              <w:rPr>
                <w:bCs/>
                <w:color w:val="000000"/>
                <w:highlight w:val="black"/>
              </w:rPr>
            </w:pPr>
            <w:r>
              <w:rPr>
                <w:rFonts w:cs="Arial"/>
                <w:noProof/>
                <w:color w:val="000000"/>
                <w:szCs w:val="20"/>
                <w:highlight w:val="black"/>
                <w:lang w:val="en-US"/>
              </w:rPr>
              <w:t>'''''''''''''''''''''</w:t>
            </w:r>
          </w:p>
        </w:tc>
        <w:tc>
          <w:tcPr>
            <w:tcW w:w="572" w:type="pct"/>
            <w:vAlign w:val="center"/>
          </w:tcPr>
          <w:p w:rsidR="00FF252E" w:rsidRPr="002D3336" w:rsidRDefault="002D3336" w:rsidP="00DD6C15">
            <w:pPr>
              <w:pStyle w:val="Tabletext"/>
              <w:jc w:val="center"/>
              <w:rPr>
                <w:bCs/>
                <w:color w:val="000000"/>
                <w:highlight w:val="black"/>
              </w:rPr>
            </w:pPr>
            <w:r>
              <w:rPr>
                <w:rFonts w:cs="Arial"/>
                <w:noProof/>
                <w:color w:val="000000"/>
                <w:szCs w:val="20"/>
                <w:highlight w:val="black"/>
                <w:lang w:val="en-US"/>
              </w:rPr>
              <w:t>''''''''''''''''''</w:t>
            </w:r>
          </w:p>
        </w:tc>
        <w:tc>
          <w:tcPr>
            <w:tcW w:w="572" w:type="pct"/>
            <w:vAlign w:val="center"/>
          </w:tcPr>
          <w:p w:rsidR="00FF252E" w:rsidRPr="002D3336" w:rsidRDefault="002D3336" w:rsidP="00DD6C15">
            <w:pPr>
              <w:pStyle w:val="Tabletext"/>
              <w:jc w:val="center"/>
              <w:rPr>
                <w:bCs/>
                <w:color w:val="000000"/>
                <w:highlight w:val="black"/>
              </w:rPr>
            </w:pPr>
            <w:r>
              <w:rPr>
                <w:rFonts w:cs="Arial"/>
                <w:noProof/>
                <w:color w:val="000000"/>
                <w:szCs w:val="20"/>
                <w:highlight w:val="black"/>
                <w:lang w:val="en-US"/>
              </w:rPr>
              <w:t>''''''''''''''''''</w:t>
            </w:r>
          </w:p>
        </w:tc>
      </w:tr>
      <w:tr w:rsidR="00DD6C15" w:rsidRPr="00D1078F" w:rsidTr="00DD6C15">
        <w:tc>
          <w:tcPr>
            <w:tcW w:w="5000" w:type="pct"/>
            <w:gridSpan w:val="8"/>
            <w:shd w:val="clear" w:color="auto" w:fill="auto"/>
            <w:vAlign w:val="center"/>
          </w:tcPr>
          <w:p w:rsidR="00DD6C15" w:rsidRPr="00D1078F" w:rsidRDefault="00DD6C15" w:rsidP="00C106A4">
            <w:pPr>
              <w:pStyle w:val="Tabletext"/>
              <w:rPr>
                <w:b/>
                <w:bCs/>
                <w:color w:val="000000"/>
              </w:rPr>
            </w:pPr>
            <w:r w:rsidRPr="00D1078F">
              <w:rPr>
                <w:b/>
                <w:bCs/>
                <w:color w:val="000000"/>
              </w:rPr>
              <w:t xml:space="preserve">Estimated </w:t>
            </w:r>
            <w:r>
              <w:rPr>
                <w:b/>
                <w:bCs/>
                <w:color w:val="000000"/>
              </w:rPr>
              <w:t xml:space="preserve">financial implications of </w:t>
            </w:r>
            <w:proofErr w:type="spellStart"/>
            <w:r>
              <w:rPr>
                <w:b/>
                <w:bCs/>
                <w:color w:val="000000"/>
              </w:rPr>
              <w:t>MenACWY</w:t>
            </w:r>
            <w:proofErr w:type="spellEnd"/>
            <w:r>
              <w:rPr>
                <w:b/>
                <w:bCs/>
                <w:color w:val="000000"/>
              </w:rPr>
              <w:t xml:space="preserve">-TT </w:t>
            </w:r>
            <w:r w:rsidR="009708BB">
              <w:rPr>
                <w:b/>
                <w:bCs/>
                <w:color w:val="000000"/>
              </w:rPr>
              <w:t>vaccine</w:t>
            </w:r>
            <w:r w:rsidR="00AB185B">
              <w:rPr>
                <w:b/>
                <w:bCs/>
                <w:color w:val="000000"/>
              </w:rPr>
              <w:t xml:space="preserve"> </w:t>
            </w:r>
            <w:r w:rsidR="00AB185B" w:rsidRPr="00AB185B">
              <w:rPr>
                <w:b/>
                <w:bCs/>
                <w:color w:val="000000"/>
                <w:vertAlign w:val="superscript"/>
              </w:rPr>
              <w:t>b</w:t>
            </w:r>
          </w:p>
        </w:tc>
      </w:tr>
      <w:tr w:rsidR="00DD6C15" w:rsidRPr="003639A6" w:rsidTr="00DD6C15">
        <w:tc>
          <w:tcPr>
            <w:tcW w:w="991" w:type="pct"/>
            <w:shd w:val="clear" w:color="auto" w:fill="auto"/>
            <w:vAlign w:val="center"/>
          </w:tcPr>
          <w:p w:rsidR="00DD6C15" w:rsidRPr="003639A6" w:rsidRDefault="00DD6C15" w:rsidP="00DD6C15">
            <w:pPr>
              <w:pStyle w:val="Tabletext"/>
              <w:rPr>
                <w:rFonts w:ascii="Times" w:hAnsi="Times"/>
              </w:rPr>
            </w:pPr>
            <w:r>
              <w:rPr>
                <w:sz w:val="19"/>
                <w:szCs w:val="19"/>
              </w:rPr>
              <w:t>C</w:t>
            </w:r>
            <w:r w:rsidRPr="003639A6">
              <w:rPr>
                <w:sz w:val="19"/>
                <w:szCs w:val="19"/>
              </w:rPr>
              <w:t xml:space="preserve">ost to </w:t>
            </w:r>
            <w:r>
              <w:rPr>
                <w:sz w:val="19"/>
                <w:szCs w:val="19"/>
              </w:rPr>
              <w:t>NIP</w:t>
            </w:r>
          </w:p>
        </w:tc>
        <w:tc>
          <w:tcPr>
            <w:tcW w:w="573" w:type="pct"/>
            <w:shd w:val="clear" w:color="auto" w:fill="auto"/>
            <w:vAlign w:val="center"/>
          </w:tcPr>
          <w:p w:rsidR="00DD6C15" w:rsidRPr="003639A6" w:rsidRDefault="00DD6C15" w:rsidP="00DD6C15">
            <w:pPr>
              <w:pStyle w:val="Tabletext"/>
              <w:jc w:val="center"/>
              <w:rPr>
                <w:bCs/>
                <w:color w:val="000000"/>
              </w:rPr>
            </w:pPr>
            <w:r w:rsidRPr="00474034">
              <w:rPr>
                <w:rFonts w:cs="Arial"/>
                <w:color w:val="000000"/>
                <w:szCs w:val="20"/>
                <w:lang w:val="en-US"/>
              </w:rPr>
              <w:t>$</w:t>
            </w:r>
            <w:r w:rsidR="002D3336">
              <w:rPr>
                <w:rFonts w:cs="Arial"/>
                <w:noProof/>
                <w:color w:val="000000"/>
                <w:szCs w:val="20"/>
                <w:highlight w:val="black"/>
                <w:lang w:val="en-US"/>
              </w:rPr>
              <w:t>''''''''''''''''''''''</w:t>
            </w:r>
          </w:p>
        </w:tc>
        <w:tc>
          <w:tcPr>
            <w:tcW w:w="573" w:type="pct"/>
            <w:shd w:val="clear" w:color="auto" w:fill="auto"/>
            <w:vAlign w:val="center"/>
          </w:tcPr>
          <w:p w:rsidR="00DD6C15" w:rsidRPr="003639A6" w:rsidRDefault="00DD6C15" w:rsidP="00DD6C15">
            <w:pPr>
              <w:pStyle w:val="Tabletext"/>
              <w:jc w:val="center"/>
              <w:rPr>
                <w:bCs/>
                <w:color w:val="000000"/>
              </w:rPr>
            </w:pPr>
            <w:r w:rsidRPr="00474034">
              <w:rPr>
                <w:rFonts w:cs="Arial"/>
                <w:color w:val="000000"/>
                <w:szCs w:val="20"/>
                <w:lang w:val="en-US"/>
              </w:rPr>
              <w:t>$</w:t>
            </w:r>
            <w:r w:rsidR="002D3336">
              <w:rPr>
                <w:rFonts w:cs="Arial"/>
                <w:noProof/>
                <w:color w:val="000000"/>
                <w:szCs w:val="20"/>
                <w:highlight w:val="black"/>
                <w:lang w:val="en-US"/>
              </w:rPr>
              <w:t>''''''''''''''''''''''''''</w:t>
            </w:r>
          </w:p>
        </w:tc>
        <w:tc>
          <w:tcPr>
            <w:tcW w:w="573" w:type="pct"/>
            <w:shd w:val="clear" w:color="auto" w:fill="auto"/>
            <w:vAlign w:val="center"/>
          </w:tcPr>
          <w:p w:rsidR="00DD6C15" w:rsidRPr="003639A6" w:rsidRDefault="00DD6C15" w:rsidP="00DD6C15">
            <w:pPr>
              <w:pStyle w:val="Tabletext"/>
              <w:jc w:val="center"/>
              <w:rPr>
                <w:bCs/>
                <w:color w:val="000000"/>
              </w:rPr>
            </w:pPr>
            <w:r w:rsidRPr="00474034">
              <w:rPr>
                <w:rFonts w:cs="Arial"/>
                <w:color w:val="000000"/>
                <w:szCs w:val="20"/>
                <w:lang w:val="en-US"/>
              </w:rPr>
              <w:t>$</w:t>
            </w:r>
            <w:r w:rsidR="002D3336">
              <w:rPr>
                <w:rFonts w:cs="Arial"/>
                <w:noProof/>
                <w:color w:val="000000"/>
                <w:szCs w:val="20"/>
                <w:highlight w:val="black"/>
                <w:lang w:val="en-US"/>
              </w:rPr>
              <w:t>''''''''''''''''''''''''''</w:t>
            </w:r>
          </w:p>
        </w:tc>
        <w:tc>
          <w:tcPr>
            <w:tcW w:w="573" w:type="pct"/>
            <w:shd w:val="clear" w:color="auto" w:fill="auto"/>
            <w:vAlign w:val="center"/>
          </w:tcPr>
          <w:p w:rsidR="00DD6C15" w:rsidRPr="003639A6" w:rsidRDefault="00DD6C15" w:rsidP="00DD6C15">
            <w:pPr>
              <w:pStyle w:val="Tabletext"/>
              <w:jc w:val="center"/>
              <w:rPr>
                <w:bCs/>
                <w:color w:val="000000"/>
              </w:rPr>
            </w:pPr>
            <w:r w:rsidRPr="00474034">
              <w:rPr>
                <w:rFonts w:cs="Arial"/>
                <w:color w:val="000000"/>
                <w:szCs w:val="20"/>
                <w:lang w:val="en-US"/>
              </w:rPr>
              <w:t>$</w:t>
            </w:r>
            <w:r w:rsidR="002D3336">
              <w:rPr>
                <w:rFonts w:cs="Arial"/>
                <w:noProof/>
                <w:color w:val="000000"/>
                <w:szCs w:val="20"/>
                <w:highlight w:val="black"/>
                <w:lang w:val="en-US"/>
              </w:rPr>
              <w:t>'''''''''''''''''''''''''</w:t>
            </w:r>
          </w:p>
        </w:tc>
        <w:tc>
          <w:tcPr>
            <w:tcW w:w="573" w:type="pct"/>
            <w:shd w:val="clear" w:color="auto" w:fill="auto"/>
            <w:vAlign w:val="center"/>
          </w:tcPr>
          <w:p w:rsidR="00DD6C15" w:rsidRPr="003639A6" w:rsidRDefault="00DD6C15" w:rsidP="00DD6C15">
            <w:pPr>
              <w:pStyle w:val="Tabletext"/>
              <w:jc w:val="center"/>
              <w:rPr>
                <w:bCs/>
                <w:color w:val="000000"/>
              </w:rPr>
            </w:pPr>
            <w:r w:rsidRPr="00474034">
              <w:rPr>
                <w:rFonts w:cs="Arial"/>
                <w:color w:val="000000"/>
                <w:szCs w:val="20"/>
                <w:lang w:val="en-US"/>
              </w:rPr>
              <w:t>$</w:t>
            </w:r>
            <w:r w:rsidR="002D3336">
              <w:rPr>
                <w:rFonts w:cs="Arial"/>
                <w:noProof/>
                <w:color w:val="000000"/>
                <w:szCs w:val="20"/>
                <w:highlight w:val="black"/>
                <w:lang w:val="en-US"/>
              </w:rPr>
              <w:t>'''''''''''''''''''''''''''''</w:t>
            </w:r>
          </w:p>
        </w:tc>
        <w:tc>
          <w:tcPr>
            <w:tcW w:w="572" w:type="pct"/>
            <w:vAlign w:val="center"/>
          </w:tcPr>
          <w:p w:rsidR="00DD6C15" w:rsidRPr="003639A6" w:rsidRDefault="00DD6C15" w:rsidP="00DD6C15">
            <w:pPr>
              <w:pStyle w:val="Tabletext"/>
              <w:jc w:val="center"/>
              <w:rPr>
                <w:bCs/>
                <w:color w:val="000000"/>
              </w:rPr>
            </w:pPr>
            <w:r w:rsidRPr="00474034">
              <w:rPr>
                <w:rFonts w:cs="Arial"/>
                <w:color w:val="000000"/>
                <w:szCs w:val="20"/>
                <w:lang w:val="en-US"/>
              </w:rPr>
              <w:t>$</w:t>
            </w:r>
            <w:r w:rsidR="002D3336">
              <w:rPr>
                <w:rFonts w:cs="Arial"/>
                <w:noProof/>
                <w:color w:val="000000"/>
                <w:szCs w:val="20"/>
                <w:highlight w:val="black"/>
                <w:lang w:val="en-US"/>
              </w:rPr>
              <w:t>''''''''''''''''''''''''''''</w:t>
            </w:r>
          </w:p>
        </w:tc>
        <w:tc>
          <w:tcPr>
            <w:tcW w:w="572" w:type="pct"/>
            <w:vAlign w:val="center"/>
          </w:tcPr>
          <w:p w:rsidR="00DD6C15" w:rsidRPr="003639A6" w:rsidRDefault="00DD6C15" w:rsidP="00DD6C15">
            <w:pPr>
              <w:pStyle w:val="Tabletext"/>
              <w:jc w:val="center"/>
              <w:rPr>
                <w:bCs/>
                <w:color w:val="000000"/>
              </w:rPr>
            </w:pPr>
            <w:r w:rsidRPr="00474034">
              <w:rPr>
                <w:rFonts w:cs="Arial"/>
                <w:color w:val="000000"/>
                <w:szCs w:val="20"/>
                <w:lang w:val="en-US"/>
              </w:rPr>
              <w:t>$</w:t>
            </w:r>
            <w:r w:rsidR="002D3336">
              <w:rPr>
                <w:rFonts w:cs="Arial"/>
                <w:noProof/>
                <w:color w:val="000000"/>
                <w:szCs w:val="20"/>
                <w:highlight w:val="black"/>
                <w:lang w:val="en-US"/>
              </w:rPr>
              <w:t>'''''''''''''''''''''''''''</w:t>
            </w:r>
          </w:p>
        </w:tc>
      </w:tr>
      <w:tr w:rsidR="00DD6C15" w:rsidRPr="003639A6" w:rsidTr="00DD6C15">
        <w:tc>
          <w:tcPr>
            <w:tcW w:w="991" w:type="pct"/>
            <w:shd w:val="clear" w:color="auto" w:fill="auto"/>
            <w:vAlign w:val="center"/>
          </w:tcPr>
          <w:p w:rsidR="00DD6C15" w:rsidRDefault="00DD6C15" w:rsidP="00DD6C15">
            <w:pPr>
              <w:pStyle w:val="Tabletext"/>
              <w:rPr>
                <w:sz w:val="19"/>
                <w:szCs w:val="19"/>
              </w:rPr>
            </w:pPr>
            <w:proofErr w:type="spellStart"/>
            <w:r>
              <w:rPr>
                <w:sz w:val="19"/>
                <w:szCs w:val="19"/>
              </w:rPr>
              <w:t>Copayments</w:t>
            </w:r>
            <w:proofErr w:type="spellEnd"/>
          </w:p>
        </w:tc>
        <w:tc>
          <w:tcPr>
            <w:tcW w:w="573" w:type="pct"/>
            <w:shd w:val="clear" w:color="auto" w:fill="auto"/>
            <w:vAlign w:val="center"/>
          </w:tcPr>
          <w:p w:rsidR="00DD6C15" w:rsidRPr="00DD6C15" w:rsidRDefault="00DD6C15" w:rsidP="00DD6C15">
            <w:pPr>
              <w:pStyle w:val="Tabletext"/>
              <w:jc w:val="center"/>
              <w:rPr>
                <w:bCs/>
                <w:color w:val="000000"/>
              </w:rPr>
            </w:pPr>
            <w:r w:rsidRPr="00DD6C15">
              <w:rPr>
                <w:rFonts w:cs="Arial"/>
                <w:bCs/>
                <w:color w:val="000000"/>
                <w:szCs w:val="20"/>
                <w:lang w:val="en-US"/>
              </w:rPr>
              <w:t>$0</w:t>
            </w:r>
          </w:p>
        </w:tc>
        <w:tc>
          <w:tcPr>
            <w:tcW w:w="573" w:type="pct"/>
            <w:shd w:val="clear" w:color="auto" w:fill="auto"/>
            <w:vAlign w:val="center"/>
          </w:tcPr>
          <w:p w:rsidR="00DD6C15" w:rsidRPr="00DD6C15" w:rsidRDefault="00DD6C15" w:rsidP="00DD6C15">
            <w:pPr>
              <w:pStyle w:val="Tabletext"/>
              <w:jc w:val="center"/>
              <w:rPr>
                <w:bCs/>
                <w:color w:val="000000"/>
              </w:rPr>
            </w:pPr>
            <w:r w:rsidRPr="00DD6C15">
              <w:rPr>
                <w:rFonts w:cs="Arial"/>
                <w:bCs/>
                <w:color w:val="000000"/>
                <w:szCs w:val="20"/>
                <w:lang w:val="en-US"/>
              </w:rPr>
              <w:t>$0</w:t>
            </w:r>
          </w:p>
        </w:tc>
        <w:tc>
          <w:tcPr>
            <w:tcW w:w="573" w:type="pct"/>
            <w:shd w:val="clear" w:color="auto" w:fill="auto"/>
            <w:vAlign w:val="center"/>
          </w:tcPr>
          <w:p w:rsidR="00DD6C15" w:rsidRPr="00DD6C15" w:rsidRDefault="00DD6C15" w:rsidP="00DD6C15">
            <w:pPr>
              <w:pStyle w:val="Tabletext"/>
              <w:jc w:val="center"/>
              <w:rPr>
                <w:bCs/>
                <w:color w:val="000000"/>
              </w:rPr>
            </w:pPr>
            <w:r w:rsidRPr="00DD6C15">
              <w:rPr>
                <w:rFonts w:cs="Arial"/>
                <w:bCs/>
                <w:color w:val="000000"/>
                <w:szCs w:val="20"/>
                <w:lang w:val="en-US"/>
              </w:rPr>
              <w:t>$0</w:t>
            </w:r>
          </w:p>
        </w:tc>
        <w:tc>
          <w:tcPr>
            <w:tcW w:w="573" w:type="pct"/>
            <w:shd w:val="clear" w:color="auto" w:fill="auto"/>
            <w:vAlign w:val="center"/>
          </w:tcPr>
          <w:p w:rsidR="00DD6C15" w:rsidRPr="00DD6C15" w:rsidRDefault="00DD6C15" w:rsidP="00DD6C15">
            <w:pPr>
              <w:pStyle w:val="Tabletext"/>
              <w:jc w:val="center"/>
              <w:rPr>
                <w:bCs/>
                <w:color w:val="000000"/>
              </w:rPr>
            </w:pPr>
            <w:r w:rsidRPr="00DD6C15">
              <w:rPr>
                <w:rFonts w:cs="Arial"/>
                <w:bCs/>
                <w:color w:val="000000"/>
                <w:szCs w:val="20"/>
                <w:lang w:val="en-US"/>
              </w:rPr>
              <w:t>$0</w:t>
            </w:r>
          </w:p>
        </w:tc>
        <w:tc>
          <w:tcPr>
            <w:tcW w:w="573" w:type="pct"/>
            <w:shd w:val="clear" w:color="auto" w:fill="auto"/>
            <w:vAlign w:val="center"/>
          </w:tcPr>
          <w:p w:rsidR="00DD6C15" w:rsidRPr="00DD6C15" w:rsidRDefault="00DD6C15" w:rsidP="00DD6C15">
            <w:pPr>
              <w:pStyle w:val="Tabletext"/>
              <w:jc w:val="center"/>
              <w:rPr>
                <w:bCs/>
                <w:color w:val="000000"/>
              </w:rPr>
            </w:pPr>
            <w:r w:rsidRPr="00DD6C15">
              <w:rPr>
                <w:rFonts w:cs="Arial"/>
                <w:bCs/>
                <w:color w:val="000000"/>
                <w:szCs w:val="20"/>
                <w:lang w:val="en-US"/>
              </w:rPr>
              <w:t>$0</w:t>
            </w:r>
          </w:p>
        </w:tc>
        <w:tc>
          <w:tcPr>
            <w:tcW w:w="572" w:type="pct"/>
            <w:vAlign w:val="center"/>
          </w:tcPr>
          <w:p w:rsidR="00DD6C15" w:rsidRPr="00DD6C15" w:rsidRDefault="00DD6C15" w:rsidP="00DD6C15">
            <w:pPr>
              <w:pStyle w:val="Tabletext"/>
              <w:jc w:val="center"/>
              <w:rPr>
                <w:bCs/>
                <w:color w:val="000000"/>
              </w:rPr>
            </w:pPr>
            <w:r w:rsidRPr="00DD6C15">
              <w:rPr>
                <w:rFonts w:cs="Arial"/>
                <w:bCs/>
                <w:color w:val="000000"/>
                <w:szCs w:val="20"/>
                <w:lang w:val="en-US"/>
              </w:rPr>
              <w:t>$0</w:t>
            </w:r>
          </w:p>
        </w:tc>
        <w:tc>
          <w:tcPr>
            <w:tcW w:w="572" w:type="pct"/>
            <w:vAlign w:val="center"/>
          </w:tcPr>
          <w:p w:rsidR="00DD6C15" w:rsidRPr="00DD6C15" w:rsidRDefault="00DD6C15" w:rsidP="00DD6C15">
            <w:pPr>
              <w:pStyle w:val="Tabletext"/>
              <w:jc w:val="center"/>
              <w:rPr>
                <w:bCs/>
                <w:color w:val="000000"/>
              </w:rPr>
            </w:pPr>
            <w:r w:rsidRPr="00DD6C15">
              <w:rPr>
                <w:rFonts w:cs="Arial"/>
                <w:bCs/>
                <w:color w:val="000000"/>
                <w:szCs w:val="20"/>
                <w:lang w:val="en-US"/>
              </w:rPr>
              <w:t>$0</w:t>
            </w:r>
          </w:p>
        </w:tc>
      </w:tr>
      <w:tr w:rsidR="00DD6C15" w:rsidRPr="00D1078F" w:rsidTr="000B2F55">
        <w:tc>
          <w:tcPr>
            <w:tcW w:w="5000" w:type="pct"/>
            <w:gridSpan w:val="8"/>
            <w:shd w:val="clear" w:color="auto" w:fill="auto"/>
            <w:vAlign w:val="center"/>
          </w:tcPr>
          <w:p w:rsidR="00DD6C15" w:rsidRPr="00D1078F" w:rsidRDefault="00DD6C15" w:rsidP="000B2F55">
            <w:pPr>
              <w:pStyle w:val="Tabletext"/>
              <w:rPr>
                <w:b/>
                <w:bCs/>
                <w:color w:val="000000"/>
              </w:rPr>
            </w:pPr>
            <w:r w:rsidRPr="00D1078F">
              <w:rPr>
                <w:b/>
                <w:bCs/>
                <w:color w:val="000000"/>
              </w:rPr>
              <w:t xml:space="preserve">Estimated </w:t>
            </w:r>
            <w:r>
              <w:rPr>
                <w:b/>
                <w:bCs/>
                <w:color w:val="000000"/>
              </w:rPr>
              <w:t>financial implications of monovalent Hib vaccine</w:t>
            </w:r>
          </w:p>
        </w:tc>
      </w:tr>
      <w:tr w:rsidR="00AB185B" w:rsidRPr="003639A6" w:rsidTr="000B2F55">
        <w:tc>
          <w:tcPr>
            <w:tcW w:w="991" w:type="pct"/>
            <w:shd w:val="clear" w:color="auto" w:fill="auto"/>
            <w:vAlign w:val="center"/>
          </w:tcPr>
          <w:p w:rsidR="00AB185B" w:rsidRPr="003639A6" w:rsidRDefault="00AB185B" w:rsidP="00AB185B">
            <w:pPr>
              <w:pStyle w:val="Tabletext"/>
              <w:rPr>
                <w:rFonts w:ascii="Times" w:hAnsi="Times"/>
              </w:rPr>
            </w:pPr>
            <w:r>
              <w:rPr>
                <w:sz w:val="19"/>
                <w:szCs w:val="19"/>
              </w:rPr>
              <w:t>C</w:t>
            </w:r>
            <w:r w:rsidRPr="003639A6">
              <w:rPr>
                <w:sz w:val="19"/>
                <w:szCs w:val="19"/>
              </w:rPr>
              <w:t xml:space="preserve">ost to </w:t>
            </w:r>
            <w:r>
              <w:rPr>
                <w:sz w:val="19"/>
                <w:szCs w:val="19"/>
              </w:rPr>
              <w:t>NIP</w:t>
            </w:r>
          </w:p>
        </w:tc>
        <w:tc>
          <w:tcPr>
            <w:tcW w:w="573" w:type="pct"/>
            <w:shd w:val="clear" w:color="auto" w:fill="auto"/>
            <w:vAlign w:val="center"/>
          </w:tcPr>
          <w:p w:rsidR="00AB185B" w:rsidRPr="003639A6" w:rsidRDefault="00AB185B" w:rsidP="00AB185B">
            <w:pPr>
              <w:pStyle w:val="Tabletext"/>
              <w:jc w:val="center"/>
              <w:rPr>
                <w:bCs/>
                <w:color w:val="000000"/>
              </w:rPr>
            </w:pPr>
            <w:r>
              <w:rPr>
                <w:rFonts w:cs="Arial"/>
                <w:color w:val="000000"/>
                <w:szCs w:val="20"/>
                <w:lang w:val="en-US"/>
              </w:rPr>
              <w:t>Unknown</w:t>
            </w:r>
          </w:p>
        </w:tc>
        <w:tc>
          <w:tcPr>
            <w:tcW w:w="573" w:type="pct"/>
            <w:shd w:val="clear" w:color="auto" w:fill="auto"/>
            <w:vAlign w:val="center"/>
          </w:tcPr>
          <w:p w:rsidR="00AB185B" w:rsidRPr="003639A6" w:rsidRDefault="00AB185B" w:rsidP="00AB185B">
            <w:pPr>
              <w:pStyle w:val="Tabletext"/>
              <w:jc w:val="center"/>
              <w:rPr>
                <w:bCs/>
                <w:color w:val="000000"/>
              </w:rPr>
            </w:pPr>
            <w:r>
              <w:rPr>
                <w:rFonts w:cs="Arial"/>
                <w:color w:val="000000"/>
                <w:szCs w:val="20"/>
                <w:lang w:val="en-US"/>
              </w:rPr>
              <w:t>Unknown</w:t>
            </w:r>
          </w:p>
        </w:tc>
        <w:tc>
          <w:tcPr>
            <w:tcW w:w="573" w:type="pct"/>
            <w:shd w:val="clear" w:color="auto" w:fill="auto"/>
            <w:vAlign w:val="center"/>
          </w:tcPr>
          <w:p w:rsidR="00AB185B" w:rsidRPr="003639A6" w:rsidRDefault="00AB185B" w:rsidP="00AB185B">
            <w:pPr>
              <w:pStyle w:val="Tabletext"/>
              <w:jc w:val="center"/>
              <w:rPr>
                <w:bCs/>
                <w:color w:val="000000"/>
              </w:rPr>
            </w:pPr>
            <w:r>
              <w:rPr>
                <w:rFonts w:cs="Arial"/>
                <w:color w:val="000000"/>
                <w:szCs w:val="20"/>
                <w:lang w:val="en-US"/>
              </w:rPr>
              <w:t>Unknown</w:t>
            </w:r>
          </w:p>
        </w:tc>
        <w:tc>
          <w:tcPr>
            <w:tcW w:w="573" w:type="pct"/>
            <w:shd w:val="clear" w:color="auto" w:fill="auto"/>
            <w:vAlign w:val="center"/>
          </w:tcPr>
          <w:p w:rsidR="00AB185B" w:rsidRPr="003639A6" w:rsidRDefault="00AB185B" w:rsidP="00AB185B">
            <w:pPr>
              <w:pStyle w:val="Tabletext"/>
              <w:jc w:val="center"/>
              <w:rPr>
                <w:bCs/>
                <w:color w:val="000000"/>
              </w:rPr>
            </w:pPr>
            <w:r>
              <w:rPr>
                <w:rFonts w:cs="Arial"/>
                <w:color w:val="000000"/>
                <w:szCs w:val="20"/>
                <w:lang w:val="en-US"/>
              </w:rPr>
              <w:t>Unknown</w:t>
            </w:r>
          </w:p>
        </w:tc>
        <w:tc>
          <w:tcPr>
            <w:tcW w:w="573" w:type="pct"/>
            <w:shd w:val="clear" w:color="auto" w:fill="auto"/>
            <w:vAlign w:val="center"/>
          </w:tcPr>
          <w:p w:rsidR="00AB185B" w:rsidRPr="003639A6" w:rsidRDefault="00AB185B" w:rsidP="00AB185B">
            <w:pPr>
              <w:pStyle w:val="Tabletext"/>
              <w:jc w:val="center"/>
              <w:rPr>
                <w:bCs/>
                <w:color w:val="000000"/>
              </w:rPr>
            </w:pPr>
            <w:r>
              <w:rPr>
                <w:rFonts w:cs="Arial"/>
                <w:color w:val="000000"/>
                <w:szCs w:val="20"/>
                <w:lang w:val="en-US"/>
              </w:rPr>
              <w:t>Unknown</w:t>
            </w:r>
          </w:p>
        </w:tc>
        <w:tc>
          <w:tcPr>
            <w:tcW w:w="572" w:type="pct"/>
            <w:vAlign w:val="center"/>
          </w:tcPr>
          <w:p w:rsidR="00AB185B" w:rsidRPr="003639A6" w:rsidRDefault="00AB185B" w:rsidP="00AB185B">
            <w:pPr>
              <w:pStyle w:val="Tabletext"/>
              <w:jc w:val="center"/>
              <w:rPr>
                <w:bCs/>
                <w:color w:val="000000"/>
              </w:rPr>
            </w:pPr>
            <w:r>
              <w:rPr>
                <w:rFonts w:cs="Arial"/>
                <w:color w:val="000000"/>
                <w:szCs w:val="20"/>
                <w:lang w:val="en-US"/>
              </w:rPr>
              <w:t>Unknown</w:t>
            </w:r>
          </w:p>
        </w:tc>
        <w:tc>
          <w:tcPr>
            <w:tcW w:w="572" w:type="pct"/>
            <w:vAlign w:val="center"/>
          </w:tcPr>
          <w:p w:rsidR="00AB185B" w:rsidRPr="003639A6" w:rsidRDefault="00AB185B" w:rsidP="00AB185B">
            <w:pPr>
              <w:pStyle w:val="Tabletext"/>
              <w:jc w:val="center"/>
              <w:rPr>
                <w:bCs/>
                <w:color w:val="000000"/>
              </w:rPr>
            </w:pPr>
            <w:r>
              <w:rPr>
                <w:rFonts w:cs="Arial"/>
                <w:color w:val="000000"/>
                <w:szCs w:val="20"/>
                <w:lang w:val="en-US"/>
              </w:rPr>
              <w:t>Unknown</w:t>
            </w:r>
          </w:p>
        </w:tc>
      </w:tr>
      <w:tr w:rsidR="00AB185B" w:rsidRPr="003639A6" w:rsidTr="000B2F55">
        <w:tc>
          <w:tcPr>
            <w:tcW w:w="991" w:type="pct"/>
            <w:shd w:val="clear" w:color="auto" w:fill="auto"/>
            <w:vAlign w:val="center"/>
          </w:tcPr>
          <w:p w:rsidR="00AB185B" w:rsidRDefault="00AB185B" w:rsidP="00AB185B">
            <w:pPr>
              <w:pStyle w:val="Tabletext"/>
              <w:rPr>
                <w:sz w:val="19"/>
                <w:szCs w:val="19"/>
              </w:rPr>
            </w:pPr>
            <w:proofErr w:type="spellStart"/>
            <w:r>
              <w:rPr>
                <w:sz w:val="19"/>
                <w:szCs w:val="19"/>
              </w:rPr>
              <w:t>Copayments</w:t>
            </w:r>
            <w:proofErr w:type="spellEnd"/>
          </w:p>
        </w:tc>
        <w:tc>
          <w:tcPr>
            <w:tcW w:w="573" w:type="pct"/>
            <w:shd w:val="clear" w:color="auto" w:fill="auto"/>
            <w:vAlign w:val="center"/>
          </w:tcPr>
          <w:p w:rsidR="00AB185B" w:rsidRPr="003639A6" w:rsidRDefault="00AB185B" w:rsidP="00AB185B">
            <w:pPr>
              <w:pStyle w:val="Tabletext"/>
              <w:jc w:val="center"/>
              <w:rPr>
                <w:bCs/>
                <w:color w:val="000000"/>
              </w:rPr>
            </w:pPr>
            <w:r w:rsidRPr="00DD6C15">
              <w:rPr>
                <w:rFonts w:cs="Arial"/>
                <w:bCs/>
                <w:color w:val="000000"/>
                <w:szCs w:val="20"/>
                <w:lang w:val="en-US"/>
              </w:rPr>
              <w:t>$0</w:t>
            </w:r>
          </w:p>
        </w:tc>
        <w:tc>
          <w:tcPr>
            <w:tcW w:w="573" w:type="pct"/>
            <w:shd w:val="clear" w:color="auto" w:fill="auto"/>
            <w:vAlign w:val="center"/>
          </w:tcPr>
          <w:p w:rsidR="00AB185B" w:rsidRPr="003639A6" w:rsidRDefault="00AB185B" w:rsidP="00AB185B">
            <w:pPr>
              <w:pStyle w:val="Tabletext"/>
              <w:jc w:val="center"/>
              <w:rPr>
                <w:bCs/>
                <w:color w:val="000000"/>
              </w:rPr>
            </w:pPr>
            <w:r w:rsidRPr="00DD6C15">
              <w:rPr>
                <w:rFonts w:cs="Arial"/>
                <w:bCs/>
                <w:color w:val="000000"/>
                <w:szCs w:val="20"/>
                <w:lang w:val="en-US"/>
              </w:rPr>
              <w:t>$0</w:t>
            </w:r>
          </w:p>
        </w:tc>
        <w:tc>
          <w:tcPr>
            <w:tcW w:w="573" w:type="pct"/>
            <w:shd w:val="clear" w:color="auto" w:fill="auto"/>
            <w:vAlign w:val="center"/>
          </w:tcPr>
          <w:p w:rsidR="00AB185B" w:rsidRPr="003639A6" w:rsidRDefault="00AB185B" w:rsidP="00AB185B">
            <w:pPr>
              <w:pStyle w:val="Tabletext"/>
              <w:jc w:val="center"/>
              <w:rPr>
                <w:bCs/>
                <w:color w:val="000000"/>
              </w:rPr>
            </w:pPr>
            <w:r w:rsidRPr="00DD6C15">
              <w:rPr>
                <w:rFonts w:cs="Arial"/>
                <w:bCs/>
                <w:color w:val="000000"/>
                <w:szCs w:val="20"/>
                <w:lang w:val="en-US"/>
              </w:rPr>
              <w:t>$0</w:t>
            </w:r>
          </w:p>
        </w:tc>
        <w:tc>
          <w:tcPr>
            <w:tcW w:w="573" w:type="pct"/>
            <w:shd w:val="clear" w:color="auto" w:fill="auto"/>
            <w:vAlign w:val="center"/>
          </w:tcPr>
          <w:p w:rsidR="00AB185B" w:rsidRPr="003639A6" w:rsidRDefault="00AB185B" w:rsidP="00AB185B">
            <w:pPr>
              <w:pStyle w:val="Tabletext"/>
              <w:jc w:val="center"/>
              <w:rPr>
                <w:bCs/>
                <w:color w:val="000000"/>
              </w:rPr>
            </w:pPr>
            <w:r w:rsidRPr="00DD6C15">
              <w:rPr>
                <w:rFonts w:cs="Arial"/>
                <w:bCs/>
                <w:color w:val="000000"/>
                <w:szCs w:val="20"/>
                <w:lang w:val="en-US"/>
              </w:rPr>
              <w:t>$0</w:t>
            </w:r>
          </w:p>
        </w:tc>
        <w:tc>
          <w:tcPr>
            <w:tcW w:w="573" w:type="pct"/>
            <w:shd w:val="clear" w:color="auto" w:fill="auto"/>
            <w:vAlign w:val="center"/>
          </w:tcPr>
          <w:p w:rsidR="00AB185B" w:rsidRPr="003639A6" w:rsidRDefault="00AB185B" w:rsidP="00AB185B">
            <w:pPr>
              <w:pStyle w:val="Tabletext"/>
              <w:jc w:val="center"/>
              <w:rPr>
                <w:bCs/>
                <w:color w:val="000000"/>
              </w:rPr>
            </w:pPr>
            <w:r w:rsidRPr="00DD6C15">
              <w:rPr>
                <w:rFonts w:cs="Arial"/>
                <w:bCs/>
                <w:color w:val="000000"/>
                <w:szCs w:val="20"/>
                <w:lang w:val="en-US"/>
              </w:rPr>
              <w:t>$0</w:t>
            </w:r>
          </w:p>
        </w:tc>
        <w:tc>
          <w:tcPr>
            <w:tcW w:w="572" w:type="pct"/>
            <w:vAlign w:val="center"/>
          </w:tcPr>
          <w:p w:rsidR="00AB185B" w:rsidRPr="003639A6" w:rsidRDefault="00AB185B" w:rsidP="00AB185B">
            <w:pPr>
              <w:pStyle w:val="Tabletext"/>
              <w:jc w:val="center"/>
              <w:rPr>
                <w:bCs/>
                <w:color w:val="000000"/>
              </w:rPr>
            </w:pPr>
            <w:r w:rsidRPr="00DD6C15">
              <w:rPr>
                <w:rFonts w:cs="Arial"/>
                <w:bCs/>
                <w:color w:val="000000"/>
                <w:szCs w:val="20"/>
                <w:lang w:val="en-US"/>
              </w:rPr>
              <w:t>$0</w:t>
            </w:r>
          </w:p>
        </w:tc>
        <w:tc>
          <w:tcPr>
            <w:tcW w:w="572" w:type="pct"/>
            <w:vAlign w:val="center"/>
          </w:tcPr>
          <w:p w:rsidR="00AB185B" w:rsidRPr="003639A6" w:rsidRDefault="00AB185B" w:rsidP="00AB185B">
            <w:pPr>
              <w:pStyle w:val="Tabletext"/>
              <w:jc w:val="center"/>
              <w:rPr>
                <w:bCs/>
                <w:color w:val="000000"/>
              </w:rPr>
            </w:pPr>
            <w:r w:rsidRPr="00DD6C15">
              <w:rPr>
                <w:rFonts w:cs="Arial"/>
                <w:bCs/>
                <w:color w:val="000000"/>
                <w:szCs w:val="20"/>
                <w:lang w:val="en-US"/>
              </w:rPr>
              <w:t>$0</w:t>
            </w:r>
          </w:p>
        </w:tc>
      </w:tr>
      <w:tr w:rsidR="00DD6C15" w:rsidRPr="00D1078F" w:rsidTr="000B2F55">
        <w:tc>
          <w:tcPr>
            <w:tcW w:w="5000" w:type="pct"/>
            <w:gridSpan w:val="8"/>
            <w:shd w:val="clear" w:color="auto" w:fill="auto"/>
            <w:vAlign w:val="center"/>
          </w:tcPr>
          <w:p w:rsidR="00DD6C15" w:rsidRPr="00D1078F" w:rsidRDefault="00DD6C15" w:rsidP="00C106A4">
            <w:pPr>
              <w:pStyle w:val="Tabletext"/>
              <w:rPr>
                <w:b/>
                <w:bCs/>
                <w:color w:val="000000"/>
              </w:rPr>
            </w:pPr>
            <w:r w:rsidRPr="00D1078F">
              <w:rPr>
                <w:b/>
                <w:bCs/>
                <w:color w:val="000000"/>
              </w:rPr>
              <w:t xml:space="preserve">Estimated </w:t>
            </w:r>
            <w:r>
              <w:rPr>
                <w:b/>
                <w:bCs/>
                <w:color w:val="000000"/>
              </w:rPr>
              <w:t>financial implications of</w:t>
            </w:r>
            <w:r w:rsidR="00FC4FFF">
              <w:rPr>
                <w:b/>
                <w:bCs/>
                <w:color w:val="000000"/>
              </w:rPr>
              <w:t xml:space="preserve"> removing</w:t>
            </w:r>
            <w:r>
              <w:rPr>
                <w:b/>
                <w:bCs/>
                <w:color w:val="000000"/>
              </w:rPr>
              <w:t xml:space="preserve"> the </w:t>
            </w:r>
            <w:proofErr w:type="spellStart"/>
            <w:r>
              <w:rPr>
                <w:b/>
                <w:bCs/>
                <w:color w:val="000000"/>
              </w:rPr>
              <w:t>MenC</w:t>
            </w:r>
            <w:proofErr w:type="spellEnd"/>
            <w:r>
              <w:rPr>
                <w:b/>
                <w:bCs/>
                <w:color w:val="000000"/>
              </w:rPr>
              <w:t xml:space="preserve"> co</w:t>
            </w:r>
            <w:r w:rsidR="00C106A4">
              <w:rPr>
                <w:b/>
                <w:bCs/>
                <w:color w:val="000000"/>
              </w:rPr>
              <w:t>mponent of the Hib-</w:t>
            </w:r>
            <w:proofErr w:type="spellStart"/>
            <w:r w:rsidR="00C106A4">
              <w:rPr>
                <w:b/>
                <w:bCs/>
                <w:color w:val="000000"/>
              </w:rPr>
              <w:t>MenC</w:t>
            </w:r>
            <w:proofErr w:type="spellEnd"/>
            <w:r w:rsidR="00C106A4">
              <w:rPr>
                <w:b/>
                <w:bCs/>
                <w:color w:val="000000"/>
              </w:rPr>
              <w:t xml:space="preserve"> vaccine</w:t>
            </w:r>
          </w:p>
        </w:tc>
      </w:tr>
      <w:tr w:rsidR="00AB185B" w:rsidRPr="003639A6" w:rsidTr="000B2F55">
        <w:tc>
          <w:tcPr>
            <w:tcW w:w="991" w:type="pct"/>
            <w:shd w:val="clear" w:color="auto" w:fill="auto"/>
            <w:vAlign w:val="center"/>
          </w:tcPr>
          <w:p w:rsidR="00AB185B" w:rsidRPr="003639A6" w:rsidRDefault="00AB185B" w:rsidP="00AB185B">
            <w:pPr>
              <w:pStyle w:val="Tabletext"/>
              <w:rPr>
                <w:rFonts w:ascii="Times" w:hAnsi="Times"/>
              </w:rPr>
            </w:pPr>
            <w:r>
              <w:rPr>
                <w:sz w:val="19"/>
                <w:szCs w:val="19"/>
              </w:rPr>
              <w:t>C</w:t>
            </w:r>
            <w:r w:rsidRPr="003639A6">
              <w:rPr>
                <w:sz w:val="19"/>
                <w:szCs w:val="19"/>
              </w:rPr>
              <w:t xml:space="preserve">ost to </w:t>
            </w:r>
            <w:r>
              <w:rPr>
                <w:sz w:val="19"/>
                <w:szCs w:val="19"/>
              </w:rPr>
              <w:t>NIP</w:t>
            </w:r>
          </w:p>
        </w:tc>
        <w:tc>
          <w:tcPr>
            <w:tcW w:w="573" w:type="pct"/>
            <w:shd w:val="clear" w:color="auto" w:fill="auto"/>
            <w:vAlign w:val="center"/>
          </w:tcPr>
          <w:p w:rsidR="00AB185B" w:rsidRPr="003639A6" w:rsidRDefault="00AB185B" w:rsidP="00AB185B">
            <w:pPr>
              <w:pStyle w:val="Tabletext"/>
              <w:jc w:val="center"/>
              <w:rPr>
                <w:bCs/>
                <w:color w:val="000000"/>
              </w:rPr>
            </w:pPr>
            <w:r>
              <w:rPr>
                <w:rFonts w:cs="Arial"/>
                <w:color w:val="000000"/>
                <w:szCs w:val="20"/>
                <w:lang w:val="en-US"/>
              </w:rPr>
              <w:t>-</w:t>
            </w:r>
            <w:r w:rsidRPr="00474034">
              <w:rPr>
                <w:rFonts w:cs="Arial"/>
                <w:color w:val="000000"/>
                <w:szCs w:val="20"/>
                <w:lang w:val="en-US"/>
              </w:rPr>
              <w:t>$</w:t>
            </w:r>
            <w:r w:rsidR="002D3336">
              <w:rPr>
                <w:rFonts w:cs="Arial"/>
                <w:noProof/>
                <w:color w:val="000000"/>
                <w:szCs w:val="20"/>
                <w:highlight w:val="black"/>
                <w:lang w:val="en-US"/>
              </w:rPr>
              <w:t>'''''''''''''''''''''''''</w:t>
            </w:r>
          </w:p>
        </w:tc>
        <w:tc>
          <w:tcPr>
            <w:tcW w:w="573" w:type="pct"/>
            <w:shd w:val="clear" w:color="auto" w:fill="auto"/>
            <w:vAlign w:val="center"/>
          </w:tcPr>
          <w:p w:rsidR="00AB185B" w:rsidRPr="003639A6" w:rsidRDefault="00AB185B" w:rsidP="00AB185B">
            <w:pPr>
              <w:pStyle w:val="Tabletext"/>
              <w:jc w:val="center"/>
              <w:rPr>
                <w:bCs/>
                <w:color w:val="000000"/>
              </w:rPr>
            </w:pPr>
            <w:r>
              <w:rPr>
                <w:rFonts w:cs="Arial"/>
                <w:color w:val="000000"/>
                <w:szCs w:val="20"/>
                <w:lang w:val="en-US"/>
              </w:rPr>
              <w:t>-</w:t>
            </w:r>
            <w:r w:rsidRPr="00474034">
              <w:rPr>
                <w:rFonts w:cs="Arial"/>
                <w:color w:val="000000"/>
                <w:szCs w:val="20"/>
                <w:lang w:val="en-US"/>
              </w:rPr>
              <w:t>$</w:t>
            </w:r>
            <w:r w:rsidR="002D3336">
              <w:rPr>
                <w:rFonts w:cs="Arial"/>
                <w:noProof/>
                <w:color w:val="000000"/>
                <w:szCs w:val="20"/>
                <w:highlight w:val="black"/>
                <w:lang w:val="en-US"/>
              </w:rPr>
              <w:t>'''''''''''''''''''''''</w:t>
            </w:r>
          </w:p>
        </w:tc>
        <w:tc>
          <w:tcPr>
            <w:tcW w:w="573" w:type="pct"/>
            <w:shd w:val="clear" w:color="auto" w:fill="auto"/>
            <w:vAlign w:val="center"/>
          </w:tcPr>
          <w:p w:rsidR="00AB185B" w:rsidRPr="003639A6" w:rsidRDefault="00AB185B" w:rsidP="00AB185B">
            <w:pPr>
              <w:pStyle w:val="Tabletext"/>
              <w:jc w:val="center"/>
              <w:rPr>
                <w:bCs/>
                <w:color w:val="000000"/>
              </w:rPr>
            </w:pPr>
            <w:r>
              <w:rPr>
                <w:rFonts w:cs="Arial"/>
                <w:color w:val="000000"/>
                <w:szCs w:val="20"/>
                <w:lang w:val="en-US"/>
              </w:rPr>
              <w:t>-</w:t>
            </w:r>
            <w:r w:rsidRPr="00474034">
              <w:rPr>
                <w:rFonts w:cs="Arial"/>
                <w:color w:val="000000"/>
                <w:szCs w:val="20"/>
                <w:lang w:val="en-US"/>
              </w:rPr>
              <w:t>$</w:t>
            </w:r>
            <w:r w:rsidR="002D3336">
              <w:rPr>
                <w:rFonts w:cs="Arial"/>
                <w:noProof/>
                <w:color w:val="000000"/>
                <w:szCs w:val="20"/>
                <w:highlight w:val="black"/>
                <w:lang w:val="en-US"/>
              </w:rPr>
              <w:t>''''''''''''''''''''''''''''</w:t>
            </w:r>
          </w:p>
        </w:tc>
        <w:tc>
          <w:tcPr>
            <w:tcW w:w="573" w:type="pct"/>
            <w:shd w:val="clear" w:color="auto" w:fill="auto"/>
            <w:vAlign w:val="center"/>
          </w:tcPr>
          <w:p w:rsidR="00AB185B" w:rsidRPr="003639A6" w:rsidRDefault="00AB185B" w:rsidP="00AB185B">
            <w:pPr>
              <w:pStyle w:val="Tabletext"/>
              <w:jc w:val="center"/>
              <w:rPr>
                <w:bCs/>
                <w:color w:val="000000"/>
              </w:rPr>
            </w:pPr>
            <w:r>
              <w:rPr>
                <w:rFonts w:cs="Arial"/>
                <w:color w:val="000000"/>
                <w:szCs w:val="20"/>
                <w:lang w:val="en-US"/>
              </w:rPr>
              <w:t>-</w:t>
            </w:r>
            <w:r w:rsidRPr="00474034">
              <w:rPr>
                <w:rFonts w:cs="Arial"/>
                <w:color w:val="000000"/>
                <w:szCs w:val="20"/>
                <w:lang w:val="en-US"/>
              </w:rPr>
              <w:t>$</w:t>
            </w:r>
            <w:r w:rsidR="002D3336">
              <w:rPr>
                <w:rFonts w:cs="Arial"/>
                <w:noProof/>
                <w:color w:val="000000"/>
                <w:szCs w:val="20"/>
                <w:highlight w:val="black"/>
                <w:lang w:val="en-US"/>
              </w:rPr>
              <w:t>''''''''''''''''''''''''</w:t>
            </w:r>
          </w:p>
        </w:tc>
        <w:tc>
          <w:tcPr>
            <w:tcW w:w="573" w:type="pct"/>
            <w:shd w:val="clear" w:color="auto" w:fill="auto"/>
            <w:vAlign w:val="center"/>
          </w:tcPr>
          <w:p w:rsidR="00AB185B" w:rsidRPr="003639A6" w:rsidRDefault="00AB185B" w:rsidP="00AB185B">
            <w:pPr>
              <w:pStyle w:val="Tabletext"/>
              <w:jc w:val="center"/>
              <w:rPr>
                <w:bCs/>
                <w:color w:val="000000"/>
              </w:rPr>
            </w:pPr>
            <w:r>
              <w:rPr>
                <w:rFonts w:cs="Arial"/>
                <w:color w:val="000000"/>
                <w:szCs w:val="20"/>
                <w:lang w:val="en-US"/>
              </w:rPr>
              <w:t>-</w:t>
            </w:r>
            <w:r w:rsidRPr="00474034">
              <w:rPr>
                <w:rFonts w:cs="Arial"/>
                <w:color w:val="000000"/>
                <w:szCs w:val="20"/>
                <w:lang w:val="en-US"/>
              </w:rPr>
              <w:t>$</w:t>
            </w:r>
            <w:r w:rsidR="002D3336">
              <w:rPr>
                <w:rFonts w:cs="Arial"/>
                <w:noProof/>
                <w:color w:val="000000"/>
                <w:szCs w:val="20"/>
                <w:highlight w:val="black"/>
                <w:lang w:val="en-US"/>
              </w:rPr>
              <w:t>'''''''''''''''''''''''''''''</w:t>
            </w:r>
          </w:p>
        </w:tc>
        <w:tc>
          <w:tcPr>
            <w:tcW w:w="572" w:type="pct"/>
            <w:vAlign w:val="center"/>
          </w:tcPr>
          <w:p w:rsidR="00AB185B" w:rsidRPr="003639A6" w:rsidRDefault="00AB185B" w:rsidP="00AB185B">
            <w:pPr>
              <w:pStyle w:val="Tabletext"/>
              <w:jc w:val="center"/>
              <w:rPr>
                <w:bCs/>
                <w:color w:val="000000"/>
              </w:rPr>
            </w:pPr>
            <w:r>
              <w:rPr>
                <w:rFonts w:cs="Arial"/>
                <w:color w:val="000000"/>
                <w:szCs w:val="20"/>
                <w:lang w:val="en-US"/>
              </w:rPr>
              <w:t>-</w:t>
            </w:r>
            <w:r w:rsidRPr="00474034">
              <w:rPr>
                <w:rFonts w:cs="Arial"/>
                <w:color w:val="000000"/>
                <w:szCs w:val="20"/>
                <w:lang w:val="en-US"/>
              </w:rPr>
              <w:t>$</w:t>
            </w:r>
            <w:r w:rsidR="002D3336">
              <w:rPr>
                <w:rFonts w:cs="Arial"/>
                <w:noProof/>
                <w:color w:val="000000"/>
                <w:szCs w:val="20"/>
                <w:highlight w:val="black"/>
                <w:lang w:val="en-US"/>
              </w:rPr>
              <w:t>''''''''''''''''''''''''</w:t>
            </w:r>
          </w:p>
        </w:tc>
        <w:tc>
          <w:tcPr>
            <w:tcW w:w="572" w:type="pct"/>
            <w:vAlign w:val="center"/>
          </w:tcPr>
          <w:p w:rsidR="00AB185B" w:rsidRPr="003639A6" w:rsidRDefault="00AB185B" w:rsidP="00AB185B">
            <w:pPr>
              <w:pStyle w:val="Tabletext"/>
              <w:jc w:val="center"/>
              <w:rPr>
                <w:bCs/>
                <w:color w:val="000000"/>
              </w:rPr>
            </w:pPr>
            <w:r>
              <w:rPr>
                <w:rFonts w:cs="Arial"/>
                <w:color w:val="000000"/>
                <w:szCs w:val="20"/>
                <w:lang w:val="en-US"/>
              </w:rPr>
              <w:t>-</w:t>
            </w:r>
            <w:r w:rsidRPr="00474034">
              <w:rPr>
                <w:rFonts w:cs="Arial"/>
                <w:color w:val="000000"/>
                <w:szCs w:val="20"/>
                <w:lang w:val="en-US"/>
              </w:rPr>
              <w:t>$</w:t>
            </w:r>
            <w:r w:rsidR="002D3336">
              <w:rPr>
                <w:rFonts w:cs="Arial"/>
                <w:noProof/>
                <w:color w:val="000000"/>
                <w:szCs w:val="20"/>
                <w:highlight w:val="black"/>
                <w:lang w:val="en-US"/>
              </w:rPr>
              <w:t>''''''''''''''''''''''''''</w:t>
            </w:r>
          </w:p>
        </w:tc>
      </w:tr>
      <w:tr w:rsidR="00AB185B" w:rsidRPr="003639A6" w:rsidTr="000B2F55">
        <w:tc>
          <w:tcPr>
            <w:tcW w:w="991" w:type="pct"/>
            <w:shd w:val="clear" w:color="auto" w:fill="auto"/>
            <w:vAlign w:val="center"/>
          </w:tcPr>
          <w:p w:rsidR="00AB185B" w:rsidRDefault="00AB185B" w:rsidP="00AB185B">
            <w:pPr>
              <w:pStyle w:val="Tabletext"/>
              <w:rPr>
                <w:sz w:val="19"/>
                <w:szCs w:val="19"/>
              </w:rPr>
            </w:pPr>
            <w:proofErr w:type="spellStart"/>
            <w:r>
              <w:rPr>
                <w:sz w:val="19"/>
                <w:szCs w:val="19"/>
              </w:rPr>
              <w:t>Copayments</w:t>
            </w:r>
            <w:proofErr w:type="spellEnd"/>
          </w:p>
        </w:tc>
        <w:tc>
          <w:tcPr>
            <w:tcW w:w="573" w:type="pct"/>
            <w:shd w:val="clear" w:color="auto" w:fill="auto"/>
            <w:vAlign w:val="center"/>
          </w:tcPr>
          <w:p w:rsidR="00AB185B" w:rsidRPr="003639A6" w:rsidRDefault="00AB185B" w:rsidP="00AB185B">
            <w:pPr>
              <w:pStyle w:val="Tabletext"/>
              <w:jc w:val="center"/>
              <w:rPr>
                <w:bCs/>
                <w:color w:val="000000"/>
              </w:rPr>
            </w:pPr>
            <w:r w:rsidRPr="00DD6C15">
              <w:rPr>
                <w:rFonts w:cs="Arial"/>
                <w:bCs/>
                <w:color w:val="000000"/>
                <w:szCs w:val="20"/>
                <w:lang w:val="en-US"/>
              </w:rPr>
              <w:t>$0</w:t>
            </w:r>
          </w:p>
        </w:tc>
        <w:tc>
          <w:tcPr>
            <w:tcW w:w="573" w:type="pct"/>
            <w:shd w:val="clear" w:color="auto" w:fill="auto"/>
            <w:vAlign w:val="center"/>
          </w:tcPr>
          <w:p w:rsidR="00AB185B" w:rsidRPr="003639A6" w:rsidRDefault="00AB185B" w:rsidP="00AB185B">
            <w:pPr>
              <w:pStyle w:val="Tabletext"/>
              <w:jc w:val="center"/>
              <w:rPr>
                <w:bCs/>
                <w:color w:val="000000"/>
              </w:rPr>
            </w:pPr>
            <w:r w:rsidRPr="00DD6C15">
              <w:rPr>
                <w:rFonts w:cs="Arial"/>
                <w:bCs/>
                <w:color w:val="000000"/>
                <w:szCs w:val="20"/>
                <w:lang w:val="en-US"/>
              </w:rPr>
              <w:t>$0</w:t>
            </w:r>
          </w:p>
        </w:tc>
        <w:tc>
          <w:tcPr>
            <w:tcW w:w="573" w:type="pct"/>
            <w:shd w:val="clear" w:color="auto" w:fill="auto"/>
            <w:vAlign w:val="center"/>
          </w:tcPr>
          <w:p w:rsidR="00AB185B" w:rsidRPr="003639A6" w:rsidRDefault="00AB185B" w:rsidP="00AB185B">
            <w:pPr>
              <w:pStyle w:val="Tabletext"/>
              <w:jc w:val="center"/>
              <w:rPr>
                <w:bCs/>
                <w:color w:val="000000"/>
              </w:rPr>
            </w:pPr>
            <w:r w:rsidRPr="00DD6C15">
              <w:rPr>
                <w:rFonts w:cs="Arial"/>
                <w:bCs/>
                <w:color w:val="000000"/>
                <w:szCs w:val="20"/>
                <w:lang w:val="en-US"/>
              </w:rPr>
              <w:t>$0</w:t>
            </w:r>
          </w:p>
        </w:tc>
        <w:tc>
          <w:tcPr>
            <w:tcW w:w="573" w:type="pct"/>
            <w:shd w:val="clear" w:color="auto" w:fill="auto"/>
            <w:vAlign w:val="center"/>
          </w:tcPr>
          <w:p w:rsidR="00AB185B" w:rsidRPr="003639A6" w:rsidRDefault="00AB185B" w:rsidP="00AB185B">
            <w:pPr>
              <w:pStyle w:val="Tabletext"/>
              <w:jc w:val="center"/>
              <w:rPr>
                <w:bCs/>
                <w:color w:val="000000"/>
              </w:rPr>
            </w:pPr>
            <w:r w:rsidRPr="00DD6C15">
              <w:rPr>
                <w:rFonts w:cs="Arial"/>
                <w:bCs/>
                <w:color w:val="000000"/>
                <w:szCs w:val="20"/>
                <w:lang w:val="en-US"/>
              </w:rPr>
              <w:t>$0</w:t>
            </w:r>
          </w:p>
        </w:tc>
        <w:tc>
          <w:tcPr>
            <w:tcW w:w="573" w:type="pct"/>
            <w:shd w:val="clear" w:color="auto" w:fill="auto"/>
            <w:vAlign w:val="center"/>
          </w:tcPr>
          <w:p w:rsidR="00AB185B" w:rsidRPr="003639A6" w:rsidRDefault="00AB185B" w:rsidP="00AB185B">
            <w:pPr>
              <w:pStyle w:val="Tabletext"/>
              <w:jc w:val="center"/>
              <w:rPr>
                <w:bCs/>
                <w:color w:val="000000"/>
              </w:rPr>
            </w:pPr>
            <w:r w:rsidRPr="00DD6C15">
              <w:rPr>
                <w:rFonts w:cs="Arial"/>
                <w:bCs/>
                <w:color w:val="000000"/>
                <w:szCs w:val="20"/>
                <w:lang w:val="en-US"/>
              </w:rPr>
              <w:t>$0</w:t>
            </w:r>
          </w:p>
        </w:tc>
        <w:tc>
          <w:tcPr>
            <w:tcW w:w="572" w:type="pct"/>
            <w:vAlign w:val="center"/>
          </w:tcPr>
          <w:p w:rsidR="00AB185B" w:rsidRPr="003639A6" w:rsidRDefault="00AB185B" w:rsidP="00AB185B">
            <w:pPr>
              <w:pStyle w:val="Tabletext"/>
              <w:jc w:val="center"/>
              <w:rPr>
                <w:bCs/>
                <w:color w:val="000000"/>
              </w:rPr>
            </w:pPr>
            <w:r w:rsidRPr="00DD6C15">
              <w:rPr>
                <w:rFonts w:cs="Arial"/>
                <w:bCs/>
                <w:color w:val="000000"/>
                <w:szCs w:val="20"/>
                <w:lang w:val="en-US"/>
              </w:rPr>
              <w:t>$0</w:t>
            </w:r>
          </w:p>
        </w:tc>
        <w:tc>
          <w:tcPr>
            <w:tcW w:w="572" w:type="pct"/>
            <w:vAlign w:val="center"/>
          </w:tcPr>
          <w:p w:rsidR="00AB185B" w:rsidRPr="003639A6" w:rsidRDefault="00AB185B" w:rsidP="00AB185B">
            <w:pPr>
              <w:pStyle w:val="Tabletext"/>
              <w:jc w:val="center"/>
              <w:rPr>
                <w:bCs/>
                <w:color w:val="000000"/>
              </w:rPr>
            </w:pPr>
            <w:r w:rsidRPr="00DD6C15">
              <w:rPr>
                <w:rFonts w:cs="Arial"/>
                <w:bCs/>
                <w:color w:val="000000"/>
                <w:szCs w:val="20"/>
                <w:lang w:val="en-US"/>
              </w:rPr>
              <w:t>$0</w:t>
            </w:r>
          </w:p>
        </w:tc>
      </w:tr>
      <w:tr w:rsidR="00DD6C15" w:rsidRPr="00D1078F" w:rsidTr="00DD6C15">
        <w:tc>
          <w:tcPr>
            <w:tcW w:w="5000" w:type="pct"/>
            <w:gridSpan w:val="8"/>
            <w:shd w:val="clear" w:color="auto" w:fill="auto"/>
            <w:vAlign w:val="center"/>
          </w:tcPr>
          <w:p w:rsidR="00DD6C15" w:rsidRPr="00D1078F" w:rsidRDefault="00DD6C15" w:rsidP="00C106A4">
            <w:pPr>
              <w:pStyle w:val="Tabletext"/>
              <w:rPr>
                <w:b/>
                <w:bCs/>
                <w:color w:val="000000"/>
              </w:rPr>
            </w:pPr>
            <w:r w:rsidRPr="00D1078F">
              <w:rPr>
                <w:b/>
                <w:bCs/>
                <w:color w:val="000000"/>
              </w:rPr>
              <w:t xml:space="preserve">Estimated </w:t>
            </w:r>
            <w:r>
              <w:rPr>
                <w:b/>
                <w:bCs/>
                <w:color w:val="000000"/>
              </w:rPr>
              <w:t xml:space="preserve">financial implications of </w:t>
            </w:r>
            <w:r w:rsidR="00FC4FFF">
              <w:rPr>
                <w:b/>
                <w:bCs/>
                <w:color w:val="000000"/>
              </w:rPr>
              <w:t xml:space="preserve">removing </w:t>
            </w:r>
            <w:r>
              <w:rPr>
                <w:b/>
                <w:bCs/>
                <w:color w:val="000000"/>
              </w:rPr>
              <w:t>the Hib co</w:t>
            </w:r>
            <w:r w:rsidR="00C106A4">
              <w:rPr>
                <w:b/>
                <w:bCs/>
                <w:color w:val="000000"/>
              </w:rPr>
              <w:t>mponent of the Hib-</w:t>
            </w:r>
            <w:proofErr w:type="spellStart"/>
            <w:r w:rsidR="00C106A4">
              <w:rPr>
                <w:b/>
                <w:bCs/>
                <w:color w:val="000000"/>
              </w:rPr>
              <w:t>MenC</w:t>
            </w:r>
            <w:proofErr w:type="spellEnd"/>
            <w:r w:rsidR="00C106A4">
              <w:rPr>
                <w:b/>
                <w:bCs/>
                <w:color w:val="000000"/>
              </w:rPr>
              <w:t xml:space="preserve"> vaccine</w:t>
            </w:r>
          </w:p>
        </w:tc>
      </w:tr>
      <w:tr w:rsidR="00DD6C15" w:rsidRPr="003639A6" w:rsidTr="00DD6C15">
        <w:tc>
          <w:tcPr>
            <w:tcW w:w="991" w:type="pct"/>
            <w:shd w:val="clear" w:color="auto" w:fill="auto"/>
            <w:vAlign w:val="center"/>
          </w:tcPr>
          <w:p w:rsidR="00DD6C15" w:rsidRPr="003639A6" w:rsidRDefault="00DD6C15" w:rsidP="00AB185B">
            <w:pPr>
              <w:pStyle w:val="Tabletext"/>
              <w:rPr>
                <w:rFonts w:ascii="Times" w:hAnsi="Times"/>
              </w:rPr>
            </w:pPr>
            <w:r>
              <w:rPr>
                <w:sz w:val="19"/>
                <w:szCs w:val="19"/>
              </w:rPr>
              <w:t>C</w:t>
            </w:r>
            <w:r w:rsidRPr="003639A6">
              <w:rPr>
                <w:sz w:val="19"/>
                <w:szCs w:val="19"/>
              </w:rPr>
              <w:t xml:space="preserve">ost to </w:t>
            </w:r>
            <w:r>
              <w:rPr>
                <w:sz w:val="19"/>
                <w:szCs w:val="19"/>
              </w:rPr>
              <w:t>NIP</w:t>
            </w:r>
          </w:p>
        </w:tc>
        <w:tc>
          <w:tcPr>
            <w:tcW w:w="573" w:type="pct"/>
            <w:shd w:val="clear" w:color="auto" w:fill="auto"/>
            <w:vAlign w:val="center"/>
          </w:tcPr>
          <w:p w:rsidR="00DD6C15" w:rsidRPr="003639A6" w:rsidRDefault="00DD6C15" w:rsidP="00DD6C15">
            <w:pPr>
              <w:pStyle w:val="Tabletext"/>
              <w:jc w:val="center"/>
              <w:rPr>
                <w:bCs/>
                <w:color w:val="000000"/>
              </w:rPr>
            </w:pPr>
            <w:r>
              <w:rPr>
                <w:rFonts w:cs="Arial"/>
                <w:color w:val="000000"/>
                <w:szCs w:val="20"/>
                <w:lang w:val="en-US"/>
              </w:rPr>
              <w:t>Unknown</w:t>
            </w:r>
          </w:p>
        </w:tc>
        <w:tc>
          <w:tcPr>
            <w:tcW w:w="573" w:type="pct"/>
            <w:shd w:val="clear" w:color="auto" w:fill="auto"/>
            <w:vAlign w:val="center"/>
          </w:tcPr>
          <w:p w:rsidR="00DD6C15" w:rsidRPr="003639A6" w:rsidRDefault="00DD6C15" w:rsidP="00DD6C15">
            <w:pPr>
              <w:pStyle w:val="Tabletext"/>
              <w:jc w:val="center"/>
              <w:rPr>
                <w:bCs/>
                <w:color w:val="000000"/>
              </w:rPr>
            </w:pPr>
            <w:r>
              <w:rPr>
                <w:rFonts w:cs="Arial"/>
                <w:color w:val="000000"/>
                <w:szCs w:val="20"/>
                <w:lang w:val="en-US"/>
              </w:rPr>
              <w:t>Unknown</w:t>
            </w:r>
          </w:p>
        </w:tc>
        <w:tc>
          <w:tcPr>
            <w:tcW w:w="573" w:type="pct"/>
            <w:shd w:val="clear" w:color="auto" w:fill="auto"/>
            <w:vAlign w:val="center"/>
          </w:tcPr>
          <w:p w:rsidR="00DD6C15" w:rsidRPr="003639A6" w:rsidRDefault="00DD6C15" w:rsidP="00DD6C15">
            <w:pPr>
              <w:pStyle w:val="Tabletext"/>
              <w:jc w:val="center"/>
              <w:rPr>
                <w:bCs/>
                <w:color w:val="000000"/>
              </w:rPr>
            </w:pPr>
            <w:r>
              <w:rPr>
                <w:rFonts w:cs="Arial"/>
                <w:color w:val="000000"/>
                <w:szCs w:val="20"/>
                <w:lang w:val="en-US"/>
              </w:rPr>
              <w:t>Unknown</w:t>
            </w:r>
          </w:p>
        </w:tc>
        <w:tc>
          <w:tcPr>
            <w:tcW w:w="573" w:type="pct"/>
            <w:shd w:val="clear" w:color="auto" w:fill="auto"/>
            <w:vAlign w:val="center"/>
          </w:tcPr>
          <w:p w:rsidR="00DD6C15" w:rsidRPr="003639A6" w:rsidRDefault="00DD6C15" w:rsidP="00DD6C15">
            <w:pPr>
              <w:pStyle w:val="Tabletext"/>
              <w:jc w:val="center"/>
              <w:rPr>
                <w:bCs/>
                <w:color w:val="000000"/>
              </w:rPr>
            </w:pPr>
            <w:r>
              <w:rPr>
                <w:rFonts w:cs="Arial"/>
                <w:color w:val="000000"/>
                <w:szCs w:val="20"/>
                <w:lang w:val="en-US"/>
              </w:rPr>
              <w:t>Unknown</w:t>
            </w:r>
          </w:p>
        </w:tc>
        <w:tc>
          <w:tcPr>
            <w:tcW w:w="573" w:type="pct"/>
            <w:shd w:val="clear" w:color="auto" w:fill="auto"/>
            <w:vAlign w:val="center"/>
          </w:tcPr>
          <w:p w:rsidR="00DD6C15" w:rsidRPr="003639A6" w:rsidRDefault="00DD6C15" w:rsidP="00DD6C15">
            <w:pPr>
              <w:pStyle w:val="Tabletext"/>
              <w:jc w:val="center"/>
              <w:rPr>
                <w:bCs/>
                <w:color w:val="000000"/>
              </w:rPr>
            </w:pPr>
            <w:r>
              <w:rPr>
                <w:rFonts w:cs="Arial"/>
                <w:color w:val="000000"/>
                <w:szCs w:val="20"/>
                <w:lang w:val="en-US"/>
              </w:rPr>
              <w:t>Unknown</w:t>
            </w:r>
          </w:p>
        </w:tc>
        <w:tc>
          <w:tcPr>
            <w:tcW w:w="572" w:type="pct"/>
            <w:vAlign w:val="center"/>
          </w:tcPr>
          <w:p w:rsidR="00DD6C15" w:rsidRPr="003639A6" w:rsidRDefault="00DD6C15" w:rsidP="00DD6C15">
            <w:pPr>
              <w:pStyle w:val="Tabletext"/>
              <w:jc w:val="center"/>
              <w:rPr>
                <w:bCs/>
                <w:color w:val="000000"/>
              </w:rPr>
            </w:pPr>
            <w:r>
              <w:rPr>
                <w:rFonts w:cs="Arial"/>
                <w:color w:val="000000"/>
                <w:szCs w:val="20"/>
                <w:lang w:val="en-US"/>
              </w:rPr>
              <w:t>Unknown</w:t>
            </w:r>
          </w:p>
        </w:tc>
        <w:tc>
          <w:tcPr>
            <w:tcW w:w="572" w:type="pct"/>
            <w:vAlign w:val="center"/>
          </w:tcPr>
          <w:p w:rsidR="00DD6C15" w:rsidRPr="003639A6" w:rsidRDefault="00DD6C15" w:rsidP="00DD6C15">
            <w:pPr>
              <w:pStyle w:val="Tabletext"/>
              <w:jc w:val="center"/>
              <w:rPr>
                <w:bCs/>
                <w:color w:val="000000"/>
              </w:rPr>
            </w:pPr>
            <w:r>
              <w:rPr>
                <w:rFonts w:cs="Arial"/>
                <w:color w:val="000000"/>
                <w:szCs w:val="20"/>
                <w:lang w:val="en-US"/>
              </w:rPr>
              <w:t>Unknown</w:t>
            </w:r>
          </w:p>
        </w:tc>
      </w:tr>
      <w:tr w:rsidR="00DD6C15" w:rsidRPr="003639A6" w:rsidTr="00DD6C15">
        <w:tc>
          <w:tcPr>
            <w:tcW w:w="991" w:type="pct"/>
            <w:shd w:val="clear" w:color="auto" w:fill="auto"/>
            <w:vAlign w:val="center"/>
          </w:tcPr>
          <w:p w:rsidR="00DD6C15" w:rsidRDefault="00DD6C15" w:rsidP="00DD6C15">
            <w:pPr>
              <w:pStyle w:val="Tabletext"/>
              <w:rPr>
                <w:sz w:val="19"/>
                <w:szCs w:val="19"/>
              </w:rPr>
            </w:pPr>
            <w:proofErr w:type="spellStart"/>
            <w:r>
              <w:rPr>
                <w:sz w:val="19"/>
                <w:szCs w:val="19"/>
              </w:rPr>
              <w:t>Copayments</w:t>
            </w:r>
            <w:proofErr w:type="spellEnd"/>
          </w:p>
        </w:tc>
        <w:tc>
          <w:tcPr>
            <w:tcW w:w="573" w:type="pct"/>
            <w:shd w:val="clear" w:color="auto" w:fill="auto"/>
            <w:vAlign w:val="center"/>
          </w:tcPr>
          <w:p w:rsidR="00DD6C15" w:rsidRPr="003639A6" w:rsidRDefault="00DD6C15" w:rsidP="00DD6C15">
            <w:pPr>
              <w:pStyle w:val="Tabletext"/>
              <w:jc w:val="center"/>
              <w:rPr>
                <w:bCs/>
                <w:color w:val="000000"/>
              </w:rPr>
            </w:pPr>
            <w:r w:rsidRPr="00DD6C15">
              <w:rPr>
                <w:rFonts w:cs="Arial"/>
                <w:bCs/>
                <w:color w:val="000000"/>
                <w:szCs w:val="20"/>
                <w:lang w:val="en-US"/>
              </w:rPr>
              <w:t>$0</w:t>
            </w:r>
          </w:p>
        </w:tc>
        <w:tc>
          <w:tcPr>
            <w:tcW w:w="573" w:type="pct"/>
            <w:shd w:val="clear" w:color="auto" w:fill="auto"/>
            <w:vAlign w:val="center"/>
          </w:tcPr>
          <w:p w:rsidR="00DD6C15" w:rsidRPr="003639A6" w:rsidRDefault="00DD6C15" w:rsidP="00DD6C15">
            <w:pPr>
              <w:pStyle w:val="Tabletext"/>
              <w:jc w:val="center"/>
              <w:rPr>
                <w:bCs/>
                <w:color w:val="000000"/>
              </w:rPr>
            </w:pPr>
            <w:r w:rsidRPr="00DD6C15">
              <w:rPr>
                <w:rFonts w:cs="Arial"/>
                <w:bCs/>
                <w:color w:val="000000"/>
                <w:szCs w:val="20"/>
                <w:lang w:val="en-US"/>
              </w:rPr>
              <w:t>$0</w:t>
            </w:r>
          </w:p>
        </w:tc>
        <w:tc>
          <w:tcPr>
            <w:tcW w:w="573" w:type="pct"/>
            <w:shd w:val="clear" w:color="auto" w:fill="auto"/>
            <w:vAlign w:val="center"/>
          </w:tcPr>
          <w:p w:rsidR="00DD6C15" w:rsidRPr="003639A6" w:rsidRDefault="00DD6C15" w:rsidP="00DD6C15">
            <w:pPr>
              <w:pStyle w:val="Tabletext"/>
              <w:jc w:val="center"/>
              <w:rPr>
                <w:bCs/>
                <w:color w:val="000000"/>
              </w:rPr>
            </w:pPr>
            <w:r w:rsidRPr="00DD6C15">
              <w:rPr>
                <w:rFonts w:cs="Arial"/>
                <w:bCs/>
                <w:color w:val="000000"/>
                <w:szCs w:val="20"/>
                <w:lang w:val="en-US"/>
              </w:rPr>
              <w:t>$0</w:t>
            </w:r>
          </w:p>
        </w:tc>
        <w:tc>
          <w:tcPr>
            <w:tcW w:w="573" w:type="pct"/>
            <w:shd w:val="clear" w:color="auto" w:fill="auto"/>
            <w:vAlign w:val="center"/>
          </w:tcPr>
          <w:p w:rsidR="00DD6C15" w:rsidRPr="003639A6" w:rsidRDefault="00DD6C15" w:rsidP="00DD6C15">
            <w:pPr>
              <w:pStyle w:val="Tabletext"/>
              <w:jc w:val="center"/>
              <w:rPr>
                <w:bCs/>
                <w:color w:val="000000"/>
              </w:rPr>
            </w:pPr>
            <w:r w:rsidRPr="00DD6C15">
              <w:rPr>
                <w:rFonts w:cs="Arial"/>
                <w:bCs/>
                <w:color w:val="000000"/>
                <w:szCs w:val="20"/>
                <w:lang w:val="en-US"/>
              </w:rPr>
              <w:t>$0</w:t>
            </w:r>
          </w:p>
        </w:tc>
        <w:tc>
          <w:tcPr>
            <w:tcW w:w="573" w:type="pct"/>
            <w:shd w:val="clear" w:color="auto" w:fill="auto"/>
            <w:vAlign w:val="center"/>
          </w:tcPr>
          <w:p w:rsidR="00DD6C15" w:rsidRPr="003639A6" w:rsidRDefault="00DD6C15" w:rsidP="00DD6C15">
            <w:pPr>
              <w:pStyle w:val="Tabletext"/>
              <w:jc w:val="center"/>
              <w:rPr>
                <w:bCs/>
                <w:color w:val="000000"/>
              </w:rPr>
            </w:pPr>
            <w:r w:rsidRPr="00DD6C15">
              <w:rPr>
                <w:rFonts w:cs="Arial"/>
                <w:bCs/>
                <w:color w:val="000000"/>
                <w:szCs w:val="20"/>
                <w:lang w:val="en-US"/>
              </w:rPr>
              <w:t>$0</w:t>
            </w:r>
          </w:p>
        </w:tc>
        <w:tc>
          <w:tcPr>
            <w:tcW w:w="572" w:type="pct"/>
            <w:vAlign w:val="center"/>
          </w:tcPr>
          <w:p w:rsidR="00DD6C15" w:rsidRPr="003639A6" w:rsidRDefault="00DD6C15" w:rsidP="00DD6C15">
            <w:pPr>
              <w:pStyle w:val="Tabletext"/>
              <w:jc w:val="center"/>
              <w:rPr>
                <w:bCs/>
                <w:color w:val="000000"/>
              </w:rPr>
            </w:pPr>
            <w:r w:rsidRPr="00DD6C15">
              <w:rPr>
                <w:rFonts w:cs="Arial"/>
                <w:bCs/>
                <w:color w:val="000000"/>
                <w:szCs w:val="20"/>
                <w:lang w:val="en-US"/>
              </w:rPr>
              <w:t>$0</w:t>
            </w:r>
          </w:p>
        </w:tc>
        <w:tc>
          <w:tcPr>
            <w:tcW w:w="572" w:type="pct"/>
            <w:vAlign w:val="center"/>
          </w:tcPr>
          <w:p w:rsidR="00DD6C15" w:rsidRPr="003639A6" w:rsidRDefault="00DD6C15" w:rsidP="00DD6C15">
            <w:pPr>
              <w:pStyle w:val="Tabletext"/>
              <w:jc w:val="center"/>
              <w:rPr>
                <w:bCs/>
                <w:color w:val="000000"/>
              </w:rPr>
            </w:pPr>
            <w:r w:rsidRPr="00DD6C15">
              <w:rPr>
                <w:rFonts w:cs="Arial"/>
                <w:bCs/>
                <w:color w:val="000000"/>
                <w:szCs w:val="20"/>
                <w:lang w:val="en-US"/>
              </w:rPr>
              <w:t>$0</w:t>
            </w:r>
          </w:p>
        </w:tc>
      </w:tr>
      <w:tr w:rsidR="00DD6C15" w:rsidRPr="00FC22AB" w:rsidTr="00DD6C15">
        <w:tc>
          <w:tcPr>
            <w:tcW w:w="5000" w:type="pct"/>
            <w:gridSpan w:val="8"/>
            <w:shd w:val="clear" w:color="auto" w:fill="auto"/>
            <w:vAlign w:val="center"/>
          </w:tcPr>
          <w:p w:rsidR="00DD6C15" w:rsidRPr="00FC22AB" w:rsidRDefault="00DD6C15" w:rsidP="00AB185B">
            <w:pPr>
              <w:pStyle w:val="Tabletext"/>
              <w:rPr>
                <w:b/>
                <w:bCs/>
                <w:color w:val="000000"/>
              </w:rPr>
            </w:pPr>
            <w:r w:rsidRPr="00FC22AB">
              <w:rPr>
                <w:b/>
                <w:bCs/>
                <w:color w:val="000000"/>
              </w:rPr>
              <w:t>Net financial implications</w:t>
            </w:r>
            <w:r w:rsidRPr="00FC22AB">
              <w:rPr>
                <w:b/>
                <w:bCs/>
                <w:color w:val="4BACC6" w:themeColor="accent5"/>
              </w:rPr>
              <w:t xml:space="preserve"> </w:t>
            </w:r>
          </w:p>
        </w:tc>
      </w:tr>
      <w:tr w:rsidR="00DD6C15" w:rsidRPr="003639A6" w:rsidTr="00DD6C15">
        <w:tc>
          <w:tcPr>
            <w:tcW w:w="991" w:type="pct"/>
            <w:shd w:val="clear" w:color="auto" w:fill="auto"/>
            <w:vAlign w:val="center"/>
          </w:tcPr>
          <w:p w:rsidR="00DD6C15" w:rsidRDefault="00DD6C15" w:rsidP="00DD6C15">
            <w:pPr>
              <w:pStyle w:val="Tabletext"/>
              <w:rPr>
                <w:sz w:val="19"/>
                <w:szCs w:val="19"/>
              </w:rPr>
            </w:pPr>
            <w:r>
              <w:rPr>
                <w:sz w:val="19"/>
                <w:szCs w:val="19"/>
              </w:rPr>
              <w:t>Net cost to NIP</w:t>
            </w:r>
          </w:p>
        </w:tc>
        <w:tc>
          <w:tcPr>
            <w:tcW w:w="573" w:type="pct"/>
            <w:shd w:val="clear" w:color="auto" w:fill="auto"/>
            <w:vAlign w:val="center"/>
          </w:tcPr>
          <w:p w:rsidR="00DD6C15" w:rsidRPr="003639A6" w:rsidRDefault="00DD6C15" w:rsidP="00DD6C15">
            <w:pPr>
              <w:pStyle w:val="Tabletext"/>
              <w:jc w:val="center"/>
              <w:rPr>
                <w:bCs/>
                <w:color w:val="000000"/>
              </w:rPr>
            </w:pPr>
            <w:r w:rsidRPr="00DD6C15">
              <w:rPr>
                <w:rFonts w:cs="Arial"/>
                <w:bCs/>
                <w:color w:val="000000"/>
                <w:szCs w:val="20"/>
                <w:lang w:val="en-US"/>
              </w:rPr>
              <w:t>$0</w:t>
            </w:r>
          </w:p>
        </w:tc>
        <w:tc>
          <w:tcPr>
            <w:tcW w:w="573" w:type="pct"/>
            <w:shd w:val="clear" w:color="auto" w:fill="auto"/>
            <w:vAlign w:val="center"/>
          </w:tcPr>
          <w:p w:rsidR="00DD6C15" w:rsidRPr="003639A6" w:rsidRDefault="00DD6C15" w:rsidP="00DD6C15">
            <w:pPr>
              <w:pStyle w:val="Tabletext"/>
              <w:jc w:val="center"/>
              <w:rPr>
                <w:bCs/>
                <w:color w:val="000000"/>
              </w:rPr>
            </w:pPr>
            <w:r w:rsidRPr="00DD6C15">
              <w:rPr>
                <w:rFonts w:cs="Arial"/>
                <w:bCs/>
                <w:color w:val="000000"/>
                <w:szCs w:val="20"/>
                <w:lang w:val="en-US"/>
              </w:rPr>
              <w:t>$0</w:t>
            </w:r>
          </w:p>
        </w:tc>
        <w:tc>
          <w:tcPr>
            <w:tcW w:w="573" w:type="pct"/>
            <w:shd w:val="clear" w:color="auto" w:fill="auto"/>
            <w:vAlign w:val="center"/>
          </w:tcPr>
          <w:p w:rsidR="00DD6C15" w:rsidRPr="003639A6" w:rsidRDefault="00DD6C15" w:rsidP="00DD6C15">
            <w:pPr>
              <w:pStyle w:val="Tabletext"/>
              <w:jc w:val="center"/>
              <w:rPr>
                <w:bCs/>
                <w:color w:val="000000"/>
              </w:rPr>
            </w:pPr>
            <w:r w:rsidRPr="00DD6C15">
              <w:rPr>
                <w:rFonts w:cs="Arial"/>
                <w:bCs/>
                <w:color w:val="000000"/>
                <w:szCs w:val="20"/>
                <w:lang w:val="en-US"/>
              </w:rPr>
              <w:t>$0</w:t>
            </w:r>
          </w:p>
        </w:tc>
        <w:tc>
          <w:tcPr>
            <w:tcW w:w="573" w:type="pct"/>
            <w:shd w:val="clear" w:color="auto" w:fill="auto"/>
            <w:vAlign w:val="center"/>
          </w:tcPr>
          <w:p w:rsidR="00DD6C15" w:rsidRPr="003639A6" w:rsidRDefault="00DD6C15" w:rsidP="00DD6C15">
            <w:pPr>
              <w:pStyle w:val="Tabletext"/>
              <w:jc w:val="center"/>
              <w:rPr>
                <w:bCs/>
                <w:color w:val="000000"/>
              </w:rPr>
            </w:pPr>
            <w:r w:rsidRPr="00DD6C15">
              <w:rPr>
                <w:rFonts w:cs="Arial"/>
                <w:bCs/>
                <w:color w:val="000000"/>
                <w:szCs w:val="20"/>
                <w:lang w:val="en-US"/>
              </w:rPr>
              <w:t>$0</w:t>
            </w:r>
          </w:p>
        </w:tc>
        <w:tc>
          <w:tcPr>
            <w:tcW w:w="573" w:type="pct"/>
            <w:shd w:val="clear" w:color="auto" w:fill="auto"/>
            <w:vAlign w:val="center"/>
          </w:tcPr>
          <w:p w:rsidR="00DD6C15" w:rsidRPr="003639A6" w:rsidRDefault="00DD6C15" w:rsidP="00DD6C15">
            <w:pPr>
              <w:pStyle w:val="Tabletext"/>
              <w:jc w:val="center"/>
              <w:rPr>
                <w:bCs/>
                <w:color w:val="000000"/>
              </w:rPr>
            </w:pPr>
            <w:r w:rsidRPr="00DD6C15">
              <w:rPr>
                <w:rFonts w:cs="Arial"/>
                <w:bCs/>
                <w:color w:val="000000"/>
                <w:szCs w:val="20"/>
                <w:lang w:val="en-US"/>
              </w:rPr>
              <w:t>$0</w:t>
            </w:r>
          </w:p>
        </w:tc>
        <w:tc>
          <w:tcPr>
            <w:tcW w:w="572" w:type="pct"/>
            <w:vAlign w:val="center"/>
          </w:tcPr>
          <w:p w:rsidR="00DD6C15" w:rsidRPr="003639A6" w:rsidRDefault="00DD6C15" w:rsidP="00DD6C15">
            <w:pPr>
              <w:pStyle w:val="Tabletext"/>
              <w:jc w:val="center"/>
              <w:rPr>
                <w:bCs/>
                <w:color w:val="000000"/>
              </w:rPr>
            </w:pPr>
            <w:r w:rsidRPr="00DD6C15">
              <w:rPr>
                <w:rFonts w:cs="Arial"/>
                <w:bCs/>
                <w:color w:val="000000"/>
                <w:szCs w:val="20"/>
                <w:lang w:val="en-US"/>
              </w:rPr>
              <w:t>$0</w:t>
            </w:r>
          </w:p>
        </w:tc>
        <w:tc>
          <w:tcPr>
            <w:tcW w:w="572" w:type="pct"/>
            <w:vAlign w:val="center"/>
          </w:tcPr>
          <w:p w:rsidR="00DD6C15" w:rsidRPr="003639A6" w:rsidRDefault="00DD6C15" w:rsidP="00DD6C15">
            <w:pPr>
              <w:pStyle w:val="Tabletext"/>
              <w:jc w:val="center"/>
              <w:rPr>
                <w:bCs/>
                <w:color w:val="000000"/>
              </w:rPr>
            </w:pPr>
            <w:r w:rsidRPr="00DD6C15">
              <w:rPr>
                <w:rFonts w:cs="Arial"/>
                <w:bCs/>
                <w:color w:val="000000"/>
                <w:szCs w:val="20"/>
                <w:lang w:val="en-US"/>
              </w:rPr>
              <w:t>$0</w:t>
            </w:r>
          </w:p>
        </w:tc>
      </w:tr>
    </w:tbl>
    <w:p w:rsidR="00E466F3" w:rsidRDefault="00E466F3" w:rsidP="00E466F3">
      <w:pPr>
        <w:pStyle w:val="TableFooter"/>
        <w:tabs>
          <w:tab w:val="left" w:pos="142"/>
        </w:tabs>
      </w:pPr>
      <w:proofErr w:type="spellStart"/>
      <w:proofErr w:type="gramStart"/>
      <w:r w:rsidRPr="003639A6">
        <w:rPr>
          <w:vertAlign w:val="superscript"/>
        </w:rPr>
        <w:t>a</w:t>
      </w:r>
      <w:proofErr w:type="spellEnd"/>
      <w:proofErr w:type="gramEnd"/>
      <w:r>
        <w:tab/>
      </w:r>
      <w:r w:rsidRPr="003639A6">
        <w:t xml:space="preserve">Assuming </w:t>
      </w:r>
      <w:r w:rsidR="00AB185B">
        <w:t>a single use of vaccine</w:t>
      </w:r>
      <w:r w:rsidR="00CE4135">
        <w:t xml:space="preserve"> for infants </w:t>
      </w:r>
      <w:r w:rsidR="00FA4517">
        <w:t>a</w:t>
      </w:r>
      <w:r w:rsidR="00CE4135">
        <w:t>ge</w:t>
      </w:r>
      <w:r w:rsidR="00FA4517">
        <w:t>d</w:t>
      </w:r>
      <w:r w:rsidR="00CE4135">
        <w:t xml:space="preserve"> 12 months</w:t>
      </w:r>
      <w:r w:rsidR="00AB185B">
        <w:t xml:space="preserve"> </w:t>
      </w:r>
      <w:r w:rsidRPr="003639A6">
        <w:t>as estimated by the submission.</w:t>
      </w:r>
    </w:p>
    <w:p w:rsidR="00AB185B" w:rsidRDefault="00AB185B" w:rsidP="00E466F3">
      <w:pPr>
        <w:pStyle w:val="TableFooter"/>
        <w:tabs>
          <w:tab w:val="left" w:pos="142"/>
        </w:tabs>
      </w:pPr>
      <w:proofErr w:type="gramStart"/>
      <w:r w:rsidRPr="00AB185B">
        <w:rPr>
          <w:vertAlign w:val="superscript"/>
        </w:rPr>
        <w:t>b</w:t>
      </w:r>
      <w:proofErr w:type="gramEnd"/>
      <w:r>
        <w:t xml:space="preserve"> Assuming the price of </w:t>
      </w:r>
      <w:r w:rsidR="00CE4135">
        <w:t xml:space="preserve">the </w:t>
      </w:r>
      <w:proofErr w:type="spellStart"/>
      <w:r>
        <w:t>MenACWY</w:t>
      </w:r>
      <w:proofErr w:type="spellEnd"/>
      <w:r>
        <w:t xml:space="preserve">-TT </w:t>
      </w:r>
      <w:r w:rsidR="00CE4135">
        <w:t xml:space="preserve">vaccine </w:t>
      </w:r>
      <w:r w:rsidR="00D52D00">
        <w:t>is</w:t>
      </w:r>
      <w:r>
        <w:t xml:space="preserve"> $</w:t>
      </w:r>
      <w:r w:rsidR="002D3336">
        <w:rPr>
          <w:noProof/>
          <w:color w:val="000000"/>
          <w:highlight w:val="black"/>
        </w:rPr>
        <w:t>''''''''''''</w:t>
      </w:r>
      <w:r>
        <w:t>.</w:t>
      </w:r>
    </w:p>
    <w:p w:rsidR="00385A9D" w:rsidRDefault="00385A9D" w:rsidP="00385A9D">
      <w:pPr>
        <w:pStyle w:val="TableFooter"/>
      </w:pPr>
      <w:r>
        <w:t xml:space="preserve">Source: </w:t>
      </w:r>
      <w:r w:rsidR="00AB185B">
        <w:t xml:space="preserve">Table </w:t>
      </w:r>
      <w:r w:rsidR="00C54153">
        <w:t xml:space="preserve">4.3-1 and Table </w:t>
      </w:r>
      <w:r w:rsidR="00AB185B">
        <w:t>4.3-2, p139 in the submission and Table 4.4-1, p141 in the submission</w:t>
      </w:r>
      <w:r>
        <w:t>.</w:t>
      </w:r>
    </w:p>
    <w:p w:rsidR="00AB185B" w:rsidRDefault="00AB185B" w:rsidP="00385A9D">
      <w:pPr>
        <w:pStyle w:val="TableFooter"/>
        <w:rPr>
          <w:rStyle w:val="CommentReference"/>
        </w:rPr>
      </w:pPr>
      <w:r>
        <w:t xml:space="preserve">Hib = </w:t>
      </w:r>
      <w:r w:rsidRPr="00AB185B">
        <w:t xml:space="preserve">Haemophilus </w:t>
      </w:r>
      <w:proofErr w:type="spellStart"/>
      <w:r w:rsidRPr="00AB185B">
        <w:t>influenzae</w:t>
      </w:r>
      <w:proofErr w:type="spellEnd"/>
      <w:r w:rsidRPr="00AB185B">
        <w:t xml:space="preserve"> type b</w:t>
      </w:r>
    </w:p>
    <w:p w:rsidR="00C25D9C" w:rsidRPr="00C25D9C" w:rsidRDefault="00C25D9C" w:rsidP="00C25D9C">
      <w:pPr>
        <w:widowControl/>
      </w:pPr>
    </w:p>
    <w:p w:rsidR="009D66B0" w:rsidRPr="00646CBD" w:rsidRDefault="009D66B0" w:rsidP="00586FAD">
      <w:pPr>
        <w:pStyle w:val="ListParagraph"/>
        <w:widowControl/>
        <w:numPr>
          <w:ilvl w:val="1"/>
          <w:numId w:val="1"/>
        </w:numPr>
      </w:pPr>
      <w:r w:rsidRPr="00646CBD">
        <w:t xml:space="preserve">The estimated financial implications for the NIP </w:t>
      </w:r>
      <w:r w:rsidR="00CF7262" w:rsidRPr="00646CBD">
        <w:t xml:space="preserve">are </w:t>
      </w:r>
      <w:r w:rsidRPr="00646CBD">
        <w:t>uncertain. There are three scenarios of budget impact that the PBAC may wish to consider:</w:t>
      </w:r>
    </w:p>
    <w:p w:rsidR="009D66B0" w:rsidRPr="00646CBD" w:rsidRDefault="009D66B0" w:rsidP="00EA0398">
      <w:pPr>
        <w:pStyle w:val="ListParagraph"/>
        <w:widowControl/>
        <w:numPr>
          <w:ilvl w:val="1"/>
          <w:numId w:val="4"/>
        </w:numPr>
        <w:ind w:left="1418"/>
      </w:pPr>
      <w:r w:rsidRPr="00646CBD">
        <w:lastRenderedPageBreak/>
        <w:t xml:space="preserve">The monovalent Hib vaccine is not supplied in Australia when the </w:t>
      </w:r>
      <w:proofErr w:type="spellStart"/>
      <w:r w:rsidRPr="00646CBD">
        <w:t>MenACWY</w:t>
      </w:r>
      <w:proofErr w:type="spellEnd"/>
      <w:r w:rsidR="00206F08" w:rsidRPr="00646CBD">
        <w:noBreakHyphen/>
      </w:r>
      <w:r w:rsidRPr="00646CBD">
        <w:t>TT is approved and Hib-</w:t>
      </w:r>
      <w:proofErr w:type="spellStart"/>
      <w:r w:rsidRPr="00646CBD">
        <w:t>MenC</w:t>
      </w:r>
      <w:proofErr w:type="spellEnd"/>
      <w:r w:rsidRPr="00646CBD">
        <w:t xml:space="preserve"> is used as a Hib booster (</w:t>
      </w:r>
      <w:r w:rsidR="00D45775" w:rsidRPr="00646CBD">
        <w:t xml:space="preserve">p19 of the </w:t>
      </w:r>
      <w:r w:rsidRPr="00646CBD">
        <w:t>ATAGI pre-</w:t>
      </w:r>
      <w:r w:rsidR="008E3581" w:rsidRPr="00646CBD">
        <w:t>submission a</w:t>
      </w:r>
      <w:r w:rsidRPr="00646CBD">
        <w:t>dvice 2017). In this case, there will be additional costs of using Hib-</w:t>
      </w:r>
      <w:proofErr w:type="spellStart"/>
      <w:r w:rsidRPr="00646CBD">
        <w:t>MenC</w:t>
      </w:r>
      <w:proofErr w:type="spellEnd"/>
      <w:r w:rsidRPr="00646CBD">
        <w:t xml:space="preserve"> to the NIP.</w:t>
      </w:r>
    </w:p>
    <w:p w:rsidR="009D66B0" w:rsidRPr="00646CBD" w:rsidRDefault="009D66B0" w:rsidP="00EA0398">
      <w:pPr>
        <w:pStyle w:val="ListParagraph"/>
        <w:widowControl/>
        <w:numPr>
          <w:ilvl w:val="1"/>
          <w:numId w:val="4"/>
        </w:numPr>
        <w:ind w:left="1418"/>
      </w:pPr>
      <w:r w:rsidRPr="00646CBD">
        <w:t>The monovalent Hib vaccine is supplied in Australia at the price of the Hib component of the Hib-</w:t>
      </w:r>
      <w:proofErr w:type="spellStart"/>
      <w:r w:rsidRPr="00646CBD">
        <w:t>MenC</w:t>
      </w:r>
      <w:proofErr w:type="spellEnd"/>
      <w:r w:rsidRPr="00646CBD">
        <w:t xml:space="preserve"> vaccine</w:t>
      </w:r>
      <w:r w:rsidR="00206F08" w:rsidRPr="00646CBD">
        <w:t>.</w:t>
      </w:r>
      <w:r w:rsidRPr="00646CBD">
        <w:t xml:space="preserve"> In this case, listing </w:t>
      </w:r>
      <w:r w:rsidR="00C106A4" w:rsidRPr="00646CBD">
        <w:t xml:space="preserve">the </w:t>
      </w:r>
      <w:proofErr w:type="spellStart"/>
      <w:r w:rsidR="00C106A4" w:rsidRPr="00646CBD">
        <w:t>MenACWY</w:t>
      </w:r>
      <w:proofErr w:type="spellEnd"/>
      <w:r w:rsidR="00C106A4" w:rsidRPr="00646CBD">
        <w:noBreakHyphen/>
        <w:t>TT vaccine</w:t>
      </w:r>
      <w:r w:rsidRPr="00646CBD">
        <w:t xml:space="preserve"> </w:t>
      </w:r>
      <w:r w:rsidR="00371DFE" w:rsidRPr="00646CBD">
        <w:t>will be</w:t>
      </w:r>
      <w:r w:rsidRPr="00646CBD">
        <w:t xml:space="preserve"> cost-neutral to the NIP.</w:t>
      </w:r>
    </w:p>
    <w:p w:rsidR="00576972" w:rsidRPr="00646CBD" w:rsidRDefault="009D66B0" w:rsidP="00EA0398">
      <w:pPr>
        <w:pStyle w:val="ListParagraph"/>
        <w:widowControl/>
        <w:numPr>
          <w:ilvl w:val="1"/>
          <w:numId w:val="4"/>
        </w:numPr>
        <w:ind w:left="1418"/>
      </w:pPr>
      <w:r w:rsidRPr="00646CBD">
        <w:t xml:space="preserve">The monovalent Hib vaccine is supplied in Australia but its price is unknown: In this case, the financial implication of listing </w:t>
      </w:r>
      <w:r w:rsidR="00C106A4" w:rsidRPr="00646CBD">
        <w:t xml:space="preserve">the </w:t>
      </w:r>
      <w:proofErr w:type="spellStart"/>
      <w:r w:rsidR="00C106A4" w:rsidRPr="00646CBD">
        <w:t>MenACWY</w:t>
      </w:r>
      <w:proofErr w:type="spellEnd"/>
      <w:r w:rsidR="00C106A4" w:rsidRPr="00646CBD">
        <w:t>-TT vaccine</w:t>
      </w:r>
      <w:r w:rsidRPr="00646CBD">
        <w:t xml:space="preserve"> for the NIP is unknown.</w:t>
      </w:r>
    </w:p>
    <w:p w:rsidR="00576972" w:rsidRPr="00C9624D" w:rsidRDefault="00576972" w:rsidP="00206F08">
      <w:pPr>
        <w:pStyle w:val="Heading2"/>
        <w:keepNext/>
      </w:pPr>
      <w:bookmarkStart w:id="13" w:name="_Toc500765131"/>
      <w:r w:rsidRPr="00C9624D">
        <w:t>Quality Use of Medicines</w:t>
      </w:r>
      <w:bookmarkEnd w:id="13"/>
    </w:p>
    <w:p w:rsidR="00645BB0" w:rsidRDefault="00FB5BC6" w:rsidP="00645BB0">
      <w:pPr>
        <w:pStyle w:val="ListParagraph"/>
        <w:widowControl/>
        <w:numPr>
          <w:ilvl w:val="1"/>
          <w:numId w:val="1"/>
        </w:numPr>
      </w:pPr>
      <w:r w:rsidRPr="00646CBD">
        <w:t xml:space="preserve">The submission noted that educational activities should be undertaken </w:t>
      </w:r>
      <w:r w:rsidR="008E57A3" w:rsidRPr="00646CBD">
        <w:t>to inform the change of the NIP schedule</w:t>
      </w:r>
      <w:r w:rsidRPr="00646CBD">
        <w:t xml:space="preserve">. </w:t>
      </w:r>
      <w:r w:rsidR="00D8761A" w:rsidRPr="00646CBD">
        <w:t xml:space="preserve">Given the potential for confusion between the proposed </w:t>
      </w:r>
      <w:proofErr w:type="spellStart"/>
      <w:r w:rsidR="00D8761A" w:rsidRPr="00646CBD">
        <w:t>MenACWY</w:t>
      </w:r>
      <w:proofErr w:type="spellEnd"/>
      <w:r w:rsidR="00D8761A" w:rsidRPr="00646CBD">
        <w:t>-TT and the current Hib-</w:t>
      </w:r>
      <w:proofErr w:type="spellStart"/>
      <w:r w:rsidR="00D8761A" w:rsidRPr="00646CBD">
        <w:t>MenC</w:t>
      </w:r>
      <w:proofErr w:type="spellEnd"/>
      <w:r w:rsidR="00D8761A" w:rsidRPr="00646CBD">
        <w:t xml:space="preserve"> vaccine</w:t>
      </w:r>
      <w:r w:rsidR="00105BB6" w:rsidRPr="00646CBD">
        <w:t>,</w:t>
      </w:r>
      <w:r w:rsidR="00D8761A" w:rsidRPr="00646CBD">
        <w:t xml:space="preserve"> extensive health professional and parent education </w:t>
      </w:r>
      <w:r w:rsidR="001E5506" w:rsidRPr="00646CBD">
        <w:t xml:space="preserve">programs </w:t>
      </w:r>
      <w:r w:rsidR="00D8761A" w:rsidRPr="00646CBD">
        <w:t>should be undertaken. T</w:t>
      </w:r>
      <w:r w:rsidRPr="00646CBD">
        <w:t>he submission did not propose a post-marketing surveillance study.</w:t>
      </w:r>
      <w:r w:rsidR="00D8761A" w:rsidRPr="00646CBD">
        <w:t xml:space="preserve"> Given the lack of pre-market data on vaccine efficacy and the limited pre-market vaccine data on safety, a longitudinal post marketing study is warranted. The need for post-marketing surveillance was also noted by ATAGI</w:t>
      </w:r>
      <w:r w:rsidR="003E175F" w:rsidRPr="00646CBD">
        <w:t>, who considered</w:t>
      </w:r>
      <w:r w:rsidR="005103A6" w:rsidRPr="00646CBD">
        <w:t xml:space="preserve"> enhanced safety surveillance of 12-month old children</w:t>
      </w:r>
      <w:r w:rsidR="003E175F" w:rsidRPr="00646CBD">
        <w:t xml:space="preserve"> receiving </w:t>
      </w:r>
      <w:proofErr w:type="spellStart"/>
      <w:r w:rsidR="003E175F" w:rsidRPr="00646CBD">
        <w:t>MenACWY</w:t>
      </w:r>
      <w:proofErr w:type="spellEnd"/>
      <w:r w:rsidR="003E175F" w:rsidRPr="00646CBD">
        <w:t>-TT to be essential</w:t>
      </w:r>
      <w:r w:rsidR="00341BA5" w:rsidRPr="00646CBD">
        <w:t xml:space="preserve"> (p2 and p22 of the ATAGI pre-submission advice 2017)</w:t>
      </w:r>
      <w:r w:rsidR="003E175F" w:rsidRPr="00646CBD">
        <w:t>.</w:t>
      </w:r>
      <w:r w:rsidR="00CF7262" w:rsidRPr="00646CBD">
        <w:t xml:space="preserve"> </w:t>
      </w:r>
      <w:r w:rsidR="00341BA5" w:rsidRPr="00646CBD">
        <w:t>Post marketing studies on impact of the proposed vaccine on nasopharyngeal carriage could also be considered.</w:t>
      </w:r>
      <w:bookmarkStart w:id="14" w:name="_Toc371170715"/>
      <w:bookmarkStart w:id="15" w:name="_Toc500765133"/>
    </w:p>
    <w:p w:rsidR="00701F62" w:rsidRPr="00257786" w:rsidRDefault="00701F62" w:rsidP="006C284F">
      <w:pPr>
        <w:pStyle w:val="ListParagraph"/>
        <w:ind w:left="709"/>
        <w:rPr>
          <w:rFonts w:asciiTheme="minorHAnsi" w:hAnsiTheme="minorHAnsi"/>
          <w:i/>
        </w:rPr>
      </w:pPr>
      <w:r w:rsidRPr="00257786">
        <w:rPr>
          <w:rFonts w:asciiTheme="minorHAnsi" w:hAnsiTheme="minorHAnsi"/>
          <w:i/>
        </w:rPr>
        <w:t>For more detail on PBAC’s view, see section 7 PBAC outcome.</w:t>
      </w:r>
    </w:p>
    <w:bookmarkEnd w:id="14"/>
    <w:bookmarkEnd w:id="15"/>
    <w:p w:rsidR="009A29FF" w:rsidRPr="006C284F" w:rsidRDefault="009A29FF" w:rsidP="008470A2">
      <w:pPr>
        <w:pStyle w:val="PBACHeading1"/>
      </w:pPr>
      <w:r w:rsidRPr="006C284F">
        <w:t>PBAC Outcome</w:t>
      </w:r>
    </w:p>
    <w:p w:rsidR="00883ED6" w:rsidRPr="00883ED6" w:rsidRDefault="00883ED6" w:rsidP="00883ED6">
      <w:pPr>
        <w:pStyle w:val="ListParagraph"/>
        <w:widowControl/>
        <w:numPr>
          <w:ilvl w:val="1"/>
          <w:numId w:val="1"/>
        </w:numPr>
      </w:pPr>
      <w:r w:rsidRPr="00543080">
        <w:rPr>
          <w:rFonts w:asciiTheme="minorHAnsi" w:hAnsiTheme="minorHAnsi" w:cstheme="minorHAnsi"/>
          <w:bCs/>
          <w:lang w:val="en-GB"/>
        </w:rPr>
        <w:t xml:space="preserve">The PBAC recommended that meningococcal polysaccharide serogroups A, C, W135 </w:t>
      </w:r>
      <w:r w:rsidRPr="00883ED6">
        <w:t>and Y conjugate vaccine (</w:t>
      </w:r>
      <w:proofErr w:type="spellStart"/>
      <w:r w:rsidRPr="00883ED6">
        <w:t>MenACWY</w:t>
      </w:r>
      <w:proofErr w:type="spellEnd"/>
      <w:r w:rsidRPr="00883ED6">
        <w:t xml:space="preserve">-TT) vaccine be a designated vaccine for the purposes of the </w:t>
      </w:r>
      <w:r w:rsidRPr="003B3973">
        <w:rPr>
          <w:i/>
        </w:rPr>
        <w:t>National Health Act 1953</w:t>
      </w:r>
      <w:r w:rsidRPr="00883ED6">
        <w:t xml:space="preserve"> for the prevention of invasive meningococcal disease (IMD) caused by Neisseria </w:t>
      </w:r>
      <w:proofErr w:type="spellStart"/>
      <w:r w:rsidRPr="00883ED6">
        <w:t>meningitidis</w:t>
      </w:r>
      <w:proofErr w:type="spellEnd"/>
      <w:r w:rsidRPr="00883ED6">
        <w:t xml:space="preserve"> serogroups A, C, W135, and Y (</w:t>
      </w:r>
      <w:proofErr w:type="spellStart"/>
      <w:r w:rsidRPr="00883ED6">
        <w:t>MenA</w:t>
      </w:r>
      <w:proofErr w:type="spellEnd"/>
      <w:r w:rsidRPr="00883ED6">
        <w:t xml:space="preserve">, </w:t>
      </w:r>
      <w:proofErr w:type="spellStart"/>
      <w:r w:rsidRPr="00883ED6">
        <w:t>MenC</w:t>
      </w:r>
      <w:proofErr w:type="spellEnd"/>
      <w:r w:rsidRPr="00883ED6">
        <w:t xml:space="preserve">, MenW135 and </w:t>
      </w:r>
      <w:proofErr w:type="spellStart"/>
      <w:r w:rsidRPr="00883ED6">
        <w:t>MenY</w:t>
      </w:r>
      <w:proofErr w:type="spellEnd"/>
      <w:r w:rsidRPr="00883ED6">
        <w:t>, respectively) in infants.</w:t>
      </w:r>
    </w:p>
    <w:p w:rsidR="007A03BB" w:rsidRPr="00680DE6" w:rsidRDefault="007A03BB" w:rsidP="00680DE6">
      <w:pPr>
        <w:pStyle w:val="ListParagraph"/>
        <w:widowControl/>
        <w:numPr>
          <w:ilvl w:val="1"/>
          <w:numId w:val="1"/>
        </w:numPr>
      </w:pPr>
      <w:r w:rsidRPr="00680DE6">
        <w:t xml:space="preserve">In line with the ATAGI advice, the PBAC recommended that the administration of the </w:t>
      </w:r>
      <w:proofErr w:type="spellStart"/>
      <w:r w:rsidRPr="00680DE6">
        <w:t>MenACWY</w:t>
      </w:r>
      <w:proofErr w:type="spellEnd"/>
      <w:r w:rsidRPr="00680DE6">
        <w:t>-TT vaccine occur at around 12 months of age and further that administration of the</w:t>
      </w:r>
      <w:r w:rsidR="00680DE6" w:rsidRPr="00680DE6">
        <w:t xml:space="preserve"> </w:t>
      </w:r>
      <w:r w:rsidR="00DD72D1">
        <w:t>H</w:t>
      </w:r>
      <w:r w:rsidRPr="00680DE6">
        <w:t>ib containing vaccine be moved to around 18 months of age.</w:t>
      </w:r>
    </w:p>
    <w:p w:rsidR="00883ED6" w:rsidRPr="00883ED6" w:rsidRDefault="00883ED6" w:rsidP="00883ED6">
      <w:pPr>
        <w:pStyle w:val="ListParagraph"/>
        <w:widowControl/>
        <w:numPr>
          <w:ilvl w:val="1"/>
          <w:numId w:val="1"/>
        </w:numPr>
      </w:pPr>
      <w:r w:rsidRPr="00883ED6">
        <w:t xml:space="preserve">The PBAC considered the </w:t>
      </w:r>
      <w:proofErr w:type="spellStart"/>
      <w:r w:rsidRPr="00883ED6">
        <w:t>MenACWY</w:t>
      </w:r>
      <w:proofErr w:type="spellEnd"/>
      <w:r w:rsidRPr="00883ED6">
        <w:t xml:space="preserve">-TT vaccine would be acceptably cost-effective if subsidised on a cost-minimisation basis with the </w:t>
      </w:r>
      <w:proofErr w:type="spellStart"/>
      <w:r w:rsidRPr="00883ED6">
        <w:t>MenC</w:t>
      </w:r>
      <w:proofErr w:type="spellEnd"/>
      <w:r w:rsidRPr="00883ED6">
        <w:t xml:space="preserve"> component of the Hib-</w:t>
      </w:r>
      <w:proofErr w:type="spellStart"/>
      <w:r w:rsidRPr="00883ED6">
        <w:t>MenC</w:t>
      </w:r>
      <w:proofErr w:type="spellEnd"/>
      <w:r w:rsidRPr="00883ED6">
        <w:t xml:space="preserve"> vaccine (</w:t>
      </w:r>
      <w:proofErr w:type="spellStart"/>
      <w:r w:rsidRPr="00883ED6">
        <w:t>Menitorix</w:t>
      </w:r>
      <w:proofErr w:type="spellEnd"/>
      <w:r w:rsidRPr="00883ED6">
        <w:t>).</w:t>
      </w:r>
    </w:p>
    <w:p w:rsidR="00883ED6" w:rsidRPr="00883ED6" w:rsidRDefault="00883ED6" w:rsidP="00883ED6">
      <w:pPr>
        <w:pStyle w:val="ListParagraph"/>
        <w:widowControl/>
        <w:numPr>
          <w:ilvl w:val="1"/>
          <w:numId w:val="1"/>
        </w:numPr>
      </w:pPr>
      <w:r w:rsidRPr="00883ED6">
        <w:t xml:space="preserve">The PBAC accepted the ATAGI advice that the clinical claim of non-inferiority to the </w:t>
      </w:r>
      <w:proofErr w:type="spellStart"/>
      <w:r w:rsidRPr="00883ED6">
        <w:t>MenC</w:t>
      </w:r>
      <w:proofErr w:type="spellEnd"/>
      <w:r w:rsidRPr="00883ED6">
        <w:t xml:space="preserve"> component of the Hib-</w:t>
      </w:r>
      <w:proofErr w:type="spellStart"/>
      <w:r w:rsidRPr="00883ED6">
        <w:t>MenC</w:t>
      </w:r>
      <w:proofErr w:type="spellEnd"/>
      <w:r w:rsidRPr="00883ED6">
        <w:t xml:space="preserve"> vaccine based on </w:t>
      </w:r>
      <w:proofErr w:type="spellStart"/>
      <w:r w:rsidRPr="00883ED6">
        <w:t>rSBA-MenC</w:t>
      </w:r>
      <w:proofErr w:type="spellEnd"/>
      <w:r w:rsidRPr="00883ED6">
        <w:t xml:space="preserve"> protection at one </w:t>
      </w:r>
      <w:r w:rsidRPr="00883ED6">
        <w:lastRenderedPageBreak/>
        <w:t xml:space="preserve">month and the added benefit of serogroup A, W135 and Y antibody </w:t>
      </w:r>
      <w:proofErr w:type="gramStart"/>
      <w:r w:rsidRPr="00883ED6">
        <w:t>protection,</w:t>
      </w:r>
      <w:proofErr w:type="gramEnd"/>
      <w:r w:rsidRPr="00883ED6">
        <w:t xml:space="preserve"> was reasonable.</w:t>
      </w:r>
    </w:p>
    <w:p w:rsidR="00883ED6" w:rsidRPr="00883ED6" w:rsidRDefault="00883ED6" w:rsidP="00883ED6">
      <w:pPr>
        <w:pStyle w:val="ListParagraph"/>
        <w:widowControl/>
        <w:numPr>
          <w:ilvl w:val="1"/>
          <w:numId w:val="1"/>
        </w:numPr>
      </w:pPr>
      <w:r w:rsidRPr="00883ED6">
        <w:t xml:space="preserve">The PBAC accepted the ATAGI advice that overall, </w:t>
      </w:r>
      <w:proofErr w:type="spellStart"/>
      <w:r w:rsidRPr="00883ED6">
        <w:t>MenACWY</w:t>
      </w:r>
      <w:proofErr w:type="spellEnd"/>
      <w:r w:rsidRPr="00883ED6">
        <w:t>-TT had a similar safety profile to the comparator.</w:t>
      </w:r>
    </w:p>
    <w:p w:rsidR="00883ED6" w:rsidRPr="00883ED6" w:rsidRDefault="00883ED6" w:rsidP="00883ED6">
      <w:pPr>
        <w:pStyle w:val="ListParagraph"/>
        <w:widowControl/>
        <w:numPr>
          <w:ilvl w:val="1"/>
          <w:numId w:val="1"/>
        </w:numPr>
      </w:pPr>
      <w:r w:rsidRPr="00883ED6">
        <w:t>The PBAC advised that the</w:t>
      </w:r>
      <w:r w:rsidR="00DD72D1">
        <w:t xml:space="preserve"> </w:t>
      </w:r>
      <w:proofErr w:type="spellStart"/>
      <w:r w:rsidR="00DD72D1">
        <w:t>equi</w:t>
      </w:r>
      <w:proofErr w:type="spellEnd"/>
      <w:r w:rsidR="00DD72D1">
        <w:t xml:space="preserve">-effective doses are </w:t>
      </w:r>
      <w:proofErr w:type="spellStart"/>
      <w:r w:rsidR="00DD72D1">
        <w:t>MenAC</w:t>
      </w:r>
      <w:r w:rsidRPr="00883ED6">
        <w:t>W</w:t>
      </w:r>
      <w:r w:rsidR="00DD72D1">
        <w:t>Y</w:t>
      </w:r>
      <w:proofErr w:type="spellEnd"/>
      <w:r w:rsidRPr="00883ED6">
        <w:t xml:space="preserve">-TT 1 x 5 </w:t>
      </w:r>
      <w:proofErr w:type="spellStart"/>
      <w:r w:rsidRPr="00883ED6">
        <w:t>μg</w:t>
      </w:r>
      <w:proofErr w:type="spellEnd"/>
      <w:r w:rsidRPr="00883ED6">
        <w:t xml:space="preserve"> dose and the </w:t>
      </w:r>
      <w:proofErr w:type="spellStart"/>
      <w:r w:rsidRPr="00883ED6">
        <w:t>MenC</w:t>
      </w:r>
      <w:proofErr w:type="spellEnd"/>
      <w:r w:rsidRPr="00883ED6">
        <w:t xml:space="preserve"> component of the Hib-</w:t>
      </w:r>
      <w:proofErr w:type="spellStart"/>
      <w:r w:rsidRPr="00883ED6">
        <w:t>MenC</w:t>
      </w:r>
      <w:proofErr w:type="spellEnd"/>
      <w:r w:rsidRPr="00883ED6">
        <w:t xml:space="preserve"> vaccine 1 x 5 </w:t>
      </w:r>
      <w:proofErr w:type="spellStart"/>
      <w:r w:rsidRPr="00883ED6">
        <w:t>μg</w:t>
      </w:r>
      <w:proofErr w:type="spellEnd"/>
      <w:r w:rsidRPr="00883ED6">
        <w:t xml:space="preserve"> </w:t>
      </w:r>
      <w:proofErr w:type="gramStart"/>
      <w:r w:rsidRPr="00883ED6">
        <w:t>dose</w:t>
      </w:r>
      <w:proofErr w:type="gramEnd"/>
      <w:r w:rsidRPr="00883ED6">
        <w:t xml:space="preserve">. </w:t>
      </w:r>
    </w:p>
    <w:p w:rsidR="00883ED6" w:rsidRPr="00883ED6" w:rsidRDefault="00883ED6" w:rsidP="00883ED6">
      <w:pPr>
        <w:pStyle w:val="ListParagraph"/>
        <w:widowControl/>
        <w:numPr>
          <w:ilvl w:val="1"/>
          <w:numId w:val="1"/>
        </w:numPr>
      </w:pPr>
      <w:r w:rsidRPr="00883ED6">
        <w:t>The PBAC further noted the ATAGI’s advice –</w:t>
      </w:r>
    </w:p>
    <w:p w:rsidR="00883ED6" w:rsidRPr="00883ED6" w:rsidRDefault="00883ED6" w:rsidP="00883ED6">
      <w:pPr>
        <w:pStyle w:val="ListParagraph"/>
        <w:widowControl/>
        <w:numPr>
          <w:ilvl w:val="1"/>
          <w:numId w:val="33"/>
        </w:numPr>
        <w:spacing w:after="0"/>
        <w:ind w:left="1417"/>
      </w:pPr>
      <w:r w:rsidRPr="00883ED6">
        <w:t xml:space="preserve">That the 12 month of age Hib vaccine would be displaced to 18 months of age; </w:t>
      </w:r>
    </w:p>
    <w:p w:rsidR="00883ED6" w:rsidRPr="00883ED6" w:rsidRDefault="00883ED6" w:rsidP="00883ED6">
      <w:pPr>
        <w:pStyle w:val="ListParagraph"/>
        <w:widowControl/>
        <w:numPr>
          <w:ilvl w:val="1"/>
          <w:numId w:val="33"/>
        </w:numPr>
        <w:spacing w:after="0"/>
        <w:ind w:left="1417"/>
      </w:pPr>
      <w:r w:rsidRPr="00883ED6">
        <w:t xml:space="preserve">That there is a need for educational activities to inform the public and health professionals of the change to the NIP schedule; and  </w:t>
      </w:r>
    </w:p>
    <w:p w:rsidR="00883ED6" w:rsidRPr="00883ED6" w:rsidRDefault="00883ED6" w:rsidP="00883ED6">
      <w:pPr>
        <w:pStyle w:val="ListParagraph"/>
        <w:widowControl/>
        <w:numPr>
          <w:ilvl w:val="1"/>
          <w:numId w:val="33"/>
        </w:numPr>
        <w:spacing w:after="120"/>
        <w:ind w:left="1417"/>
      </w:pPr>
      <w:r>
        <w:t>T</w:t>
      </w:r>
      <w:r w:rsidRPr="00883ED6">
        <w:t>hat post market studies and surveillance should be undertaken.</w:t>
      </w:r>
    </w:p>
    <w:p w:rsidR="00883ED6" w:rsidRPr="00883ED6" w:rsidRDefault="00883ED6" w:rsidP="00883ED6">
      <w:pPr>
        <w:pStyle w:val="ListParagraph"/>
        <w:widowControl/>
        <w:numPr>
          <w:ilvl w:val="1"/>
          <w:numId w:val="1"/>
        </w:numPr>
      </w:pPr>
      <w:r w:rsidRPr="00883ED6">
        <w:t>The PBAC advised the Minister that the financial implications of implementing this recommendation will be dependent on the availability of a monovalent Hib vaccine at a price commensurate with that of the Hib component of the Hib-</w:t>
      </w:r>
      <w:proofErr w:type="spellStart"/>
      <w:r w:rsidRPr="00883ED6">
        <w:t>MenC</w:t>
      </w:r>
      <w:proofErr w:type="spellEnd"/>
      <w:r w:rsidRPr="00883ED6">
        <w:t xml:space="preserve"> vaccine, together with any additional costs associated with adding an extra vaccination at 18 months, and the associated educational, post marketing and surveillance studies.  The PBAC noted the advice from the Office of Health Protection that work on securing a supply of monovalent Hib vaccine is well progressed.  </w:t>
      </w:r>
    </w:p>
    <w:p w:rsidR="00883ED6" w:rsidRPr="00883ED6" w:rsidRDefault="00883ED6" w:rsidP="00883ED6">
      <w:pPr>
        <w:pStyle w:val="ListParagraph"/>
        <w:widowControl/>
        <w:numPr>
          <w:ilvl w:val="1"/>
          <w:numId w:val="1"/>
        </w:numPr>
      </w:pPr>
      <w:r w:rsidRPr="00883ED6">
        <w:t>The PBAC noted that this submission is not eligible for independent review as independent review is only relevant to PBS listing.</w:t>
      </w:r>
    </w:p>
    <w:p w:rsidR="00883ED6" w:rsidRPr="005B0DED" w:rsidRDefault="00883ED6" w:rsidP="00883ED6">
      <w:pPr>
        <w:spacing w:before="240"/>
        <w:rPr>
          <w:rFonts w:asciiTheme="minorHAnsi" w:hAnsiTheme="minorHAnsi"/>
          <w:b/>
          <w:bCs/>
          <w:lang w:val="en-GB"/>
        </w:rPr>
      </w:pPr>
      <w:r w:rsidRPr="005B0DED">
        <w:rPr>
          <w:rFonts w:asciiTheme="minorHAnsi" w:hAnsiTheme="minorHAnsi"/>
          <w:b/>
          <w:bCs/>
          <w:lang w:val="en-GB"/>
        </w:rPr>
        <w:t>Outcome:</w:t>
      </w:r>
    </w:p>
    <w:p w:rsidR="0026706A" w:rsidRDefault="00883ED6" w:rsidP="009A5679">
      <w:r>
        <w:rPr>
          <w:rFonts w:asciiTheme="minorHAnsi" w:hAnsiTheme="minorHAnsi"/>
          <w:bCs/>
          <w:lang w:val="en-GB"/>
        </w:rPr>
        <w:t>Recommended</w:t>
      </w:r>
      <w:r w:rsidR="0026706A" w:rsidRPr="00CB1762">
        <w:t xml:space="preserve"> </w:t>
      </w:r>
    </w:p>
    <w:p w:rsidR="00ED4C5D" w:rsidRPr="00D13A3E" w:rsidRDefault="00ED4C5D" w:rsidP="009A5679"/>
    <w:p w:rsidR="00A17DDA" w:rsidRPr="00A17DDA" w:rsidRDefault="00A17DDA" w:rsidP="00ED4C5D">
      <w:pPr>
        <w:pStyle w:val="PBACHeading1"/>
        <w:spacing w:before="0" w:after="0"/>
        <w:rPr>
          <w:rFonts w:eastAsiaTheme="minorHAnsi"/>
          <w:snapToGrid/>
        </w:rPr>
      </w:pPr>
      <w:r w:rsidRPr="00A17DDA">
        <w:rPr>
          <w:rFonts w:eastAsiaTheme="minorHAnsi"/>
          <w:snapToGrid/>
        </w:rPr>
        <w:t>Context for Decision</w:t>
      </w:r>
    </w:p>
    <w:p w:rsidR="00A17DDA" w:rsidRDefault="00A17DDA" w:rsidP="00ED4C5D">
      <w:pPr>
        <w:widowControl/>
        <w:ind w:left="426"/>
        <w:rPr>
          <w:rFonts w:asciiTheme="minorHAnsi" w:eastAsiaTheme="minorHAnsi" w:hAnsiTheme="minorHAnsi"/>
          <w:snapToGrid/>
        </w:rPr>
      </w:pPr>
      <w:r w:rsidRPr="00A17DDA">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D4C5D" w:rsidRDefault="00ED4C5D" w:rsidP="00ED4C5D">
      <w:pPr>
        <w:widowControl/>
        <w:ind w:left="426"/>
        <w:rPr>
          <w:rFonts w:asciiTheme="minorHAnsi" w:eastAsiaTheme="minorHAnsi" w:hAnsiTheme="minorHAnsi"/>
          <w:snapToGrid/>
        </w:rPr>
      </w:pPr>
    </w:p>
    <w:p w:rsidR="00A17DDA" w:rsidRPr="00A17DDA" w:rsidRDefault="00A17DDA" w:rsidP="00ED4C5D">
      <w:pPr>
        <w:pStyle w:val="PBACHeading1"/>
        <w:spacing w:before="0" w:after="0"/>
        <w:rPr>
          <w:rFonts w:eastAsiaTheme="minorHAnsi"/>
          <w:snapToGrid/>
        </w:rPr>
      </w:pPr>
      <w:r w:rsidRPr="00A17DDA">
        <w:rPr>
          <w:rFonts w:eastAsiaTheme="minorHAnsi"/>
          <w:snapToGrid/>
        </w:rPr>
        <w:t>Sponsor’s Comment</w:t>
      </w:r>
    </w:p>
    <w:p w:rsidR="0026706A" w:rsidRPr="008131D1" w:rsidRDefault="008131D1" w:rsidP="00ED4C5D">
      <w:pPr>
        <w:widowControl/>
        <w:ind w:left="426"/>
        <w:rPr>
          <w:rFonts w:asciiTheme="minorHAnsi" w:eastAsiaTheme="minorHAnsi" w:hAnsiTheme="minorHAnsi"/>
          <w:snapToGrid/>
        </w:rPr>
      </w:pPr>
      <w:r w:rsidRPr="008131D1">
        <w:rPr>
          <w:rFonts w:asciiTheme="minorHAnsi" w:eastAsiaTheme="minorHAnsi" w:hAnsiTheme="minorHAnsi"/>
          <w:snapToGrid/>
        </w:rPr>
        <w:t xml:space="preserve">Pfizer Australia welcomes the PBAC recommendation to list </w:t>
      </w:r>
      <w:proofErr w:type="spellStart"/>
      <w:r w:rsidRPr="008131D1">
        <w:rPr>
          <w:rFonts w:asciiTheme="minorHAnsi" w:eastAsiaTheme="minorHAnsi" w:hAnsiTheme="minorHAnsi"/>
          <w:snapToGrid/>
        </w:rPr>
        <w:t>Nimenrix</w:t>
      </w:r>
      <w:proofErr w:type="spellEnd"/>
      <w:r w:rsidRPr="008131D1">
        <w:rPr>
          <w:rFonts w:asciiTheme="minorHAnsi" w:eastAsiaTheme="minorHAnsi" w:hAnsiTheme="minorHAnsi"/>
          <w:snapToGrid/>
        </w:rPr>
        <w:t xml:space="preserve"> on the NIP for infants. </w:t>
      </w:r>
      <w:proofErr w:type="spellStart"/>
      <w:r w:rsidRPr="008131D1">
        <w:rPr>
          <w:rFonts w:asciiTheme="minorHAnsi" w:eastAsiaTheme="minorHAnsi" w:hAnsiTheme="minorHAnsi"/>
          <w:snapToGrid/>
        </w:rPr>
        <w:t>Nimenrix</w:t>
      </w:r>
      <w:proofErr w:type="spellEnd"/>
      <w:r w:rsidRPr="008131D1">
        <w:rPr>
          <w:rFonts w:asciiTheme="minorHAnsi" w:eastAsiaTheme="minorHAnsi" w:hAnsiTheme="minorHAnsi"/>
          <w:snapToGrid/>
        </w:rPr>
        <w:t xml:space="preserve"> is a meningococcal polysaccharide conjugate vaccine (</w:t>
      </w:r>
      <w:proofErr w:type="spellStart"/>
      <w:r w:rsidRPr="008131D1">
        <w:rPr>
          <w:rFonts w:asciiTheme="minorHAnsi" w:eastAsiaTheme="minorHAnsi" w:hAnsiTheme="minorHAnsi"/>
          <w:snapToGrid/>
        </w:rPr>
        <w:t>MenACWY</w:t>
      </w:r>
      <w:proofErr w:type="spellEnd"/>
      <w:r w:rsidRPr="008131D1">
        <w:rPr>
          <w:rFonts w:asciiTheme="minorHAnsi" w:eastAsiaTheme="minorHAnsi" w:hAnsiTheme="minorHAnsi"/>
          <w:snapToGrid/>
        </w:rPr>
        <w:t xml:space="preserve">-TT) for the prevention of invasive meningococcal disease (IMD) caused by Neisseria </w:t>
      </w:r>
      <w:proofErr w:type="spellStart"/>
      <w:r w:rsidRPr="008131D1">
        <w:rPr>
          <w:rFonts w:asciiTheme="minorHAnsi" w:eastAsiaTheme="minorHAnsi" w:hAnsiTheme="minorHAnsi"/>
          <w:snapToGrid/>
        </w:rPr>
        <w:t>meningitidis</w:t>
      </w:r>
      <w:proofErr w:type="spellEnd"/>
      <w:r w:rsidRPr="008131D1">
        <w:rPr>
          <w:rFonts w:asciiTheme="minorHAnsi" w:eastAsiaTheme="minorHAnsi" w:hAnsiTheme="minorHAnsi"/>
          <w:snapToGrid/>
        </w:rPr>
        <w:t xml:space="preserve"> serogroups A, C, W135, and Y. Infants will receive protection against meningococcal serogroups W135, Y and A in addition to serogroup C from a single vaccine dose</w:t>
      </w:r>
      <w:r>
        <w:rPr>
          <w:rFonts w:asciiTheme="minorHAnsi" w:eastAsiaTheme="minorHAnsi" w:hAnsiTheme="minorHAnsi"/>
          <w:snapToGrid/>
        </w:rPr>
        <w:t>.</w:t>
      </w:r>
    </w:p>
    <w:sectPr w:rsidR="0026706A" w:rsidRPr="008131D1" w:rsidSect="00646CBD">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336" w:rsidRDefault="002D3336" w:rsidP="00124A51">
      <w:r>
        <w:separator/>
      </w:r>
    </w:p>
    <w:p w:rsidR="002D3336" w:rsidRDefault="002D3336"/>
  </w:endnote>
  <w:endnote w:type="continuationSeparator" w:id="0">
    <w:p w:rsidR="002D3336" w:rsidRDefault="002D3336" w:rsidP="00124A51">
      <w:r>
        <w:continuationSeparator/>
      </w:r>
    </w:p>
    <w:p w:rsidR="002D3336" w:rsidRDefault="002D3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26E" w:rsidRDefault="002B32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842062"/>
      <w:docPartObj>
        <w:docPartGallery w:val="Page Numbers (Bottom of Page)"/>
        <w:docPartUnique/>
      </w:docPartObj>
    </w:sdtPr>
    <w:sdtEndPr>
      <w:rPr>
        <w:noProof/>
      </w:rPr>
    </w:sdtEndPr>
    <w:sdtContent>
      <w:p w:rsidR="00057ED6" w:rsidRDefault="00057ED6">
        <w:pPr>
          <w:pStyle w:val="Footer"/>
          <w:jc w:val="center"/>
        </w:pPr>
        <w:r>
          <w:fldChar w:fldCharType="begin"/>
        </w:r>
        <w:r>
          <w:instrText xml:space="preserve"> PAGE   \* MERGEFORMAT </w:instrText>
        </w:r>
        <w:r>
          <w:fldChar w:fldCharType="separate"/>
        </w:r>
        <w:r w:rsidR="00ED4C5D">
          <w:rPr>
            <w:noProof/>
          </w:rPr>
          <w:t>1</w:t>
        </w:r>
        <w:r>
          <w:rPr>
            <w:noProof/>
          </w:rPr>
          <w:fldChar w:fldCharType="end"/>
        </w:r>
      </w:p>
    </w:sdtContent>
  </w:sdt>
  <w:p w:rsidR="00057ED6" w:rsidRPr="00701F62" w:rsidRDefault="00057ED6" w:rsidP="00015886">
    <w:pPr>
      <w:ind w:right="360"/>
      <w:jc w:val="center"/>
      <w:rPr>
        <w:b/>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26E" w:rsidRDefault="002B3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336" w:rsidRDefault="002D3336" w:rsidP="00124A51">
      <w:r>
        <w:separator/>
      </w:r>
    </w:p>
    <w:p w:rsidR="002D3336" w:rsidRDefault="002D3336"/>
  </w:footnote>
  <w:footnote w:type="continuationSeparator" w:id="0">
    <w:p w:rsidR="002D3336" w:rsidRDefault="002D3336" w:rsidP="00124A51">
      <w:r>
        <w:continuationSeparator/>
      </w:r>
    </w:p>
    <w:p w:rsidR="002D3336" w:rsidRDefault="002D3336"/>
  </w:footnote>
  <w:footnote w:id="1">
    <w:p w:rsidR="00057ED6" w:rsidRPr="002D3EC2" w:rsidRDefault="00057ED6">
      <w:pPr>
        <w:pStyle w:val="FootnoteText"/>
        <w:rPr>
          <w:sz w:val="18"/>
          <w:szCs w:val="18"/>
        </w:rPr>
      </w:pPr>
      <w:r w:rsidRPr="002D3EC2">
        <w:rPr>
          <w:rStyle w:val="FootnoteReference"/>
          <w:sz w:val="18"/>
          <w:szCs w:val="18"/>
        </w:rPr>
        <w:footnoteRef/>
      </w:r>
      <w:r w:rsidRPr="002D3EC2">
        <w:rPr>
          <w:sz w:val="18"/>
          <w:szCs w:val="18"/>
        </w:rPr>
        <w:t xml:space="preserve"> Viner et al (2012). Outcomes of invasive meningococcal serogroup B disease in children and adolescents (MOSAIC): a case-control study.</w:t>
      </w:r>
    </w:p>
  </w:footnote>
  <w:footnote w:id="2">
    <w:p w:rsidR="00057ED6" w:rsidRPr="002D3EC2" w:rsidRDefault="00057ED6">
      <w:pPr>
        <w:pStyle w:val="FootnoteText"/>
        <w:rPr>
          <w:sz w:val="18"/>
          <w:szCs w:val="18"/>
        </w:rPr>
      </w:pPr>
      <w:r w:rsidRPr="002D3EC2">
        <w:rPr>
          <w:rStyle w:val="FootnoteReference"/>
          <w:sz w:val="18"/>
          <w:szCs w:val="18"/>
        </w:rPr>
        <w:footnoteRef/>
      </w:r>
      <w:r w:rsidRPr="002D3EC2">
        <w:rPr>
          <w:sz w:val="18"/>
          <w:szCs w:val="18"/>
        </w:rPr>
        <w:t xml:space="preserve"> </w:t>
      </w:r>
      <w:proofErr w:type="spellStart"/>
      <w:r w:rsidRPr="002D3EC2">
        <w:rPr>
          <w:sz w:val="18"/>
          <w:szCs w:val="18"/>
        </w:rPr>
        <w:t>Granoff</w:t>
      </w:r>
      <w:proofErr w:type="spellEnd"/>
      <w:r w:rsidRPr="002D3EC2">
        <w:rPr>
          <w:sz w:val="18"/>
          <w:szCs w:val="18"/>
        </w:rPr>
        <w:t xml:space="preserve"> et al (2013). </w:t>
      </w:r>
      <w:proofErr w:type="spellStart"/>
      <w:r w:rsidRPr="002D3EC2">
        <w:rPr>
          <w:sz w:val="18"/>
          <w:szCs w:val="18"/>
        </w:rPr>
        <w:t>Ch</w:t>
      </w:r>
      <w:proofErr w:type="spellEnd"/>
      <w:r w:rsidRPr="002D3EC2">
        <w:rPr>
          <w:sz w:val="18"/>
          <w:szCs w:val="18"/>
        </w:rPr>
        <w:t xml:space="preserve"> 21 – Meningococcal vaccines. In: Vaccines (6</w:t>
      </w:r>
      <w:r w:rsidRPr="002D3EC2">
        <w:rPr>
          <w:sz w:val="18"/>
          <w:szCs w:val="18"/>
          <w:vertAlign w:val="superscript"/>
        </w:rPr>
        <w:t>th</w:t>
      </w:r>
      <w:r w:rsidRPr="002D3EC2">
        <w:rPr>
          <w:sz w:val="18"/>
          <w:szCs w:val="18"/>
        </w:rPr>
        <w:t xml:space="preserve"> Edition).</w:t>
      </w:r>
    </w:p>
    <w:p w:rsidR="00057ED6" w:rsidRPr="002D3EC2" w:rsidRDefault="00057ED6">
      <w:pPr>
        <w:pStyle w:val="FootnoteText"/>
        <w:rPr>
          <w:sz w:val="18"/>
          <w:szCs w:val="18"/>
        </w:rPr>
      </w:pPr>
      <w:proofErr w:type="spellStart"/>
      <w:r w:rsidRPr="002D3EC2">
        <w:rPr>
          <w:sz w:val="18"/>
          <w:szCs w:val="18"/>
        </w:rPr>
        <w:t>Stoof</w:t>
      </w:r>
      <w:proofErr w:type="spellEnd"/>
      <w:r w:rsidRPr="002D3EC2">
        <w:rPr>
          <w:sz w:val="18"/>
          <w:szCs w:val="18"/>
        </w:rPr>
        <w:t xml:space="preserve"> et al (2015). Disease burden of invasive meningococcal disease in the Netherlands between June 1999 and June 2011: A subjective role for serogroup and clonal complex.</w:t>
      </w:r>
    </w:p>
    <w:p w:rsidR="00057ED6" w:rsidRDefault="00057ED6">
      <w:pPr>
        <w:pStyle w:val="FootnoteText"/>
      </w:pPr>
      <w:proofErr w:type="spellStart"/>
      <w:r w:rsidRPr="002D3EC2">
        <w:rPr>
          <w:sz w:val="18"/>
          <w:szCs w:val="18"/>
        </w:rPr>
        <w:t>Vyse</w:t>
      </w:r>
      <w:proofErr w:type="spellEnd"/>
      <w:r w:rsidRPr="002D3EC2">
        <w:rPr>
          <w:sz w:val="18"/>
          <w:szCs w:val="18"/>
        </w:rPr>
        <w:t xml:space="preserve"> et al (2013). </w:t>
      </w:r>
      <w:proofErr w:type="gramStart"/>
      <w:r w:rsidRPr="002D3EC2">
        <w:rPr>
          <w:sz w:val="18"/>
          <w:szCs w:val="18"/>
        </w:rPr>
        <w:t>The burden and impact of severe and long-term sequelae of meningococcal disease.</w:t>
      </w:r>
      <w:proofErr w:type="gramEnd"/>
    </w:p>
  </w:footnote>
  <w:footnote w:id="3">
    <w:p w:rsidR="00057ED6" w:rsidRPr="007763E6" w:rsidRDefault="00057ED6" w:rsidP="003F6F34">
      <w:pPr>
        <w:pStyle w:val="FootnoteText"/>
        <w:jc w:val="left"/>
        <w:rPr>
          <w:sz w:val="18"/>
          <w:szCs w:val="18"/>
        </w:rPr>
      </w:pPr>
      <w:r w:rsidRPr="007763E6">
        <w:rPr>
          <w:rStyle w:val="FootnoteReference"/>
          <w:sz w:val="18"/>
          <w:szCs w:val="18"/>
        </w:rPr>
        <w:footnoteRef/>
      </w:r>
      <w:r w:rsidRPr="007763E6">
        <w:rPr>
          <w:sz w:val="18"/>
          <w:szCs w:val="18"/>
        </w:rPr>
        <w:t xml:space="preserve"> Australian Government Department of Health (2016) Summary of National Surveillance Data on Vaccine Preventable Diseases in Australia, 2008–2011, Communicable Diseases Intelligence, Volume 40</w:t>
      </w:r>
    </w:p>
  </w:footnote>
  <w:footnote w:id="4">
    <w:p w:rsidR="00057ED6" w:rsidRPr="007763E6" w:rsidRDefault="00057ED6" w:rsidP="009830FA">
      <w:pPr>
        <w:pStyle w:val="FootnoteText"/>
        <w:jc w:val="left"/>
        <w:rPr>
          <w:sz w:val="18"/>
          <w:szCs w:val="18"/>
        </w:rPr>
      </w:pPr>
      <w:r w:rsidRPr="007763E6">
        <w:rPr>
          <w:rStyle w:val="FootnoteReference"/>
          <w:sz w:val="18"/>
          <w:szCs w:val="18"/>
        </w:rPr>
        <w:footnoteRef/>
      </w:r>
      <w:r w:rsidRPr="007763E6">
        <w:rPr>
          <w:sz w:val="18"/>
          <w:szCs w:val="18"/>
        </w:rPr>
        <w:t xml:space="preserve"> Assuming around 38% were </w:t>
      </w:r>
      <w:proofErr w:type="spellStart"/>
      <w:r w:rsidRPr="007763E6">
        <w:rPr>
          <w:sz w:val="18"/>
          <w:szCs w:val="18"/>
        </w:rPr>
        <w:t>MenB</w:t>
      </w:r>
      <w:proofErr w:type="spellEnd"/>
      <w:r w:rsidRPr="007763E6">
        <w:rPr>
          <w:sz w:val="18"/>
          <w:szCs w:val="18"/>
        </w:rPr>
        <w:t xml:space="preserve">, 4% were </w:t>
      </w:r>
      <w:proofErr w:type="spellStart"/>
      <w:r w:rsidRPr="007763E6">
        <w:rPr>
          <w:sz w:val="18"/>
          <w:szCs w:val="18"/>
        </w:rPr>
        <w:t>MenC</w:t>
      </w:r>
      <w:proofErr w:type="spellEnd"/>
      <w:r w:rsidRPr="007763E6">
        <w:rPr>
          <w:sz w:val="18"/>
          <w:szCs w:val="18"/>
        </w:rPr>
        <w:t xml:space="preserve">, 30% were </w:t>
      </w:r>
      <w:proofErr w:type="spellStart"/>
      <w:r w:rsidRPr="007763E6">
        <w:rPr>
          <w:sz w:val="18"/>
          <w:szCs w:val="18"/>
        </w:rPr>
        <w:t>MenW</w:t>
      </w:r>
      <w:proofErr w:type="spellEnd"/>
      <w:r w:rsidRPr="007763E6">
        <w:rPr>
          <w:sz w:val="18"/>
          <w:szCs w:val="18"/>
        </w:rPr>
        <w:t xml:space="preserve">, 19% were </w:t>
      </w:r>
      <w:proofErr w:type="spellStart"/>
      <w:r w:rsidRPr="007763E6">
        <w:rPr>
          <w:sz w:val="18"/>
          <w:szCs w:val="18"/>
        </w:rPr>
        <w:t>MenY</w:t>
      </w:r>
      <w:proofErr w:type="spellEnd"/>
      <w:r w:rsidRPr="007763E6">
        <w:rPr>
          <w:sz w:val="18"/>
          <w:szCs w:val="18"/>
        </w:rPr>
        <w:t xml:space="preserve">, and 8% were other or unknown strains, and 22% of cases were aged less than five years old in 2017. Sources: Australian Government Department of Health (2017) Notifications of a selected disease by age group, sex and year, Available: </w:t>
      </w:r>
      <w:hyperlink r:id="rId1" w:history="1">
        <w:r w:rsidRPr="007763E6">
          <w:rPr>
            <w:rStyle w:val="Hyperlink"/>
            <w:sz w:val="18"/>
            <w:szCs w:val="18"/>
          </w:rPr>
          <w:t xml:space="preserve">http://www9.health.gov.au/cda/source/rpt_5_sel.cfm. </w:t>
        </w:r>
        <w:proofErr w:type="gramStart"/>
        <w:r w:rsidRPr="007763E6">
          <w:rPr>
            <w:rStyle w:val="Hyperlink"/>
            <w:sz w:val="18"/>
            <w:szCs w:val="18"/>
          </w:rPr>
          <w:t>Accessed 16 November 2017</w:t>
        </w:r>
      </w:hyperlink>
      <w:r w:rsidRPr="007763E6">
        <w:rPr>
          <w:sz w:val="18"/>
          <w:szCs w:val="18"/>
        </w:rPr>
        <w:t>.</w:t>
      </w:r>
      <w:proofErr w:type="gramEnd"/>
    </w:p>
    <w:p w:rsidR="00057ED6" w:rsidRPr="00C00A4F" w:rsidRDefault="00057ED6" w:rsidP="009830FA">
      <w:pPr>
        <w:pStyle w:val="FootnoteText"/>
        <w:jc w:val="left"/>
        <w:rPr>
          <w:sz w:val="18"/>
          <w:szCs w:val="18"/>
        </w:rPr>
      </w:pPr>
      <w:proofErr w:type="gramStart"/>
      <w:r w:rsidRPr="007763E6">
        <w:rPr>
          <w:sz w:val="18"/>
          <w:szCs w:val="18"/>
        </w:rPr>
        <w:t>Australian Government Department of Health (14 August 2017) Invasive Meningococcal disease national surveillance report.</w:t>
      </w:r>
      <w:proofErr w:type="gramEnd"/>
    </w:p>
  </w:footnote>
  <w:footnote w:id="5">
    <w:p w:rsidR="00057ED6" w:rsidRPr="007763E6" w:rsidRDefault="00057ED6" w:rsidP="00FC3536">
      <w:pPr>
        <w:pStyle w:val="FootnoteText"/>
        <w:rPr>
          <w:sz w:val="18"/>
          <w:szCs w:val="18"/>
        </w:rPr>
      </w:pPr>
      <w:r w:rsidRPr="007763E6">
        <w:rPr>
          <w:rStyle w:val="FootnoteReference"/>
          <w:sz w:val="18"/>
          <w:szCs w:val="18"/>
        </w:rPr>
        <w:footnoteRef/>
      </w:r>
      <w:r w:rsidRPr="007763E6">
        <w:rPr>
          <w:sz w:val="18"/>
          <w:szCs w:val="18"/>
        </w:rPr>
        <w:t xml:space="preserve"> PBAC (</w:t>
      </w:r>
      <w:r w:rsidRPr="007763E6">
        <w:rPr>
          <w:i/>
          <w:sz w:val="18"/>
          <w:szCs w:val="18"/>
        </w:rPr>
        <w:t xml:space="preserve">November 2010) Public summary document: Multicomponent Meningococcal Group B Vaccine, 0.5mL, injection, prefilled syringe, </w:t>
      </w:r>
      <w:proofErr w:type="spellStart"/>
      <w:r w:rsidRPr="007763E6">
        <w:rPr>
          <w:i/>
          <w:sz w:val="18"/>
          <w:szCs w:val="18"/>
        </w:rPr>
        <w:t>Bexsero</w:t>
      </w:r>
      <w:proofErr w:type="spellEnd"/>
      <w:r w:rsidRPr="007763E6">
        <w:rPr>
          <w:i/>
          <w:sz w:val="18"/>
          <w:szCs w:val="18"/>
        </w:rPr>
        <w:t>.</w:t>
      </w:r>
    </w:p>
  </w:footnote>
  <w:footnote w:id="6">
    <w:p w:rsidR="00057ED6" w:rsidRPr="007763E6" w:rsidRDefault="00057ED6" w:rsidP="00E47BFC">
      <w:pPr>
        <w:pStyle w:val="FootnoteText"/>
        <w:rPr>
          <w:sz w:val="18"/>
          <w:szCs w:val="18"/>
        </w:rPr>
      </w:pPr>
      <w:r w:rsidRPr="007763E6">
        <w:rPr>
          <w:rStyle w:val="FootnoteReference"/>
          <w:sz w:val="18"/>
          <w:szCs w:val="18"/>
        </w:rPr>
        <w:footnoteRef/>
      </w:r>
      <w:r w:rsidRPr="007763E6">
        <w:rPr>
          <w:sz w:val="18"/>
          <w:szCs w:val="18"/>
        </w:rPr>
        <w:t xml:space="preserve"> PBAC (</w:t>
      </w:r>
      <w:r w:rsidRPr="007763E6">
        <w:rPr>
          <w:i/>
          <w:sz w:val="18"/>
          <w:szCs w:val="18"/>
        </w:rPr>
        <w:t xml:space="preserve">November 2010) Public summary document: Haemophilus </w:t>
      </w:r>
      <w:proofErr w:type="spellStart"/>
      <w:r w:rsidRPr="007763E6">
        <w:rPr>
          <w:i/>
          <w:sz w:val="18"/>
          <w:szCs w:val="18"/>
        </w:rPr>
        <w:t>influenzae</w:t>
      </w:r>
      <w:proofErr w:type="spellEnd"/>
      <w:r w:rsidRPr="007763E6">
        <w:rPr>
          <w:i/>
          <w:sz w:val="18"/>
          <w:szCs w:val="18"/>
        </w:rPr>
        <w:t xml:space="preserve"> type b and group c meningococcal polysaccharide conjugate vaccine, lyophilised powder for injection, 1 vial with 0.5 mL pre-filled syringe diluent, 10 vials with 10 0.5 mL pre-filled syringe diluent, </w:t>
      </w:r>
      <w:proofErr w:type="spellStart"/>
      <w:r w:rsidRPr="007763E6">
        <w:rPr>
          <w:i/>
          <w:sz w:val="18"/>
          <w:szCs w:val="18"/>
        </w:rPr>
        <w:t>Menitorix</w:t>
      </w:r>
      <w:proofErr w:type="spellEnd"/>
      <w:r w:rsidRPr="007763E6">
        <w:rPr>
          <w:i/>
          <w:sz w:val="18"/>
          <w:szCs w:val="18"/>
        </w:rPr>
        <w:t>.</w:t>
      </w:r>
    </w:p>
  </w:footnote>
  <w:footnote w:id="7">
    <w:p w:rsidR="00057ED6" w:rsidRPr="007763E6" w:rsidRDefault="00057ED6" w:rsidP="00E47BFC">
      <w:pPr>
        <w:pStyle w:val="FootnoteText"/>
        <w:rPr>
          <w:i/>
          <w:sz w:val="18"/>
          <w:szCs w:val="18"/>
        </w:rPr>
      </w:pPr>
      <w:r w:rsidRPr="007763E6">
        <w:rPr>
          <w:rStyle w:val="FootnoteReference"/>
          <w:i/>
          <w:sz w:val="18"/>
          <w:szCs w:val="18"/>
        </w:rPr>
        <w:footnoteRef/>
      </w:r>
      <w:r w:rsidRPr="007763E6">
        <w:rPr>
          <w:i/>
          <w:sz w:val="18"/>
          <w:szCs w:val="18"/>
        </w:rPr>
        <w:t xml:space="preserve"> </w:t>
      </w:r>
      <w:proofErr w:type="spellStart"/>
      <w:r w:rsidRPr="007763E6">
        <w:rPr>
          <w:i/>
          <w:sz w:val="18"/>
          <w:szCs w:val="18"/>
        </w:rPr>
        <w:t>Goldschneider</w:t>
      </w:r>
      <w:proofErr w:type="spellEnd"/>
      <w:r w:rsidRPr="007763E6">
        <w:rPr>
          <w:i/>
          <w:sz w:val="18"/>
          <w:szCs w:val="18"/>
        </w:rPr>
        <w:t xml:space="preserve"> I, </w:t>
      </w:r>
      <w:proofErr w:type="spellStart"/>
      <w:r w:rsidRPr="007763E6">
        <w:rPr>
          <w:i/>
          <w:sz w:val="18"/>
          <w:szCs w:val="18"/>
        </w:rPr>
        <w:t>Gotschlich</w:t>
      </w:r>
      <w:proofErr w:type="spellEnd"/>
      <w:r w:rsidRPr="007763E6">
        <w:rPr>
          <w:i/>
          <w:sz w:val="18"/>
          <w:szCs w:val="18"/>
        </w:rPr>
        <w:t xml:space="preserve"> EC, </w:t>
      </w:r>
      <w:proofErr w:type="spellStart"/>
      <w:r w:rsidRPr="007763E6">
        <w:rPr>
          <w:i/>
          <w:sz w:val="18"/>
          <w:szCs w:val="18"/>
        </w:rPr>
        <w:t>Artenstein</w:t>
      </w:r>
      <w:proofErr w:type="spellEnd"/>
      <w:r w:rsidRPr="007763E6">
        <w:rPr>
          <w:i/>
          <w:sz w:val="18"/>
          <w:szCs w:val="18"/>
        </w:rPr>
        <w:t xml:space="preserve"> MS. Human immunity to the meningococcus. I. The role of humoral antibodies. Journal of Experimental Medicine, 1969, 129:1307–1326.</w:t>
      </w:r>
    </w:p>
  </w:footnote>
  <w:footnote w:id="8">
    <w:p w:rsidR="00057ED6" w:rsidRPr="007763E6" w:rsidRDefault="00057ED6" w:rsidP="00E47BFC">
      <w:pPr>
        <w:pStyle w:val="FootnoteText"/>
        <w:rPr>
          <w:sz w:val="18"/>
          <w:szCs w:val="18"/>
        </w:rPr>
      </w:pPr>
      <w:r w:rsidRPr="007763E6">
        <w:rPr>
          <w:rStyle w:val="FootnoteReference"/>
          <w:i/>
          <w:sz w:val="18"/>
          <w:szCs w:val="18"/>
        </w:rPr>
        <w:footnoteRef/>
      </w:r>
      <w:r w:rsidRPr="007763E6">
        <w:rPr>
          <w:i/>
          <w:sz w:val="18"/>
          <w:szCs w:val="18"/>
        </w:rPr>
        <w:t xml:space="preserve"> </w:t>
      </w:r>
      <w:proofErr w:type="spellStart"/>
      <w:r w:rsidRPr="007763E6">
        <w:rPr>
          <w:i/>
          <w:sz w:val="18"/>
          <w:szCs w:val="18"/>
        </w:rPr>
        <w:t>Goldschneider</w:t>
      </w:r>
      <w:proofErr w:type="spellEnd"/>
      <w:r w:rsidRPr="007763E6">
        <w:rPr>
          <w:i/>
          <w:sz w:val="18"/>
          <w:szCs w:val="18"/>
        </w:rPr>
        <w:t xml:space="preserve"> I, </w:t>
      </w:r>
      <w:proofErr w:type="spellStart"/>
      <w:r w:rsidRPr="007763E6">
        <w:rPr>
          <w:i/>
          <w:sz w:val="18"/>
          <w:szCs w:val="18"/>
        </w:rPr>
        <w:t>Gotschlich</w:t>
      </w:r>
      <w:proofErr w:type="spellEnd"/>
      <w:r w:rsidRPr="007763E6">
        <w:rPr>
          <w:i/>
          <w:sz w:val="18"/>
          <w:szCs w:val="18"/>
        </w:rPr>
        <w:t xml:space="preserve"> EC, </w:t>
      </w:r>
      <w:proofErr w:type="spellStart"/>
      <w:r w:rsidRPr="007763E6">
        <w:rPr>
          <w:i/>
          <w:sz w:val="18"/>
          <w:szCs w:val="18"/>
        </w:rPr>
        <w:t>Artenstein</w:t>
      </w:r>
      <w:proofErr w:type="spellEnd"/>
      <w:r w:rsidRPr="007763E6">
        <w:rPr>
          <w:i/>
          <w:sz w:val="18"/>
          <w:szCs w:val="18"/>
        </w:rPr>
        <w:t xml:space="preserve"> MS. Human immunity to the meningococcus. II. Development of natural immunity. Journal of Experimental Medicine, 1969, 129:1327–1348.</w:t>
      </w:r>
    </w:p>
  </w:footnote>
  <w:footnote w:id="9">
    <w:p w:rsidR="00057ED6" w:rsidRDefault="00057ED6" w:rsidP="003D7466">
      <w:pPr>
        <w:pStyle w:val="FootnoteText"/>
      </w:pPr>
      <w:r w:rsidRPr="007763E6">
        <w:rPr>
          <w:rStyle w:val="FootnoteReference"/>
          <w:sz w:val="18"/>
          <w:szCs w:val="18"/>
        </w:rPr>
        <w:footnoteRef/>
      </w:r>
      <w:r w:rsidRPr="007763E6">
        <w:rPr>
          <w:sz w:val="18"/>
          <w:szCs w:val="18"/>
        </w:rPr>
        <w:t xml:space="preserve"> PBAC (</w:t>
      </w:r>
      <w:r w:rsidRPr="007763E6">
        <w:rPr>
          <w:i/>
          <w:sz w:val="18"/>
          <w:szCs w:val="18"/>
        </w:rPr>
        <w:t xml:space="preserve">November 2013) Public summary document: multicomponent meningococcal group B vaccine, 0.5mL, injection, prefilled syringe, </w:t>
      </w:r>
      <w:proofErr w:type="spellStart"/>
      <w:r w:rsidRPr="007763E6">
        <w:rPr>
          <w:i/>
          <w:sz w:val="18"/>
          <w:szCs w:val="18"/>
        </w:rPr>
        <w:t>Bexsero</w:t>
      </w:r>
      <w:proofErr w:type="spellEnd"/>
      <w:r w:rsidRPr="007763E6">
        <w:rPr>
          <w:i/>
          <w:sz w:val="18"/>
          <w:szCs w:val="18"/>
        </w:rPr>
        <w:t>.</w:t>
      </w:r>
    </w:p>
  </w:footnote>
  <w:footnote w:id="10">
    <w:p w:rsidR="00057ED6" w:rsidRPr="007763E6" w:rsidRDefault="00057ED6" w:rsidP="00C96F31">
      <w:pPr>
        <w:pStyle w:val="FootnoteText"/>
        <w:rPr>
          <w:sz w:val="18"/>
          <w:szCs w:val="18"/>
        </w:rPr>
      </w:pPr>
      <w:r w:rsidRPr="007763E6">
        <w:rPr>
          <w:rStyle w:val="FootnoteReference"/>
          <w:sz w:val="18"/>
          <w:szCs w:val="18"/>
        </w:rPr>
        <w:footnoteRef/>
      </w:r>
      <w:r w:rsidRPr="007763E6">
        <w:rPr>
          <w:sz w:val="18"/>
          <w:szCs w:val="18"/>
        </w:rPr>
        <w:t xml:space="preserve"> PBAC (November 2010) Public summary document: Haemophilus </w:t>
      </w:r>
      <w:proofErr w:type="spellStart"/>
      <w:r w:rsidRPr="007763E6">
        <w:rPr>
          <w:sz w:val="18"/>
          <w:szCs w:val="18"/>
        </w:rPr>
        <w:t>influenzae</w:t>
      </w:r>
      <w:proofErr w:type="spellEnd"/>
      <w:r w:rsidRPr="007763E6">
        <w:rPr>
          <w:sz w:val="18"/>
          <w:szCs w:val="18"/>
        </w:rPr>
        <w:t xml:space="preserve"> type b and group C meningococcal polysaccharide conjugate vaccine, commentary on the major submission.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26E" w:rsidRDefault="002B32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D6" w:rsidRPr="00701F62" w:rsidRDefault="00952FA3" w:rsidP="00163253">
    <w:pPr>
      <w:pStyle w:val="Header"/>
      <w:ind w:left="360"/>
      <w:jc w:val="center"/>
      <w:rPr>
        <w:rFonts w:asciiTheme="minorHAnsi" w:hAnsiTheme="minorHAnsi"/>
        <w:i/>
        <w:color w:val="808080"/>
        <w:sz w:val="22"/>
      </w:rPr>
    </w:pPr>
    <w:r>
      <w:rPr>
        <w:rFonts w:asciiTheme="minorHAnsi" w:hAnsiTheme="minorHAnsi"/>
        <w:i/>
        <w:color w:val="808080"/>
        <w:sz w:val="22"/>
      </w:rPr>
      <w:t>Public Summary Document</w:t>
    </w:r>
    <w:r w:rsidR="00057ED6" w:rsidRPr="006C284F">
      <w:rPr>
        <w:rFonts w:asciiTheme="minorHAnsi" w:hAnsiTheme="minorHAnsi"/>
        <w:i/>
        <w:color w:val="808080"/>
        <w:sz w:val="22"/>
      </w:rPr>
      <w:t xml:space="preserve"> –</w:t>
    </w:r>
    <w:r>
      <w:rPr>
        <w:rFonts w:asciiTheme="minorHAnsi" w:hAnsiTheme="minorHAnsi"/>
        <w:i/>
        <w:color w:val="808080"/>
        <w:sz w:val="22"/>
      </w:rPr>
      <w:t>March</w:t>
    </w:r>
    <w:r w:rsidR="00057ED6" w:rsidRPr="006C284F">
      <w:rPr>
        <w:rFonts w:asciiTheme="minorHAnsi" w:hAnsiTheme="minorHAnsi"/>
        <w:i/>
        <w:color w:val="808080"/>
        <w:sz w:val="22"/>
      </w:rPr>
      <w:t xml:space="preserve"> 2018 PBAC Meeting</w:t>
    </w:r>
  </w:p>
  <w:p w:rsidR="00057ED6" w:rsidRPr="008C7ECB" w:rsidRDefault="00057E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26E" w:rsidRDefault="002B32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048"/>
    <w:multiLevelType w:val="hybridMultilevel"/>
    <w:tmpl w:val="2180AB90"/>
    <w:lvl w:ilvl="0" w:tplc="0C090001">
      <w:start w:val="1"/>
      <w:numFmt w:val="bullet"/>
      <w:lvlText w:val=""/>
      <w:lvlJc w:val="left"/>
      <w:pPr>
        <w:ind w:left="720" w:hanging="360"/>
      </w:pPr>
      <w:rPr>
        <w:rFonts w:ascii="Symbol" w:hAnsi="Symbol" w:hint="default"/>
      </w:rPr>
    </w:lvl>
    <w:lvl w:ilvl="1" w:tplc="1E365482">
      <w:start w:val="10"/>
      <w:numFmt w:val="bullet"/>
      <w:lvlText w:val="–"/>
      <w:lvlJc w:val="left"/>
      <w:pPr>
        <w:ind w:left="1440" w:hanging="360"/>
      </w:pPr>
      <w:rPr>
        <w:rFonts w:ascii="Arial Narrow" w:eastAsia="Times New Roman" w:hAnsi="Arial Narrow"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F452AF"/>
    <w:multiLevelType w:val="multilevel"/>
    <w:tmpl w:val="97B0CEB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8A12767"/>
    <w:multiLevelType w:val="hybridMultilevel"/>
    <w:tmpl w:val="6792C3E4"/>
    <w:lvl w:ilvl="0" w:tplc="04090001">
      <w:start w:val="1"/>
      <w:numFmt w:val="bullet"/>
      <w:lvlText w:val=""/>
      <w:lvlJc w:val="left"/>
      <w:pPr>
        <w:ind w:left="720" w:hanging="360"/>
      </w:pPr>
      <w:rPr>
        <w:rFonts w:ascii="Symbol" w:hAnsi="Symbol" w:hint="default"/>
      </w:rPr>
    </w:lvl>
    <w:lvl w:ilvl="1" w:tplc="12C438E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233B3"/>
    <w:multiLevelType w:val="hybridMultilevel"/>
    <w:tmpl w:val="168A0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565299"/>
    <w:multiLevelType w:val="hybridMultilevel"/>
    <w:tmpl w:val="DA42B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5741FA"/>
    <w:multiLevelType w:val="hybridMultilevel"/>
    <w:tmpl w:val="C7A47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4C48E5"/>
    <w:multiLevelType w:val="hybridMultilevel"/>
    <w:tmpl w:val="65C00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383609"/>
    <w:multiLevelType w:val="hybridMultilevel"/>
    <w:tmpl w:val="D7E05ED4"/>
    <w:lvl w:ilvl="0" w:tplc="A6D6EF40">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1FB33FC8"/>
    <w:multiLevelType w:val="hybridMultilevel"/>
    <w:tmpl w:val="24C4CD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244B7CBD"/>
    <w:multiLevelType w:val="hybridMultilevel"/>
    <w:tmpl w:val="46D60D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796C89"/>
    <w:multiLevelType w:val="hybridMultilevel"/>
    <w:tmpl w:val="47EEF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B12BAC"/>
    <w:multiLevelType w:val="hybridMultilevel"/>
    <w:tmpl w:val="1D5A5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B42439"/>
    <w:multiLevelType w:val="hybridMultilevel"/>
    <w:tmpl w:val="B72CBD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B77153F"/>
    <w:multiLevelType w:val="hybridMultilevel"/>
    <w:tmpl w:val="77B6F5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3E7E3705"/>
    <w:multiLevelType w:val="hybridMultilevel"/>
    <w:tmpl w:val="ED404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361422"/>
    <w:multiLevelType w:val="hybridMultilevel"/>
    <w:tmpl w:val="8732FB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442297"/>
    <w:multiLevelType w:val="hybridMultilevel"/>
    <w:tmpl w:val="8FE843EE"/>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81BA653C">
      <w:numFmt w:val="bullet"/>
      <w:lvlText w:val="•"/>
      <w:lvlJc w:val="left"/>
      <w:pPr>
        <w:ind w:left="2520" w:hanging="72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060663"/>
    <w:multiLevelType w:val="hybridMultilevel"/>
    <w:tmpl w:val="27869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84B2E7E"/>
    <w:multiLevelType w:val="multilevel"/>
    <w:tmpl w:val="B2C812D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C6D0573"/>
    <w:multiLevelType w:val="hybridMultilevel"/>
    <w:tmpl w:val="7B8083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5F6627E0"/>
    <w:multiLevelType w:val="hybridMultilevel"/>
    <w:tmpl w:val="DB1C6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B450A3"/>
    <w:multiLevelType w:val="hybridMultilevel"/>
    <w:tmpl w:val="3D985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73407C8"/>
    <w:multiLevelType w:val="hybridMultilevel"/>
    <w:tmpl w:val="E5DCA876"/>
    <w:lvl w:ilvl="0" w:tplc="382EB15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84D033C"/>
    <w:multiLevelType w:val="multilevel"/>
    <w:tmpl w:val="E7AC5A6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hint="default"/>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DCF3ADA"/>
    <w:multiLevelType w:val="hybridMultilevel"/>
    <w:tmpl w:val="5F14106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8">
    <w:nsid w:val="7DD4066E"/>
    <w:multiLevelType w:val="multilevel"/>
    <w:tmpl w:val="AA089CB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7"/>
  </w:num>
  <w:num w:numId="3">
    <w:abstractNumId w:val="5"/>
  </w:num>
  <w:num w:numId="4">
    <w:abstractNumId w:val="19"/>
  </w:num>
  <w:num w:numId="5">
    <w:abstractNumId w:val="9"/>
  </w:num>
  <w:num w:numId="6">
    <w:abstractNumId w:val="4"/>
  </w:num>
  <w:num w:numId="7">
    <w:abstractNumId w:val="0"/>
  </w:num>
  <w:num w:numId="8">
    <w:abstractNumId w:val="23"/>
  </w:num>
  <w:num w:numId="9">
    <w:abstractNumId w:val="2"/>
  </w:num>
  <w:num w:numId="10">
    <w:abstractNumId w:val="24"/>
  </w:num>
  <w:num w:numId="11">
    <w:abstractNumId w:val="14"/>
  </w:num>
  <w:num w:numId="12">
    <w:abstractNumId w:val="16"/>
  </w:num>
  <w:num w:numId="13">
    <w:abstractNumId w:val="8"/>
  </w:num>
  <w:num w:numId="14">
    <w:abstractNumId w:val="18"/>
  </w:num>
  <w:num w:numId="15">
    <w:abstractNumId w:val="12"/>
  </w:num>
  <w:num w:numId="16">
    <w:abstractNumId w:val="10"/>
  </w:num>
  <w:num w:numId="17">
    <w:abstractNumId w:val="27"/>
  </w:num>
  <w:num w:numId="18">
    <w:abstractNumId w:val="15"/>
  </w:num>
  <w:num w:numId="19">
    <w:abstractNumId w:val="3"/>
  </w:num>
  <w:num w:numId="20">
    <w:abstractNumId w:val="7"/>
  </w:num>
  <w:num w:numId="21">
    <w:abstractNumId w:val="1"/>
  </w:num>
  <w:num w:numId="22">
    <w:abstractNumId w:val="17"/>
  </w:num>
  <w:num w:numId="23">
    <w:abstractNumId w:val="17"/>
  </w:num>
  <w:num w:numId="24">
    <w:abstractNumId w:val="13"/>
  </w:num>
  <w:num w:numId="25">
    <w:abstractNumId w:val="6"/>
  </w:num>
  <w:num w:numId="26">
    <w:abstractNumId w:val="11"/>
  </w:num>
  <w:num w:numId="27">
    <w:abstractNumId w:val="26"/>
  </w:num>
  <w:num w:numId="28">
    <w:abstractNumId w:val="20"/>
  </w:num>
  <w:num w:numId="29">
    <w:abstractNumId w:val="21"/>
  </w:num>
  <w:num w:numId="30">
    <w:abstractNumId w:val="25"/>
  </w:num>
  <w:num w:numId="31">
    <w:abstractNumId w:val="26"/>
  </w:num>
  <w:num w:numId="32">
    <w:abstractNumId w:val="22"/>
  </w:num>
  <w:num w:numId="33">
    <w:abstractNumId w:val="28"/>
  </w:num>
  <w:num w:numId="34">
    <w:abstractNumId w:val="26"/>
  </w:num>
  <w:num w:numId="35">
    <w:abstractNumId w:val="26"/>
  </w:num>
  <w:num w:numId="36">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2CD2"/>
    <w:rsid w:val="00003499"/>
    <w:rsid w:val="000039B7"/>
    <w:rsid w:val="000073AC"/>
    <w:rsid w:val="000119D9"/>
    <w:rsid w:val="00013247"/>
    <w:rsid w:val="00015886"/>
    <w:rsid w:val="000162EF"/>
    <w:rsid w:val="0002225F"/>
    <w:rsid w:val="00023763"/>
    <w:rsid w:val="00033863"/>
    <w:rsid w:val="00035DC0"/>
    <w:rsid w:val="00036829"/>
    <w:rsid w:val="00040895"/>
    <w:rsid w:val="00043C37"/>
    <w:rsid w:val="00045017"/>
    <w:rsid w:val="00045A2B"/>
    <w:rsid w:val="0004698F"/>
    <w:rsid w:val="000522F8"/>
    <w:rsid w:val="000539D0"/>
    <w:rsid w:val="00054621"/>
    <w:rsid w:val="0005465B"/>
    <w:rsid w:val="000546D7"/>
    <w:rsid w:val="00057ED6"/>
    <w:rsid w:val="00062E0E"/>
    <w:rsid w:val="00066360"/>
    <w:rsid w:val="00070DDA"/>
    <w:rsid w:val="00071248"/>
    <w:rsid w:val="000720B9"/>
    <w:rsid w:val="000737F7"/>
    <w:rsid w:val="00073FBB"/>
    <w:rsid w:val="0007532F"/>
    <w:rsid w:val="0007672F"/>
    <w:rsid w:val="000774F0"/>
    <w:rsid w:val="00080909"/>
    <w:rsid w:val="000812CA"/>
    <w:rsid w:val="0008258D"/>
    <w:rsid w:val="00083E99"/>
    <w:rsid w:val="000846AC"/>
    <w:rsid w:val="000856C5"/>
    <w:rsid w:val="00090C7E"/>
    <w:rsid w:val="00092600"/>
    <w:rsid w:val="0009262B"/>
    <w:rsid w:val="00093310"/>
    <w:rsid w:val="0009445C"/>
    <w:rsid w:val="000953F0"/>
    <w:rsid w:val="00095FE5"/>
    <w:rsid w:val="00096284"/>
    <w:rsid w:val="00097FB5"/>
    <w:rsid w:val="000A7D08"/>
    <w:rsid w:val="000B0670"/>
    <w:rsid w:val="000B0E75"/>
    <w:rsid w:val="000B2F55"/>
    <w:rsid w:val="000B6CAC"/>
    <w:rsid w:val="000B7612"/>
    <w:rsid w:val="000C0CA1"/>
    <w:rsid w:val="000C2F90"/>
    <w:rsid w:val="000C3DF9"/>
    <w:rsid w:val="000C6713"/>
    <w:rsid w:val="000C6EC7"/>
    <w:rsid w:val="000D1BFC"/>
    <w:rsid w:val="000D281A"/>
    <w:rsid w:val="000D326A"/>
    <w:rsid w:val="000D51FB"/>
    <w:rsid w:val="000D7393"/>
    <w:rsid w:val="000E135D"/>
    <w:rsid w:val="000E5685"/>
    <w:rsid w:val="000F00BA"/>
    <w:rsid w:val="000F316A"/>
    <w:rsid w:val="000F3C74"/>
    <w:rsid w:val="000F4BB8"/>
    <w:rsid w:val="000F7127"/>
    <w:rsid w:val="00100F8A"/>
    <w:rsid w:val="00105AE2"/>
    <w:rsid w:val="00105BB6"/>
    <w:rsid w:val="00106B80"/>
    <w:rsid w:val="0011032E"/>
    <w:rsid w:val="0011348B"/>
    <w:rsid w:val="00113D66"/>
    <w:rsid w:val="00115982"/>
    <w:rsid w:val="00116C53"/>
    <w:rsid w:val="00121799"/>
    <w:rsid w:val="001222FC"/>
    <w:rsid w:val="00124A51"/>
    <w:rsid w:val="00126621"/>
    <w:rsid w:val="001301E9"/>
    <w:rsid w:val="00131A9C"/>
    <w:rsid w:val="00131D82"/>
    <w:rsid w:val="00133D36"/>
    <w:rsid w:val="00137645"/>
    <w:rsid w:val="0014015A"/>
    <w:rsid w:val="00140902"/>
    <w:rsid w:val="00140E99"/>
    <w:rsid w:val="00145540"/>
    <w:rsid w:val="001456B0"/>
    <w:rsid w:val="00154FE0"/>
    <w:rsid w:val="00157130"/>
    <w:rsid w:val="001576B1"/>
    <w:rsid w:val="00160A4C"/>
    <w:rsid w:val="00162913"/>
    <w:rsid w:val="00163253"/>
    <w:rsid w:val="00163EFF"/>
    <w:rsid w:val="001661FB"/>
    <w:rsid w:val="00167ECE"/>
    <w:rsid w:val="00173565"/>
    <w:rsid w:val="00173B07"/>
    <w:rsid w:val="00175186"/>
    <w:rsid w:val="0017609C"/>
    <w:rsid w:val="001819D6"/>
    <w:rsid w:val="00181D9C"/>
    <w:rsid w:val="00182A9B"/>
    <w:rsid w:val="0018521D"/>
    <w:rsid w:val="0018752F"/>
    <w:rsid w:val="00190B43"/>
    <w:rsid w:val="00195222"/>
    <w:rsid w:val="0019730A"/>
    <w:rsid w:val="001975D8"/>
    <w:rsid w:val="001A43FA"/>
    <w:rsid w:val="001A59FB"/>
    <w:rsid w:val="001A5F69"/>
    <w:rsid w:val="001A6354"/>
    <w:rsid w:val="001A7AE8"/>
    <w:rsid w:val="001B204E"/>
    <w:rsid w:val="001B3443"/>
    <w:rsid w:val="001B4D20"/>
    <w:rsid w:val="001B5611"/>
    <w:rsid w:val="001C2A9B"/>
    <w:rsid w:val="001C4299"/>
    <w:rsid w:val="001C5F94"/>
    <w:rsid w:val="001C6E66"/>
    <w:rsid w:val="001D44A7"/>
    <w:rsid w:val="001E238E"/>
    <w:rsid w:val="001E2483"/>
    <w:rsid w:val="001E2B1E"/>
    <w:rsid w:val="001E30D4"/>
    <w:rsid w:val="001E52EB"/>
    <w:rsid w:val="001E5506"/>
    <w:rsid w:val="001E61D2"/>
    <w:rsid w:val="001E740C"/>
    <w:rsid w:val="001F1235"/>
    <w:rsid w:val="001F1CB3"/>
    <w:rsid w:val="001F316A"/>
    <w:rsid w:val="001F38B5"/>
    <w:rsid w:val="001F7361"/>
    <w:rsid w:val="001F7F2D"/>
    <w:rsid w:val="002011B0"/>
    <w:rsid w:val="00203181"/>
    <w:rsid w:val="00203783"/>
    <w:rsid w:val="0020385F"/>
    <w:rsid w:val="0020439C"/>
    <w:rsid w:val="0020479D"/>
    <w:rsid w:val="00206C20"/>
    <w:rsid w:val="00206F08"/>
    <w:rsid w:val="00207021"/>
    <w:rsid w:val="0020732F"/>
    <w:rsid w:val="00207616"/>
    <w:rsid w:val="00207D00"/>
    <w:rsid w:val="002105C1"/>
    <w:rsid w:val="00222E6B"/>
    <w:rsid w:val="00223B49"/>
    <w:rsid w:val="00223FDA"/>
    <w:rsid w:val="00224DD4"/>
    <w:rsid w:val="002309CC"/>
    <w:rsid w:val="0023209F"/>
    <w:rsid w:val="00232177"/>
    <w:rsid w:val="00233A3E"/>
    <w:rsid w:val="00233B68"/>
    <w:rsid w:val="0023542A"/>
    <w:rsid w:val="0023629D"/>
    <w:rsid w:val="00237255"/>
    <w:rsid w:val="002424AF"/>
    <w:rsid w:val="00242FF6"/>
    <w:rsid w:val="002439DC"/>
    <w:rsid w:val="00244DC8"/>
    <w:rsid w:val="002458BA"/>
    <w:rsid w:val="0024634B"/>
    <w:rsid w:val="0024636C"/>
    <w:rsid w:val="00247925"/>
    <w:rsid w:val="0025223B"/>
    <w:rsid w:val="00254DCF"/>
    <w:rsid w:val="0025534B"/>
    <w:rsid w:val="00255BB7"/>
    <w:rsid w:val="00257541"/>
    <w:rsid w:val="00257786"/>
    <w:rsid w:val="00260BD2"/>
    <w:rsid w:val="002627D6"/>
    <w:rsid w:val="00262A1A"/>
    <w:rsid w:val="00262A87"/>
    <w:rsid w:val="002647E7"/>
    <w:rsid w:val="00264D26"/>
    <w:rsid w:val="0026706A"/>
    <w:rsid w:val="00267642"/>
    <w:rsid w:val="00267AEA"/>
    <w:rsid w:val="002700E6"/>
    <w:rsid w:val="00270A62"/>
    <w:rsid w:val="0027294B"/>
    <w:rsid w:val="00275C5A"/>
    <w:rsid w:val="00281014"/>
    <w:rsid w:val="00283520"/>
    <w:rsid w:val="00292C27"/>
    <w:rsid w:val="002A14AB"/>
    <w:rsid w:val="002A1DA0"/>
    <w:rsid w:val="002A2F50"/>
    <w:rsid w:val="002A7A9E"/>
    <w:rsid w:val="002B09A4"/>
    <w:rsid w:val="002B1C1F"/>
    <w:rsid w:val="002B326E"/>
    <w:rsid w:val="002B432F"/>
    <w:rsid w:val="002B62B3"/>
    <w:rsid w:val="002B6754"/>
    <w:rsid w:val="002B6CCE"/>
    <w:rsid w:val="002C2510"/>
    <w:rsid w:val="002C2775"/>
    <w:rsid w:val="002C27C1"/>
    <w:rsid w:val="002C5099"/>
    <w:rsid w:val="002C5889"/>
    <w:rsid w:val="002C62C7"/>
    <w:rsid w:val="002C71CE"/>
    <w:rsid w:val="002D3336"/>
    <w:rsid w:val="002D3EC2"/>
    <w:rsid w:val="002D577C"/>
    <w:rsid w:val="002E15B9"/>
    <w:rsid w:val="002E2158"/>
    <w:rsid w:val="002E7722"/>
    <w:rsid w:val="002F02B8"/>
    <w:rsid w:val="002F07BA"/>
    <w:rsid w:val="002F0DA9"/>
    <w:rsid w:val="002F2642"/>
    <w:rsid w:val="002F32EC"/>
    <w:rsid w:val="002F3654"/>
    <w:rsid w:val="002F518C"/>
    <w:rsid w:val="002F643C"/>
    <w:rsid w:val="002F71C0"/>
    <w:rsid w:val="00301017"/>
    <w:rsid w:val="0030155F"/>
    <w:rsid w:val="00303D37"/>
    <w:rsid w:val="0030587B"/>
    <w:rsid w:val="00306268"/>
    <w:rsid w:val="00306D98"/>
    <w:rsid w:val="0030786C"/>
    <w:rsid w:val="0031031A"/>
    <w:rsid w:val="00310981"/>
    <w:rsid w:val="00314092"/>
    <w:rsid w:val="00315498"/>
    <w:rsid w:val="00322107"/>
    <w:rsid w:val="00322846"/>
    <w:rsid w:val="00326DA7"/>
    <w:rsid w:val="003270E4"/>
    <w:rsid w:val="00330F5C"/>
    <w:rsid w:val="00334242"/>
    <w:rsid w:val="003366C9"/>
    <w:rsid w:val="003371B0"/>
    <w:rsid w:val="00337E78"/>
    <w:rsid w:val="00340DF1"/>
    <w:rsid w:val="00341BA5"/>
    <w:rsid w:val="003444B2"/>
    <w:rsid w:val="00344B04"/>
    <w:rsid w:val="003517F9"/>
    <w:rsid w:val="0035620E"/>
    <w:rsid w:val="003624C4"/>
    <w:rsid w:val="003654AC"/>
    <w:rsid w:val="003664CA"/>
    <w:rsid w:val="00367C98"/>
    <w:rsid w:val="003710CF"/>
    <w:rsid w:val="00371DFE"/>
    <w:rsid w:val="0037358A"/>
    <w:rsid w:val="00373FC6"/>
    <w:rsid w:val="003750F6"/>
    <w:rsid w:val="003760FC"/>
    <w:rsid w:val="0038365C"/>
    <w:rsid w:val="0038369B"/>
    <w:rsid w:val="00383B78"/>
    <w:rsid w:val="0038480B"/>
    <w:rsid w:val="00385A9D"/>
    <w:rsid w:val="00386056"/>
    <w:rsid w:val="003902B1"/>
    <w:rsid w:val="00391104"/>
    <w:rsid w:val="00396896"/>
    <w:rsid w:val="00396FD0"/>
    <w:rsid w:val="003A1A7A"/>
    <w:rsid w:val="003A2392"/>
    <w:rsid w:val="003A2831"/>
    <w:rsid w:val="003A3ED1"/>
    <w:rsid w:val="003B3973"/>
    <w:rsid w:val="003B5B61"/>
    <w:rsid w:val="003B5D7E"/>
    <w:rsid w:val="003C1654"/>
    <w:rsid w:val="003C1DA2"/>
    <w:rsid w:val="003C7D19"/>
    <w:rsid w:val="003D1828"/>
    <w:rsid w:val="003D1DE4"/>
    <w:rsid w:val="003D2422"/>
    <w:rsid w:val="003D39A1"/>
    <w:rsid w:val="003D3FBF"/>
    <w:rsid w:val="003D4A30"/>
    <w:rsid w:val="003D7466"/>
    <w:rsid w:val="003D79BB"/>
    <w:rsid w:val="003D7C98"/>
    <w:rsid w:val="003E0543"/>
    <w:rsid w:val="003E175F"/>
    <w:rsid w:val="003E7A44"/>
    <w:rsid w:val="003F4156"/>
    <w:rsid w:val="003F6F34"/>
    <w:rsid w:val="003F796F"/>
    <w:rsid w:val="00400B29"/>
    <w:rsid w:val="0040504B"/>
    <w:rsid w:val="00410708"/>
    <w:rsid w:val="00410EC7"/>
    <w:rsid w:val="00411717"/>
    <w:rsid w:val="00411B39"/>
    <w:rsid w:val="00413A1E"/>
    <w:rsid w:val="00414476"/>
    <w:rsid w:val="00414C2E"/>
    <w:rsid w:val="004151CF"/>
    <w:rsid w:val="00416364"/>
    <w:rsid w:val="00420AA6"/>
    <w:rsid w:val="00420B9F"/>
    <w:rsid w:val="00422260"/>
    <w:rsid w:val="0042413F"/>
    <w:rsid w:val="004319F8"/>
    <w:rsid w:val="00431E55"/>
    <w:rsid w:val="004321F6"/>
    <w:rsid w:val="00433044"/>
    <w:rsid w:val="004375B9"/>
    <w:rsid w:val="00441851"/>
    <w:rsid w:val="00442068"/>
    <w:rsid w:val="004428D0"/>
    <w:rsid w:val="004443A7"/>
    <w:rsid w:val="0044442C"/>
    <w:rsid w:val="004448A4"/>
    <w:rsid w:val="00445941"/>
    <w:rsid w:val="004464EB"/>
    <w:rsid w:val="00446C96"/>
    <w:rsid w:val="00447D26"/>
    <w:rsid w:val="00451A4D"/>
    <w:rsid w:val="00455D45"/>
    <w:rsid w:val="00463E3E"/>
    <w:rsid w:val="00464595"/>
    <w:rsid w:val="00465ECE"/>
    <w:rsid w:val="00466E6C"/>
    <w:rsid w:val="004708AB"/>
    <w:rsid w:val="00472A79"/>
    <w:rsid w:val="00473F19"/>
    <w:rsid w:val="00475E22"/>
    <w:rsid w:val="0048088E"/>
    <w:rsid w:val="00481D42"/>
    <w:rsid w:val="00482127"/>
    <w:rsid w:val="00482720"/>
    <w:rsid w:val="004835E7"/>
    <w:rsid w:val="004867E2"/>
    <w:rsid w:val="00490F96"/>
    <w:rsid w:val="00491B3A"/>
    <w:rsid w:val="00492CFD"/>
    <w:rsid w:val="00494DD5"/>
    <w:rsid w:val="004952E4"/>
    <w:rsid w:val="004962D2"/>
    <w:rsid w:val="004A0DA1"/>
    <w:rsid w:val="004A52E9"/>
    <w:rsid w:val="004A6597"/>
    <w:rsid w:val="004A7848"/>
    <w:rsid w:val="004B1CB4"/>
    <w:rsid w:val="004B2F18"/>
    <w:rsid w:val="004B3DDB"/>
    <w:rsid w:val="004B44FD"/>
    <w:rsid w:val="004B5CFC"/>
    <w:rsid w:val="004B774D"/>
    <w:rsid w:val="004C4AED"/>
    <w:rsid w:val="004D2B9B"/>
    <w:rsid w:val="004D2C2D"/>
    <w:rsid w:val="004D4904"/>
    <w:rsid w:val="004D63AF"/>
    <w:rsid w:val="004D7211"/>
    <w:rsid w:val="004D7227"/>
    <w:rsid w:val="004E0E7F"/>
    <w:rsid w:val="004E0EB8"/>
    <w:rsid w:val="004E1568"/>
    <w:rsid w:val="004E2ADC"/>
    <w:rsid w:val="004E43B2"/>
    <w:rsid w:val="004F1A33"/>
    <w:rsid w:val="004F1D02"/>
    <w:rsid w:val="004F2679"/>
    <w:rsid w:val="004F2726"/>
    <w:rsid w:val="004F2F21"/>
    <w:rsid w:val="004F433A"/>
    <w:rsid w:val="004F6913"/>
    <w:rsid w:val="004F7865"/>
    <w:rsid w:val="0050219B"/>
    <w:rsid w:val="00503F17"/>
    <w:rsid w:val="0050452C"/>
    <w:rsid w:val="00505D64"/>
    <w:rsid w:val="00506928"/>
    <w:rsid w:val="005103A6"/>
    <w:rsid w:val="00513CA6"/>
    <w:rsid w:val="005152B5"/>
    <w:rsid w:val="005165DA"/>
    <w:rsid w:val="00521319"/>
    <w:rsid w:val="00522BC8"/>
    <w:rsid w:val="00523C28"/>
    <w:rsid w:val="00525679"/>
    <w:rsid w:val="005316DC"/>
    <w:rsid w:val="00536F42"/>
    <w:rsid w:val="00537182"/>
    <w:rsid w:val="00537413"/>
    <w:rsid w:val="00542743"/>
    <w:rsid w:val="00542C2D"/>
    <w:rsid w:val="00551985"/>
    <w:rsid w:val="00552BD3"/>
    <w:rsid w:val="00553352"/>
    <w:rsid w:val="00555109"/>
    <w:rsid w:val="0056696F"/>
    <w:rsid w:val="00572269"/>
    <w:rsid w:val="0057244A"/>
    <w:rsid w:val="00575D8D"/>
    <w:rsid w:val="00576972"/>
    <w:rsid w:val="00581934"/>
    <w:rsid w:val="00583699"/>
    <w:rsid w:val="005848FF"/>
    <w:rsid w:val="00585CDD"/>
    <w:rsid w:val="00586FAD"/>
    <w:rsid w:val="00587058"/>
    <w:rsid w:val="005902BC"/>
    <w:rsid w:val="00591957"/>
    <w:rsid w:val="005951B1"/>
    <w:rsid w:val="00597404"/>
    <w:rsid w:val="00597BF9"/>
    <w:rsid w:val="005A087D"/>
    <w:rsid w:val="005A0F5D"/>
    <w:rsid w:val="005A373D"/>
    <w:rsid w:val="005A55EB"/>
    <w:rsid w:val="005B5857"/>
    <w:rsid w:val="005C13B6"/>
    <w:rsid w:val="005C1B83"/>
    <w:rsid w:val="005C2D55"/>
    <w:rsid w:val="005C346B"/>
    <w:rsid w:val="005C75F0"/>
    <w:rsid w:val="005D044D"/>
    <w:rsid w:val="005D0ABD"/>
    <w:rsid w:val="005D18AD"/>
    <w:rsid w:val="005D1B39"/>
    <w:rsid w:val="005D26B4"/>
    <w:rsid w:val="005D4C68"/>
    <w:rsid w:val="005E016B"/>
    <w:rsid w:val="005E238B"/>
    <w:rsid w:val="005E3792"/>
    <w:rsid w:val="005E6CBC"/>
    <w:rsid w:val="005E73C0"/>
    <w:rsid w:val="005F2706"/>
    <w:rsid w:val="005F6A8F"/>
    <w:rsid w:val="00600540"/>
    <w:rsid w:val="00600D1E"/>
    <w:rsid w:val="00603773"/>
    <w:rsid w:val="00603DB9"/>
    <w:rsid w:val="00607669"/>
    <w:rsid w:val="00607AFD"/>
    <w:rsid w:val="006127EC"/>
    <w:rsid w:val="00612F97"/>
    <w:rsid w:val="0061345D"/>
    <w:rsid w:val="00615169"/>
    <w:rsid w:val="00616593"/>
    <w:rsid w:val="00616802"/>
    <w:rsid w:val="00617E12"/>
    <w:rsid w:val="006212C2"/>
    <w:rsid w:val="00621477"/>
    <w:rsid w:val="00623868"/>
    <w:rsid w:val="0063158F"/>
    <w:rsid w:val="00631D6B"/>
    <w:rsid w:val="006330A1"/>
    <w:rsid w:val="006335D1"/>
    <w:rsid w:val="0063479F"/>
    <w:rsid w:val="006353F0"/>
    <w:rsid w:val="006364A1"/>
    <w:rsid w:val="00637BFD"/>
    <w:rsid w:val="00641C4E"/>
    <w:rsid w:val="00645524"/>
    <w:rsid w:val="00645BB0"/>
    <w:rsid w:val="00646CBD"/>
    <w:rsid w:val="006471CC"/>
    <w:rsid w:val="0065079F"/>
    <w:rsid w:val="0065379F"/>
    <w:rsid w:val="00655565"/>
    <w:rsid w:val="00661C6B"/>
    <w:rsid w:val="00664E6A"/>
    <w:rsid w:val="00667688"/>
    <w:rsid w:val="00670FB1"/>
    <w:rsid w:val="00671B36"/>
    <w:rsid w:val="00674E42"/>
    <w:rsid w:val="00680DE6"/>
    <w:rsid w:val="00682112"/>
    <w:rsid w:val="00686957"/>
    <w:rsid w:val="006872BA"/>
    <w:rsid w:val="00687CDB"/>
    <w:rsid w:val="00691648"/>
    <w:rsid w:val="006917D7"/>
    <w:rsid w:val="006932B2"/>
    <w:rsid w:val="00694F44"/>
    <w:rsid w:val="006A22BC"/>
    <w:rsid w:val="006A7E5F"/>
    <w:rsid w:val="006B0C2F"/>
    <w:rsid w:val="006B261B"/>
    <w:rsid w:val="006B2C90"/>
    <w:rsid w:val="006B6DD0"/>
    <w:rsid w:val="006B7A0A"/>
    <w:rsid w:val="006C0DE8"/>
    <w:rsid w:val="006C284F"/>
    <w:rsid w:val="006C2A8E"/>
    <w:rsid w:val="006C3526"/>
    <w:rsid w:val="006C38DC"/>
    <w:rsid w:val="006D1E54"/>
    <w:rsid w:val="006D3C7D"/>
    <w:rsid w:val="006D5D5F"/>
    <w:rsid w:val="006E1006"/>
    <w:rsid w:val="006F306C"/>
    <w:rsid w:val="006F63A5"/>
    <w:rsid w:val="0070142B"/>
    <w:rsid w:val="00701F62"/>
    <w:rsid w:val="0070276E"/>
    <w:rsid w:val="00702F8F"/>
    <w:rsid w:val="00705499"/>
    <w:rsid w:val="00705E4D"/>
    <w:rsid w:val="00711A36"/>
    <w:rsid w:val="0071529C"/>
    <w:rsid w:val="007172AD"/>
    <w:rsid w:val="0071770A"/>
    <w:rsid w:val="00717EAF"/>
    <w:rsid w:val="00722B1B"/>
    <w:rsid w:val="0072416F"/>
    <w:rsid w:val="0072479A"/>
    <w:rsid w:val="00727C94"/>
    <w:rsid w:val="00731EAE"/>
    <w:rsid w:val="00732B1C"/>
    <w:rsid w:val="00735033"/>
    <w:rsid w:val="00735328"/>
    <w:rsid w:val="0073685B"/>
    <w:rsid w:val="00743757"/>
    <w:rsid w:val="007509D4"/>
    <w:rsid w:val="00752142"/>
    <w:rsid w:val="007523F9"/>
    <w:rsid w:val="0075359C"/>
    <w:rsid w:val="007573E8"/>
    <w:rsid w:val="00760C4E"/>
    <w:rsid w:val="00763B51"/>
    <w:rsid w:val="00764B2B"/>
    <w:rsid w:val="00765B1A"/>
    <w:rsid w:val="007718AF"/>
    <w:rsid w:val="007763E6"/>
    <w:rsid w:val="007843F2"/>
    <w:rsid w:val="00786926"/>
    <w:rsid w:val="00786A9E"/>
    <w:rsid w:val="00787861"/>
    <w:rsid w:val="00787866"/>
    <w:rsid w:val="0079493E"/>
    <w:rsid w:val="007A03BB"/>
    <w:rsid w:val="007A0A12"/>
    <w:rsid w:val="007A132D"/>
    <w:rsid w:val="007A2B14"/>
    <w:rsid w:val="007A4732"/>
    <w:rsid w:val="007B0D68"/>
    <w:rsid w:val="007B1A78"/>
    <w:rsid w:val="007B251D"/>
    <w:rsid w:val="007B3DC1"/>
    <w:rsid w:val="007B4F58"/>
    <w:rsid w:val="007B528D"/>
    <w:rsid w:val="007B6A7A"/>
    <w:rsid w:val="007B7373"/>
    <w:rsid w:val="007B77D1"/>
    <w:rsid w:val="007C0B9E"/>
    <w:rsid w:val="007C1CD9"/>
    <w:rsid w:val="007C361D"/>
    <w:rsid w:val="007C4B84"/>
    <w:rsid w:val="007D004F"/>
    <w:rsid w:val="007D0B38"/>
    <w:rsid w:val="007D3FFB"/>
    <w:rsid w:val="007D5440"/>
    <w:rsid w:val="007E01D3"/>
    <w:rsid w:val="007E229C"/>
    <w:rsid w:val="007E4BAA"/>
    <w:rsid w:val="007E70FE"/>
    <w:rsid w:val="007E72E1"/>
    <w:rsid w:val="007F1017"/>
    <w:rsid w:val="007F4A3F"/>
    <w:rsid w:val="007F4A61"/>
    <w:rsid w:val="007F61C2"/>
    <w:rsid w:val="00801FDD"/>
    <w:rsid w:val="00805142"/>
    <w:rsid w:val="00807A8B"/>
    <w:rsid w:val="00811383"/>
    <w:rsid w:val="00812149"/>
    <w:rsid w:val="00812CAC"/>
    <w:rsid w:val="008131D1"/>
    <w:rsid w:val="008166EF"/>
    <w:rsid w:val="00817BAD"/>
    <w:rsid w:val="00820782"/>
    <w:rsid w:val="00825751"/>
    <w:rsid w:val="008264EB"/>
    <w:rsid w:val="00827C62"/>
    <w:rsid w:val="00833B05"/>
    <w:rsid w:val="008362B4"/>
    <w:rsid w:val="00840CA2"/>
    <w:rsid w:val="00840ED5"/>
    <w:rsid w:val="0084374F"/>
    <w:rsid w:val="008470A2"/>
    <w:rsid w:val="00847DF5"/>
    <w:rsid w:val="0085309D"/>
    <w:rsid w:val="00856897"/>
    <w:rsid w:val="00856E9A"/>
    <w:rsid w:val="008605FF"/>
    <w:rsid w:val="0086075D"/>
    <w:rsid w:val="00861094"/>
    <w:rsid w:val="00862502"/>
    <w:rsid w:val="008660D4"/>
    <w:rsid w:val="00871FA9"/>
    <w:rsid w:val="008728E9"/>
    <w:rsid w:val="0087448C"/>
    <w:rsid w:val="00877C79"/>
    <w:rsid w:val="008808CA"/>
    <w:rsid w:val="00882874"/>
    <w:rsid w:val="00883787"/>
    <w:rsid w:val="00883ED6"/>
    <w:rsid w:val="00886CD2"/>
    <w:rsid w:val="008906F9"/>
    <w:rsid w:val="00892A36"/>
    <w:rsid w:val="00893239"/>
    <w:rsid w:val="00894489"/>
    <w:rsid w:val="008963A5"/>
    <w:rsid w:val="008A3363"/>
    <w:rsid w:val="008A3371"/>
    <w:rsid w:val="008A3C3E"/>
    <w:rsid w:val="008A5B84"/>
    <w:rsid w:val="008A79DE"/>
    <w:rsid w:val="008B1757"/>
    <w:rsid w:val="008B2DF6"/>
    <w:rsid w:val="008B6573"/>
    <w:rsid w:val="008B7D7E"/>
    <w:rsid w:val="008C7D5C"/>
    <w:rsid w:val="008C7ECB"/>
    <w:rsid w:val="008D4755"/>
    <w:rsid w:val="008D4C3D"/>
    <w:rsid w:val="008E0374"/>
    <w:rsid w:val="008E0728"/>
    <w:rsid w:val="008E0D3C"/>
    <w:rsid w:val="008E1B9E"/>
    <w:rsid w:val="008E3581"/>
    <w:rsid w:val="008E55AB"/>
    <w:rsid w:val="008E56CF"/>
    <w:rsid w:val="008E57A3"/>
    <w:rsid w:val="008F120A"/>
    <w:rsid w:val="008F27E0"/>
    <w:rsid w:val="008F48EB"/>
    <w:rsid w:val="008F4F0B"/>
    <w:rsid w:val="008F68C3"/>
    <w:rsid w:val="009016EE"/>
    <w:rsid w:val="00901EC9"/>
    <w:rsid w:val="009046C4"/>
    <w:rsid w:val="009062A5"/>
    <w:rsid w:val="00907DB4"/>
    <w:rsid w:val="00911272"/>
    <w:rsid w:val="009135D6"/>
    <w:rsid w:val="00914C77"/>
    <w:rsid w:val="00915018"/>
    <w:rsid w:val="0092045B"/>
    <w:rsid w:val="009228D4"/>
    <w:rsid w:val="0092369B"/>
    <w:rsid w:val="009453AE"/>
    <w:rsid w:val="009510A2"/>
    <w:rsid w:val="0095187C"/>
    <w:rsid w:val="00952FA3"/>
    <w:rsid w:val="00953257"/>
    <w:rsid w:val="00962CB9"/>
    <w:rsid w:val="00964312"/>
    <w:rsid w:val="00965B8A"/>
    <w:rsid w:val="009708BB"/>
    <w:rsid w:val="009717AC"/>
    <w:rsid w:val="009830FA"/>
    <w:rsid w:val="00983E57"/>
    <w:rsid w:val="0098675D"/>
    <w:rsid w:val="00996B1A"/>
    <w:rsid w:val="009A29FF"/>
    <w:rsid w:val="009A3AB8"/>
    <w:rsid w:val="009A5679"/>
    <w:rsid w:val="009A7F10"/>
    <w:rsid w:val="009B3E26"/>
    <w:rsid w:val="009B4C88"/>
    <w:rsid w:val="009C3534"/>
    <w:rsid w:val="009C6CEA"/>
    <w:rsid w:val="009C7B85"/>
    <w:rsid w:val="009D5B91"/>
    <w:rsid w:val="009D66B0"/>
    <w:rsid w:val="009D792E"/>
    <w:rsid w:val="009E0DFE"/>
    <w:rsid w:val="009E1FD8"/>
    <w:rsid w:val="009E4C07"/>
    <w:rsid w:val="009E4E96"/>
    <w:rsid w:val="009E4F28"/>
    <w:rsid w:val="009F05AB"/>
    <w:rsid w:val="009F5B5D"/>
    <w:rsid w:val="00A01184"/>
    <w:rsid w:val="00A03D43"/>
    <w:rsid w:val="00A04380"/>
    <w:rsid w:val="00A11CD0"/>
    <w:rsid w:val="00A13948"/>
    <w:rsid w:val="00A14320"/>
    <w:rsid w:val="00A1555B"/>
    <w:rsid w:val="00A155C5"/>
    <w:rsid w:val="00A1697C"/>
    <w:rsid w:val="00A16AD8"/>
    <w:rsid w:val="00A17C2F"/>
    <w:rsid w:val="00A17DDA"/>
    <w:rsid w:val="00A21CF3"/>
    <w:rsid w:val="00A24574"/>
    <w:rsid w:val="00A27AEC"/>
    <w:rsid w:val="00A320DB"/>
    <w:rsid w:val="00A3241D"/>
    <w:rsid w:val="00A34BBD"/>
    <w:rsid w:val="00A35D16"/>
    <w:rsid w:val="00A37BCD"/>
    <w:rsid w:val="00A41387"/>
    <w:rsid w:val="00A43C59"/>
    <w:rsid w:val="00A45AE5"/>
    <w:rsid w:val="00A50ECD"/>
    <w:rsid w:val="00A518F3"/>
    <w:rsid w:val="00A52729"/>
    <w:rsid w:val="00A53675"/>
    <w:rsid w:val="00A55BC4"/>
    <w:rsid w:val="00A564D7"/>
    <w:rsid w:val="00A56B6A"/>
    <w:rsid w:val="00A578DC"/>
    <w:rsid w:val="00A65AA3"/>
    <w:rsid w:val="00A6725B"/>
    <w:rsid w:val="00A70605"/>
    <w:rsid w:val="00A71B03"/>
    <w:rsid w:val="00A73134"/>
    <w:rsid w:val="00A75F78"/>
    <w:rsid w:val="00A777B2"/>
    <w:rsid w:val="00A86E8B"/>
    <w:rsid w:val="00A87164"/>
    <w:rsid w:val="00A93072"/>
    <w:rsid w:val="00A93953"/>
    <w:rsid w:val="00A959D8"/>
    <w:rsid w:val="00AA113D"/>
    <w:rsid w:val="00AA6C7D"/>
    <w:rsid w:val="00AA7A64"/>
    <w:rsid w:val="00AA7FD6"/>
    <w:rsid w:val="00AB042A"/>
    <w:rsid w:val="00AB0431"/>
    <w:rsid w:val="00AB185B"/>
    <w:rsid w:val="00AB2D34"/>
    <w:rsid w:val="00AB3430"/>
    <w:rsid w:val="00AB4AD1"/>
    <w:rsid w:val="00AB562D"/>
    <w:rsid w:val="00AB7CFA"/>
    <w:rsid w:val="00AC3F68"/>
    <w:rsid w:val="00AC5B48"/>
    <w:rsid w:val="00AD55A3"/>
    <w:rsid w:val="00AD6502"/>
    <w:rsid w:val="00AE4109"/>
    <w:rsid w:val="00AE7857"/>
    <w:rsid w:val="00AF0469"/>
    <w:rsid w:val="00AF0A97"/>
    <w:rsid w:val="00AF1315"/>
    <w:rsid w:val="00AF19BF"/>
    <w:rsid w:val="00AF2DC3"/>
    <w:rsid w:val="00AF4EAE"/>
    <w:rsid w:val="00AF6298"/>
    <w:rsid w:val="00AF7C11"/>
    <w:rsid w:val="00B0228F"/>
    <w:rsid w:val="00B02A0C"/>
    <w:rsid w:val="00B033E5"/>
    <w:rsid w:val="00B03482"/>
    <w:rsid w:val="00B03A63"/>
    <w:rsid w:val="00B04411"/>
    <w:rsid w:val="00B1244F"/>
    <w:rsid w:val="00B15B0B"/>
    <w:rsid w:val="00B16D3F"/>
    <w:rsid w:val="00B17476"/>
    <w:rsid w:val="00B201A4"/>
    <w:rsid w:val="00B213A6"/>
    <w:rsid w:val="00B21C0F"/>
    <w:rsid w:val="00B24DF6"/>
    <w:rsid w:val="00B34FE2"/>
    <w:rsid w:val="00B357D8"/>
    <w:rsid w:val="00B378C8"/>
    <w:rsid w:val="00B37BFC"/>
    <w:rsid w:val="00B40358"/>
    <w:rsid w:val="00B40AB4"/>
    <w:rsid w:val="00B41614"/>
    <w:rsid w:val="00B42851"/>
    <w:rsid w:val="00B42F80"/>
    <w:rsid w:val="00B435CB"/>
    <w:rsid w:val="00B50DB8"/>
    <w:rsid w:val="00B53654"/>
    <w:rsid w:val="00B53905"/>
    <w:rsid w:val="00B54B5B"/>
    <w:rsid w:val="00B5562E"/>
    <w:rsid w:val="00B57000"/>
    <w:rsid w:val="00B60939"/>
    <w:rsid w:val="00B60AFD"/>
    <w:rsid w:val="00B62715"/>
    <w:rsid w:val="00B66BA1"/>
    <w:rsid w:val="00B81482"/>
    <w:rsid w:val="00B818A4"/>
    <w:rsid w:val="00B84117"/>
    <w:rsid w:val="00B85AA2"/>
    <w:rsid w:val="00B8649C"/>
    <w:rsid w:val="00B87F0A"/>
    <w:rsid w:val="00B92D0B"/>
    <w:rsid w:val="00B939B0"/>
    <w:rsid w:val="00B94945"/>
    <w:rsid w:val="00BA101F"/>
    <w:rsid w:val="00BA322D"/>
    <w:rsid w:val="00BA7EFA"/>
    <w:rsid w:val="00BB0BDD"/>
    <w:rsid w:val="00BB2855"/>
    <w:rsid w:val="00BB2A73"/>
    <w:rsid w:val="00BB4269"/>
    <w:rsid w:val="00BB4ACC"/>
    <w:rsid w:val="00BB5C93"/>
    <w:rsid w:val="00BB66FC"/>
    <w:rsid w:val="00BB703E"/>
    <w:rsid w:val="00BB7405"/>
    <w:rsid w:val="00BC0B01"/>
    <w:rsid w:val="00BC3631"/>
    <w:rsid w:val="00BD0201"/>
    <w:rsid w:val="00BD68A3"/>
    <w:rsid w:val="00BD6938"/>
    <w:rsid w:val="00BD6CF3"/>
    <w:rsid w:val="00BE2180"/>
    <w:rsid w:val="00BE21F2"/>
    <w:rsid w:val="00BE4275"/>
    <w:rsid w:val="00BE714E"/>
    <w:rsid w:val="00BF0F95"/>
    <w:rsid w:val="00BF2433"/>
    <w:rsid w:val="00BF5DE3"/>
    <w:rsid w:val="00BF61C9"/>
    <w:rsid w:val="00BF6C94"/>
    <w:rsid w:val="00C00424"/>
    <w:rsid w:val="00C055C2"/>
    <w:rsid w:val="00C106A4"/>
    <w:rsid w:val="00C12C14"/>
    <w:rsid w:val="00C15397"/>
    <w:rsid w:val="00C200AA"/>
    <w:rsid w:val="00C237ED"/>
    <w:rsid w:val="00C24632"/>
    <w:rsid w:val="00C25418"/>
    <w:rsid w:val="00C25D9C"/>
    <w:rsid w:val="00C2778B"/>
    <w:rsid w:val="00C301FF"/>
    <w:rsid w:val="00C31649"/>
    <w:rsid w:val="00C32AD5"/>
    <w:rsid w:val="00C345F0"/>
    <w:rsid w:val="00C3704F"/>
    <w:rsid w:val="00C40385"/>
    <w:rsid w:val="00C475AA"/>
    <w:rsid w:val="00C54153"/>
    <w:rsid w:val="00C56A98"/>
    <w:rsid w:val="00C65576"/>
    <w:rsid w:val="00C66165"/>
    <w:rsid w:val="00C6639D"/>
    <w:rsid w:val="00C7151A"/>
    <w:rsid w:val="00C71F60"/>
    <w:rsid w:val="00C72241"/>
    <w:rsid w:val="00C72A32"/>
    <w:rsid w:val="00C73932"/>
    <w:rsid w:val="00C742ED"/>
    <w:rsid w:val="00C750C8"/>
    <w:rsid w:val="00C753A1"/>
    <w:rsid w:val="00C7560F"/>
    <w:rsid w:val="00C80A0E"/>
    <w:rsid w:val="00C8213F"/>
    <w:rsid w:val="00C85D57"/>
    <w:rsid w:val="00C8797A"/>
    <w:rsid w:val="00C900B8"/>
    <w:rsid w:val="00C90C71"/>
    <w:rsid w:val="00C931CF"/>
    <w:rsid w:val="00C938CF"/>
    <w:rsid w:val="00C9624D"/>
    <w:rsid w:val="00C969DA"/>
    <w:rsid w:val="00C96F31"/>
    <w:rsid w:val="00CA2C77"/>
    <w:rsid w:val="00CA31B3"/>
    <w:rsid w:val="00CA327D"/>
    <w:rsid w:val="00CA444F"/>
    <w:rsid w:val="00CA5245"/>
    <w:rsid w:val="00CA57F9"/>
    <w:rsid w:val="00CA7106"/>
    <w:rsid w:val="00CA71F4"/>
    <w:rsid w:val="00CA7B09"/>
    <w:rsid w:val="00CB067D"/>
    <w:rsid w:val="00CB1762"/>
    <w:rsid w:val="00CB2F2A"/>
    <w:rsid w:val="00CB5B1A"/>
    <w:rsid w:val="00CB6B22"/>
    <w:rsid w:val="00CB75C7"/>
    <w:rsid w:val="00CB7F5F"/>
    <w:rsid w:val="00CC003B"/>
    <w:rsid w:val="00CC1B39"/>
    <w:rsid w:val="00CC2074"/>
    <w:rsid w:val="00CD0AFF"/>
    <w:rsid w:val="00CD4B8A"/>
    <w:rsid w:val="00CD616A"/>
    <w:rsid w:val="00CD650A"/>
    <w:rsid w:val="00CD6ADC"/>
    <w:rsid w:val="00CE1326"/>
    <w:rsid w:val="00CE4135"/>
    <w:rsid w:val="00CE6274"/>
    <w:rsid w:val="00CF2B8D"/>
    <w:rsid w:val="00CF456B"/>
    <w:rsid w:val="00CF535A"/>
    <w:rsid w:val="00CF54FC"/>
    <w:rsid w:val="00CF5A22"/>
    <w:rsid w:val="00CF62E0"/>
    <w:rsid w:val="00CF7262"/>
    <w:rsid w:val="00CF7B1E"/>
    <w:rsid w:val="00D00556"/>
    <w:rsid w:val="00D0262E"/>
    <w:rsid w:val="00D03AF6"/>
    <w:rsid w:val="00D110BD"/>
    <w:rsid w:val="00D11119"/>
    <w:rsid w:val="00D13675"/>
    <w:rsid w:val="00D141E1"/>
    <w:rsid w:val="00D17D6C"/>
    <w:rsid w:val="00D2754D"/>
    <w:rsid w:val="00D27B27"/>
    <w:rsid w:val="00D331C6"/>
    <w:rsid w:val="00D33BE9"/>
    <w:rsid w:val="00D357FF"/>
    <w:rsid w:val="00D424C7"/>
    <w:rsid w:val="00D43B2A"/>
    <w:rsid w:val="00D441C2"/>
    <w:rsid w:val="00D45775"/>
    <w:rsid w:val="00D4602F"/>
    <w:rsid w:val="00D46C74"/>
    <w:rsid w:val="00D47575"/>
    <w:rsid w:val="00D52D00"/>
    <w:rsid w:val="00D6357C"/>
    <w:rsid w:val="00D646CD"/>
    <w:rsid w:val="00D70F16"/>
    <w:rsid w:val="00D76A44"/>
    <w:rsid w:val="00D815EF"/>
    <w:rsid w:val="00D8691F"/>
    <w:rsid w:val="00D8761A"/>
    <w:rsid w:val="00D91923"/>
    <w:rsid w:val="00D93753"/>
    <w:rsid w:val="00DA3167"/>
    <w:rsid w:val="00DA4DC3"/>
    <w:rsid w:val="00DA77A5"/>
    <w:rsid w:val="00DB484F"/>
    <w:rsid w:val="00DC04F6"/>
    <w:rsid w:val="00DC3C57"/>
    <w:rsid w:val="00DC5501"/>
    <w:rsid w:val="00DC5AB6"/>
    <w:rsid w:val="00DD273C"/>
    <w:rsid w:val="00DD3928"/>
    <w:rsid w:val="00DD3F28"/>
    <w:rsid w:val="00DD4537"/>
    <w:rsid w:val="00DD4E15"/>
    <w:rsid w:val="00DD6493"/>
    <w:rsid w:val="00DD6C15"/>
    <w:rsid w:val="00DD72D1"/>
    <w:rsid w:val="00DD7771"/>
    <w:rsid w:val="00DD7BF8"/>
    <w:rsid w:val="00DE3138"/>
    <w:rsid w:val="00DE37F8"/>
    <w:rsid w:val="00DE4FCB"/>
    <w:rsid w:val="00DE7832"/>
    <w:rsid w:val="00DF13B6"/>
    <w:rsid w:val="00DF18FC"/>
    <w:rsid w:val="00DF550C"/>
    <w:rsid w:val="00DF5D2B"/>
    <w:rsid w:val="00E00E8E"/>
    <w:rsid w:val="00E01465"/>
    <w:rsid w:val="00E05630"/>
    <w:rsid w:val="00E06DBB"/>
    <w:rsid w:val="00E10149"/>
    <w:rsid w:val="00E16372"/>
    <w:rsid w:val="00E20E4D"/>
    <w:rsid w:val="00E20ED6"/>
    <w:rsid w:val="00E21358"/>
    <w:rsid w:val="00E2249B"/>
    <w:rsid w:val="00E22A0D"/>
    <w:rsid w:val="00E22F72"/>
    <w:rsid w:val="00E24A8E"/>
    <w:rsid w:val="00E2771E"/>
    <w:rsid w:val="00E30600"/>
    <w:rsid w:val="00E34948"/>
    <w:rsid w:val="00E37569"/>
    <w:rsid w:val="00E41E30"/>
    <w:rsid w:val="00E43D70"/>
    <w:rsid w:val="00E466F3"/>
    <w:rsid w:val="00E47B2C"/>
    <w:rsid w:val="00E47BFC"/>
    <w:rsid w:val="00E51560"/>
    <w:rsid w:val="00E54347"/>
    <w:rsid w:val="00E55424"/>
    <w:rsid w:val="00E55BB5"/>
    <w:rsid w:val="00E65E79"/>
    <w:rsid w:val="00E663E9"/>
    <w:rsid w:val="00E66BA2"/>
    <w:rsid w:val="00E67416"/>
    <w:rsid w:val="00E718B6"/>
    <w:rsid w:val="00E723BA"/>
    <w:rsid w:val="00E73581"/>
    <w:rsid w:val="00E833F7"/>
    <w:rsid w:val="00E83BDF"/>
    <w:rsid w:val="00E87A1D"/>
    <w:rsid w:val="00E926A5"/>
    <w:rsid w:val="00E934A5"/>
    <w:rsid w:val="00E941B3"/>
    <w:rsid w:val="00EA0398"/>
    <w:rsid w:val="00EA17C3"/>
    <w:rsid w:val="00EA2CAA"/>
    <w:rsid w:val="00EA3060"/>
    <w:rsid w:val="00EA31DC"/>
    <w:rsid w:val="00EA3864"/>
    <w:rsid w:val="00EA4E3A"/>
    <w:rsid w:val="00EA6E8B"/>
    <w:rsid w:val="00EB0801"/>
    <w:rsid w:val="00EB15B6"/>
    <w:rsid w:val="00EB4916"/>
    <w:rsid w:val="00EC00C9"/>
    <w:rsid w:val="00EC2649"/>
    <w:rsid w:val="00EC7620"/>
    <w:rsid w:val="00ED2CB7"/>
    <w:rsid w:val="00ED4C5D"/>
    <w:rsid w:val="00ED57EA"/>
    <w:rsid w:val="00EE07D3"/>
    <w:rsid w:val="00EE22AF"/>
    <w:rsid w:val="00EE37EA"/>
    <w:rsid w:val="00EF0171"/>
    <w:rsid w:val="00EF1B25"/>
    <w:rsid w:val="00EF4747"/>
    <w:rsid w:val="00EF4BF8"/>
    <w:rsid w:val="00F01F6B"/>
    <w:rsid w:val="00F02253"/>
    <w:rsid w:val="00F03C2E"/>
    <w:rsid w:val="00F04A66"/>
    <w:rsid w:val="00F0516C"/>
    <w:rsid w:val="00F067A2"/>
    <w:rsid w:val="00F112E8"/>
    <w:rsid w:val="00F1263A"/>
    <w:rsid w:val="00F156D3"/>
    <w:rsid w:val="00F16CA6"/>
    <w:rsid w:val="00F1705A"/>
    <w:rsid w:val="00F24837"/>
    <w:rsid w:val="00F2575F"/>
    <w:rsid w:val="00F27565"/>
    <w:rsid w:val="00F310D4"/>
    <w:rsid w:val="00F31D5A"/>
    <w:rsid w:val="00F33DE9"/>
    <w:rsid w:val="00F34627"/>
    <w:rsid w:val="00F3619A"/>
    <w:rsid w:val="00F400C6"/>
    <w:rsid w:val="00F40AAA"/>
    <w:rsid w:val="00F40BA7"/>
    <w:rsid w:val="00F43B05"/>
    <w:rsid w:val="00F46422"/>
    <w:rsid w:val="00F46CB6"/>
    <w:rsid w:val="00F47DE8"/>
    <w:rsid w:val="00F510A1"/>
    <w:rsid w:val="00F542C1"/>
    <w:rsid w:val="00F55E73"/>
    <w:rsid w:val="00F55EDA"/>
    <w:rsid w:val="00F571E4"/>
    <w:rsid w:val="00F60092"/>
    <w:rsid w:val="00F62687"/>
    <w:rsid w:val="00F65F4B"/>
    <w:rsid w:val="00F70C9D"/>
    <w:rsid w:val="00F70ED4"/>
    <w:rsid w:val="00F74CD9"/>
    <w:rsid w:val="00F80A7B"/>
    <w:rsid w:val="00F80E5D"/>
    <w:rsid w:val="00F82B4E"/>
    <w:rsid w:val="00F851CE"/>
    <w:rsid w:val="00F87B7F"/>
    <w:rsid w:val="00F91219"/>
    <w:rsid w:val="00F9505C"/>
    <w:rsid w:val="00F96CE1"/>
    <w:rsid w:val="00F97A78"/>
    <w:rsid w:val="00FA0B20"/>
    <w:rsid w:val="00FA24E7"/>
    <w:rsid w:val="00FA4517"/>
    <w:rsid w:val="00FB2FCB"/>
    <w:rsid w:val="00FB5BC6"/>
    <w:rsid w:val="00FC1074"/>
    <w:rsid w:val="00FC1884"/>
    <w:rsid w:val="00FC1E06"/>
    <w:rsid w:val="00FC3536"/>
    <w:rsid w:val="00FC371D"/>
    <w:rsid w:val="00FC4FFF"/>
    <w:rsid w:val="00FC5F0B"/>
    <w:rsid w:val="00FD2100"/>
    <w:rsid w:val="00FD3FA5"/>
    <w:rsid w:val="00FD436C"/>
    <w:rsid w:val="00FD446D"/>
    <w:rsid w:val="00FD6394"/>
    <w:rsid w:val="00FE0E6C"/>
    <w:rsid w:val="00FE3485"/>
    <w:rsid w:val="00FE5C15"/>
    <w:rsid w:val="00FE70C3"/>
    <w:rsid w:val="00FF1392"/>
    <w:rsid w:val="00FF252E"/>
    <w:rsid w:val="00FF3508"/>
    <w:rsid w:val="00FF3915"/>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AF7C11"/>
    <w:pPr>
      <w:outlineLvl w:val="0"/>
    </w:pPr>
    <w:rPr>
      <w:b/>
      <w:sz w:val="36"/>
      <w:szCs w:val="36"/>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Caption SYNEVi,Bayer Caption,IB Caption,Medical Caption,Bayer,Bayer Caption1,IB Caption1,Medical Caption1,Bayer Caption2,IB Caption2,Medical Caption2,Bayer Caption3,IB Caption3,Medical Caption3,Bayer Caption4,IB Caption4,Bayer1"/>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PRIMA Char,Caption SYNEVi Char,Bayer Caption Char,IB Caption Char,Medical Caption Char,Bayer Char,Bayer Caption1 Char,IB Caption1 Char,Medical Caption1 Char,Bayer Caption2 Char,IB Caption2 Char,Medical Caption2 Char,IB Caption3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8470A2"/>
    <w:pPr>
      <w:numPr>
        <w:numId w:val="1"/>
      </w:numPr>
      <w:spacing w:before="120" w:after="120"/>
      <w:outlineLvl w:val="1"/>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MainBodyText">
    <w:name w:val="Main Body Text"/>
    <w:basedOn w:val="Normal"/>
    <w:link w:val="MainBodyTextChar"/>
    <w:rsid w:val="009830FA"/>
    <w:pPr>
      <w:widowControl/>
      <w:spacing w:after="240" w:line="276" w:lineRule="auto"/>
    </w:pPr>
    <w:rPr>
      <w:rFonts w:ascii="Arial" w:hAnsi="Arial" w:cs="Times New Roman"/>
      <w:snapToGrid/>
      <w:sz w:val="22"/>
      <w:lang w:eastAsia="en-AU"/>
    </w:rPr>
  </w:style>
  <w:style w:type="character" w:customStyle="1" w:styleId="MainBodyTextChar">
    <w:name w:val="Main Body Text Char"/>
    <w:link w:val="MainBodyText"/>
    <w:rsid w:val="009830FA"/>
    <w:rPr>
      <w:rFonts w:ascii="Arial" w:hAnsi="Arial"/>
      <w:sz w:val="22"/>
      <w:szCs w:val="22"/>
    </w:rPr>
  </w:style>
  <w:style w:type="paragraph" w:styleId="FootnoteText">
    <w:name w:val="footnote text"/>
    <w:basedOn w:val="Normal"/>
    <w:link w:val="FootnoteTextChar"/>
    <w:uiPriority w:val="99"/>
    <w:unhideWhenUsed/>
    <w:rsid w:val="009830FA"/>
    <w:rPr>
      <w:sz w:val="20"/>
      <w:szCs w:val="20"/>
    </w:rPr>
  </w:style>
  <w:style w:type="character" w:customStyle="1" w:styleId="FootnoteTextChar">
    <w:name w:val="Footnote Text Char"/>
    <w:basedOn w:val="DefaultParagraphFont"/>
    <w:link w:val="FootnoteText"/>
    <w:uiPriority w:val="99"/>
    <w:rsid w:val="009830FA"/>
    <w:rPr>
      <w:rFonts w:ascii="Calibri" w:hAnsi="Calibri" w:cs="Arial"/>
      <w:snapToGrid w:val="0"/>
      <w:lang w:eastAsia="en-US"/>
    </w:rPr>
  </w:style>
  <w:style w:type="character" w:styleId="FootnoteReference">
    <w:name w:val="footnote reference"/>
    <w:basedOn w:val="DefaultParagraphFont"/>
    <w:semiHidden/>
    <w:unhideWhenUsed/>
    <w:rsid w:val="009830FA"/>
    <w:rPr>
      <w:vertAlign w:val="superscript"/>
    </w:rPr>
  </w:style>
  <w:style w:type="paragraph" w:customStyle="1" w:styleId="TableText0">
    <w:name w:val="Table Text"/>
    <w:basedOn w:val="Normal"/>
    <w:qFormat/>
    <w:rsid w:val="005316DC"/>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qFormat/>
    <w:rsid w:val="005316DC"/>
    <w:pPr>
      <w:keepNext/>
      <w:widowControl/>
      <w:spacing w:after="60"/>
      <w:jc w:val="left"/>
    </w:pPr>
    <w:rPr>
      <w:rFonts w:ascii="Arial Narrow" w:eastAsiaTheme="minorHAnsi" w:hAnsi="Arial Narrow" w:cstheme="minorBidi"/>
      <w:b/>
      <w:snapToGrid/>
      <w:sz w:val="20"/>
    </w:rPr>
  </w:style>
  <w:style w:type="paragraph" w:customStyle="1" w:styleId="TableLeft">
    <w:name w:val="Table Left"/>
    <w:basedOn w:val="Normal"/>
    <w:link w:val="TableLeftChar"/>
    <w:uiPriority w:val="99"/>
    <w:qFormat/>
    <w:rsid w:val="005316DC"/>
    <w:pPr>
      <w:widowControl/>
      <w:jc w:val="left"/>
    </w:pPr>
    <w:rPr>
      <w:rFonts w:ascii="Arial Narrow" w:eastAsiaTheme="majorEastAsia" w:hAnsi="Arial Narrow" w:cstheme="majorBidi"/>
      <w:snapToGrid/>
      <w:sz w:val="20"/>
      <w:lang w:bidi="en-US"/>
    </w:rPr>
  </w:style>
  <w:style w:type="character" w:customStyle="1" w:styleId="TableLeftChar">
    <w:name w:val="Table Left Char"/>
    <w:basedOn w:val="DefaultParagraphFont"/>
    <w:link w:val="TableLeft"/>
    <w:uiPriority w:val="99"/>
    <w:locked/>
    <w:rsid w:val="005316DC"/>
    <w:rPr>
      <w:rFonts w:ascii="Arial Narrow" w:eastAsiaTheme="majorEastAsia" w:hAnsi="Arial Narrow" w:cstheme="majorBidi"/>
      <w:szCs w:val="22"/>
      <w:lang w:eastAsia="en-US" w:bidi="en-US"/>
    </w:rPr>
  </w:style>
  <w:style w:type="paragraph" w:customStyle="1" w:styleId="TableBullets">
    <w:name w:val="Table Bullets"/>
    <w:basedOn w:val="TableLeft"/>
    <w:uiPriority w:val="5"/>
    <w:qFormat/>
    <w:rsid w:val="005316DC"/>
    <w:pPr>
      <w:numPr>
        <w:numId w:val="3"/>
      </w:numPr>
    </w:pPr>
  </w:style>
  <w:style w:type="paragraph" w:customStyle="1" w:styleId="Default">
    <w:name w:val="Default"/>
    <w:rsid w:val="0071770A"/>
    <w:pPr>
      <w:autoSpaceDE w:val="0"/>
      <w:autoSpaceDN w:val="0"/>
      <w:adjustRightInd w:val="0"/>
    </w:pPr>
    <w:rPr>
      <w:rFonts w:ascii="Arial" w:hAnsi="Arial" w:cs="Arial"/>
      <w:color w:val="000000"/>
      <w:sz w:val="24"/>
      <w:szCs w:val="24"/>
    </w:rPr>
  </w:style>
  <w:style w:type="paragraph" w:customStyle="1" w:styleId="LOFHeading">
    <w:name w:val="L.O.F Heading"/>
    <w:basedOn w:val="Normal"/>
    <w:next w:val="Normal"/>
    <w:rsid w:val="00F43B05"/>
    <w:pPr>
      <w:keepNext/>
      <w:widowControl/>
      <w:spacing w:before="240" w:after="360" w:line="276" w:lineRule="auto"/>
      <w:jc w:val="left"/>
    </w:pPr>
    <w:rPr>
      <w:rFonts w:ascii="Arial" w:eastAsia="SimSun" w:hAnsi="Arial" w:cs="Times New Roman"/>
      <w:b/>
      <w:caps/>
      <w:snapToGrid/>
      <w:sz w:val="28"/>
      <w:szCs w:val="28"/>
      <w:lang w:eastAsia="en-AU"/>
    </w:rPr>
  </w:style>
  <w:style w:type="paragraph" w:customStyle="1" w:styleId="TextUnderTable">
    <w:name w:val="Text Under Table"/>
    <w:basedOn w:val="Normal"/>
    <w:qFormat/>
    <w:rsid w:val="00F43B05"/>
    <w:pPr>
      <w:widowControl/>
      <w:spacing w:before="120" w:after="120" w:line="276" w:lineRule="auto"/>
      <w:contextualSpacing/>
      <w:jc w:val="left"/>
    </w:pPr>
    <w:rPr>
      <w:rFonts w:ascii="Arial" w:eastAsia="SimSun" w:hAnsi="Arial" w:cs="Times New Roman"/>
      <w:i/>
      <w:snapToGrid/>
      <w:sz w:val="16"/>
      <w:lang w:eastAsia="en-AU"/>
    </w:rPr>
  </w:style>
  <w:style w:type="paragraph" w:customStyle="1" w:styleId="TableBullet">
    <w:name w:val="Table Bullet"/>
    <w:basedOn w:val="TableText0"/>
    <w:qFormat/>
    <w:rsid w:val="00DD6493"/>
    <w:pPr>
      <w:keepNext w:val="0"/>
      <w:numPr>
        <w:numId w:val="13"/>
      </w:numPr>
      <w:spacing w:before="60" w:after="60"/>
    </w:pPr>
    <w:rPr>
      <w:rFonts w:ascii="Arial" w:hAnsi="Arial"/>
      <w:sz w:val="18"/>
    </w:rPr>
  </w:style>
  <w:style w:type="table" w:customStyle="1" w:styleId="Summarybox1">
    <w:name w:val="Summary box1"/>
    <w:basedOn w:val="TableNormal"/>
    <w:next w:val="TableGrid"/>
    <w:uiPriority w:val="59"/>
    <w:rsid w:val="00DD6493"/>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Caption"/>
    <w:basedOn w:val="Caption"/>
    <w:next w:val="MainBodyText"/>
    <w:qFormat/>
    <w:rsid w:val="00CE1326"/>
    <w:pPr>
      <w:keepNext/>
      <w:widowControl/>
      <w:tabs>
        <w:tab w:val="left" w:pos="1701"/>
      </w:tabs>
      <w:spacing w:before="180" w:after="120" w:line="276" w:lineRule="auto"/>
      <w:ind w:left="1701" w:hanging="1701"/>
      <w:jc w:val="left"/>
      <w:outlineLvl w:val="2"/>
    </w:pPr>
    <w:rPr>
      <w:rFonts w:ascii="Arial" w:hAnsi="Arial" w:cs="Times New Roman"/>
      <w:snapToGrid/>
      <w:color w:val="auto"/>
      <w:sz w:val="22"/>
      <w:szCs w:val="20"/>
      <w:lang w:eastAsia="en-AU"/>
    </w:rPr>
  </w:style>
  <w:style w:type="paragraph" w:customStyle="1" w:styleId="tablecolhead">
    <w:name w:val="tablecolhead"/>
    <w:basedOn w:val="Normal"/>
    <w:rsid w:val="009A29FF"/>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tabletext00">
    <w:name w:val="tabletext0"/>
    <w:basedOn w:val="Normal"/>
    <w:rsid w:val="009A29FF"/>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tablep1a">
    <w:name w:val="tablep1a"/>
    <w:basedOn w:val="Normal"/>
    <w:rsid w:val="009A29FF"/>
    <w:pPr>
      <w:widowControl/>
      <w:spacing w:before="100" w:beforeAutospacing="1" w:after="100" w:afterAutospacing="1"/>
      <w:jc w:val="left"/>
    </w:pPr>
    <w:rPr>
      <w:rFonts w:ascii="Times New Roman" w:hAnsi="Times New Roman" w:cs="Times New Roman"/>
      <w:snapToGrid/>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AF7C11"/>
    <w:pPr>
      <w:outlineLvl w:val="0"/>
    </w:pPr>
    <w:rPr>
      <w:b/>
      <w:sz w:val="36"/>
      <w:szCs w:val="36"/>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Caption SYNEVi,Bayer Caption,IB Caption,Medical Caption,Bayer,Bayer Caption1,IB Caption1,Medical Caption1,Bayer Caption2,IB Caption2,Medical Caption2,Bayer Caption3,IB Caption3,Medical Caption3,Bayer Caption4,IB Caption4,Bayer1"/>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PRIMA Char,Caption SYNEVi Char,Bayer Caption Char,IB Caption Char,Medical Caption Char,Bayer Char,Bayer Caption1 Char,IB Caption1 Char,Medical Caption1 Char,Bayer Caption2 Char,IB Caption2 Char,Medical Caption2 Char,IB Caption3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8470A2"/>
    <w:pPr>
      <w:numPr>
        <w:numId w:val="1"/>
      </w:numPr>
      <w:spacing w:before="120" w:after="120"/>
      <w:outlineLvl w:val="1"/>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MainBodyText">
    <w:name w:val="Main Body Text"/>
    <w:basedOn w:val="Normal"/>
    <w:link w:val="MainBodyTextChar"/>
    <w:rsid w:val="009830FA"/>
    <w:pPr>
      <w:widowControl/>
      <w:spacing w:after="240" w:line="276" w:lineRule="auto"/>
    </w:pPr>
    <w:rPr>
      <w:rFonts w:ascii="Arial" w:hAnsi="Arial" w:cs="Times New Roman"/>
      <w:snapToGrid/>
      <w:sz w:val="22"/>
      <w:lang w:eastAsia="en-AU"/>
    </w:rPr>
  </w:style>
  <w:style w:type="character" w:customStyle="1" w:styleId="MainBodyTextChar">
    <w:name w:val="Main Body Text Char"/>
    <w:link w:val="MainBodyText"/>
    <w:rsid w:val="009830FA"/>
    <w:rPr>
      <w:rFonts w:ascii="Arial" w:hAnsi="Arial"/>
      <w:sz w:val="22"/>
      <w:szCs w:val="22"/>
    </w:rPr>
  </w:style>
  <w:style w:type="paragraph" w:styleId="FootnoteText">
    <w:name w:val="footnote text"/>
    <w:basedOn w:val="Normal"/>
    <w:link w:val="FootnoteTextChar"/>
    <w:uiPriority w:val="99"/>
    <w:unhideWhenUsed/>
    <w:rsid w:val="009830FA"/>
    <w:rPr>
      <w:sz w:val="20"/>
      <w:szCs w:val="20"/>
    </w:rPr>
  </w:style>
  <w:style w:type="character" w:customStyle="1" w:styleId="FootnoteTextChar">
    <w:name w:val="Footnote Text Char"/>
    <w:basedOn w:val="DefaultParagraphFont"/>
    <w:link w:val="FootnoteText"/>
    <w:uiPriority w:val="99"/>
    <w:rsid w:val="009830FA"/>
    <w:rPr>
      <w:rFonts w:ascii="Calibri" w:hAnsi="Calibri" w:cs="Arial"/>
      <w:snapToGrid w:val="0"/>
      <w:lang w:eastAsia="en-US"/>
    </w:rPr>
  </w:style>
  <w:style w:type="character" w:styleId="FootnoteReference">
    <w:name w:val="footnote reference"/>
    <w:basedOn w:val="DefaultParagraphFont"/>
    <w:semiHidden/>
    <w:unhideWhenUsed/>
    <w:rsid w:val="009830FA"/>
    <w:rPr>
      <w:vertAlign w:val="superscript"/>
    </w:rPr>
  </w:style>
  <w:style w:type="paragraph" w:customStyle="1" w:styleId="TableText0">
    <w:name w:val="Table Text"/>
    <w:basedOn w:val="Normal"/>
    <w:qFormat/>
    <w:rsid w:val="005316DC"/>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qFormat/>
    <w:rsid w:val="005316DC"/>
    <w:pPr>
      <w:keepNext/>
      <w:widowControl/>
      <w:spacing w:after="60"/>
      <w:jc w:val="left"/>
    </w:pPr>
    <w:rPr>
      <w:rFonts w:ascii="Arial Narrow" w:eastAsiaTheme="minorHAnsi" w:hAnsi="Arial Narrow" w:cstheme="minorBidi"/>
      <w:b/>
      <w:snapToGrid/>
      <w:sz w:val="20"/>
    </w:rPr>
  </w:style>
  <w:style w:type="paragraph" w:customStyle="1" w:styleId="TableLeft">
    <w:name w:val="Table Left"/>
    <w:basedOn w:val="Normal"/>
    <w:link w:val="TableLeftChar"/>
    <w:uiPriority w:val="99"/>
    <w:qFormat/>
    <w:rsid w:val="005316DC"/>
    <w:pPr>
      <w:widowControl/>
      <w:jc w:val="left"/>
    </w:pPr>
    <w:rPr>
      <w:rFonts w:ascii="Arial Narrow" w:eastAsiaTheme="majorEastAsia" w:hAnsi="Arial Narrow" w:cstheme="majorBidi"/>
      <w:snapToGrid/>
      <w:sz w:val="20"/>
      <w:lang w:bidi="en-US"/>
    </w:rPr>
  </w:style>
  <w:style w:type="character" w:customStyle="1" w:styleId="TableLeftChar">
    <w:name w:val="Table Left Char"/>
    <w:basedOn w:val="DefaultParagraphFont"/>
    <w:link w:val="TableLeft"/>
    <w:uiPriority w:val="99"/>
    <w:locked/>
    <w:rsid w:val="005316DC"/>
    <w:rPr>
      <w:rFonts w:ascii="Arial Narrow" w:eastAsiaTheme="majorEastAsia" w:hAnsi="Arial Narrow" w:cstheme="majorBidi"/>
      <w:szCs w:val="22"/>
      <w:lang w:eastAsia="en-US" w:bidi="en-US"/>
    </w:rPr>
  </w:style>
  <w:style w:type="paragraph" w:customStyle="1" w:styleId="TableBullets">
    <w:name w:val="Table Bullets"/>
    <w:basedOn w:val="TableLeft"/>
    <w:uiPriority w:val="5"/>
    <w:qFormat/>
    <w:rsid w:val="005316DC"/>
    <w:pPr>
      <w:numPr>
        <w:numId w:val="3"/>
      </w:numPr>
    </w:pPr>
  </w:style>
  <w:style w:type="paragraph" w:customStyle="1" w:styleId="Default">
    <w:name w:val="Default"/>
    <w:rsid w:val="0071770A"/>
    <w:pPr>
      <w:autoSpaceDE w:val="0"/>
      <w:autoSpaceDN w:val="0"/>
      <w:adjustRightInd w:val="0"/>
    </w:pPr>
    <w:rPr>
      <w:rFonts w:ascii="Arial" w:hAnsi="Arial" w:cs="Arial"/>
      <w:color w:val="000000"/>
      <w:sz w:val="24"/>
      <w:szCs w:val="24"/>
    </w:rPr>
  </w:style>
  <w:style w:type="paragraph" w:customStyle="1" w:styleId="LOFHeading">
    <w:name w:val="L.O.F Heading"/>
    <w:basedOn w:val="Normal"/>
    <w:next w:val="Normal"/>
    <w:rsid w:val="00F43B05"/>
    <w:pPr>
      <w:keepNext/>
      <w:widowControl/>
      <w:spacing w:before="240" w:after="360" w:line="276" w:lineRule="auto"/>
      <w:jc w:val="left"/>
    </w:pPr>
    <w:rPr>
      <w:rFonts w:ascii="Arial" w:eastAsia="SimSun" w:hAnsi="Arial" w:cs="Times New Roman"/>
      <w:b/>
      <w:caps/>
      <w:snapToGrid/>
      <w:sz w:val="28"/>
      <w:szCs w:val="28"/>
      <w:lang w:eastAsia="en-AU"/>
    </w:rPr>
  </w:style>
  <w:style w:type="paragraph" w:customStyle="1" w:styleId="TextUnderTable">
    <w:name w:val="Text Under Table"/>
    <w:basedOn w:val="Normal"/>
    <w:qFormat/>
    <w:rsid w:val="00F43B05"/>
    <w:pPr>
      <w:widowControl/>
      <w:spacing w:before="120" w:after="120" w:line="276" w:lineRule="auto"/>
      <w:contextualSpacing/>
      <w:jc w:val="left"/>
    </w:pPr>
    <w:rPr>
      <w:rFonts w:ascii="Arial" w:eastAsia="SimSun" w:hAnsi="Arial" w:cs="Times New Roman"/>
      <w:i/>
      <w:snapToGrid/>
      <w:sz w:val="16"/>
      <w:lang w:eastAsia="en-AU"/>
    </w:rPr>
  </w:style>
  <w:style w:type="paragraph" w:customStyle="1" w:styleId="TableBullet">
    <w:name w:val="Table Bullet"/>
    <w:basedOn w:val="TableText0"/>
    <w:qFormat/>
    <w:rsid w:val="00DD6493"/>
    <w:pPr>
      <w:keepNext w:val="0"/>
      <w:numPr>
        <w:numId w:val="13"/>
      </w:numPr>
      <w:spacing w:before="60" w:after="60"/>
    </w:pPr>
    <w:rPr>
      <w:rFonts w:ascii="Arial" w:hAnsi="Arial"/>
      <w:sz w:val="18"/>
    </w:rPr>
  </w:style>
  <w:style w:type="table" w:customStyle="1" w:styleId="Summarybox1">
    <w:name w:val="Summary box1"/>
    <w:basedOn w:val="TableNormal"/>
    <w:next w:val="TableGrid"/>
    <w:uiPriority w:val="59"/>
    <w:rsid w:val="00DD6493"/>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Caption"/>
    <w:basedOn w:val="Caption"/>
    <w:next w:val="MainBodyText"/>
    <w:qFormat/>
    <w:rsid w:val="00CE1326"/>
    <w:pPr>
      <w:keepNext/>
      <w:widowControl/>
      <w:tabs>
        <w:tab w:val="left" w:pos="1701"/>
      </w:tabs>
      <w:spacing w:before="180" w:after="120" w:line="276" w:lineRule="auto"/>
      <w:ind w:left="1701" w:hanging="1701"/>
      <w:jc w:val="left"/>
      <w:outlineLvl w:val="2"/>
    </w:pPr>
    <w:rPr>
      <w:rFonts w:ascii="Arial" w:hAnsi="Arial" w:cs="Times New Roman"/>
      <w:snapToGrid/>
      <w:color w:val="auto"/>
      <w:sz w:val="22"/>
      <w:szCs w:val="20"/>
      <w:lang w:eastAsia="en-AU"/>
    </w:rPr>
  </w:style>
  <w:style w:type="paragraph" w:customStyle="1" w:styleId="tablecolhead">
    <w:name w:val="tablecolhead"/>
    <w:basedOn w:val="Normal"/>
    <w:rsid w:val="009A29FF"/>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tabletext00">
    <w:name w:val="tabletext0"/>
    <w:basedOn w:val="Normal"/>
    <w:rsid w:val="009A29FF"/>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tablep1a">
    <w:name w:val="tablep1a"/>
    <w:basedOn w:val="Normal"/>
    <w:rsid w:val="009A29FF"/>
    <w:pPr>
      <w:widowControl/>
      <w:spacing w:before="100" w:beforeAutospacing="1" w:after="100" w:afterAutospacing="1"/>
      <w:jc w:val="left"/>
    </w:pPr>
    <w:rPr>
      <w:rFonts w:ascii="Times New Roman" w:hAnsi="Times New Roman" w:cs="Times New Roman"/>
      <w:snapToGrid/>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265179">
      <w:bodyDiv w:val="1"/>
      <w:marLeft w:val="0"/>
      <w:marRight w:val="0"/>
      <w:marTop w:val="0"/>
      <w:marBottom w:val="0"/>
      <w:divBdr>
        <w:top w:val="none" w:sz="0" w:space="0" w:color="auto"/>
        <w:left w:val="none" w:sz="0" w:space="0" w:color="auto"/>
        <w:bottom w:val="none" w:sz="0" w:space="0" w:color="auto"/>
        <w:right w:val="none" w:sz="0" w:space="0" w:color="auto"/>
      </w:divBdr>
    </w:div>
    <w:div w:id="425004101">
      <w:bodyDiv w:val="1"/>
      <w:marLeft w:val="0"/>
      <w:marRight w:val="0"/>
      <w:marTop w:val="0"/>
      <w:marBottom w:val="0"/>
      <w:divBdr>
        <w:top w:val="none" w:sz="0" w:space="0" w:color="auto"/>
        <w:left w:val="none" w:sz="0" w:space="0" w:color="auto"/>
        <w:bottom w:val="none" w:sz="0" w:space="0" w:color="auto"/>
        <w:right w:val="none" w:sz="0" w:space="0" w:color="auto"/>
      </w:divBdr>
    </w:div>
    <w:div w:id="624653604">
      <w:bodyDiv w:val="1"/>
      <w:marLeft w:val="0"/>
      <w:marRight w:val="0"/>
      <w:marTop w:val="0"/>
      <w:marBottom w:val="0"/>
      <w:divBdr>
        <w:top w:val="none" w:sz="0" w:space="0" w:color="auto"/>
        <w:left w:val="none" w:sz="0" w:space="0" w:color="auto"/>
        <w:bottom w:val="none" w:sz="0" w:space="0" w:color="auto"/>
        <w:right w:val="none" w:sz="0" w:space="0" w:color="auto"/>
      </w:divBdr>
    </w:div>
    <w:div w:id="712577769">
      <w:bodyDiv w:val="1"/>
      <w:marLeft w:val="0"/>
      <w:marRight w:val="0"/>
      <w:marTop w:val="0"/>
      <w:marBottom w:val="0"/>
      <w:divBdr>
        <w:top w:val="none" w:sz="0" w:space="0" w:color="auto"/>
        <w:left w:val="none" w:sz="0" w:space="0" w:color="auto"/>
        <w:bottom w:val="none" w:sz="0" w:space="0" w:color="auto"/>
        <w:right w:val="none" w:sz="0" w:space="0" w:color="auto"/>
      </w:divBdr>
    </w:div>
    <w:div w:id="1245528507">
      <w:bodyDiv w:val="1"/>
      <w:marLeft w:val="0"/>
      <w:marRight w:val="0"/>
      <w:marTop w:val="0"/>
      <w:marBottom w:val="0"/>
      <w:divBdr>
        <w:top w:val="none" w:sz="0" w:space="0" w:color="auto"/>
        <w:left w:val="none" w:sz="0" w:space="0" w:color="auto"/>
        <w:bottom w:val="none" w:sz="0" w:space="0" w:color="auto"/>
        <w:right w:val="none" w:sz="0" w:space="0" w:color="auto"/>
      </w:divBdr>
    </w:div>
    <w:div w:id="1254127926">
      <w:bodyDiv w:val="1"/>
      <w:marLeft w:val="0"/>
      <w:marRight w:val="0"/>
      <w:marTop w:val="0"/>
      <w:marBottom w:val="0"/>
      <w:divBdr>
        <w:top w:val="none" w:sz="0" w:space="0" w:color="auto"/>
        <w:left w:val="none" w:sz="0" w:space="0" w:color="auto"/>
        <w:bottom w:val="none" w:sz="0" w:space="0" w:color="auto"/>
        <w:right w:val="none" w:sz="0" w:space="0" w:color="auto"/>
      </w:divBdr>
    </w:div>
    <w:div w:id="1391148595">
      <w:bodyDiv w:val="1"/>
      <w:marLeft w:val="0"/>
      <w:marRight w:val="0"/>
      <w:marTop w:val="0"/>
      <w:marBottom w:val="0"/>
      <w:divBdr>
        <w:top w:val="none" w:sz="0" w:space="0" w:color="auto"/>
        <w:left w:val="none" w:sz="0" w:space="0" w:color="auto"/>
        <w:bottom w:val="none" w:sz="0" w:space="0" w:color="auto"/>
        <w:right w:val="none" w:sz="0" w:space="0" w:color="auto"/>
      </w:divBdr>
    </w:div>
    <w:div w:id="1470124493">
      <w:bodyDiv w:val="1"/>
      <w:marLeft w:val="0"/>
      <w:marRight w:val="0"/>
      <w:marTop w:val="0"/>
      <w:marBottom w:val="0"/>
      <w:divBdr>
        <w:top w:val="none" w:sz="0" w:space="0" w:color="auto"/>
        <w:left w:val="none" w:sz="0" w:space="0" w:color="auto"/>
        <w:bottom w:val="none" w:sz="0" w:space="0" w:color="auto"/>
        <w:right w:val="none" w:sz="0" w:space="0" w:color="auto"/>
      </w:divBdr>
    </w:div>
    <w:div w:id="1529950203">
      <w:bodyDiv w:val="1"/>
      <w:marLeft w:val="0"/>
      <w:marRight w:val="0"/>
      <w:marTop w:val="0"/>
      <w:marBottom w:val="0"/>
      <w:divBdr>
        <w:top w:val="none" w:sz="0" w:space="0" w:color="auto"/>
        <w:left w:val="none" w:sz="0" w:space="0" w:color="auto"/>
        <w:bottom w:val="none" w:sz="0" w:space="0" w:color="auto"/>
        <w:right w:val="none" w:sz="0" w:space="0" w:color="auto"/>
      </w:divBdr>
    </w:div>
    <w:div w:id="1692685020">
      <w:bodyDiv w:val="1"/>
      <w:marLeft w:val="0"/>
      <w:marRight w:val="0"/>
      <w:marTop w:val="0"/>
      <w:marBottom w:val="0"/>
      <w:divBdr>
        <w:top w:val="none" w:sz="0" w:space="0" w:color="auto"/>
        <w:left w:val="none" w:sz="0" w:space="0" w:color="auto"/>
        <w:bottom w:val="none" w:sz="0" w:space="0" w:color="auto"/>
        <w:right w:val="none" w:sz="0" w:space="0" w:color="auto"/>
      </w:divBdr>
    </w:div>
    <w:div w:id="1883130916">
      <w:bodyDiv w:val="1"/>
      <w:marLeft w:val="0"/>
      <w:marRight w:val="0"/>
      <w:marTop w:val="0"/>
      <w:marBottom w:val="0"/>
      <w:divBdr>
        <w:top w:val="none" w:sz="0" w:space="0" w:color="auto"/>
        <w:left w:val="none" w:sz="0" w:space="0" w:color="auto"/>
        <w:bottom w:val="none" w:sz="0" w:space="0" w:color="auto"/>
        <w:right w:val="none" w:sz="0" w:space="0" w:color="auto"/>
      </w:divBdr>
    </w:div>
    <w:div w:id="1890140748">
      <w:bodyDiv w:val="1"/>
      <w:marLeft w:val="0"/>
      <w:marRight w:val="0"/>
      <w:marTop w:val="0"/>
      <w:marBottom w:val="0"/>
      <w:divBdr>
        <w:top w:val="none" w:sz="0" w:space="0" w:color="auto"/>
        <w:left w:val="none" w:sz="0" w:space="0" w:color="auto"/>
        <w:bottom w:val="none" w:sz="0" w:space="0" w:color="auto"/>
        <w:right w:val="none" w:sz="0" w:space="0" w:color="auto"/>
      </w:divBdr>
    </w:div>
    <w:div w:id="1890267242">
      <w:bodyDiv w:val="1"/>
      <w:marLeft w:val="0"/>
      <w:marRight w:val="0"/>
      <w:marTop w:val="0"/>
      <w:marBottom w:val="0"/>
      <w:divBdr>
        <w:top w:val="none" w:sz="0" w:space="0" w:color="auto"/>
        <w:left w:val="none" w:sz="0" w:space="0" w:color="auto"/>
        <w:bottom w:val="none" w:sz="0" w:space="0" w:color="auto"/>
        <w:right w:val="none" w:sz="0" w:space="0" w:color="auto"/>
      </w:divBdr>
    </w:div>
    <w:div w:id="1991133264">
      <w:bodyDiv w:val="1"/>
      <w:marLeft w:val="0"/>
      <w:marRight w:val="0"/>
      <w:marTop w:val="0"/>
      <w:marBottom w:val="0"/>
      <w:divBdr>
        <w:top w:val="none" w:sz="0" w:space="0" w:color="auto"/>
        <w:left w:val="none" w:sz="0" w:space="0" w:color="auto"/>
        <w:bottom w:val="none" w:sz="0" w:space="0" w:color="auto"/>
        <w:right w:val="none" w:sz="0" w:space="0" w:color="auto"/>
      </w:divBdr>
    </w:div>
    <w:div w:id="21234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9.health.gov.au/cda/source/rpt_5_sel.cfm.%20Accessed%2016%20November%20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DD9EF-5568-489D-BD19-4973FBDE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6291</Words>
  <Characters>35430</Characters>
  <Application>Microsoft Office Word</Application>
  <DocSecurity>0</DocSecurity>
  <Lines>295</Lines>
  <Paragraphs>83</Paragraphs>
  <ScaleCrop>false</ScaleCrop>
  <LinksUpToDate>false</LinksUpToDate>
  <CharactersWithSpaces>41638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2018-06-19T00:23:00Z</dcterms:created>
  <dcterms:modified xsi:type="dcterms:W3CDTF">2018-06-22T01:28:00Z</dcterms:modified>
</cp:coreProperties>
</file>