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C34584" w:rsidRDefault="00D1064D" w:rsidP="006D6493">
      <w:pPr>
        <w:pStyle w:val="Title"/>
        <w:spacing w:before="120" w:after="160"/>
        <w:ind w:left="720" w:hanging="720"/>
        <w:rPr>
          <w:rFonts w:asciiTheme="minorHAnsi" w:hAnsiTheme="minorHAnsi"/>
          <w:sz w:val="36"/>
          <w:szCs w:val="36"/>
        </w:rPr>
      </w:pPr>
      <w:bookmarkStart w:id="0" w:name="_GoBack"/>
      <w:bookmarkEnd w:id="0"/>
      <w:r w:rsidRPr="00C34584">
        <w:rPr>
          <w:rFonts w:asciiTheme="minorHAnsi" w:hAnsiTheme="minorHAnsi"/>
          <w:sz w:val="36"/>
          <w:szCs w:val="36"/>
        </w:rPr>
        <w:t>6.11</w:t>
      </w:r>
      <w:r w:rsidR="006D6493" w:rsidRPr="00C34584">
        <w:rPr>
          <w:rFonts w:asciiTheme="minorHAnsi" w:hAnsiTheme="minorHAnsi"/>
          <w:sz w:val="36"/>
          <w:szCs w:val="36"/>
        </w:rPr>
        <w:tab/>
      </w:r>
      <w:r w:rsidRPr="00C34584">
        <w:rPr>
          <w:rFonts w:asciiTheme="minorHAnsi" w:hAnsiTheme="minorHAnsi"/>
          <w:sz w:val="36"/>
          <w:szCs w:val="36"/>
        </w:rPr>
        <w:t>MEPOLIZUMAB</w:t>
      </w:r>
      <w:r w:rsidR="006D6493" w:rsidRPr="00C34584">
        <w:rPr>
          <w:rFonts w:asciiTheme="minorHAnsi" w:hAnsiTheme="minorHAnsi"/>
          <w:sz w:val="36"/>
          <w:szCs w:val="36"/>
        </w:rPr>
        <w:br/>
      </w:r>
      <w:r w:rsidRPr="00C34584">
        <w:rPr>
          <w:rFonts w:asciiTheme="minorHAnsi" w:hAnsiTheme="minorHAnsi"/>
          <w:sz w:val="36"/>
          <w:szCs w:val="36"/>
        </w:rPr>
        <w:t>Powder for injection 100 mg</w:t>
      </w:r>
      <w:r w:rsidR="006D6493" w:rsidRPr="00C34584">
        <w:rPr>
          <w:rFonts w:asciiTheme="minorHAnsi" w:hAnsiTheme="minorHAnsi"/>
          <w:sz w:val="36"/>
          <w:szCs w:val="36"/>
        </w:rPr>
        <w:br/>
      </w:r>
      <w:r w:rsidRPr="00C34584">
        <w:rPr>
          <w:rFonts w:asciiTheme="minorHAnsi" w:hAnsiTheme="minorHAnsi"/>
          <w:sz w:val="36"/>
          <w:szCs w:val="36"/>
        </w:rPr>
        <w:t>Nucala</w:t>
      </w:r>
      <w:r w:rsidR="006D6493" w:rsidRPr="00C34584">
        <w:rPr>
          <w:rFonts w:asciiTheme="minorHAnsi" w:hAnsiTheme="minorHAnsi"/>
          <w:sz w:val="36"/>
          <w:szCs w:val="36"/>
          <w:vertAlign w:val="superscript"/>
        </w:rPr>
        <w:t>®</w:t>
      </w:r>
      <w:r w:rsidR="006D6493" w:rsidRPr="00C34584">
        <w:rPr>
          <w:rFonts w:asciiTheme="minorHAnsi" w:hAnsiTheme="minorHAnsi"/>
          <w:sz w:val="36"/>
          <w:szCs w:val="36"/>
        </w:rPr>
        <w:t xml:space="preserve">, </w:t>
      </w:r>
      <w:r w:rsidRPr="00C34584">
        <w:rPr>
          <w:rFonts w:asciiTheme="minorHAnsi" w:hAnsiTheme="minorHAnsi"/>
          <w:sz w:val="36"/>
          <w:szCs w:val="36"/>
        </w:rPr>
        <w:t>GlaxoSmithKline Australia Pty Ltd</w:t>
      </w:r>
    </w:p>
    <w:p w:rsidR="008A50F1" w:rsidRPr="00C34584" w:rsidRDefault="00CE10C4" w:rsidP="00EB0B63">
      <w:pPr>
        <w:pStyle w:val="PBACHeading1"/>
        <w:spacing w:before="240" w:after="120"/>
        <w:ind w:left="709" w:hanging="709"/>
        <w:rPr>
          <w:rFonts w:asciiTheme="minorHAnsi" w:hAnsiTheme="minorHAnsi"/>
          <w:sz w:val="32"/>
          <w:szCs w:val="32"/>
        </w:rPr>
      </w:pPr>
      <w:r w:rsidRPr="00C34584">
        <w:rPr>
          <w:rFonts w:asciiTheme="minorHAnsi" w:hAnsiTheme="minorHAnsi"/>
          <w:sz w:val="32"/>
          <w:szCs w:val="32"/>
        </w:rPr>
        <w:t xml:space="preserve">Purpose of </w:t>
      </w:r>
      <w:r w:rsidR="0004240E" w:rsidRPr="00C34584">
        <w:rPr>
          <w:rFonts w:asciiTheme="minorHAnsi" w:hAnsiTheme="minorHAnsi"/>
          <w:sz w:val="32"/>
          <w:szCs w:val="32"/>
        </w:rPr>
        <w:t>Application</w:t>
      </w:r>
    </w:p>
    <w:p w:rsidR="00EF44A0" w:rsidRPr="00C34584" w:rsidRDefault="00EF44A0" w:rsidP="00AF4605">
      <w:pPr>
        <w:pStyle w:val="ListParagraph"/>
        <w:widowControl/>
        <w:numPr>
          <w:ilvl w:val="1"/>
          <w:numId w:val="5"/>
        </w:numPr>
        <w:spacing w:after="120"/>
        <w:contextualSpacing w:val="0"/>
        <w:rPr>
          <w:rFonts w:asciiTheme="minorHAnsi" w:hAnsiTheme="minorHAnsi"/>
          <w:sz w:val="24"/>
          <w:szCs w:val="24"/>
        </w:rPr>
      </w:pPr>
      <w:r w:rsidRPr="00C34584">
        <w:rPr>
          <w:rFonts w:asciiTheme="minorHAnsi" w:eastAsiaTheme="minorHAnsi" w:hAnsiTheme="minorHAnsi" w:cstheme="minorBidi"/>
          <w:snapToGrid/>
          <w:sz w:val="24"/>
          <w:szCs w:val="22"/>
        </w:rPr>
        <w:t>The mi</w:t>
      </w:r>
      <w:r w:rsidR="00FF2801" w:rsidRPr="00C34584">
        <w:rPr>
          <w:rFonts w:asciiTheme="minorHAnsi" w:eastAsiaTheme="minorHAnsi" w:hAnsiTheme="minorHAnsi" w:cstheme="minorBidi"/>
          <w:snapToGrid/>
          <w:sz w:val="24"/>
          <w:szCs w:val="22"/>
        </w:rPr>
        <w:t xml:space="preserve">nor submission </w:t>
      </w:r>
      <w:r w:rsidR="00AF4605" w:rsidRPr="00C34584">
        <w:rPr>
          <w:rFonts w:asciiTheme="minorHAnsi" w:eastAsiaTheme="minorHAnsi" w:hAnsiTheme="minorHAnsi" w:cstheme="minorBidi"/>
          <w:snapToGrid/>
          <w:sz w:val="24"/>
          <w:szCs w:val="22"/>
        </w:rPr>
        <w:t xml:space="preserve">requested </w:t>
      </w:r>
      <w:r w:rsidR="00BF390E">
        <w:rPr>
          <w:rFonts w:asciiTheme="minorHAnsi" w:eastAsiaTheme="minorHAnsi" w:hAnsiTheme="minorHAnsi" w:cstheme="minorBidi"/>
          <w:snapToGrid/>
          <w:sz w:val="24"/>
          <w:szCs w:val="22"/>
        </w:rPr>
        <w:t>changin</w:t>
      </w:r>
      <w:r w:rsidR="00BA0C39" w:rsidRPr="00C34584">
        <w:rPr>
          <w:rFonts w:asciiTheme="minorHAnsi" w:eastAsiaTheme="minorHAnsi" w:hAnsiTheme="minorHAnsi" w:cstheme="minorBidi"/>
          <w:snapToGrid/>
          <w:sz w:val="24"/>
          <w:szCs w:val="22"/>
        </w:rPr>
        <w:t>g</w:t>
      </w:r>
      <w:r w:rsidR="00AF4605" w:rsidRPr="00C34584">
        <w:rPr>
          <w:rFonts w:asciiTheme="minorHAnsi" w:eastAsiaTheme="minorHAnsi" w:hAnsiTheme="minorHAnsi" w:cstheme="minorBidi"/>
          <w:snapToGrid/>
          <w:sz w:val="24"/>
          <w:szCs w:val="22"/>
        </w:rPr>
        <w:t xml:space="preserve"> the current PBS </w:t>
      </w:r>
      <w:r w:rsidR="00003C96" w:rsidRPr="00C34584">
        <w:rPr>
          <w:rFonts w:asciiTheme="minorHAnsi" w:eastAsiaTheme="minorHAnsi" w:hAnsiTheme="minorHAnsi" w:cstheme="minorBidi"/>
          <w:snapToGrid/>
          <w:sz w:val="24"/>
          <w:szCs w:val="22"/>
        </w:rPr>
        <w:t xml:space="preserve">restriction for mepolizumab </w:t>
      </w:r>
      <w:r w:rsidR="00723D6C" w:rsidRPr="00C34584">
        <w:rPr>
          <w:rFonts w:asciiTheme="minorHAnsi" w:eastAsiaTheme="minorHAnsi" w:hAnsiTheme="minorHAnsi" w:cstheme="minorBidi"/>
          <w:snapToGrid/>
          <w:sz w:val="24"/>
          <w:szCs w:val="22"/>
        </w:rPr>
        <w:t>to</w:t>
      </w:r>
      <w:r w:rsidR="00AF4605" w:rsidRPr="00C34584">
        <w:rPr>
          <w:rFonts w:asciiTheme="minorHAnsi" w:eastAsiaTheme="minorHAnsi" w:hAnsiTheme="minorHAnsi" w:cstheme="minorBidi"/>
          <w:snapToGrid/>
          <w:sz w:val="24"/>
          <w:szCs w:val="22"/>
        </w:rPr>
        <w:t xml:space="preserve"> remov</w:t>
      </w:r>
      <w:r w:rsidR="00723D6C" w:rsidRPr="00C34584">
        <w:rPr>
          <w:rFonts w:asciiTheme="minorHAnsi" w:eastAsiaTheme="minorHAnsi" w:hAnsiTheme="minorHAnsi" w:cstheme="minorBidi"/>
          <w:snapToGrid/>
          <w:sz w:val="24"/>
          <w:szCs w:val="22"/>
        </w:rPr>
        <w:t>e</w:t>
      </w:r>
      <w:r w:rsidR="00AF4605" w:rsidRPr="00C34584">
        <w:rPr>
          <w:rFonts w:asciiTheme="minorHAnsi" w:eastAsiaTheme="minorHAnsi" w:hAnsiTheme="minorHAnsi" w:cstheme="minorBidi"/>
          <w:snapToGrid/>
          <w:sz w:val="24"/>
          <w:szCs w:val="22"/>
        </w:rPr>
        <w:t xml:space="preserve"> the </w:t>
      </w:r>
      <w:r w:rsidR="00003C96" w:rsidRPr="00C34584">
        <w:rPr>
          <w:rFonts w:asciiTheme="minorHAnsi" w:eastAsiaTheme="minorHAnsi" w:hAnsiTheme="minorHAnsi" w:cstheme="minorBidi"/>
          <w:snapToGrid/>
          <w:sz w:val="24"/>
          <w:szCs w:val="22"/>
        </w:rPr>
        <w:t>six</w:t>
      </w:r>
      <w:r w:rsidR="00AF4605" w:rsidRPr="00C34584">
        <w:rPr>
          <w:rFonts w:asciiTheme="minorHAnsi" w:eastAsiaTheme="minorHAnsi" w:hAnsiTheme="minorHAnsi" w:cstheme="minorBidi"/>
          <w:snapToGrid/>
          <w:sz w:val="24"/>
          <w:szCs w:val="22"/>
        </w:rPr>
        <w:t xml:space="preserve"> month </w:t>
      </w:r>
      <w:r w:rsidR="00386A69" w:rsidRPr="00C34584">
        <w:rPr>
          <w:rFonts w:asciiTheme="minorHAnsi" w:eastAsiaTheme="minorHAnsi" w:hAnsiTheme="minorHAnsi" w:cstheme="minorBidi"/>
          <w:snapToGrid/>
          <w:sz w:val="24"/>
          <w:szCs w:val="22"/>
        </w:rPr>
        <w:t xml:space="preserve">treatment </w:t>
      </w:r>
      <w:r w:rsidR="006D6836">
        <w:rPr>
          <w:rFonts w:asciiTheme="minorHAnsi" w:eastAsiaTheme="minorHAnsi" w:hAnsiTheme="minorHAnsi" w:cstheme="minorBidi"/>
          <w:snapToGrid/>
          <w:sz w:val="24"/>
          <w:szCs w:val="22"/>
        </w:rPr>
        <w:t>break</w:t>
      </w:r>
      <w:r w:rsidR="00B47DD8" w:rsidRPr="00C34584">
        <w:rPr>
          <w:rFonts w:asciiTheme="minorHAnsi" w:eastAsiaTheme="minorHAnsi" w:hAnsiTheme="minorHAnsi" w:cstheme="minorBidi"/>
          <w:snapToGrid/>
          <w:sz w:val="24"/>
          <w:szCs w:val="22"/>
        </w:rPr>
        <w:t xml:space="preserve"> </w:t>
      </w:r>
      <w:r w:rsidR="00E836E8" w:rsidRPr="00C34584">
        <w:rPr>
          <w:rFonts w:asciiTheme="minorHAnsi" w:eastAsiaTheme="minorHAnsi" w:hAnsiTheme="minorHAnsi" w:cstheme="minorBidi"/>
          <w:snapToGrid/>
          <w:sz w:val="24"/>
          <w:szCs w:val="22"/>
        </w:rPr>
        <w:t>wh</w:t>
      </w:r>
      <w:r w:rsidR="00003C96" w:rsidRPr="00C34584">
        <w:rPr>
          <w:rFonts w:asciiTheme="minorHAnsi" w:eastAsiaTheme="minorHAnsi" w:hAnsiTheme="minorHAnsi" w:cstheme="minorBidi"/>
          <w:snapToGrid/>
          <w:sz w:val="24"/>
          <w:szCs w:val="22"/>
        </w:rPr>
        <w:t>en</w:t>
      </w:r>
      <w:r w:rsidR="00AF4605" w:rsidRPr="00C34584">
        <w:rPr>
          <w:rFonts w:asciiTheme="minorHAnsi" w:eastAsiaTheme="minorHAnsi" w:hAnsiTheme="minorHAnsi" w:cstheme="minorBidi"/>
          <w:snapToGrid/>
          <w:sz w:val="24"/>
          <w:szCs w:val="22"/>
        </w:rPr>
        <w:t xml:space="preserve"> switching from omalizumab to mepolizumab.</w:t>
      </w:r>
    </w:p>
    <w:p w:rsidR="006A12A5" w:rsidRPr="00C34584" w:rsidRDefault="006A12A5" w:rsidP="00EB0B63">
      <w:pPr>
        <w:pStyle w:val="PBACHeading1"/>
        <w:spacing w:before="240" w:after="120"/>
        <w:ind w:left="709" w:hanging="709"/>
        <w:rPr>
          <w:rFonts w:asciiTheme="minorHAnsi" w:hAnsiTheme="minorHAnsi"/>
          <w:sz w:val="32"/>
          <w:szCs w:val="32"/>
        </w:rPr>
      </w:pPr>
      <w:r w:rsidRPr="00C34584">
        <w:rPr>
          <w:rFonts w:asciiTheme="minorHAnsi" w:hAnsiTheme="minorHAnsi"/>
          <w:sz w:val="32"/>
          <w:szCs w:val="32"/>
        </w:rPr>
        <w:t>Requested listing</w:t>
      </w:r>
    </w:p>
    <w:p w:rsidR="005404B8" w:rsidRPr="005404B8" w:rsidRDefault="00BD4FEE" w:rsidP="005404B8">
      <w:pPr>
        <w:pStyle w:val="ListParagraph"/>
        <w:numPr>
          <w:ilvl w:val="1"/>
          <w:numId w:val="5"/>
        </w:numPr>
        <w:rPr>
          <w:rFonts w:asciiTheme="minorHAnsi" w:eastAsia="Calibri" w:hAnsiTheme="minorHAnsi"/>
          <w:sz w:val="24"/>
          <w:szCs w:val="24"/>
        </w:rPr>
      </w:pPr>
      <w:r w:rsidRPr="005404B8">
        <w:rPr>
          <w:rFonts w:asciiTheme="minorHAnsi" w:eastAsiaTheme="minorHAnsi" w:hAnsiTheme="minorHAnsi" w:cstheme="minorBidi"/>
          <w:snapToGrid/>
          <w:sz w:val="24"/>
          <w:szCs w:val="24"/>
        </w:rPr>
        <w:t xml:space="preserve">The submission requested the following changes to the restriction. </w:t>
      </w:r>
      <w:r w:rsidR="00D15918" w:rsidRPr="005404B8">
        <w:rPr>
          <w:rFonts w:asciiTheme="minorHAnsi" w:eastAsiaTheme="minorHAnsi" w:hAnsiTheme="minorHAnsi" w:cstheme="minorBidi"/>
          <w:snapToGrid/>
          <w:sz w:val="24"/>
          <w:szCs w:val="24"/>
        </w:rPr>
        <w:t>A</w:t>
      </w:r>
      <w:r w:rsidR="00C32016" w:rsidRPr="005404B8">
        <w:rPr>
          <w:rFonts w:asciiTheme="minorHAnsi" w:eastAsiaTheme="minorHAnsi" w:hAnsiTheme="minorHAnsi" w:cstheme="minorBidi"/>
          <w:snapToGrid/>
          <w:sz w:val="24"/>
          <w:szCs w:val="24"/>
        </w:rPr>
        <w:t>bridged version</w:t>
      </w:r>
      <w:r w:rsidR="00D15918" w:rsidRPr="005404B8">
        <w:rPr>
          <w:rFonts w:asciiTheme="minorHAnsi" w:eastAsiaTheme="minorHAnsi" w:hAnsiTheme="minorHAnsi" w:cstheme="minorBidi"/>
          <w:snapToGrid/>
          <w:sz w:val="24"/>
          <w:szCs w:val="24"/>
        </w:rPr>
        <w:t>s</w:t>
      </w:r>
      <w:r w:rsidR="00C32016" w:rsidRPr="005404B8">
        <w:rPr>
          <w:rFonts w:asciiTheme="minorHAnsi" w:eastAsiaTheme="minorHAnsi" w:hAnsiTheme="minorHAnsi" w:cstheme="minorBidi"/>
          <w:snapToGrid/>
          <w:sz w:val="24"/>
          <w:szCs w:val="24"/>
        </w:rPr>
        <w:t xml:space="preserve"> of the </w:t>
      </w:r>
      <w:r w:rsidR="00D15918" w:rsidRPr="005404B8">
        <w:rPr>
          <w:rFonts w:asciiTheme="minorHAnsi" w:eastAsiaTheme="minorHAnsi" w:hAnsiTheme="minorHAnsi" w:cstheme="minorBidi"/>
          <w:snapToGrid/>
          <w:sz w:val="24"/>
          <w:szCs w:val="24"/>
        </w:rPr>
        <w:t>mepolizumab</w:t>
      </w:r>
      <w:r w:rsidR="00C32016" w:rsidRPr="005404B8">
        <w:rPr>
          <w:rFonts w:asciiTheme="minorHAnsi" w:eastAsiaTheme="minorHAnsi" w:hAnsiTheme="minorHAnsi" w:cstheme="minorBidi"/>
          <w:snapToGrid/>
          <w:sz w:val="24"/>
          <w:szCs w:val="24"/>
        </w:rPr>
        <w:t xml:space="preserve"> restriction</w:t>
      </w:r>
      <w:r w:rsidR="00D15918" w:rsidRPr="005404B8">
        <w:rPr>
          <w:rFonts w:asciiTheme="minorHAnsi" w:eastAsiaTheme="minorHAnsi" w:hAnsiTheme="minorHAnsi" w:cstheme="minorBidi"/>
          <w:snapToGrid/>
          <w:sz w:val="24"/>
          <w:szCs w:val="24"/>
        </w:rPr>
        <w:t>s</w:t>
      </w:r>
      <w:r w:rsidR="00C32016" w:rsidRPr="005404B8">
        <w:rPr>
          <w:rFonts w:asciiTheme="minorHAnsi" w:eastAsiaTheme="minorHAnsi" w:hAnsiTheme="minorHAnsi" w:cstheme="minorBidi"/>
          <w:snapToGrid/>
          <w:sz w:val="24"/>
          <w:szCs w:val="24"/>
        </w:rPr>
        <w:t xml:space="preserve"> </w:t>
      </w:r>
      <w:r w:rsidR="00D15918" w:rsidRPr="005404B8">
        <w:rPr>
          <w:rFonts w:asciiTheme="minorHAnsi" w:eastAsiaTheme="minorHAnsi" w:hAnsiTheme="minorHAnsi" w:cstheme="minorBidi"/>
          <w:snapToGrid/>
          <w:sz w:val="24"/>
          <w:szCs w:val="24"/>
        </w:rPr>
        <w:t>are</w:t>
      </w:r>
      <w:r w:rsidR="00C32016" w:rsidRPr="005404B8">
        <w:rPr>
          <w:rFonts w:asciiTheme="minorHAnsi" w:eastAsiaTheme="minorHAnsi" w:hAnsiTheme="minorHAnsi" w:cstheme="minorBidi"/>
          <w:snapToGrid/>
          <w:sz w:val="24"/>
          <w:szCs w:val="24"/>
        </w:rPr>
        <w:t xml:space="preserve"> presented below</w:t>
      </w:r>
      <w:r w:rsidR="00FB7F8D" w:rsidRPr="005404B8">
        <w:rPr>
          <w:rFonts w:asciiTheme="minorHAnsi" w:eastAsiaTheme="minorHAnsi" w:hAnsiTheme="minorHAnsi" w:cstheme="minorBidi"/>
          <w:snapToGrid/>
          <w:sz w:val="24"/>
          <w:szCs w:val="24"/>
        </w:rPr>
        <w:t xml:space="preserve">. </w:t>
      </w:r>
      <w:r w:rsidR="00820250" w:rsidRPr="005404B8">
        <w:rPr>
          <w:rFonts w:asciiTheme="minorHAnsi" w:eastAsia="Calibri" w:hAnsiTheme="minorHAnsi"/>
          <w:sz w:val="24"/>
          <w:szCs w:val="24"/>
        </w:rPr>
        <w:t xml:space="preserve">Changes proposed by the submission are shown in </w:t>
      </w:r>
      <w:r w:rsidR="00820250" w:rsidRPr="005404B8">
        <w:rPr>
          <w:rFonts w:asciiTheme="minorHAnsi" w:eastAsia="Calibri" w:hAnsiTheme="minorHAnsi"/>
          <w:b/>
          <w:sz w:val="24"/>
          <w:szCs w:val="24"/>
        </w:rPr>
        <w:t xml:space="preserve">bold; </w:t>
      </w:r>
      <w:r w:rsidR="00820250" w:rsidRPr="005404B8">
        <w:rPr>
          <w:rFonts w:asciiTheme="minorHAnsi" w:eastAsia="Calibri" w:hAnsiTheme="minorHAnsi"/>
          <w:sz w:val="24"/>
          <w:szCs w:val="24"/>
        </w:rPr>
        <w:t xml:space="preserve">additions proposed by the submission are added in italics and deletions are crossed out with strikethrough. Parts of the restriction that </w:t>
      </w:r>
      <w:r w:rsidR="005404B8" w:rsidRPr="005404B8">
        <w:rPr>
          <w:rFonts w:asciiTheme="minorHAnsi" w:eastAsia="Calibri" w:hAnsiTheme="minorHAnsi"/>
          <w:sz w:val="24"/>
          <w:szCs w:val="24"/>
        </w:rPr>
        <w:t xml:space="preserve">would </w:t>
      </w:r>
      <w:r w:rsidR="00820250" w:rsidRPr="005404B8">
        <w:rPr>
          <w:rFonts w:asciiTheme="minorHAnsi" w:eastAsia="Calibri" w:hAnsiTheme="minorHAnsi"/>
          <w:sz w:val="24"/>
          <w:szCs w:val="24"/>
        </w:rPr>
        <w:t>require amendment</w:t>
      </w:r>
      <w:r w:rsidR="005404B8" w:rsidRPr="005404B8">
        <w:rPr>
          <w:rFonts w:asciiTheme="minorHAnsi" w:eastAsia="Calibri" w:hAnsiTheme="minorHAnsi"/>
          <w:sz w:val="24"/>
          <w:szCs w:val="24"/>
        </w:rPr>
        <w:t xml:space="preserve"> associated with the proposed changes</w:t>
      </w:r>
      <w:r w:rsidR="00820250" w:rsidRPr="005404B8">
        <w:rPr>
          <w:rFonts w:asciiTheme="minorHAnsi" w:eastAsia="Calibri" w:hAnsiTheme="minorHAnsi"/>
          <w:sz w:val="24"/>
          <w:szCs w:val="24"/>
        </w:rPr>
        <w:t xml:space="preserve">, as identified by the Secretariat, are </w:t>
      </w:r>
      <w:r w:rsidR="00820250" w:rsidRPr="005404B8">
        <w:rPr>
          <w:rFonts w:asciiTheme="minorHAnsi" w:eastAsia="Calibri" w:hAnsiTheme="minorHAnsi"/>
          <w:sz w:val="24"/>
          <w:szCs w:val="24"/>
          <w:highlight w:val="lightGray"/>
        </w:rPr>
        <w:t>shaded grey</w:t>
      </w:r>
      <w:r w:rsidR="00820250" w:rsidRPr="005404B8">
        <w:rPr>
          <w:rFonts w:asciiTheme="minorHAnsi" w:eastAsia="Calibri" w:hAnsiTheme="minorHAnsi"/>
          <w:sz w:val="24"/>
          <w:szCs w:val="24"/>
        </w:rPr>
        <w:t>.</w:t>
      </w:r>
      <w:r w:rsidR="00FB7F8D" w:rsidRPr="005404B8">
        <w:rPr>
          <w:rFonts w:asciiTheme="minorHAnsi" w:eastAsia="Calibri" w:hAnsiTheme="minorHAnsi"/>
          <w:sz w:val="24"/>
          <w:szCs w:val="24"/>
        </w:rPr>
        <w:t xml:space="preserve"> </w:t>
      </w:r>
      <w:r w:rsidR="005404B8" w:rsidRPr="005404B8">
        <w:rPr>
          <w:rFonts w:asciiTheme="minorHAnsi" w:eastAsia="Calibri" w:hAnsiTheme="minorHAnsi"/>
          <w:sz w:val="24"/>
          <w:szCs w:val="24"/>
        </w:rPr>
        <w:t>Note that an abridged restriction is provided for continuing therapy with only the relevant sections included.</w:t>
      </w:r>
    </w:p>
    <w:p w:rsidR="00FB7F8D" w:rsidRPr="00C34584" w:rsidRDefault="00FB7F8D" w:rsidP="00FB7F8D">
      <w:pPr>
        <w:pStyle w:val="ListParagraph"/>
        <w:widowControl/>
        <w:snapToGrid w:val="0"/>
        <w:spacing w:after="120"/>
        <w:contextualSpacing w:val="0"/>
        <w:rPr>
          <w:rFonts w:asciiTheme="minorHAnsi" w:eastAsiaTheme="minorHAnsi" w:hAnsiTheme="minorHAnsi" w:cstheme="minorBidi"/>
          <w:snapToGrid/>
          <w:sz w:val="24"/>
          <w:szCs w:val="22"/>
        </w:rPr>
      </w:pPr>
    </w:p>
    <w:tbl>
      <w:tblPr>
        <w:tblW w:w="4891" w:type="pct"/>
        <w:tblLayout w:type="fixed"/>
        <w:tblLook w:val="0000" w:firstRow="0" w:lastRow="0" w:firstColumn="0" w:lastColumn="0" w:noHBand="0" w:noVBand="0"/>
      </w:tblPr>
      <w:tblGrid>
        <w:gridCol w:w="1950"/>
        <w:gridCol w:w="1133"/>
        <w:gridCol w:w="758"/>
        <w:gridCol w:w="910"/>
        <w:gridCol w:w="1597"/>
        <w:gridCol w:w="852"/>
        <w:gridCol w:w="700"/>
        <w:gridCol w:w="899"/>
        <w:gridCol w:w="242"/>
      </w:tblGrid>
      <w:tr w:rsidR="00C32016" w:rsidRPr="00C34584" w:rsidTr="00B61225">
        <w:trPr>
          <w:gridAfter w:val="1"/>
          <w:wAfter w:w="135" w:type="pct"/>
          <w:trHeight w:val="465"/>
        </w:trPr>
        <w:tc>
          <w:tcPr>
            <w:tcW w:w="1706" w:type="pct"/>
            <w:gridSpan w:val="2"/>
            <w:tcBorders>
              <w:bottom w:val="single" w:sz="4" w:space="0" w:color="auto"/>
            </w:tcBorders>
          </w:tcPr>
          <w:p w:rsidR="00C32016" w:rsidRPr="00C34584" w:rsidRDefault="00C3201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Name, Restriction,</w:t>
            </w:r>
          </w:p>
          <w:p w:rsidR="00C32016" w:rsidRPr="00C34584" w:rsidRDefault="00C3201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Manner of administration and form</w:t>
            </w:r>
          </w:p>
        </w:tc>
        <w:tc>
          <w:tcPr>
            <w:tcW w:w="419" w:type="pct"/>
            <w:tcBorders>
              <w:bottom w:val="single" w:sz="4" w:space="0" w:color="auto"/>
            </w:tcBorders>
          </w:tcPr>
          <w:p w:rsidR="00C32016" w:rsidRPr="00C34584" w:rsidRDefault="00C3201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Max.</w:t>
            </w:r>
          </w:p>
          <w:p w:rsidR="00C32016" w:rsidRPr="00C34584" w:rsidRDefault="00C3201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Qty</w:t>
            </w:r>
          </w:p>
        </w:tc>
        <w:tc>
          <w:tcPr>
            <w:tcW w:w="503" w:type="pct"/>
            <w:tcBorders>
              <w:bottom w:val="single" w:sz="4" w:space="0" w:color="auto"/>
            </w:tcBorders>
          </w:tcPr>
          <w:p w:rsidR="00C32016" w:rsidRPr="00C34584" w:rsidRDefault="00C3201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№.of</w:t>
            </w:r>
          </w:p>
          <w:p w:rsidR="00C32016" w:rsidRPr="00C34584" w:rsidRDefault="00C3201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Rpts</w:t>
            </w:r>
          </w:p>
        </w:tc>
        <w:tc>
          <w:tcPr>
            <w:tcW w:w="883" w:type="pct"/>
            <w:tcBorders>
              <w:bottom w:val="single" w:sz="4" w:space="0" w:color="auto"/>
            </w:tcBorders>
          </w:tcPr>
          <w:p w:rsidR="00C32016" w:rsidRPr="00C34584" w:rsidRDefault="00C3201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Dispensed Price for Max. Qty</w:t>
            </w:r>
          </w:p>
        </w:tc>
        <w:tc>
          <w:tcPr>
            <w:tcW w:w="1355" w:type="pct"/>
            <w:gridSpan w:val="3"/>
            <w:tcBorders>
              <w:bottom w:val="single" w:sz="4" w:space="0" w:color="auto"/>
            </w:tcBorders>
          </w:tcPr>
          <w:p w:rsidR="00C32016" w:rsidRPr="00C34584" w:rsidRDefault="00C32016" w:rsidP="002E4841">
            <w:pPr>
              <w:keepNext/>
              <w:spacing w:before="40" w:after="40"/>
              <w:jc w:val="both"/>
              <w:rPr>
                <w:rFonts w:ascii="Arial Narrow" w:hAnsi="Arial Narrow" w:cs="Arial"/>
                <w:b/>
                <w:sz w:val="20"/>
                <w:szCs w:val="20"/>
                <w:lang w:val="fr-FR"/>
              </w:rPr>
            </w:pPr>
            <w:r w:rsidRPr="00C34584">
              <w:rPr>
                <w:rFonts w:ascii="Arial Narrow" w:hAnsi="Arial Narrow" w:cs="Arial"/>
                <w:b/>
                <w:sz w:val="20"/>
                <w:szCs w:val="20"/>
              </w:rPr>
              <w:t>Proprietary Name and Manufacturer</w:t>
            </w:r>
          </w:p>
        </w:tc>
      </w:tr>
      <w:tr w:rsidR="00C32016" w:rsidRPr="00C34584" w:rsidTr="00B61225">
        <w:trPr>
          <w:gridAfter w:val="1"/>
          <w:wAfter w:w="135" w:type="pct"/>
          <w:trHeight w:val="567"/>
        </w:trPr>
        <w:tc>
          <w:tcPr>
            <w:tcW w:w="1706" w:type="pct"/>
            <w:gridSpan w:val="2"/>
          </w:tcPr>
          <w:p w:rsidR="00786E98" w:rsidRPr="00C34584" w:rsidRDefault="00786E98" w:rsidP="002E4841">
            <w:pPr>
              <w:keepNext/>
              <w:spacing w:before="40" w:after="40"/>
              <w:jc w:val="both"/>
              <w:rPr>
                <w:rFonts w:ascii="Arial Narrow" w:hAnsi="Arial Narrow" w:cs="Arial"/>
                <w:smallCaps/>
                <w:sz w:val="20"/>
                <w:szCs w:val="20"/>
              </w:rPr>
            </w:pPr>
            <w:r w:rsidRPr="00C34584">
              <w:rPr>
                <w:rFonts w:ascii="Arial Narrow" w:hAnsi="Arial Narrow" w:cs="Arial"/>
                <w:smallCaps/>
                <w:sz w:val="20"/>
                <w:szCs w:val="20"/>
              </w:rPr>
              <w:t>MEPOLIZUMAB</w:t>
            </w:r>
          </w:p>
          <w:p w:rsidR="00C32016" w:rsidRPr="00C34584" w:rsidRDefault="00786E98" w:rsidP="002E4841">
            <w:pPr>
              <w:keepNext/>
              <w:spacing w:before="40" w:after="40"/>
              <w:jc w:val="both"/>
              <w:rPr>
                <w:rFonts w:ascii="Arial Narrow" w:hAnsi="Arial Narrow" w:cs="Arial"/>
                <w:sz w:val="20"/>
                <w:szCs w:val="20"/>
              </w:rPr>
            </w:pPr>
            <w:r w:rsidRPr="00C34584">
              <w:rPr>
                <w:rFonts w:ascii="Arial Narrow" w:hAnsi="Arial Narrow" w:cs="Arial"/>
                <w:sz w:val="20"/>
                <w:szCs w:val="20"/>
              </w:rPr>
              <w:t>100 mg injection, 1 vial</w:t>
            </w:r>
          </w:p>
        </w:tc>
        <w:tc>
          <w:tcPr>
            <w:tcW w:w="419" w:type="pct"/>
          </w:tcPr>
          <w:p w:rsidR="00C32016" w:rsidRPr="00C34584" w:rsidRDefault="00C32016" w:rsidP="002E4841">
            <w:pPr>
              <w:keepNext/>
              <w:spacing w:before="40" w:after="40"/>
              <w:jc w:val="both"/>
              <w:rPr>
                <w:rFonts w:ascii="Arial Narrow" w:hAnsi="Arial Narrow" w:cs="Arial"/>
                <w:sz w:val="20"/>
                <w:szCs w:val="20"/>
              </w:rPr>
            </w:pPr>
          </w:p>
          <w:p w:rsidR="00C32016" w:rsidRPr="00C34584" w:rsidRDefault="00786E98" w:rsidP="002E4841">
            <w:pPr>
              <w:keepNext/>
              <w:spacing w:before="40" w:after="40"/>
              <w:jc w:val="both"/>
              <w:rPr>
                <w:rFonts w:ascii="Arial Narrow" w:hAnsi="Arial Narrow" w:cs="Arial"/>
                <w:sz w:val="20"/>
                <w:szCs w:val="20"/>
              </w:rPr>
            </w:pPr>
            <w:r w:rsidRPr="00C34584">
              <w:rPr>
                <w:rFonts w:ascii="Arial Narrow" w:hAnsi="Arial Narrow" w:cs="Arial"/>
                <w:sz w:val="20"/>
                <w:szCs w:val="20"/>
              </w:rPr>
              <w:t>1</w:t>
            </w:r>
          </w:p>
        </w:tc>
        <w:tc>
          <w:tcPr>
            <w:tcW w:w="503" w:type="pct"/>
          </w:tcPr>
          <w:p w:rsidR="00C32016" w:rsidRPr="00C34584" w:rsidRDefault="00C32016" w:rsidP="002E4841">
            <w:pPr>
              <w:keepNext/>
              <w:spacing w:before="40" w:after="40"/>
              <w:jc w:val="both"/>
              <w:rPr>
                <w:rFonts w:ascii="Arial Narrow" w:hAnsi="Arial Narrow" w:cs="Arial"/>
                <w:sz w:val="20"/>
                <w:szCs w:val="20"/>
              </w:rPr>
            </w:pPr>
          </w:p>
          <w:p w:rsidR="00C32016" w:rsidRPr="00C34584" w:rsidRDefault="00786E98" w:rsidP="002E4841">
            <w:pPr>
              <w:keepNext/>
              <w:spacing w:before="40" w:after="40"/>
              <w:jc w:val="both"/>
              <w:rPr>
                <w:rFonts w:ascii="Arial Narrow" w:hAnsi="Arial Narrow" w:cs="Arial"/>
                <w:sz w:val="20"/>
                <w:szCs w:val="20"/>
              </w:rPr>
            </w:pPr>
            <w:r w:rsidRPr="00C34584">
              <w:rPr>
                <w:rFonts w:ascii="Arial Narrow" w:hAnsi="Arial Narrow" w:cs="Arial"/>
                <w:sz w:val="20"/>
                <w:szCs w:val="20"/>
              </w:rPr>
              <w:t>7</w:t>
            </w:r>
          </w:p>
        </w:tc>
        <w:tc>
          <w:tcPr>
            <w:tcW w:w="883" w:type="pct"/>
          </w:tcPr>
          <w:p w:rsidR="00786E98" w:rsidRPr="00C34584" w:rsidRDefault="00786E98" w:rsidP="00786E98">
            <w:pPr>
              <w:keepNext/>
              <w:spacing w:before="40" w:after="40"/>
              <w:jc w:val="both"/>
              <w:rPr>
                <w:rFonts w:ascii="Arial Narrow" w:hAnsi="Arial Narrow" w:cs="Arial"/>
                <w:sz w:val="20"/>
                <w:szCs w:val="20"/>
              </w:rPr>
            </w:pPr>
            <w:r w:rsidRPr="00C34584">
              <w:rPr>
                <w:rFonts w:ascii="Arial Narrow" w:hAnsi="Arial Narrow" w:cs="Arial"/>
                <w:sz w:val="20"/>
                <w:szCs w:val="20"/>
              </w:rPr>
              <w:t>Public: $</w:t>
            </w:r>
            <w:r w:rsidRPr="007615B7">
              <w:rPr>
                <w:rFonts w:ascii="Arial Narrow" w:hAnsi="Arial Narrow" w:cs="Arial"/>
                <w:sz w:val="20"/>
                <w:szCs w:val="20"/>
              </w:rPr>
              <w:t>1638.00</w:t>
            </w:r>
          </w:p>
          <w:p w:rsidR="00C32016" w:rsidRPr="00C34584" w:rsidRDefault="00786E98" w:rsidP="00786E98">
            <w:pPr>
              <w:keepNext/>
              <w:spacing w:before="40" w:after="40"/>
              <w:jc w:val="both"/>
              <w:rPr>
                <w:rFonts w:ascii="Arial Narrow" w:hAnsi="Arial Narrow" w:cs="Arial"/>
                <w:sz w:val="20"/>
                <w:szCs w:val="20"/>
              </w:rPr>
            </w:pPr>
            <w:r w:rsidRPr="00C34584">
              <w:rPr>
                <w:rFonts w:ascii="Arial Narrow" w:hAnsi="Arial Narrow" w:cs="Arial"/>
                <w:sz w:val="20"/>
                <w:szCs w:val="20"/>
              </w:rPr>
              <w:t>Private: $</w:t>
            </w:r>
            <w:r w:rsidRPr="007615B7">
              <w:rPr>
                <w:rFonts w:ascii="Arial Narrow" w:hAnsi="Arial Narrow" w:cs="Arial"/>
                <w:sz w:val="20"/>
                <w:szCs w:val="20"/>
              </w:rPr>
              <w:t>1685.15</w:t>
            </w:r>
          </w:p>
        </w:tc>
        <w:tc>
          <w:tcPr>
            <w:tcW w:w="471" w:type="pct"/>
          </w:tcPr>
          <w:p w:rsidR="00786E98" w:rsidRPr="00C34584" w:rsidRDefault="00786E98" w:rsidP="002E4841">
            <w:pPr>
              <w:keepNext/>
              <w:spacing w:before="40" w:after="40"/>
              <w:jc w:val="both"/>
              <w:rPr>
                <w:rFonts w:ascii="Arial Narrow" w:hAnsi="Arial Narrow" w:cs="Arial"/>
                <w:sz w:val="20"/>
                <w:szCs w:val="20"/>
              </w:rPr>
            </w:pPr>
          </w:p>
          <w:p w:rsidR="00C32016" w:rsidRPr="00C34584" w:rsidRDefault="00786E98" w:rsidP="002E4841">
            <w:pPr>
              <w:keepNext/>
              <w:spacing w:before="40" w:after="40"/>
              <w:jc w:val="both"/>
              <w:rPr>
                <w:rFonts w:ascii="Arial Narrow" w:hAnsi="Arial Narrow" w:cs="Arial"/>
                <w:sz w:val="20"/>
                <w:szCs w:val="20"/>
              </w:rPr>
            </w:pPr>
            <w:r w:rsidRPr="00C34584">
              <w:rPr>
                <w:rFonts w:ascii="Arial Narrow" w:hAnsi="Arial Narrow" w:cs="Arial"/>
                <w:sz w:val="20"/>
                <w:szCs w:val="20"/>
              </w:rPr>
              <w:t>Nucala</w:t>
            </w:r>
          </w:p>
        </w:tc>
        <w:tc>
          <w:tcPr>
            <w:tcW w:w="884" w:type="pct"/>
            <w:gridSpan w:val="2"/>
          </w:tcPr>
          <w:p w:rsidR="00C32016" w:rsidRPr="00C34584" w:rsidRDefault="00786E98" w:rsidP="002E4841">
            <w:pPr>
              <w:keepNext/>
              <w:spacing w:before="40" w:after="40"/>
              <w:jc w:val="both"/>
              <w:rPr>
                <w:rFonts w:ascii="Arial Narrow" w:hAnsi="Arial Narrow" w:cs="Arial"/>
                <w:sz w:val="20"/>
                <w:szCs w:val="20"/>
              </w:rPr>
            </w:pPr>
            <w:r w:rsidRPr="00C34584">
              <w:rPr>
                <w:rFonts w:ascii="Arial Narrow" w:hAnsi="Arial Narrow" w:cs="Arial"/>
                <w:sz w:val="20"/>
                <w:szCs w:val="20"/>
              </w:rPr>
              <w:t>GlaxoSmithKline Australia Pty Ltd</w:t>
            </w:r>
          </w:p>
        </w:tc>
      </w:tr>
      <w:tr w:rsidR="00C32016" w:rsidRPr="00C34584" w:rsidTr="00B61225">
        <w:trPr>
          <w:gridAfter w:val="2"/>
          <w:wAfter w:w="631" w:type="pct"/>
          <w:trHeight w:val="360"/>
        </w:trPr>
        <w:tc>
          <w:tcPr>
            <w:tcW w:w="4369" w:type="pct"/>
            <w:gridSpan w:val="7"/>
            <w:tcBorders>
              <w:bottom w:val="single" w:sz="4" w:space="0" w:color="auto"/>
            </w:tcBorders>
          </w:tcPr>
          <w:p w:rsidR="00C32016" w:rsidRPr="00C34584" w:rsidRDefault="00C32016" w:rsidP="002E4841">
            <w:pPr>
              <w:spacing w:before="40" w:after="40"/>
              <w:jc w:val="both"/>
              <w:rPr>
                <w:rFonts w:ascii="Arial Narrow" w:hAnsi="Arial Narrow" w:cs="Arial"/>
                <w:sz w:val="20"/>
                <w:szCs w:val="20"/>
              </w:rPr>
            </w:pP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786E98">
            <w:pPr>
              <w:spacing w:before="40" w:after="40"/>
              <w:jc w:val="both"/>
              <w:rPr>
                <w:rFonts w:ascii="Arial Narrow" w:hAnsi="Arial Narrow" w:cs="Arial"/>
                <w:b/>
                <w:sz w:val="20"/>
                <w:szCs w:val="20"/>
              </w:rPr>
            </w:pPr>
            <w:r w:rsidRPr="00C34584">
              <w:rPr>
                <w:rFonts w:ascii="Arial Narrow" w:hAnsi="Arial Narrow" w:cs="Arial"/>
                <w:sz w:val="20"/>
                <w:szCs w:val="20"/>
              </w:rPr>
              <w:t>Category / Program</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C32016" w:rsidP="002E4841">
            <w:pPr>
              <w:spacing w:before="40" w:after="40"/>
              <w:rPr>
                <w:rFonts w:ascii="Arial Narrow" w:hAnsi="Arial Narrow" w:cs="Arial"/>
                <w:sz w:val="20"/>
                <w:szCs w:val="20"/>
              </w:rPr>
            </w:pPr>
            <w:r w:rsidRPr="00C34584">
              <w:rPr>
                <w:rFonts w:ascii="Arial Narrow" w:hAnsi="Arial Narrow" w:cs="Arial"/>
                <w:sz w:val="20"/>
                <w:szCs w:val="20"/>
              </w:rPr>
              <w:t>Section 100 – Highly Specialised Drugs Program</w:t>
            </w:r>
            <w:r w:rsidR="00FB7F8D" w:rsidRPr="00C34584">
              <w:rPr>
                <w:rFonts w:ascii="Arial Narrow" w:hAnsi="Arial Narrow" w:cs="Arial"/>
                <w:sz w:val="20"/>
                <w:szCs w:val="20"/>
              </w:rPr>
              <w:t>- public and private</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2E4841">
            <w:pPr>
              <w:spacing w:before="40" w:after="40"/>
              <w:jc w:val="both"/>
              <w:rPr>
                <w:rFonts w:ascii="Arial Narrow" w:hAnsi="Arial Narrow" w:cs="Arial"/>
                <w:b/>
                <w:sz w:val="20"/>
                <w:szCs w:val="20"/>
              </w:rPr>
            </w:pPr>
            <w:r w:rsidRPr="00C34584">
              <w:rPr>
                <w:rFonts w:ascii="Arial Narrow" w:hAnsi="Arial Narrow" w:cs="Arial"/>
                <w:b/>
                <w:sz w:val="20"/>
                <w:szCs w:val="20"/>
              </w:rPr>
              <w:t>Prescriber type:</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C32016" w:rsidP="00BA0C39">
            <w:pPr>
              <w:spacing w:before="40" w:after="40"/>
              <w:rPr>
                <w:rFonts w:ascii="Arial Narrow" w:hAnsi="Arial Narrow" w:cs="Arial"/>
                <w:sz w:val="20"/>
                <w:szCs w:val="20"/>
              </w:rPr>
            </w:pPr>
            <w:r w:rsidRPr="00C34584">
              <w:rPr>
                <w:rFonts w:ascii="Arial Narrow" w:hAnsi="Arial Narrow" w:cs="Arial"/>
                <w:sz w:val="20"/>
                <w:szCs w:val="20"/>
              </w:rPr>
              <w:fldChar w:fldCharType="begin">
                <w:ffData>
                  <w:name w:val="Check1"/>
                  <w:enabled/>
                  <w:calcOnExit w:val="0"/>
                  <w:checkBox>
                    <w:sizeAuto/>
                    <w:default w:val="0"/>
                  </w:checkBox>
                </w:ffData>
              </w:fldChar>
            </w:r>
            <w:r w:rsidRPr="00C34584">
              <w:rPr>
                <w:rFonts w:ascii="Arial Narrow" w:hAnsi="Arial Narrow" w:cs="Arial"/>
                <w:sz w:val="20"/>
                <w:szCs w:val="20"/>
              </w:rPr>
              <w:instrText xml:space="preserve"> FORMCHECKBOX </w:instrText>
            </w:r>
            <w:r w:rsidR="00862CF1">
              <w:rPr>
                <w:rFonts w:ascii="Arial Narrow" w:hAnsi="Arial Narrow" w:cs="Arial"/>
                <w:sz w:val="20"/>
                <w:szCs w:val="20"/>
              </w:rPr>
            </w:r>
            <w:r w:rsidR="00862CF1">
              <w:rPr>
                <w:rFonts w:ascii="Arial Narrow" w:hAnsi="Arial Narrow" w:cs="Arial"/>
                <w:sz w:val="20"/>
                <w:szCs w:val="20"/>
              </w:rPr>
              <w:fldChar w:fldCharType="separate"/>
            </w:r>
            <w:r w:rsidRPr="00C34584">
              <w:rPr>
                <w:rFonts w:ascii="Arial Narrow" w:hAnsi="Arial Narrow" w:cs="Arial"/>
                <w:sz w:val="20"/>
                <w:szCs w:val="20"/>
              </w:rPr>
              <w:fldChar w:fldCharType="end"/>
            </w:r>
            <w:r w:rsidRPr="00C34584">
              <w:rPr>
                <w:rFonts w:ascii="Arial Narrow" w:hAnsi="Arial Narrow" w:cs="Arial"/>
                <w:sz w:val="20"/>
                <w:szCs w:val="20"/>
              </w:rPr>
              <w:t xml:space="preserve">Dental  </w:t>
            </w:r>
            <w:r w:rsidR="00786E98" w:rsidRPr="00C34584">
              <w:rPr>
                <w:rFonts w:ascii="Arial Narrow" w:hAnsi="Arial Narrow" w:cs="Arial"/>
                <w:sz w:val="20"/>
                <w:szCs w:val="20"/>
              </w:rPr>
              <w:fldChar w:fldCharType="begin">
                <w:ffData>
                  <w:name w:val=""/>
                  <w:enabled/>
                  <w:calcOnExit w:val="0"/>
                  <w:checkBox>
                    <w:sizeAuto/>
                    <w:default w:val="1"/>
                  </w:checkBox>
                </w:ffData>
              </w:fldChar>
            </w:r>
            <w:r w:rsidR="00786E98" w:rsidRPr="00C34584">
              <w:rPr>
                <w:rFonts w:ascii="Arial Narrow" w:hAnsi="Arial Narrow" w:cs="Arial"/>
                <w:sz w:val="20"/>
                <w:szCs w:val="20"/>
              </w:rPr>
              <w:instrText xml:space="preserve"> FORMCHECKBOX </w:instrText>
            </w:r>
            <w:r w:rsidR="00862CF1">
              <w:rPr>
                <w:rFonts w:ascii="Arial Narrow" w:hAnsi="Arial Narrow" w:cs="Arial"/>
                <w:sz w:val="20"/>
                <w:szCs w:val="20"/>
              </w:rPr>
            </w:r>
            <w:r w:rsidR="00862CF1">
              <w:rPr>
                <w:rFonts w:ascii="Arial Narrow" w:hAnsi="Arial Narrow" w:cs="Arial"/>
                <w:sz w:val="20"/>
                <w:szCs w:val="20"/>
              </w:rPr>
              <w:fldChar w:fldCharType="separate"/>
            </w:r>
            <w:r w:rsidR="00786E98" w:rsidRPr="00C34584">
              <w:rPr>
                <w:rFonts w:ascii="Arial Narrow" w:hAnsi="Arial Narrow" w:cs="Arial"/>
                <w:sz w:val="20"/>
                <w:szCs w:val="20"/>
              </w:rPr>
              <w:fldChar w:fldCharType="end"/>
            </w:r>
            <w:r w:rsidRPr="00C34584">
              <w:rPr>
                <w:rFonts w:ascii="Arial Narrow" w:hAnsi="Arial Narrow" w:cs="Arial"/>
                <w:sz w:val="20"/>
                <w:szCs w:val="20"/>
              </w:rPr>
              <w:t xml:space="preserve">Medical Practitioners  </w:t>
            </w:r>
            <w:r w:rsidRPr="00C34584">
              <w:rPr>
                <w:rFonts w:ascii="Arial Narrow" w:hAnsi="Arial Narrow" w:cs="Arial"/>
                <w:sz w:val="20"/>
                <w:szCs w:val="20"/>
              </w:rPr>
              <w:fldChar w:fldCharType="begin">
                <w:ffData>
                  <w:name w:val="Check3"/>
                  <w:enabled/>
                  <w:calcOnExit w:val="0"/>
                  <w:checkBox>
                    <w:sizeAuto/>
                    <w:default w:val="0"/>
                  </w:checkBox>
                </w:ffData>
              </w:fldChar>
            </w:r>
            <w:r w:rsidRPr="00C34584">
              <w:rPr>
                <w:rFonts w:ascii="Arial Narrow" w:hAnsi="Arial Narrow" w:cs="Arial"/>
                <w:sz w:val="20"/>
                <w:szCs w:val="20"/>
              </w:rPr>
              <w:instrText xml:space="preserve"> FORMCHECKBOX </w:instrText>
            </w:r>
            <w:r w:rsidR="00862CF1">
              <w:rPr>
                <w:rFonts w:ascii="Arial Narrow" w:hAnsi="Arial Narrow" w:cs="Arial"/>
                <w:sz w:val="20"/>
                <w:szCs w:val="20"/>
              </w:rPr>
            </w:r>
            <w:r w:rsidR="00862CF1">
              <w:rPr>
                <w:rFonts w:ascii="Arial Narrow" w:hAnsi="Arial Narrow" w:cs="Arial"/>
                <w:sz w:val="20"/>
                <w:szCs w:val="20"/>
              </w:rPr>
              <w:fldChar w:fldCharType="separate"/>
            </w:r>
            <w:r w:rsidRPr="00C34584">
              <w:rPr>
                <w:rFonts w:ascii="Arial Narrow" w:hAnsi="Arial Narrow" w:cs="Arial"/>
                <w:sz w:val="20"/>
                <w:szCs w:val="20"/>
              </w:rPr>
              <w:fldChar w:fldCharType="end"/>
            </w:r>
            <w:r w:rsidRPr="00C34584">
              <w:rPr>
                <w:rFonts w:ascii="Arial Narrow" w:hAnsi="Arial Narrow" w:cs="Arial"/>
                <w:sz w:val="20"/>
                <w:szCs w:val="20"/>
              </w:rPr>
              <w:t xml:space="preserve">Nurse practitioners  </w:t>
            </w:r>
            <w:r w:rsidRPr="00C34584">
              <w:rPr>
                <w:rFonts w:ascii="Arial Narrow" w:hAnsi="Arial Narrow" w:cs="Arial"/>
                <w:sz w:val="20"/>
                <w:szCs w:val="20"/>
              </w:rPr>
              <w:fldChar w:fldCharType="begin">
                <w:ffData>
                  <w:name w:val=""/>
                  <w:enabled/>
                  <w:calcOnExit w:val="0"/>
                  <w:checkBox>
                    <w:sizeAuto/>
                    <w:default w:val="0"/>
                  </w:checkBox>
                </w:ffData>
              </w:fldChar>
            </w:r>
            <w:r w:rsidRPr="00C34584">
              <w:rPr>
                <w:rFonts w:ascii="Arial Narrow" w:hAnsi="Arial Narrow" w:cs="Arial"/>
                <w:sz w:val="20"/>
                <w:szCs w:val="20"/>
              </w:rPr>
              <w:instrText xml:space="preserve"> FORMCHECKBOX </w:instrText>
            </w:r>
            <w:r w:rsidR="00862CF1">
              <w:rPr>
                <w:rFonts w:ascii="Arial Narrow" w:hAnsi="Arial Narrow" w:cs="Arial"/>
                <w:sz w:val="20"/>
                <w:szCs w:val="20"/>
              </w:rPr>
            </w:r>
            <w:r w:rsidR="00862CF1">
              <w:rPr>
                <w:rFonts w:ascii="Arial Narrow" w:hAnsi="Arial Narrow" w:cs="Arial"/>
                <w:sz w:val="20"/>
                <w:szCs w:val="20"/>
              </w:rPr>
              <w:fldChar w:fldCharType="separate"/>
            </w:r>
            <w:r w:rsidRPr="00C34584">
              <w:rPr>
                <w:rFonts w:ascii="Arial Narrow" w:hAnsi="Arial Narrow" w:cs="Arial"/>
                <w:sz w:val="20"/>
                <w:szCs w:val="20"/>
              </w:rPr>
              <w:fldChar w:fldCharType="end"/>
            </w:r>
            <w:r w:rsidRPr="00C34584">
              <w:rPr>
                <w:rFonts w:ascii="Arial Narrow" w:hAnsi="Arial Narrow" w:cs="Arial"/>
                <w:sz w:val="20"/>
                <w:szCs w:val="20"/>
              </w:rPr>
              <w:t>Optometrists</w:t>
            </w:r>
            <w:r w:rsidR="00BA0C39" w:rsidRPr="00C34584">
              <w:rPr>
                <w:rFonts w:ascii="Arial Narrow" w:hAnsi="Arial Narrow" w:cs="Arial"/>
                <w:sz w:val="20"/>
                <w:szCs w:val="20"/>
              </w:rPr>
              <w:t xml:space="preserve"> </w:t>
            </w:r>
            <w:r w:rsidRPr="00C34584">
              <w:rPr>
                <w:rFonts w:ascii="Arial Narrow" w:hAnsi="Arial Narrow" w:cs="Arial"/>
                <w:sz w:val="20"/>
                <w:szCs w:val="20"/>
              </w:rPr>
              <w:fldChar w:fldCharType="begin">
                <w:ffData>
                  <w:name w:val="Check5"/>
                  <w:enabled/>
                  <w:calcOnExit w:val="0"/>
                  <w:checkBox>
                    <w:sizeAuto/>
                    <w:default w:val="0"/>
                  </w:checkBox>
                </w:ffData>
              </w:fldChar>
            </w:r>
            <w:r w:rsidRPr="00C34584">
              <w:rPr>
                <w:rFonts w:ascii="Arial Narrow" w:hAnsi="Arial Narrow" w:cs="Arial"/>
                <w:sz w:val="20"/>
                <w:szCs w:val="20"/>
              </w:rPr>
              <w:instrText xml:space="preserve"> FORMCHECKBOX </w:instrText>
            </w:r>
            <w:r w:rsidR="00862CF1">
              <w:rPr>
                <w:rFonts w:ascii="Arial Narrow" w:hAnsi="Arial Narrow" w:cs="Arial"/>
                <w:sz w:val="20"/>
                <w:szCs w:val="20"/>
              </w:rPr>
            </w:r>
            <w:r w:rsidR="00862CF1">
              <w:rPr>
                <w:rFonts w:ascii="Arial Narrow" w:hAnsi="Arial Narrow" w:cs="Arial"/>
                <w:sz w:val="20"/>
                <w:szCs w:val="20"/>
              </w:rPr>
              <w:fldChar w:fldCharType="separate"/>
            </w:r>
            <w:r w:rsidRPr="00C34584">
              <w:rPr>
                <w:rFonts w:ascii="Arial Narrow" w:hAnsi="Arial Narrow" w:cs="Arial"/>
                <w:sz w:val="20"/>
                <w:szCs w:val="20"/>
              </w:rPr>
              <w:fldChar w:fldCharType="end"/>
            </w:r>
            <w:r w:rsidRPr="00C34584">
              <w:rPr>
                <w:rFonts w:ascii="Arial Narrow" w:hAnsi="Arial Narrow" w:cs="Arial"/>
                <w:sz w:val="20"/>
                <w:szCs w:val="20"/>
              </w:rPr>
              <w:t>Midwives</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2E4841">
            <w:pPr>
              <w:spacing w:before="40" w:after="40"/>
              <w:jc w:val="both"/>
              <w:rPr>
                <w:rFonts w:ascii="Arial Narrow" w:hAnsi="Arial Narrow" w:cs="Arial"/>
                <w:b/>
                <w:sz w:val="20"/>
                <w:szCs w:val="20"/>
              </w:rPr>
            </w:pPr>
            <w:r w:rsidRPr="00C34584">
              <w:rPr>
                <w:rFonts w:ascii="Arial Narrow" w:hAnsi="Arial Narrow" w:cs="Arial"/>
                <w:b/>
                <w:sz w:val="20"/>
                <w:szCs w:val="20"/>
              </w:rPr>
              <w:t>PBS Indication:</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786E98" w:rsidP="002E4841">
            <w:pPr>
              <w:spacing w:before="40" w:after="40"/>
              <w:rPr>
                <w:rFonts w:ascii="Arial Narrow" w:hAnsi="Arial Narrow" w:cs="Arial"/>
                <w:sz w:val="20"/>
                <w:szCs w:val="20"/>
              </w:rPr>
            </w:pPr>
            <w:r w:rsidRPr="00C34584">
              <w:rPr>
                <w:rFonts w:ascii="Arial Narrow" w:hAnsi="Arial Narrow" w:cs="Arial"/>
                <w:sz w:val="20"/>
                <w:szCs w:val="20"/>
              </w:rPr>
              <w:t>Uncontrolled severe eosinophilic asthma</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2E4841">
            <w:pPr>
              <w:spacing w:before="40" w:after="40"/>
              <w:jc w:val="both"/>
              <w:rPr>
                <w:rFonts w:ascii="Arial Narrow" w:hAnsi="Arial Narrow" w:cs="Arial"/>
                <w:b/>
                <w:sz w:val="20"/>
                <w:szCs w:val="20"/>
              </w:rPr>
            </w:pPr>
            <w:r w:rsidRPr="00C34584">
              <w:rPr>
                <w:rFonts w:ascii="Arial Narrow" w:hAnsi="Arial Narrow" w:cs="Arial"/>
                <w:b/>
                <w:sz w:val="20"/>
                <w:szCs w:val="20"/>
              </w:rPr>
              <w:t>Treatment phase:</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1D4786" w:rsidP="002E4841">
            <w:pPr>
              <w:spacing w:before="40" w:after="40"/>
              <w:rPr>
                <w:rFonts w:ascii="Arial Narrow" w:hAnsi="Arial Narrow" w:cs="Arial"/>
                <w:sz w:val="20"/>
                <w:szCs w:val="20"/>
              </w:rPr>
            </w:pPr>
            <w:r w:rsidRPr="00C34584">
              <w:rPr>
                <w:rFonts w:ascii="Arial Narrow" w:hAnsi="Arial Narrow" w:cs="Arial"/>
                <w:sz w:val="20"/>
                <w:szCs w:val="20"/>
              </w:rPr>
              <w:t>Initial treatment</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662965">
            <w:pPr>
              <w:spacing w:before="40" w:after="40"/>
              <w:jc w:val="both"/>
              <w:rPr>
                <w:rFonts w:ascii="Arial Narrow" w:hAnsi="Arial Narrow" w:cs="Arial"/>
                <w:sz w:val="20"/>
                <w:szCs w:val="20"/>
              </w:rPr>
            </w:pPr>
            <w:r w:rsidRPr="00C34584">
              <w:rPr>
                <w:rFonts w:ascii="Arial Narrow" w:hAnsi="Arial Narrow" w:cs="Arial"/>
                <w:b/>
                <w:sz w:val="20"/>
                <w:szCs w:val="20"/>
              </w:rPr>
              <w:t>Restriction Level / Method:</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273D2A" w:rsidP="00662965">
            <w:pPr>
              <w:spacing w:before="40" w:after="40"/>
              <w:rPr>
                <w:rFonts w:ascii="Arial Narrow" w:hAnsi="Arial Narrow" w:cs="Arial"/>
                <w:sz w:val="20"/>
                <w:szCs w:val="20"/>
              </w:rPr>
            </w:pPr>
            <w:r w:rsidRPr="00C34584">
              <w:rPr>
                <w:rFonts w:ascii="Arial Narrow" w:hAnsi="Arial Narrow" w:cs="Arial"/>
                <w:sz w:val="20"/>
                <w:szCs w:val="20"/>
              </w:rPr>
              <w:fldChar w:fldCharType="begin">
                <w:ffData>
                  <w:name w:val=""/>
                  <w:enabled/>
                  <w:calcOnExit w:val="0"/>
                  <w:checkBox>
                    <w:sizeAuto/>
                    <w:default w:val="1"/>
                  </w:checkBox>
                </w:ffData>
              </w:fldChar>
            </w:r>
            <w:r w:rsidRPr="00C34584">
              <w:rPr>
                <w:rFonts w:ascii="Arial Narrow" w:hAnsi="Arial Narrow" w:cs="Arial"/>
                <w:sz w:val="20"/>
                <w:szCs w:val="20"/>
              </w:rPr>
              <w:instrText xml:space="preserve"> FORMCHECKBOX </w:instrText>
            </w:r>
            <w:r w:rsidR="00862CF1">
              <w:rPr>
                <w:rFonts w:ascii="Arial Narrow" w:hAnsi="Arial Narrow" w:cs="Arial"/>
                <w:sz w:val="20"/>
                <w:szCs w:val="20"/>
              </w:rPr>
            </w:r>
            <w:r w:rsidR="00862CF1">
              <w:rPr>
                <w:rFonts w:ascii="Arial Narrow" w:hAnsi="Arial Narrow" w:cs="Arial"/>
                <w:sz w:val="20"/>
                <w:szCs w:val="20"/>
              </w:rPr>
              <w:fldChar w:fldCharType="separate"/>
            </w:r>
            <w:r w:rsidRPr="00C34584">
              <w:rPr>
                <w:rFonts w:ascii="Arial Narrow" w:hAnsi="Arial Narrow" w:cs="Arial"/>
                <w:sz w:val="20"/>
                <w:szCs w:val="20"/>
              </w:rPr>
              <w:fldChar w:fldCharType="end"/>
            </w:r>
            <w:r w:rsidR="00C32016" w:rsidRPr="00C34584">
              <w:rPr>
                <w:rFonts w:ascii="Arial Narrow" w:hAnsi="Arial Narrow" w:cs="Arial"/>
                <w:sz w:val="20"/>
                <w:szCs w:val="20"/>
              </w:rPr>
              <w:t>Authority Required - In Writing</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C22F12">
            <w:pPr>
              <w:spacing w:before="40" w:after="40"/>
              <w:rPr>
                <w:rFonts w:ascii="Arial Narrow" w:hAnsi="Arial Narrow" w:cs="Arial"/>
                <w:b/>
                <w:sz w:val="20"/>
                <w:szCs w:val="20"/>
              </w:rPr>
            </w:pPr>
            <w:r w:rsidRPr="00C34584">
              <w:rPr>
                <w:rFonts w:ascii="Arial Narrow" w:hAnsi="Arial Narrow" w:cs="Arial"/>
                <w:b/>
                <w:sz w:val="20"/>
                <w:szCs w:val="20"/>
              </w:rPr>
              <w:t>Treatment criteria:</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B21F2A" w:rsidP="002E4841">
            <w:pPr>
              <w:spacing w:before="40" w:after="40"/>
              <w:rPr>
                <w:rFonts w:ascii="Arial Narrow" w:hAnsi="Arial Narrow" w:cs="Arial"/>
                <w:sz w:val="20"/>
                <w:szCs w:val="20"/>
              </w:rPr>
            </w:pPr>
            <w:r w:rsidRPr="00C34584">
              <w:rPr>
                <w:rFonts w:ascii="Arial Narrow" w:hAnsi="Arial Narrow" w:cs="Arial"/>
                <w:sz w:val="20"/>
                <w:szCs w:val="20"/>
              </w:rPr>
              <w:t>As per existing restriction (no changes proposed)</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2E4841">
            <w:pPr>
              <w:spacing w:before="40" w:after="40"/>
              <w:jc w:val="both"/>
              <w:rPr>
                <w:rFonts w:ascii="Arial Narrow" w:hAnsi="Arial Narrow" w:cs="Arial"/>
                <w:b/>
                <w:sz w:val="20"/>
                <w:szCs w:val="20"/>
              </w:rPr>
            </w:pPr>
            <w:r w:rsidRPr="00C34584">
              <w:rPr>
                <w:rFonts w:ascii="Arial Narrow" w:hAnsi="Arial Narrow" w:cs="Arial"/>
                <w:b/>
                <w:sz w:val="20"/>
                <w:szCs w:val="20"/>
              </w:rPr>
              <w:t>Clinical criteria:</w:t>
            </w:r>
          </w:p>
          <w:p w:rsidR="00C32016" w:rsidRPr="00C34584" w:rsidRDefault="00C32016" w:rsidP="00C22F12">
            <w:pPr>
              <w:spacing w:before="40" w:after="40"/>
              <w:jc w:val="both"/>
              <w:rPr>
                <w:rFonts w:ascii="Arial Narrow" w:hAnsi="Arial Narrow" w:cs="Arial"/>
                <w:sz w:val="20"/>
                <w:szCs w:val="20"/>
              </w:rPr>
            </w:pPr>
          </w:p>
        </w:tc>
        <w:tc>
          <w:tcPr>
            <w:tcW w:w="3921" w:type="pct"/>
            <w:gridSpan w:val="8"/>
            <w:tcBorders>
              <w:top w:val="single" w:sz="4" w:space="0" w:color="auto"/>
              <w:left w:val="single" w:sz="4" w:space="0" w:color="auto"/>
              <w:bottom w:val="single" w:sz="4" w:space="0" w:color="auto"/>
              <w:right w:val="single" w:sz="4" w:space="0" w:color="auto"/>
            </w:tcBorders>
          </w:tcPr>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Patient must be under the care of the same physician for at least 12 months,</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w:t>
            </w:r>
            <w:r w:rsidRPr="00C34584">
              <w:rPr>
                <w:rFonts w:ascii="Arial Narrow" w:hAnsi="Arial Narrow" w:cs="Arial"/>
                <w:sz w:val="20"/>
                <w:szCs w:val="20"/>
              </w:rPr>
              <w:lastRenderedPageBreak/>
              <w:t>between the two highest and two lowest peak expiratory flow rates during 14 days,</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Patient must have a duration of asthma of at least 1 year,</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Patient must have forced expiratory volume (FEV1) less than or equal to 80% predicted, documented on 1 or more occasions in the previous 12 months,</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 xml:space="preserve">Patient must have blood eosinophil count greater than or equal to 300 cells per microlitre in the last </w:t>
            </w:r>
            <w:r w:rsidR="00C61C4F" w:rsidRPr="00C34584">
              <w:rPr>
                <w:rFonts w:ascii="Arial Narrow" w:hAnsi="Arial Narrow" w:cs="Arial"/>
                <w:sz w:val="20"/>
                <w:szCs w:val="20"/>
              </w:rPr>
              <w:t>12 months</w:t>
            </w:r>
            <w:r w:rsidRPr="00C34584">
              <w:rPr>
                <w:rFonts w:ascii="Arial Narrow" w:hAnsi="Arial Narrow" w:cs="Arial"/>
                <w:sz w:val="20"/>
                <w:szCs w:val="20"/>
              </w:rPr>
              <w:t>,</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Patient must have failed to achieve adequate control with optimised asthma therapy, despite formal assessment of and adherence to correct inhaler technique, which has been documented,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C32016" w:rsidRPr="00C34584" w:rsidRDefault="001D4786" w:rsidP="00D01E71">
            <w:pPr>
              <w:spacing w:before="40" w:after="40"/>
              <w:rPr>
                <w:rFonts w:ascii="Arial Narrow" w:hAnsi="Arial Narrow" w:cs="Arial"/>
                <w:sz w:val="20"/>
                <w:szCs w:val="20"/>
              </w:rPr>
            </w:pPr>
            <w:r w:rsidRPr="00C34584">
              <w:rPr>
                <w:rFonts w:ascii="Arial Narrow" w:hAnsi="Arial Narrow" w:cs="Arial"/>
                <w:sz w:val="20"/>
                <w:szCs w:val="20"/>
              </w:rPr>
              <w:t>The treatment must not be used in combination with</w:t>
            </w:r>
            <w:r w:rsidRPr="00C34584">
              <w:rPr>
                <w:rFonts w:ascii="Arial Narrow" w:hAnsi="Arial Narrow" w:cs="Arial"/>
                <w:b/>
                <w:strike/>
                <w:sz w:val="20"/>
                <w:szCs w:val="20"/>
              </w:rPr>
              <w:t>, or within 6 months of treatment with,</w:t>
            </w:r>
            <w:r w:rsidRPr="00C34584">
              <w:rPr>
                <w:rFonts w:ascii="Arial Narrow" w:hAnsi="Arial Narrow" w:cs="Arial"/>
                <w:sz w:val="20"/>
                <w:szCs w:val="20"/>
              </w:rPr>
              <w:t xml:space="preserve"> PBS-subsidised omalizumab.</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C22F12">
            <w:pPr>
              <w:spacing w:before="40" w:after="40"/>
              <w:jc w:val="both"/>
              <w:rPr>
                <w:rFonts w:ascii="Arial Narrow" w:hAnsi="Arial Narrow" w:cs="Arial"/>
                <w:b/>
                <w:sz w:val="20"/>
                <w:szCs w:val="20"/>
              </w:rPr>
            </w:pPr>
            <w:r w:rsidRPr="00C34584">
              <w:rPr>
                <w:rFonts w:ascii="Arial Narrow" w:hAnsi="Arial Narrow" w:cs="Arial"/>
                <w:b/>
                <w:sz w:val="20"/>
                <w:szCs w:val="20"/>
              </w:rPr>
              <w:lastRenderedPageBreak/>
              <w:t>Population criteria:</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B21F2A" w:rsidP="002E4841">
            <w:pPr>
              <w:spacing w:before="40" w:after="40"/>
              <w:jc w:val="both"/>
              <w:rPr>
                <w:rFonts w:ascii="Arial Narrow" w:hAnsi="Arial Narrow" w:cs="Arial"/>
                <w:sz w:val="20"/>
                <w:szCs w:val="20"/>
              </w:rPr>
            </w:pPr>
            <w:r w:rsidRPr="00C34584">
              <w:rPr>
                <w:rFonts w:ascii="Arial Narrow" w:hAnsi="Arial Narrow" w:cs="Arial"/>
                <w:sz w:val="20"/>
                <w:szCs w:val="20"/>
              </w:rPr>
              <w:t>As per existing restriction (no changes proposed)</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2E4841">
            <w:pPr>
              <w:spacing w:before="40" w:after="40"/>
              <w:jc w:val="both"/>
              <w:rPr>
                <w:rFonts w:ascii="Arial Narrow" w:hAnsi="Arial Narrow" w:cs="Arial"/>
                <w:b/>
                <w:sz w:val="20"/>
                <w:szCs w:val="20"/>
              </w:rPr>
            </w:pPr>
            <w:r w:rsidRPr="00C34584">
              <w:rPr>
                <w:rFonts w:ascii="Arial Narrow" w:hAnsi="Arial Narrow" w:cs="Arial"/>
                <w:b/>
                <w:sz w:val="20"/>
                <w:szCs w:val="20"/>
              </w:rPr>
              <w:t>Prescriber Instructions</w:t>
            </w:r>
          </w:p>
          <w:p w:rsidR="00C32016" w:rsidRPr="00C34584" w:rsidRDefault="00C32016" w:rsidP="00C22F12">
            <w:pPr>
              <w:spacing w:before="40" w:after="40"/>
              <w:jc w:val="both"/>
              <w:rPr>
                <w:rFonts w:ascii="Arial Narrow" w:hAnsi="Arial Narrow" w:cs="Arial"/>
                <w:sz w:val="20"/>
                <w:szCs w:val="20"/>
              </w:rPr>
            </w:pPr>
          </w:p>
        </w:tc>
        <w:tc>
          <w:tcPr>
            <w:tcW w:w="3921" w:type="pct"/>
            <w:gridSpan w:val="8"/>
            <w:tcBorders>
              <w:top w:val="single" w:sz="4" w:space="0" w:color="auto"/>
              <w:left w:val="single" w:sz="4" w:space="0" w:color="auto"/>
              <w:bottom w:val="single" w:sz="4" w:space="0" w:color="auto"/>
              <w:right w:val="single" w:sz="4" w:space="0" w:color="auto"/>
            </w:tcBorders>
          </w:tcPr>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Optimised asthma therapy includes:</w:t>
            </w: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(i) Adherence to maximal inhaled therapy, including high dose inhaled corticosteroid (ICS) plus long-acting beta-2 agonist (LABA) therapy for at least 12 months, unless contraindicated or not tolerated;</w:t>
            </w: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(ii) treatment with oral corticosteroids, either daily oral corticosteroids for at least 6 weeks, OR a cumulative dose of oral corticosteroids of at least 500 mg prednisolone equivalent in the previous 12 months, unless contraindicated or not tolerated.</w:t>
            </w: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1D4786" w:rsidRPr="00C34584" w:rsidRDefault="001D4786" w:rsidP="00C13D8B">
            <w:pPr>
              <w:spacing w:before="40" w:after="40"/>
              <w:ind w:right="-77"/>
              <w:rPr>
                <w:rFonts w:ascii="Arial Narrow" w:hAnsi="Arial Narrow" w:cs="Arial"/>
                <w:sz w:val="20"/>
                <w:szCs w:val="20"/>
              </w:rPr>
            </w:pP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The following initiation criteria indicate failure to achieve adequate control and must be demonstrated in all patients at the time of the application:</w:t>
            </w: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(a) an Asthma Control Questionnaire (ACQ-5) score of at least 2.0, as assessed in the previous month, AND</w:t>
            </w: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1D4786" w:rsidRPr="00C34584" w:rsidRDefault="001D4786" w:rsidP="00C13D8B">
            <w:pPr>
              <w:spacing w:before="40" w:after="40"/>
              <w:ind w:right="-77"/>
              <w:rPr>
                <w:rFonts w:ascii="Arial Narrow" w:hAnsi="Arial Narrow" w:cs="Arial"/>
                <w:sz w:val="20"/>
                <w:szCs w:val="20"/>
              </w:rPr>
            </w:pP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The Asthma Control Questionnaire (5 item version) assessment of the patient must be made at time of application for treatment (to establish baseline score) and again around 26 to 30 weeks after the first dose so that there is adequate time for a response to be demonstrated and for the application for continuing therapy to be processed.</w:t>
            </w:r>
          </w:p>
          <w:p w:rsidR="00FD3C21" w:rsidRPr="00C34584" w:rsidRDefault="00FD3C21" w:rsidP="00C13D8B">
            <w:pPr>
              <w:spacing w:before="40" w:after="40"/>
              <w:ind w:right="-77"/>
              <w:rPr>
                <w:rFonts w:ascii="Arial Narrow" w:hAnsi="Arial Narrow" w:cs="Arial"/>
                <w:sz w:val="20"/>
                <w:szCs w:val="20"/>
              </w:rPr>
            </w:pP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 xml:space="preserve">This assessment at around 26 to 30 weeks, which will be used to determine eligibility for continuing treatment, must be submitted within 4 weeks of the date of assessment, and no later </w:t>
            </w:r>
            <w:r w:rsidRPr="00C34584">
              <w:rPr>
                <w:rFonts w:ascii="Arial Narrow" w:hAnsi="Arial Narrow" w:cs="Arial"/>
                <w:sz w:val="20"/>
                <w:szCs w:val="20"/>
              </w:rPr>
              <w:lastRenderedPageBreak/>
              <w:t>than 2 weeks prior to the patient completing their current treatment course, to avoid an interruption to supply. Where a response assessment is not undertaken and submitted within this timeframe, the patient will be deemed to have failed to respond to treatment with mepolizumab.</w:t>
            </w:r>
          </w:p>
          <w:p w:rsidR="001D4786" w:rsidRPr="00C34584" w:rsidRDefault="001D4786" w:rsidP="00C13D8B">
            <w:pPr>
              <w:spacing w:before="40" w:after="40"/>
              <w:ind w:right="-77"/>
              <w:rPr>
                <w:rFonts w:ascii="Arial Narrow" w:hAnsi="Arial Narrow" w:cs="Arial"/>
                <w:sz w:val="20"/>
                <w:szCs w:val="20"/>
              </w:rPr>
            </w:pP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 xml:space="preserve">A patient who fails to respond to a course of PBS-subsidised mepolizumab for the treatment of uncontrolled severe eosinophilic asthma will not be eligible to receive further PBS-subsidised treatment with mepolizumab </w:t>
            </w:r>
            <w:r w:rsidR="00C444C2" w:rsidRPr="007C5E92">
              <w:rPr>
                <w:rFonts w:ascii="Arial Narrow" w:hAnsi="Arial Narrow" w:cs="Arial"/>
                <w:strike/>
                <w:sz w:val="20"/>
                <w:szCs w:val="20"/>
                <w:highlight w:val="lightGray"/>
              </w:rPr>
              <w:t>or omalizumab</w:t>
            </w:r>
            <w:r w:rsidR="00C444C2" w:rsidRPr="00DD6906">
              <w:rPr>
                <w:rFonts w:ascii="Arial Narrow" w:hAnsi="Arial Narrow" w:cs="Arial"/>
                <w:color w:val="FFFFFF" w:themeColor="background1"/>
                <w:sz w:val="20"/>
                <w:szCs w:val="20"/>
              </w:rPr>
              <w:t xml:space="preserve"> </w:t>
            </w:r>
            <w:r w:rsidRPr="00C34584">
              <w:rPr>
                <w:rFonts w:ascii="Arial Narrow" w:hAnsi="Arial Narrow" w:cs="Arial"/>
                <w:sz w:val="20"/>
                <w:szCs w:val="20"/>
              </w:rPr>
              <w:t>within 6 months of the date on which treatment was ceased.</w:t>
            </w:r>
          </w:p>
          <w:p w:rsidR="001D4786" w:rsidRPr="00C34584" w:rsidRDefault="001D4786" w:rsidP="00C13D8B">
            <w:pPr>
              <w:spacing w:before="40" w:after="40"/>
              <w:ind w:right="-77"/>
              <w:rPr>
                <w:rFonts w:ascii="Arial Narrow" w:hAnsi="Arial Narrow" w:cs="Arial"/>
                <w:sz w:val="20"/>
                <w:szCs w:val="20"/>
              </w:rPr>
            </w:pPr>
          </w:p>
          <w:p w:rsidR="001D4786" w:rsidRPr="00C34584" w:rsidRDefault="001D4786" w:rsidP="00C13D8B">
            <w:pPr>
              <w:spacing w:before="40" w:after="40"/>
              <w:ind w:right="-77"/>
              <w:rPr>
                <w:rFonts w:ascii="Arial Narrow" w:hAnsi="Arial Narrow" w:cs="Arial"/>
                <w:sz w:val="20"/>
                <w:szCs w:val="20"/>
              </w:rPr>
            </w:pPr>
            <w:r w:rsidRPr="00C34584">
              <w:rPr>
                <w:rFonts w:ascii="Arial Narrow" w:hAnsi="Arial Narrow" w:cs="Arial"/>
                <w:sz w:val="20"/>
                <w:szCs w:val="20"/>
              </w:rPr>
              <w:t>At the time of the authority application, medical practitioners should request 7 repeats to provide for an initial course of mepolizumab sufficient for 32 weeks of therapy.</w:t>
            </w:r>
          </w:p>
          <w:p w:rsidR="001D4786" w:rsidRPr="00C34584" w:rsidRDefault="001D4786" w:rsidP="00C13D8B">
            <w:pPr>
              <w:spacing w:before="40" w:after="40"/>
              <w:ind w:right="-77"/>
              <w:rPr>
                <w:rFonts w:ascii="Arial Narrow" w:hAnsi="Arial Narrow" w:cs="Arial"/>
                <w:sz w:val="20"/>
                <w:szCs w:val="20"/>
              </w:rPr>
            </w:pPr>
          </w:p>
          <w:p w:rsidR="00C32016" w:rsidRPr="00C34584" w:rsidRDefault="001D4786" w:rsidP="005B67AD">
            <w:pPr>
              <w:spacing w:before="40" w:after="40"/>
              <w:ind w:right="-77"/>
              <w:rPr>
                <w:rFonts w:ascii="Arial Narrow" w:hAnsi="Arial Narrow" w:cs="Arial"/>
                <w:sz w:val="20"/>
                <w:szCs w:val="20"/>
              </w:rPr>
            </w:pPr>
            <w:r w:rsidRPr="00C34584">
              <w:rPr>
                <w:rFonts w:ascii="Arial Narrow" w:hAnsi="Arial Narrow" w:cs="Arial"/>
                <w:sz w:val="20"/>
                <w:szCs w:val="20"/>
              </w:rPr>
              <w:t>Mepolizumab and omalizumab may not be used concurrently</w:t>
            </w:r>
            <w:r w:rsidRPr="00C34584">
              <w:rPr>
                <w:rFonts w:ascii="Arial Narrow" w:hAnsi="Arial Narrow" w:cs="Arial"/>
                <w:strike/>
                <w:sz w:val="20"/>
                <w:szCs w:val="20"/>
              </w:rPr>
              <w:t xml:space="preserve"> </w:t>
            </w:r>
            <w:r w:rsidRPr="00C34584">
              <w:rPr>
                <w:rFonts w:ascii="Arial Narrow" w:hAnsi="Arial Narrow" w:cs="Arial"/>
                <w:strike/>
                <w:sz w:val="20"/>
                <w:szCs w:val="20"/>
                <w:highlight w:val="lightGray"/>
              </w:rPr>
              <w:t xml:space="preserve">or within 6 months of each other. </w:t>
            </w:r>
            <w:r w:rsidRPr="00C34584">
              <w:rPr>
                <w:rFonts w:ascii="Arial Narrow" w:hAnsi="Arial Narrow" w:cs="Arial"/>
                <w:sz w:val="20"/>
                <w:szCs w:val="20"/>
              </w:rPr>
              <w:t xml:space="preserve">A patient is required to have ceased treatment with omalizumab </w:t>
            </w:r>
            <w:r w:rsidRPr="00C34584">
              <w:rPr>
                <w:rFonts w:ascii="Arial Narrow" w:hAnsi="Arial Narrow" w:cs="Arial"/>
                <w:strike/>
                <w:sz w:val="20"/>
                <w:szCs w:val="20"/>
                <w:highlight w:val="lightGray"/>
              </w:rPr>
              <w:t>for 6 months</w:t>
            </w:r>
            <w:r w:rsidRPr="00C34584">
              <w:rPr>
                <w:rFonts w:ascii="Arial Narrow" w:hAnsi="Arial Narrow" w:cs="Arial"/>
                <w:sz w:val="20"/>
                <w:szCs w:val="20"/>
              </w:rPr>
              <w:t xml:space="preserve"> prior to initiating treatment with mepolizumab.</w:t>
            </w:r>
          </w:p>
        </w:tc>
      </w:tr>
      <w:tr w:rsidR="00C32016" w:rsidRPr="00C34584" w:rsidTr="00B61225">
        <w:trPr>
          <w:trHeight w:val="360"/>
        </w:trPr>
        <w:tc>
          <w:tcPr>
            <w:tcW w:w="1079" w:type="pct"/>
            <w:tcBorders>
              <w:top w:val="single" w:sz="4" w:space="0" w:color="auto"/>
              <w:left w:val="single" w:sz="4" w:space="0" w:color="auto"/>
              <w:bottom w:val="single" w:sz="4" w:space="0" w:color="auto"/>
              <w:right w:val="single" w:sz="4" w:space="0" w:color="auto"/>
            </w:tcBorders>
          </w:tcPr>
          <w:p w:rsidR="00C32016" w:rsidRPr="00C34584" w:rsidRDefault="00C32016" w:rsidP="00C22F12">
            <w:pPr>
              <w:spacing w:before="40" w:after="40"/>
              <w:jc w:val="both"/>
              <w:rPr>
                <w:rFonts w:ascii="Arial Narrow" w:hAnsi="Arial Narrow" w:cs="Arial"/>
                <w:b/>
                <w:sz w:val="20"/>
                <w:szCs w:val="20"/>
              </w:rPr>
            </w:pPr>
            <w:r w:rsidRPr="00C34584">
              <w:rPr>
                <w:rFonts w:ascii="Arial Narrow" w:hAnsi="Arial Narrow" w:cs="Arial"/>
                <w:b/>
                <w:sz w:val="20"/>
                <w:szCs w:val="20"/>
              </w:rPr>
              <w:lastRenderedPageBreak/>
              <w:t>Administrative Advice</w:t>
            </w:r>
          </w:p>
        </w:tc>
        <w:tc>
          <w:tcPr>
            <w:tcW w:w="3921" w:type="pct"/>
            <w:gridSpan w:val="8"/>
            <w:tcBorders>
              <w:top w:val="single" w:sz="4" w:space="0" w:color="auto"/>
              <w:left w:val="single" w:sz="4" w:space="0" w:color="auto"/>
              <w:bottom w:val="single" w:sz="4" w:space="0" w:color="auto"/>
              <w:right w:val="single" w:sz="4" w:space="0" w:color="auto"/>
            </w:tcBorders>
          </w:tcPr>
          <w:p w:rsidR="00C32016" w:rsidRPr="00C34584" w:rsidRDefault="00B21F2A" w:rsidP="002E4841">
            <w:pPr>
              <w:spacing w:before="40" w:after="40"/>
              <w:rPr>
                <w:rFonts w:ascii="Arial Narrow" w:hAnsi="Arial Narrow" w:cs="Arial"/>
                <w:sz w:val="20"/>
                <w:szCs w:val="20"/>
              </w:rPr>
            </w:pPr>
            <w:r w:rsidRPr="00C34584">
              <w:rPr>
                <w:rFonts w:ascii="Arial Narrow" w:hAnsi="Arial Narrow" w:cs="Arial"/>
                <w:sz w:val="20"/>
                <w:szCs w:val="20"/>
              </w:rPr>
              <w:t>As per existing restriction (no changes proposed)</w:t>
            </w:r>
          </w:p>
        </w:tc>
      </w:tr>
      <w:tr w:rsidR="009D2F41" w:rsidRPr="00C34584" w:rsidTr="00B61225">
        <w:tblPrEx>
          <w:tblLook w:val="04A0" w:firstRow="1" w:lastRow="0" w:firstColumn="1" w:lastColumn="0" w:noHBand="0" w:noVBand="1"/>
        </w:tblPrEx>
        <w:trPr>
          <w:cantSplit/>
          <w:trHeight w:val="360"/>
        </w:trPr>
        <w:tc>
          <w:tcPr>
            <w:tcW w:w="1079" w:type="pct"/>
            <w:tcBorders>
              <w:top w:val="single" w:sz="4" w:space="0" w:color="auto"/>
              <w:left w:val="single" w:sz="4" w:space="0" w:color="auto"/>
              <w:bottom w:val="single" w:sz="4" w:space="0" w:color="auto"/>
              <w:right w:val="single" w:sz="4" w:space="0" w:color="auto"/>
            </w:tcBorders>
            <w:hideMark/>
          </w:tcPr>
          <w:p w:rsidR="009D2F41" w:rsidRPr="00C34584" w:rsidRDefault="009D2F41">
            <w:pPr>
              <w:spacing w:before="40" w:after="40"/>
              <w:jc w:val="both"/>
              <w:rPr>
                <w:rFonts w:ascii="Arial Narrow" w:hAnsi="Arial Narrow" w:cs="Arial"/>
                <w:b/>
                <w:sz w:val="20"/>
                <w:szCs w:val="20"/>
              </w:rPr>
            </w:pPr>
            <w:r w:rsidRPr="00C34584">
              <w:rPr>
                <w:rFonts w:ascii="Arial Narrow" w:hAnsi="Arial Narrow" w:cs="Arial"/>
                <w:b/>
                <w:sz w:val="20"/>
                <w:szCs w:val="20"/>
              </w:rPr>
              <w:t>Note (abridged)</w:t>
            </w:r>
          </w:p>
        </w:tc>
        <w:tc>
          <w:tcPr>
            <w:tcW w:w="3921" w:type="pct"/>
            <w:gridSpan w:val="8"/>
            <w:tcBorders>
              <w:top w:val="single" w:sz="4" w:space="0" w:color="auto"/>
              <w:left w:val="single" w:sz="4" w:space="0" w:color="auto"/>
              <w:bottom w:val="single" w:sz="4" w:space="0" w:color="auto"/>
              <w:right w:val="single" w:sz="4" w:space="0" w:color="auto"/>
            </w:tcBorders>
            <w:hideMark/>
          </w:tcPr>
          <w:p w:rsidR="009D2F41" w:rsidRPr="00C34584" w:rsidRDefault="009D2F41">
            <w:pPr>
              <w:pStyle w:val="NormalWeb"/>
              <w:spacing w:line="300" w:lineRule="atLeast"/>
              <w:rPr>
                <w:rFonts w:ascii="Arial Narrow" w:hAnsi="Arial Narrow" w:cs="Arial"/>
                <w:b/>
                <w:color w:val="auto"/>
                <w:sz w:val="20"/>
                <w:szCs w:val="20"/>
              </w:rPr>
            </w:pPr>
            <w:r w:rsidRPr="00C34584">
              <w:rPr>
                <w:rFonts w:ascii="Arial Narrow" w:hAnsi="Arial Narrow" w:cs="Arial"/>
                <w:b/>
                <w:color w:val="auto"/>
                <w:sz w:val="20"/>
                <w:szCs w:val="20"/>
              </w:rPr>
              <w:t>TREATMENT OF ADULT AND ADOLESCENT PATIENTS WITH UNCONTROLLED SEVERE EOSINOPHILIC ASTHMA</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Patients are eligible to commence a 'mepolizumab treatment cycle' (initial treatment course with or without continuing treatment course/s) if they satisfy the eligibility criteria as detailed under the initial treatment restriction. </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Once a patient has either failed to achieve or maintain a response to mepolizumab, they are deemed to have completed a treatment cycle and they must have, at a minimum, a 6 month break in PBS-subsidised mepolizumab therapy before they are eligible to commence the next mepolizumab treatment cycle, or if eligible, an 'omalizumab treatment cycle'. The length of a treatment break is measured from the date the most recent treatment with PBS-subsidised mepolizumab is stopped to the date of the first application for initial treatment with mepolizumab under the new treatment cycle. </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There is no limit to the number of treatment cycles a patient may undertake in their lifetime. </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(1) How to prescribe PBS-subsidised mepolizumab therapy:</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(a) Initial treatment:</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Applications for initial treatment should be made where:</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i) A patient has received no prior PBS-subsidised mepolizumab treatment and wishes to commence such therapy; or </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ii) A patient wishes to recommence treatment with mepolizumab following a break in PBS-subsidised therapy of more than 6 months; or </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iii) A patient has received prior PBS-subsidised omalizumab and wishes to commence treatment with mepolizumab after a treatment break of 6 months. </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All applications for initial treatment for non-grandfather patients will be limited to provide for a maximum of 32 weeks of therapy for mepolizumab. </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&lt;&lt;(2) unchanged&gt;&gt;</w:t>
            </w:r>
          </w:p>
          <w:p w:rsidR="009D2F41" w:rsidRPr="00C34584" w:rsidRDefault="009D2F41">
            <w:pPr>
              <w:spacing w:before="40" w:after="40"/>
              <w:rPr>
                <w:rFonts w:ascii="Arial Narrow" w:hAnsi="Arial Narrow" w:cs="Arial"/>
                <w:sz w:val="20"/>
                <w:szCs w:val="20"/>
                <w:highlight w:val="lightGray"/>
              </w:rPr>
            </w:pPr>
            <w:r w:rsidRPr="00C34584">
              <w:rPr>
                <w:rFonts w:ascii="Arial Narrow" w:hAnsi="Arial Narrow" w:cs="Arial"/>
                <w:sz w:val="20"/>
                <w:szCs w:val="20"/>
                <w:highlight w:val="lightGray"/>
              </w:rPr>
              <w:t xml:space="preserve"> (3) Re-commencement of treatment after a 6 month break in PBS-subsidised therapy:</w:t>
            </w:r>
          </w:p>
          <w:p w:rsidR="009D2F41" w:rsidRPr="00C34584" w:rsidRDefault="009D2F41">
            <w:pPr>
              <w:spacing w:before="40" w:after="40"/>
              <w:rPr>
                <w:rFonts w:ascii="Arial Narrow" w:hAnsi="Arial Narrow" w:cs="Arial"/>
                <w:sz w:val="20"/>
                <w:szCs w:val="20"/>
              </w:rPr>
            </w:pPr>
            <w:r w:rsidRPr="00C34584">
              <w:rPr>
                <w:rFonts w:ascii="Arial Narrow" w:hAnsi="Arial Narrow" w:cs="Arial"/>
                <w:sz w:val="20"/>
                <w:szCs w:val="20"/>
                <w:highlight w:val="lightGray"/>
              </w:rPr>
              <w:t>A patient who wishes to trial a second or subsequent mepolizumab treatment cycle, or an initial omalizumab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r w:rsidRPr="00C34584">
              <w:rPr>
                <w:rFonts w:ascii="Arial Narrow" w:hAnsi="Arial Narrow" w:cs="Arial"/>
                <w:sz w:val="20"/>
                <w:szCs w:val="20"/>
              </w:rPr>
              <w:t xml:space="preserve"> </w:t>
            </w:r>
          </w:p>
        </w:tc>
      </w:tr>
    </w:tbl>
    <w:p w:rsidR="001D4786" w:rsidRPr="00C34584" w:rsidRDefault="001D4786" w:rsidP="00D01E71">
      <w:pPr>
        <w:spacing w:after="120"/>
        <w:rPr>
          <w:rFonts w:asciiTheme="minorHAnsi" w:eastAsiaTheme="minorHAnsi" w:hAnsiTheme="minorHAnsi" w:cstheme="minorBidi"/>
          <w:szCs w:val="22"/>
        </w:rPr>
      </w:pPr>
    </w:p>
    <w:tbl>
      <w:tblPr>
        <w:tblW w:w="4915" w:type="pct"/>
        <w:tblLook w:val="0000" w:firstRow="0" w:lastRow="0" w:firstColumn="0" w:lastColumn="0" w:noHBand="0" w:noVBand="0"/>
      </w:tblPr>
      <w:tblGrid>
        <w:gridCol w:w="1980"/>
        <w:gridCol w:w="1406"/>
        <w:gridCol w:w="769"/>
        <w:gridCol w:w="921"/>
        <w:gridCol w:w="1659"/>
        <w:gridCol w:w="729"/>
        <w:gridCol w:w="716"/>
        <w:gridCol w:w="889"/>
        <w:gridCol w:w="16"/>
      </w:tblGrid>
      <w:tr w:rsidR="001D4786" w:rsidRPr="00C34584" w:rsidTr="001D4786">
        <w:trPr>
          <w:cantSplit/>
          <w:trHeight w:val="465"/>
        </w:trPr>
        <w:tc>
          <w:tcPr>
            <w:tcW w:w="1864" w:type="pct"/>
            <w:gridSpan w:val="2"/>
            <w:tcBorders>
              <w:bottom w:val="single" w:sz="4" w:space="0" w:color="auto"/>
            </w:tcBorders>
          </w:tcPr>
          <w:p w:rsidR="001D4786" w:rsidRPr="00C34584" w:rsidRDefault="001D478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lastRenderedPageBreak/>
              <w:t>Name, Restriction,</w:t>
            </w:r>
          </w:p>
          <w:p w:rsidR="001D4786" w:rsidRPr="00C34584" w:rsidRDefault="001D478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Manner of administration and form</w:t>
            </w:r>
          </w:p>
        </w:tc>
        <w:tc>
          <w:tcPr>
            <w:tcW w:w="423" w:type="pct"/>
            <w:tcBorders>
              <w:bottom w:val="single" w:sz="4" w:space="0" w:color="auto"/>
            </w:tcBorders>
          </w:tcPr>
          <w:p w:rsidR="001D4786" w:rsidRPr="00C34584" w:rsidRDefault="001D478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Max.</w:t>
            </w:r>
          </w:p>
          <w:p w:rsidR="001D4786" w:rsidRPr="00C34584" w:rsidRDefault="001D478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Qty</w:t>
            </w:r>
          </w:p>
        </w:tc>
        <w:tc>
          <w:tcPr>
            <w:tcW w:w="507" w:type="pct"/>
            <w:tcBorders>
              <w:bottom w:val="single" w:sz="4" w:space="0" w:color="auto"/>
            </w:tcBorders>
          </w:tcPr>
          <w:p w:rsidR="001D4786" w:rsidRPr="00C34584" w:rsidRDefault="001D478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№.of</w:t>
            </w:r>
          </w:p>
          <w:p w:rsidR="001D4786" w:rsidRPr="00C34584" w:rsidRDefault="001D478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Rpts</w:t>
            </w:r>
          </w:p>
        </w:tc>
        <w:tc>
          <w:tcPr>
            <w:tcW w:w="913" w:type="pct"/>
            <w:tcBorders>
              <w:bottom w:val="single" w:sz="4" w:space="0" w:color="auto"/>
            </w:tcBorders>
          </w:tcPr>
          <w:p w:rsidR="001D4786" w:rsidRPr="00C34584" w:rsidRDefault="001D4786" w:rsidP="002E4841">
            <w:pPr>
              <w:keepNext/>
              <w:spacing w:before="40" w:after="40"/>
              <w:jc w:val="both"/>
              <w:rPr>
                <w:rFonts w:ascii="Arial Narrow" w:hAnsi="Arial Narrow" w:cs="Arial"/>
                <w:b/>
                <w:sz w:val="20"/>
                <w:szCs w:val="20"/>
              </w:rPr>
            </w:pPr>
            <w:r w:rsidRPr="00C34584">
              <w:rPr>
                <w:rFonts w:ascii="Arial Narrow" w:hAnsi="Arial Narrow" w:cs="Arial"/>
                <w:b/>
                <w:sz w:val="20"/>
                <w:szCs w:val="20"/>
              </w:rPr>
              <w:t>Dispensed Price for Max. Qty</w:t>
            </w:r>
          </w:p>
        </w:tc>
        <w:tc>
          <w:tcPr>
            <w:tcW w:w="1293" w:type="pct"/>
            <w:gridSpan w:val="4"/>
            <w:tcBorders>
              <w:bottom w:val="single" w:sz="4" w:space="0" w:color="auto"/>
            </w:tcBorders>
          </w:tcPr>
          <w:p w:rsidR="001D4786" w:rsidRPr="00C34584" w:rsidRDefault="001D4786" w:rsidP="002E4841">
            <w:pPr>
              <w:keepNext/>
              <w:spacing w:before="40" w:after="40"/>
              <w:jc w:val="both"/>
              <w:rPr>
                <w:rFonts w:ascii="Arial Narrow" w:hAnsi="Arial Narrow" w:cs="Arial"/>
                <w:b/>
                <w:sz w:val="20"/>
                <w:szCs w:val="20"/>
                <w:lang w:val="fr-FR"/>
              </w:rPr>
            </w:pPr>
            <w:r w:rsidRPr="00C34584">
              <w:rPr>
                <w:rFonts w:ascii="Arial Narrow" w:hAnsi="Arial Narrow" w:cs="Arial"/>
                <w:b/>
                <w:sz w:val="20"/>
                <w:szCs w:val="20"/>
              </w:rPr>
              <w:t>Proprietary Name and Manufacturer</w:t>
            </w:r>
          </w:p>
        </w:tc>
      </w:tr>
      <w:tr w:rsidR="001D4786" w:rsidRPr="00C34584" w:rsidTr="001D4786">
        <w:trPr>
          <w:cantSplit/>
          <w:trHeight w:val="567"/>
        </w:trPr>
        <w:tc>
          <w:tcPr>
            <w:tcW w:w="1864" w:type="pct"/>
            <w:gridSpan w:val="2"/>
          </w:tcPr>
          <w:p w:rsidR="001D4786" w:rsidRPr="00C34584" w:rsidRDefault="001D4786" w:rsidP="002E4841">
            <w:pPr>
              <w:keepNext/>
              <w:spacing w:before="40" w:after="40"/>
              <w:jc w:val="both"/>
              <w:rPr>
                <w:rFonts w:ascii="Arial Narrow" w:hAnsi="Arial Narrow" w:cs="Arial"/>
                <w:smallCaps/>
                <w:sz w:val="20"/>
                <w:szCs w:val="20"/>
              </w:rPr>
            </w:pPr>
            <w:r w:rsidRPr="00C34584">
              <w:rPr>
                <w:rFonts w:ascii="Arial Narrow" w:hAnsi="Arial Narrow" w:cs="Arial"/>
                <w:smallCaps/>
                <w:sz w:val="20"/>
                <w:szCs w:val="20"/>
              </w:rPr>
              <w:t>MEPOLIZUMAB</w:t>
            </w:r>
          </w:p>
          <w:p w:rsidR="001D4786" w:rsidRPr="00C34584" w:rsidRDefault="001D4786" w:rsidP="002E4841">
            <w:pPr>
              <w:keepNext/>
              <w:spacing w:before="40" w:after="40"/>
              <w:jc w:val="both"/>
              <w:rPr>
                <w:rFonts w:ascii="Arial Narrow" w:hAnsi="Arial Narrow" w:cs="Arial"/>
                <w:sz w:val="20"/>
                <w:szCs w:val="20"/>
              </w:rPr>
            </w:pPr>
            <w:r w:rsidRPr="00C34584">
              <w:rPr>
                <w:rFonts w:ascii="Arial Narrow" w:hAnsi="Arial Narrow" w:cs="Arial"/>
                <w:sz w:val="20"/>
                <w:szCs w:val="20"/>
              </w:rPr>
              <w:t>100 mg injection, 1 vial</w:t>
            </w:r>
          </w:p>
        </w:tc>
        <w:tc>
          <w:tcPr>
            <w:tcW w:w="423" w:type="pct"/>
          </w:tcPr>
          <w:p w:rsidR="001D4786" w:rsidRPr="00C34584" w:rsidRDefault="001D4786" w:rsidP="002E4841">
            <w:pPr>
              <w:keepNext/>
              <w:spacing w:before="40" w:after="40"/>
              <w:jc w:val="both"/>
              <w:rPr>
                <w:rFonts w:ascii="Arial Narrow" w:hAnsi="Arial Narrow" w:cs="Arial"/>
                <w:sz w:val="20"/>
                <w:szCs w:val="20"/>
              </w:rPr>
            </w:pPr>
          </w:p>
          <w:p w:rsidR="001D4786" w:rsidRPr="00C34584" w:rsidRDefault="001D4786" w:rsidP="002E4841">
            <w:pPr>
              <w:keepNext/>
              <w:spacing w:before="40" w:after="40"/>
              <w:jc w:val="both"/>
              <w:rPr>
                <w:rFonts w:ascii="Arial Narrow" w:hAnsi="Arial Narrow" w:cs="Arial"/>
                <w:sz w:val="20"/>
                <w:szCs w:val="20"/>
              </w:rPr>
            </w:pPr>
            <w:r w:rsidRPr="00C34584">
              <w:rPr>
                <w:rFonts w:ascii="Arial Narrow" w:hAnsi="Arial Narrow" w:cs="Arial"/>
                <w:sz w:val="20"/>
                <w:szCs w:val="20"/>
              </w:rPr>
              <w:t>1</w:t>
            </w:r>
          </w:p>
        </w:tc>
        <w:tc>
          <w:tcPr>
            <w:tcW w:w="507" w:type="pct"/>
          </w:tcPr>
          <w:p w:rsidR="001D4786" w:rsidRPr="00C34584" w:rsidRDefault="001D4786" w:rsidP="002E4841">
            <w:pPr>
              <w:keepNext/>
              <w:spacing w:before="40" w:after="40"/>
              <w:jc w:val="both"/>
              <w:rPr>
                <w:rFonts w:ascii="Arial Narrow" w:hAnsi="Arial Narrow" w:cs="Arial"/>
                <w:sz w:val="20"/>
                <w:szCs w:val="20"/>
              </w:rPr>
            </w:pPr>
          </w:p>
          <w:p w:rsidR="001D4786" w:rsidRPr="00C34584" w:rsidRDefault="001D4786" w:rsidP="002E4841">
            <w:pPr>
              <w:keepNext/>
              <w:spacing w:before="40" w:after="40"/>
              <w:jc w:val="both"/>
              <w:rPr>
                <w:rFonts w:ascii="Arial Narrow" w:hAnsi="Arial Narrow" w:cs="Arial"/>
                <w:sz w:val="20"/>
                <w:szCs w:val="20"/>
              </w:rPr>
            </w:pPr>
            <w:r w:rsidRPr="00C34584">
              <w:rPr>
                <w:rFonts w:ascii="Arial Narrow" w:hAnsi="Arial Narrow" w:cs="Arial"/>
                <w:sz w:val="20"/>
                <w:szCs w:val="20"/>
              </w:rPr>
              <w:t>5</w:t>
            </w:r>
          </w:p>
        </w:tc>
        <w:tc>
          <w:tcPr>
            <w:tcW w:w="913" w:type="pct"/>
          </w:tcPr>
          <w:p w:rsidR="001D4786" w:rsidRPr="00C34584" w:rsidRDefault="001D4786" w:rsidP="002E4841">
            <w:pPr>
              <w:keepNext/>
              <w:spacing w:before="40" w:after="40"/>
              <w:jc w:val="both"/>
              <w:rPr>
                <w:rFonts w:ascii="Arial Narrow" w:hAnsi="Arial Narrow" w:cs="Arial"/>
                <w:sz w:val="20"/>
                <w:szCs w:val="20"/>
              </w:rPr>
            </w:pPr>
            <w:r w:rsidRPr="00C34584">
              <w:rPr>
                <w:rFonts w:ascii="Arial Narrow" w:hAnsi="Arial Narrow" w:cs="Arial"/>
                <w:sz w:val="20"/>
                <w:szCs w:val="20"/>
              </w:rPr>
              <w:t>Public: $</w:t>
            </w:r>
            <w:r w:rsidRPr="007615B7">
              <w:rPr>
                <w:rFonts w:ascii="Arial Narrow" w:hAnsi="Arial Narrow" w:cs="Arial"/>
                <w:sz w:val="20"/>
                <w:szCs w:val="20"/>
              </w:rPr>
              <w:t>1638.00</w:t>
            </w:r>
          </w:p>
          <w:p w:rsidR="001D4786" w:rsidRPr="00C34584" w:rsidRDefault="001D4786" w:rsidP="002E4841">
            <w:pPr>
              <w:keepNext/>
              <w:spacing w:before="40" w:after="40"/>
              <w:jc w:val="both"/>
              <w:rPr>
                <w:rFonts w:ascii="Arial Narrow" w:hAnsi="Arial Narrow" w:cs="Arial"/>
                <w:sz w:val="20"/>
                <w:szCs w:val="20"/>
              </w:rPr>
            </w:pPr>
            <w:r w:rsidRPr="00C34584">
              <w:rPr>
                <w:rFonts w:ascii="Arial Narrow" w:hAnsi="Arial Narrow" w:cs="Arial"/>
                <w:sz w:val="20"/>
                <w:szCs w:val="20"/>
              </w:rPr>
              <w:t>Private: $</w:t>
            </w:r>
            <w:r w:rsidRPr="007615B7">
              <w:rPr>
                <w:rFonts w:ascii="Arial Narrow" w:hAnsi="Arial Narrow" w:cs="Arial"/>
                <w:sz w:val="20"/>
                <w:szCs w:val="20"/>
              </w:rPr>
              <w:t>1685.15</w:t>
            </w:r>
          </w:p>
        </w:tc>
        <w:tc>
          <w:tcPr>
            <w:tcW w:w="401" w:type="pct"/>
          </w:tcPr>
          <w:p w:rsidR="001D4786" w:rsidRPr="00C34584" w:rsidRDefault="001D4786" w:rsidP="002E4841">
            <w:pPr>
              <w:keepNext/>
              <w:spacing w:before="40" w:after="40"/>
              <w:jc w:val="both"/>
              <w:rPr>
                <w:rFonts w:ascii="Arial Narrow" w:hAnsi="Arial Narrow" w:cs="Arial"/>
                <w:sz w:val="20"/>
                <w:szCs w:val="20"/>
              </w:rPr>
            </w:pPr>
          </w:p>
          <w:p w:rsidR="001D4786" w:rsidRPr="00C34584" w:rsidRDefault="001D4786" w:rsidP="002E4841">
            <w:pPr>
              <w:keepNext/>
              <w:spacing w:before="40" w:after="40"/>
              <w:jc w:val="both"/>
              <w:rPr>
                <w:rFonts w:ascii="Arial Narrow" w:hAnsi="Arial Narrow" w:cs="Arial"/>
                <w:sz w:val="20"/>
                <w:szCs w:val="20"/>
              </w:rPr>
            </w:pPr>
            <w:r w:rsidRPr="00C34584">
              <w:rPr>
                <w:rFonts w:ascii="Arial Narrow" w:hAnsi="Arial Narrow" w:cs="Arial"/>
                <w:sz w:val="20"/>
                <w:szCs w:val="20"/>
              </w:rPr>
              <w:t>Nucala</w:t>
            </w:r>
          </w:p>
        </w:tc>
        <w:tc>
          <w:tcPr>
            <w:tcW w:w="892" w:type="pct"/>
            <w:gridSpan w:val="3"/>
          </w:tcPr>
          <w:p w:rsidR="001D4786" w:rsidRPr="00C34584" w:rsidRDefault="001D4786" w:rsidP="002E4841">
            <w:pPr>
              <w:keepNext/>
              <w:spacing w:before="40" w:after="40"/>
              <w:jc w:val="both"/>
              <w:rPr>
                <w:rFonts w:ascii="Arial Narrow" w:hAnsi="Arial Narrow" w:cs="Arial"/>
                <w:sz w:val="20"/>
                <w:szCs w:val="20"/>
              </w:rPr>
            </w:pPr>
            <w:r w:rsidRPr="00C34584">
              <w:rPr>
                <w:rFonts w:ascii="Arial Narrow" w:hAnsi="Arial Narrow" w:cs="Arial"/>
                <w:sz w:val="20"/>
                <w:szCs w:val="20"/>
              </w:rPr>
              <w:t>GlaxoSmithKline Australia Pty Ltd</w:t>
            </w:r>
          </w:p>
        </w:tc>
      </w:tr>
      <w:tr w:rsidR="001D4786" w:rsidRPr="00C34584" w:rsidTr="002E4841">
        <w:trPr>
          <w:gridAfter w:val="2"/>
          <w:wAfter w:w="498" w:type="pct"/>
          <w:cantSplit/>
          <w:trHeight w:val="360"/>
        </w:trPr>
        <w:tc>
          <w:tcPr>
            <w:tcW w:w="4502" w:type="pct"/>
            <w:gridSpan w:val="7"/>
            <w:tcBorders>
              <w:bottom w:val="single" w:sz="4" w:space="0" w:color="auto"/>
            </w:tcBorders>
          </w:tcPr>
          <w:p w:rsidR="001D4786" w:rsidRPr="00C34584" w:rsidRDefault="001D4786" w:rsidP="002E4841">
            <w:pPr>
              <w:spacing w:before="40" w:after="40"/>
              <w:jc w:val="both"/>
              <w:rPr>
                <w:rFonts w:ascii="Arial Narrow" w:hAnsi="Arial Narrow" w:cs="Arial"/>
                <w:sz w:val="20"/>
                <w:szCs w:val="20"/>
              </w:rPr>
            </w:pPr>
          </w:p>
        </w:tc>
      </w:tr>
      <w:tr w:rsidR="001D4786" w:rsidRPr="00C34584" w:rsidTr="001D4786">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1D4786" w:rsidRPr="00C34584" w:rsidRDefault="001D4786" w:rsidP="002E4841">
            <w:pPr>
              <w:spacing w:before="40" w:after="40"/>
              <w:jc w:val="both"/>
              <w:rPr>
                <w:rFonts w:ascii="Arial Narrow" w:hAnsi="Arial Narrow" w:cs="Arial"/>
                <w:b/>
                <w:sz w:val="20"/>
                <w:szCs w:val="20"/>
              </w:rPr>
            </w:pPr>
            <w:r w:rsidRPr="00C34584">
              <w:rPr>
                <w:rFonts w:ascii="Arial Narrow" w:hAnsi="Arial Narrow" w:cs="Arial"/>
                <w:b/>
                <w:sz w:val="20"/>
                <w:szCs w:val="20"/>
              </w:rPr>
              <w:t>Treatment phase:</w:t>
            </w:r>
          </w:p>
        </w:tc>
        <w:tc>
          <w:tcPr>
            <w:tcW w:w="3901" w:type="pct"/>
            <w:gridSpan w:val="7"/>
            <w:tcBorders>
              <w:top w:val="single" w:sz="4" w:space="0" w:color="auto"/>
              <w:left w:val="single" w:sz="4" w:space="0" w:color="auto"/>
              <w:bottom w:val="single" w:sz="4" w:space="0" w:color="auto"/>
              <w:right w:val="single" w:sz="4" w:space="0" w:color="auto"/>
            </w:tcBorders>
          </w:tcPr>
          <w:p w:rsidR="001D4786" w:rsidRPr="00C34584" w:rsidRDefault="001D4786" w:rsidP="002E4841">
            <w:pPr>
              <w:spacing w:before="40" w:after="40"/>
              <w:rPr>
                <w:rFonts w:ascii="Arial Narrow" w:hAnsi="Arial Narrow" w:cs="Arial"/>
                <w:sz w:val="20"/>
                <w:szCs w:val="20"/>
              </w:rPr>
            </w:pPr>
            <w:r w:rsidRPr="00C34584">
              <w:rPr>
                <w:rFonts w:ascii="Arial Narrow" w:hAnsi="Arial Narrow" w:cs="Arial"/>
                <w:sz w:val="20"/>
                <w:szCs w:val="20"/>
              </w:rPr>
              <w:t>Continuing treatment</w:t>
            </w:r>
          </w:p>
        </w:tc>
      </w:tr>
      <w:tr w:rsidR="001D4786" w:rsidRPr="00C34584" w:rsidTr="001D4786">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1D4786" w:rsidRPr="00C34584" w:rsidRDefault="001D4786" w:rsidP="00C22F12">
            <w:pPr>
              <w:spacing w:before="40" w:after="40"/>
              <w:rPr>
                <w:rFonts w:ascii="Arial Narrow" w:hAnsi="Arial Narrow" w:cs="Arial"/>
                <w:b/>
                <w:sz w:val="20"/>
                <w:szCs w:val="20"/>
              </w:rPr>
            </w:pPr>
            <w:r w:rsidRPr="00C34584">
              <w:rPr>
                <w:rFonts w:ascii="Arial Narrow" w:hAnsi="Arial Narrow" w:cs="Arial"/>
                <w:b/>
                <w:sz w:val="20"/>
                <w:szCs w:val="20"/>
              </w:rPr>
              <w:t>Treatment criteria:</w:t>
            </w:r>
          </w:p>
        </w:tc>
        <w:tc>
          <w:tcPr>
            <w:tcW w:w="3901" w:type="pct"/>
            <w:gridSpan w:val="7"/>
            <w:tcBorders>
              <w:top w:val="single" w:sz="4" w:space="0" w:color="auto"/>
              <w:left w:val="single" w:sz="4" w:space="0" w:color="auto"/>
              <w:bottom w:val="single" w:sz="4" w:space="0" w:color="auto"/>
              <w:right w:val="single" w:sz="4" w:space="0" w:color="auto"/>
            </w:tcBorders>
          </w:tcPr>
          <w:p w:rsidR="001D4786" w:rsidRPr="00C34584" w:rsidRDefault="00B21F2A" w:rsidP="002E4841">
            <w:pPr>
              <w:spacing w:before="40" w:after="40"/>
              <w:rPr>
                <w:rFonts w:ascii="Arial Narrow" w:hAnsi="Arial Narrow" w:cs="Arial"/>
                <w:sz w:val="20"/>
                <w:szCs w:val="20"/>
              </w:rPr>
            </w:pPr>
            <w:r w:rsidRPr="00C34584">
              <w:rPr>
                <w:rFonts w:ascii="Arial Narrow" w:hAnsi="Arial Narrow" w:cs="Arial"/>
                <w:sz w:val="20"/>
                <w:szCs w:val="20"/>
              </w:rPr>
              <w:t>As per existing restriction (no changes proposed)</w:t>
            </w:r>
          </w:p>
        </w:tc>
      </w:tr>
      <w:tr w:rsidR="001D4786" w:rsidRPr="00C34584" w:rsidTr="001D4786">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1D4786" w:rsidRPr="00C34584" w:rsidRDefault="001D4786" w:rsidP="00C22F12">
            <w:pPr>
              <w:spacing w:before="40" w:after="40"/>
              <w:jc w:val="both"/>
              <w:rPr>
                <w:rFonts w:ascii="Arial Narrow" w:hAnsi="Arial Narrow" w:cs="Arial"/>
                <w:b/>
                <w:sz w:val="20"/>
                <w:szCs w:val="20"/>
              </w:rPr>
            </w:pPr>
            <w:r w:rsidRPr="00C34584">
              <w:rPr>
                <w:rFonts w:ascii="Arial Narrow" w:hAnsi="Arial Narrow" w:cs="Arial"/>
                <w:b/>
                <w:sz w:val="20"/>
                <w:szCs w:val="20"/>
              </w:rPr>
              <w:t>Clinical criteria:</w:t>
            </w:r>
          </w:p>
        </w:tc>
        <w:tc>
          <w:tcPr>
            <w:tcW w:w="3901" w:type="pct"/>
            <w:gridSpan w:val="7"/>
            <w:tcBorders>
              <w:top w:val="single" w:sz="4" w:space="0" w:color="auto"/>
              <w:left w:val="single" w:sz="4" w:space="0" w:color="auto"/>
              <w:bottom w:val="single" w:sz="4" w:space="0" w:color="auto"/>
              <w:right w:val="single" w:sz="4" w:space="0" w:color="auto"/>
            </w:tcBorders>
          </w:tcPr>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Patient must have demonstrated or sustained an adequate response to PBS-subsi</w:t>
            </w:r>
            <w:r w:rsidR="00FD3C21" w:rsidRPr="00C34584">
              <w:rPr>
                <w:rFonts w:ascii="Arial Narrow" w:hAnsi="Arial Narrow" w:cs="Arial"/>
                <w:sz w:val="20"/>
                <w:szCs w:val="20"/>
              </w:rPr>
              <w:t>dised treatment with this drug,</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AND</w:t>
            </w:r>
          </w:p>
          <w:p w:rsidR="001D4786" w:rsidRPr="00C34584" w:rsidRDefault="001D4786" w:rsidP="001D4786">
            <w:pPr>
              <w:spacing w:before="40" w:after="40"/>
              <w:rPr>
                <w:rFonts w:ascii="Arial Narrow" w:hAnsi="Arial Narrow" w:cs="Arial"/>
                <w:sz w:val="20"/>
                <w:szCs w:val="20"/>
              </w:rPr>
            </w:pPr>
            <w:r w:rsidRPr="00C34584">
              <w:rPr>
                <w:rFonts w:ascii="Arial Narrow" w:hAnsi="Arial Narrow" w:cs="Arial"/>
                <w:sz w:val="20"/>
                <w:szCs w:val="20"/>
              </w:rPr>
              <w:t>The treatment must not be used in combination with</w:t>
            </w:r>
            <w:r w:rsidRPr="00C34584">
              <w:rPr>
                <w:rFonts w:ascii="Arial Narrow" w:hAnsi="Arial Narrow" w:cs="Arial"/>
                <w:b/>
                <w:strike/>
                <w:sz w:val="20"/>
                <w:szCs w:val="20"/>
              </w:rPr>
              <w:t>, or within 6 months of treatment with,</w:t>
            </w:r>
            <w:r w:rsidRPr="00C34584">
              <w:rPr>
                <w:rFonts w:ascii="Arial Narrow" w:hAnsi="Arial Narrow" w:cs="Arial"/>
                <w:sz w:val="20"/>
                <w:szCs w:val="20"/>
              </w:rPr>
              <w:t xml:space="preserve"> PBS-subsidised omalizumab.</w:t>
            </w:r>
          </w:p>
        </w:tc>
      </w:tr>
      <w:tr w:rsidR="001D4786" w:rsidRPr="00C34584" w:rsidTr="001D4786">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1D4786" w:rsidRPr="00C34584" w:rsidRDefault="001D4786" w:rsidP="00C22F12">
            <w:pPr>
              <w:spacing w:before="40" w:after="40"/>
              <w:jc w:val="both"/>
              <w:rPr>
                <w:rFonts w:ascii="Arial Narrow" w:hAnsi="Arial Narrow" w:cs="Arial"/>
                <w:b/>
                <w:sz w:val="20"/>
                <w:szCs w:val="20"/>
              </w:rPr>
            </w:pPr>
            <w:r w:rsidRPr="00C34584">
              <w:rPr>
                <w:rFonts w:ascii="Arial Narrow" w:hAnsi="Arial Narrow" w:cs="Arial"/>
                <w:b/>
                <w:sz w:val="20"/>
                <w:szCs w:val="20"/>
              </w:rPr>
              <w:t>Population criteria:</w:t>
            </w:r>
          </w:p>
        </w:tc>
        <w:tc>
          <w:tcPr>
            <w:tcW w:w="3901" w:type="pct"/>
            <w:gridSpan w:val="7"/>
            <w:tcBorders>
              <w:top w:val="single" w:sz="4" w:space="0" w:color="auto"/>
              <w:left w:val="single" w:sz="4" w:space="0" w:color="auto"/>
              <w:bottom w:val="single" w:sz="4" w:space="0" w:color="auto"/>
              <w:right w:val="single" w:sz="4" w:space="0" w:color="auto"/>
            </w:tcBorders>
          </w:tcPr>
          <w:p w:rsidR="001D4786" w:rsidRPr="00C34584" w:rsidRDefault="00B21F2A" w:rsidP="002E4841">
            <w:pPr>
              <w:spacing w:before="40" w:after="40"/>
              <w:jc w:val="both"/>
              <w:rPr>
                <w:rFonts w:ascii="Arial Narrow" w:hAnsi="Arial Narrow" w:cs="Arial"/>
                <w:sz w:val="20"/>
                <w:szCs w:val="20"/>
              </w:rPr>
            </w:pPr>
            <w:r w:rsidRPr="00C34584">
              <w:rPr>
                <w:rFonts w:ascii="Arial Narrow" w:hAnsi="Arial Narrow" w:cs="Arial"/>
                <w:sz w:val="20"/>
                <w:szCs w:val="20"/>
              </w:rPr>
              <w:t>As per existing restriction (no changes proposed)</w:t>
            </w:r>
          </w:p>
        </w:tc>
      </w:tr>
      <w:tr w:rsidR="001D4786" w:rsidRPr="00C34584" w:rsidTr="001D4786">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1D4786" w:rsidRPr="00C34584" w:rsidRDefault="001D4786" w:rsidP="002E4841">
            <w:pPr>
              <w:spacing w:before="40" w:after="40"/>
              <w:jc w:val="both"/>
              <w:rPr>
                <w:rFonts w:ascii="Arial Narrow" w:hAnsi="Arial Narrow" w:cs="Arial"/>
                <w:b/>
                <w:sz w:val="20"/>
                <w:szCs w:val="20"/>
              </w:rPr>
            </w:pPr>
            <w:r w:rsidRPr="00C34584">
              <w:rPr>
                <w:rFonts w:ascii="Arial Narrow" w:hAnsi="Arial Narrow" w:cs="Arial"/>
                <w:b/>
                <w:sz w:val="20"/>
                <w:szCs w:val="20"/>
              </w:rPr>
              <w:t>Prescriber Instructions</w:t>
            </w:r>
            <w:r w:rsidR="009D2F41" w:rsidRPr="00C34584">
              <w:rPr>
                <w:rFonts w:ascii="Arial Narrow" w:hAnsi="Arial Narrow" w:cs="Arial"/>
                <w:b/>
                <w:sz w:val="20"/>
                <w:szCs w:val="20"/>
              </w:rPr>
              <w:t xml:space="preserve"> </w:t>
            </w:r>
          </w:p>
          <w:p w:rsidR="001D4786" w:rsidRPr="00C34584" w:rsidRDefault="001D4786" w:rsidP="00C22F12">
            <w:pPr>
              <w:spacing w:before="40" w:after="40"/>
              <w:jc w:val="both"/>
              <w:rPr>
                <w:rFonts w:ascii="Arial Narrow" w:hAnsi="Arial Narrow" w:cs="Arial"/>
                <w:sz w:val="20"/>
                <w:szCs w:val="20"/>
              </w:rPr>
            </w:pPr>
          </w:p>
        </w:tc>
        <w:tc>
          <w:tcPr>
            <w:tcW w:w="3901" w:type="pct"/>
            <w:gridSpan w:val="7"/>
            <w:tcBorders>
              <w:top w:val="single" w:sz="4" w:space="0" w:color="auto"/>
              <w:left w:val="single" w:sz="4" w:space="0" w:color="auto"/>
              <w:bottom w:val="single" w:sz="4" w:space="0" w:color="auto"/>
              <w:right w:val="single" w:sz="4" w:space="0" w:color="auto"/>
            </w:tcBorders>
          </w:tcPr>
          <w:p w:rsidR="001D4786" w:rsidRPr="00C34584" w:rsidRDefault="001D4786" w:rsidP="009D2F41">
            <w:pPr>
              <w:spacing w:before="40" w:after="40"/>
              <w:rPr>
                <w:rFonts w:ascii="Arial Narrow" w:hAnsi="Arial Narrow" w:cs="Arial"/>
                <w:sz w:val="20"/>
                <w:szCs w:val="20"/>
              </w:rPr>
            </w:pPr>
            <w:r w:rsidRPr="00C34584">
              <w:rPr>
                <w:rFonts w:ascii="Arial Narrow" w:hAnsi="Arial Narrow" w:cs="Arial"/>
                <w:sz w:val="20"/>
                <w:szCs w:val="20"/>
              </w:rPr>
              <w:t>A patient who fails to respond to a course of PBS-subsidised mepolizumab for the treatment of uncontrolled severe eosinophilic asthma will not be eligible to receive further PBS-subsidised treatment with mepolizumab for this condition within 6 months of the date on which treatment was ceased.</w:t>
            </w:r>
          </w:p>
        </w:tc>
      </w:tr>
      <w:tr w:rsidR="001D4786" w:rsidRPr="00C34584" w:rsidTr="001D4786">
        <w:trPr>
          <w:gridAfter w:val="1"/>
          <w:wAfter w:w="9"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1D4786" w:rsidRPr="00C34584" w:rsidRDefault="001D4786" w:rsidP="002E4841">
            <w:pPr>
              <w:spacing w:before="40" w:after="40"/>
              <w:jc w:val="both"/>
              <w:rPr>
                <w:rFonts w:ascii="Arial Narrow" w:hAnsi="Arial Narrow" w:cs="Arial"/>
                <w:b/>
                <w:sz w:val="20"/>
                <w:szCs w:val="20"/>
              </w:rPr>
            </w:pPr>
            <w:r w:rsidRPr="00C34584">
              <w:rPr>
                <w:rFonts w:ascii="Arial Narrow" w:hAnsi="Arial Narrow" w:cs="Arial"/>
                <w:b/>
                <w:sz w:val="20"/>
                <w:szCs w:val="20"/>
              </w:rPr>
              <w:t>Administrative Advice</w:t>
            </w:r>
          </w:p>
        </w:tc>
        <w:tc>
          <w:tcPr>
            <w:tcW w:w="3901" w:type="pct"/>
            <w:gridSpan w:val="7"/>
            <w:tcBorders>
              <w:top w:val="single" w:sz="4" w:space="0" w:color="auto"/>
              <w:left w:val="single" w:sz="4" w:space="0" w:color="auto"/>
              <w:bottom w:val="single" w:sz="4" w:space="0" w:color="auto"/>
              <w:right w:val="single" w:sz="4" w:space="0" w:color="auto"/>
            </w:tcBorders>
          </w:tcPr>
          <w:p w:rsidR="001D4786" w:rsidRPr="00C34584" w:rsidRDefault="00B21F2A" w:rsidP="002E4841">
            <w:pPr>
              <w:spacing w:before="40" w:after="40"/>
              <w:rPr>
                <w:rFonts w:ascii="Arial Narrow" w:hAnsi="Arial Narrow" w:cs="Arial"/>
                <w:sz w:val="20"/>
                <w:szCs w:val="20"/>
              </w:rPr>
            </w:pPr>
            <w:r w:rsidRPr="00C34584">
              <w:rPr>
                <w:rFonts w:ascii="Arial Narrow" w:hAnsi="Arial Narrow" w:cs="Arial"/>
                <w:sz w:val="20"/>
                <w:szCs w:val="20"/>
              </w:rPr>
              <w:t>As per existing restriction (no changes proposed)</w:t>
            </w:r>
          </w:p>
        </w:tc>
      </w:tr>
    </w:tbl>
    <w:p w:rsidR="005E19BC" w:rsidRPr="00C34584" w:rsidRDefault="005E19BC" w:rsidP="005E19BC">
      <w:pPr>
        <w:pStyle w:val="PBACHeading1"/>
        <w:spacing w:before="240" w:after="120"/>
        <w:ind w:left="709" w:hanging="709"/>
        <w:rPr>
          <w:rFonts w:asciiTheme="minorHAnsi" w:hAnsiTheme="minorHAnsi"/>
          <w:sz w:val="32"/>
          <w:szCs w:val="32"/>
        </w:rPr>
      </w:pPr>
      <w:r w:rsidRPr="00C34584">
        <w:rPr>
          <w:rFonts w:asciiTheme="minorHAnsi" w:hAnsiTheme="minorHAnsi"/>
          <w:sz w:val="32"/>
          <w:szCs w:val="32"/>
        </w:rPr>
        <w:t>Background</w:t>
      </w:r>
    </w:p>
    <w:p w:rsidR="005E19BC" w:rsidRPr="00C34584" w:rsidRDefault="005E19BC" w:rsidP="005E19B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There are currently two biologics that are PBS-listed for uncontrolled severe asthma: mepolizumab, which targets the</w:t>
      </w:r>
      <w:r w:rsidRPr="00C34584">
        <w:t xml:space="preserve"> </w:t>
      </w:r>
      <w:r w:rsidRPr="00C34584">
        <w:rPr>
          <w:rFonts w:asciiTheme="minorHAnsi" w:eastAsiaTheme="minorHAnsi" w:hAnsiTheme="minorHAnsi" w:cstheme="minorBidi"/>
          <w:snapToGrid/>
          <w:sz w:val="24"/>
          <w:szCs w:val="22"/>
        </w:rPr>
        <w:t>interleukin-5 pathway (i.e. eosinophil-mediated inflammation); and omalizumab which targets the immunoglobulin E pathway (i.e. allergic asthma). Eosinophilic and allergic asthma overlap in some patients; the submission stated that approximately 78% of patients who are eligible for omalizumab are also eligible for mepolizumab.</w:t>
      </w:r>
    </w:p>
    <w:p w:rsidR="005E19BC" w:rsidRPr="00C34584" w:rsidRDefault="005E19BC" w:rsidP="005E19B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Mepolizumab was PBS listed on 1 January 2017 for the treatment of uncontrolled severe eosinophilic asthma in patients aged 12 years and over, as a Section 100 (Highly Specialised Drugs Program) written authority. It was recommended by the PBAC at its July 2016 meeting on a cost-minimisation basis with omalizumab. </w:t>
      </w:r>
    </w:p>
    <w:p w:rsidR="005E19BC" w:rsidRPr="00C34584" w:rsidRDefault="005E19BC" w:rsidP="005E19B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At its November 2017 meeting, in its consideration of a minor submission for mepolizumab, the PBAC recommended extending the period of validity for the eosinophil blood test to 12 months to align with the current IgE test validity period for omalizumab.</w:t>
      </w:r>
    </w:p>
    <w:p w:rsidR="005E19BC" w:rsidRPr="00C34584" w:rsidRDefault="005E19BC" w:rsidP="005E19B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Omalizumab was first recommended for listing in November 2010 and is currently PBS-listed for the treatment of patients aged six years and over with uncontrolled severe allergic asthma who have a total serum immunoglobulin E ≥ 30 IU/mL. It was recommended on a cost-effectiveness basis compared with standard of care.</w:t>
      </w:r>
    </w:p>
    <w:p w:rsidR="005E19BC" w:rsidRPr="00D22F30" w:rsidRDefault="005E19BC" w:rsidP="00D22F3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The March 2018 PBAC </w:t>
      </w:r>
      <w:r w:rsidR="00661B34">
        <w:rPr>
          <w:rFonts w:asciiTheme="minorHAnsi" w:eastAsiaTheme="minorHAnsi" w:hAnsiTheme="minorHAnsi" w:cstheme="minorBidi"/>
          <w:snapToGrid/>
          <w:sz w:val="24"/>
          <w:szCs w:val="22"/>
        </w:rPr>
        <w:t>also</w:t>
      </w:r>
      <w:r w:rsidRPr="00C34584">
        <w:rPr>
          <w:rFonts w:asciiTheme="minorHAnsi" w:eastAsiaTheme="minorHAnsi" w:hAnsiTheme="minorHAnsi" w:cstheme="minorBidi"/>
          <w:snapToGrid/>
          <w:sz w:val="24"/>
          <w:szCs w:val="22"/>
        </w:rPr>
        <w:t xml:space="preserve"> consider</w:t>
      </w:r>
      <w:r w:rsidR="00661B34">
        <w:rPr>
          <w:rFonts w:asciiTheme="minorHAnsi" w:eastAsiaTheme="minorHAnsi" w:hAnsiTheme="minorHAnsi" w:cstheme="minorBidi"/>
          <w:snapToGrid/>
          <w:sz w:val="24"/>
          <w:szCs w:val="22"/>
        </w:rPr>
        <w:t>ed</w:t>
      </w:r>
      <w:r w:rsidRPr="00C34584">
        <w:rPr>
          <w:rFonts w:asciiTheme="minorHAnsi" w:eastAsiaTheme="minorHAnsi" w:hAnsiTheme="minorHAnsi" w:cstheme="minorBidi"/>
          <w:snapToGrid/>
          <w:sz w:val="24"/>
          <w:szCs w:val="22"/>
        </w:rPr>
        <w:t>: a major submission seeking PBS-listing of benralizumab, a biologic for uncontrolled severe eosinophilic asthma</w:t>
      </w:r>
      <w:r w:rsidR="00F93A7C">
        <w:rPr>
          <w:rFonts w:asciiTheme="minorHAnsi" w:eastAsiaTheme="minorHAnsi" w:hAnsiTheme="minorHAnsi" w:cstheme="minorBidi"/>
          <w:snapToGrid/>
          <w:sz w:val="24"/>
          <w:szCs w:val="22"/>
        </w:rPr>
        <w:t xml:space="preserve"> (Item 5.01)</w:t>
      </w:r>
      <w:r w:rsidRPr="00C34584">
        <w:rPr>
          <w:rFonts w:asciiTheme="minorHAnsi" w:eastAsiaTheme="minorHAnsi" w:hAnsiTheme="minorHAnsi" w:cstheme="minorBidi"/>
          <w:snapToGrid/>
          <w:sz w:val="24"/>
          <w:szCs w:val="22"/>
        </w:rPr>
        <w:t xml:space="preserve">; </w:t>
      </w:r>
      <w:r w:rsidRPr="00C34584">
        <w:rPr>
          <w:rFonts w:asciiTheme="minorHAnsi" w:eastAsiaTheme="minorHAnsi" w:hAnsiTheme="minorHAnsi" w:cstheme="minorBidi"/>
          <w:snapToGrid/>
          <w:sz w:val="24"/>
          <w:szCs w:val="22"/>
        </w:rPr>
        <w:lastRenderedPageBreak/>
        <w:t xml:space="preserve">and a minor submission for benralizumab requesting </w:t>
      </w:r>
      <w:r w:rsidR="00BF390E">
        <w:rPr>
          <w:rFonts w:asciiTheme="minorHAnsi" w:eastAsiaTheme="minorHAnsi" w:hAnsiTheme="minorHAnsi" w:cstheme="minorBidi"/>
          <w:snapToGrid/>
          <w:sz w:val="24"/>
          <w:szCs w:val="22"/>
        </w:rPr>
        <w:t>change</w:t>
      </w:r>
      <w:r w:rsidRPr="00C34584">
        <w:rPr>
          <w:rFonts w:asciiTheme="minorHAnsi" w:eastAsiaTheme="minorHAnsi" w:hAnsiTheme="minorHAnsi" w:cstheme="minorBidi"/>
          <w:snapToGrid/>
          <w:sz w:val="24"/>
          <w:szCs w:val="22"/>
        </w:rPr>
        <w:t>s to the current restrictions for biologics in uncontrolled severe eosinophilic asthma</w:t>
      </w:r>
      <w:r w:rsidR="00F93A7C">
        <w:rPr>
          <w:rFonts w:asciiTheme="minorHAnsi" w:eastAsiaTheme="minorHAnsi" w:hAnsiTheme="minorHAnsi" w:cstheme="minorBidi"/>
          <w:snapToGrid/>
          <w:sz w:val="24"/>
          <w:szCs w:val="22"/>
        </w:rPr>
        <w:t xml:space="preserve"> (Item 6.16)</w:t>
      </w:r>
      <w:r w:rsidRPr="00C34584">
        <w:rPr>
          <w:rFonts w:asciiTheme="minorHAnsi" w:eastAsiaTheme="minorHAnsi" w:hAnsiTheme="minorHAnsi" w:cstheme="minorBidi"/>
          <w:snapToGrid/>
          <w:sz w:val="24"/>
          <w:szCs w:val="22"/>
        </w:rPr>
        <w:t xml:space="preserve">. </w:t>
      </w:r>
    </w:p>
    <w:p w:rsidR="005E19BC" w:rsidRPr="00D17EEC" w:rsidRDefault="005E19BC" w:rsidP="005404B8">
      <w:pPr>
        <w:pStyle w:val="PBACHeading1"/>
        <w:spacing w:before="240" w:after="120"/>
        <w:rPr>
          <w:rFonts w:asciiTheme="minorHAnsi" w:hAnsiTheme="minorHAnsi"/>
          <w:sz w:val="32"/>
          <w:szCs w:val="32"/>
        </w:rPr>
      </w:pPr>
      <w:r w:rsidRPr="005E19BC">
        <w:rPr>
          <w:rFonts w:asciiTheme="minorHAnsi" w:hAnsiTheme="minorHAnsi"/>
          <w:sz w:val="32"/>
          <w:szCs w:val="32"/>
        </w:rPr>
        <w:t xml:space="preserve">Basis </w:t>
      </w:r>
      <w:r>
        <w:rPr>
          <w:rFonts w:asciiTheme="minorHAnsi" w:hAnsiTheme="minorHAnsi"/>
          <w:sz w:val="32"/>
          <w:szCs w:val="32"/>
        </w:rPr>
        <w:t xml:space="preserve">for </w:t>
      </w:r>
      <w:r w:rsidR="00661B34" w:rsidRPr="00661B34">
        <w:rPr>
          <w:rFonts w:asciiTheme="minorHAnsi" w:hAnsiTheme="minorHAnsi"/>
          <w:sz w:val="32"/>
          <w:szCs w:val="32"/>
        </w:rPr>
        <w:t>requested restriction changes</w:t>
      </w:r>
    </w:p>
    <w:p w:rsidR="00D22F30" w:rsidRPr="004E27C4" w:rsidRDefault="004368BD" w:rsidP="004E27C4">
      <w:pPr>
        <w:numPr>
          <w:ilvl w:val="1"/>
          <w:numId w:val="25"/>
        </w:numPr>
        <w:snapToGrid w:val="0"/>
        <w:spacing w:after="120"/>
        <w:jc w:val="both"/>
        <w:rPr>
          <w:rFonts w:ascii="Calibri" w:eastAsia="Calibri" w:hAnsi="Calibri"/>
          <w:szCs w:val="22"/>
          <w:lang w:eastAsia="en-US"/>
        </w:rPr>
      </w:pPr>
      <w:r w:rsidRPr="00C34584">
        <w:rPr>
          <w:rFonts w:ascii="Calibri" w:eastAsia="Calibri" w:hAnsi="Calibri"/>
          <w:szCs w:val="22"/>
          <w:lang w:eastAsia="en-US"/>
        </w:rPr>
        <w:t xml:space="preserve">The submission proposed removal of the requirement for patients with inadequate response to omalizumab to have a six month </w:t>
      </w:r>
      <w:r w:rsidR="00E836E8" w:rsidRPr="00C34584">
        <w:rPr>
          <w:rFonts w:ascii="Calibri" w:eastAsia="Calibri" w:hAnsi="Calibri"/>
          <w:szCs w:val="22"/>
          <w:lang w:eastAsia="en-US"/>
        </w:rPr>
        <w:t xml:space="preserve">treatment </w:t>
      </w:r>
      <w:r w:rsidR="00B47DD8">
        <w:rPr>
          <w:rFonts w:ascii="Calibri" w:eastAsia="Calibri" w:hAnsi="Calibri"/>
          <w:szCs w:val="22"/>
          <w:lang w:eastAsia="en-US"/>
        </w:rPr>
        <w:t>i</w:t>
      </w:r>
      <w:r w:rsidR="0077751B">
        <w:rPr>
          <w:rFonts w:ascii="Calibri" w:eastAsia="Calibri" w:hAnsi="Calibri"/>
          <w:szCs w:val="22"/>
          <w:lang w:eastAsia="en-US"/>
        </w:rPr>
        <w:t>n</w:t>
      </w:r>
      <w:r w:rsidR="00B47DD8">
        <w:rPr>
          <w:rFonts w:ascii="Calibri" w:eastAsia="Calibri" w:hAnsi="Calibri"/>
          <w:szCs w:val="22"/>
          <w:lang w:eastAsia="en-US"/>
        </w:rPr>
        <w:t>terval</w:t>
      </w:r>
      <w:r w:rsidR="00B47DD8" w:rsidRPr="00C34584">
        <w:rPr>
          <w:rFonts w:ascii="Calibri" w:eastAsia="Calibri" w:hAnsi="Calibri"/>
          <w:szCs w:val="22"/>
          <w:lang w:eastAsia="en-US"/>
        </w:rPr>
        <w:t xml:space="preserve"> </w:t>
      </w:r>
      <w:r w:rsidR="00473B89">
        <w:rPr>
          <w:rFonts w:ascii="Calibri" w:eastAsia="Calibri" w:hAnsi="Calibri"/>
          <w:szCs w:val="22"/>
          <w:lang w:eastAsia="en-US"/>
        </w:rPr>
        <w:t>between ceasing oma</w:t>
      </w:r>
      <w:r w:rsidR="00C15035">
        <w:rPr>
          <w:rFonts w:ascii="Calibri" w:eastAsia="Calibri" w:hAnsi="Calibri"/>
          <w:szCs w:val="22"/>
          <w:lang w:eastAsia="en-US"/>
        </w:rPr>
        <w:t>lizumab</w:t>
      </w:r>
      <w:r w:rsidR="00473B89">
        <w:rPr>
          <w:rFonts w:ascii="Calibri" w:eastAsia="Calibri" w:hAnsi="Calibri"/>
          <w:szCs w:val="22"/>
          <w:lang w:eastAsia="en-US"/>
        </w:rPr>
        <w:t xml:space="preserve"> and </w:t>
      </w:r>
      <w:r w:rsidRPr="00C34584">
        <w:rPr>
          <w:rFonts w:ascii="Calibri" w:eastAsia="Calibri" w:hAnsi="Calibri"/>
          <w:szCs w:val="22"/>
          <w:lang w:eastAsia="en-US"/>
        </w:rPr>
        <w:t>commencing mepolizumab.</w:t>
      </w:r>
      <w:r w:rsidR="00405E2C">
        <w:rPr>
          <w:rFonts w:ascii="Calibri" w:eastAsia="Calibri" w:hAnsi="Calibri"/>
          <w:szCs w:val="22"/>
          <w:lang w:eastAsia="en-US"/>
        </w:rPr>
        <w:t xml:space="preserve"> The PBAC noted that the treatment </w:t>
      </w:r>
      <w:r w:rsidR="00B47DD8">
        <w:rPr>
          <w:rFonts w:ascii="Calibri" w:eastAsia="Calibri" w:hAnsi="Calibri"/>
          <w:szCs w:val="22"/>
          <w:lang w:eastAsia="en-US"/>
        </w:rPr>
        <w:t>interval</w:t>
      </w:r>
      <w:r w:rsidR="00405E2C">
        <w:rPr>
          <w:rFonts w:ascii="Calibri" w:eastAsia="Calibri" w:hAnsi="Calibri"/>
          <w:szCs w:val="22"/>
          <w:lang w:eastAsia="en-US"/>
        </w:rPr>
        <w:t xml:space="preserve"> applies regardless of the reason for switch</w:t>
      </w:r>
      <w:r w:rsidR="009622D9">
        <w:rPr>
          <w:rFonts w:ascii="Calibri" w:eastAsia="Calibri" w:hAnsi="Calibri"/>
          <w:szCs w:val="22"/>
          <w:lang w:eastAsia="en-US"/>
        </w:rPr>
        <w:t>ing</w:t>
      </w:r>
      <w:r w:rsidR="00405E2C">
        <w:rPr>
          <w:rFonts w:ascii="Calibri" w:eastAsia="Calibri" w:hAnsi="Calibri"/>
          <w:szCs w:val="22"/>
          <w:lang w:eastAsia="en-US"/>
        </w:rPr>
        <w:t>, including</w:t>
      </w:r>
      <w:r w:rsidR="009622D9">
        <w:rPr>
          <w:rFonts w:ascii="Calibri" w:eastAsia="Calibri" w:hAnsi="Calibri"/>
          <w:szCs w:val="22"/>
          <w:lang w:eastAsia="en-US"/>
        </w:rPr>
        <w:t xml:space="preserve"> if the switch is due to </w:t>
      </w:r>
      <w:r w:rsidR="00405E2C">
        <w:rPr>
          <w:rFonts w:ascii="Calibri" w:eastAsia="Calibri" w:hAnsi="Calibri"/>
          <w:szCs w:val="22"/>
          <w:lang w:eastAsia="en-US"/>
        </w:rPr>
        <w:t>adverse events</w:t>
      </w:r>
      <w:r w:rsidR="009622D9">
        <w:rPr>
          <w:rFonts w:ascii="Calibri" w:eastAsia="Calibri" w:hAnsi="Calibri"/>
          <w:szCs w:val="22"/>
          <w:lang w:eastAsia="en-US"/>
        </w:rPr>
        <w:t>,</w:t>
      </w:r>
      <w:r w:rsidR="00405E2C">
        <w:rPr>
          <w:rFonts w:ascii="Calibri" w:eastAsia="Calibri" w:hAnsi="Calibri"/>
          <w:szCs w:val="22"/>
          <w:lang w:eastAsia="en-US"/>
        </w:rPr>
        <w:t xml:space="preserve"> allergies</w:t>
      </w:r>
      <w:r w:rsidR="009622D9">
        <w:rPr>
          <w:rFonts w:ascii="Calibri" w:eastAsia="Calibri" w:hAnsi="Calibri"/>
          <w:szCs w:val="22"/>
          <w:lang w:eastAsia="en-US"/>
        </w:rPr>
        <w:t xml:space="preserve"> or partial responsiveness.</w:t>
      </w:r>
    </w:p>
    <w:p w:rsidR="00AF1FBA" w:rsidRDefault="00573DB4" w:rsidP="00AF1FBA">
      <w:pPr>
        <w:spacing w:after="120"/>
        <w:rPr>
          <w:rFonts w:asciiTheme="minorHAnsi" w:eastAsiaTheme="minorHAnsi" w:hAnsiTheme="minorHAnsi" w:cstheme="minorBidi"/>
          <w:szCs w:val="22"/>
          <w:u w:val="single"/>
        </w:rPr>
      </w:pPr>
      <w:r w:rsidRPr="00C34584">
        <w:rPr>
          <w:rFonts w:asciiTheme="minorHAnsi" w:eastAsiaTheme="minorHAnsi" w:hAnsiTheme="minorHAnsi" w:cstheme="minorBidi"/>
          <w:szCs w:val="22"/>
          <w:u w:val="single"/>
        </w:rPr>
        <w:t>Basis for six month treatment break</w:t>
      </w:r>
      <w:r w:rsidR="00AF1FBA">
        <w:rPr>
          <w:rFonts w:asciiTheme="minorHAnsi" w:eastAsiaTheme="minorHAnsi" w:hAnsiTheme="minorHAnsi" w:cstheme="minorBidi"/>
          <w:szCs w:val="22"/>
          <w:u w:val="single"/>
        </w:rPr>
        <w:t>: re-trial of same biologic</w:t>
      </w:r>
      <w:r w:rsidRPr="00C34584">
        <w:rPr>
          <w:rFonts w:asciiTheme="minorHAnsi" w:eastAsiaTheme="minorHAnsi" w:hAnsiTheme="minorHAnsi" w:cstheme="minorBidi"/>
          <w:szCs w:val="22"/>
          <w:u w:val="single"/>
        </w:rPr>
        <w:t xml:space="preserve"> </w:t>
      </w:r>
    </w:p>
    <w:p w:rsidR="00573DB4" w:rsidRPr="00C34584" w:rsidRDefault="00AF1FBA" w:rsidP="00AF1FBA">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that t</w:t>
      </w:r>
      <w:r w:rsidR="00573DB4" w:rsidRPr="00C34584">
        <w:rPr>
          <w:rFonts w:asciiTheme="minorHAnsi" w:eastAsiaTheme="minorHAnsi" w:hAnsiTheme="minorHAnsi" w:cstheme="minorBidi"/>
          <w:snapToGrid/>
          <w:sz w:val="24"/>
          <w:szCs w:val="22"/>
        </w:rPr>
        <w:t xml:space="preserve">he six month treatment break </w:t>
      </w:r>
      <w:r w:rsidR="004C529B" w:rsidRPr="00C34584">
        <w:rPr>
          <w:rFonts w:asciiTheme="minorHAnsi" w:eastAsiaTheme="minorHAnsi" w:hAnsiTheme="minorHAnsi" w:cstheme="minorBidi"/>
          <w:snapToGrid/>
          <w:sz w:val="24"/>
          <w:szCs w:val="22"/>
        </w:rPr>
        <w:t>was</w:t>
      </w:r>
      <w:r w:rsidR="00573DB4" w:rsidRPr="00C34584">
        <w:rPr>
          <w:rFonts w:asciiTheme="minorHAnsi" w:eastAsiaTheme="minorHAnsi" w:hAnsiTheme="minorHAnsi" w:cstheme="minorBidi"/>
          <w:snapToGrid/>
          <w:sz w:val="24"/>
          <w:szCs w:val="22"/>
        </w:rPr>
        <w:t xml:space="preserve"> </w:t>
      </w:r>
      <w:r w:rsidR="004368BD" w:rsidRPr="00C34584">
        <w:rPr>
          <w:rFonts w:asciiTheme="minorHAnsi" w:eastAsiaTheme="minorHAnsi" w:hAnsiTheme="minorHAnsi" w:cstheme="minorBidi"/>
          <w:snapToGrid/>
          <w:sz w:val="24"/>
          <w:szCs w:val="22"/>
        </w:rPr>
        <w:t xml:space="preserve">originally </w:t>
      </w:r>
      <w:r w:rsidR="00573DB4" w:rsidRPr="00C34584">
        <w:rPr>
          <w:rFonts w:asciiTheme="minorHAnsi" w:eastAsiaTheme="minorHAnsi" w:hAnsiTheme="minorHAnsi" w:cstheme="minorBidi"/>
          <w:snapToGrid/>
          <w:sz w:val="24"/>
          <w:szCs w:val="22"/>
        </w:rPr>
        <w:t>based on the omalizumab restriction</w:t>
      </w:r>
      <w:r w:rsidR="004368BD" w:rsidRPr="00C34584">
        <w:rPr>
          <w:rFonts w:asciiTheme="minorHAnsi" w:eastAsiaTheme="minorHAnsi" w:hAnsiTheme="minorHAnsi" w:cstheme="minorBidi"/>
          <w:snapToGrid/>
          <w:sz w:val="24"/>
          <w:szCs w:val="22"/>
        </w:rPr>
        <w:t xml:space="preserve">, and related to </w:t>
      </w:r>
      <w:r w:rsidR="004368BD" w:rsidRPr="00C34584">
        <w:rPr>
          <w:rFonts w:asciiTheme="minorHAnsi" w:eastAsiaTheme="minorHAnsi" w:hAnsiTheme="minorHAnsi" w:cstheme="minorBidi"/>
          <w:snapToGrid/>
          <w:sz w:val="24"/>
          <w:szCs w:val="22"/>
          <w:u w:val="single"/>
        </w:rPr>
        <w:t>re-</w:t>
      </w:r>
      <w:r>
        <w:rPr>
          <w:rFonts w:asciiTheme="minorHAnsi" w:eastAsiaTheme="minorHAnsi" w:hAnsiTheme="minorHAnsi" w:cstheme="minorBidi"/>
          <w:snapToGrid/>
          <w:sz w:val="24"/>
          <w:szCs w:val="22"/>
          <w:u w:val="single"/>
        </w:rPr>
        <w:t>trial</w:t>
      </w:r>
      <w:r w:rsidRPr="00C34584">
        <w:rPr>
          <w:rFonts w:asciiTheme="minorHAnsi" w:eastAsiaTheme="minorHAnsi" w:hAnsiTheme="minorHAnsi" w:cstheme="minorBidi"/>
          <w:snapToGrid/>
          <w:sz w:val="24"/>
          <w:szCs w:val="22"/>
        </w:rPr>
        <w:t xml:space="preserve"> </w:t>
      </w:r>
      <w:r w:rsidR="004368BD" w:rsidRPr="00C34584">
        <w:rPr>
          <w:rFonts w:asciiTheme="minorHAnsi" w:eastAsiaTheme="minorHAnsi" w:hAnsiTheme="minorHAnsi" w:cstheme="minorBidi"/>
          <w:snapToGrid/>
          <w:sz w:val="24"/>
          <w:szCs w:val="22"/>
        </w:rPr>
        <w:t>of omalizumab in patients with inadequate response</w:t>
      </w:r>
      <w:r w:rsidR="00573DB4" w:rsidRPr="00C34584">
        <w:rPr>
          <w:rFonts w:asciiTheme="minorHAnsi" w:eastAsiaTheme="minorHAnsi" w:hAnsiTheme="minorHAnsi" w:cstheme="minorBidi"/>
          <w:snapToGrid/>
          <w:sz w:val="24"/>
          <w:szCs w:val="22"/>
        </w:rPr>
        <w:t>. Omalizumab was the first biologic listed for uncontrolled severe asthma, and included the requirement that “A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rsidR="00573DB4" w:rsidRDefault="00573DB4" w:rsidP="00573DB4">
      <w:pPr>
        <w:pStyle w:val="ListParagraph"/>
        <w:numPr>
          <w:ilvl w:val="1"/>
          <w:numId w:val="5"/>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The March 2016 submission for PBS-listing of mepoliz</w:t>
      </w:r>
      <w:r w:rsidR="004368BD" w:rsidRPr="00C34584">
        <w:rPr>
          <w:rFonts w:asciiTheme="minorHAnsi" w:eastAsiaTheme="minorHAnsi" w:hAnsiTheme="minorHAnsi" w:cstheme="minorBidi"/>
          <w:snapToGrid/>
          <w:sz w:val="24"/>
          <w:szCs w:val="22"/>
        </w:rPr>
        <w:t>umab proposed a similar six-</w:t>
      </w:r>
      <w:r w:rsidRPr="00C34584">
        <w:rPr>
          <w:rFonts w:asciiTheme="minorHAnsi" w:eastAsiaTheme="minorHAnsi" w:hAnsiTheme="minorHAnsi" w:cstheme="minorBidi"/>
          <w:snapToGrid/>
          <w:sz w:val="24"/>
          <w:szCs w:val="22"/>
        </w:rPr>
        <w:t xml:space="preserve">month break </w:t>
      </w:r>
      <w:r w:rsidR="004368BD" w:rsidRPr="00C34584">
        <w:rPr>
          <w:rFonts w:asciiTheme="minorHAnsi" w:eastAsiaTheme="minorHAnsi" w:hAnsiTheme="minorHAnsi" w:cstheme="minorBidi"/>
          <w:snapToGrid/>
          <w:sz w:val="24"/>
          <w:szCs w:val="22"/>
        </w:rPr>
        <w:t xml:space="preserve">between </w:t>
      </w:r>
      <w:r w:rsidR="004368BD" w:rsidRPr="00C34584">
        <w:rPr>
          <w:rFonts w:asciiTheme="minorHAnsi" w:eastAsiaTheme="minorHAnsi" w:hAnsiTheme="minorHAnsi" w:cstheme="minorBidi"/>
          <w:snapToGrid/>
          <w:sz w:val="24"/>
          <w:szCs w:val="22"/>
          <w:u w:val="single"/>
        </w:rPr>
        <w:t>re-</w:t>
      </w:r>
      <w:r w:rsidR="00AF1FBA">
        <w:rPr>
          <w:rFonts w:asciiTheme="minorHAnsi" w:eastAsiaTheme="minorHAnsi" w:hAnsiTheme="minorHAnsi" w:cstheme="minorBidi"/>
          <w:snapToGrid/>
          <w:sz w:val="24"/>
          <w:szCs w:val="22"/>
          <w:u w:val="single"/>
        </w:rPr>
        <w:t>trial</w:t>
      </w:r>
      <w:r w:rsidR="004368BD" w:rsidRPr="00C34584">
        <w:rPr>
          <w:rFonts w:asciiTheme="minorHAnsi" w:eastAsiaTheme="minorHAnsi" w:hAnsiTheme="minorHAnsi" w:cstheme="minorBidi"/>
          <w:snapToGrid/>
          <w:sz w:val="24"/>
          <w:szCs w:val="22"/>
        </w:rPr>
        <w:t xml:space="preserve"> of mepolizumab in patients with inadequate response (i.e. a six-month break </w:t>
      </w:r>
      <w:r w:rsidRPr="00C34584">
        <w:rPr>
          <w:rFonts w:asciiTheme="minorHAnsi" w:eastAsiaTheme="minorHAnsi" w:hAnsiTheme="minorHAnsi" w:cstheme="minorBidi"/>
          <w:snapToGrid/>
          <w:sz w:val="24"/>
          <w:szCs w:val="22"/>
        </w:rPr>
        <w:t xml:space="preserve">in PBS-subsidised mepolizumab for patients who had either failed to achieve or maintain a response to mepolizumab). </w:t>
      </w:r>
    </w:p>
    <w:p w:rsidR="00AF1FBA" w:rsidRPr="00AF1FBA" w:rsidRDefault="005F7379" w:rsidP="00AF1FBA">
      <w:pPr>
        <w:widowControl w:val="0"/>
        <w:snapToGrid w:val="0"/>
        <w:spacing w:after="120"/>
        <w:jc w:val="both"/>
        <w:rPr>
          <w:rFonts w:asciiTheme="minorHAnsi" w:eastAsiaTheme="minorHAnsi" w:hAnsiTheme="minorHAnsi" w:cstheme="minorBidi"/>
          <w:szCs w:val="22"/>
        </w:rPr>
      </w:pPr>
      <w:r>
        <w:rPr>
          <w:rFonts w:asciiTheme="minorHAnsi" w:eastAsiaTheme="minorHAnsi" w:hAnsiTheme="minorHAnsi" w:cstheme="minorBidi"/>
          <w:szCs w:val="22"/>
          <w:u w:val="single"/>
        </w:rPr>
        <w:t>S</w:t>
      </w:r>
      <w:r w:rsidR="00AF1FBA" w:rsidRPr="00AF1FBA">
        <w:rPr>
          <w:rFonts w:asciiTheme="minorHAnsi" w:eastAsiaTheme="minorHAnsi" w:hAnsiTheme="minorHAnsi" w:cstheme="minorBidi"/>
          <w:szCs w:val="22"/>
          <w:u w:val="single"/>
        </w:rPr>
        <w:t>witching between</w:t>
      </w:r>
      <w:r w:rsidR="00AF1FBA" w:rsidRPr="00C34584">
        <w:rPr>
          <w:rFonts w:ascii="Calibri" w:eastAsia="Calibri" w:hAnsi="Calibri"/>
          <w:szCs w:val="22"/>
          <w:u w:val="single"/>
          <w:lang w:eastAsia="en-US"/>
        </w:rPr>
        <w:t xml:space="preserve"> different biologics </w:t>
      </w:r>
    </w:p>
    <w:p w:rsidR="007F73D0" w:rsidRPr="00C34584" w:rsidRDefault="00573DB4" w:rsidP="00573DB4">
      <w:pPr>
        <w:pStyle w:val="ListParagraph"/>
        <w:numPr>
          <w:ilvl w:val="1"/>
          <w:numId w:val="5"/>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Additionally, the restriction</w:t>
      </w:r>
      <w:r w:rsidR="004368BD" w:rsidRPr="00C34584">
        <w:rPr>
          <w:rFonts w:asciiTheme="minorHAnsi" w:eastAsiaTheme="minorHAnsi" w:hAnsiTheme="minorHAnsi" w:cstheme="minorBidi"/>
          <w:snapToGrid/>
          <w:sz w:val="24"/>
          <w:szCs w:val="22"/>
        </w:rPr>
        <w:t xml:space="preserve"> that </w:t>
      </w:r>
      <w:r w:rsidR="00E158EF" w:rsidRPr="00C34584">
        <w:rPr>
          <w:rFonts w:asciiTheme="minorHAnsi" w:eastAsiaTheme="minorHAnsi" w:hAnsiTheme="minorHAnsi" w:cstheme="minorBidi"/>
          <w:snapToGrid/>
          <w:sz w:val="24"/>
          <w:szCs w:val="22"/>
        </w:rPr>
        <w:t>was</w:t>
      </w:r>
      <w:r w:rsidRPr="00C34584">
        <w:rPr>
          <w:rFonts w:asciiTheme="minorHAnsi" w:eastAsiaTheme="minorHAnsi" w:hAnsiTheme="minorHAnsi" w:cstheme="minorBidi"/>
          <w:snapToGrid/>
          <w:sz w:val="24"/>
          <w:szCs w:val="22"/>
        </w:rPr>
        <w:t xml:space="preserve"> proposed in the March 2016 submission would have allowed initiation of mepolizumab treatment after a 130 day (4.3 month) washout period for patients who had failed to respond to omalizumab treatment</w:t>
      </w:r>
      <w:r w:rsidR="004368BD" w:rsidRPr="00C34584">
        <w:rPr>
          <w:rFonts w:asciiTheme="minorHAnsi" w:eastAsiaTheme="minorHAnsi" w:hAnsiTheme="minorHAnsi" w:cstheme="minorBidi"/>
          <w:snapToGrid/>
          <w:sz w:val="24"/>
          <w:szCs w:val="22"/>
        </w:rPr>
        <w:t xml:space="preserve"> (i.e. a 130 day treatment break </w:t>
      </w:r>
      <w:r w:rsidR="00E836E8" w:rsidRPr="00C34584">
        <w:rPr>
          <w:rFonts w:asciiTheme="minorHAnsi" w:eastAsiaTheme="minorHAnsi" w:hAnsiTheme="minorHAnsi" w:cstheme="minorBidi"/>
          <w:snapToGrid/>
          <w:sz w:val="24"/>
          <w:szCs w:val="22"/>
        </w:rPr>
        <w:t>when</w:t>
      </w:r>
      <w:r w:rsidR="004368BD" w:rsidRPr="00C34584">
        <w:rPr>
          <w:rFonts w:asciiTheme="minorHAnsi" w:eastAsiaTheme="minorHAnsi" w:hAnsiTheme="minorHAnsi" w:cstheme="minorBidi"/>
          <w:snapToGrid/>
          <w:sz w:val="24"/>
          <w:szCs w:val="22"/>
        </w:rPr>
        <w:t xml:space="preserve"> </w:t>
      </w:r>
      <w:r w:rsidR="004368BD" w:rsidRPr="00C34584">
        <w:rPr>
          <w:rFonts w:asciiTheme="minorHAnsi" w:eastAsiaTheme="minorHAnsi" w:hAnsiTheme="minorHAnsi" w:cstheme="minorBidi"/>
          <w:snapToGrid/>
          <w:sz w:val="24"/>
          <w:szCs w:val="22"/>
          <w:u w:val="single"/>
        </w:rPr>
        <w:t>switching between different biologics</w:t>
      </w:r>
      <w:r w:rsidR="004368BD" w:rsidRPr="00C34584">
        <w:rPr>
          <w:rFonts w:asciiTheme="minorHAnsi" w:eastAsiaTheme="minorHAnsi" w:hAnsiTheme="minorHAnsi" w:cstheme="minorBidi"/>
          <w:snapToGrid/>
          <w:sz w:val="24"/>
          <w:szCs w:val="22"/>
        </w:rPr>
        <w:t>)</w:t>
      </w:r>
      <w:r w:rsidRPr="00C34584">
        <w:rPr>
          <w:rFonts w:asciiTheme="minorHAnsi" w:eastAsiaTheme="minorHAnsi" w:hAnsiTheme="minorHAnsi" w:cstheme="minorBidi"/>
          <w:snapToGrid/>
          <w:sz w:val="24"/>
          <w:szCs w:val="22"/>
        </w:rPr>
        <w:t xml:space="preserve">. </w:t>
      </w:r>
      <w:r w:rsidR="00AF1FBA">
        <w:rPr>
          <w:rFonts w:asciiTheme="minorHAnsi" w:eastAsiaTheme="minorHAnsi" w:hAnsiTheme="minorHAnsi" w:cstheme="minorBidi"/>
          <w:snapToGrid/>
          <w:sz w:val="24"/>
          <w:szCs w:val="22"/>
        </w:rPr>
        <w:t>The PBAC noted that</w:t>
      </w:r>
      <w:r w:rsidR="002A2F69">
        <w:rPr>
          <w:rFonts w:asciiTheme="minorHAnsi" w:eastAsiaTheme="minorHAnsi" w:hAnsiTheme="minorHAnsi" w:cstheme="minorBidi"/>
          <w:snapToGrid/>
          <w:sz w:val="24"/>
          <w:szCs w:val="22"/>
        </w:rPr>
        <w:t xml:space="preserve"> it subsequently recommended</w:t>
      </w:r>
      <w:r w:rsidR="00AF1FBA">
        <w:rPr>
          <w:rFonts w:asciiTheme="minorHAnsi" w:eastAsiaTheme="minorHAnsi" w:hAnsiTheme="minorHAnsi" w:cstheme="minorBidi"/>
          <w:snapToGrid/>
          <w:sz w:val="24"/>
          <w:szCs w:val="22"/>
        </w:rPr>
        <w:t xml:space="preserve"> a</w:t>
      </w:r>
      <w:r w:rsidR="00E836E8" w:rsidRPr="00C34584">
        <w:rPr>
          <w:rFonts w:asciiTheme="minorHAnsi" w:eastAsiaTheme="minorHAnsi" w:hAnsiTheme="minorHAnsi" w:cstheme="minorBidi"/>
          <w:snapToGrid/>
          <w:sz w:val="24"/>
          <w:szCs w:val="22"/>
        </w:rPr>
        <w:t xml:space="preserve"> six month </w:t>
      </w:r>
      <w:r w:rsidR="005F7379">
        <w:rPr>
          <w:rFonts w:asciiTheme="minorHAnsi" w:eastAsiaTheme="minorHAnsi" w:hAnsiTheme="minorHAnsi" w:cstheme="minorBidi"/>
          <w:snapToGrid/>
          <w:sz w:val="24"/>
          <w:szCs w:val="22"/>
        </w:rPr>
        <w:t>interval</w:t>
      </w:r>
      <w:r w:rsidR="00E836E8" w:rsidRPr="00C34584">
        <w:rPr>
          <w:rFonts w:asciiTheme="minorHAnsi" w:eastAsiaTheme="minorHAnsi" w:hAnsiTheme="minorHAnsi" w:cstheme="minorBidi"/>
          <w:snapToGrid/>
          <w:sz w:val="24"/>
          <w:szCs w:val="22"/>
        </w:rPr>
        <w:t xml:space="preserve"> </w:t>
      </w:r>
      <w:r w:rsidR="002A2F69">
        <w:rPr>
          <w:rFonts w:asciiTheme="minorHAnsi" w:eastAsiaTheme="minorHAnsi" w:hAnsiTheme="minorHAnsi" w:cstheme="minorBidi"/>
          <w:snapToGrid/>
          <w:sz w:val="24"/>
          <w:szCs w:val="22"/>
        </w:rPr>
        <w:t xml:space="preserve">be </w:t>
      </w:r>
      <w:r w:rsidR="007F73D0" w:rsidRPr="00C34584">
        <w:rPr>
          <w:rFonts w:asciiTheme="minorHAnsi" w:eastAsiaTheme="minorHAnsi" w:hAnsiTheme="minorHAnsi" w:cstheme="minorBidi"/>
          <w:snapToGrid/>
          <w:sz w:val="24"/>
          <w:szCs w:val="22"/>
        </w:rPr>
        <w:t xml:space="preserve">included in the final restriction for consistency with the </w:t>
      </w:r>
      <w:r w:rsidR="005F7379">
        <w:rPr>
          <w:rFonts w:asciiTheme="minorHAnsi" w:eastAsiaTheme="minorHAnsi" w:hAnsiTheme="minorHAnsi" w:cstheme="minorBidi"/>
          <w:snapToGrid/>
          <w:sz w:val="24"/>
          <w:szCs w:val="22"/>
        </w:rPr>
        <w:t>interval</w:t>
      </w:r>
      <w:r w:rsidR="005F7379" w:rsidRPr="00C34584">
        <w:rPr>
          <w:rFonts w:asciiTheme="minorHAnsi" w:eastAsiaTheme="minorHAnsi" w:hAnsiTheme="minorHAnsi" w:cstheme="minorBidi"/>
          <w:snapToGrid/>
          <w:sz w:val="24"/>
          <w:szCs w:val="22"/>
        </w:rPr>
        <w:t xml:space="preserve"> </w:t>
      </w:r>
      <w:r w:rsidR="007F73D0" w:rsidRPr="00C34584">
        <w:rPr>
          <w:rFonts w:asciiTheme="minorHAnsi" w:eastAsiaTheme="minorHAnsi" w:hAnsiTheme="minorHAnsi" w:cstheme="minorBidi"/>
          <w:snapToGrid/>
          <w:sz w:val="24"/>
          <w:szCs w:val="22"/>
        </w:rPr>
        <w:t>between re-</w:t>
      </w:r>
      <w:r w:rsidR="00AF1FBA">
        <w:rPr>
          <w:rFonts w:asciiTheme="minorHAnsi" w:eastAsiaTheme="minorHAnsi" w:hAnsiTheme="minorHAnsi" w:cstheme="minorBidi"/>
          <w:snapToGrid/>
          <w:sz w:val="24"/>
          <w:szCs w:val="22"/>
        </w:rPr>
        <w:t>trial</w:t>
      </w:r>
      <w:r w:rsidR="007F73D0" w:rsidRPr="00C34584">
        <w:rPr>
          <w:rFonts w:asciiTheme="minorHAnsi" w:eastAsiaTheme="minorHAnsi" w:hAnsiTheme="minorHAnsi" w:cstheme="minorBidi"/>
          <w:snapToGrid/>
          <w:sz w:val="24"/>
          <w:szCs w:val="22"/>
        </w:rPr>
        <w:t xml:space="preserve"> of the same biologic agent</w:t>
      </w:r>
      <w:r w:rsidR="001E3207" w:rsidRPr="00C34584">
        <w:rPr>
          <w:rFonts w:asciiTheme="minorHAnsi" w:eastAsiaTheme="minorHAnsi" w:hAnsiTheme="minorHAnsi" w:cstheme="minorBidi"/>
          <w:snapToGrid/>
          <w:sz w:val="24"/>
          <w:szCs w:val="22"/>
        </w:rPr>
        <w:t xml:space="preserve"> (per the omalizumab restriction)</w:t>
      </w:r>
      <w:r w:rsidR="007F73D0" w:rsidRPr="00C34584">
        <w:rPr>
          <w:rFonts w:asciiTheme="minorHAnsi" w:eastAsiaTheme="minorHAnsi" w:hAnsiTheme="minorHAnsi" w:cstheme="minorBidi"/>
          <w:snapToGrid/>
          <w:sz w:val="24"/>
          <w:szCs w:val="22"/>
        </w:rPr>
        <w:t>.</w:t>
      </w:r>
    </w:p>
    <w:p w:rsidR="00573DB4" w:rsidRPr="00C34584" w:rsidRDefault="007F73D0" w:rsidP="00573DB4">
      <w:pPr>
        <w:pStyle w:val="ListParagraph"/>
        <w:numPr>
          <w:ilvl w:val="1"/>
          <w:numId w:val="5"/>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The </w:t>
      </w:r>
      <w:r w:rsidR="00AF1FBA">
        <w:rPr>
          <w:rFonts w:asciiTheme="minorHAnsi" w:eastAsiaTheme="minorHAnsi" w:hAnsiTheme="minorHAnsi" w:cstheme="minorBidi"/>
          <w:snapToGrid/>
          <w:sz w:val="24"/>
          <w:szCs w:val="22"/>
        </w:rPr>
        <w:t xml:space="preserve">PBAC noted that the </w:t>
      </w:r>
      <w:r w:rsidRPr="00C34584">
        <w:rPr>
          <w:rFonts w:asciiTheme="minorHAnsi" w:eastAsiaTheme="minorHAnsi" w:hAnsiTheme="minorHAnsi" w:cstheme="minorBidi"/>
          <w:snapToGrid/>
          <w:sz w:val="24"/>
          <w:szCs w:val="22"/>
        </w:rPr>
        <w:t xml:space="preserve">130 day treatment break originally proposed </w:t>
      </w:r>
      <w:r w:rsidR="00573DB4" w:rsidRPr="00C34584">
        <w:rPr>
          <w:rFonts w:asciiTheme="minorHAnsi" w:eastAsiaTheme="minorHAnsi" w:hAnsiTheme="minorHAnsi" w:cstheme="minorBidi"/>
          <w:snapToGrid/>
          <w:sz w:val="24"/>
          <w:szCs w:val="22"/>
        </w:rPr>
        <w:t xml:space="preserve">was based on the key mepolizumab clinical trials </w:t>
      </w:r>
      <w:r w:rsidR="00AF1FBA">
        <w:rPr>
          <w:rFonts w:asciiTheme="minorHAnsi" w:eastAsiaTheme="minorHAnsi" w:hAnsiTheme="minorHAnsi" w:cstheme="minorBidi"/>
          <w:snapToGrid/>
          <w:sz w:val="24"/>
          <w:szCs w:val="22"/>
        </w:rPr>
        <w:t>from</w:t>
      </w:r>
      <w:r w:rsidR="00573DB4" w:rsidRPr="00C34584">
        <w:rPr>
          <w:rFonts w:asciiTheme="minorHAnsi" w:eastAsiaTheme="minorHAnsi" w:hAnsiTheme="minorHAnsi" w:cstheme="minorBidi"/>
          <w:snapToGrid/>
          <w:sz w:val="24"/>
          <w:szCs w:val="22"/>
        </w:rPr>
        <w:t xml:space="preserve"> the March</w:t>
      </w:r>
      <w:r w:rsidR="004368BD" w:rsidRPr="00C34584">
        <w:rPr>
          <w:rFonts w:asciiTheme="minorHAnsi" w:eastAsiaTheme="minorHAnsi" w:hAnsiTheme="minorHAnsi" w:cstheme="minorBidi"/>
          <w:snapToGrid/>
          <w:sz w:val="24"/>
          <w:szCs w:val="22"/>
        </w:rPr>
        <w:t xml:space="preserve"> and July </w:t>
      </w:r>
      <w:r w:rsidR="00573DB4" w:rsidRPr="00C34584">
        <w:rPr>
          <w:rFonts w:asciiTheme="minorHAnsi" w:eastAsiaTheme="minorHAnsi" w:hAnsiTheme="minorHAnsi" w:cstheme="minorBidi"/>
          <w:snapToGrid/>
          <w:sz w:val="24"/>
          <w:szCs w:val="22"/>
        </w:rPr>
        <w:t>2016 submission</w:t>
      </w:r>
      <w:r w:rsidR="004368BD" w:rsidRPr="00C34584">
        <w:rPr>
          <w:rFonts w:asciiTheme="minorHAnsi" w:eastAsiaTheme="minorHAnsi" w:hAnsiTheme="minorHAnsi" w:cstheme="minorBidi"/>
          <w:snapToGrid/>
          <w:sz w:val="24"/>
          <w:szCs w:val="22"/>
        </w:rPr>
        <w:t>s</w:t>
      </w:r>
      <w:r w:rsidR="00573DB4" w:rsidRPr="00C34584">
        <w:rPr>
          <w:rFonts w:asciiTheme="minorHAnsi" w:eastAsiaTheme="minorHAnsi" w:hAnsiTheme="minorHAnsi" w:cstheme="minorBidi"/>
          <w:snapToGrid/>
          <w:sz w:val="24"/>
          <w:szCs w:val="22"/>
        </w:rPr>
        <w:t xml:space="preserve"> (comparing mepolizumab </w:t>
      </w:r>
      <w:r w:rsidR="002B7C15" w:rsidRPr="00C34584">
        <w:rPr>
          <w:rFonts w:asciiTheme="minorHAnsi" w:eastAsiaTheme="minorHAnsi" w:hAnsiTheme="minorHAnsi" w:cstheme="minorBidi"/>
          <w:snapToGrid/>
          <w:sz w:val="24"/>
          <w:szCs w:val="22"/>
        </w:rPr>
        <w:t>with</w:t>
      </w:r>
      <w:r w:rsidR="00573DB4" w:rsidRPr="00C34584">
        <w:rPr>
          <w:rFonts w:asciiTheme="minorHAnsi" w:eastAsiaTheme="minorHAnsi" w:hAnsiTheme="minorHAnsi" w:cstheme="minorBidi"/>
          <w:snapToGrid/>
          <w:sz w:val="24"/>
          <w:szCs w:val="22"/>
        </w:rPr>
        <w:t xml:space="preserve"> </w:t>
      </w:r>
      <w:r w:rsidR="002B7C15" w:rsidRPr="00C34584">
        <w:rPr>
          <w:rFonts w:asciiTheme="minorHAnsi" w:eastAsiaTheme="minorHAnsi" w:hAnsiTheme="minorHAnsi" w:cstheme="minorBidi"/>
          <w:snapToGrid/>
          <w:sz w:val="24"/>
          <w:szCs w:val="22"/>
        </w:rPr>
        <w:t>placebo</w:t>
      </w:r>
      <w:r w:rsidR="00573DB4" w:rsidRPr="00C34584">
        <w:rPr>
          <w:rFonts w:asciiTheme="minorHAnsi" w:eastAsiaTheme="minorHAnsi" w:hAnsiTheme="minorHAnsi" w:cstheme="minorBidi"/>
          <w:snapToGrid/>
          <w:sz w:val="24"/>
          <w:szCs w:val="22"/>
        </w:rPr>
        <w:t xml:space="preserve">). </w:t>
      </w:r>
      <w:r w:rsidR="002B7C15" w:rsidRPr="00C34584">
        <w:rPr>
          <w:rFonts w:asciiTheme="minorHAnsi" w:eastAsiaTheme="minorHAnsi" w:hAnsiTheme="minorHAnsi" w:cstheme="minorBidi"/>
          <w:snapToGrid/>
          <w:sz w:val="24"/>
          <w:szCs w:val="22"/>
        </w:rPr>
        <w:t>T</w:t>
      </w:r>
      <w:r w:rsidR="00573DB4" w:rsidRPr="00C34584">
        <w:rPr>
          <w:rFonts w:asciiTheme="minorHAnsi" w:eastAsiaTheme="minorHAnsi" w:hAnsiTheme="minorHAnsi" w:cstheme="minorBidi"/>
          <w:snapToGrid/>
          <w:sz w:val="24"/>
          <w:szCs w:val="22"/>
        </w:rPr>
        <w:t xml:space="preserve">he key trials </w:t>
      </w:r>
      <w:r w:rsidR="002B7C15" w:rsidRPr="00C34584">
        <w:rPr>
          <w:rFonts w:asciiTheme="minorHAnsi" w:eastAsiaTheme="minorHAnsi" w:hAnsiTheme="minorHAnsi" w:cstheme="minorBidi"/>
          <w:snapToGrid/>
          <w:sz w:val="24"/>
          <w:szCs w:val="22"/>
        </w:rPr>
        <w:t xml:space="preserve">included </w:t>
      </w:r>
      <w:r w:rsidR="00573DB4" w:rsidRPr="00C34584">
        <w:rPr>
          <w:rFonts w:asciiTheme="minorHAnsi" w:eastAsiaTheme="minorHAnsi" w:hAnsiTheme="minorHAnsi" w:cstheme="minorBidi"/>
          <w:snapToGrid/>
          <w:sz w:val="24"/>
          <w:szCs w:val="22"/>
        </w:rPr>
        <w:t>MENSA (588)</w:t>
      </w:r>
      <w:r w:rsidR="002B7C15" w:rsidRPr="00C34584">
        <w:rPr>
          <w:rFonts w:asciiTheme="minorHAnsi" w:eastAsiaTheme="minorHAnsi" w:hAnsiTheme="minorHAnsi" w:cstheme="minorBidi"/>
          <w:snapToGrid/>
          <w:sz w:val="24"/>
          <w:szCs w:val="22"/>
        </w:rPr>
        <w:t xml:space="preserve"> </w:t>
      </w:r>
      <w:r w:rsidR="00573DB4" w:rsidRPr="00C34584">
        <w:rPr>
          <w:rFonts w:asciiTheme="minorHAnsi" w:eastAsiaTheme="minorHAnsi" w:hAnsiTheme="minorHAnsi" w:cstheme="minorBidi"/>
          <w:snapToGrid/>
          <w:sz w:val="24"/>
          <w:szCs w:val="22"/>
        </w:rPr>
        <w:t xml:space="preserve">and SIRIUS (575). In both trials, patients were excluded if they had received omalizumab within 130 days of Visit 1, or other monoclonal antibodies (to treat inflammatory disease) within five half-lives of Visit 1.  </w:t>
      </w:r>
    </w:p>
    <w:p w:rsidR="007B474F" w:rsidRPr="00C34584" w:rsidRDefault="007B474F" w:rsidP="00C40131">
      <w:pPr>
        <w:widowControl w:val="0"/>
        <w:numPr>
          <w:ilvl w:val="1"/>
          <w:numId w:val="25"/>
        </w:numPr>
        <w:snapToGrid w:val="0"/>
        <w:spacing w:after="120"/>
        <w:contextualSpacing/>
        <w:jc w:val="both"/>
        <w:rPr>
          <w:rFonts w:ascii="Calibri" w:eastAsia="Calibri" w:hAnsi="Calibri"/>
          <w:szCs w:val="22"/>
          <w:lang w:eastAsia="en-US"/>
        </w:rPr>
      </w:pPr>
      <w:r w:rsidRPr="00C34584">
        <w:rPr>
          <w:rFonts w:ascii="Calibri" w:eastAsia="Calibri" w:hAnsi="Calibri"/>
          <w:szCs w:val="22"/>
          <w:lang w:eastAsia="en-US"/>
        </w:rPr>
        <w:t xml:space="preserve">The </w:t>
      </w:r>
      <w:r w:rsidR="00C40131" w:rsidRPr="00C40131">
        <w:rPr>
          <w:rFonts w:ascii="Calibri" w:eastAsia="Calibri" w:hAnsi="Calibri"/>
          <w:szCs w:val="22"/>
          <w:lang w:eastAsia="en-US"/>
        </w:rPr>
        <w:t xml:space="preserve">PBAC noted that the </w:t>
      </w:r>
      <w:r w:rsidRPr="00C34584">
        <w:rPr>
          <w:rFonts w:ascii="Calibri" w:eastAsia="Calibri" w:hAnsi="Calibri"/>
          <w:szCs w:val="22"/>
          <w:lang w:eastAsia="en-US"/>
        </w:rPr>
        <w:t>half-lives of the biologics used to treat asthma are:</w:t>
      </w:r>
    </w:p>
    <w:p w:rsidR="007B474F" w:rsidRPr="00C34584" w:rsidRDefault="007B474F" w:rsidP="007B474F">
      <w:pPr>
        <w:pStyle w:val="ListParagraph"/>
        <w:numPr>
          <w:ilvl w:val="0"/>
          <w:numId w:val="30"/>
        </w:numPr>
        <w:tabs>
          <w:tab w:val="left" w:pos="720"/>
        </w:tabs>
        <w:snapToGrid w:val="0"/>
        <w:rPr>
          <w:rFonts w:ascii="Calibri" w:eastAsia="Calibri" w:hAnsi="Calibri"/>
          <w:sz w:val="24"/>
          <w:szCs w:val="24"/>
        </w:rPr>
      </w:pPr>
      <w:r w:rsidRPr="00C34584">
        <w:rPr>
          <w:rFonts w:ascii="Calibri" w:eastAsia="Calibri" w:hAnsi="Calibri"/>
          <w:sz w:val="24"/>
          <w:szCs w:val="24"/>
        </w:rPr>
        <w:t>benralizumab has an elimination half-life of 15 days (source: Benralizumab Product Information from the United States)</w:t>
      </w:r>
      <w:r w:rsidR="00C6736E" w:rsidRPr="00C34584">
        <w:rPr>
          <w:rFonts w:ascii="Calibri" w:eastAsia="Calibri" w:hAnsi="Calibri"/>
          <w:sz w:val="24"/>
          <w:szCs w:val="24"/>
        </w:rPr>
        <w:t>;</w:t>
      </w:r>
      <w:r w:rsidRPr="00C34584">
        <w:rPr>
          <w:rFonts w:ascii="Calibri" w:eastAsia="Calibri" w:hAnsi="Calibri"/>
          <w:sz w:val="24"/>
          <w:szCs w:val="24"/>
        </w:rPr>
        <w:t xml:space="preserve"> </w:t>
      </w:r>
    </w:p>
    <w:p w:rsidR="007B474F" w:rsidRPr="00C34584" w:rsidRDefault="007B474F" w:rsidP="007B474F">
      <w:pPr>
        <w:pStyle w:val="ListParagraph"/>
        <w:numPr>
          <w:ilvl w:val="0"/>
          <w:numId w:val="30"/>
        </w:numPr>
        <w:tabs>
          <w:tab w:val="left" w:pos="720"/>
        </w:tabs>
        <w:snapToGrid w:val="0"/>
        <w:rPr>
          <w:rFonts w:ascii="Calibri" w:eastAsia="Calibri" w:hAnsi="Calibri"/>
          <w:sz w:val="24"/>
          <w:szCs w:val="24"/>
        </w:rPr>
      </w:pPr>
      <w:r w:rsidRPr="00C34584">
        <w:rPr>
          <w:rFonts w:ascii="Calibri" w:eastAsia="Calibri" w:hAnsi="Calibri"/>
          <w:sz w:val="24"/>
          <w:szCs w:val="24"/>
        </w:rPr>
        <w:t xml:space="preserve">mepolizumab has an elimination half-life of 16 to 22 days (source: page 3, Mepolizumab Product Information); and </w:t>
      </w:r>
    </w:p>
    <w:p w:rsidR="007B474F" w:rsidRPr="00C34584" w:rsidRDefault="007B474F" w:rsidP="007B474F">
      <w:pPr>
        <w:pStyle w:val="ListParagraph"/>
        <w:numPr>
          <w:ilvl w:val="0"/>
          <w:numId w:val="30"/>
        </w:numPr>
        <w:tabs>
          <w:tab w:val="left" w:pos="720"/>
        </w:tabs>
        <w:snapToGrid w:val="0"/>
        <w:spacing w:after="120"/>
        <w:ind w:hanging="357"/>
        <w:contextualSpacing w:val="0"/>
        <w:rPr>
          <w:rFonts w:ascii="Calibri" w:eastAsia="Calibri" w:hAnsi="Calibri"/>
          <w:sz w:val="24"/>
          <w:szCs w:val="24"/>
        </w:rPr>
      </w:pPr>
      <w:r w:rsidRPr="00C34584">
        <w:rPr>
          <w:rFonts w:ascii="Calibri" w:eastAsia="Calibri" w:hAnsi="Calibri"/>
          <w:sz w:val="24"/>
          <w:szCs w:val="24"/>
        </w:rPr>
        <w:t xml:space="preserve">omalizumab has an elimination half-life of 22 days (± 8 days). The Omalizumab Product Information states: “Omalizumab has a long serum half-life (mean 22 + 8.2 days). The long half-life is characteristic of IgG class immunoglobulins and a result of IgG recycling via its salvage receptor (FcRn). At the doses recommended for therapeutic use, average clearance is expected to represent dominantly IgG clearance and to be relatively slow (2.27-4.12 mL/kg/day)” (source: page 3, Omalizumab Product Information). </w:t>
      </w:r>
    </w:p>
    <w:p w:rsidR="00E158EF" w:rsidRPr="00C444C2" w:rsidRDefault="007B474F" w:rsidP="007B474F">
      <w:pPr>
        <w:widowControl w:val="0"/>
        <w:numPr>
          <w:ilvl w:val="1"/>
          <w:numId w:val="25"/>
        </w:numPr>
        <w:snapToGrid w:val="0"/>
        <w:spacing w:after="120"/>
        <w:jc w:val="both"/>
        <w:rPr>
          <w:rFonts w:ascii="Calibri" w:eastAsia="Calibri" w:hAnsi="Calibri"/>
          <w:szCs w:val="22"/>
          <w:lang w:eastAsia="en-US"/>
        </w:rPr>
      </w:pPr>
      <w:r w:rsidRPr="00C444C2">
        <w:rPr>
          <w:rFonts w:ascii="Calibri" w:eastAsia="Calibri" w:hAnsi="Calibri"/>
          <w:szCs w:val="22"/>
          <w:lang w:eastAsia="en-US"/>
        </w:rPr>
        <w:t xml:space="preserve">Thus, these medications would not be expected to be eliminated from the body until 75 to 110 days (2.5 to 4 months) after the last injection, based on clearance requiring five elimination half-lives. </w:t>
      </w:r>
    </w:p>
    <w:p w:rsidR="00C444C2" w:rsidRPr="00C444C2" w:rsidRDefault="00C444C2" w:rsidP="00C444C2">
      <w:pPr>
        <w:widowControl w:val="0"/>
        <w:numPr>
          <w:ilvl w:val="1"/>
          <w:numId w:val="25"/>
        </w:numPr>
        <w:snapToGrid w:val="0"/>
        <w:spacing w:after="120"/>
        <w:jc w:val="both"/>
        <w:rPr>
          <w:rFonts w:ascii="Calibri" w:eastAsia="Calibri" w:hAnsi="Calibri"/>
          <w:szCs w:val="22"/>
          <w:lang w:eastAsia="en-US"/>
        </w:rPr>
      </w:pPr>
      <w:r w:rsidRPr="00C444C2">
        <w:rPr>
          <w:rFonts w:ascii="Calibri" w:eastAsia="Calibri" w:hAnsi="Calibri"/>
          <w:szCs w:val="22"/>
          <w:lang w:eastAsia="en-US"/>
        </w:rPr>
        <w:t>The submission requested removal of the six month treatment break only for patients switching from omalizumab to mepolizumab. The submission stated that removal of the six month treatment break when switching between other biologics (or from mepolizumab to omalizumab) was not proposed because the evidence presented (the OSMO study) was specific to patients who had directly switched from omalizumab to mepolizumab. It further stated the evidence was not applicable to other agents that target the interleukin-5 (IL-5) pathway through different mechanisms, such as benralizumab.</w:t>
      </w:r>
    </w:p>
    <w:p w:rsidR="00C40131" w:rsidRPr="00C444C2" w:rsidRDefault="00C40131" w:rsidP="00C40131">
      <w:pPr>
        <w:pStyle w:val="ListParagraph"/>
        <w:numPr>
          <w:ilvl w:val="1"/>
          <w:numId w:val="25"/>
        </w:numPr>
        <w:spacing w:after="120"/>
        <w:contextualSpacing w:val="0"/>
        <w:rPr>
          <w:rFonts w:asciiTheme="minorHAnsi" w:eastAsiaTheme="minorHAnsi" w:hAnsiTheme="minorHAnsi" w:cstheme="minorBidi"/>
          <w:snapToGrid/>
          <w:sz w:val="24"/>
          <w:szCs w:val="22"/>
        </w:rPr>
      </w:pPr>
      <w:r w:rsidRPr="00C444C2">
        <w:rPr>
          <w:rFonts w:asciiTheme="minorHAnsi" w:eastAsiaTheme="minorHAnsi" w:hAnsiTheme="minorHAnsi" w:cstheme="minorBidi"/>
          <w:snapToGrid/>
          <w:sz w:val="24"/>
          <w:szCs w:val="22"/>
        </w:rPr>
        <w:t xml:space="preserve">The PBAC noted that the three biologic agents have different modes of action. Mepolizumab and benralizumab both target the IL-5 pathway (i.e. eosinophil-mediated inflammation). Benralizumab is an IL-5 receptor α antagonist, while mepolizumab targets the IL-5 ligand. On the other hand, omalizumab targets the immunoglobulin E pathway (allergic asthma). </w:t>
      </w:r>
    </w:p>
    <w:p w:rsidR="00AC2367" w:rsidRPr="00C34584" w:rsidRDefault="00AC2367" w:rsidP="00AC2367">
      <w:pPr>
        <w:spacing w:after="120"/>
        <w:rPr>
          <w:rFonts w:asciiTheme="minorHAnsi" w:eastAsiaTheme="minorHAnsi" w:hAnsiTheme="minorHAnsi" w:cstheme="minorBidi"/>
          <w:szCs w:val="22"/>
          <w:u w:val="single"/>
        </w:rPr>
      </w:pPr>
      <w:r w:rsidRPr="00C34584">
        <w:rPr>
          <w:rFonts w:asciiTheme="minorHAnsi" w:eastAsiaTheme="minorHAnsi" w:hAnsiTheme="minorHAnsi" w:cstheme="minorBidi"/>
          <w:szCs w:val="22"/>
          <w:u w:val="single"/>
        </w:rPr>
        <w:t>Re-</w:t>
      </w:r>
      <w:r w:rsidR="00AF1FBA">
        <w:rPr>
          <w:rFonts w:asciiTheme="minorHAnsi" w:eastAsiaTheme="minorHAnsi" w:hAnsiTheme="minorHAnsi" w:cstheme="minorBidi"/>
          <w:szCs w:val="22"/>
          <w:u w:val="single"/>
        </w:rPr>
        <w:t>trial</w:t>
      </w:r>
      <w:r w:rsidRPr="00C34584">
        <w:rPr>
          <w:rFonts w:asciiTheme="minorHAnsi" w:eastAsiaTheme="minorHAnsi" w:hAnsiTheme="minorHAnsi" w:cstheme="minorBidi"/>
          <w:szCs w:val="22"/>
          <w:u w:val="single"/>
        </w:rPr>
        <w:t xml:space="preserve"> of the same agent</w:t>
      </w:r>
      <w:r w:rsidR="00EE3BEB" w:rsidRPr="00C34584">
        <w:rPr>
          <w:rFonts w:asciiTheme="minorHAnsi" w:eastAsiaTheme="minorHAnsi" w:hAnsiTheme="minorHAnsi" w:cstheme="minorBidi"/>
          <w:szCs w:val="22"/>
          <w:u w:val="single"/>
        </w:rPr>
        <w:t xml:space="preserve"> and number of treatment breaks</w:t>
      </w:r>
    </w:p>
    <w:p w:rsidR="00AC2367" w:rsidRPr="00C34584" w:rsidRDefault="00EE3BEB" w:rsidP="00AC2367">
      <w:pPr>
        <w:pStyle w:val="ListParagraph"/>
        <w:numPr>
          <w:ilvl w:val="1"/>
          <w:numId w:val="5"/>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T</w:t>
      </w:r>
      <w:r w:rsidR="00886A81" w:rsidRPr="00C34584">
        <w:rPr>
          <w:rFonts w:asciiTheme="minorHAnsi" w:eastAsiaTheme="minorHAnsi" w:hAnsiTheme="minorHAnsi" w:cstheme="minorBidi"/>
          <w:snapToGrid/>
          <w:sz w:val="24"/>
          <w:szCs w:val="22"/>
        </w:rPr>
        <w:t xml:space="preserve">he submission did not request </w:t>
      </w:r>
      <w:r w:rsidR="00BF390E">
        <w:rPr>
          <w:rFonts w:asciiTheme="minorHAnsi" w:eastAsiaTheme="minorHAnsi" w:hAnsiTheme="minorHAnsi" w:cstheme="minorBidi"/>
          <w:snapToGrid/>
          <w:sz w:val="24"/>
          <w:szCs w:val="22"/>
        </w:rPr>
        <w:t>changes</w:t>
      </w:r>
      <w:r w:rsidR="00AC2367" w:rsidRPr="00C34584">
        <w:rPr>
          <w:rFonts w:asciiTheme="minorHAnsi" w:eastAsiaTheme="minorHAnsi" w:hAnsiTheme="minorHAnsi" w:cstheme="minorBidi"/>
          <w:snapToGrid/>
          <w:sz w:val="24"/>
          <w:szCs w:val="22"/>
        </w:rPr>
        <w:t xml:space="preserve"> to the six-month treatment break between </w:t>
      </w:r>
      <w:r w:rsidR="00AC2367" w:rsidRPr="00C34584">
        <w:rPr>
          <w:rFonts w:asciiTheme="minorHAnsi" w:eastAsiaTheme="minorHAnsi" w:hAnsiTheme="minorHAnsi" w:cstheme="minorBidi"/>
          <w:snapToGrid/>
          <w:sz w:val="24"/>
          <w:szCs w:val="22"/>
          <w:u w:val="single"/>
        </w:rPr>
        <w:t>re-</w:t>
      </w:r>
      <w:r w:rsidR="00AF1FBA">
        <w:rPr>
          <w:rFonts w:asciiTheme="minorHAnsi" w:eastAsiaTheme="minorHAnsi" w:hAnsiTheme="minorHAnsi" w:cstheme="minorBidi"/>
          <w:snapToGrid/>
          <w:sz w:val="24"/>
          <w:szCs w:val="22"/>
          <w:u w:val="single"/>
        </w:rPr>
        <w:t>trial</w:t>
      </w:r>
      <w:r w:rsidR="00AC2367" w:rsidRPr="00C34584">
        <w:rPr>
          <w:rFonts w:asciiTheme="minorHAnsi" w:eastAsiaTheme="minorHAnsi" w:hAnsiTheme="minorHAnsi" w:cstheme="minorBidi"/>
          <w:snapToGrid/>
          <w:sz w:val="24"/>
          <w:szCs w:val="22"/>
        </w:rPr>
        <w:t xml:space="preserve"> of mepolizumab in patients who had either failed to achieve or maintain a response to mepolizumab. </w:t>
      </w:r>
    </w:p>
    <w:p w:rsidR="00EE3BEB" w:rsidRDefault="00C40131" w:rsidP="00421C7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C40131">
        <w:rPr>
          <w:rFonts w:asciiTheme="minorHAnsi" w:eastAsiaTheme="minorHAnsi" w:hAnsiTheme="minorHAnsi" w:cstheme="minorBidi"/>
          <w:snapToGrid/>
          <w:sz w:val="24"/>
          <w:szCs w:val="22"/>
        </w:rPr>
        <w:t>The PBAC noted that t</w:t>
      </w:r>
      <w:r w:rsidR="00421C77" w:rsidRPr="00C40131">
        <w:rPr>
          <w:rFonts w:asciiTheme="minorHAnsi" w:eastAsiaTheme="minorHAnsi" w:hAnsiTheme="minorHAnsi" w:cstheme="minorBidi"/>
          <w:snapToGrid/>
          <w:sz w:val="24"/>
          <w:szCs w:val="22"/>
        </w:rPr>
        <w:t xml:space="preserve">here is currently </w:t>
      </w:r>
      <w:r w:rsidR="00EE3BEB" w:rsidRPr="00C40131">
        <w:rPr>
          <w:rFonts w:asciiTheme="minorHAnsi" w:eastAsiaTheme="minorHAnsi" w:hAnsiTheme="minorHAnsi" w:cstheme="minorBidi"/>
          <w:snapToGrid/>
          <w:sz w:val="24"/>
          <w:szCs w:val="22"/>
        </w:rPr>
        <w:t xml:space="preserve">no limit to the number </w:t>
      </w:r>
      <w:r w:rsidR="00AF625D" w:rsidRPr="00C40131">
        <w:rPr>
          <w:rFonts w:asciiTheme="minorHAnsi" w:eastAsiaTheme="minorHAnsi" w:hAnsiTheme="minorHAnsi" w:cstheme="minorBidi"/>
          <w:snapToGrid/>
          <w:sz w:val="24"/>
          <w:szCs w:val="22"/>
        </w:rPr>
        <w:t>of times that a patient can re</w:t>
      </w:r>
      <w:r w:rsidR="00AF625D" w:rsidRPr="00C40131">
        <w:rPr>
          <w:rFonts w:asciiTheme="minorHAnsi" w:eastAsiaTheme="minorHAnsi" w:hAnsiTheme="minorHAnsi" w:cstheme="minorBidi"/>
          <w:snapToGrid/>
          <w:sz w:val="24"/>
          <w:szCs w:val="22"/>
        </w:rPr>
        <w:noBreakHyphen/>
      </w:r>
      <w:r w:rsidR="00AF1FBA" w:rsidRPr="00C40131">
        <w:rPr>
          <w:rFonts w:asciiTheme="minorHAnsi" w:eastAsiaTheme="minorHAnsi" w:hAnsiTheme="minorHAnsi" w:cstheme="minorBidi"/>
          <w:snapToGrid/>
          <w:sz w:val="24"/>
          <w:szCs w:val="22"/>
        </w:rPr>
        <w:t>trial</w:t>
      </w:r>
      <w:r w:rsidR="00EE3BEB" w:rsidRPr="00C40131">
        <w:rPr>
          <w:rFonts w:asciiTheme="minorHAnsi" w:eastAsiaTheme="minorHAnsi" w:hAnsiTheme="minorHAnsi" w:cstheme="minorBidi"/>
          <w:snapToGrid/>
          <w:sz w:val="24"/>
          <w:szCs w:val="22"/>
        </w:rPr>
        <w:t xml:space="preserve"> the same biologic agent</w:t>
      </w:r>
      <w:r w:rsidR="00421C77" w:rsidRPr="00C40131">
        <w:rPr>
          <w:rFonts w:asciiTheme="minorHAnsi" w:eastAsiaTheme="minorHAnsi" w:hAnsiTheme="minorHAnsi" w:cstheme="minorBidi"/>
          <w:snapToGrid/>
          <w:sz w:val="24"/>
          <w:szCs w:val="22"/>
        </w:rPr>
        <w:t xml:space="preserve"> following previous inadequate response</w:t>
      </w:r>
      <w:r w:rsidR="00EE3BEB" w:rsidRPr="00C40131">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I</w:t>
      </w:r>
      <w:r w:rsidR="00421C77" w:rsidRPr="00C40131">
        <w:rPr>
          <w:rFonts w:asciiTheme="minorHAnsi" w:eastAsiaTheme="minorHAnsi" w:hAnsiTheme="minorHAnsi" w:cstheme="minorBidi"/>
          <w:snapToGrid/>
          <w:sz w:val="24"/>
          <w:szCs w:val="22"/>
        </w:rPr>
        <w:t>n other conditions</w:t>
      </w:r>
      <w:r>
        <w:rPr>
          <w:rFonts w:asciiTheme="minorHAnsi" w:eastAsiaTheme="minorHAnsi" w:hAnsiTheme="minorHAnsi" w:cstheme="minorBidi"/>
          <w:snapToGrid/>
          <w:sz w:val="24"/>
          <w:szCs w:val="22"/>
        </w:rPr>
        <w:t>,</w:t>
      </w:r>
      <w:r w:rsidR="00AF625D" w:rsidRPr="00C40131">
        <w:rPr>
          <w:rFonts w:asciiTheme="minorHAnsi" w:eastAsiaTheme="minorHAnsi" w:hAnsiTheme="minorHAnsi" w:cstheme="minorBidi"/>
          <w:snapToGrid/>
          <w:sz w:val="24"/>
          <w:szCs w:val="22"/>
        </w:rPr>
        <w:t xml:space="preserve"> patients cannot keep re-using</w:t>
      </w:r>
      <w:r w:rsidR="00421C77" w:rsidRPr="00C40131">
        <w:rPr>
          <w:rFonts w:asciiTheme="minorHAnsi" w:eastAsiaTheme="minorHAnsi" w:hAnsiTheme="minorHAnsi" w:cstheme="minorBidi"/>
          <w:snapToGrid/>
          <w:sz w:val="24"/>
          <w:szCs w:val="22"/>
        </w:rPr>
        <w:t xml:space="preserve"> a biologic </w:t>
      </w:r>
      <w:r w:rsidR="00AF625D" w:rsidRPr="00C40131">
        <w:rPr>
          <w:rFonts w:asciiTheme="minorHAnsi" w:eastAsiaTheme="minorHAnsi" w:hAnsiTheme="minorHAnsi" w:cstheme="minorBidi"/>
          <w:snapToGrid/>
          <w:sz w:val="24"/>
          <w:szCs w:val="22"/>
        </w:rPr>
        <w:t xml:space="preserve">that </w:t>
      </w:r>
      <w:r w:rsidR="00421C77" w:rsidRPr="00C40131">
        <w:rPr>
          <w:rFonts w:asciiTheme="minorHAnsi" w:eastAsiaTheme="minorHAnsi" w:hAnsiTheme="minorHAnsi" w:cstheme="minorBidi"/>
          <w:snapToGrid/>
          <w:sz w:val="24"/>
          <w:szCs w:val="22"/>
        </w:rPr>
        <w:t>they have previously failed to respond to</w:t>
      </w:r>
      <w:r w:rsidR="00E836E8" w:rsidRPr="00C40131">
        <w:rPr>
          <w:rFonts w:asciiTheme="minorHAnsi" w:eastAsiaTheme="minorHAnsi" w:hAnsiTheme="minorHAnsi" w:cstheme="minorBidi"/>
          <w:snapToGrid/>
          <w:sz w:val="24"/>
          <w:szCs w:val="22"/>
        </w:rPr>
        <w:t>. F</w:t>
      </w:r>
      <w:r w:rsidR="00421C77" w:rsidRPr="00C40131">
        <w:rPr>
          <w:rFonts w:asciiTheme="minorHAnsi" w:eastAsiaTheme="minorHAnsi" w:hAnsiTheme="minorHAnsi" w:cstheme="minorBidi"/>
          <w:snapToGrid/>
          <w:sz w:val="24"/>
          <w:szCs w:val="22"/>
        </w:rPr>
        <w:t xml:space="preserve">or example biologics for </w:t>
      </w:r>
      <w:r w:rsidR="005F0D34" w:rsidRPr="00C40131">
        <w:rPr>
          <w:rFonts w:asciiTheme="minorHAnsi" w:eastAsiaTheme="minorHAnsi" w:hAnsiTheme="minorHAnsi" w:cstheme="minorBidi"/>
          <w:snapToGrid/>
          <w:sz w:val="24"/>
          <w:szCs w:val="22"/>
        </w:rPr>
        <w:t xml:space="preserve">chronic plaque </w:t>
      </w:r>
      <w:r w:rsidR="00421C77" w:rsidRPr="00C40131">
        <w:rPr>
          <w:rFonts w:asciiTheme="minorHAnsi" w:eastAsiaTheme="minorHAnsi" w:hAnsiTheme="minorHAnsi" w:cstheme="minorBidi"/>
          <w:snapToGrid/>
          <w:sz w:val="24"/>
          <w:szCs w:val="22"/>
        </w:rPr>
        <w:t>psoria</w:t>
      </w:r>
      <w:r w:rsidR="005F0D34" w:rsidRPr="00C40131">
        <w:rPr>
          <w:rFonts w:asciiTheme="minorHAnsi" w:eastAsiaTheme="minorHAnsi" w:hAnsiTheme="minorHAnsi" w:cstheme="minorBidi"/>
          <w:snapToGrid/>
          <w:sz w:val="24"/>
          <w:szCs w:val="22"/>
        </w:rPr>
        <w:t>sis</w:t>
      </w:r>
      <w:r w:rsidR="00421C77" w:rsidRPr="00C40131">
        <w:rPr>
          <w:rFonts w:asciiTheme="minorHAnsi" w:eastAsiaTheme="minorHAnsi" w:hAnsiTheme="minorHAnsi" w:cstheme="minorBidi"/>
          <w:snapToGrid/>
          <w:sz w:val="24"/>
          <w:szCs w:val="22"/>
        </w:rPr>
        <w:t xml:space="preserve"> include the clinical criteria: “patient must not have failed, or ceased to respond to, PBS-subsidised therapy with this drug for the treatment of this condition in the current Treatment Cycle”.</w:t>
      </w:r>
    </w:p>
    <w:p w:rsidR="00C85C81" w:rsidRPr="00C85C81" w:rsidRDefault="00C85C81" w:rsidP="00C85C8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C85C81">
        <w:rPr>
          <w:rFonts w:asciiTheme="minorHAnsi" w:hAnsiTheme="minorHAnsi"/>
          <w:sz w:val="24"/>
          <w:szCs w:val="24"/>
        </w:rPr>
        <w:t xml:space="preserve">The PBAC considered that the period of time between re-trial of biologics and </w:t>
      </w:r>
      <w:r w:rsidRPr="005F7379">
        <w:rPr>
          <w:rFonts w:asciiTheme="minorHAnsi" w:hAnsiTheme="minorHAnsi"/>
          <w:sz w:val="24"/>
          <w:szCs w:val="24"/>
        </w:rPr>
        <w:t>the time for switching biologics may differ, and so would need to be reflected separately in the restrictions</w:t>
      </w:r>
      <w:r w:rsidRPr="00C85C81">
        <w:rPr>
          <w:rFonts w:asciiTheme="minorHAnsi" w:hAnsiTheme="minorHAnsi"/>
          <w:sz w:val="24"/>
          <w:szCs w:val="24"/>
        </w:rPr>
        <w:t xml:space="preserve">. </w:t>
      </w:r>
    </w:p>
    <w:p w:rsidR="00C40131" w:rsidRPr="00DE1BD2" w:rsidRDefault="00C40131" w:rsidP="00C40131">
      <w:pPr>
        <w:spacing w:after="120"/>
        <w:rPr>
          <w:rFonts w:asciiTheme="minorHAnsi" w:eastAsiaTheme="minorHAnsi" w:hAnsiTheme="minorHAnsi" w:cstheme="minorBidi"/>
          <w:szCs w:val="22"/>
          <w:u w:val="single"/>
        </w:rPr>
      </w:pPr>
      <w:r w:rsidRPr="00DE1BD2">
        <w:rPr>
          <w:rFonts w:asciiTheme="minorHAnsi" w:eastAsiaTheme="minorHAnsi" w:hAnsiTheme="minorHAnsi" w:cstheme="minorBidi"/>
          <w:szCs w:val="22"/>
          <w:u w:val="single"/>
        </w:rPr>
        <w:t>Separate initial restriction for patients switching between biologics</w:t>
      </w:r>
    </w:p>
    <w:p w:rsidR="00C40131" w:rsidRPr="00DE1BD2" w:rsidRDefault="00C40131" w:rsidP="00C4013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The current </w:t>
      </w:r>
      <w:r w:rsidRPr="00DE1BD2">
        <w:rPr>
          <w:rFonts w:asciiTheme="minorHAnsi" w:eastAsiaTheme="minorHAnsi" w:hAnsiTheme="minorHAnsi" w:cstheme="minorBidi"/>
          <w:snapToGrid/>
          <w:sz w:val="24"/>
          <w:szCs w:val="22"/>
          <w:u w:val="single"/>
        </w:rPr>
        <w:t>initial</w:t>
      </w:r>
      <w:r w:rsidRPr="00DE1BD2">
        <w:rPr>
          <w:rFonts w:asciiTheme="minorHAnsi" w:eastAsiaTheme="minorHAnsi" w:hAnsiTheme="minorHAnsi" w:cstheme="minorBidi"/>
          <w:snapToGrid/>
          <w:sz w:val="24"/>
          <w:szCs w:val="22"/>
        </w:rPr>
        <w:t xml:space="preserve"> restriction requires patients to have: </w:t>
      </w:r>
    </w:p>
    <w:p w:rsidR="00C40131" w:rsidRPr="00024E06" w:rsidRDefault="00C40131" w:rsidP="00C40131">
      <w:pPr>
        <w:pStyle w:val="Bulletpoints"/>
        <w:widowControl/>
        <w:numPr>
          <w:ilvl w:val="0"/>
          <w:numId w:val="46"/>
        </w:numPr>
        <w:rPr>
          <w:rFonts w:asciiTheme="minorHAnsi" w:eastAsiaTheme="minorHAnsi" w:hAnsiTheme="minorHAnsi" w:cstheme="minorBidi"/>
          <w:snapToGrid/>
          <w:szCs w:val="22"/>
        </w:rPr>
      </w:pPr>
      <w:r w:rsidRPr="00024E06">
        <w:rPr>
          <w:rFonts w:asciiTheme="minorHAnsi" w:eastAsiaTheme="minorHAnsi" w:hAnsiTheme="minorHAnsi" w:cstheme="minorBidi"/>
          <w:snapToGrid/>
          <w:szCs w:val="22"/>
        </w:rPr>
        <w:t xml:space="preserve">an Asthma Control Questionnaire (ACQ-5) score of at least 2.0, as assessed in the previous month; </w:t>
      </w:r>
    </w:p>
    <w:p w:rsidR="00C40131" w:rsidRPr="00024E06" w:rsidRDefault="00C40131" w:rsidP="00C40131">
      <w:pPr>
        <w:pStyle w:val="Bulletpoints"/>
        <w:widowControl/>
        <w:numPr>
          <w:ilvl w:val="0"/>
          <w:numId w:val="46"/>
        </w:numPr>
        <w:rPr>
          <w:rFonts w:asciiTheme="minorHAnsi" w:eastAsiaTheme="minorHAnsi" w:hAnsiTheme="minorHAnsi" w:cstheme="minorBidi"/>
          <w:snapToGrid/>
          <w:szCs w:val="22"/>
        </w:rPr>
      </w:pPr>
      <w:r w:rsidRPr="00024E06">
        <w:rPr>
          <w:rFonts w:asciiTheme="minorHAnsi" w:eastAsiaTheme="minorHAnsi" w:hAnsiTheme="minorHAnsi" w:cstheme="minorBidi"/>
          <w:snapToGrid/>
          <w:szCs w:val="22"/>
        </w:rPr>
        <w:t>experienced a severe asthma exacerbation requiring either a hospital admission or use of systemic corticosteroids in the past 12 months;</w:t>
      </w:r>
    </w:p>
    <w:p w:rsidR="00C40131" w:rsidRPr="00024E06" w:rsidRDefault="00C40131" w:rsidP="00C40131">
      <w:pPr>
        <w:pStyle w:val="Bulletpoints"/>
        <w:widowControl/>
        <w:numPr>
          <w:ilvl w:val="0"/>
          <w:numId w:val="46"/>
        </w:numPr>
        <w:rPr>
          <w:rFonts w:asciiTheme="minorHAnsi" w:eastAsiaTheme="minorHAnsi" w:hAnsiTheme="minorHAnsi" w:cstheme="minorBidi"/>
          <w:snapToGrid/>
          <w:szCs w:val="22"/>
        </w:rPr>
      </w:pPr>
      <w:r w:rsidRPr="00024E06">
        <w:rPr>
          <w:rFonts w:asciiTheme="minorHAnsi" w:eastAsiaTheme="minorHAnsi" w:hAnsiTheme="minorHAnsi" w:cstheme="minorBidi"/>
          <w:snapToGrid/>
          <w:szCs w:val="22"/>
        </w:rPr>
        <w:t>forced expiratory volume (FEV1) ≤ 80% predicted in the previous 12 months; and</w:t>
      </w:r>
    </w:p>
    <w:p w:rsidR="00C40131" w:rsidRPr="00DE1BD2" w:rsidRDefault="00C40131" w:rsidP="00C40131">
      <w:pPr>
        <w:pStyle w:val="Bulletpoints"/>
        <w:widowControl/>
        <w:numPr>
          <w:ilvl w:val="0"/>
          <w:numId w:val="46"/>
        </w:numPr>
        <w:spacing w:after="120"/>
        <w:ind w:hanging="357"/>
        <w:rPr>
          <w:rFonts w:eastAsiaTheme="minorHAnsi"/>
          <w:snapToGrid/>
        </w:rPr>
      </w:pPr>
      <w:r w:rsidRPr="00024E06">
        <w:rPr>
          <w:rFonts w:asciiTheme="minorHAnsi" w:eastAsiaTheme="minorHAnsi" w:hAnsiTheme="minorHAnsi" w:cstheme="minorBidi"/>
          <w:snapToGrid/>
          <w:szCs w:val="22"/>
        </w:rPr>
        <w:t>failed to achieve adequate control with optimised asthma therapy, which includes treatment with oral corticosteroids (</w:t>
      </w:r>
      <w:r w:rsidRPr="00DE1BD2">
        <w:rPr>
          <w:rFonts w:eastAsiaTheme="minorHAnsi"/>
          <w:snapToGrid/>
        </w:rPr>
        <w:t>doses specified).</w:t>
      </w:r>
    </w:p>
    <w:p w:rsidR="00C40131" w:rsidRPr="00DE1BD2" w:rsidRDefault="00C40131" w:rsidP="00C4013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PBAC considered that these</w:t>
      </w:r>
      <w:r w:rsidRPr="00DE1BD2">
        <w:rPr>
          <w:rFonts w:asciiTheme="minorHAnsi" w:eastAsiaTheme="minorHAnsi" w:hAnsiTheme="minorHAnsi" w:cstheme="minorBidi"/>
          <w:snapToGrid/>
          <w:sz w:val="24"/>
          <w:szCs w:val="22"/>
        </w:rPr>
        <w:t xml:space="preserve"> requirements </w:t>
      </w:r>
      <w:r>
        <w:rPr>
          <w:rFonts w:asciiTheme="minorHAnsi" w:eastAsiaTheme="minorHAnsi" w:hAnsiTheme="minorHAnsi" w:cstheme="minorBidi"/>
          <w:snapToGrid/>
          <w:sz w:val="24"/>
          <w:szCs w:val="22"/>
        </w:rPr>
        <w:t xml:space="preserve">may not be </w:t>
      </w:r>
      <w:r w:rsidRPr="00DE1BD2">
        <w:rPr>
          <w:rFonts w:asciiTheme="minorHAnsi" w:eastAsiaTheme="minorHAnsi" w:hAnsiTheme="minorHAnsi" w:cstheme="minorBidi"/>
          <w:snapToGrid/>
          <w:sz w:val="24"/>
          <w:szCs w:val="22"/>
        </w:rPr>
        <w:t xml:space="preserve">appropriate for patients </w:t>
      </w:r>
      <w:r>
        <w:rPr>
          <w:rFonts w:asciiTheme="minorHAnsi" w:eastAsiaTheme="minorHAnsi" w:hAnsiTheme="minorHAnsi" w:cstheme="minorBidi"/>
          <w:snapToGrid/>
          <w:sz w:val="24"/>
          <w:szCs w:val="22"/>
        </w:rPr>
        <w:t xml:space="preserve">who are </w:t>
      </w:r>
      <w:r w:rsidRPr="00DE1BD2">
        <w:rPr>
          <w:rFonts w:asciiTheme="minorHAnsi" w:eastAsiaTheme="minorHAnsi" w:hAnsiTheme="minorHAnsi" w:cstheme="minorBidi"/>
          <w:snapToGrid/>
          <w:sz w:val="24"/>
          <w:szCs w:val="22"/>
        </w:rPr>
        <w:t xml:space="preserve">switching </w:t>
      </w:r>
      <w:r>
        <w:rPr>
          <w:rFonts w:asciiTheme="minorHAnsi" w:eastAsiaTheme="minorHAnsi" w:hAnsiTheme="minorHAnsi" w:cstheme="minorBidi"/>
          <w:snapToGrid/>
          <w:sz w:val="24"/>
          <w:szCs w:val="22"/>
        </w:rPr>
        <w:t>to a new</w:t>
      </w:r>
      <w:r w:rsidRPr="00DE1BD2">
        <w:rPr>
          <w:rFonts w:asciiTheme="minorHAnsi" w:eastAsiaTheme="minorHAnsi" w:hAnsiTheme="minorHAnsi" w:cstheme="minorBidi"/>
          <w:snapToGrid/>
          <w:sz w:val="24"/>
          <w:szCs w:val="22"/>
        </w:rPr>
        <w:t xml:space="preserve"> biologic, rather than first initiating biologic therapy. That is, </w:t>
      </w:r>
      <w:r>
        <w:rPr>
          <w:rFonts w:asciiTheme="minorHAnsi" w:eastAsiaTheme="minorHAnsi" w:hAnsiTheme="minorHAnsi" w:cstheme="minorBidi"/>
          <w:snapToGrid/>
          <w:sz w:val="24"/>
          <w:szCs w:val="22"/>
        </w:rPr>
        <w:t xml:space="preserve">the PBAC noted that </w:t>
      </w:r>
      <w:r w:rsidRPr="00DE1BD2">
        <w:rPr>
          <w:rFonts w:asciiTheme="minorHAnsi" w:eastAsiaTheme="minorHAnsi" w:hAnsiTheme="minorHAnsi" w:cstheme="minorBidi"/>
          <w:snapToGrid/>
          <w:sz w:val="24"/>
          <w:szCs w:val="22"/>
        </w:rPr>
        <w:t xml:space="preserve">patients may experience an inadequate response to a biologic (i.e. not achieve either (a) reduction in ACQ-5 score ≥ 0.5 from baseline, or (b) maintenance oral corticosteroid dose reduced by ≥ 25% from baseline, and no deterioration in ACQ-5 score from baseline), but may still not meet the initial restriction criteria outlined above. </w:t>
      </w:r>
      <w:r>
        <w:rPr>
          <w:rFonts w:asciiTheme="minorHAnsi" w:eastAsiaTheme="minorHAnsi" w:hAnsiTheme="minorHAnsi" w:cstheme="minorBidi"/>
          <w:snapToGrid/>
          <w:sz w:val="24"/>
          <w:szCs w:val="22"/>
        </w:rPr>
        <w:t xml:space="preserve">The PBAC noted that without a </w:t>
      </w:r>
      <w:r w:rsidRPr="00DE1BD2">
        <w:rPr>
          <w:rFonts w:asciiTheme="minorHAnsi" w:eastAsiaTheme="minorHAnsi" w:hAnsiTheme="minorHAnsi" w:cstheme="minorBidi"/>
          <w:snapToGrid/>
          <w:sz w:val="24"/>
          <w:szCs w:val="22"/>
        </w:rPr>
        <w:t xml:space="preserve">separate “initial” restriction </w:t>
      </w:r>
      <w:r>
        <w:rPr>
          <w:rFonts w:asciiTheme="minorHAnsi" w:eastAsiaTheme="minorHAnsi" w:hAnsiTheme="minorHAnsi" w:cstheme="minorBidi"/>
          <w:snapToGrid/>
          <w:sz w:val="24"/>
          <w:szCs w:val="22"/>
        </w:rPr>
        <w:t xml:space="preserve">for patients who are switching from a different biologic, there may be additional barriers to </w:t>
      </w:r>
      <w:r w:rsidRPr="00DE1BD2">
        <w:rPr>
          <w:rFonts w:asciiTheme="minorHAnsi" w:eastAsiaTheme="minorHAnsi" w:hAnsiTheme="minorHAnsi" w:cstheme="minorBidi"/>
          <w:snapToGrid/>
          <w:sz w:val="24"/>
          <w:szCs w:val="22"/>
        </w:rPr>
        <w:t>patients switch</w:t>
      </w:r>
      <w:r>
        <w:rPr>
          <w:rFonts w:asciiTheme="minorHAnsi" w:eastAsiaTheme="minorHAnsi" w:hAnsiTheme="minorHAnsi" w:cstheme="minorBidi"/>
          <w:snapToGrid/>
          <w:sz w:val="24"/>
          <w:szCs w:val="22"/>
        </w:rPr>
        <w:t>ing</w:t>
      </w:r>
      <w:r w:rsidRPr="00DE1BD2">
        <w:rPr>
          <w:rFonts w:asciiTheme="minorHAnsi" w:eastAsiaTheme="minorHAnsi" w:hAnsiTheme="minorHAnsi" w:cstheme="minorBidi"/>
          <w:snapToGrid/>
          <w:sz w:val="24"/>
          <w:szCs w:val="22"/>
        </w:rPr>
        <w:t xml:space="preserve"> from one biologic to another.</w:t>
      </w:r>
    </w:p>
    <w:p w:rsidR="00D6692D" w:rsidRDefault="00D6692D" w:rsidP="00D6692D">
      <w:pPr>
        <w:pStyle w:val="ListParagraph"/>
        <w:widowControl/>
        <w:numPr>
          <w:ilvl w:val="1"/>
          <w:numId w:val="5"/>
        </w:numPr>
        <w:spacing w:after="120"/>
        <w:contextualSpacing w:val="0"/>
        <w:rPr>
          <w:rFonts w:ascii="Calibri" w:eastAsia="Calibri" w:hAnsi="Calibri"/>
          <w:sz w:val="24"/>
          <w:szCs w:val="24"/>
        </w:rPr>
      </w:pPr>
      <w:r>
        <w:rPr>
          <w:rFonts w:ascii="Calibri" w:eastAsia="Calibri" w:hAnsi="Calibri"/>
          <w:sz w:val="24"/>
          <w:szCs w:val="24"/>
        </w:rPr>
        <w:t xml:space="preserve">The pre-PBAC response proposed </w:t>
      </w:r>
      <w:r w:rsidR="008A34BB">
        <w:rPr>
          <w:rFonts w:ascii="Calibri" w:eastAsia="Calibri" w:hAnsi="Calibri"/>
          <w:sz w:val="24"/>
          <w:szCs w:val="24"/>
        </w:rPr>
        <w:t xml:space="preserve">that </w:t>
      </w:r>
      <w:r>
        <w:rPr>
          <w:rFonts w:ascii="Calibri" w:eastAsia="Calibri" w:hAnsi="Calibri"/>
          <w:sz w:val="24"/>
          <w:szCs w:val="24"/>
        </w:rPr>
        <w:t>two separate mepolizumab initiation restrictions</w:t>
      </w:r>
      <w:r w:rsidR="008A34BB">
        <w:rPr>
          <w:rFonts w:ascii="Calibri" w:eastAsia="Calibri" w:hAnsi="Calibri"/>
          <w:sz w:val="24"/>
          <w:szCs w:val="24"/>
        </w:rPr>
        <w:t xml:space="preserve"> be developed</w:t>
      </w:r>
      <w:r>
        <w:rPr>
          <w:rFonts w:ascii="Calibri" w:eastAsia="Calibri" w:hAnsi="Calibri"/>
          <w:sz w:val="24"/>
          <w:szCs w:val="24"/>
        </w:rPr>
        <w:t xml:space="preserve">: </w:t>
      </w:r>
    </w:p>
    <w:p w:rsidR="00D6692D" w:rsidRDefault="00D6692D" w:rsidP="00D6692D">
      <w:pPr>
        <w:pStyle w:val="ListParagraph"/>
        <w:widowControl/>
        <w:numPr>
          <w:ilvl w:val="0"/>
          <w:numId w:val="45"/>
        </w:numPr>
        <w:spacing w:after="120"/>
        <w:ind w:left="1134"/>
        <w:contextualSpacing w:val="0"/>
        <w:rPr>
          <w:rFonts w:ascii="Calibri" w:eastAsia="Calibri" w:hAnsi="Calibri"/>
          <w:sz w:val="24"/>
          <w:szCs w:val="24"/>
        </w:rPr>
      </w:pPr>
      <w:r>
        <w:rPr>
          <w:rFonts w:ascii="Calibri" w:eastAsia="Calibri" w:hAnsi="Calibri"/>
          <w:sz w:val="24"/>
          <w:szCs w:val="24"/>
        </w:rPr>
        <w:t>Initial treatment 1: new patient or patient recommencing treatment after a break of more than 6 months; and</w:t>
      </w:r>
    </w:p>
    <w:p w:rsidR="00D6692D" w:rsidRPr="006608B7" w:rsidRDefault="00D6692D" w:rsidP="006608B7">
      <w:pPr>
        <w:pStyle w:val="ListParagraph"/>
        <w:widowControl/>
        <w:numPr>
          <w:ilvl w:val="0"/>
          <w:numId w:val="45"/>
        </w:numPr>
        <w:spacing w:after="120"/>
        <w:ind w:left="1134"/>
        <w:contextualSpacing w:val="0"/>
        <w:rPr>
          <w:rFonts w:ascii="Calibri" w:eastAsia="Calibri" w:hAnsi="Calibri"/>
          <w:sz w:val="24"/>
          <w:szCs w:val="24"/>
        </w:rPr>
      </w:pPr>
      <w:r w:rsidRPr="006608B7">
        <w:rPr>
          <w:rFonts w:ascii="Calibri" w:eastAsia="Calibri" w:hAnsi="Calibri"/>
          <w:sz w:val="24"/>
          <w:szCs w:val="24"/>
        </w:rPr>
        <w:t>Initial treatment 2: patient must have already received omalizumab for severe asthma.</w:t>
      </w:r>
      <w:r w:rsidR="00623F3D" w:rsidRPr="006608B7">
        <w:rPr>
          <w:rFonts w:ascii="Calibri" w:eastAsia="Calibri" w:hAnsi="Calibri"/>
          <w:sz w:val="24"/>
          <w:szCs w:val="24"/>
        </w:rPr>
        <w:t xml:space="preserve"> </w:t>
      </w:r>
      <w:r w:rsidRPr="006608B7">
        <w:rPr>
          <w:rFonts w:ascii="Calibri" w:eastAsia="Calibri" w:hAnsi="Calibri"/>
          <w:sz w:val="24"/>
          <w:szCs w:val="24"/>
        </w:rPr>
        <w:t xml:space="preserve">The pre-PBAC response </w:t>
      </w:r>
      <w:r w:rsidR="00623F3D">
        <w:rPr>
          <w:rFonts w:ascii="Calibri" w:eastAsia="Calibri" w:hAnsi="Calibri"/>
          <w:sz w:val="24"/>
          <w:szCs w:val="24"/>
        </w:rPr>
        <w:t>intended that this</w:t>
      </w:r>
      <w:r w:rsidRPr="006608B7">
        <w:rPr>
          <w:rFonts w:ascii="Calibri" w:eastAsia="Calibri" w:hAnsi="Calibri"/>
          <w:sz w:val="24"/>
          <w:szCs w:val="24"/>
        </w:rPr>
        <w:t xml:space="preserve"> would enable direct switching from omalizumab to mepolizumab, without the requirement for patients to re-</w:t>
      </w:r>
      <w:r w:rsidR="00623F3D">
        <w:rPr>
          <w:rFonts w:ascii="Calibri" w:eastAsia="Calibri" w:hAnsi="Calibri"/>
          <w:sz w:val="24"/>
          <w:szCs w:val="24"/>
        </w:rPr>
        <w:t xml:space="preserve">qualify under </w:t>
      </w:r>
      <w:r w:rsidRPr="006608B7">
        <w:rPr>
          <w:rFonts w:ascii="Calibri" w:eastAsia="Calibri" w:hAnsi="Calibri"/>
          <w:sz w:val="24"/>
          <w:szCs w:val="24"/>
        </w:rPr>
        <w:t>the baseline criteria.</w:t>
      </w:r>
    </w:p>
    <w:p w:rsidR="00825B93" w:rsidRPr="00D22F30" w:rsidRDefault="008A34BB" w:rsidP="00D11D4A">
      <w:pPr>
        <w:pStyle w:val="ListParagraph"/>
        <w:widowControl/>
        <w:numPr>
          <w:ilvl w:val="1"/>
          <w:numId w:val="5"/>
        </w:numPr>
        <w:spacing w:after="120"/>
        <w:contextualSpacing w:val="0"/>
        <w:rPr>
          <w:rFonts w:ascii="Calibri" w:eastAsia="Calibri" w:hAnsi="Calibri"/>
          <w:sz w:val="24"/>
          <w:szCs w:val="24"/>
        </w:rPr>
      </w:pPr>
      <w:r w:rsidRPr="00623F3D">
        <w:rPr>
          <w:rFonts w:ascii="Calibri" w:eastAsia="Calibri" w:hAnsi="Calibri"/>
          <w:sz w:val="24"/>
          <w:szCs w:val="24"/>
        </w:rPr>
        <w:t xml:space="preserve">The pre-PBAC response </w:t>
      </w:r>
      <w:r w:rsidR="00BF6508" w:rsidRPr="00154914">
        <w:rPr>
          <w:rFonts w:ascii="Calibri" w:eastAsia="Calibri" w:hAnsi="Calibri"/>
          <w:sz w:val="24"/>
          <w:szCs w:val="24"/>
        </w:rPr>
        <w:t>stated that</w:t>
      </w:r>
      <w:r w:rsidR="00BF6508" w:rsidRPr="000E22EB">
        <w:rPr>
          <w:rFonts w:ascii="Calibri" w:eastAsia="Calibri" w:hAnsi="Calibri"/>
          <w:sz w:val="24"/>
          <w:szCs w:val="24"/>
        </w:rPr>
        <w:t xml:space="preserve"> issues relating to</w:t>
      </w:r>
      <w:r w:rsidR="00BF6508" w:rsidRPr="00052063">
        <w:rPr>
          <w:rFonts w:ascii="Calibri" w:eastAsia="Calibri" w:hAnsi="Calibri"/>
          <w:sz w:val="24"/>
          <w:szCs w:val="24"/>
        </w:rPr>
        <w:t xml:space="preserve"> re-trial of the same biologic agent, the number of treatment breaks and cycling of biologic agents was beyond the scope of the submission. However, the PBAC considered </w:t>
      </w:r>
      <w:r w:rsidR="0078260C" w:rsidRPr="00052063">
        <w:rPr>
          <w:rFonts w:ascii="Calibri" w:eastAsia="Calibri" w:hAnsi="Calibri"/>
          <w:sz w:val="24"/>
          <w:szCs w:val="24"/>
        </w:rPr>
        <w:t xml:space="preserve">that </w:t>
      </w:r>
      <w:r w:rsidR="00BF6508" w:rsidRPr="00052063">
        <w:rPr>
          <w:rFonts w:ascii="Calibri" w:eastAsia="Calibri" w:hAnsi="Calibri"/>
          <w:sz w:val="24"/>
          <w:szCs w:val="24"/>
        </w:rPr>
        <w:t xml:space="preserve">removal of the treatment break would </w:t>
      </w:r>
      <w:r w:rsidR="0078260C" w:rsidRPr="00BF390E">
        <w:rPr>
          <w:rFonts w:ascii="Calibri" w:eastAsia="Calibri" w:hAnsi="Calibri"/>
          <w:sz w:val="24"/>
          <w:szCs w:val="24"/>
        </w:rPr>
        <w:t xml:space="preserve">require consideration of issues </w:t>
      </w:r>
      <w:r w:rsidR="0078260C" w:rsidRPr="005404B8">
        <w:rPr>
          <w:rFonts w:ascii="Calibri" w:eastAsia="Calibri" w:hAnsi="Calibri"/>
          <w:sz w:val="24"/>
          <w:szCs w:val="24"/>
        </w:rPr>
        <w:t xml:space="preserve">such as whether </w:t>
      </w:r>
      <w:r w:rsidR="0078260C" w:rsidRPr="006608B7">
        <w:rPr>
          <w:rFonts w:asciiTheme="minorHAnsi" w:hAnsiTheme="minorHAnsi"/>
          <w:bCs/>
          <w:sz w:val="24"/>
          <w:szCs w:val="24"/>
          <w:lang w:val="en-GB"/>
        </w:rPr>
        <w:t>there should be limits on the number of times that a patient can use each agent, and</w:t>
      </w:r>
      <w:r w:rsidR="0078260C" w:rsidRPr="00623F3D">
        <w:rPr>
          <w:rFonts w:ascii="Calibri" w:eastAsia="Calibri" w:hAnsi="Calibri"/>
          <w:sz w:val="24"/>
          <w:szCs w:val="24"/>
        </w:rPr>
        <w:t xml:space="preserve"> </w:t>
      </w:r>
      <w:r w:rsidR="0078260C" w:rsidRPr="006608B7">
        <w:rPr>
          <w:rFonts w:asciiTheme="minorHAnsi" w:hAnsiTheme="minorHAnsi"/>
          <w:bCs/>
          <w:sz w:val="24"/>
          <w:szCs w:val="24"/>
          <w:lang w:val="en-GB"/>
        </w:rPr>
        <w:t>the criteria for switching to an alternative biologic therapy</w:t>
      </w:r>
      <w:r w:rsidR="0078260C" w:rsidRPr="00623F3D">
        <w:rPr>
          <w:rFonts w:ascii="Calibri" w:eastAsia="Calibri" w:hAnsi="Calibri"/>
          <w:sz w:val="24"/>
          <w:szCs w:val="24"/>
        </w:rPr>
        <w:t>.</w:t>
      </w:r>
      <w:r w:rsidR="0078260C" w:rsidRPr="00154914">
        <w:rPr>
          <w:rFonts w:ascii="Calibri" w:eastAsia="Calibri" w:hAnsi="Calibri"/>
          <w:sz w:val="24"/>
          <w:szCs w:val="24"/>
        </w:rPr>
        <w:t xml:space="preserve"> The PBAC considered that these issues </w:t>
      </w:r>
      <w:r w:rsidR="00D40E82" w:rsidRPr="000E22EB">
        <w:rPr>
          <w:rFonts w:ascii="Calibri" w:eastAsia="Calibri" w:hAnsi="Calibri"/>
          <w:sz w:val="24"/>
          <w:szCs w:val="24"/>
        </w:rPr>
        <w:t>were inter-related with re-trial</w:t>
      </w:r>
      <w:r w:rsidR="00D40E82" w:rsidRPr="00052063">
        <w:rPr>
          <w:rFonts w:ascii="Calibri" w:eastAsia="Calibri" w:hAnsi="Calibri"/>
          <w:sz w:val="24"/>
          <w:szCs w:val="24"/>
        </w:rPr>
        <w:t>ling and cycling of biologics.</w:t>
      </w:r>
    </w:p>
    <w:p w:rsidR="00C34584" w:rsidRPr="00C34584" w:rsidRDefault="00C34584" w:rsidP="00C34584">
      <w:pPr>
        <w:pStyle w:val="ListParagraph"/>
        <w:snapToGrid w:val="0"/>
        <w:spacing w:after="120"/>
        <w:contextualSpacing w:val="0"/>
        <w:rPr>
          <w:rFonts w:asciiTheme="minorHAnsi" w:eastAsiaTheme="minorHAnsi" w:hAnsiTheme="minorHAnsi" w:cstheme="minorBidi"/>
          <w:i/>
          <w:sz w:val="24"/>
          <w:szCs w:val="22"/>
        </w:rPr>
      </w:pPr>
      <w:r w:rsidRPr="00D6692D">
        <w:rPr>
          <w:rFonts w:asciiTheme="minorHAnsi" w:eastAsiaTheme="minorHAnsi" w:hAnsiTheme="minorHAnsi" w:cstheme="minorBidi"/>
          <w:i/>
          <w:sz w:val="24"/>
          <w:szCs w:val="22"/>
        </w:rPr>
        <w:t>For more deta</w:t>
      </w:r>
      <w:r w:rsidR="00D22F30">
        <w:rPr>
          <w:rFonts w:asciiTheme="minorHAnsi" w:eastAsiaTheme="minorHAnsi" w:hAnsiTheme="minorHAnsi" w:cstheme="minorBidi"/>
          <w:i/>
          <w:sz w:val="24"/>
          <w:szCs w:val="22"/>
        </w:rPr>
        <w:t>il on PBAC’s view, see section 6</w:t>
      </w:r>
      <w:r w:rsidRPr="00D6692D">
        <w:rPr>
          <w:rFonts w:asciiTheme="minorHAnsi" w:eastAsiaTheme="minorHAnsi" w:hAnsiTheme="minorHAnsi" w:cstheme="minorBidi"/>
          <w:i/>
          <w:sz w:val="24"/>
          <w:szCs w:val="22"/>
        </w:rPr>
        <w:t xml:space="preserve"> PBAC Outcome.</w:t>
      </w:r>
    </w:p>
    <w:p w:rsidR="000B558D" w:rsidRPr="00C34584"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C34584">
        <w:rPr>
          <w:rFonts w:asciiTheme="minorHAnsi" w:hAnsiTheme="minorHAnsi"/>
          <w:sz w:val="32"/>
          <w:szCs w:val="32"/>
        </w:rPr>
        <w:t>C</w:t>
      </w:r>
      <w:r w:rsidR="00D84934" w:rsidRPr="00C34584">
        <w:rPr>
          <w:rFonts w:asciiTheme="minorHAnsi" w:hAnsiTheme="minorHAnsi"/>
          <w:sz w:val="32"/>
          <w:szCs w:val="32"/>
        </w:rPr>
        <w:t>onsideration of the evidence</w:t>
      </w:r>
    </w:p>
    <w:p w:rsidR="00C34584" w:rsidRPr="00D80433" w:rsidRDefault="00C34584" w:rsidP="00D80433">
      <w:pPr>
        <w:pStyle w:val="Heading2"/>
        <w:keepLines/>
        <w:spacing w:before="240" w:after="120"/>
        <w:rPr>
          <w:rFonts w:asciiTheme="minorHAnsi" w:eastAsiaTheme="majorEastAsia" w:hAnsiTheme="minorHAnsi" w:cstheme="majorBidi"/>
          <w:b w:val="0"/>
          <w:i w:val="0"/>
          <w:sz w:val="28"/>
          <w:szCs w:val="28"/>
          <w:lang w:eastAsia="en-US"/>
        </w:rPr>
      </w:pPr>
      <w:r w:rsidRPr="00D80433">
        <w:rPr>
          <w:rFonts w:asciiTheme="minorHAnsi" w:eastAsiaTheme="majorEastAsia" w:hAnsiTheme="minorHAnsi" w:cstheme="majorBidi"/>
          <w:sz w:val="28"/>
          <w:szCs w:val="28"/>
          <w:lang w:eastAsia="en-US"/>
        </w:rPr>
        <w:t>Sponsor hearing</w:t>
      </w:r>
    </w:p>
    <w:p w:rsidR="00C34584" w:rsidRPr="00D17EEC" w:rsidRDefault="00C34584" w:rsidP="00C34584">
      <w:pPr>
        <w:widowControl w:val="0"/>
        <w:numPr>
          <w:ilvl w:val="1"/>
          <w:numId w:val="5"/>
        </w:numPr>
        <w:spacing w:after="120"/>
        <w:jc w:val="both"/>
        <w:rPr>
          <w:rFonts w:asciiTheme="minorHAnsi" w:hAnsiTheme="minorHAnsi" w:cs="Arial"/>
          <w:bCs/>
          <w:snapToGrid w:val="0"/>
        </w:rPr>
      </w:pPr>
      <w:r w:rsidRPr="00D17EEC">
        <w:rPr>
          <w:rFonts w:asciiTheme="minorHAnsi" w:hAnsiTheme="minorHAnsi" w:cs="Arial"/>
          <w:bCs/>
          <w:snapToGrid w:val="0"/>
        </w:rPr>
        <w:t>There was no hearing for this item as it was a minor submission.</w:t>
      </w:r>
    </w:p>
    <w:p w:rsidR="00C34584" w:rsidRPr="00D80433" w:rsidRDefault="00C34584" w:rsidP="00D80433">
      <w:pPr>
        <w:pStyle w:val="Heading2"/>
        <w:keepLines/>
        <w:spacing w:before="240" w:after="120"/>
        <w:rPr>
          <w:rFonts w:asciiTheme="minorHAnsi" w:eastAsiaTheme="majorEastAsia" w:hAnsiTheme="minorHAnsi" w:cstheme="majorBidi"/>
          <w:b w:val="0"/>
          <w:i w:val="0"/>
          <w:sz w:val="28"/>
          <w:szCs w:val="28"/>
          <w:lang w:eastAsia="en-US"/>
        </w:rPr>
      </w:pPr>
      <w:r w:rsidRPr="00D80433">
        <w:rPr>
          <w:rFonts w:asciiTheme="minorHAnsi" w:eastAsiaTheme="majorEastAsia" w:hAnsiTheme="minorHAnsi" w:cstheme="majorBidi"/>
          <w:sz w:val="28"/>
          <w:szCs w:val="28"/>
          <w:lang w:eastAsia="en-US"/>
        </w:rPr>
        <w:t>Consumer comments</w:t>
      </w:r>
    </w:p>
    <w:p w:rsidR="00D0554E" w:rsidRPr="006608B7" w:rsidRDefault="00D0554E" w:rsidP="00D0554E">
      <w:pPr>
        <w:widowControl w:val="0"/>
        <w:numPr>
          <w:ilvl w:val="1"/>
          <w:numId w:val="14"/>
        </w:numPr>
        <w:spacing w:after="120"/>
        <w:jc w:val="both"/>
        <w:rPr>
          <w:rFonts w:asciiTheme="minorHAnsi" w:hAnsiTheme="minorHAnsi" w:cs="Arial"/>
          <w:bCs/>
          <w:snapToGrid w:val="0"/>
        </w:rPr>
      </w:pPr>
      <w:r w:rsidRPr="00D17EEC">
        <w:rPr>
          <w:rFonts w:asciiTheme="minorHAnsi" w:hAnsiTheme="minorHAnsi" w:cs="Arial"/>
          <w:bCs/>
          <w:snapToGrid w:val="0"/>
        </w:rPr>
        <w:t>The PBAC noted and welcomed the input from</w:t>
      </w:r>
      <w:r w:rsidRPr="00C15035">
        <w:rPr>
          <w:rFonts w:asciiTheme="minorHAnsi" w:hAnsiTheme="minorHAnsi" w:cs="Arial"/>
          <w:bCs/>
          <w:snapToGrid w:val="0"/>
        </w:rPr>
        <w:t xml:space="preserve"> an organisation, the Centre of Research Excellence in Severe Asthma</w:t>
      </w:r>
      <w:r>
        <w:rPr>
          <w:rFonts w:asciiTheme="minorHAnsi" w:hAnsiTheme="minorHAnsi" w:cs="Arial"/>
          <w:bCs/>
          <w:snapToGrid w:val="0"/>
        </w:rPr>
        <w:t xml:space="preserve"> </w:t>
      </w:r>
      <w:r w:rsidRPr="00D6692D">
        <w:rPr>
          <w:rFonts w:asciiTheme="minorHAnsi" w:hAnsiTheme="minorHAnsi" w:cs="Arial"/>
          <w:bCs/>
          <w:snapToGrid w:val="0"/>
        </w:rPr>
        <w:t>(which included comment from the principal investigators from the Australian Mepolizumab Registry)</w:t>
      </w:r>
      <w:r>
        <w:rPr>
          <w:rFonts w:asciiTheme="minorHAnsi" w:hAnsiTheme="minorHAnsi" w:cs="Arial"/>
          <w:bCs/>
          <w:snapToGrid w:val="0"/>
        </w:rPr>
        <w:t xml:space="preserve"> </w:t>
      </w:r>
      <w:r w:rsidRPr="00C15035">
        <w:rPr>
          <w:rFonts w:asciiTheme="minorHAnsi" w:hAnsiTheme="minorHAnsi" w:cs="Arial"/>
          <w:bCs/>
          <w:snapToGrid w:val="0"/>
        </w:rPr>
        <w:t xml:space="preserve">via the Consumer Comments facility on the PBS website. Input was also provided from health care </w:t>
      </w:r>
      <w:r w:rsidRPr="00B003F1">
        <w:rPr>
          <w:rFonts w:asciiTheme="minorHAnsi" w:hAnsiTheme="minorHAnsi" w:cs="Arial"/>
          <w:bCs/>
          <w:snapToGrid w:val="0"/>
        </w:rPr>
        <w:t>profess</w:t>
      </w:r>
      <w:r w:rsidRPr="006608B7">
        <w:rPr>
          <w:rFonts w:asciiTheme="minorHAnsi" w:hAnsiTheme="minorHAnsi" w:cs="Arial"/>
          <w:bCs/>
          <w:snapToGrid w:val="0"/>
        </w:rPr>
        <w:t>ionals (3) as part of the pre-PBAC response</w:t>
      </w:r>
      <w:r w:rsidR="009622D9" w:rsidRPr="006608B7">
        <w:rPr>
          <w:rFonts w:asciiTheme="minorHAnsi" w:hAnsiTheme="minorHAnsi" w:cs="Arial"/>
          <w:bCs/>
          <w:snapToGrid w:val="0"/>
        </w:rPr>
        <w:t>, and</w:t>
      </w:r>
      <w:r w:rsidRPr="006608B7">
        <w:rPr>
          <w:rFonts w:asciiTheme="minorHAnsi" w:hAnsiTheme="minorHAnsi" w:cs="Arial"/>
          <w:bCs/>
          <w:snapToGrid w:val="0"/>
        </w:rPr>
        <w:t xml:space="preserve"> further general input relating to the restrictions for biologics in asthma was provided by from the Thoracic Society of Australia and New Zealand. The comments described the potential risks associated with a six month treatment </w:t>
      </w:r>
      <w:r w:rsidR="006D6836">
        <w:rPr>
          <w:rFonts w:asciiTheme="minorHAnsi" w:hAnsiTheme="minorHAnsi" w:cs="Arial"/>
          <w:bCs/>
          <w:snapToGrid w:val="0"/>
        </w:rPr>
        <w:t>interval</w:t>
      </w:r>
      <w:r w:rsidRPr="006608B7">
        <w:rPr>
          <w:rFonts w:asciiTheme="minorHAnsi" w:hAnsiTheme="minorHAnsi" w:cs="Arial"/>
          <w:bCs/>
          <w:snapToGrid w:val="0"/>
        </w:rPr>
        <w:t xml:space="preserve"> in patients with severe asthma, such as an increased risk of asthma exacerbations, or increased requirements for oral corticosteroid</w:t>
      </w:r>
      <w:r w:rsidR="00ED551D" w:rsidRPr="006608B7">
        <w:rPr>
          <w:rFonts w:asciiTheme="minorHAnsi" w:hAnsiTheme="minorHAnsi" w:cs="Arial"/>
          <w:bCs/>
          <w:snapToGrid w:val="0"/>
        </w:rPr>
        <w:t>s</w:t>
      </w:r>
      <w:r w:rsidRPr="006608B7">
        <w:rPr>
          <w:rFonts w:asciiTheme="minorHAnsi" w:hAnsiTheme="minorHAnsi" w:cs="Arial"/>
          <w:bCs/>
          <w:snapToGrid w:val="0"/>
        </w:rPr>
        <w:t xml:space="preserve">, with a corresponding increase in the risk of adverse events. </w:t>
      </w:r>
    </w:p>
    <w:p w:rsidR="00D0554E" w:rsidRPr="006608B7" w:rsidRDefault="00D0554E" w:rsidP="00D0554E">
      <w:pPr>
        <w:widowControl w:val="0"/>
        <w:numPr>
          <w:ilvl w:val="1"/>
          <w:numId w:val="14"/>
        </w:numPr>
        <w:spacing w:after="120"/>
        <w:jc w:val="both"/>
        <w:rPr>
          <w:rFonts w:asciiTheme="minorHAnsi" w:hAnsiTheme="minorHAnsi" w:cs="Arial"/>
          <w:bCs/>
          <w:snapToGrid w:val="0"/>
        </w:rPr>
      </w:pPr>
      <w:r w:rsidRPr="006608B7">
        <w:rPr>
          <w:rFonts w:asciiTheme="minorHAnsi" w:hAnsiTheme="minorHAnsi" w:cs="Arial"/>
          <w:bCs/>
          <w:snapToGrid w:val="0"/>
        </w:rPr>
        <w:t xml:space="preserve">The clinician comments outlined that the current six month </w:t>
      </w:r>
      <w:r w:rsidR="00B003F1" w:rsidRPr="006608B7">
        <w:rPr>
          <w:rFonts w:asciiTheme="minorHAnsi" w:hAnsiTheme="minorHAnsi" w:cs="Arial"/>
          <w:bCs/>
          <w:snapToGrid w:val="0"/>
        </w:rPr>
        <w:t>interval</w:t>
      </w:r>
      <w:r w:rsidRPr="006608B7">
        <w:rPr>
          <w:rFonts w:asciiTheme="minorHAnsi" w:hAnsiTheme="minorHAnsi" w:cs="Arial"/>
          <w:bCs/>
          <w:snapToGrid w:val="0"/>
        </w:rPr>
        <w:t xml:space="preserve"> when switching between different biologics may discourage clinicians from trialling an alternative biologic, even when switching may be clinically appropriate, for example due to partial effectiveness, adverse events (including anaphylaxis with omalizumab), or the eosinophilic/allergic </w:t>
      </w:r>
      <w:r w:rsidR="003C0661" w:rsidRPr="006608B7">
        <w:rPr>
          <w:rFonts w:asciiTheme="minorHAnsi" w:hAnsiTheme="minorHAnsi" w:cs="Arial"/>
          <w:bCs/>
          <w:snapToGrid w:val="0"/>
        </w:rPr>
        <w:t>features</w:t>
      </w:r>
      <w:r w:rsidRPr="006608B7">
        <w:rPr>
          <w:rFonts w:asciiTheme="minorHAnsi" w:hAnsiTheme="minorHAnsi" w:cs="Arial"/>
          <w:bCs/>
          <w:snapToGrid w:val="0"/>
        </w:rPr>
        <w:t xml:space="preserve"> of the patient’s asthma</w:t>
      </w:r>
      <w:r w:rsidRPr="00B003F1">
        <w:rPr>
          <w:rFonts w:asciiTheme="minorHAnsi" w:hAnsiTheme="minorHAnsi" w:cs="Arial"/>
          <w:bCs/>
          <w:snapToGrid w:val="0"/>
        </w:rPr>
        <w:t xml:space="preserve">. </w:t>
      </w:r>
    </w:p>
    <w:p w:rsidR="004A0A72" w:rsidRPr="004A0A72" w:rsidRDefault="0002588F" w:rsidP="004A0A72">
      <w:pPr>
        <w:pStyle w:val="ListParagraph"/>
        <w:numPr>
          <w:ilvl w:val="1"/>
          <w:numId w:val="14"/>
        </w:numPr>
        <w:spacing w:after="120"/>
        <w:contextualSpacing w:val="0"/>
        <w:rPr>
          <w:rFonts w:asciiTheme="minorHAnsi" w:eastAsiaTheme="minorHAnsi" w:hAnsiTheme="minorHAnsi" w:cstheme="minorBidi"/>
          <w:snapToGrid/>
          <w:sz w:val="24"/>
          <w:szCs w:val="24"/>
        </w:rPr>
      </w:pPr>
      <w:r w:rsidRPr="004A0A72">
        <w:rPr>
          <w:rFonts w:asciiTheme="minorHAnsi" w:eastAsiaTheme="minorHAnsi" w:hAnsiTheme="minorHAnsi" w:cstheme="minorBidi"/>
          <w:snapToGrid/>
          <w:sz w:val="24"/>
          <w:szCs w:val="24"/>
        </w:rPr>
        <w:t xml:space="preserve">The PBAC noted that the </w:t>
      </w:r>
      <w:r w:rsidRPr="004A0A72">
        <w:rPr>
          <w:rFonts w:asciiTheme="minorHAnsi" w:hAnsiTheme="minorHAnsi"/>
          <w:bCs/>
          <w:sz w:val="24"/>
          <w:szCs w:val="24"/>
          <w:lang w:val="en-GB"/>
        </w:rPr>
        <w:t xml:space="preserve">the Thoracic Society of Australia and New Zealand and the Centre of Research Excellence in Severe Asthma both proposed </w:t>
      </w:r>
      <w:r w:rsidR="00C85C81" w:rsidRPr="004A0A72">
        <w:rPr>
          <w:rFonts w:asciiTheme="minorHAnsi" w:hAnsiTheme="minorHAnsi"/>
          <w:bCs/>
          <w:sz w:val="24"/>
          <w:szCs w:val="24"/>
          <w:lang w:val="en-GB"/>
        </w:rPr>
        <w:t>chang</w:t>
      </w:r>
      <w:r w:rsidRPr="004A0A72">
        <w:rPr>
          <w:rFonts w:asciiTheme="minorHAnsi" w:hAnsiTheme="minorHAnsi"/>
          <w:bCs/>
          <w:sz w:val="24"/>
          <w:szCs w:val="24"/>
          <w:lang w:val="en-GB"/>
        </w:rPr>
        <w:t xml:space="preserve">ing the six month </w:t>
      </w:r>
      <w:r w:rsidR="00C85C81" w:rsidRPr="004A0A72">
        <w:rPr>
          <w:rFonts w:asciiTheme="minorHAnsi" w:hAnsiTheme="minorHAnsi"/>
          <w:bCs/>
          <w:sz w:val="24"/>
          <w:szCs w:val="24"/>
          <w:lang w:val="en-GB"/>
        </w:rPr>
        <w:t>interval</w:t>
      </w:r>
      <w:r w:rsidRPr="004A0A72">
        <w:rPr>
          <w:rFonts w:asciiTheme="minorHAnsi" w:hAnsiTheme="minorHAnsi"/>
          <w:bCs/>
          <w:sz w:val="24"/>
          <w:szCs w:val="24"/>
          <w:lang w:val="en-GB"/>
        </w:rPr>
        <w:t xml:space="preserve"> between different biologics. The organisations proposed that the </w:t>
      </w:r>
      <w:r w:rsidRPr="004A0A72">
        <w:rPr>
          <w:rFonts w:asciiTheme="minorHAnsi" w:eastAsiaTheme="minorHAnsi" w:hAnsiTheme="minorHAnsi" w:cstheme="minorBidi"/>
          <w:snapToGrid/>
          <w:sz w:val="24"/>
          <w:szCs w:val="24"/>
        </w:rPr>
        <w:t>requirement be either removed or replaced with a</w:t>
      </w:r>
      <w:r w:rsidR="00B003F1" w:rsidRPr="004A0A72">
        <w:rPr>
          <w:rFonts w:asciiTheme="minorHAnsi" w:eastAsiaTheme="minorHAnsi" w:hAnsiTheme="minorHAnsi" w:cstheme="minorBidi"/>
          <w:snapToGrid/>
          <w:sz w:val="24"/>
          <w:szCs w:val="24"/>
        </w:rPr>
        <w:t>n interval</w:t>
      </w:r>
      <w:r w:rsidRPr="004A0A72">
        <w:rPr>
          <w:rFonts w:asciiTheme="minorHAnsi" w:eastAsiaTheme="minorHAnsi" w:hAnsiTheme="minorHAnsi" w:cstheme="minorBidi"/>
          <w:snapToGrid/>
          <w:sz w:val="24"/>
          <w:szCs w:val="24"/>
        </w:rPr>
        <w:t xml:space="preserve"> of one or two months.</w:t>
      </w:r>
      <w:r w:rsidR="004A0A72" w:rsidRPr="004A0A72">
        <w:rPr>
          <w:rFonts w:asciiTheme="minorHAnsi" w:eastAsiaTheme="minorHAnsi" w:hAnsiTheme="minorHAnsi" w:cstheme="minorBidi"/>
          <w:snapToGrid/>
          <w:sz w:val="24"/>
          <w:szCs w:val="24"/>
        </w:rPr>
        <w:t xml:space="preserve"> </w:t>
      </w:r>
      <w:r w:rsidR="00D0554E" w:rsidRPr="004A0A72">
        <w:rPr>
          <w:rFonts w:asciiTheme="minorHAnsi" w:eastAsiaTheme="minorHAnsi" w:hAnsiTheme="minorHAnsi" w:cstheme="minorBidi"/>
          <w:snapToGrid/>
          <w:sz w:val="24"/>
          <w:szCs w:val="24"/>
        </w:rPr>
        <w:t>The PBAC further noted that the Centre of Research Excellence in Severe Asthma also proposed numerous other changes to the restriction</w:t>
      </w:r>
      <w:r w:rsidR="00E26639" w:rsidRPr="004A0A72">
        <w:rPr>
          <w:rFonts w:asciiTheme="minorHAnsi" w:eastAsiaTheme="minorHAnsi" w:hAnsiTheme="minorHAnsi" w:cstheme="minorBidi"/>
          <w:snapToGrid/>
          <w:sz w:val="24"/>
          <w:szCs w:val="24"/>
        </w:rPr>
        <w:t>.</w:t>
      </w:r>
      <w:r w:rsidR="00E26639" w:rsidRPr="004A0A72" w:rsidDel="00E26639">
        <w:rPr>
          <w:rFonts w:asciiTheme="minorHAnsi" w:eastAsiaTheme="minorHAnsi" w:hAnsiTheme="minorHAnsi" w:cstheme="minorBidi"/>
          <w:snapToGrid/>
          <w:sz w:val="24"/>
          <w:szCs w:val="24"/>
        </w:rPr>
        <w:t xml:space="preserve"> </w:t>
      </w:r>
    </w:p>
    <w:p w:rsidR="00D84934" w:rsidRPr="00885CC4" w:rsidRDefault="00D84934" w:rsidP="004A0A72">
      <w:pPr>
        <w:pStyle w:val="Heading2"/>
        <w:keepLines/>
        <w:spacing w:before="240" w:after="120"/>
        <w:rPr>
          <w:rFonts w:asciiTheme="minorHAnsi" w:eastAsiaTheme="majorEastAsia" w:hAnsiTheme="minorHAnsi" w:cstheme="majorBidi"/>
          <w:sz w:val="28"/>
          <w:szCs w:val="28"/>
        </w:rPr>
      </w:pPr>
      <w:r w:rsidRPr="00885CC4">
        <w:rPr>
          <w:rFonts w:asciiTheme="minorHAnsi" w:eastAsiaTheme="majorEastAsia" w:hAnsiTheme="minorHAnsi" w:cstheme="majorBidi"/>
          <w:sz w:val="28"/>
          <w:szCs w:val="28"/>
        </w:rPr>
        <w:t xml:space="preserve">Clinical </w:t>
      </w:r>
      <w:r w:rsidR="005D7D89" w:rsidRPr="00885CC4">
        <w:rPr>
          <w:rFonts w:asciiTheme="minorHAnsi" w:eastAsiaTheme="majorEastAsia" w:hAnsiTheme="minorHAnsi" w:cstheme="majorBidi"/>
          <w:sz w:val="28"/>
          <w:szCs w:val="28"/>
        </w:rPr>
        <w:t>studie</w:t>
      </w:r>
      <w:r w:rsidRPr="00885CC4">
        <w:rPr>
          <w:rFonts w:asciiTheme="minorHAnsi" w:eastAsiaTheme="majorEastAsia" w:hAnsiTheme="minorHAnsi" w:cstheme="majorBidi"/>
          <w:sz w:val="28"/>
          <w:szCs w:val="28"/>
        </w:rPr>
        <w:t>s</w:t>
      </w:r>
    </w:p>
    <w:p w:rsidR="005D7D89" w:rsidRPr="00C34584" w:rsidRDefault="00367825" w:rsidP="00367825">
      <w:pPr>
        <w:pStyle w:val="ListParagraph"/>
        <w:widowControl/>
        <w:numPr>
          <w:ilvl w:val="1"/>
          <w:numId w:val="14"/>
        </w:numPr>
        <w:spacing w:before="120" w:after="160"/>
        <w:contextualSpacing w:val="0"/>
        <w:rPr>
          <w:rFonts w:asciiTheme="minorHAnsi" w:hAnsiTheme="minorHAnsi"/>
          <w:sz w:val="24"/>
          <w:szCs w:val="24"/>
        </w:rPr>
      </w:pPr>
      <w:r w:rsidRPr="00C34584">
        <w:rPr>
          <w:rFonts w:asciiTheme="minorHAnsi" w:eastAsiaTheme="minorHAnsi" w:hAnsiTheme="minorHAnsi" w:cstheme="minorBidi"/>
          <w:snapToGrid/>
          <w:sz w:val="24"/>
          <w:szCs w:val="22"/>
        </w:rPr>
        <w:t xml:space="preserve">The minor submission </w:t>
      </w:r>
      <w:r w:rsidR="005D7D89" w:rsidRPr="00C34584">
        <w:rPr>
          <w:rFonts w:asciiTheme="minorHAnsi" w:eastAsiaTheme="minorHAnsi" w:hAnsiTheme="minorHAnsi" w:cstheme="minorBidi"/>
          <w:snapToGrid/>
          <w:sz w:val="24"/>
          <w:szCs w:val="22"/>
        </w:rPr>
        <w:t xml:space="preserve">stated that results of the </w:t>
      </w:r>
      <w:r w:rsidRPr="00C34584">
        <w:rPr>
          <w:rFonts w:asciiTheme="minorHAnsi" w:eastAsiaTheme="minorHAnsi" w:hAnsiTheme="minorHAnsi" w:cstheme="minorBidi"/>
          <w:snapToGrid/>
          <w:sz w:val="24"/>
          <w:szCs w:val="22"/>
        </w:rPr>
        <w:t>OSMO study demonstrate</w:t>
      </w:r>
      <w:r w:rsidR="005D7D89" w:rsidRPr="00C34584">
        <w:rPr>
          <w:rFonts w:asciiTheme="minorHAnsi" w:eastAsiaTheme="minorHAnsi" w:hAnsiTheme="minorHAnsi" w:cstheme="minorBidi"/>
          <w:snapToGrid/>
          <w:sz w:val="24"/>
          <w:szCs w:val="22"/>
        </w:rPr>
        <w:t>d</w:t>
      </w:r>
      <w:r w:rsidRPr="00C34584">
        <w:rPr>
          <w:rFonts w:asciiTheme="minorHAnsi" w:eastAsiaTheme="minorHAnsi" w:hAnsiTheme="minorHAnsi" w:cstheme="minorBidi"/>
          <w:snapToGrid/>
          <w:sz w:val="24"/>
          <w:szCs w:val="22"/>
        </w:rPr>
        <w:t xml:space="preserve"> the </w:t>
      </w:r>
      <w:r w:rsidR="008F0CF7" w:rsidRPr="00C34584">
        <w:rPr>
          <w:rFonts w:asciiTheme="minorHAnsi" w:eastAsiaTheme="minorHAnsi" w:hAnsiTheme="minorHAnsi" w:cstheme="minorBidi"/>
          <w:snapToGrid/>
          <w:sz w:val="24"/>
          <w:szCs w:val="22"/>
        </w:rPr>
        <w:t>safety</w:t>
      </w:r>
      <w:r w:rsidRPr="00C34584">
        <w:rPr>
          <w:rFonts w:asciiTheme="minorHAnsi" w:eastAsiaTheme="minorHAnsi" w:hAnsiTheme="minorHAnsi" w:cstheme="minorBidi"/>
          <w:snapToGrid/>
          <w:sz w:val="24"/>
          <w:szCs w:val="22"/>
        </w:rPr>
        <w:t xml:space="preserve"> and </w:t>
      </w:r>
      <w:r w:rsidR="008F0CF7" w:rsidRPr="00C34584">
        <w:rPr>
          <w:rFonts w:asciiTheme="minorHAnsi" w:eastAsiaTheme="minorHAnsi" w:hAnsiTheme="minorHAnsi" w:cstheme="minorBidi"/>
          <w:snapToGrid/>
          <w:sz w:val="24"/>
          <w:szCs w:val="22"/>
        </w:rPr>
        <w:t>efficacy</w:t>
      </w:r>
      <w:r w:rsidRPr="00C34584">
        <w:rPr>
          <w:rFonts w:asciiTheme="minorHAnsi" w:eastAsiaTheme="minorHAnsi" w:hAnsiTheme="minorHAnsi" w:cstheme="minorBidi"/>
          <w:snapToGrid/>
          <w:sz w:val="24"/>
          <w:szCs w:val="22"/>
        </w:rPr>
        <w:t xml:space="preserve"> of a direct switch</w:t>
      </w:r>
      <w:r w:rsidR="008F0CF7" w:rsidRPr="00C34584">
        <w:rPr>
          <w:rFonts w:asciiTheme="minorHAnsi" w:eastAsiaTheme="minorHAnsi" w:hAnsiTheme="minorHAnsi" w:cstheme="minorBidi"/>
          <w:snapToGrid/>
          <w:sz w:val="24"/>
          <w:szCs w:val="22"/>
        </w:rPr>
        <w:t xml:space="preserve"> from omalizumab to mepolizumab. </w:t>
      </w:r>
    </w:p>
    <w:p w:rsidR="00367825" w:rsidRPr="00C34584" w:rsidRDefault="00723D6C" w:rsidP="00367825">
      <w:pPr>
        <w:pStyle w:val="ListParagraph"/>
        <w:widowControl/>
        <w:numPr>
          <w:ilvl w:val="1"/>
          <w:numId w:val="14"/>
        </w:numPr>
        <w:spacing w:before="120" w:after="160"/>
        <w:contextualSpacing w:val="0"/>
        <w:rPr>
          <w:rFonts w:asciiTheme="minorHAnsi" w:hAnsiTheme="minorHAnsi"/>
          <w:sz w:val="24"/>
          <w:szCs w:val="24"/>
        </w:rPr>
      </w:pPr>
      <w:r w:rsidRPr="00C34584">
        <w:rPr>
          <w:rFonts w:asciiTheme="minorHAnsi" w:eastAsiaTheme="minorHAnsi" w:hAnsiTheme="minorHAnsi" w:cstheme="minorBidi"/>
          <w:snapToGrid/>
          <w:sz w:val="24"/>
          <w:szCs w:val="22"/>
        </w:rPr>
        <w:t>OSMO</w:t>
      </w:r>
      <w:r w:rsidR="00B5421D" w:rsidRPr="00C34584">
        <w:rPr>
          <w:rFonts w:asciiTheme="minorHAnsi" w:eastAsiaTheme="minorHAnsi" w:hAnsiTheme="minorHAnsi" w:cstheme="minorBidi"/>
          <w:snapToGrid/>
          <w:sz w:val="24"/>
          <w:szCs w:val="22"/>
        </w:rPr>
        <w:t xml:space="preserve"> was a 32 week single</w:t>
      </w:r>
      <w:r w:rsidR="005D7D89" w:rsidRPr="00C34584">
        <w:rPr>
          <w:rFonts w:asciiTheme="minorHAnsi" w:eastAsiaTheme="minorHAnsi" w:hAnsiTheme="minorHAnsi" w:cstheme="minorBidi"/>
          <w:snapToGrid/>
          <w:sz w:val="24"/>
          <w:szCs w:val="22"/>
        </w:rPr>
        <w:t>-</w:t>
      </w:r>
      <w:r w:rsidR="00B5421D" w:rsidRPr="00C34584">
        <w:rPr>
          <w:rFonts w:asciiTheme="minorHAnsi" w:eastAsiaTheme="minorHAnsi" w:hAnsiTheme="minorHAnsi" w:cstheme="minorBidi"/>
          <w:snapToGrid/>
          <w:sz w:val="24"/>
          <w:szCs w:val="22"/>
        </w:rPr>
        <w:t>arm study</w:t>
      </w:r>
      <w:r w:rsidR="0040349A" w:rsidRPr="00C34584">
        <w:rPr>
          <w:rFonts w:asciiTheme="minorHAnsi" w:eastAsiaTheme="minorHAnsi" w:hAnsiTheme="minorHAnsi" w:cstheme="minorBidi"/>
          <w:snapToGrid/>
          <w:sz w:val="24"/>
          <w:szCs w:val="22"/>
        </w:rPr>
        <w:t xml:space="preserve"> in patients with severe eosinophilic asthma</w:t>
      </w:r>
      <w:r w:rsidRPr="00C34584">
        <w:rPr>
          <w:rFonts w:asciiTheme="minorHAnsi" w:eastAsiaTheme="minorHAnsi" w:hAnsiTheme="minorHAnsi" w:cstheme="minorBidi"/>
          <w:snapToGrid/>
          <w:sz w:val="24"/>
          <w:szCs w:val="22"/>
        </w:rPr>
        <w:t xml:space="preserve"> who were</w:t>
      </w:r>
      <w:r w:rsidR="0040349A" w:rsidRPr="00C34584">
        <w:rPr>
          <w:rFonts w:asciiTheme="minorHAnsi" w:eastAsiaTheme="minorHAnsi" w:hAnsiTheme="minorHAnsi" w:cstheme="minorBidi"/>
          <w:snapToGrid/>
          <w:sz w:val="24"/>
          <w:szCs w:val="22"/>
        </w:rPr>
        <w:t xml:space="preserve"> not optimally controlled wi</w:t>
      </w:r>
      <w:r w:rsidRPr="00C34584">
        <w:rPr>
          <w:rFonts w:asciiTheme="minorHAnsi" w:eastAsiaTheme="minorHAnsi" w:hAnsiTheme="minorHAnsi" w:cstheme="minorBidi"/>
          <w:snapToGrid/>
          <w:sz w:val="24"/>
          <w:szCs w:val="22"/>
        </w:rPr>
        <w:t>th current omalizumab treatment. Patients</w:t>
      </w:r>
      <w:r w:rsidR="0040349A" w:rsidRPr="00C34584">
        <w:rPr>
          <w:rFonts w:asciiTheme="minorHAnsi" w:eastAsiaTheme="minorHAnsi" w:hAnsiTheme="minorHAnsi" w:cstheme="minorBidi"/>
          <w:snapToGrid/>
          <w:sz w:val="24"/>
          <w:szCs w:val="22"/>
        </w:rPr>
        <w:t xml:space="preserve"> were switched </w:t>
      </w:r>
      <w:r w:rsidR="005D7D89" w:rsidRPr="00C34584">
        <w:rPr>
          <w:rFonts w:asciiTheme="minorHAnsi" w:eastAsiaTheme="minorHAnsi" w:hAnsiTheme="minorHAnsi" w:cstheme="minorBidi"/>
          <w:snapToGrid/>
          <w:sz w:val="24"/>
          <w:szCs w:val="22"/>
        </w:rPr>
        <w:t xml:space="preserve">directly from omalizumab </w:t>
      </w:r>
      <w:r w:rsidR="0040349A" w:rsidRPr="00C34584">
        <w:rPr>
          <w:rFonts w:asciiTheme="minorHAnsi" w:eastAsiaTheme="minorHAnsi" w:hAnsiTheme="minorHAnsi" w:cstheme="minorBidi"/>
          <w:snapToGrid/>
          <w:sz w:val="24"/>
          <w:szCs w:val="22"/>
        </w:rPr>
        <w:t>to mepolizumab</w:t>
      </w:r>
      <w:r w:rsidRPr="00C34584">
        <w:rPr>
          <w:rFonts w:asciiTheme="minorHAnsi" w:eastAsiaTheme="minorHAnsi" w:hAnsiTheme="minorHAnsi" w:cstheme="minorBidi"/>
          <w:snapToGrid/>
          <w:sz w:val="24"/>
          <w:szCs w:val="22"/>
        </w:rPr>
        <w:t xml:space="preserve"> without a washout period</w:t>
      </w:r>
      <w:r w:rsidR="00B5421D" w:rsidRPr="00C34584">
        <w:rPr>
          <w:rFonts w:asciiTheme="minorHAnsi" w:eastAsiaTheme="minorHAnsi" w:hAnsiTheme="minorHAnsi" w:cstheme="minorBidi"/>
          <w:snapToGrid/>
          <w:sz w:val="24"/>
          <w:szCs w:val="22"/>
        </w:rPr>
        <w:t xml:space="preserve">. </w:t>
      </w:r>
    </w:p>
    <w:p w:rsidR="00723D6C" w:rsidRPr="00C34584" w:rsidRDefault="00723D6C" w:rsidP="00367825">
      <w:pPr>
        <w:pStyle w:val="ListParagraph"/>
        <w:widowControl/>
        <w:numPr>
          <w:ilvl w:val="1"/>
          <w:numId w:val="14"/>
        </w:numPr>
        <w:spacing w:before="120" w:after="160"/>
        <w:contextualSpacing w:val="0"/>
        <w:rPr>
          <w:rFonts w:asciiTheme="minorHAnsi" w:hAnsiTheme="minorHAnsi"/>
          <w:sz w:val="24"/>
          <w:szCs w:val="24"/>
        </w:rPr>
      </w:pPr>
      <w:r w:rsidRPr="00C34584">
        <w:rPr>
          <w:rFonts w:asciiTheme="minorHAnsi" w:eastAsiaTheme="minorHAnsi" w:hAnsiTheme="minorHAnsi" w:cstheme="minorBidi"/>
          <w:snapToGrid/>
          <w:sz w:val="24"/>
          <w:szCs w:val="22"/>
        </w:rPr>
        <w:t xml:space="preserve">No Clinical Study Reports or publications </w:t>
      </w:r>
      <w:r w:rsidR="006D7FF8" w:rsidRPr="00C34584">
        <w:rPr>
          <w:rFonts w:asciiTheme="minorHAnsi" w:eastAsiaTheme="minorHAnsi" w:hAnsiTheme="minorHAnsi" w:cstheme="minorBidi"/>
          <w:snapToGrid/>
          <w:sz w:val="24"/>
          <w:szCs w:val="22"/>
        </w:rPr>
        <w:t>from the OSMO</w:t>
      </w:r>
      <w:r w:rsidRPr="00C34584">
        <w:rPr>
          <w:rFonts w:asciiTheme="minorHAnsi" w:eastAsiaTheme="minorHAnsi" w:hAnsiTheme="minorHAnsi" w:cstheme="minorBidi"/>
          <w:snapToGrid/>
          <w:sz w:val="24"/>
          <w:szCs w:val="22"/>
        </w:rPr>
        <w:t xml:space="preserve"> </w:t>
      </w:r>
      <w:r w:rsidR="005D7D89" w:rsidRPr="00C34584">
        <w:rPr>
          <w:rFonts w:asciiTheme="minorHAnsi" w:eastAsiaTheme="minorHAnsi" w:hAnsiTheme="minorHAnsi" w:cstheme="minorBidi"/>
          <w:snapToGrid/>
          <w:sz w:val="24"/>
          <w:szCs w:val="22"/>
        </w:rPr>
        <w:t xml:space="preserve">study </w:t>
      </w:r>
      <w:r w:rsidRPr="00C34584">
        <w:rPr>
          <w:rFonts w:asciiTheme="minorHAnsi" w:eastAsiaTheme="minorHAnsi" w:hAnsiTheme="minorHAnsi" w:cstheme="minorBidi"/>
          <w:snapToGrid/>
          <w:sz w:val="24"/>
          <w:szCs w:val="22"/>
        </w:rPr>
        <w:t>were pr</w:t>
      </w:r>
      <w:r w:rsidR="00D40E82">
        <w:rPr>
          <w:rFonts w:asciiTheme="minorHAnsi" w:eastAsiaTheme="minorHAnsi" w:hAnsiTheme="minorHAnsi" w:cstheme="minorBidi"/>
          <w:snapToGrid/>
          <w:sz w:val="24"/>
          <w:szCs w:val="22"/>
        </w:rPr>
        <w:t>ovided</w:t>
      </w:r>
      <w:r w:rsidRPr="00C34584">
        <w:rPr>
          <w:rFonts w:asciiTheme="minorHAnsi" w:eastAsiaTheme="minorHAnsi" w:hAnsiTheme="minorHAnsi" w:cstheme="minorBidi"/>
          <w:snapToGrid/>
          <w:sz w:val="24"/>
          <w:szCs w:val="22"/>
        </w:rPr>
        <w:t xml:space="preserve"> </w:t>
      </w:r>
      <w:r w:rsidR="00D40E82">
        <w:rPr>
          <w:rFonts w:asciiTheme="minorHAnsi" w:eastAsiaTheme="minorHAnsi" w:hAnsiTheme="minorHAnsi" w:cstheme="minorBidi"/>
          <w:snapToGrid/>
          <w:sz w:val="24"/>
          <w:szCs w:val="22"/>
        </w:rPr>
        <w:t>with</w:t>
      </w:r>
      <w:r w:rsidRPr="00C34584">
        <w:rPr>
          <w:rFonts w:asciiTheme="minorHAnsi" w:eastAsiaTheme="minorHAnsi" w:hAnsiTheme="minorHAnsi" w:cstheme="minorBidi"/>
          <w:snapToGrid/>
          <w:sz w:val="24"/>
          <w:szCs w:val="22"/>
        </w:rPr>
        <w:t xml:space="preserve"> the submission, nor were these publicly available. </w:t>
      </w:r>
      <w:r w:rsidR="000F2FFD">
        <w:rPr>
          <w:rFonts w:asciiTheme="minorHAnsi" w:eastAsiaTheme="minorHAnsi" w:hAnsiTheme="minorHAnsi" w:cstheme="minorBidi"/>
          <w:snapToGrid/>
          <w:sz w:val="24"/>
          <w:szCs w:val="22"/>
        </w:rPr>
        <w:t xml:space="preserve">While the Clinical Study Report was provided with the pre-PBAC response, the results were not verified as it was a minor submission. </w:t>
      </w:r>
    </w:p>
    <w:p w:rsidR="008F0CF7" w:rsidRPr="00C34584" w:rsidRDefault="00C862B0" w:rsidP="00E15D0C">
      <w:pPr>
        <w:pStyle w:val="NoSpacing"/>
        <w:keepNext/>
        <w:spacing w:after="60"/>
        <w:rPr>
          <w:rFonts w:ascii="Arial Narrow" w:hAnsi="Arial Narrow"/>
          <w:b/>
          <w:sz w:val="20"/>
        </w:rPr>
      </w:pPr>
      <w:r w:rsidRPr="00C34584">
        <w:rPr>
          <w:rFonts w:ascii="Arial Narrow" w:hAnsi="Arial Narrow"/>
          <w:b/>
          <w:sz w:val="20"/>
        </w:rPr>
        <w:t xml:space="preserve">Table 1: </w:t>
      </w:r>
      <w:r w:rsidR="003C2B55" w:rsidRPr="00C34584">
        <w:rPr>
          <w:rFonts w:ascii="Arial Narrow" w:hAnsi="Arial Narrow"/>
          <w:b/>
          <w:sz w:val="20"/>
        </w:rPr>
        <w:t>Studies</w:t>
      </w:r>
      <w:r w:rsidR="008F0CF7" w:rsidRPr="00C34584">
        <w:rPr>
          <w:rFonts w:ascii="Arial Narrow" w:hAnsi="Arial Narrow"/>
          <w:b/>
          <w:sz w:val="20"/>
        </w:rPr>
        <w:t xml:space="preserve">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458"/>
        <w:gridCol w:w="1177"/>
      </w:tblGrid>
      <w:tr w:rsidR="008F0CF7" w:rsidRPr="00C34584" w:rsidTr="00260475">
        <w:trPr>
          <w:cantSplit/>
          <w:trHeight w:val="539"/>
          <w:tblHeader/>
        </w:trPr>
        <w:tc>
          <w:tcPr>
            <w:tcW w:w="796" w:type="pct"/>
          </w:tcPr>
          <w:p w:rsidR="008F0CF7" w:rsidRPr="00C34584" w:rsidRDefault="008F0CF7" w:rsidP="00E15D0C">
            <w:pPr>
              <w:pStyle w:val="NoSpacing"/>
              <w:keepNext/>
              <w:spacing w:before="40" w:after="40"/>
              <w:jc w:val="left"/>
              <w:rPr>
                <w:rFonts w:ascii="Arial Narrow" w:hAnsi="Arial Narrow"/>
                <w:b/>
                <w:sz w:val="20"/>
              </w:rPr>
            </w:pPr>
            <w:r w:rsidRPr="00C34584">
              <w:rPr>
                <w:rFonts w:ascii="Arial Narrow" w:hAnsi="Arial Narrow"/>
                <w:b/>
                <w:sz w:val="20"/>
              </w:rPr>
              <w:t>Trial ID/First Author</w:t>
            </w:r>
          </w:p>
        </w:tc>
        <w:tc>
          <w:tcPr>
            <w:tcW w:w="3556" w:type="pct"/>
          </w:tcPr>
          <w:p w:rsidR="008F0CF7" w:rsidRPr="00C34584" w:rsidRDefault="008F0CF7" w:rsidP="00C34584">
            <w:pPr>
              <w:keepNext/>
              <w:spacing w:before="40" w:after="40"/>
              <w:jc w:val="center"/>
              <w:rPr>
                <w:rFonts w:ascii="Arial Narrow" w:hAnsi="Arial Narrow"/>
                <w:b/>
                <w:sz w:val="20"/>
              </w:rPr>
            </w:pPr>
            <w:r w:rsidRPr="00C34584">
              <w:rPr>
                <w:rFonts w:ascii="Arial Narrow" w:hAnsi="Arial Narrow"/>
                <w:b/>
                <w:sz w:val="20"/>
              </w:rPr>
              <w:t>Protocol title/ Publication title</w:t>
            </w:r>
          </w:p>
        </w:tc>
        <w:tc>
          <w:tcPr>
            <w:tcW w:w="648" w:type="pct"/>
          </w:tcPr>
          <w:p w:rsidR="008F0CF7" w:rsidRPr="00C34584" w:rsidRDefault="008F0CF7" w:rsidP="00E15D0C">
            <w:pPr>
              <w:keepNext/>
              <w:spacing w:before="40" w:after="40"/>
              <w:rPr>
                <w:rFonts w:ascii="Arial Narrow" w:hAnsi="Arial Narrow"/>
                <w:b/>
                <w:sz w:val="20"/>
              </w:rPr>
            </w:pPr>
            <w:r w:rsidRPr="00C34584">
              <w:rPr>
                <w:rFonts w:ascii="Arial Narrow" w:hAnsi="Arial Narrow"/>
                <w:b/>
                <w:sz w:val="20"/>
              </w:rPr>
              <w:t>Publication citation</w:t>
            </w:r>
          </w:p>
        </w:tc>
      </w:tr>
      <w:tr w:rsidR="008F0CF7" w:rsidRPr="00C34584" w:rsidTr="00260475">
        <w:trPr>
          <w:cantSplit/>
          <w:trHeight w:val="317"/>
        </w:trPr>
        <w:tc>
          <w:tcPr>
            <w:tcW w:w="796" w:type="pct"/>
          </w:tcPr>
          <w:p w:rsidR="008F0CF7" w:rsidRPr="00C34584" w:rsidRDefault="008F0CF7" w:rsidP="00E15D0C">
            <w:pPr>
              <w:pStyle w:val="NoSpacing"/>
              <w:keepNext/>
              <w:jc w:val="left"/>
              <w:rPr>
                <w:rFonts w:ascii="Arial Narrow" w:hAnsi="Arial Narrow"/>
                <w:b/>
                <w:sz w:val="20"/>
              </w:rPr>
            </w:pPr>
            <w:r w:rsidRPr="00C34584">
              <w:rPr>
                <w:rFonts w:ascii="Arial Narrow" w:hAnsi="Arial Narrow"/>
                <w:b/>
                <w:sz w:val="20"/>
              </w:rPr>
              <w:t>Study number 204471</w:t>
            </w:r>
          </w:p>
          <w:p w:rsidR="008F0CF7" w:rsidRPr="00C34584" w:rsidRDefault="008F0CF7" w:rsidP="00260475">
            <w:pPr>
              <w:pStyle w:val="NoSpacing"/>
              <w:keepNext/>
              <w:jc w:val="left"/>
              <w:rPr>
                <w:rFonts w:ascii="Arial Narrow" w:hAnsi="Arial Narrow"/>
                <w:b/>
                <w:sz w:val="20"/>
              </w:rPr>
            </w:pPr>
            <w:r w:rsidRPr="00C34584">
              <w:rPr>
                <w:rFonts w:ascii="Arial Narrow" w:hAnsi="Arial Narrow"/>
                <w:b/>
                <w:sz w:val="20"/>
              </w:rPr>
              <w:t xml:space="preserve">OSMO </w:t>
            </w:r>
          </w:p>
        </w:tc>
        <w:tc>
          <w:tcPr>
            <w:tcW w:w="3556" w:type="pct"/>
          </w:tcPr>
          <w:p w:rsidR="008F0CF7" w:rsidRPr="00C34584" w:rsidRDefault="008F0CF7" w:rsidP="00E15D0C">
            <w:pPr>
              <w:keepNext/>
              <w:rPr>
                <w:rFonts w:ascii="Arial Narrow" w:hAnsi="Arial Narrow"/>
                <w:sz w:val="20"/>
              </w:rPr>
            </w:pPr>
            <w:r w:rsidRPr="00C34584">
              <w:rPr>
                <w:rFonts w:ascii="Arial Narrow" w:hAnsi="Arial Narrow"/>
                <w:sz w:val="20"/>
              </w:rPr>
              <w:t xml:space="preserve">A multi-centre, open label, single arm, 32-week treatment study in subjects with severe eosinophilic asthma not optimally controlled with current omalizumab treatment who are switched from omalizumab to mepolizumab 100mg subcutaneous </w:t>
            </w:r>
          </w:p>
        </w:tc>
        <w:tc>
          <w:tcPr>
            <w:tcW w:w="648" w:type="pct"/>
          </w:tcPr>
          <w:p w:rsidR="008F0CF7" w:rsidRPr="00C34584" w:rsidRDefault="0040349A" w:rsidP="00E15D0C">
            <w:pPr>
              <w:keepNext/>
              <w:rPr>
                <w:rFonts w:ascii="Arial Narrow" w:hAnsi="Arial Narrow"/>
                <w:sz w:val="20"/>
              </w:rPr>
            </w:pPr>
            <w:r w:rsidRPr="00C34584">
              <w:rPr>
                <w:rFonts w:ascii="Arial Narrow" w:hAnsi="Arial Narrow"/>
                <w:sz w:val="20"/>
              </w:rPr>
              <w:t>N/A</w:t>
            </w:r>
          </w:p>
        </w:tc>
      </w:tr>
    </w:tbl>
    <w:p w:rsidR="008F0CF7" w:rsidRPr="00C34584" w:rsidRDefault="008F0CF7" w:rsidP="00E15D0C">
      <w:pPr>
        <w:pStyle w:val="tablenotes"/>
        <w:keepNext/>
        <w:spacing w:after="120"/>
        <w:rPr>
          <w:rFonts w:ascii="Arial Narrow" w:hAnsi="Arial Narrow"/>
          <w:sz w:val="18"/>
          <w:szCs w:val="18"/>
        </w:rPr>
      </w:pPr>
      <w:r w:rsidRPr="00C34584">
        <w:rPr>
          <w:rFonts w:ascii="Arial Narrow" w:hAnsi="Arial Narrow"/>
          <w:sz w:val="18"/>
          <w:szCs w:val="18"/>
        </w:rPr>
        <w:t>Source: Minor submission, pg.9</w:t>
      </w:r>
    </w:p>
    <w:p w:rsidR="00CA6432" w:rsidRPr="00C34584" w:rsidRDefault="006D7FF8" w:rsidP="00864C7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The submission stated that the OSMO </w:t>
      </w:r>
      <w:r w:rsidR="00C179A8" w:rsidRPr="00C34584">
        <w:rPr>
          <w:rFonts w:asciiTheme="minorHAnsi" w:eastAsiaTheme="minorHAnsi" w:hAnsiTheme="minorHAnsi" w:cstheme="minorBidi"/>
          <w:snapToGrid/>
          <w:sz w:val="24"/>
          <w:szCs w:val="22"/>
        </w:rPr>
        <w:t>study</w:t>
      </w:r>
      <w:r w:rsidRPr="00C34584">
        <w:rPr>
          <w:rFonts w:asciiTheme="minorHAnsi" w:eastAsiaTheme="minorHAnsi" w:hAnsiTheme="minorHAnsi" w:cstheme="minorBidi"/>
          <w:snapToGrid/>
          <w:sz w:val="24"/>
          <w:szCs w:val="22"/>
        </w:rPr>
        <w:t xml:space="preserve"> included a</w:t>
      </w:r>
      <w:r w:rsidR="00CA6432" w:rsidRPr="00C34584">
        <w:rPr>
          <w:rFonts w:asciiTheme="minorHAnsi" w:eastAsiaTheme="minorHAnsi" w:hAnsiTheme="minorHAnsi" w:cstheme="minorBidi"/>
          <w:snapToGrid/>
          <w:sz w:val="24"/>
          <w:szCs w:val="22"/>
        </w:rPr>
        <w:t xml:space="preserve"> one to four</w:t>
      </w:r>
      <w:r w:rsidRPr="00C34584">
        <w:rPr>
          <w:rFonts w:asciiTheme="minorHAnsi" w:eastAsiaTheme="minorHAnsi" w:hAnsiTheme="minorHAnsi" w:cstheme="minorBidi"/>
          <w:snapToGrid/>
          <w:sz w:val="24"/>
          <w:szCs w:val="22"/>
        </w:rPr>
        <w:t xml:space="preserve"> </w:t>
      </w:r>
      <w:r w:rsidR="00CA6432" w:rsidRPr="00C34584">
        <w:rPr>
          <w:rFonts w:asciiTheme="minorHAnsi" w:eastAsiaTheme="minorHAnsi" w:hAnsiTheme="minorHAnsi" w:cstheme="minorBidi"/>
          <w:snapToGrid/>
          <w:sz w:val="24"/>
          <w:szCs w:val="22"/>
        </w:rPr>
        <w:t xml:space="preserve">week run-in period </w:t>
      </w:r>
      <w:r w:rsidR="00260475" w:rsidRPr="00C34584">
        <w:rPr>
          <w:rFonts w:asciiTheme="minorHAnsi" w:eastAsiaTheme="minorHAnsi" w:hAnsiTheme="minorHAnsi" w:cstheme="minorBidi"/>
          <w:snapToGrid/>
          <w:sz w:val="24"/>
          <w:szCs w:val="22"/>
        </w:rPr>
        <w:t>during which</w:t>
      </w:r>
      <w:r w:rsidR="00CA6432" w:rsidRPr="00C34584">
        <w:rPr>
          <w:rFonts w:asciiTheme="minorHAnsi" w:eastAsiaTheme="minorHAnsi" w:hAnsiTheme="minorHAnsi" w:cstheme="minorBidi"/>
          <w:snapToGrid/>
          <w:sz w:val="24"/>
          <w:szCs w:val="22"/>
        </w:rPr>
        <w:t xml:space="preserve"> patients remained on current treatment, including omalizumab. At the end of the run-in period, patients commenced treatment with mepolizumab </w:t>
      </w:r>
      <w:r w:rsidR="00154914">
        <w:rPr>
          <w:rFonts w:asciiTheme="minorHAnsi" w:eastAsiaTheme="minorHAnsi" w:hAnsiTheme="minorHAnsi" w:cstheme="minorBidi"/>
          <w:snapToGrid/>
          <w:sz w:val="24"/>
          <w:szCs w:val="22"/>
        </w:rPr>
        <w:t>(</w:t>
      </w:r>
      <w:r w:rsidR="00CA6432" w:rsidRPr="00C34584">
        <w:rPr>
          <w:rFonts w:asciiTheme="minorHAnsi" w:eastAsiaTheme="minorHAnsi" w:hAnsiTheme="minorHAnsi" w:cstheme="minorBidi"/>
          <w:snapToGrid/>
          <w:sz w:val="24"/>
          <w:szCs w:val="22"/>
        </w:rPr>
        <w:t>100 mg sub-cutaneous</w:t>
      </w:r>
      <w:r w:rsidR="00154914">
        <w:rPr>
          <w:rFonts w:asciiTheme="minorHAnsi" w:eastAsiaTheme="minorHAnsi" w:hAnsiTheme="minorHAnsi" w:cstheme="minorBidi"/>
          <w:snapToGrid/>
          <w:sz w:val="24"/>
          <w:szCs w:val="22"/>
        </w:rPr>
        <w:t xml:space="preserve"> every four weeks)</w:t>
      </w:r>
      <w:r w:rsidR="00CA6432" w:rsidRPr="00C34584">
        <w:rPr>
          <w:rFonts w:asciiTheme="minorHAnsi" w:eastAsiaTheme="minorHAnsi" w:hAnsiTheme="minorHAnsi" w:cstheme="minorBidi"/>
          <w:snapToGrid/>
          <w:sz w:val="24"/>
          <w:szCs w:val="22"/>
        </w:rPr>
        <w:t xml:space="preserve">. </w:t>
      </w:r>
      <w:r w:rsidR="00260475" w:rsidRPr="00C34584">
        <w:rPr>
          <w:rFonts w:asciiTheme="minorHAnsi" w:eastAsiaTheme="minorHAnsi" w:hAnsiTheme="minorHAnsi" w:cstheme="minorBidi"/>
          <w:snapToGrid/>
          <w:sz w:val="24"/>
          <w:szCs w:val="22"/>
        </w:rPr>
        <w:t xml:space="preserve">No washout period was used: mepolizumab was commenced </w:t>
      </w:r>
      <w:r w:rsidR="00ED551D">
        <w:rPr>
          <w:rFonts w:asciiTheme="minorHAnsi" w:eastAsiaTheme="minorHAnsi" w:hAnsiTheme="minorHAnsi" w:cstheme="minorBidi"/>
          <w:snapToGrid/>
          <w:sz w:val="24"/>
          <w:szCs w:val="22"/>
        </w:rPr>
        <w:t>one</w:t>
      </w:r>
      <w:r w:rsidR="00260475" w:rsidRPr="00C34584">
        <w:rPr>
          <w:rFonts w:asciiTheme="minorHAnsi" w:eastAsiaTheme="minorHAnsi" w:hAnsiTheme="minorHAnsi" w:cstheme="minorBidi"/>
          <w:snapToGrid/>
          <w:sz w:val="24"/>
          <w:szCs w:val="22"/>
        </w:rPr>
        <w:t xml:space="preserve"> to f</w:t>
      </w:r>
      <w:r w:rsidR="00ED551D">
        <w:rPr>
          <w:rFonts w:asciiTheme="minorHAnsi" w:eastAsiaTheme="minorHAnsi" w:hAnsiTheme="minorHAnsi" w:cstheme="minorBidi"/>
          <w:snapToGrid/>
          <w:sz w:val="24"/>
          <w:szCs w:val="22"/>
        </w:rPr>
        <w:t>ive</w:t>
      </w:r>
      <w:r w:rsidR="00260475" w:rsidRPr="00C34584">
        <w:rPr>
          <w:rFonts w:asciiTheme="minorHAnsi" w:eastAsiaTheme="minorHAnsi" w:hAnsiTheme="minorHAnsi" w:cstheme="minorBidi"/>
          <w:snapToGrid/>
          <w:sz w:val="24"/>
          <w:szCs w:val="22"/>
        </w:rPr>
        <w:t xml:space="preserve"> weeks after the last dose of omalizumab (depending on whether the patient was on the every two–weekly or four-weekly omalizumab dosing regimen). </w:t>
      </w:r>
      <w:r w:rsidR="00CA6432" w:rsidRPr="00C34584">
        <w:rPr>
          <w:rFonts w:asciiTheme="minorHAnsi" w:eastAsiaTheme="minorHAnsi" w:hAnsiTheme="minorHAnsi" w:cstheme="minorBidi"/>
          <w:snapToGrid/>
          <w:sz w:val="24"/>
          <w:szCs w:val="22"/>
        </w:rPr>
        <w:t>Patients continued to receive mepolizumab every four weeks for</w:t>
      </w:r>
      <w:r w:rsidR="005D7D89" w:rsidRPr="00C34584">
        <w:rPr>
          <w:rFonts w:asciiTheme="minorHAnsi" w:eastAsiaTheme="minorHAnsi" w:hAnsiTheme="minorHAnsi" w:cstheme="minorBidi"/>
          <w:snapToGrid/>
          <w:sz w:val="24"/>
          <w:szCs w:val="22"/>
        </w:rPr>
        <w:t xml:space="preserve"> the</w:t>
      </w:r>
      <w:r w:rsidR="00CA6432" w:rsidRPr="00C34584">
        <w:rPr>
          <w:rFonts w:asciiTheme="minorHAnsi" w:eastAsiaTheme="minorHAnsi" w:hAnsiTheme="minorHAnsi" w:cstheme="minorBidi"/>
          <w:snapToGrid/>
          <w:sz w:val="24"/>
          <w:szCs w:val="22"/>
        </w:rPr>
        <w:t xml:space="preserve"> 32 week</w:t>
      </w:r>
      <w:r w:rsidR="005D7D89" w:rsidRPr="00C34584">
        <w:rPr>
          <w:rFonts w:asciiTheme="minorHAnsi" w:eastAsiaTheme="minorHAnsi" w:hAnsiTheme="minorHAnsi" w:cstheme="minorBidi"/>
          <w:snapToGrid/>
          <w:sz w:val="24"/>
          <w:szCs w:val="22"/>
        </w:rPr>
        <w:t xml:space="preserve"> study duration</w:t>
      </w:r>
      <w:r w:rsidR="00CA6432" w:rsidRPr="00C34584">
        <w:rPr>
          <w:rFonts w:asciiTheme="minorHAnsi" w:eastAsiaTheme="minorHAnsi" w:hAnsiTheme="minorHAnsi" w:cstheme="minorBidi"/>
          <w:snapToGrid/>
          <w:sz w:val="24"/>
          <w:szCs w:val="22"/>
        </w:rPr>
        <w:t>.</w:t>
      </w:r>
    </w:p>
    <w:p w:rsidR="00CA6432" w:rsidRPr="00C34584" w:rsidRDefault="00C179A8" w:rsidP="00CA643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Per the study’s </w:t>
      </w:r>
      <w:r w:rsidR="00CA6432" w:rsidRPr="00C34584">
        <w:rPr>
          <w:rFonts w:asciiTheme="minorHAnsi" w:eastAsiaTheme="minorHAnsi" w:hAnsiTheme="minorHAnsi" w:cstheme="minorBidi"/>
          <w:snapToGrid/>
          <w:sz w:val="24"/>
          <w:szCs w:val="22"/>
        </w:rPr>
        <w:t>inclusion criteria</w:t>
      </w:r>
      <w:r w:rsidRPr="00C34584">
        <w:rPr>
          <w:rFonts w:asciiTheme="minorHAnsi" w:eastAsiaTheme="minorHAnsi" w:hAnsiTheme="minorHAnsi" w:cstheme="minorBidi"/>
          <w:snapToGrid/>
          <w:sz w:val="24"/>
          <w:szCs w:val="22"/>
        </w:rPr>
        <w:t>,</w:t>
      </w:r>
      <w:r w:rsidR="00CA6432" w:rsidRPr="00C34584">
        <w:rPr>
          <w:rFonts w:asciiTheme="minorHAnsi" w:eastAsiaTheme="minorHAnsi" w:hAnsiTheme="minorHAnsi" w:cstheme="minorBidi"/>
          <w:snapToGrid/>
          <w:sz w:val="24"/>
          <w:szCs w:val="22"/>
        </w:rPr>
        <w:t xml:space="preserve"> </w:t>
      </w:r>
      <w:r w:rsidR="00260475" w:rsidRPr="00C34584">
        <w:rPr>
          <w:rFonts w:asciiTheme="minorHAnsi" w:eastAsiaTheme="minorHAnsi" w:hAnsiTheme="minorHAnsi" w:cstheme="minorBidi"/>
          <w:snapToGrid/>
          <w:sz w:val="24"/>
          <w:szCs w:val="22"/>
        </w:rPr>
        <w:t>patients were required to have</w:t>
      </w:r>
      <w:r w:rsidR="00CA6432" w:rsidRPr="00C34584">
        <w:rPr>
          <w:rFonts w:asciiTheme="minorHAnsi" w:eastAsiaTheme="minorHAnsi" w:hAnsiTheme="minorHAnsi" w:cstheme="minorBidi"/>
          <w:snapToGrid/>
          <w:sz w:val="24"/>
          <w:szCs w:val="22"/>
        </w:rPr>
        <w:t>:</w:t>
      </w:r>
    </w:p>
    <w:p w:rsidR="00CA6432" w:rsidRPr="00C34584" w:rsidRDefault="00260475" w:rsidP="00CA6432">
      <w:pPr>
        <w:pStyle w:val="ListParagraph"/>
        <w:widowControl/>
        <w:numPr>
          <w:ilvl w:val="0"/>
          <w:numId w:val="2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a</w:t>
      </w:r>
      <w:r w:rsidR="00CA6432" w:rsidRPr="00C34584">
        <w:rPr>
          <w:rFonts w:asciiTheme="minorHAnsi" w:eastAsiaTheme="minorHAnsi" w:hAnsiTheme="minorHAnsi" w:cstheme="minorBidi"/>
          <w:snapToGrid/>
          <w:sz w:val="24"/>
          <w:szCs w:val="22"/>
        </w:rPr>
        <w:t>t least four months of omalizumab treatment prior to Visit 1;</w:t>
      </w:r>
    </w:p>
    <w:p w:rsidR="00CA6432" w:rsidRPr="00C34584" w:rsidRDefault="00260475" w:rsidP="00CA6432">
      <w:pPr>
        <w:pStyle w:val="ListParagraph"/>
        <w:widowControl/>
        <w:numPr>
          <w:ilvl w:val="0"/>
          <w:numId w:val="2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r</w:t>
      </w:r>
      <w:r w:rsidR="00CA6432" w:rsidRPr="00C34584">
        <w:rPr>
          <w:rFonts w:asciiTheme="minorHAnsi" w:eastAsiaTheme="minorHAnsi" w:hAnsiTheme="minorHAnsi" w:cstheme="minorBidi"/>
          <w:snapToGrid/>
          <w:sz w:val="24"/>
          <w:szCs w:val="22"/>
        </w:rPr>
        <w:t>egular high-dose inhaled corticosteroids in the prior 12 months;</w:t>
      </w:r>
    </w:p>
    <w:p w:rsidR="00CA6432" w:rsidRPr="00C34584" w:rsidRDefault="00CA6432" w:rsidP="00CA6432">
      <w:pPr>
        <w:pStyle w:val="ListParagraph"/>
        <w:widowControl/>
        <w:numPr>
          <w:ilvl w:val="0"/>
          <w:numId w:val="2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2 exacerbations requiring treatment with systemic corticosteroids in the prior 12 months;</w:t>
      </w:r>
    </w:p>
    <w:p w:rsidR="00CA6432" w:rsidRPr="00C34584" w:rsidRDefault="005D7D89" w:rsidP="00CA6432">
      <w:pPr>
        <w:pStyle w:val="ListParagraph"/>
        <w:widowControl/>
        <w:numPr>
          <w:ilvl w:val="0"/>
          <w:numId w:val="2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b</w:t>
      </w:r>
      <w:r w:rsidR="00CA6432" w:rsidRPr="00C34584">
        <w:rPr>
          <w:rFonts w:asciiTheme="minorHAnsi" w:eastAsiaTheme="minorHAnsi" w:hAnsiTheme="minorHAnsi" w:cstheme="minorBidi"/>
          <w:snapToGrid/>
          <w:sz w:val="24"/>
          <w:szCs w:val="22"/>
        </w:rPr>
        <w:t>lood eosinophil count of at least 300 cells/µL in the last 12 months, or at 150 cells/µL at the start of the trial; and</w:t>
      </w:r>
    </w:p>
    <w:p w:rsidR="00CA6432" w:rsidRPr="00C34584" w:rsidRDefault="00CA6432" w:rsidP="00CA6432">
      <w:pPr>
        <w:pStyle w:val="ListParagraph"/>
        <w:widowControl/>
        <w:numPr>
          <w:ilvl w:val="0"/>
          <w:numId w:val="2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ACQ-5 score of ≥1.5 at the start of the trial.</w:t>
      </w:r>
    </w:p>
    <w:p w:rsidR="00FB21B3" w:rsidRPr="00C34584" w:rsidRDefault="009F4E46" w:rsidP="00FB21B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The </w:t>
      </w:r>
      <w:r w:rsidR="00A5373B" w:rsidRPr="00C34584">
        <w:rPr>
          <w:rFonts w:asciiTheme="minorHAnsi" w:eastAsiaTheme="minorHAnsi" w:hAnsiTheme="minorHAnsi" w:cstheme="minorBidi"/>
          <w:snapToGrid/>
          <w:sz w:val="24"/>
          <w:szCs w:val="22"/>
        </w:rPr>
        <w:t xml:space="preserve">submission stated the </w:t>
      </w:r>
      <w:r w:rsidR="008F0CF7" w:rsidRPr="00C34584">
        <w:rPr>
          <w:rFonts w:asciiTheme="minorHAnsi" w:eastAsiaTheme="minorHAnsi" w:hAnsiTheme="minorHAnsi" w:cstheme="minorBidi"/>
          <w:snapToGrid/>
          <w:sz w:val="24"/>
          <w:szCs w:val="22"/>
        </w:rPr>
        <w:t xml:space="preserve">inclusion criteria </w:t>
      </w:r>
      <w:r w:rsidR="00CA6432" w:rsidRPr="00C34584">
        <w:rPr>
          <w:rFonts w:asciiTheme="minorHAnsi" w:eastAsiaTheme="minorHAnsi" w:hAnsiTheme="minorHAnsi" w:cstheme="minorBidi"/>
          <w:snapToGrid/>
          <w:sz w:val="24"/>
          <w:szCs w:val="22"/>
        </w:rPr>
        <w:t>were</w:t>
      </w:r>
      <w:r w:rsidR="008F0CF7" w:rsidRPr="00C34584">
        <w:rPr>
          <w:rFonts w:asciiTheme="minorHAnsi" w:eastAsiaTheme="minorHAnsi" w:hAnsiTheme="minorHAnsi" w:cstheme="minorBidi"/>
          <w:snapToGrid/>
          <w:sz w:val="24"/>
          <w:szCs w:val="22"/>
        </w:rPr>
        <w:t xml:space="preserve"> </w:t>
      </w:r>
      <w:r w:rsidR="005D7D89" w:rsidRPr="00C34584">
        <w:rPr>
          <w:rFonts w:asciiTheme="minorHAnsi" w:eastAsiaTheme="minorHAnsi" w:hAnsiTheme="minorHAnsi" w:cstheme="minorBidi"/>
          <w:snapToGrid/>
          <w:sz w:val="24"/>
          <w:szCs w:val="22"/>
        </w:rPr>
        <w:t>representative</w:t>
      </w:r>
      <w:r w:rsidR="00C862B0" w:rsidRPr="00C34584">
        <w:rPr>
          <w:rFonts w:asciiTheme="minorHAnsi" w:eastAsiaTheme="minorHAnsi" w:hAnsiTheme="minorHAnsi" w:cstheme="minorBidi"/>
          <w:snapToGrid/>
          <w:sz w:val="24"/>
          <w:szCs w:val="22"/>
        </w:rPr>
        <w:t xml:space="preserve"> of</w:t>
      </w:r>
      <w:r w:rsidR="008F0CF7" w:rsidRPr="00C34584">
        <w:rPr>
          <w:rFonts w:asciiTheme="minorHAnsi" w:eastAsiaTheme="minorHAnsi" w:hAnsiTheme="minorHAnsi" w:cstheme="minorBidi"/>
          <w:snapToGrid/>
          <w:sz w:val="24"/>
          <w:szCs w:val="22"/>
        </w:rPr>
        <w:t xml:space="preserve"> the current PBS restriction for mepolizumab initiation treatment with respect to </w:t>
      </w:r>
      <w:r w:rsidR="00260475" w:rsidRPr="00C34584">
        <w:rPr>
          <w:rFonts w:asciiTheme="minorHAnsi" w:eastAsiaTheme="minorHAnsi" w:hAnsiTheme="minorHAnsi" w:cstheme="minorBidi"/>
          <w:snapToGrid/>
          <w:sz w:val="24"/>
          <w:szCs w:val="22"/>
        </w:rPr>
        <w:t xml:space="preserve">prior </w:t>
      </w:r>
      <w:r w:rsidR="008F0CF7" w:rsidRPr="00C34584">
        <w:rPr>
          <w:rFonts w:asciiTheme="minorHAnsi" w:eastAsiaTheme="minorHAnsi" w:hAnsiTheme="minorHAnsi" w:cstheme="minorBidi"/>
          <w:snapToGrid/>
          <w:sz w:val="24"/>
          <w:szCs w:val="22"/>
        </w:rPr>
        <w:t>exacerbations, corticosteroid use and eosinophil</w:t>
      </w:r>
      <w:r w:rsidR="00FB21B3" w:rsidRPr="00C34584">
        <w:rPr>
          <w:rFonts w:asciiTheme="minorHAnsi" w:eastAsiaTheme="minorHAnsi" w:hAnsiTheme="minorHAnsi" w:cstheme="minorBidi"/>
          <w:snapToGrid/>
          <w:sz w:val="24"/>
          <w:szCs w:val="22"/>
        </w:rPr>
        <w:t xml:space="preserve"> levels</w:t>
      </w:r>
      <w:r w:rsidR="008F0CF7" w:rsidRPr="00C34584">
        <w:rPr>
          <w:rFonts w:asciiTheme="minorHAnsi" w:eastAsiaTheme="minorHAnsi" w:hAnsiTheme="minorHAnsi" w:cstheme="minorBidi"/>
          <w:snapToGrid/>
          <w:sz w:val="24"/>
          <w:szCs w:val="22"/>
        </w:rPr>
        <w:t>.</w:t>
      </w:r>
      <w:r w:rsidR="00FB21B3" w:rsidRPr="00C34584">
        <w:rPr>
          <w:rFonts w:asciiTheme="minorHAnsi" w:eastAsiaTheme="minorHAnsi" w:hAnsiTheme="minorHAnsi" w:cstheme="minorBidi"/>
          <w:snapToGrid/>
          <w:sz w:val="24"/>
          <w:szCs w:val="22"/>
        </w:rPr>
        <w:t xml:space="preserve"> However, the PBS criteria require an ACQ-5 score of ≥ 2 at initiation</w:t>
      </w:r>
      <w:r w:rsidR="005D7D89" w:rsidRPr="00C34584">
        <w:rPr>
          <w:rFonts w:asciiTheme="minorHAnsi" w:eastAsiaTheme="minorHAnsi" w:hAnsiTheme="minorHAnsi" w:cstheme="minorBidi"/>
          <w:snapToGrid/>
          <w:sz w:val="24"/>
          <w:szCs w:val="22"/>
        </w:rPr>
        <w:t xml:space="preserve"> (i.e. the PBS criteria require patients to have </w:t>
      </w:r>
      <w:r w:rsidR="00FB21B3" w:rsidRPr="00C34584">
        <w:rPr>
          <w:rFonts w:asciiTheme="minorHAnsi" w:eastAsiaTheme="minorHAnsi" w:hAnsiTheme="minorHAnsi" w:cstheme="minorBidi"/>
          <w:snapToGrid/>
          <w:sz w:val="24"/>
          <w:szCs w:val="22"/>
        </w:rPr>
        <w:t>a poorer level of asthma control</w:t>
      </w:r>
      <w:r w:rsidR="005D7D89" w:rsidRPr="00C34584">
        <w:rPr>
          <w:rFonts w:asciiTheme="minorHAnsi" w:eastAsiaTheme="minorHAnsi" w:hAnsiTheme="minorHAnsi" w:cstheme="minorBidi"/>
          <w:snapToGrid/>
          <w:sz w:val="24"/>
          <w:szCs w:val="22"/>
        </w:rPr>
        <w:t>)</w:t>
      </w:r>
      <w:r w:rsidR="00FB21B3" w:rsidRPr="00C34584">
        <w:rPr>
          <w:rFonts w:asciiTheme="minorHAnsi" w:eastAsiaTheme="minorHAnsi" w:hAnsiTheme="minorHAnsi" w:cstheme="minorBidi"/>
          <w:snapToGrid/>
          <w:sz w:val="24"/>
          <w:szCs w:val="22"/>
        </w:rPr>
        <w:t xml:space="preserve">. </w:t>
      </w:r>
      <w:r w:rsidR="008A34BB">
        <w:rPr>
          <w:rFonts w:asciiTheme="minorHAnsi" w:eastAsiaTheme="minorHAnsi" w:hAnsiTheme="minorHAnsi" w:cstheme="minorBidi"/>
          <w:snapToGrid/>
          <w:sz w:val="24"/>
          <w:szCs w:val="22"/>
        </w:rPr>
        <w:t xml:space="preserve">The Pre-PBAC response stated that the mean </w:t>
      </w:r>
      <w:r w:rsidR="008A34BB" w:rsidRPr="00C34584">
        <w:rPr>
          <w:rFonts w:asciiTheme="minorHAnsi" w:eastAsiaTheme="minorHAnsi" w:hAnsiTheme="minorHAnsi" w:cstheme="minorBidi"/>
          <w:snapToGrid/>
          <w:sz w:val="24"/>
          <w:szCs w:val="22"/>
        </w:rPr>
        <w:t>ACQ-5 score</w:t>
      </w:r>
      <w:r w:rsidR="008A34BB">
        <w:rPr>
          <w:rFonts w:asciiTheme="minorHAnsi" w:eastAsiaTheme="minorHAnsi" w:hAnsiTheme="minorHAnsi" w:cstheme="minorBidi"/>
          <w:snapToGrid/>
          <w:sz w:val="24"/>
          <w:szCs w:val="22"/>
        </w:rPr>
        <w:t xml:space="preserve"> at baseline in the OSMO study was 3.19 (standard deviation: 0.94).</w:t>
      </w:r>
    </w:p>
    <w:p w:rsidR="00E51A90" w:rsidRPr="00C34584" w:rsidRDefault="00F27F19" w:rsidP="00E51A90">
      <w:pPr>
        <w:pStyle w:val="ListParagraph"/>
        <w:numPr>
          <w:ilvl w:val="1"/>
          <w:numId w:val="14"/>
        </w:numPr>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The primary endpoint </w:t>
      </w:r>
      <w:r w:rsidR="00FB21B3" w:rsidRPr="00C34584">
        <w:rPr>
          <w:rFonts w:asciiTheme="minorHAnsi" w:eastAsiaTheme="minorHAnsi" w:hAnsiTheme="minorHAnsi" w:cstheme="minorBidi"/>
          <w:snapToGrid/>
          <w:sz w:val="24"/>
          <w:szCs w:val="22"/>
        </w:rPr>
        <w:t xml:space="preserve">of the OSMO study </w:t>
      </w:r>
      <w:r w:rsidRPr="00C34584">
        <w:rPr>
          <w:rFonts w:asciiTheme="minorHAnsi" w:eastAsiaTheme="minorHAnsi" w:hAnsiTheme="minorHAnsi" w:cstheme="minorBidi"/>
          <w:snapToGrid/>
          <w:sz w:val="24"/>
          <w:szCs w:val="22"/>
        </w:rPr>
        <w:t>was mean change from baseline in ACQ-5 score at Week 32, and the secondary endpoints included the f</w:t>
      </w:r>
      <w:r w:rsidR="001267D5" w:rsidRPr="00C34584">
        <w:rPr>
          <w:rFonts w:asciiTheme="minorHAnsi" w:eastAsiaTheme="minorHAnsi" w:hAnsiTheme="minorHAnsi" w:cstheme="minorBidi"/>
          <w:snapToGrid/>
          <w:sz w:val="24"/>
          <w:szCs w:val="22"/>
        </w:rPr>
        <w:t>requency of clinically significant asthma exacerbations</w:t>
      </w:r>
      <w:r w:rsidRPr="00C34584">
        <w:rPr>
          <w:rFonts w:asciiTheme="minorHAnsi" w:eastAsiaTheme="minorHAnsi" w:hAnsiTheme="minorHAnsi" w:cstheme="minorBidi"/>
          <w:snapToGrid/>
          <w:sz w:val="24"/>
          <w:szCs w:val="22"/>
        </w:rPr>
        <w:t>.</w:t>
      </w:r>
      <w:r w:rsidR="00E51A90" w:rsidRPr="00C34584">
        <w:rPr>
          <w:rFonts w:asciiTheme="minorHAnsi" w:eastAsiaTheme="minorHAnsi" w:hAnsiTheme="minorHAnsi" w:cstheme="minorBidi"/>
          <w:snapToGrid/>
          <w:sz w:val="24"/>
          <w:szCs w:val="22"/>
        </w:rPr>
        <w:t xml:space="preserve"> </w:t>
      </w:r>
    </w:p>
    <w:p w:rsidR="003319FC" w:rsidRPr="00C34584" w:rsidRDefault="005D7D89" w:rsidP="00F27F1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34584">
        <w:rPr>
          <w:rFonts w:asciiTheme="minorHAnsi" w:eastAsiaTheme="minorHAnsi" w:hAnsiTheme="minorHAnsi" w:cstheme="minorBidi"/>
          <w:snapToGrid/>
          <w:sz w:val="24"/>
          <w:szCs w:val="22"/>
        </w:rPr>
        <w:t xml:space="preserve">145 patients received at least one dose of mepolizumab and were included in the intention to treat (ITT) population. </w:t>
      </w:r>
      <w:r w:rsidR="003319FC" w:rsidRPr="00C34584">
        <w:rPr>
          <w:rFonts w:asciiTheme="minorHAnsi" w:eastAsiaTheme="minorHAnsi" w:hAnsiTheme="minorHAnsi" w:cstheme="minorBidi"/>
          <w:snapToGrid/>
          <w:sz w:val="24"/>
          <w:szCs w:val="22"/>
        </w:rPr>
        <w:t>The median duration of prior treatment with omalizumab was 30 months (range: 4 to 161 months). At baseline, the mean age of p</w:t>
      </w:r>
      <w:r w:rsidR="00FB21B3" w:rsidRPr="00C34584">
        <w:rPr>
          <w:rFonts w:asciiTheme="minorHAnsi" w:eastAsiaTheme="minorHAnsi" w:hAnsiTheme="minorHAnsi" w:cstheme="minorBidi"/>
          <w:snapToGrid/>
          <w:sz w:val="24"/>
          <w:szCs w:val="22"/>
        </w:rPr>
        <w:t>atients included in OSMO was 54 </w:t>
      </w:r>
      <w:r w:rsidR="003319FC" w:rsidRPr="00C34584">
        <w:rPr>
          <w:rFonts w:asciiTheme="minorHAnsi" w:eastAsiaTheme="minorHAnsi" w:hAnsiTheme="minorHAnsi" w:cstheme="minorBidi"/>
          <w:snapToGrid/>
          <w:sz w:val="24"/>
          <w:szCs w:val="22"/>
        </w:rPr>
        <w:t>years (standard deviation: 14 years), 24% of patients were on regular maintenance oral corticosteroids and the mean number of exacerbations in the previous year was 3.3.</w:t>
      </w:r>
    </w:p>
    <w:p w:rsidR="005A3173" w:rsidRPr="00885CC4" w:rsidRDefault="005A3173" w:rsidP="00937958">
      <w:pPr>
        <w:pStyle w:val="Heading2"/>
        <w:keepLines/>
        <w:spacing w:before="240" w:after="120"/>
        <w:rPr>
          <w:rFonts w:asciiTheme="minorHAnsi" w:eastAsiaTheme="majorEastAsia" w:hAnsiTheme="minorHAnsi" w:cstheme="majorBidi"/>
          <w:sz w:val="28"/>
          <w:szCs w:val="28"/>
          <w:lang w:eastAsia="en-US"/>
        </w:rPr>
      </w:pPr>
      <w:r w:rsidRPr="00885CC4">
        <w:rPr>
          <w:rFonts w:asciiTheme="minorHAnsi" w:eastAsiaTheme="majorEastAsia" w:hAnsiTheme="minorHAnsi" w:cstheme="majorBidi"/>
          <w:sz w:val="28"/>
          <w:szCs w:val="28"/>
          <w:lang w:eastAsia="en-US"/>
        </w:rPr>
        <w:t>Comparative effectiveness</w:t>
      </w:r>
    </w:p>
    <w:p w:rsidR="00E51A90" w:rsidRPr="00C34584" w:rsidRDefault="00E51A90" w:rsidP="00E51A90">
      <w:pPr>
        <w:spacing w:after="120"/>
        <w:rPr>
          <w:rFonts w:asciiTheme="minorHAnsi" w:hAnsiTheme="minorHAnsi"/>
          <w:u w:val="single"/>
        </w:rPr>
      </w:pPr>
      <w:r w:rsidRPr="00C34584">
        <w:rPr>
          <w:rFonts w:asciiTheme="minorHAnsi" w:hAnsiTheme="minorHAnsi"/>
          <w:u w:val="single"/>
        </w:rPr>
        <w:t>Change in ACQ-5 score from baseline</w:t>
      </w:r>
    </w:p>
    <w:p w:rsidR="003C2B55" w:rsidRPr="00C34584" w:rsidRDefault="009B0F67" w:rsidP="003C2B55">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T</w:t>
      </w:r>
      <w:r w:rsidR="009A2ACB" w:rsidRPr="00C34584">
        <w:rPr>
          <w:rFonts w:asciiTheme="minorHAnsi" w:hAnsiTheme="minorHAnsi"/>
          <w:sz w:val="24"/>
          <w:szCs w:val="24"/>
        </w:rPr>
        <w:t xml:space="preserve">he </w:t>
      </w:r>
      <w:r w:rsidR="00FB21B3" w:rsidRPr="00C34584">
        <w:rPr>
          <w:rFonts w:asciiTheme="minorHAnsi" w:hAnsiTheme="minorHAnsi"/>
          <w:sz w:val="24"/>
          <w:szCs w:val="24"/>
        </w:rPr>
        <w:t xml:space="preserve">OSMO </w:t>
      </w:r>
      <w:r w:rsidR="009A2ACB" w:rsidRPr="00C34584">
        <w:rPr>
          <w:rFonts w:asciiTheme="minorHAnsi" w:hAnsiTheme="minorHAnsi"/>
          <w:sz w:val="24"/>
          <w:szCs w:val="24"/>
        </w:rPr>
        <w:t xml:space="preserve">study found </w:t>
      </w:r>
      <w:r w:rsidR="00C179A8" w:rsidRPr="00C34584">
        <w:rPr>
          <w:rFonts w:asciiTheme="minorHAnsi" w:hAnsiTheme="minorHAnsi"/>
          <w:sz w:val="24"/>
          <w:szCs w:val="24"/>
        </w:rPr>
        <w:t xml:space="preserve">that patients treated with mepolizumab (after a direct switch from omalizumab) experienced </w:t>
      </w:r>
      <w:r w:rsidR="009A2ACB" w:rsidRPr="00C34584">
        <w:rPr>
          <w:rFonts w:asciiTheme="minorHAnsi" w:hAnsiTheme="minorHAnsi"/>
          <w:sz w:val="24"/>
          <w:szCs w:val="24"/>
        </w:rPr>
        <w:t xml:space="preserve">an improvement in ACQ-5 score, with a mean change from baseline of -1.45 </w:t>
      </w:r>
      <w:r w:rsidR="00AB4EE9" w:rsidRPr="00C34584">
        <w:rPr>
          <w:rFonts w:asciiTheme="minorHAnsi" w:hAnsiTheme="minorHAnsi"/>
          <w:sz w:val="24"/>
          <w:szCs w:val="24"/>
        </w:rPr>
        <w:t xml:space="preserve">(standard error: 0.01) </w:t>
      </w:r>
      <w:r w:rsidR="009A2ACB" w:rsidRPr="00C34584">
        <w:rPr>
          <w:rFonts w:asciiTheme="minorHAnsi" w:hAnsiTheme="minorHAnsi"/>
          <w:sz w:val="24"/>
          <w:szCs w:val="24"/>
        </w:rPr>
        <w:t>at Week 32.</w:t>
      </w:r>
      <w:r w:rsidR="003C2B55" w:rsidRPr="00C34584">
        <w:rPr>
          <w:rFonts w:asciiTheme="minorHAnsi" w:hAnsiTheme="minorHAnsi"/>
          <w:sz w:val="24"/>
          <w:szCs w:val="24"/>
        </w:rPr>
        <w:t xml:space="preserve"> The submission stated that 77% of patients (111/145) reported an improvement in ACQ-5 score of at least 0.5 points. </w:t>
      </w:r>
      <w:r w:rsidR="00C179A8" w:rsidRPr="00C34584">
        <w:rPr>
          <w:rFonts w:asciiTheme="minorHAnsi" w:eastAsiaTheme="minorHAnsi" w:hAnsiTheme="minorHAnsi" w:cstheme="minorBidi"/>
          <w:snapToGrid/>
          <w:sz w:val="24"/>
          <w:szCs w:val="22"/>
        </w:rPr>
        <w:t xml:space="preserve">As the OSMO study was open label, and the ACQ-5 questionnaire was completed and scored by patients, results of the change in ACQ-5 score had a moderate-to-high risk of bias. </w:t>
      </w:r>
      <w:r w:rsidR="00A60339" w:rsidRPr="00C34584">
        <w:rPr>
          <w:rFonts w:asciiTheme="minorHAnsi" w:eastAsiaTheme="minorHAnsi" w:hAnsiTheme="minorHAnsi" w:cstheme="minorBidi"/>
          <w:snapToGrid/>
          <w:sz w:val="24"/>
          <w:szCs w:val="22"/>
        </w:rPr>
        <w:t>Further, the comparison was versus patients who were poorly controlled at baseline.</w:t>
      </w:r>
    </w:p>
    <w:p w:rsidR="00630B9B" w:rsidRPr="00C34584" w:rsidRDefault="009A2ACB" w:rsidP="00A60339">
      <w:pPr>
        <w:pStyle w:val="ListParagraph"/>
        <w:widowControl/>
        <w:numPr>
          <w:ilvl w:val="1"/>
          <w:numId w:val="14"/>
        </w:numPr>
        <w:spacing w:after="120"/>
        <w:contextualSpacing w:val="0"/>
        <w:rPr>
          <w:rFonts w:asciiTheme="minorHAnsi" w:hAnsiTheme="minorHAnsi"/>
          <w:sz w:val="24"/>
          <w:szCs w:val="24"/>
        </w:rPr>
      </w:pPr>
      <w:r w:rsidRPr="00C34584">
        <w:rPr>
          <w:rFonts w:asciiTheme="minorHAnsi" w:hAnsiTheme="minorHAnsi"/>
          <w:sz w:val="24"/>
          <w:szCs w:val="24"/>
        </w:rPr>
        <w:t xml:space="preserve">As </w:t>
      </w:r>
      <w:r w:rsidR="00630B9B" w:rsidRPr="00C34584">
        <w:rPr>
          <w:rFonts w:asciiTheme="minorHAnsi" w:hAnsiTheme="minorHAnsi"/>
          <w:sz w:val="24"/>
          <w:szCs w:val="24"/>
        </w:rPr>
        <w:t xml:space="preserve">the </w:t>
      </w:r>
      <w:r w:rsidR="003C2B55" w:rsidRPr="00C34584">
        <w:rPr>
          <w:rFonts w:asciiTheme="minorHAnsi" w:hAnsiTheme="minorHAnsi"/>
          <w:sz w:val="24"/>
          <w:szCs w:val="24"/>
        </w:rPr>
        <w:t>OSMO</w:t>
      </w:r>
      <w:r w:rsidRPr="00C34584">
        <w:rPr>
          <w:rFonts w:asciiTheme="minorHAnsi" w:hAnsiTheme="minorHAnsi"/>
          <w:sz w:val="24"/>
          <w:szCs w:val="24"/>
        </w:rPr>
        <w:t xml:space="preserve"> </w:t>
      </w:r>
      <w:r w:rsidR="00630B9B" w:rsidRPr="00C34584">
        <w:rPr>
          <w:rFonts w:asciiTheme="minorHAnsi" w:hAnsiTheme="minorHAnsi"/>
          <w:sz w:val="24"/>
          <w:szCs w:val="24"/>
        </w:rPr>
        <w:t xml:space="preserve">study </w:t>
      </w:r>
      <w:r w:rsidRPr="00C34584">
        <w:rPr>
          <w:rFonts w:asciiTheme="minorHAnsi" w:hAnsiTheme="minorHAnsi"/>
          <w:sz w:val="24"/>
          <w:szCs w:val="24"/>
        </w:rPr>
        <w:t xml:space="preserve">did not include a </w:t>
      </w:r>
      <w:r w:rsidR="003319FC" w:rsidRPr="00C34584">
        <w:rPr>
          <w:rFonts w:asciiTheme="minorHAnsi" w:hAnsiTheme="minorHAnsi"/>
          <w:sz w:val="24"/>
          <w:szCs w:val="24"/>
        </w:rPr>
        <w:t>comparator</w:t>
      </w:r>
      <w:r w:rsidRPr="00C34584">
        <w:rPr>
          <w:rFonts w:asciiTheme="minorHAnsi" w:hAnsiTheme="minorHAnsi"/>
          <w:sz w:val="24"/>
          <w:szCs w:val="24"/>
        </w:rPr>
        <w:t xml:space="preserve"> arm, the </w:t>
      </w:r>
      <w:r w:rsidR="009A5338" w:rsidRPr="00C34584">
        <w:rPr>
          <w:rFonts w:asciiTheme="minorHAnsi" w:hAnsiTheme="minorHAnsi"/>
          <w:sz w:val="24"/>
          <w:szCs w:val="24"/>
        </w:rPr>
        <w:t xml:space="preserve">submission </w:t>
      </w:r>
      <w:r w:rsidR="003319FC" w:rsidRPr="00C34584">
        <w:rPr>
          <w:rFonts w:asciiTheme="minorHAnsi" w:hAnsiTheme="minorHAnsi"/>
          <w:sz w:val="24"/>
          <w:szCs w:val="24"/>
        </w:rPr>
        <w:t xml:space="preserve">performed </w:t>
      </w:r>
      <w:r w:rsidR="00630B9B" w:rsidRPr="00C34584">
        <w:rPr>
          <w:rFonts w:asciiTheme="minorHAnsi" w:hAnsiTheme="minorHAnsi"/>
          <w:sz w:val="24"/>
          <w:szCs w:val="24"/>
        </w:rPr>
        <w:t xml:space="preserve">a number of </w:t>
      </w:r>
      <w:r w:rsidR="003319FC" w:rsidRPr="00C34584">
        <w:rPr>
          <w:rFonts w:asciiTheme="minorHAnsi" w:hAnsiTheme="minorHAnsi"/>
          <w:sz w:val="24"/>
          <w:szCs w:val="24"/>
        </w:rPr>
        <w:t>naïve indirect comparisons</w:t>
      </w:r>
      <w:r w:rsidR="00630B9B" w:rsidRPr="00C34584">
        <w:rPr>
          <w:rFonts w:asciiTheme="minorHAnsi" w:hAnsiTheme="minorHAnsi"/>
          <w:sz w:val="24"/>
          <w:szCs w:val="24"/>
        </w:rPr>
        <w:t xml:space="preserve"> which compared the results from OSMO </w:t>
      </w:r>
      <w:r w:rsidR="00E51A90" w:rsidRPr="00C34584">
        <w:rPr>
          <w:rFonts w:asciiTheme="minorHAnsi" w:hAnsiTheme="minorHAnsi"/>
          <w:sz w:val="24"/>
          <w:szCs w:val="24"/>
        </w:rPr>
        <w:t xml:space="preserve">with the results of the </w:t>
      </w:r>
      <w:r w:rsidR="00A60339" w:rsidRPr="00C34584">
        <w:rPr>
          <w:rFonts w:asciiTheme="minorHAnsi" w:hAnsiTheme="minorHAnsi"/>
          <w:sz w:val="24"/>
          <w:szCs w:val="24"/>
        </w:rPr>
        <w:t xml:space="preserve">double-blind placebo controlled trials </w:t>
      </w:r>
      <w:r w:rsidR="002B7C15" w:rsidRPr="00C34584">
        <w:rPr>
          <w:rFonts w:asciiTheme="minorHAnsi" w:hAnsiTheme="minorHAnsi"/>
          <w:sz w:val="24"/>
          <w:szCs w:val="24"/>
        </w:rPr>
        <w:t xml:space="preserve">that were used in the March and July 2016 mepolizumab submissions, which compared mepolizumab with placebo </w:t>
      </w:r>
      <w:r w:rsidR="00E51A90" w:rsidRPr="00C34584">
        <w:rPr>
          <w:rFonts w:asciiTheme="minorHAnsi" w:hAnsiTheme="minorHAnsi"/>
          <w:sz w:val="24"/>
          <w:szCs w:val="24"/>
        </w:rPr>
        <w:t xml:space="preserve">(MENSA, MUSCA and DREAM). </w:t>
      </w:r>
      <w:r w:rsidR="00AD36C7" w:rsidRPr="00C34584">
        <w:rPr>
          <w:rFonts w:asciiTheme="minorHAnsi" w:hAnsiTheme="minorHAnsi"/>
          <w:sz w:val="24"/>
          <w:szCs w:val="24"/>
        </w:rPr>
        <w:t xml:space="preserve">These trials generally excluded patients who had received omalizumab within 130 days prior to study enrolment. </w:t>
      </w:r>
      <w:r w:rsidR="00E51A90" w:rsidRPr="00C34584">
        <w:rPr>
          <w:rFonts w:asciiTheme="minorHAnsi" w:hAnsiTheme="minorHAnsi"/>
          <w:sz w:val="24"/>
          <w:szCs w:val="24"/>
        </w:rPr>
        <w:t xml:space="preserve">The </w:t>
      </w:r>
      <w:r w:rsidR="00C44232" w:rsidRPr="00C34584">
        <w:rPr>
          <w:rFonts w:asciiTheme="minorHAnsi" w:hAnsiTheme="minorHAnsi"/>
          <w:sz w:val="24"/>
          <w:szCs w:val="24"/>
        </w:rPr>
        <w:t>submission presented naïve indirect</w:t>
      </w:r>
      <w:r w:rsidR="00E51A90" w:rsidRPr="00C34584">
        <w:rPr>
          <w:rFonts w:asciiTheme="minorHAnsi" w:hAnsiTheme="minorHAnsi"/>
          <w:sz w:val="24"/>
          <w:szCs w:val="24"/>
        </w:rPr>
        <w:t xml:space="preserve"> comparisons versus:</w:t>
      </w:r>
      <w:r w:rsidR="00630B9B" w:rsidRPr="00C34584">
        <w:rPr>
          <w:rFonts w:asciiTheme="minorHAnsi" w:hAnsiTheme="minorHAnsi"/>
          <w:sz w:val="24"/>
          <w:szCs w:val="24"/>
        </w:rPr>
        <w:t xml:space="preserve"> </w:t>
      </w:r>
    </w:p>
    <w:p w:rsidR="00630B9B" w:rsidRPr="00C34584" w:rsidRDefault="00E51A90" w:rsidP="002B7C15">
      <w:pPr>
        <w:pStyle w:val="ListParagraph"/>
        <w:widowControl/>
        <w:numPr>
          <w:ilvl w:val="0"/>
          <w:numId w:val="24"/>
        </w:numPr>
        <w:spacing w:after="120"/>
        <w:ind w:hanging="357"/>
        <w:rPr>
          <w:rFonts w:asciiTheme="minorHAnsi" w:hAnsiTheme="minorHAnsi"/>
          <w:sz w:val="24"/>
          <w:szCs w:val="24"/>
        </w:rPr>
      </w:pPr>
      <w:r w:rsidRPr="00C34584">
        <w:rPr>
          <w:rFonts w:asciiTheme="minorHAnsi" w:hAnsiTheme="minorHAnsi"/>
          <w:sz w:val="24"/>
          <w:szCs w:val="24"/>
        </w:rPr>
        <w:t>t</w:t>
      </w:r>
      <w:r w:rsidR="00630B9B" w:rsidRPr="00C34584">
        <w:rPr>
          <w:rFonts w:asciiTheme="minorHAnsi" w:hAnsiTheme="minorHAnsi"/>
          <w:sz w:val="24"/>
          <w:szCs w:val="24"/>
        </w:rPr>
        <w:t>he</w:t>
      </w:r>
      <w:r w:rsidRPr="00C34584">
        <w:rPr>
          <w:rFonts w:asciiTheme="minorHAnsi" w:hAnsiTheme="minorHAnsi"/>
          <w:sz w:val="24"/>
          <w:szCs w:val="24"/>
        </w:rPr>
        <w:t xml:space="preserve"> individual arms of the</w:t>
      </w:r>
      <w:r w:rsidR="00630B9B" w:rsidRPr="00C34584">
        <w:rPr>
          <w:rFonts w:asciiTheme="minorHAnsi" w:hAnsiTheme="minorHAnsi"/>
          <w:sz w:val="24"/>
          <w:szCs w:val="24"/>
        </w:rPr>
        <w:t xml:space="preserve"> MENSA and MUSCA trials, and </w:t>
      </w:r>
    </w:p>
    <w:p w:rsidR="003319FC" w:rsidRPr="00C34584" w:rsidRDefault="00630B9B" w:rsidP="002B7C15">
      <w:pPr>
        <w:pStyle w:val="ListParagraph"/>
        <w:widowControl/>
        <w:numPr>
          <w:ilvl w:val="0"/>
          <w:numId w:val="24"/>
        </w:numPr>
        <w:spacing w:after="120"/>
        <w:ind w:hanging="357"/>
        <w:rPr>
          <w:rFonts w:asciiTheme="minorHAnsi" w:hAnsiTheme="minorHAnsi"/>
          <w:sz w:val="24"/>
          <w:szCs w:val="24"/>
        </w:rPr>
      </w:pPr>
      <w:r w:rsidRPr="00C34584">
        <w:rPr>
          <w:rFonts w:asciiTheme="minorHAnsi" w:hAnsiTheme="minorHAnsi"/>
          <w:sz w:val="24"/>
          <w:szCs w:val="24"/>
        </w:rPr>
        <w:t>meta-analyses of placebo arms</w:t>
      </w:r>
      <w:r w:rsidR="00E51A90" w:rsidRPr="00C34584">
        <w:rPr>
          <w:rFonts w:asciiTheme="minorHAnsi" w:hAnsiTheme="minorHAnsi"/>
          <w:sz w:val="24"/>
          <w:szCs w:val="24"/>
        </w:rPr>
        <w:t>. Two meta-analyses</w:t>
      </w:r>
      <w:r w:rsidRPr="00C34584">
        <w:rPr>
          <w:rFonts w:asciiTheme="minorHAnsi" w:hAnsiTheme="minorHAnsi"/>
          <w:sz w:val="24"/>
          <w:szCs w:val="24"/>
        </w:rPr>
        <w:t xml:space="preserve"> were conducted:</w:t>
      </w:r>
    </w:p>
    <w:p w:rsidR="003319FC" w:rsidRPr="00C34584" w:rsidRDefault="009A2ACB" w:rsidP="002B7C15">
      <w:pPr>
        <w:pStyle w:val="ListParagraph"/>
        <w:widowControl/>
        <w:numPr>
          <w:ilvl w:val="1"/>
          <w:numId w:val="27"/>
        </w:numPr>
        <w:spacing w:after="120"/>
        <w:ind w:hanging="357"/>
        <w:rPr>
          <w:rFonts w:asciiTheme="minorHAnsi" w:hAnsiTheme="minorHAnsi"/>
          <w:sz w:val="24"/>
          <w:szCs w:val="24"/>
        </w:rPr>
      </w:pPr>
      <w:r w:rsidRPr="00C34584">
        <w:rPr>
          <w:rFonts w:asciiTheme="minorHAnsi" w:hAnsiTheme="minorHAnsi"/>
          <w:sz w:val="24"/>
          <w:szCs w:val="24"/>
        </w:rPr>
        <w:t>“Historical placebo effect 1”</w:t>
      </w:r>
      <w:r w:rsidR="003319FC" w:rsidRPr="00C34584">
        <w:rPr>
          <w:rFonts w:asciiTheme="minorHAnsi" w:hAnsiTheme="minorHAnsi"/>
          <w:sz w:val="24"/>
          <w:szCs w:val="24"/>
        </w:rPr>
        <w:t xml:space="preserve"> was</w:t>
      </w:r>
      <w:r w:rsidRPr="00C34584">
        <w:rPr>
          <w:rFonts w:asciiTheme="minorHAnsi" w:hAnsiTheme="minorHAnsi"/>
          <w:sz w:val="24"/>
          <w:szCs w:val="24"/>
        </w:rPr>
        <w:t xml:space="preserve"> </w:t>
      </w:r>
      <w:r w:rsidR="00630B9B" w:rsidRPr="00C34584">
        <w:rPr>
          <w:rFonts w:asciiTheme="minorHAnsi" w:hAnsiTheme="minorHAnsi"/>
          <w:sz w:val="24"/>
          <w:szCs w:val="24"/>
        </w:rPr>
        <w:t xml:space="preserve">based on a </w:t>
      </w:r>
      <w:r w:rsidRPr="00C34584">
        <w:rPr>
          <w:rFonts w:asciiTheme="minorHAnsi" w:hAnsiTheme="minorHAnsi"/>
          <w:sz w:val="24"/>
          <w:szCs w:val="24"/>
        </w:rPr>
        <w:t xml:space="preserve">meta-analysis of </w:t>
      </w:r>
      <w:r w:rsidR="00630B9B" w:rsidRPr="00C34584">
        <w:rPr>
          <w:rFonts w:asciiTheme="minorHAnsi" w:hAnsiTheme="minorHAnsi"/>
          <w:sz w:val="24"/>
          <w:szCs w:val="24"/>
        </w:rPr>
        <w:t xml:space="preserve">the placebo arms of </w:t>
      </w:r>
      <w:r w:rsidRPr="00C34584">
        <w:rPr>
          <w:rFonts w:asciiTheme="minorHAnsi" w:hAnsiTheme="minorHAnsi"/>
          <w:sz w:val="24"/>
          <w:szCs w:val="24"/>
        </w:rPr>
        <w:t>MENSA and DREAM at Week 32</w:t>
      </w:r>
      <w:r w:rsidR="00630B9B" w:rsidRPr="00C34584">
        <w:rPr>
          <w:rFonts w:asciiTheme="minorHAnsi" w:hAnsiTheme="minorHAnsi"/>
          <w:sz w:val="24"/>
          <w:szCs w:val="24"/>
        </w:rPr>
        <w:t>;</w:t>
      </w:r>
      <w:r w:rsidRPr="00C34584">
        <w:rPr>
          <w:rFonts w:asciiTheme="minorHAnsi" w:hAnsiTheme="minorHAnsi"/>
          <w:sz w:val="24"/>
          <w:szCs w:val="24"/>
        </w:rPr>
        <w:t xml:space="preserve"> </w:t>
      </w:r>
    </w:p>
    <w:p w:rsidR="003C2B55" w:rsidRPr="00C34584" w:rsidRDefault="00630B9B" w:rsidP="002B7C15">
      <w:pPr>
        <w:pStyle w:val="ListParagraph"/>
        <w:widowControl/>
        <w:numPr>
          <w:ilvl w:val="1"/>
          <w:numId w:val="27"/>
        </w:numPr>
        <w:spacing w:after="120"/>
        <w:ind w:left="1792" w:hanging="357"/>
        <w:contextualSpacing w:val="0"/>
        <w:rPr>
          <w:rFonts w:asciiTheme="minorHAnsi" w:hAnsiTheme="minorHAnsi"/>
          <w:sz w:val="24"/>
          <w:szCs w:val="24"/>
        </w:rPr>
      </w:pPr>
      <w:r w:rsidRPr="00C34584">
        <w:rPr>
          <w:rFonts w:asciiTheme="minorHAnsi" w:hAnsiTheme="minorHAnsi"/>
          <w:sz w:val="24"/>
          <w:szCs w:val="24"/>
        </w:rPr>
        <w:t>“</w:t>
      </w:r>
      <w:r w:rsidR="009A2ACB" w:rsidRPr="00C34584">
        <w:rPr>
          <w:rFonts w:asciiTheme="minorHAnsi" w:hAnsiTheme="minorHAnsi"/>
          <w:sz w:val="24"/>
          <w:szCs w:val="24"/>
        </w:rPr>
        <w:t xml:space="preserve">Historical placebo effect 2” </w:t>
      </w:r>
      <w:r w:rsidR="003319FC" w:rsidRPr="00C34584">
        <w:rPr>
          <w:rFonts w:asciiTheme="minorHAnsi" w:hAnsiTheme="minorHAnsi"/>
          <w:sz w:val="24"/>
          <w:szCs w:val="24"/>
        </w:rPr>
        <w:t xml:space="preserve">was based on </w:t>
      </w:r>
      <w:r w:rsidRPr="00C34584">
        <w:rPr>
          <w:rFonts w:asciiTheme="minorHAnsi" w:hAnsiTheme="minorHAnsi"/>
          <w:sz w:val="24"/>
          <w:szCs w:val="24"/>
        </w:rPr>
        <w:t xml:space="preserve">a meta-analysis of the placebo arms of MENSA and MUSCA in </w:t>
      </w:r>
      <w:r w:rsidR="003319FC" w:rsidRPr="00C34584">
        <w:rPr>
          <w:rFonts w:asciiTheme="minorHAnsi" w:hAnsiTheme="minorHAnsi"/>
          <w:sz w:val="24"/>
          <w:szCs w:val="24"/>
        </w:rPr>
        <w:t xml:space="preserve">patients with </w:t>
      </w:r>
      <w:r w:rsidR="003319FC" w:rsidRPr="00C34584">
        <w:rPr>
          <w:rFonts w:asciiTheme="minorHAnsi" w:hAnsiTheme="minorHAnsi"/>
          <w:sz w:val="24"/>
          <w:szCs w:val="24"/>
          <w:u w:val="single"/>
        </w:rPr>
        <w:t>prior omalizumab use</w:t>
      </w:r>
      <w:r w:rsidR="009A2ACB" w:rsidRPr="00C34584">
        <w:rPr>
          <w:rFonts w:asciiTheme="minorHAnsi" w:hAnsiTheme="minorHAnsi"/>
          <w:sz w:val="24"/>
          <w:szCs w:val="24"/>
        </w:rPr>
        <w:t>.</w:t>
      </w:r>
      <w:r w:rsidR="00833BD3" w:rsidRPr="00C34584">
        <w:rPr>
          <w:rFonts w:asciiTheme="minorHAnsi" w:hAnsiTheme="minorHAnsi"/>
          <w:sz w:val="24"/>
          <w:szCs w:val="24"/>
        </w:rPr>
        <w:t xml:space="preserve"> </w:t>
      </w:r>
    </w:p>
    <w:p w:rsidR="00682631" w:rsidRPr="00C34584" w:rsidRDefault="00E61C48" w:rsidP="002E4841">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 xml:space="preserve">The results </w:t>
      </w:r>
      <w:r w:rsidR="00E51A90" w:rsidRPr="00C34584">
        <w:rPr>
          <w:rFonts w:asciiTheme="minorHAnsi" w:hAnsiTheme="minorHAnsi"/>
          <w:sz w:val="24"/>
          <w:szCs w:val="24"/>
        </w:rPr>
        <w:t>o</w:t>
      </w:r>
      <w:r w:rsidRPr="00C34584">
        <w:rPr>
          <w:rFonts w:asciiTheme="minorHAnsi" w:hAnsiTheme="minorHAnsi"/>
          <w:sz w:val="24"/>
          <w:szCs w:val="24"/>
        </w:rPr>
        <w:t>f these a</w:t>
      </w:r>
      <w:r w:rsidR="00E836E8" w:rsidRPr="00C34584">
        <w:rPr>
          <w:rFonts w:asciiTheme="minorHAnsi" w:hAnsiTheme="minorHAnsi"/>
          <w:sz w:val="24"/>
          <w:szCs w:val="24"/>
        </w:rPr>
        <w:t>nalyses are presented in Table 2</w:t>
      </w:r>
      <w:r w:rsidRPr="00C34584">
        <w:rPr>
          <w:rFonts w:asciiTheme="minorHAnsi" w:hAnsiTheme="minorHAnsi"/>
          <w:sz w:val="24"/>
          <w:szCs w:val="24"/>
        </w:rPr>
        <w:t>.</w:t>
      </w:r>
    </w:p>
    <w:p w:rsidR="00A904CF" w:rsidRPr="00C34584" w:rsidRDefault="00A904CF" w:rsidP="00A904CF">
      <w:pPr>
        <w:pStyle w:val="NoSpacing"/>
        <w:keepNext/>
        <w:spacing w:after="60"/>
        <w:rPr>
          <w:rFonts w:ascii="Arial Narrow" w:hAnsi="Arial Narrow"/>
          <w:b/>
          <w:sz w:val="20"/>
        </w:rPr>
      </w:pPr>
      <w:r w:rsidRPr="00C34584">
        <w:rPr>
          <w:rFonts w:ascii="Arial Narrow" w:hAnsi="Arial Narrow"/>
          <w:b/>
          <w:sz w:val="20"/>
        </w:rPr>
        <w:t xml:space="preserve">Table </w:t>
      </w:r>
      <w:r w:rsidR="00E836E8" w:rsidRPr="00C34584">
        <w:rPr>
          <w:rFonts w:ascii="Arial Narrow" w:hAnsi="Arial Narrow"/>
          <w:b/>
          <w:sz w:val="20"/>
        </w:rPr>
        <w:t>2</w:t>
      </w:r>
      <w:r w:rsidRPr="00C34584">
        <w:rPr>
          <w:rFonts w:ascii="Arial Narrow" w:hAnsi="Arial Narrow"/>
          <w:b/>
          <w:sz w:val="20"/>
        </w:rPr>
        <w:t>: Previous ACQ-5 improvements from baseline from double-blind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60"/>
        <w:gridCol w:w="1538"/>
        <w:gridCol w:w="1255"/>
        <w:gridCol w:w="1318"/>
        <w:gridCol w:w="1762"/>
      </w:tblGrid>
      <w:tr w:rsidR="00C44232" w:rsidRPr="00C34584" w:rsidTr="00C44232">
        <w:trPr>
          <w:cantSplit/>
          <w:trHeight w:val="329"/>
          <w:tblHeader/>
        </w:trPr>
        <w:tc>
          <w:tcPr>
            <w:tcW w:w="2655" w:type="pct"/>
            <w:gridSpan w:val="3"/>
            <w:vMerge w:val="restart"/>
          </w:tcPr>
          <w:p w:rsidR="00C44232" w:rsidRPr="00C34584" w:rsidRDefault="00C44232" w:rsidP="002E4841">
            <w:pPr>
              <w:keepNext/>
              <w:spacing w:before="40" w:after="40"/>
              <w:rPr>
                <w:rFonts w:ascii="Arial Narrow" w:hAnsi="Arial Narrow"/>
                <w:b/>
                <w:sz w:val="20"/>
              </w:rPr>
            </w:pPr>
          </w:p>
        </w:tc>
        <w:tc>
          <w:tcPr>
            <w:tcW w:w="679" w:type="pct"/>
          </w:tcPr>
          <w:p w:rsidR="00C44232" w:rsidRPr="00C34584" w:rsidRDefault="00C44232" w:rsidP="00E61C48">
            <w:pPr>
              <w:keepNext/>
              <w:spacing w:before="40" w:after="40"/>
              <w:rPr>
                <w:rFonts w:ascii="Arial Narrow" w:hAnsi="Arial Narrow"/>
                <w:b/>
                <w:sz w:val="20"/>
              </w:rPr>
            </w:pPr>
            <w:r w:rsidRPr="00C34584">
              <w:rPr>
                <w:rFonts w:ascii="Arial Narrow" w:hAnsi="Arial Narrow"/>
                <w:b/>
                <w:sz w:val="20"/>
              </w:rPr>
              <w:t xml:space="preserve">Mepolizumab </w:t>
            </w:r>
          </w:p>
        </w:tc>
        <w:tc>
          <w:tcPr>
            <w:tcW w:w="713" w:type="pct"/>
          </w:tcPr>
          <w:p w:rsidR="00C44232" w:rsidRPr="00C34584" w:rsidRDefault="00C44232" w:rsidP="00E61C48">
            <w:pPr>
              <w:keepNext/>
              <w:spacing w:before="40" w:after="40"/>
              <w:rPr>
                <w:rFonts w:ascii="Arial Narrow" w:hAnsi="Arial Narrow"/>
                <w:b/>
                <w:sz w:val="20"/>
              </w:rPr>
            </w:pPr>
            <w:r w:rsidRPr="00C34584">
              <w:rPr>
                <w:rFonts w:ascii="Arial Narrow" w:hAnsi="Arial Narrow"/>
                <w:b/>
                <w:sz w:val="20"/>
              </w:rPr>
              <w:t>Placebo</w:t>
            </w:r>
          </w:p>
        </w:tc>
        <w:tc>
          <w:tcPr>
            <w:tcW w:w="953" w:type="pct"/>
            <w:vMerge w:val="restart"/>
          </w:tcPr>
          <w:p w:rsidR="00C44232" w:rsidRPr="00C34584" w:rsidRDefault="00C44232" w:rsidP="002E4841">
            <w:pPr>
              <w:keepNext/>
              <w:spacing w:before="40" w:after="40"/>
              <w:rPr>
                <w:rFonts w:ascii="Arial Narrow" w:hAnsi="Arial Narrow"/>
                <w:b/>
                <w:sz w:val="20"/>
              </w:rPr>
            </w:pPr>
          </w:p>
        </w:tc>
      </w:tr>
      <w:tr w:rsidR="00C44232" w:rsidRPr="00C34584" w:rsidTr="00C44232">
        <w:trPr>
          <w:cantSplit/>
          <w:trHeight w:val="329"/>
          <w:tblHeader/>
        </w:trPr>
        <w:tc>
          <w:tcPr>
            <w:tcW w:w="2655" w:type="pct"/>
            <w:gridSpan w:val="3"/>
            <w:vMerge/>
          </w:tcPr>
          <w:p w:rsidR="00C44232" w:rsidRPr="00C34584" w:rsidRDefault="00C44232" w:rsidP="002E4841">
            <w:pPr>
              <w:keepNext/>
              <w:spacing w:before="40" w:after="40"/>
              <w:rPr>
                <w:rFonts w:ascii="Arial Narrow" w:hAnsi="Arial Narrow"/>
                <w:b/>
                <w:sz w:val="20"/>
              </w:rPr>
            </w:pPr>
          </w:p>
        </w:tc>
        <w:tc>
          <w:tcPr>
            <w:tcW w:w="1392" w:type="pct"/>
            <w:gridSpan w:val="2"/>
          </w:tcPr>
          <w:p w:rsidR="00C44232" w:rsidRPr="00C34584" w:rsidRDefault="00C44232" w:rsidP="002E4841">
            <w:pPr>
              <w:keepNext/>
              <w:spacing w:before="40" w:after="40"/>
              <w:rPr>
                <w:rFonts w:ascii="Arial Narrow" w:hAnsi="Arial Narrow"/>
                <w:b/>
                <w:sz w:val="20"/>
              </w:rPr>
            </w:pPr>
            <w:r w:rsidRPr="00C34584">
              <w:rPr>
                <w:rFonts w:ascii="Arial Narrow" w:hAnsi="Arial Narrow"/>
                <w:b/>
                <w:sz w:val="20"/>
              </w:rPr>
              <w:t>LS mean change (SE)</w:t>
            </w:r>
          </w:p>
        </w:tc>
        <w:tc>
          <w:tcPr>
            <w:tcW w:w="953" w:type="pct"/>
            <w:vMerge/>
          </w:tcPr>
          <w:p w:rsidR="00C44232" w:rsidRPr="00C34584" w:rsidRDefault="00C44232" w:rsidP="002E4841">
            <w:pPr>
              <w:keepNext/>
              <w:spacing w:before="40" w:after="40"/>
              <w:rPr>
                <w:rFonts w:ascii="Arial Narrow" w:hAnsi="Arial Narrow"/>
                <w:b/>
                <w:sz w:val="20"/>
              </w:rPr>
            </w:pPr>
          </w:p>
        </w:tc>
      </w:tr>
      <w:tr w:rsidR="00C44232" w:rsidRPr="00C34584" w:rsidTr="00DB1BF8">
        <w:trPr>
          <w:cantSplit/>
          <w:trHeight w:val="329"/>
          <w:tblHeader/>
        </w:trPr>
        <w:tc>
          <w:tcPr>
            <w:tcW w:w="5000" w:type="pct"/>
            <w:gridSpan w:val="6"/>
          </w:tcPr>
          <w:p w:rsidR="00C44232" w:rsidRPr="00C34584" w:rsidRDefault="00C44232" w:rsidP="00DB1BF8">
            <w:pPr>
              <w:keepNext/>
              <w:spacing w:before="40" w:after="40"/>
              <w:rPr>
                <w:rFonts w:ascii="Arial Narrow" w:hAnsi="Arial Narrow"/>
                <w:b/>
                <w:sz w:val="20"/>
              </w:rPr>
            </w:pPr>
            <w:r w:rsidRPr="00C34584">
              <w:rPr>
                <w:rFonts w:ascii="Arial Narrow" w:hAnsi="Arial Narrow"/>
                <w:b/>
                <w:sz w:val="20"/>
              </w:rPr>
              <w:t>OSMO versus results of previous randomised clinical trials of mepolizumab vs placebo</w:t>
            </w:r>
          </w:p>
        </w:tc>
      </w:tr>
      <w:tr w:rsidR="00C44232" w:rsidRPr="00C34584" w:rsidTr="00DB1BF8">
        <w:trPr>
          <w:cantSplit/>
          <w:trHeight w:val="329"/>
          <w:tblHeader/>
        </w:trPr>
        <w:tc>
          <w:tcPr>
            <w:tcW w:w="2655" w:type="pct"/>
            <w:gridSpan w:val="3"/>
          </w:tcPr>
          <w:p w:rsidR="00C44232" w:rsidRPr="00C34584" w:rsidRDefault="00C44232" w:rsidP="00DB1BF8">
            <w:pPr>
              <w:keepNext/>
              <w:spacing w:before="40" w:after="40"/>
              <w:rPr>
                <w:rFonts w:ascii="Arial Narrow" w:hAnsi="Arial Narrow"/>
                <w:b/>
                <w:sz w:val="20"/>
              </w:rPr>
            </w:pPr>
            <w:r w:rsidRPr="00C34584">
              <w:rPr>
                <w:rFonts w:ascii="Arial Narrow" w:hAnsi="Arial Narrow"/>
                <w:sz w:val="20"/>
              </w:rPr>
              <w:t>OSMO (Week 32)</w:t>
            </w:r>
          </w:p>
        </w:tc>
        <w:tc>
          <w:tcPr>
            <w:tcW w:w="679" w:type="pct"/>
          </w:tcPr>
          <w:p w:rsidR="00C44232" w:rsidRPr="00C34584" w:rsidRDefault="00C44232" w:rsidP="00DB1BF8">
            <w:pPr>
              <w:keepNext/>
              <w:spacing w:before="40" w:after="40"/>
              <w:rPr>
                <w:rFonts w:ascii="Arial Narrow" w:hAnsi="Arial Narrow"/>
                <w:b/>
                <w:sz w:val="20"/>
              </w:rPr>
            </w:pPr>
            <w:r w:rsidRPr="00C34584">
              <w:rPr>
                <w:rFonts w:ascii="Arial Narrow" w:hAnsi="Arial Narrow"/>
                <w:sz w:val="20"/>
              </w:rPr>
              <w:t>-1.45</w:t>
            </w:r>
          </w:p>
        </w:tc>
        <w:tc>
          <w:tcPr>
            <w:tcW w:w="713" w:type="pct"/>
          </w:tcPr>
          <w:p w:rsidR="00C44232" w:rsidRPr="00C34584" w:rsidRDefault="00C44232" w:rsidP="00DB1BF8">
            <w:pPr>
              <w:keepNext/>
              <w:spacing w:before="40" w:after="40"/>
              <w:rPr>
                <w:rFonts w:ascii="Arial Narrow" w:hAnsi="Arial Narrow"/>
                <w:b/>
                <w:sz w:val="20"/>
              </w:rPr>
            </w:pPr>
            <w:r w:rsidRPr="00C34584">
              <w:rPr>
                <w:rFonts w:ascii="Arial Narrow" w:hAnsi="Arial Narrow"/>
                <w:sz w:val="20"/>
              </w:rPr>
              <w:t>N/A</w:t>
            </w:r>
          </w:p>
        </w:tc>
        <w:tc>
          <w:tcPr>
            <w:tcW w:w="953" w:type="pct"/>
          </w:tcPr>
          <w:p w:rsidR="00C44232" w:rsidRPr="00C34584" w:rsidRDefault="00C44232" w:rsidP="00DB1BF8">
            <w:pPr>
              <w:keepNext/>
              <w:spacing w:before="40" w:after="40"/>
              <w:rPr>
                <w:rFonts w:ascii="Arial Narrow" w:hAnsi="Arial Narrow"/>
                <w:b/>
                <w:sz w:val="20"/>
              </w:rPr>
            </w:pPr>
          </w:p>
        </w:tc>
      </w:tr>
      <w:tr w:rsidR="00C44232" w:rsidRPr="00C34584" w:rsidTr="00DB1BF8">
        <w:trPr>
          <w:cantSplit/>
          <w:trHeight w:val="329"/>
          <w:tblHeader/>
        </w:trPr>
        <w:tc>
          <w:tcPr>
            <w:tcW w:w="5000" w:type="pct"/>
            <w:gridSpan w:val="6"/>
          </w:tcPr>
          <w:p w:rsidR="00C44232" w:rsidRPr="00C34584" w:rsidRDefault="00C44232" w:rsidP="00E836E8">
            <w:pPr>
              <w:keepNext/>
              <w:spacing w:before="40" w:after="40"/>
              <w:rPr>
                <w:rFonts w:ascii="Arial Narrow" w:hAnsi="Arial Narrow"/>
                <w:b/>
                <w:sz w:val="20"/>
              </w:rPr>
            </w:pPr>
            <w:r w:rsidRPr="00C34584">
              <w:rPr>
                <w:rFonts w:ascii="Arial Narrow" w:hAnsi="Arial Narrow"/>
                <w:b/>
                <w:sz w:val="20"/>
              </w:rPr>
              <w:t xml:space="preserve">Previous </w:t>
            </w:r>
            <w:r w:rsidR="00E836E8" w:rsidRPr="00C34584">
              <w:rPr>
                <w:rFonts w:ascii="Arial Narrow" w:hAnsi="Arial Narrow"/>
                <w:b/>
                <w:sz w:val="20"/>
              </w:rPr>
              <w:t>randomised trials of mepolizumab versus placebo</w:t>
            </w:r>
          </w:p>
        </w:tc>
      </w:tr>
      <w:tr w:rsidR="00C44232" w:rsidRPr="00C34584" w:rsidTr="00DB1BF8">
        <w:trPr>
          <w:cantSplit/>
          <w:trHeight w:val="329"/>
        </w:trPr>
        <w:tc>
          <w:tcPr>
            <w:tcW w:w="2655" w:type="pct"/>
            <w:gridSpan w:val="3"/>
          </w:tcPr>
          <w:p w:rsidR="00C44232" w:rsidRPr="00C34584" w:rsidRDefault="00C44232" w:rsidP="00DB1BF8">
            <w:pPr>
              <w:keepNext/>
              <w:rPr>
                <w:rFonts w:ascii="Arial Narrow" w:hAnsi="Arial Narrow"/>
                <w:sz w:val="20"/>
              </w:rPr>
            </w:pPr>
            <w:r w:rsidRPr="00C34584">
              <w:rPr>
                <w:rFonts w:ascii="Arial Narrow" w:hAnsi="Arial Narrow"/>
                <w:sz w:val="20"/>
              </w:rPr>
              <w:t>MENSA (Week 32): Overall</w:t>
            </w:r>
          </w:p>
        </w:tc>
        <w:tc>
          <w:tcPr>
            <w:tcW w:w="679" w:type="pct"/>
          </w:tcPr>
          <w:p w:rsidR="00C44232" w:rsidRPr="00C34584" w:rsidRDefault="00C44232" w:rsidP="00DB1BF8">
            <w:pPr>
              <w:keepNext/>
              <w:rPr>
                <w:rFonts w:ascii="Arial Narrow" w:hAnsi="Arial Narrow"/>
                <w:sz w:val="20"/>
              </w:rPr>
            </w:pPr>
            <w:r w:rsidRPr="00C34584">
              <w:rPr>
                <w:rFonts w:ascii="Arial Narrow" w:hAnsi="Arial Narrow"/>
                <w:sz w:val="20"/>
              </w:rPr>
              <w:t>-0.94</w:t>
            </w:r>
          </w:p>
        </w:tc>
        <w:tc>
          <w:tcPr>
            <w:tcW w:w="713" w:type="pct"/>
          </w:tcPr>
          <w:p w:rsidR="00C44232" w:rsidRPr="00C34584" w:rsidRDefault="00C44232" w:rsidP="00DB1BF8">
            <w:pPr>
              <w:keepNext/>
              <w:rPr>
                <w:rFonts w:ascii="Arial Narrow" w:hAnsi="Arial Narrow"/>
                <w:sz w:val="20"/>
              </w:rPr>
            </w:pPr>
            <w:r w:rsidRPr="00C34584">
              <w:rPr>
                <w:rFonts w:ascii="Arial Narrow" w:hAnsi="Arial Narrow"/>
                <w:sz w:val="20"/>
              </w:rPr>
              <w:t>-0.50</w:t>
            </w:r>
          </w:p>
        </w:tc>
        <w:tc>
          <w:tcPr>
            <w:tcW w:w="953" w:type="pct"/>
          </w:tcPr>
          <w:p w:rsidR="00C44232" w:rsidRPr="00C34584" w:rsidRDefault="00C44232" w:rsidP="00DB1BF8">
            <w:pPr>
              <w:keepNext/>
              <w:rPr>
                <w:rFonts w:ascii="Arial Narrow" w:hAnsi="Arial Narrow"/>
                <w:sz w:val="20"/>
              </w:rPr>
            </w:pPr>
          </w:p>
        </w:tc>
      </w:tr>
      <w:tr w:rsidR="00C44232" w:rsidRPr="00C34584" w:rsidTr="00DB1BF8">
        <w:trPr>
          <w:cantSplit/>
          <w:trHeight w:val="329"/>
        </w:trPr>
        <w:tc>
          <w:tcPr>
            <w:tcW w:w="2655" w:type="pct"/>
            <w:gridSpan w:val="3"/>
          </w:tcPr>
          <w:p w:rsidR="00C44232" w:rsidRPr="00C34584" w:rsidRDefault="00C44232" w:rsidP="00DB1BF8">
            <w:pPr>
              <w:keepNext/>
              <w:rPr>
                <w:rFonts w:ascii="Arial Narrow" w:hAnsi="Arial Narrow"/>
                <w:sz w:val="20"/>
              </w:rPr>
            </w:pPr>
            <w:r w:rsidRPr="00C34584">
              <w:rPr>
                <w:rFonts w:ascii="Arial Narrow" w:hAnsi="Arial Narrow"/>
                <w:sz w:val="20"/>
              </w:rPr>
              <w:t>MENSA (Week 32): Previous omalizumab subgroup</w:t>
            </w:r>
          </w:p>
        </w:tc>
        <w:tc>
          <w:tcPr>
            <w:tcW w:w="679" w:type="pct"/>
          </w:tcPr>
          <w:p w:rsidR="00C44232" w:rsidRPr="00C34584" w:rsidRDefault="00C44232" w:rsidP="00DB1BF8">
            <w:pPr>
              <w:keepNext/>
              <w:rPr>
                <w:rFonts w:ascii="Arial Narrow" w:hAnsi="Arial Narrow"/>
                <w:sz w:val="20"/>
              </w:rPr>
            </w:pPr>
            <w:r w:rsidRPr="00C34584">
              <w:rPr>
                <w:rFonts w:ascii="Arial Narrow" w:hAnsi="Arial Narrow"/>
                <w:sz w:val="20"/>
              </w:rPr>
              <w:t>-1.16</w:t>
            </w:r>
          </w:p>
        </w:tc>
        <w:tc>
          <w:tcPr>
            <w:tcW w:w="713" w:type="pct"/>
          </w:tcPr>
          <w:p w:rsidR="00C44232" w:rsidRPr="00C34584" w:rsidRDefault="00C44232" w:rsidP="00DB1BF8">
            <w:pPr>
              <w:keepNext/>
              <w:rPr>
                <w:rFonts w:ascii="Arial Narrow" w:hAnsi="Arial Narrow"/>
                <w:sz w:val="20"/>
              </w:rPr>
            </w:pPr>
            <w:r w:rsidRPr="00C34584">
              <w:rPr>
                <w:rFonts w:ascii="Arial Narrow" w:hAnsi="Arial Narrow"/>
                <w:sz w:val="20"/>
              </w:rPr>
              <w:t>-0.29</w:t>
            </w:r>
          </w:p>
        </w:tc>
        <w:tc>
          <w:tcPr>
            <w:tcW w:w="953" w:type="pct"/>
          </w:tcPr>
          <w:p w:rsidR="00C44232" w:rsidRPr="00C34584" w:rsidRDefault="00C44232" w:rsidP="00DB1BF8">
            <w:pPr>
              <w:keepNext/>
              <w:rPr>
                <w:rFonts w:ascii="Arial Narrow" w:hAnsi="Arial Narrow"/>
                <w:sz w:val="20"/>
              </w:rPr>
            </w:pPr>
          </w:p>
        </w:tc>
      </w:tr>
      <w:tr w:rsidR="00C44232" w:rsidRPr="00C34584" w:rsidTr="00C44232">
        <w:trPr>
          <w:cantSplit/>
          <w:trHeight w:val="329"/>
        </w:trPr>
        <w:tc>
          <w:tcPr>
            <w:tcW w:w="2655" w:type="pct"/>
            <w:gridSpan w:val="3"/>
            <w:tcBorders>
              <w:bottom w:val="double" w:sz="4" w:space="0" w:color="auto"/>
            </w:tcBorders>
          </w:tcPr>
          <w:p w:rsidR="00C44232" w:rsidRPr="00C34584" w:rsidRDefault="00C44232" w:rsidP="00DB1BF8">
            <w:pPr>
              <w:keepNext/>
              <w:rPr>
                <w:rFonts w:ascii="Arial Narrow" w:hAnsi="Arial Narrow"/>
                <w:sz w:val="20"/>
              </w:rPr>
            </w:pPr>
            <w:r w:rsidRPr="00C34584">
              <w:rPr>
                <w:rFonts w:ascii="Arial Narrow" w:hAnsi="Arial Narrow"/>
                <w:sz w:val="20"/>
              </w:rPr>
              <w:t>MUSCA Week 24</w:t>
            </w:r>
          </w:p>
        </w:tc>
        <w:tc>
          <w:tcPr>
            <w:tcW w:w="679" w:type="pct"/>
            <w:tcBorders>
              <w:bottom w:val="double" w:sz="4" w:space="0" w:color="auto"/>
            </w:tcBorders>
          </w:tcPr>
          <w:p w:rsidR="00C44232" w:rsidRPr="00C34584" w:rsidRDefault="00C44232" w:rsidP="00DB1BF8">
            <w:pPr>
              <w:keepNext/>
              <w:rPr>
                <w:rFonts w:ascii="Arial Narrow" w:hAnsi="Arial Narrow"/>
                <w:sz w:val="20"/>
              </w:rPr>
            </w:pPr>
            <w:r w:rsidRPr="00C34584">
              <w:rPr>
                <w:rFonts w:ascii="Arial Narrow" w:hAnsi="Arial Narrow"/>
                <w:sz w:val="20"/>
              </w:rPr>
              <w:t>-0.80</w:t>
            </w:r>
          </w:p>
        </w:tc>
        <w:tc>
          <w:tcPr>
            <w:tcW w:w="713" w:type="pct"/>
            <w:tcBorders>
              <w:bottom w:val="double" w:sz="4" w:space="0" w:color="auto"/>
            </w:tcBorders>
          </w:tcPr>
          <w:p w:rsidR="00C44232" w:rsidRPr="00C34584" w:rsidRDefault="00C44232" w:rsidP="00DB1BF8">
            <w:pPr>
              <w:keepNext/>
              <w:rPr>
                <w:rFonts w:ascii="Arial Narrow" w:hAnsi="Arial Narrow"/>
                <w:sz w:val="20"/>
              </w:rPr>
            </w:pPr>
            <w:r w:rsidRPr="00C34584">
              <w:rPr>
                <w:rFonts w:ascii="Arial Narrow" w:hAnsi="Arial Narrow"/>
                <w:sz w:val="20"/>
              </w:rPr>
              <w:t>-0.40</w:t>
            </w:r>
          </w:p>
        </w:tc>
        <w:tc>
          <w:tcPr>
            <w:tcW w:w="953" w:type="pct"/>
            <w:tcBorders>
              <w:bottom w:val="double" w:sz="4" w:space="0" w:color="auto"/>
            </w:tcBorders>
          </w:tcPr>
          <w:p w:rsidR="00C44232" w:rsidRPr="00C34584" w:rsidRDefault="00C44232" w:rsidP="00DB1BF8">
            <w:pPr>
              <w:keepNext/>
              <w:rPr>
                <w:rFonts w:ascii="Arial Narrow" w:hAnsi="Arial Narrow"/>
                <w:sz w:val="20"/>
              </w:rPr>
            </w:pPr>
          </w:p>
        </w:tc>
      </w:tr>
      <w:tr w:rsidR="00C44232" w:rsidRPr="00C34584" w:rsidTr="00C44232">
        <w:trPr>
          <w:cantSplit/>
          <w:trHeight w:val="329"/>
          <w:tblHeader/>
        </w:trPr>
        <w:tc>
          <w:tcPr>
            <w:tcW w:w="5000" w:type="pct"/>
            <w:gridSpan w:val="6"/>
            <w:tcBorders>
              <w:top w:val="double" w:sz="4" w:space="0" w:color="auto"/>
            </w:tcBorders>
          </w:tcPr>
          <w:p w:rsidR="00C44232" w:rsidRPr="00C34584" w:rsidRDefault="00C44232" w:rsidP="002E4841">
            <w:pPr>
              <w:keepNext/>
              <w:spacing w:before="40" w:after="40"/>
              <w:rPr>
                <w:rFonts w:ascii="Arial Narrow" w:hAnsi="Arial Narrow"/>
                <w:b/>
                <w:sz w:val="20"/>
              </w:rPr>
            </w:pPr>
            <w:r w:rsidRPr="00C34584">
              <w:rPr>
                <w:rFonts w:ascii="Arial Narrow" w:hAnsi="Arial Narrow"/>
                <w:b/>
                <w:sz w:val="20"/>
              </w:rPr>
              <w:t>OSMO versus meta-analyses of placebo arms</w:t>
            </w:r>
          </w:p>
        </w:tc>
      </w:tr>
      <w:tr w:rsidR="00C44232" w:rsidRPr="00C34584" w:rsidTr="00E51A90">
        <w:trPr>
          <w:cantSplit/>
          <w:trHeight w:val="329"/>
          <w:tblHeader/>
        </w:trPr>
        <w:tc>
          <w:tcPr>
            <w:tcW w:w="979" w:type="pct"/>
            <w:vMerge w:val="restart"/>
          </w:tcPr>
          <w:p w:rsidR="00C44232" w:rsidRPr="00C34584" w:rsidRDefault="00C44232" w:rsidP="002E4841">
            <w:pPr>
              <w:keepNext/>
              <w:spacing w:before="40" w:after="40"/>
              <w:rPr>
                <w:rFonts w:ascii="Arial Narrow" w:hAnsi="Arial Narrow"/>
                <w:b/>
                <w:sz w:val="20"/>
              </w:rPr>
            </w:pPr>
          </w:p>
        </w:tc>
        <w:tc>
          <w:tcPr>
            <w:tcW w:w="844" w:type="pct"/>
            <w:vMerge w:val="restart"/>
          </w:tcPr>
          <w:p w:rsidR="00C44232" w:rsidRPr="00C34584" w:rsidRDefault="00C44232" w:rsidP="00DB1BF8">
            <w:pPr>
              <w:keepNext/>
              <w:spacing w:before="40" w:after="40"/>
              <w:rPr>
                <w:rFonts w:ascii="Arial Narrow" w:hAnsi="Arial Narrow"/>
                <w:b/>
                <w:sz w:val="20"/>
              </w:rPr>
            </w:pPr>
            <w:r w:rsidRPr="00C34584">
              <w:rPr>
                <w:rFonts w:ascii="Arial Narrow" w:hAnsi="Arial Narrow"/>
                <w:b/>
                <w:sz w:val="20"/>
              </w:rPr>
              <w:t xml:space="preserve">ACQ-5: Baseline </w:t>
            </w:r>
          </w:p>
          <w:p w:rsidR="00C44232" w:rsidRPr="00C34584" w:rsidRDefault="00C44232" w:rsidP="002E4841">
            <w:pPr>
              <w:keepNext/>
              <w:spacing w:before="40" w:after="40"/>
              <w:rPr>
                <w:rFonts w:ascii="Arial Narrow" w:hAnsi="Arial Narrow"/>
                <w:sz w:val="20"/>
              </w:rPr>
            </w:pPr>
            <w:r w:rsidRPr="00C34584">
              <w:rPr>
                <w:rFonts w:ascii="Arial Narrow" w:hAnsi="Arial Narrow"/>
                <w:b/>
                <w:sz w:val="20"/>
              </w:rPr>
              <w:t>LS mean (SE)</w:t>
            </w:r>
          </w:p>
        </w:tc>
        <w:tc>
          <w:tcPr>
            <w:tcW w:w="832" w:type="pct"/>
            <w:vMerge w:val="restart"/>
          </w:tcPr>
          <w:p w:rsidR="00C44232" w:rsidRPr="00C34584" w:rsidRDefault="00C44232" w:rsidP="00DB1BF8">
            <w:pPr>
              <w:keepNext/>
              <w:spacing w:before="40" w:after="40"/>
              <w:rPr>
                <w:rFonts w:ascii="Arial Narrow" w:hAnsi="Arial Narrow"/>
                <w:b/>
                <w:sz w:val="20"/>
              </w:rPr>
            </w:pPr>
            <w:r w:rsidRPr="00C34584">
              <w:rPr>
                <w:rFonts w:ascii="Arial Narrow" w:hAnsi="Arial Narrow"/>
                <w:b/>
                <w:sz w:val="20"/>
              </w:rPr>
              <w:t>ACQ-5: 32-week</w:t>
            </w:r>
          </w:p>
          <w:p w:rsidR="00C44232" w:rsidRPr="00C34584" w:rsidRDefault="00C44232" w:rsidP="002E4841">
            <w:pPr>
              <w:keepNext/>
              <w:spacing w:before="40" w:after="40"/>
              <w:rPr>
                <w:rFonts w:ascii="Arial Narrow" w:hAnsi="Arial Narrow"/>
                <w:sz w:val="20"/>
              </w:rPr>
            </w:pPr>
            <w:r w:rsidRPr="00C34584">
              <w:rPr>
                <w:rFonts w:ascii="Arial Narrow" w:hAnsi="Arial Narrow"/>
                <w:b/>
                <w:sz w:val="20"/>
              </w:rPr>
              <w:t>LS mean (SE)</w:t>
            </w:r>
          </w:p>
        </w:tc>
        <w:tc>
          <w:tcPr>
            <w:tcW w:w="679" w:type="pct"/>
          </w:tcPr>
          <w:p w:rsidR="00C44232" w:rsidRPr="00C34584" w:rsidRDefault="00C44232" w:rsidP="002E4841">
            <w:pPr>
              <w:keepNext/>
              <w:spacing w:before="40" w:after="40"/>
              <w:rPr>
                <w:rFonts w:ascii="Arial Narrow" w:hAnsi="Arial Narrow"/>
                <w:sz w:val="20"/>
              </w:rPr>
            </w:pPr>
            <w:r w:rsidRPr="00C34584">
              <w:rPr>
                <w:rFonts w:ascii="Arial Narrow" w:hAnsi="Arial Narrow"/>
                <w:b/>
                <w:sz w:val="20"/>
              </w:rPr>
              <w:t xml:space="preserve">Mepolizumab </w:t>
            </w:r>
          </w:p>
        </w:tc>
        <w:tc>
          <w:tcPr>
            <w:tcW w:w="713" w:type="pct"/>
          </w:tcPr>
          <w:p w:rsidR="00C44232" w:rsidRPr="00C34584" w:rsidRDefault="00C44232" w:rsidP="002E4841">
            <w:pPr>
              <w:keepNext/>
              <w:spacing w:before="40" w:after="40"/>
              <w:rPr>
                <w:rFonts w:ascii="Arial Narrow" w:hAnsi="Arial Narrow"/>
                <w:sz w:val="20"/>
              </w:rPr>
            </w:pPr>
            <w:r w:rsidRPr="00C34584">
              <w:rPr>
                <w:rFonts w:ascii="Arial Narrow" w:hAnsi="Arial Narrow"/>
                <w:b/>
                <w:sz w:val="20"/>
              </w:rPr>
              <w:t>Placebo</w:t>
            </w:r>
          </w:p>
        </w:tc>
        <w:tc>
          <w:tcPr>
            <w:tcW w:w="953" w:type="pct"/>
            <w:vMerge w:val="restart"/>
          </w:tcPr>
          <w:p w:rsidR="00C44232" w:rsidRPr="00C34584" w:rsidRDefault="00C44232" w:rsidP="002E4841">
            <w:pPr>
              <w:keepNext/>
              <w:spacing w:before="40" w:after="40"/>
              <w:rPr>
                <w:rFonts w:ascii="Arial Narrow" w:hAnsi="Arial Narrow"/>
                <w:sz w:val="20"/>
              </w:rPr>
            </w:pPr>
            <w:r w:rsidRPr="00C34584">
              <w:rPr>
                <w:rFonts w:ascii="Arial Narrow" w:hAnsi="Arial Narrow"/>
                <w:b/>
                <w:sz w:val="20"/>
              </w:rPr>
              <w:t>Naïve indirect comparison</w:t>
            </w:r>
          </w:p>
        </w:tc>
      </w:tr>
      <w:tr w:rsidR="00C44232" w:rsidRPr="00C34584" w:rsidTr="00C44232">
        <w:trPr>
          <w:cantSplit/>
          <w:trHeight w:val="329"/>
          <w:tblHeader/>
        </w:trPr>
        <w:tc>
          <w:tcPr>
            <w:tcW w:w="979" w:type="pct"/>
            <w:vMerge/>
          </w:tcPr>
          <w:p w:rsidR="00C44232" w:rsidRPr="00C34584" w:rsidRDefault="00C44232" w:rsidP="002E4841">
            <w:pPr>
              <w:keepNext/>
              <w:spacing w:before="40" w:after="40"/>
              <w:rPr>
                <w:rFonts w:ascii="Arial Narrow" w:hAnsi="Arial Narrow"/>
                <w:b/>
                <w:sz w:val="20"/>
              </w:rPr>
            </w:pPr>
          </w:p>
        </w:tc>
        <w:tc>
          <w:tcPr>
            <w:tcW w:w="844" w:type="pct"/>
            <w:vMerge/>
          </w:tcPr>
          <w:p w:rsidR="00C44232" w:rsidRPr="00C34584" w:rsidRDefault="00C44232" w:rsidP="002E4841">
            <w:pPr>
              <w:keepNext/>
              <w:spacing w:before="40" w:after="40"/>
              <w:rPr>
                <w:rFonts w:ascii="Arial Narrow" w:hAnsi="Arial Narrow"/>
                <w:sz w:val="20"/>
              </w:rPr>
            </w:pPr>
          </w:p>
        </w:tc>
        <w:tc>
          <w:tcPr>
            <w:tcW w:w="832" w:type="pct"/>
            <w:vMerge/>
          </w:tcPr>
          <w:p w:rsidR="00C44232" w:rsidRPr="00C34584" w:rsidRDefault="00C44232" w:rsidP="002E4841">
            <w:pPr>
              <w:keepNext/>
              <w:spacing w:before="40" w:after="40"/>
              <w:rPr>
                <w:rFonts w:ascii="Arial Narrow" w:hAnsi="Arial Narrow"/>
                <w:sz w:val="20"/>
              </w:rPr>
            </w:pPr>
          </w:p>
        </w:tc>
        <w:tc>
          <w:tcPr>
            <w:tcW w:w="1392" w:type="pct"/>
            <w:gridSpan w:val="2"/>
          </w:tcPr>
          <w:p w:rsidR="00C44232" w:rsidRPr="00C34584" w:rsidRDefault="00C44232" w:rsidP="002E4841">
            <w:pPr>
              <w:keepNext/>
              <w:spacing w:before="40" w:after="40"/>
              <w:rPr>
                <w:rFonts w:ascii="Arial Narrow" w:hAnsi="Arial Narrow"/>
                <w:sz w:val="20"/>
              </w:rPr>
            </w:pPr>
          </w:p>
        </w:tc>
        <w:tc>
          <w:tcPr>
            <w:tcW w:w="953" w:type="pct"/>
            <w:vMerge/>
          </w:tcPr>
          <w:p w:rsidR="00C44232" w:rsidRPr="00C34584" w:rsidRDefault="00C44232" w:rsidP="002E4841">
            <w:pPr>
              <w:keepNext/>
              <w:spacing w:before="40" w:after="40"/>
              <w:rPr>
                <w:rFonts w:ascii="Arial Narrow" w:hAnsi="Arial Narrow"/>
                <w:sz w:val="20"/>
              </w:rPr>
            </w:pPr>
          </w:p>
        </w:tc>
      </w:tr>
      <w:tr w:rsidR="00C44232" w:rsidRPr="00C34584" w:rsidTr="00E51A90">
        <w:trPr>
          <w:cantSplit/>
          <w:trHeight w:val="329"/>
          <w:tblHeader/>
        </w:trPr>
        <w:tc>
          <w:tcPr>
            <w:tcW w:w="979" w:type="pct"/>
          </w:tcPr>
          <w:p w:rsidR="00C44232" w:rsidRPr="00C34584" w:rsidRDefault="00C44232" w:rsidP="002E4841">
            <w:pPr>
              <w:keepNext/>
              <w:spacing w:before="40" w:after="40"/>
              <w:rPr>
                <w:rFonts w:ascii="Arial Narrow" w:hAnsi="Arial Narrow"/>
                <w:b/>
                <w:sz w:val="20"/>
              </w:rPr>
            </w:pPr>
            <w:r w:rsidRPr="00C34584">
              <w:rPr>
                <w:rFonts w:ascii="Arial Narrow" w:hAnsi="Arial Narrow"/>
                <w:b/>
                <w:sz w:val="20"/>
              </w:rPr>
              <w:t>OSMO (32 weeks)</w:t>
            </w:r>
          </w:p>
        </w:tc>
        <w:tc>
          <w:tcPr>
            <w:tcW w:w="844" w:type="pct"/>
          </w:tcPr>
          <w:p w:rsidR="00C44232" w:rsidRPr="00C34584" w:rsidRDefault="00C44232" w:rsidP="002E4841">
            <w:pPr>
              <w:keepNext/>
              <w:spacing w:before="40" w:after="40"/>
              <w:rPr>
                <w:rFonts w:ascii="Arial Narrow" w:hAnsi="Arial Narrow"/>
                <w:sz w:val="20"/>
              </w:rPr>
            </w:pPr>
            <w:r w:rsidRPr="00C34584">
              <w:rPr>
                <w:rFonts w:ascii="Arial Narrow" w:hAnsi="Arial Narrow"/>
                <w:sz w:val="20"/>
              </w:rPr>
              <w:t>3.20 (0.076)</w:t>
            </w:r>
          </w:p>
        </w:tc>
        <w:tc>
          <w:tcPr>
            <w:tcW w:w="832" w:type="pct"/>
          </w:tcPr>
          <w:p w:rsidR="00C44232" w:rsidRPr="00C34584" w:rsidRDefault="00C44232" w:rsidP="002E4841">
            <w:pPr>
              <w:keepNext/>
              <w:spacing w:before="40" w:after="40"/>
              <w:rPr>
                <w:rFonts w:ascii="Arial Narrow" w:hAnsi="Arial Narrow"/>
                <w:sz w:val="20"/>
              </w:rPr>
            </w:pPr>
            <w:r w:rsidRPr="00C34584">
              <w:rPr>
                <w:rFonts w:ascii="Arial Narrow" w:hAnsi="Arial Narrow"/>
                <w:sz w:val="20"/>
              </w:rPr>
              <w:t>1.75 (0.096)</w:t>
            </w:r>
          </w:p>
        </w:tc>
        <w:tc>
          <w:tcPr>
            <w:tcW w:w="679" w:type="pct"/>
          </w:tcPr>
          <w:p w:rsidR="00C44232" w:rsidRPr="00C34584" w:rsidRDefault="00C44232" w:rsidP="002E4841">
            <w:pPr>
              <w:keepNext/>
              <w:spacing w:before="40" w:after="40"/>
              <w:rPr>
                <w:rFonts w:ascii="Arial Narrow" w:hAnsi="Arial Narrow"/>
                <w:sz w:val="20"/>
              </w:rPr>
            </w:pPr>
            <w:r w:rsidRPr="00C34584">
              <w:rPr>
                <w:rFonts w:ascii="Arial Narrow" w:hAnsi="Arial Narrow"/>
                <w:sz w:val="20"/>
              </w:rPr>
              <w:t>-1.45 (0.107)</w:t>
            </w:r>
          </w:p>
        </w:tc>
        <w:tc>
          <w:tcPr>
            <w:tcW w:w="713" w:type="pct"/>
          </w:tcPr>
          <w:p w:rsidR="00C44232" w:rsidRPr="00C34584" w:rsidRDefault="00C44232" w:rsidP="002E4841">
            <w:pPr>
              <w:keepNext/>
              <w:spacing w:before="40" w:after="40"/>
              <w:rPr>
                <w:rFonts w:ascii="Arial Narrow" w:hAnsi="Arial Narrow"/>
                <w:sz w:val="20"/>
              </w:rPr>
            </w:pPr>
          </w:p>
        </w:tc>
        <w:tc>
          <w:tcPr>
            <w:tcW w:w="953" w:type="pct"/>
          </w:tcPr>
          <w:p w:rsidR="00C44232" w:rsidRPr="00C34584" w:rsidRDefault="00C44232" w:rsidP="002E4841">
            <w:pPr>
              <w:keepNext/>
              <w:spacing w:before="40" w:after="40"/>
              <w:rPr>
                <w:rFonts w:ascii="Arial Narrow" w:hAnsi="Arial Narrow"/>
                <w:sz w:val="20"/>
              </w:rPr>
            </w:pPr>
          </w:p>
        </w:tc>
      </w:tr>
      <w:tr w:rsidR="00C44232" w:rsidRPr="00C34584" w:rsidTr="00E51A90">
        <w:trPr>
          <w:cantSplit/>
          <w:trHeight w:val="329"/>
          <w:tblHeader/>
        </w:trPr>
        <w:tc>
          <w:tcPr>
            <w:tcW w:w="979" w:type="pct"/>
          </w:tcPr>
          <w:p w:rsidR="00C44232" w:rsidRPr="00C34584" w:rsidRDefault="00C44232" w:rsidP="00E51A90">
            <w:pPr>
              <w:keepNext/>
              <w:spacing w:before="40" w:after="40"/>
              <w:rPr>
                <w:rFonts w:ascii="Arial Narrow" w:hAnsi="Arial Narrow"/>
                <w:b/>
                <w:sz w:val="20"/>
              </w:rPr>
            </w:pPr>
            <w:r w:rsidRPr="00C34584">
              <w:rPr>
                <w:rFonts w:ascii="Arial Narrow" w:hAnsi="Arial Narrow"/>
                <w:b/>
                <w:sz w:val="20"/>
              </w:rPr>
              <w:t>Historical placebo 1</w:t>
            </w:r>
          </w:p>
        </w:tc>
        <w:tc>
          <w:tcPr>
            <w:tcW w:w="844" w:type="pct"/>
          </w:tcPr>
          <w:p w:rsidR="00C44232" w:rsidRPr="00C34584" w:rsidRDefault="00C44232" w:rsidP="002E4841">
            <w:pPr>
              <w:keepNext/>
              <w:spacing w:before="40" w:after="40"/>
              <w:rPr>
                <w:rFonts w:ascii="Arial Narrow" w:hAnsi="Arial Narrow"/>
                <w:sz w:val="20"/>
              </w:rPr>
            </w:pPr>
          </w:p>
        </w:tc>
        <w:tc>
          <w:tcPr>
            <w:tcW w:w="832" w:type="pct"/>
          </w:tcPr>
          <w:p w:rsidR="00C44232" w:rsidRPr="00C34584" w:rsidRDefault="00C44232" w:rsidP="002E4841">
            <w:pPr>
              <w:keepNext/>
              <w:spacing w:before="40" w:after="40"/>
              <w:rPr>
                <w:rFonts w:ascii="Arial Narrow" w:hAnsi="Arial Narrow"/>
                <w:sz w:val="20"/>
              </w:rPr>
            </w:pPr>
          </w:p>
        </w:tc>
        <w:tc>
          <w:tcPr>
            <w:tcW w:w="679" w:type="pct"/>
          </w:tcPr>
          <w:p w:rsidR="00C44232" w:rsidRPr="00C34584" w:rsidRDefault="00C44232" w:rsidP="002E4841">
            <w:pPr>
              <w:keepNext/>
              <w:spacing w:before="40" w:after="40"/>
              <w:rPr>
                <w:rFonts w:ascii="Arial Narrow" w:hAnsi="Arial Narrow"/>
                <w:sz w:val="20"/>
              </w:rPr>
            </w:pPr>
          </w:p>
        </w:tc>
        <w:tc>
          <w:tcPr>
            <w:tcW w:w="713" w:type="pct"/>
          </w:tcPr>
          <w:p w:rsidR="00C44232" w:rsidRPr="00C34584" w:rsidRDefault="00C44232" w:rsidP="002E4841">
            <w:pPr>
              <w:keepNext/>
              <w:spacing w:before="40" w:after="40"/>
              <w:rPr>
                <w:rFonts w:ascii="Arial Narrow" w:hAnsi="Arial Narrow"/>
                <w:sz w:val="20"/>
              </w:rPr>
            </w:pPr>
            <w:r w:rsidRPr="00C34584">
              <w:rPr>
                <w:rFonts w:ascii="Arial Narrow" w:hAnsi="Arial Narrow"/>
                <w:sz w:val="20"/>
              </w:rPr>
              <w:t>-0.55 (0.05)</w:t>
            </w:r>
          </w:p>
        </w:tc>
        <w:tc>
          <w:tcPr>
            <w:tcW w:w="953" w:type="pct"/>
          </w:tcPr>
          <w:p w:rsidR="00C44232" w:rsidRPr="00C34584" w:rsidRDefault="00C44232" w:rsidP="002E4841">
            <w:pPr>
              <w:keepNext/>
              <w:spacing w:before="40" w:after="40"/>
              <w:rPr>
                <w:rFonts w:ascii="Arial Narrow" w:hAnsi="Arial Narrow"/>
                <w:sz w:val="20"/>
              </w:rPr>
            </w:pPr>
            <w:r w:rsidRPr="00C34584">
              <w:rPr>
                <w:rFonts w:ascii="Arial Narrow" w:hAnsi="Arial Narrow"/>
                <w:sz w:val="20"/>
              </w:rPr>
              <w:t>-0.90 (-1.13, -0.66)</w:t>
            </w:r>
          </w:p>
        </w:tc>
      </w:tr>
      <w:tr w:rsidR="00C44232" w:rsidRPr="00C34584" w:rsidTr="00E51A90">
        <w:trPr>
          <w:cantSplit/>
          <w:trHeight w:val="329"/>
          <w:tblHeader/>
        </w:trPr>
        <w:tc>
          <w:tcPr>
            <w:tcW w:w="979" w:type="pct"/>
          </w:tcPr>
          <w:p w:rsidR="00C44232" w:rsidRPr="00C34584" w:rsidRDefault="00C44232" w:rsidP="00E51A90">
            <w:pPr>
              <w:keepNext/>
              <w:spacing w:before="40" w:after="40"/>
              <w:rPr>
                <w:rFonts w:ascii="Arial Narrow" w:hAnsi="Arial Narrow"/>
                <w:b/>
                <w:sz w:val="20"/>
              </w:rPr>
            </w:pPr>
            <w:r w:rsidRPr="00C34584">
              <w:rPr>
                <w:rFonts w:ascii="Arial Narrow" w:hAnsi="Arial Narrow"/>
                <w:b/>
                <w:sz w:val="20"/>
              </w:rPr>
              <w:t>Historical placebo 2</w:t>
            </w:r>
          </w:p>
        </w:tc>
        <w:tc>
          <w:tcPr>
            <w:tcW w:w="844" w:type="pct"/>
          </w:tcPr>
          <w:p w:rsidR="00C44232" w:rsidRPr="00C34584" w:rsidRDefault="00C44232" w:rsidP="002E4841">
            <w:pPr>
              <w:keepNext/>
              <w:spacing w:before="40" w:after="40"/>
              <w:rPr>
                <w:rFonts w:ascii="Arial Narrow" w:hAnsi="Arial Narrow"/>
                <w:sz w:val="20"/>
              </w:rPr>
            </w:pPr>
          </w:p>
        </w:tc>
        <w:tc>
          <w:tcPr>
            <w:tcW w:w="832" w:type="pct"/>
          </w:tcPr>
          <w:p w:rsidR="00C44232" w:rsidRPr="00C34584" w:rsidRDefault="00C44232" w:rsidP="002E4841">
            <w:pPr>
              <w:keepNext/>
              <w:spacing w:before="40" w:after="40"/>
              <w:rPr>
                <w:rFonts w:ascii="Arial Narrow" w:hAnsi="Arial Narrow"/>
                <w:sz w:val="20"/>
              </w:rPr>
            </w:pPr>
          </w:p>
        </w:tc>
        <w:tc>
          <w:tcPr>
            <w:tcW w:w="679" w:type="pct"/>
          </w:tcPr>
          <w:p w:rsidR="00C44232" w:rsidRPr="00C34584" w:rsidRDefault="00C44232" w:rsidP="002E4841">
            <w:pPr>
              <w:keepNext/>
              <w:spacing w:before="40" w:after="40"/>
              <w:rPr>
                <w:rFonts w:ascii="Arial Narrow" w:hAnsi="Arial Narrow"/>
                <w:sz w:val="20"/>
              </w:rPr>
            </w:pPr>
          </w:p>
        </w:tc>
        <w:tc>
          <w:tcPr>
            <w:tcW w:w="713" w:type="pct"/>
          </w:tcPr>
          <w:p w:rsidR="00C44232" w:rsidRPr="00C34584" w:rsidRDefault="00C44232" w:rsidP="002E4841">
            <w:pPr>
              <w:keepNext/>
              <w:spacing w:before="40" w:after="40"/>
              <w:rPr>
                <w:rFonts w:ascii="Arial Narrow" w:hAnsi="Arial Narrow"/>
                <w:sz w:val="20"/>
              </w:rPr>
            </w:pPr>
            <w:r w:rsidRPr="00C34584">
              <w:rPr>
                <w:rFonts w:ascii="Arial Narrow" w:hAnsi="Arial Narrow"/>
                <w:sz w:val="20"/>
              </w:rPr>
              <w:t>-0.11 (0.14)</w:t>
            </w:r>
          </w:p>
        </w:tc>
        <w:tc>
          <w:tcPr>
            <w:tcW w:w="953" w:type="pct"/>
          </w:tcPr>
          <w:p w:rsidR="00C44232" w:rsidRPr="00C34584" w:rsidRDefault="00C44232" w:rsidP="002E4841">
            <w:pPr>
              <w:keepNext/>
              <w:spacing w:before="40" w:after="40"/>
              <w:rPr>
                <w:rFonts w:ascii="Arial Narrow" w:hAnsi="Arial Narrow"/>
                <w:sz w:val="20"/>
              </w:rPr>
            </w:pPr>
            <w:r w:rsidRPr="00C34584">
              <w:rPr>
                <w:rFonts w:ascii="Arial Narrow" w:hAnsi="Arial Narrow"/>
                <w:sz w:val="20"/>
              </w:rPr>
              <w:t>-1.34 (-1.68, -1.00)</w:t>
            </w:r>
          </w:p>
        </w:tc>
      </w:tr>
    </w:tbl>
    <w:p w:rsidR="00A904CF" w:rsidRPr="00C34584" w:rsidRDefault="00A904CF" w:rsidP="00E51A90">
      <w:pPr>
        <w:pStyle w:val="tablenotes"/>
        <w:keepNext/>
        <w:spacing w:after="240"/>
        <w:rPr>
          <w:rFonts w:ascii="Arial Narrow" w:hAnsi="Arial Narrow"/>
          <w:sz w:val="18"/>
          <w:szCs w:val="18"/>
        </w:rPr>
      </w:pPr>
      <w:r w:rsidRPr="00C34584">
        <w:rPr>
          <w:rFonts w:ascii="Arial Narrow" w:hAnsi="Arial Narrow"/>
          <w:sz w:val="18"/>
          <w:szCs w:val="18"/>
        </w:rPr>
        <w:t xml:space="preserve">Source: </w:t>
      </w:r>
      <w:r w:rsidR="003C2B55" w:rsidRPr="00C34584">
        <w:rPr>
          <w:rFonts w:ascii="Arial Narrow" w:hAnsi="Arial Narrow"/>
          <w:sz w:val="18"/>
          <w:szCs w:val="18"/>
        </w:rPr>
        <w:t>Tables 4 and 5, m</w:t>
      </w:r>
      <w:r w:rsidRPr="00C34584">
        <w:rPr>
          <w:rFonts w:ascii="Arial Narrow" w:hAnsi="Arial Narrow"/>
          <w:sz w:val="18"/>
          <w:szCs w:val="18"/>
        </w:rPr>
        <w:t>inor submission, p</w:t>
      </w:r>
      <w:r w:rsidR="003C2B55" w:rsidRPr="00C34584">
        <w:rPr>
          <w:rFonts w:ascii="Arial Narrow" w:hAnsi="Arial Narrow"/>
          <w:sz w:val="18"/>
          <w:szCs w:val="18"/>
        </w:rPr>
        <w:t>p</w:t>
      </w:r>
      <w:r w:rsidRPr="00C34584">
        <w:rPr>
          <w:rFonts w:ascii="Arial Narrow" w:hAnsi="Arial Narrow"/>
          <w:sz w:val="18"/>
          <w:szCs w:val="18"/>
        </w:rPr>
        <w:t>.1</w:t>
      </w:r>
      <w:r w:rsidR="003C2B55" w:rsidRPr="00C34584">
        <w:rPr>
          <w:rFonts w:ascii="Arial Narrow" w:hAnsi="Arial Narrow"/>
          <w:sz w:val="18"/>
          <w:szCs w:val="18"/>
        </w:rPr>
        <w:t>2-1</w:t>
      </w:r>
      <w:r w:rsidRPr="00C34584">
        <w:rPr>
          <w:rFonts w:ascii="Arial Narrow" w:hAnsi="Arial Narrow"/>
          <w:sz w:val="18"/>
          <w:szCs w:val="18"/>
        </w:rPr>
        <w:t>3</w:t>
      </w:r>
      <w:r w:rsidR="00E51A90" w:rsidRPr="00C34584">
        <w:rPr>
          <w:rFonts w:ascii="Arial Narrow" w:hAnsi="Arial Narrow"/>
          <w:sz w:val="18"/>
          <w:szCs w:val="18"/>
        </w:rPr>
        <w:t xml:space="preserve">; The results from the DREAM trial were not presented as it included an unregistered dose of mepolizumab. </w:t>
      </w:r>
    </w:p>
    <w:p w:rsidR="00D22F30" w:rsidRDefault="00C44232" w:rsidP="00885CC4">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The submission stated the improvement in ACQ-5 score from baseline was consistent with improvements seen in the randomised, double-blind, placebo-controlled trials, MENSA and MUSCA. Further, t</w:t>
      </w:r>
      <w:r w:rsidR="00630B9B" w:rsidRPr="00C34584">
        <w:rPr>
          <w:rFonts w:asciiTheme="minorHAnsi" w:hAnsiTheme="minorHAnsi"/>
          <w:sz w:val="24"/>
          <w:szCs w:val="24"/>
        </w:rPr>
        <w:t xml:space="preserve">he submission stated that the OSMO study found a statistically significant improvement in ACQ-5 score when compared with the historical placebo effects meta-analyses. </w:t>
      </w:r>
    </w:p>
    <w:p w:rsidR="00E51A90" w:rsidRPr="00C34584" w:rsidRDefault="00E51A90" w:rsidP="00E51A90">
      <w:pPr>
        <w:spacing w:after="120"/>
        <w:ind w:left="-11"/>
        <w:rPr>
          <w:rFonts w:asciiTheme="minorHAnsi" w:hAnsiTheme="minorHAnsi"/>
          <w:u w:val="single"/>
        </w:rPr>
      </w:pPr>
      <w:r w:rsidRPr="00C34584">
        <w:rPr>
          <w:rFonts w:asciiTheme="minorHAnsi" w:hAnsiTheme="minorHAnsi"/>
          <w:u w:val="single"/>
        </w:rPr>
        <w:t>Clinically significant asthma exacerbations</w:t>
      </w:r>
    </w:p>
    <w:p w:rsidR="006E6D8E" w:rsidRPr="00C34584" w:rsidRDefault="006E6D8E" w:rsidP="00251C71">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 xml:space="preserve">As shown in Table </w:t>
      </w:r>
      <w:r w:rsidR="00E836E8" w:rsidRPr="00C34584">
        <w:rPr>
          <w:rFonts w:asciiTheme="minorHAnsi" w:hAnsiTheme="minorHAnsi"/>
          <w:sz w:val="24"/>
          <w:szCs w:val="24"/>
        </w:rPr>
        <w:t>3</w:t>
      </w:r>
      <w:r w:rsidRPr="00C34584">
        <w:rPr>
          <w:rFonts w:asciiTheme="minorHAnsi" w:hAnsiTheme="minorHAnsi"/>
          <w:sz w:val="24"/>
          <w:szCs w:val="24"/>
        </w:rPr>
        <w:t>, t</w:t>
      </w:r>
      <w:r w:rsidR="00EF3D1E" w:rsidRPr="00C34584">
        <w:rPr>
          <w:rFonts w:asciiTheme="minorHAnsi" w:hAnsiTheme="minorHAnsi"/>
          <w:sz w:val="24"/>
          <w:szCs w:val="24"/>
        </w:rPr>
        <w:t xml:space="preserve">he </w:t>
      </w:r>
      <w:r w:rsidR="00871FB0" w:rsidRPr="00C34584">
        <w:rPr>
          <w:rFonts w:asciiTheme="minorHAnsi" w:hAnsiTheme="minorHAnsi"/>
          <w:sz w:val="24"/>
          <w:szCs w:val="24"/>
        </w:rPr>
        <w:t xml:space="preserve">submission stated that the rate of </w:t>
      </w:r>
      <w:r w:rsidR="00EF3D1E" w:rsidRPr="00C34584">
        <w:rPr>
          <w:rFonts w:asciiTheme="minorHAnsi" w:hAnsiTheme="minorHAnsi"/>
          <w:sz w:val="24"/>
          <w:szCs w:val="24"/>
        </w:rPr>
        <w:t xml:space="preserve">clinically significant exacerbations </w:t>
      </w:r>
      <w:r w:rsidR="00871FB0" w:rsidRPr="00C34584">
        <w:rPr>
          <w:rFonts w:asciiTheme="minorHAnsi" w:hAnsiTheme="minorHAnsi"/>
          <w:sz w:val="24"/>
          <w:szCs w:val="24"/>
        </w:rPr>
        <w:t>was reduced by</w:t>
      </w:r>
      <w:r w:rsidR="00EF3D1E" w:rsidRPr="00C34584">
        <w:rPr>
          <w:rFonts w:asciiTheme="minorHAnsi" w:hAnsiTheme="minorHAnsi"/>
          <w:sz w:val="24"/>
          <w:szCs w:val="24"/>
        </w:rPr>
        <w:t xml:space="preserve"> 64% </w:t>
      </w:r>
      <w:r w:rsidR="00871FB0" w:rsidRPr="00C34584">
        <w:rPr>
          <w:rFonts w:asciiTheme="minorHAnsi" w:hAnsiTheme="minorHAnsi"/>
          <w:sz w:val="24"/>
          <w:szCs w:val="24"/>
        </w:rPr>
        <w:t xml:space="preserve">compared with the 12 months prior to screening </w:t>
      </w:r>
      <w:r w:rsidR="0008172F" w:rsidRPr="00C34584">
        <w:rPr>
          <w:rFonts w:asciiTheme="minorHAnsi" w:hAnsiTheme="minorHAnsi"/>
          <w:sz w:val="24"/>
          <w:szCs w:val="24"/>
        </w:rPr>
        <w:t>(rate ratio 0.36 (95% confidence interval 0.28, 0.14)</w:t>
      </w:r>
      <w:r w:rsidR="00871FB0" w:rsidRPr="00C34584">
        <w:rPr>
          <w:rFonts w:asciiTheme="minorHAnsi" w:hAnsiTheme="minorHAnsi"/>
          <w:sz w:val="24"/>
          <w:szCs w:val="24"/>
        </w:rPr>
        <w:t>.</w:t>
      </w:r>
      <w:r w:rsidR="0008172F" w:rsidRPr="00C34584">
        <w:rPr>
          <w:rFonts w:asciiTheme="minorHAnsi" w:hAnsiTheme="minorHAnsi"/>
          <w:sz w:val="24"/>
          <w:szCs w:val="24"/>
        </w:rPr>
        <w:t xml:space="preserve"> </w:t>
      </w:r>
      <w:r w:rsidR="008A34BB">
        <w:rPr>
          <w:rFonts w:asciiTheme="minorHAnsi" w:hAnsiTheme="minorHAnsi"/>
          <w:sz w:val="24"/>
          <w:szCs w:val="24"/>
        </w:rPr>
        <w:t>The pre-PBAC response outlined that a patient’s</w:t>
      </w:r>
      <w:r w:rsidRPr="00C34584">
        <w:rPr>
          <w:rFonts w:asciiTheme="minorHAnsi" w:hAnsiTheme="minorHAnsi"/>
          <w:sz w:val="24"/>
          <w:szCs w:val="24"/>
        </w:rPr>
        <w:t xml:space="preserve"> rate of exacerbations prior to screening were </w:t>
      </w:r>
      <w:r w:rsidR="008A34BB">
        <w:rPr>
          <w:rFonts w:asciiTheme="minorHAnsi" w:hAnsiTheme="minorHAnsi"/>
          <w:sz w:val="24"/>
          <w:szCs w:val="24"/>
        </w:rPr>
        <w:t>confirmed through medical or pharmacy records</w:t>
      </w:r>
      <w:r w:rsidRPr="00C34584">
        <w:rPr>
          <w:rFonts w:asciiTheme="minorHAnsi" w:hAnsiTheme="minorHAnsi"/>
          <w:sz w:val="24"/>
          <w:szCs w:val="24"/>
        </w:rPr>
        <w:t>.</w:t>
      </w:r>
    </w:p>
    <w:p w:rsidR="00A60339" w:rsidRPr="00C34584" w:rsidRDefault="00871FB0" w:rsidP="00A60339">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 xml:space="preserve">The submission </w:t>
      </w:r>
      <w:r w:rsidR="006E6D8E" w:rsidRPr="00C34584">
        <w:rPr>
          <w:rFonts w:asciiTheme="minorHAnsi" w:hAnsiTheme="minorHAnsi"/>
          <w:sz w:val="24"/>
          <w:szCs w:val="24"/>
        </w:rPr>
        <w:t xml:space="preserve">also </w:t>
      </w:r>
      <w:r w:rsidRPr="00C34584">
        <w:rPr>
          <w:rFonts w:asciiTheme="minorHAnsi" w:hAnsiTheme="minorHAnsi"/>
          <w:sz w:val="24"/>
          <w:szCs w:val="24"/>
        </w:rPr>
        <w:t xml:space="preserve">compared the results with those observed in </w:t>
      </w:r>
      <w:r w:rsidR="00E51A90" w:rsidRPr="00C34584">
        <w:rPr>
          <w:rFonts w:asciiTheme="minorHAnsi" w:hAnsiTheme="minorHAnsi"/>
          <w:sz w:val="24"/>
          <w:szCs w:val="24"/>
        </w:rPr>
        <w:t xml:space="preserve">the </w:t>
      </w:r>
      <w:r w:rsidRPr="00C34584">
        <w:rPr>
          <w:rFonts w:asciiTheme="minorHAnsi" w:hAnsiTheme="minorHAnsi"/>
          <w:sz w:val="24"/>
          <w:szCs w:val="24"/>
        </w:rPr>
        <w:t>double-blind placebo controlled trials that had formed the basis of its March and July 2016 submissions</w:t>
      </w:r>
      <w:r w:rsidR="006E6D8E" w:rsidRPr="00C34584">
        <w:rPr>
          <w:rFonts w:asciiTheme="minorHAnsi" w:hAnsiTheme="minorHAnsi"/>
          <w:sz w:val="24"/>
          <w:szCs w:val="24"/>
        </w:rPr>
        <w:t xml:space="preserve"> (as shown in Table </w:t>
      </w:r>
      <w:r w:rsidR="00E836E8" w:rsidRPr="00C34584">
        <w:rPr>
          <w:rFonts w:asciiTheme="minorHAnsi" w:hAnsiTheme="minorHAnsi"/>
          <w:sz w:val="24"/>
          <w:szCs w:val="24"/>
        </w:rPr>
        <w:t>3</w:t>
      </w:r>
      <w:r w:rsidR="006E6D8E" w:rsidRPr="00C34584">
        <w:rPr>
          <w:rFonts w:asciiTheme="minorHAnsi" w:hAnsiTheme="minorHAnsi"/>
          <w:sz w:val="24"/>
          <w:szCs w:val="24"/>
        </w:rPr>
        <w:t>)</w:t>
      </w:r>
      <w:r w:rsidRPr="00C34584">
        <w:rPr>
          <w:rFonts w:asciiTheme="minorHAnsi" w:hAnsiTheme="minorHAnsi"/>
          <w:sz w:val="24"/>
          <w:szCs w:val="24"/>
        </w:rPr>
        <w:t xml:space="preserve">. </w:t>
      </w:r>
    </w:p>
    <w:p w:rsidR="00DE30B1" w:rsidRPr="00C34584" w:rsidRDefault="00DE30B1" w:rsidP="00DE30B1">
      <w:pPr>
        <w:pStyle w:val="NoSpacing"/>
        <w:keepNext/>
        <w:spacing w:after="60"/>
        <w:rPr>
          <w:rFonts w:ascii="Arial Narrow" w:hAnsi="Arial Narrow"/>
          <w:b/>
          <w:sz w:val="20"/>
        </w:rPr>
      </w:pPr>
      <w:r w:rsidRPr="00C34584">
        <w:rPr>
          <w:rFonts w:ascii="Arial Narrow" w:hAnsi="Arial Narrow"/>
          <w:b/>
          <w:sz w:val="20"/>
        </w:rPr>
        <w:t xml:space="preserve">Table </w:t>
      </w:r>
      <w:r w:rsidR="00E836E8" w:rsidRPr="00C34584">
        <w:rPr>
          <w:rFonts w:ascii="Arial Narrow" w:hAnsi="Arial Narrow"/>
          <w:b/>
          <w:sz w:val="20"/>
        </w:rPr>
        <w:t>3</w:t>
      </w:r>
      <w:r w:rsidRPr="00C34584">
        <w:rPr>
          <w:rFonts w:ascii="Arial Narrow" w:hAnsi="Arial Narrow"/>
          <w:b/>
          <w:sz w:val="20"/>
        </w:rPr>
        <w:t>: Exacerbations rates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329"/>
        <w:gridCol w:w="1265"/>
        <w:gridCol w:w="2168"/>
        <w:gridCol w:w="847"/>
        <w:gridCol w:w="1259"/>
      </w:tblGrid>
      <w:tr w:rsidR="000A688D" w:rsidRPr="00C34584" w:rsidTr="009D43E2">
        <w:trPr>
          <w:cantSplit/>
          <w:trHeight w:val="283"/>
        </w:trPr>
        <w:tc>
          <w:tcPr>
            <w:tcW w:w="1285" w:type="pct"/>
          </w:tcPr>
          <w:p w:rsidR="000A688D" w:rsidRPr="00C34584" w:rsidRDefault="000A688D" w:rsidP="009D43E2">
            <w:pPr>
              <w:keepNext/>
              <w:rPr>
                <w:rFonts w:ascii="Arial Narrow" w:hAnsi="Arial Narrow"/>
                <w:sz w:val="20"/>
              </w:rPr>
            </w:pPr>
          </w:p>
        </w:tc>
        <w:tc>
          <w:tcPr>
            <w:tcW w:w="719" w:type="pct"/>
          </w:tcPr>
          <w:p w:rsidR="000A688D" w:rsidRPr="00C34584" w:rsidRDefault="000A688D" w:rsidP="009D43E2">
            <w:pPr>
              <w:keepNext/>
              <w:rPr>
                <w:rFonts w:ascii="Arial Narrow" w:hAnsi="Arial Narrow"/>
                <w:b/>
                <w:sz w:val="20"/>
              </w:rPr>
            </w:pPr>
            <w:r w:rsidRPr="00C34584">
              <w:rPr>
                <w:rFonts w:ascii="Arial Narrow" w:hAnsi="Arial Narrow"/>
                <w:b/>
                <w:sz w:val="20"/>
              </w:rPr>
              <w:t xml:space="preserve">Mepolizumab </w:t>
            </w:r>
          </w:p>
        </w:tc>
        <w:tc>
          <w:tcPr>
            <w:tcW w:w="684" w:type="pct"/>
          </w:tcPr>
          <w:p w:rsidR="000A688D" w:rsidRPr="00C34584" w:rsidRDefault="000A688D" w:rsidP="009D43E2">
            <w:pPr>
              <w:keepNext/>
              <w:rPr>
                <w:rFonts w:ascii="Arial Narrow" w:hAnsi="Arial Narrow"/>
                <w:b/>
                <w:sz w:val="20"/>
              </w:rPr>
            </w:pPr>
            <w:r w:rsidRPr="00C34584">
              <w:rPr>
                <w:rFonts w:ascii="Arial Narrow" w:hAnsi="Arial Narrow"/>
                <w:b/>
                <w:sz w:val="20"/>
              </w:rPr>
              <w:t xml:space="preserve">Pre-mepolizumab </w:t>
            </w:r>
          </w:p>
        </w:tc>
        <w:tc>
          <w:tcPr>
            <w:tcW w:w="1173" w:type="pct"/>
          </w:tcPr>
          <w:p w:rsidR="006E6D8E" w:rsidRPr="00C34584" w:rsidRDefault="000A688D" w:rsidP="009D43E2">
            <w:pPr>
              <w:keepNext/>
              <w:rPr>
                <w:rFonts w:ascii="Arial Narrow" w:hAnsi="Arial Narrow"/>
                <w:b/>
                <w:sz w:val="20"/>
              </w:rPr>
            </w:pPr>
            <w:r w:rsidRPr="00C34584">
              <w:rPr>
                <w:rFonts w:ascii="Arial Narrow" w:hAnsi="Arial Narrow"/>
                <w:b/>
                <w:sz w:val="20"/>
              </w:rPr>
              <w:t>Rate ratio (95% CI)</w:t>
            </w:r>
          </w:p>
          <w:p w:rsidR="000A688D" w:rsidRPr="00C34584" w:rsidRDefault="006E6D8E" w:rsidP="009D43E2">
            <w:pPr>
              <w:keepNext/>
              <w:rPr>
                <w:rFonts w:ascii="Arial Narrow" w:hAnsi="Arial Narrow"/>
                <w:b/>
                <w:sz w:val="20"/>
              </w:rPr>
            </w:pPr>
            <w:r w:rsidRPr="00C34584">
              <w:rPr>
                <w:rFonts w:ascii="Arial Narrow" w:hAnsi="Arial Narrow"/>
                <w:b/>
                <w:sz w:val="20"/>
              </w:rPr>
              <w:t>On vs off mepolizumab</w:t>
            </w:r>
          </w:p>
        </w:tc>
        <w:tc>
          <w:tcPr>
            <w:tcW w:w="458" w:type="pct"/>
          </w:tcPr>
          <w:p w:rsidR="000A688D" w:rsidRPr="00C34584" w:rsidRDefault="000A688D" w:rsidP="009D43E2">
            <w:pPr>
              <w:keepNext/>
              <w:rPr>
                <w:rFonts w:ascii="Arial Narrow" w:hAnsi="Arial Narrow"/>
                <w:b/>
                <w:sz w:val="20"/>
              </w:rPr>
            </w:pPr>
          </w:p>
        </w:tc>
        <w:tc>
          <w:tcPr>
            <w:tcW w:w="680" w:type="pct"/>
          </w:tcPr>
          <w:p w:rsidR="000A688D" w:rsidRPr="00C34584" w:rsidRDefault="000A688D" w:rsidP="009D43E2">
            <w:pPr>
              <w:keepNext/>
              <w:rPr>
                <w:rFonts w:ascii="Arial Narrow" w:hAnsi="Arial Narrow"/>
                <w:b/>
                <w:sz w:val="20"/>
              </w:rPr>
            </w:pPr>
          </w:p>
        </w:tc>
      </w:tr>
      <w:tr w:rsidR="000A688D" w:rsidRPr="00C34584" w:rsidTr="009D43E2">
        <w:trPr>
          <w:cantSplit/>
          <w:trHeight w:val="283"/>
        </w:trPr>
        <w:tc>
          <w:tcPr>
            <w:tcW w:w="5000" w:type="pct"/>
            <w:gridSpan w:val="6"/>
          </w:tcPr>
          <w:p w:rsidR="000A688D" w:rsidRPr="00C34584" w:rsidRDefault="000A688D" w:rsidP="009D43E2">
            <w:pPr>
              <w:keepNext/>
              <w:rPr>
                <w:rFonts w:ascii="Arial Narrow" w:hAnsi="Arial Narrow"/>
                <w:b/>
                <w:sz w:val="20"/>
              </w:rPr>
            </w:pPr>
            <w:r w:rsidRPr="00C34584">
              <w:rPr>
                <w:rFonts w:ascii="Arial Narrow" w:hAnsi="Arial Narrow"/>
                <w:b/>
                <w:sz w:val="20"/>
              </w:rPr>
              <w:t>OSMO study (n = 145)</w:t>
            </w:r>
          </w:p>
        </w:tc>
      </w:tr>
      <w:tr w:rsidR="000A688D" w:rsidRPr="00C34584" w:rsidTr="009D43E2">
        <w:trPr>
          <w:cantSplit/>
          <w:trHeight w:val="283"/>
        </w:trPr>
        <w:tc>
          <w:tcPr>
            <w:tcW w:w="5000" w:type="pct"/>
            <w:gridSpan w:val="6"/>
          </w:tcPr>
          <w:p w:rsidR="000A688D" w:rsidRPr="00C34584" w:rsidRDefault="000A688D" w:rsidP="009D43E2">
            <w:pPr>
              <w:keepNext/>
              <w:rPr>
                <w:rFonts w:ascii="Arial Narrow" w:hAnsi="Arial Narrow"/>
                <w:b/>
                <w:sz w:val="20"/>
              </w:rPr>
            </w:pPr>
            <w:r w:rsidRPr="00C34584">
              <w:rPr>
                <w:rFonts w:ascii="Arial Narrow" w:hAnsi="Arial Narrow"/>
                <w:b/>
                <w:sz w:val="20"/>
              </w:rPr>
              <w:t>Clinically significant exacerbations</w:t>
            </w:r>
          </w:p>
        </w:tc>
      </w:tr>
      <w:tr w:rsidR="000A688D" w:rsidRPr="00C34584" w:rsidTr="009D43E2">
        <w:trPr>
          <w:cantSplit/>
          <w:trHeight w:val="283"/>
        </w:trPr>
        <w:tc>
          <w:tcPr>
            <w:tcW w:w="1285" w:type="pct"/>
          </w:tcPr>
          <w:p w:rsidR="000A688D" w:rsidRPr="00C34584" w:rsidRDefault="000A688D" w:rsidP="009D43E2">
            <w:pPr>
              <w:keepNext/>
              <w:rPr>
                <w:rFonts w:ascii="Arial Narrow" w:hAnsi="Arial Narrow"/>
                <w:sz w:val="20"/>
              </w:rPr>
            </w:pPr>
            <w:r w:rsidRPr="00C34584">
              <w:rPr>
                <w:rFonts w:ascii="Arial Narrow" w:hAnsi="Arial Narrow"/>
                <w:sz w:val="20"/>
              </w:rPr>
              <w:t>Exacerbation rate/year</w:t>
            </w:r>
          </w:p>
        </w:tc>
        <w:tc>
          <w:tcPr>
            <w:tcW w:w="719" w:type="pct"/>
          </w:tcPr>
          <w:p w:rsidR="000A688D" w:rsidRPr="00C34584" w:rsidRDefault="000A688D" w:rsidP="009D43E2">
            <w:pPr>
              <w:keepNext/>
              <w:rPr>
                <w:rFonts w:ascii="Arial Narrow" w:hAnsi="Arial Narrow"/>
                <w:sz w:val="20"/>
              </w:rPr>
            </w:pPr>
            <w:r w:rsidRPr="00C34584">
              <w:rPr>
                <w:rFonts w:ascii="Arial Narrow" w:hAnsi="Arial Narrow"/>
                <w:sz w:val="20"/>
              </w:rPr>
              <w:t>1.18</w:t>
            </w:r>
          </w:p>
        </w:tc>
        <w:tc>
          <w:tcPr>
            <w:tcW w:w="684" w:type="pct"/>
          </w:tcPr>
          <w:p w:rsidR="000A688D" w:rsidRPr="00C34584" w:rsidRDefault="000A688D" w:rsidP="009D43E2">
            <w:pPr>
              <w:keepNext/>
              <w:rPr>
                <w:rFonts w:ascii="Arial Narrow" w:hAnsi="Arial Narrow"/>
                <w:sz w:val="20"/>
              </w:rPr>
            </w:pPr>
            <w:r w:rsidRPr="00C34584">
              <w:rPr>
                <w:rFonts w:ascii="Arial Narrow" w:hAnsi="Arial Narrow"/>
                <w:sz w:val="20"/>
              </w:rPr>
              <w:t>3.26</w:t>
            </w:r>
          </w:p>
        </w:tc>
        <w:tc>
          <w:tcPr>
            <w:tcW w:w="1173" w:type="pct"/>
          </w:tcPr>
          <w:p w:rsidR="000A688D" w:rsidRPr="00C34584" w:rsidRDefault="000A688D" w:rsidP="009D43E2">
            <w:pPr>
              <w:keepNext/>
              <w:rPr>
                <w:rFonts w:ascii="Arial Narrow" w:hAnsi="Arial Narrow"/>
                <w:sz w:val="20"/>
              </w:rPr>
            </w:pPr>
            <w:r w:rsidRPr="00C34584">
              <w:rPr>
                <w:rFonts w:ascii="Arial Narrow" w:hAnsi="Arial Narrow"/>
                <w:sz w:val="20"/>
              </w:rPr>
              <w:t>0.36 (0.28, 0.47)</w:t>
            </w:r>
          </w:p>
        </w:tc>
        <w:tc>
          <w:tcPr>
            <w:tcW w:w="458" w:type="pct"/>
          </w:tcPr>
          <w:p w:rsidR="000A688D" w:rsidRPr="00C34584" w:rsidRDefault="000A688D" w:rsidP="009D43E2">
            <w:pPr>
              <w:keepNext/>
              <w:rPr>
                <w:rFonts w:ascii="Arial Narrow" w:hAnsi="Arial Narrow"/>
                <w:sz w:val="20"/>
              </w:rPr>
            </w:pPr>
          </w:p>
        </w:tc>
        <w:tc>
          <w:tcPr>
            <w:tcW w:w="680" w:type="pct"/>
          </w:tcPr>
          <w:p w:rsidR="000A688D" w:rsidRPr="00C34584" w:rsidRDefault="000A688D" w:rsidP="009D43E2">
            <w:pPr>
              <w:keepNext/>
              <w:rPr>
                <w:rFonts w:ascii="Arial Narrow" w:hAnsi="Arial Narrow"/>
                <w:sz w:val="20"/>
              </w:rPr>
            </w:pPr>
          </w:p>
        </w:tc>
      </w:tr>
      <w:tr w:rsidR="000A688D" w:rsidRPr="00C34584" w:rsidTr="009D43E2">
        <w:trPr>
          <w:cantSplit/>
          <w:trHeight w:val="283"/>
        </w:trPr>
        <w:tc>
          <w:tcPr>
            <w:tcW w:w="5000" w:type="pct"/>
            <w:gridSpan w:val="6"/>
          </w:tcPr>
          <w:p w:rsidR="000A688D" w:rsidRPr="00C34584" w:rsidRDefault="000A688D" w:rsidP="009D43E2">
            <w:pPr>
              <w:keepNext/>
              <w:rPr>
                <w:rFonts w:ascii="Arial Narrow" w:hAnsi="Arial Narrow"/>
                <w:b/>
                <w:sz w:val="20"/>
              </w:rPr>
            </w:pPr>
            <w:r w:rsidRPr="00C34584">
              <w:rPr>
                <w:rFonts w:ascii="Arial Narrow" w:hAnsi="Arial Narrow"/>
                <w:b/>
                <w:sz w:val="20"/>
              </w:rPr>
              <w:t>Exacerbations requiring an ER visit or hospitalisation</w:t>
            </w:r>
          </w:p>
        </w:tc>
      </w:tr>
      <w:tr w:rsidR="000A688D" w:rsidRPr="00C34584" w:rsidTr="009D43E2">
        <w:trPr>
          <w:cantSplit/>
          <w:trHeight w:val="283"/>
        </w:trPr>
        <w:tc>
          <w:tcPr>
            <w:tcW w:w="1285" w:type="pct"/>
          </w:tcPr>
          <w:p w:rsidR="000A688D" w:rsidRPr="00C34584" w:rsidRDefault="000A688D" w:rsidP="009D43E2">
            <w:pPr>
              <w:keepNext/>
              <w:rPr>
                <w:rFonts w:ascii="Arial Narrow" w:hAnsi="Arial Narrow"/>
                <w:sz w:val="20"/>
              </w:rPr>
            </w:pPr>
            <w:r w:rsidRPr="00C34584">
              <w:rPr>
                <w:rFonts w:ascii="Arial Narrow" w:hAnsi="Arial Narrow"/>
                <w:sz w:val="20"/>
              </w:rPr>
              <w:t>Exacerbation rate/year</w:t>
            </w:r>
          </w:p>
        </w:tc>
        <w:tc>
          <w:tcPr>
            <w:tcW w:w="719" w:type="pct"/>
          </w:tcPr>
          <w:p w:rsidR="000A688D" w:rsidRPr="00C34584" w:rsidRDefault="000A688D" w:rsidP="009D43E2">
            <w:pPr>
              <w:keepNext/>
              <w:rPr>
                <w:rFonts w:ascii="Arial Narrow" w:hAnsi="Arial Narrow"/>
                <w:sz w:val="20"/>
              </w:rPr>
            </w:pPr>
            <w:r w:rsidRPr="00C34584">
              <w:rPr>
                <w:rFonts w:ascii="Arial Narrow" w:hAnsi="Arial Narrow"/>
                <w:sz w:val="20"/>
              </w:rPr>
              <w:t>0.19</w:t>
            </w:r>
          </w:p>
        </w:tc>
        <w:tc>
          <w:tcPr>
            <w:tcW w:w="684" w:type="pct"/>
          </w:tcPr>
          <w:p w:rsidR="000A688D" w:rsidRPr="00C34584" w:rsidRDefault="000A688D" w:rsidP="009D43E2">
            <w:pPr>
              <w:keepNext/>
              <w:rPr>
                <w:rFonts w:ascii="Arial Narrow" w:hAnsi="Arial Narrow"/>
                <w:sz w:val="20"/>
              </w:rPr>
            </w:pPr>
            <w:r w:rsidRPr="00C34584">
              <w:rPr>
                <w:rFonts w:ascii="Arial Narrow" w:hAnsi="Arial Narrow"/>
                <w:sz w:val="20"/>
              </w:rPr>
              <w:t>0.63</w:t>
            </w:r>
          </w:p>
        </w:tc>
        <w:tc>
          <w:tcPr>
            <w:tcW w:w="1173" w:type="pct"/>
          </w:tcPr>
          <w:p w:rsidR="000A688D" w:rsidRPr="00C34584" w:rsidRDefault="000A688D" w:rsidP="009D43E2">
            <w:pPr>
              <w:keepNext/>
              <w:rPr>
                <w:rFonts w:ascii="Arial Narrow" w:hAnsi="Arial Narrow"/>
                <w:sz w:val="20"/>
              </w:rPr>
            </w:pPr>
            <w:r w:rsidRPr="00C34584">
              <w:rPr>
                <w:rFonts w:ascii="Arial Narrow" w:hAnsi="Arial Narrow"/>
                <w:sz w:val="20"/>
              </w:rPr>
              <w:t>0.31 (0.18, 0.53)</w:t>
            </w:r>
          </w:p>
        </w:tc>
        <w:tc>
          <w:tcPr>
            <w:tcW w:w="458" w:type="pct"/>
          </w:tcPr>
          <w:p w:rsidR="000A688D" w:rsidRPr="00C34584" w:rsidRDefault="000A688D" w:rsidP="009D43E2">
            <w:pPr>
              <w:keepNext/>
              <w:rPr>
                <w:rFonts w:ascii="Arial Narrow" w:hAnsi="Arial Narrow"/>
                <w:sz w:val="20"/>
              </w:rPr>
            </w:pPr>
          </w:p>
        </w:tc>
        <w:tc>
          <w:tcPr>
            <w:tcW w:w="680" w:type="pct"/>
          </w:tcPr>
          <w:p w:rsidR="000A688D" w:rsidRPr="00C34584" w:rsidRDefault="000A688D" w:rsidP="009D43E2">
            <w:pPr>
              <w:keepNext/>
              <w:rPr>
                <w:rFonts w:ascii="Arial Narrow" w:hAnsi="Arial Narrow"/>
                <w:sz w:val="20"/>
              </w:rPr>
            </w:pPr>
          </w:p>
        </w:tc>
      </w:tr>
      <w:tr w:rsidR="000A688D" w:rsidRPr="00C34584" w:rsidTr="009D43E2">
        <w:trPr>
          <w:cantSplit/>
          <w:trHeight w:val="283"/>
        </w:trPr>
        <w:tc>
          <w:tcPr>
            <w:tcW w:w="5000" w:type="pct"/>
            <w:gridSpan w:val="6"/>
          </w:tcPr>
          <w:p w:rsidR="000A688D" w:rsidRPr="00C34584" w:rsidRDefault="000A688D" w:rsidP="009D43E2">
            <w:pPr>
              <w:keepNext/>
              <w:rPr>
                <w:rFonts w:ascii="Arial Narrow" w:hAnsi="Arial Narrow"/>
                <w:b/>
                <w:sz w:val="20"/>
              </w:rPr>
            </w:pPr>
            <w:r w:rsidRPr="00C34584">
              <w:rPr>
                <w:rFonts w:ascii="Arial Narrow" w:hAnsi="Arial Narrow"/>
                <w:b/>
                <w:sz w:val="20"/>
              </w:rPr>
              <w:t>Exacerbations requiring hospitalisation</w:t>
            </w:r>
          </w:p>
        </w:tc>
      </w:tr>
      <w:tr w:rsidR="000A688D" w:rsidRPr="00C34584" w:rsidTr="009D43E2">
        <w:trPr>
          <w:cantSplit/>
          <w:trHeight w:val="283"/>
        </w:trPr>
        <w:tc>
          <w:tcPr>
            <w:tcW w:w="1285" w:type="pct"/>
            <w:tcBorders>
              <w:bottom w:val="double" w:sz="4" w:space="0" w:color="auto"/>
            </w:tcBorders>
          </w:tcPr>
          <w:p w:rsidR="000A688D" w:rsidRPr="00DD6906" w:rsidRDefault="000A688D" w:rsidP="009D43E2">
            <w:pPr>
              <w:keepNext/>
              <w:rPr>
                <w:rFonts w:ascii="Arial Narrow" w:hAnsi="Arial Narrow"/>
                <w:sz w:val="20"/>
              </w:rPr>
            </w:pPr>
            <w:r w:rsidRPr="00DD6906">
              <w:rPr>
                <w:rFonts w:ascii="Arial Narrow" w:hAnsi="Arial Narrow"/>
                <w:sz w:val="20"/>
              </w:rPr>
              <w:t>Exacerbation rate/year</w:t>
            </w:r>
          </w:p>
        </w:tc>
        <w:tc>
          <w:tcPr>
            <w:tcW w:w="719" w:type="pct"/>
            <w:tcBorders>
              <w:bottom w:val="double" w:sz="4" w:space="0" w:color="auto"/>
            </w:tcBorders>
          </w:tcPr>
          <w:p w:rsidR="000A688D" w:rsidRPr="00C34584" w:rsidRDefault="000A688D" w:rsidP="009D43E2">
            <w:pPr>
              <w:keepNext/>
              <w:rPr>
                <w:rFonts w:ascii="Arial Narrow" w:hAnsi="Arial Narrow"/>
                <w:sz w:val="20"/>
              </w:rPr>
            </w:pPr>
            <w:r w:rsidRPr="00C34584">
              <w:rPr>
                <w:rFonts w:ascii="Arial Narrow" w:hAnsi="Arial Narrow"/>
                <w:sz w:val="20"/>
              </w:rPr>
              <w:t>0.12</w:t>
            </w:r>
          </w:p>
        </w:tc>
        <w:tc>
          <w:tcPr>
            <w:tcW w:w="684" w:type="pct"/>
            <w:tcBorders>
              <w:bottom w:val="double" w:sz="4" w:space="0" w:color="auto"/>
            </w:tcBorders>
          </w:tcPr>
          <w:p w:rsidR="000A688D" w:rsidRPr="00C34584" w:rsidRDefault="000A688D" w:rsidP="009D43E2">
            <w:pPr>
              <w:keepNext/>
              <w:rPr>
                <w:rFonts w:ascii="Arial Narrow" w:hAnsi="Arial Narrow"/>
                <w:sz w:val="20"/>
              </w:rPr>
            </w:pPr>
            <w:r w:rsidRPr="00C34584">
              <w:rPr>
                <w:rFonts w:ascii="Arial Narrow" w:hAnsi="Arial Narrow"/>
                <w:sz w:val="20"/>
              </w:rPr>
              <w:t>0.17</w:t>
            </w:r>
          </w:p>
        </w:tc>
        <w:tc>
          <w:tcPr>
            <w:tcW w:w="1173" w:type="pct"/>
            <w:tcBorders>
              <w:bottom w:val="double" w:sz="4" w:space="0" w:color="auto"/>
            </w:tcBorders>
          </w:tcPr>
          <w:p w:rsidR="000A688D" w:rsidRPr="00C34584" w:rsidRDefault="000A688D" w:rsidP="009D43E2">
            <w:pPr>
              <w:keepNext/>
              <w:rPr>
                <w:rFonts w:ascii="Arial Narrow" w:hAnsi="Arial Narrow"/>
                <w:sz w:val="20"/>
              </w:rPr>
            </w:pPr>
            <w:r w:rsidRPr="00C34584">
              <w:rPr>
                <w:rFonts w:ascii="Arial Narrow" w:hAnsi="Arial Narrow"/>
                <w:sz w:val="20"/>
              </w:rPr>
              <w:t>0.74 (0.40, 1.37)</w:t>
            </w:r>
          </w:p>
        </w:tc>
        <w:tc>
          <w:tcPr>
            <w:tcW w:w="458" w:type="pct"/>
            <w:tcBorders>
              <w:bottom w:val="double" w:sz="4" w:space="0" w:color="auto"/>
            </w:tcBorders>
          </w:tcPr>
          <w:p w:rsidR="000A688D" w:rsidRPr="00C34584" w:rsidRDefault="000A688D" w:rsidP="009D43E2">
            <w:pPr>
              <w:keepNext/>
              <w:rPr>
                <w:rFonts w:ascii="Arial Narrow" w:hAnsi="Arial Narrow"/>
                <w:sz w:val="20"/>
              </w:rPr>
            </w:pPr>
          </w:p>
        </w:tc>
        <w:tc>
          <w:tcPr>
            <w:tcW w:w="680" w:type="pct"/>
            <w:tcBorders>
              <w:bottom w:val="double" w:sz="4" w:space="0" w:color="auto"/>
            </w:tcBorders>
          </w:tcPr>
          <w:p w:rsidR="000A688D" w:rsidRPr="00C34584" w:rsidRDefault="000A688D" w:rsidP="009D43E2">
            <w:pPr>
              <w:keepNext/>
              <w:rPr>
                <w:rFonts w:ascii="Arial Narrow" w:hAnsi="Arial Narrow"/>
                <w:sz w:val="20"/>
              </w:rPr>
            </w:pPr>
          </w:p>
        </w:tc>
      </w:tr>
      <w:tr w:rsidR="000A688D" w:rsidRPr="00C34584" w:rsidTr="009D43E2">
        <w:trPr>
          <w:cantSplit/>
          <w:trHeight w:val="283"/>
        </w:trPr>
        <w:tc>
          <w:tcPr>
            <w:tcW w:w="5000" w:type="pct"/>
            <w:gridSpan w:val="6"/>
            <w:tcBorders>
              <w:top w:val="double" w:sz="4" w:space="0" w:color="auto"/>
            </w:tcBorders>
          </w:tcPr>
          <w:p w:rsidR="000A688D" w:rsidRPr="00DD6906" w:rsidRDefault="00387299" w:rsidP="009D43E2">
            <w:pPr>
              <w:keepNext/>
              <w:rPr>
                <w:rFonts w:ascii="Arial Narrow" w:hAnsi="Arial Narrow"/>
                <w:b/>
                <w:sz w:val="20"/>
              </w:rPr>
            </w:pPr>
            <w:r w:rsidRPr="00DD6906">
              <w:rPr>
                <w:rFonts w:ascii="Arial Narrow" w:hAnsi="Arial Narrow"/>
                <w:b/>
                <w:sz w:val="20"/>
              </w:rPr>
              <w:t>Naïve comparison with previous studies: rate of clinically significant exacerbations</w:t>
            </w:r>
          </w:p>
        </w:tc>
      </w:tr>
      <w:tr w:rsidR="006E6D8E" w:rsidRPr="00C34584" w:rsidTr="009D43E2">
        <w:trPr>
          <w:cantSplit/>
          <w:trHeight w:val="283"/>
        </w:trPr>
        <w:tc>
          <w:tcPr>
            <w:tcW w:w="1285" w:type="pct"/>
          </w:tcPr>
          <w:p w:rsidR="006E6D8E" w:rsidRPr="00C34584" w:rsidRDefault="006E6D8E" w:rsidP="009D43E2">
            <w:pPr>
              <w:keepNext/>
              <w:rPr>
                <w:rFonts w:ascii="Arial Narrow" w:hAnsi="Arial Narrow"/>
                <w:sz w:val="20"/>
              </w:rPr>
            </w:pPr>
          </w:p>
        </w:tc>
        <w:tc>
          <w:tcPr>
            <w:tcW w:w="719" w:type="pct"/>
          </w:tcPr>
          <w:p w:rsidR="006E6D8E" w:rsidRPr="00C34584" w:rsidRDefault="006E6D8E" w:rsidP="009D43E2">
            <w:pPr>
              <w:keepNext/>
              <w:rPr>
                <w:rFonts w:ascii="Arial Narrow" w:hAnsi="Arial Narrow"/>
                <w:sz w:val="20"/>
              </w:rPr>
            </w:pPr>
            <w:r w:rsidRPr="00C34584">
              <w:rPr>
                <w:rFonts w:ascii="Arial Narrow" w:hAnsi="Arial Narrow"/>
                <w:b/>
                <w:sz w:val="20"/>
              </w:rPr>
              <w:t xml:space="preserve">Mepolizumab </w:t>
            </w:r>
          </w:p>
        </w:tc>
        <w:tc>
          <w:tcPr>
            <w:tcW w:w="684" w:type="pct"/>
          </w:tcPr>
          <w:p w:rsidR="006E6D8E" w:rsidRPr="00C34584" w:rsidRDefault="006E6D8E" w:rsidP="009D43E2">
            <w:pPr>
              <w:keepNext/>
              <w:rPr>
                <w:rFonts w:ascii="Arial Narrow" w:hAnsi="Arial Narrow"/>
                <w:sz w:val="20"/>
              </w:rPr>
            </w:pPr>
          </w:p>
        </w:tc>
        <w:tc>
          <w:tcPr>
            <w:tcW w:w="1173" w:type="pct"/>
          </w:tcPr>
          <w:p w:rsidR="006E6D8E" w:rsidRPr="00C34584" w:rsidRDefault="006E6D8E" w:rsidP="009D43E2">
            <w:pPr>
              <w:keepNext/>
              <w:rPr>
                <w:rFonts w:ascii="Arial Narrow" w:hAnsi="Arial Narrow"/>
                <w:sz w:val="20"/>
              </w:rPr>
            </w:pPr>
          </w:p>
        </w:tc>
        <w:tc>
          <w:tcPr>
            <w:tcW w:w="458" w:type="pct"/>
          </w:tcPr>
          <w:p w:rsidR="006E6D8E" w:rsidRPr="00C34584" w:rsidRDefault="006E6D8E" w:rsidP="009D43E2">
            <w:pPr>
              <w:keepNext/>
              <w:rPr>
                <w:rFonts w:ascii="Arial Narrow" w:hAnsi="Arial Narrow"/>
                <w:sz w:val="20"/>
              </w:rPr>
            </w:pPr>
            <w:r w:rsidRPr="00C34584">
              <w:rPr>
                <w:rFonts w:ascii="Arial Narrow" w:hAnsi="Arial Narrow"/>
                <w:b/>
                <w:sz w:val="20"/>
              </w:rPr>
              <w:t>Placebo</w:t>
            </w:r>
          </w:p>
        </w:tc>
        <w:tc>
          <w:tcPr>
            <w:tcW w:w="680" w:type="pct"/>
          </w:tcPr>
          <w:p w:rsidR="006E6D8E" w:rsidRPr="00C34584" w:rsidRDefault="006E6D8E" w:rsidP="009D43E2">
            <w:pPr>
              <w:keepNext/>
              <w:rPr>
                <w:rFonts w:ascii="Arial Narrow" w:hAnsi="Arial Narrow"/>
                <w:sz w:val="20"/>
              </w:rPr>
            </w:pPr>
            <w:r w:rsidRPr="00C34584">
              <w:rPr>
                <w:rFonts w:ascii="Arial Narrow" w:hAnsi="Arial Narrow"/>
                <w:b/>
                <w:sz w:val="20"/>
              </w:rPr>
              <w:t>Rate ratio Mepolizumab vs placebo</w:t>
            </w:r>
          </w:p>
        </w:tc>
      </w:tr>
      <w:tr w:rsidR="000A688D" w:rsidRPr="00C34584" w:rsidTr="009D43E2">
        <w:trPr>
          <w:cantSplit/>
          <w:trHeight w:val="283"/>
        </w:trPr>
        <w:tc>
          <w:tcPr>
            <w:tcW w:w="1285" w:type="pct"/>
          </w:tcPr>
          <w:p w:rsidR="000A688D" w:rsidRPr="00C34584" w:rsidRDefault="000A688D" w:rsidP="009D43E2">
            <w:pPr>
              <w:keepNext/>
              <w:rPr>
                <w:rFonts w:ascii="Arial Narrow" w:hAnsi="Arial Narrow"/>
                <w:sz w:val="20"/>
              </w:rPr>
            </w:pPr>
            <w:r w:rsidRPr="00C34584">
              <w:rPr>
                <w:rFonts w:ascii="Arial Narrow" w:hAnsi="Arial Narrow"/>
                <w:sz w:val="20"/>
              </w:rPr>
              <w:t>MENSA (Week 32): Overall</w:t>
            </w:r>
          </w:p>
        </w:tc>
        <w:tc>
          <w:tcPr>
            <w:tcW w:w="719" w:type="pct"/>
          </w:tcPr>
          <w:p w:rsidR="000A688D" w:rsidRPr="00C34584" w:rsidRDefault="000A688D" w:rsidP="009D43E2">
            <w:pPr>
              <w:keepNext/>
              <w:rPr>
                <w:rFonts w:ascii="Arial Narrow" w:hAnsi="Arial Narrow"/>
                <w:sz w:val="20"/>
              </w:rPr>
            </w:pPr>
            <w:r w:rsidRPr="00C34584">
              <w:rPr>
                <w:rFonts w:ascii="Arial Narrow" w:hAnsi="Arial Narrow"/>
                <w:sz w:val="20"/>
              </w:rPr>
              <w:t>0.83</w:t>
            </w:r>
          </w:p>
        </w:tc>
        <w:tc>
          <w:tcPr>
            <w:tcW w:w="684" w:type="pct"/>
          </w:tcPr>
          <w:p w:rsidR="000A688D" w:rsidRPr="00C34584" w:rsidRDefault="000A688D" w:rsidP="009D43E2">
            <w:pPr>
              <w:keepNext/>
              <w:rPr>
                <w:rFonts w:ascii="Arial Narrow" w:hAnsi="Arial Narrow"/>
                <w:sz w:val="20"/>
              </w:rPr>
            </w:pPr>
          </w:p>
        </w:tc>
        <w:tc>
          <w:tcPr>
            <w:tcW w:w="1173" w:type="pct"/>
          </w:tcPr>
          <w:p w:rsidR="000A688D" w:rsidRPr="00C34584" w:rsidRDefault="000A688D" w:rsidP="009D43E2">
            <w:pPr>
              <w:keepNext/>
              <w:rPr>
                <w:rFonts w:ascii="Arial Narrow" w:hAnsi="Arial Narrow"/>
                <w:sz w:val="20"/>
              </w:rPr>
            </w:pPr>
          </w:p>
        </w:tc>
        <w:tc>
          <w:tcPr>
            <w:tcW w:w="458" w:type="pct"/>
          </w:tcPr>
          <w:p w:rsidR="000A688D" w:rsidRPr="00C34584" w:rsidRDefault="000A688D" w:rsidP="009D43E2">
            <w:pPr>
              <w:keepNext/>
              <w:rPr>
                <w:rFonts w:ascii="Arial Narrow" w:hAnsi="Arial Narrow"/>
                <w:sz w:val="20"/>
              </w:rPr>
            </w:pPr>
            <w:r w:rsidRPr="00C34584">
              <w:rPr>
                <w:rFonts w:ascii="Arial Narrow" w:hAnsi="Arial Narrow"/>
                <w:sz w:val="20"/>
              </w:rPr>
              <w:t>1.74</w:t>
            </w:r>
          </w:p>
        </w:tc>
        <w:tc>
          <w:tcPr>
            <w:tcW w:w="680" w:type="pct"/>
          </w:tcPr>
          <w:p w:rsidR="000A688D" w:rsidRPr="00C34584" w:rsidRDefault="000A688D" w:rsidP="009D43E2">
            <w:pPr>
              <w:keepNext/>
              <w:rPr>
                <w:rFonts w:ascii="Arial Narrow" w:hAnsi="Arial Narrow"/>
                <w:sz w:val="20"/>
              </w:rPr>
            </w:pPr>
            <w:r w:rsidRPr="00C34584">
              <w:rPr>
                <w:rFonts w:ascii="Arial Narrow" w:hAnsi="Arial Narrow"/>
                <w:sz w:val="20"/>
              </w:rPr>
              <w:t>0.47</w:t>
            </w:r>
          </w:p>
        </w:tc>
      </w:tr>
      <w:tr w:rsidR="000A688D" w:rsidRPr="00C34584" w:rsidTr="009D43E2">
        <w:trPr>
          <w:cantSplit/>
          <w:trHeight w:val="283"/>
        </w:trPr>
        <w:tc>
          <w:tcPr>
            <w:tcW w:w="1285" w:type="pct"/>
          </w:tcPr>
          <w:p w:rsidR="000A688D" w:rsidRPr="00C34584" w:rsidRDefault="000A688D" w:rsidP="009D43E2">
            <w:pPr>
              <w:keepNext/>
              <w:rPr>
                <w:rFonts w:ascii="Arial Narrow" w:hAnsi="Arial Narrow"/>
                <w:sz w:val="20"/>
              </w:rPr>
            </w:pPr>
            <w:r w:rsidRPr="00C34584">
              <w:rPr>
                <w:rFonts w:ascii="Arial Narrow" w:hAnsi="Arial Narrow"/>
                <w:sz w:val="20"/>
              </w:rPr>
              <w:t>MENSA (Week 32): Previous omalizumab subgroup</w:t>
            </w:r>
          </w:p>
        </w:tc>
        <w:tc>
          <w:tcPr>
            <w:tcW w:w="719" w:type="pct"/>
          </w:tcPr>
          <w:p w:rsidR="000A688D" w:rsidRPr="00C34584" w:rsidRDefault="000A688D" w:rsidP="009D43E2">
            <w:pPr>
              <w:keepNext/>
              <w:rPr>
                <w:rFonts w:ascii="Arial Narrow" w:hAnsi="Arial Narrow"/>
                <w:sz w:val="20"/>
              </w:rPr>
            </w:pPr>
            <w:r w:rsidRPr="00C34584">
              <w:rPr>
                <w:rFonts w:ascii="Arial Narrow" w:hAnsi="Arial Narrow"/>
                <w:sz w:val="20"/>
              </w:rPr>
              <w:t>1.00</w:t>
            </w:r>
          </w:p>
        </w:tc>
        <w:tc>
          <w:tcPr>
            <w:tcW w:w="684" w:type="pct"/>
          </w:tcPr>
          <w:p w:rsidR="000A688D" w:rsidRPr="00C34584" w:rsidRDefault="000A688D" w:rsidP="009D43E2">
            <w:pPr>
              <w:keepNext/>
              <w:rPr>
                <w:rFonts w:ascii="Arial Narrow" w:hAnsi="Arial Narrow"/>
                <w:sz w:val="20"/>
              </w:rPr>
            </w:pPr>
          </w:p>
        </w:tc>
        <w:tc>
          <w:tcPr>
            <w:tcW w:w="1173" w:type="pct"/>
          </w:tcPr>
          <w:p w:rsidR="000A688D" w:rsidRPr="00C34584" w:rsidRDefault="000A688D" w:rsidP="009D43E2">
            <w:pPr>
              <w:keepNext/>
              <w:rPr>
                <w:rFonts w:ascii="Arial Narrow" w:hAnsi="Arial Narrow"/>
                <w:sz w:val="20"/>
              </w:rPr>
            </w:pPr>
          </w:p>
        </w:tc>
        <w:tc>
          <w:tcPr>
            <w:tcW w:w="458" w:type="pct"/>
          </w:tcPr>
          <w:p w:rsidR="000A688D" w:rsidRPr="00C34584" w:rsidRDefault="000A688D" w:rsidP="009D43E2">
            <w:pPr>
              <w:keepNext/>
              <w:rPr>
                <w:rFonts w:ascii="Arial Narrow" w:hAnsi="Arial Narrow"/>
                <w:sz w:val="20"/>
              </w:rPr>
            </w:pPr>
            <w:r w:rsidRPr="00C34584">
              <w:rPr>
                <w:rFonts w:ascii="Arial Narrow" w:hAnsi="Arial Narrow"/>
                <w:sz w:val="20"/>
              </w:rPr>
              <w:t>2.33</w:t>
            </w:r>
          </w:p>
        </w:tc>
        <w:tc>
          <w:tcPr>
            <w:tcW w:w="680" w:type="pct"/>
          </w:tcPr>
          <w:p w:rsidR="000A688D" w:rsidRPr="00C34584" w:rsidRDefault="000A688D" w:rsidP="009D43E2">
            <w:pPr>
              <w:keepNext/>
              <w:rPr>
                <w:rFonts w:ascii="Arial Narrow" w:hAnsi="Arial Narrow"/>
                <w:sz w:val="20"/>
              </w:rPr>
            </w:pPr>
            <w:r w:rsidRPr="00C34584">
              <w:rPr>
                <w:rFonts w:ascii="Arial Narrow" w:hAnsi="Arial Narrow"/>
                <w:sz w:val="20"/>
              </w:rPr>
              <w:t>0.43</w:t>
            </w:r>
          </w:p>
        </w:tc>
      </w:tr>
      <w:tr w:rsidR="000A688D" w:rsidRPr="00C34584" w:rsidTr="009D43E2">
        <w:trPr>
          <w:cantSplit/>
          <w:trHeight w:val="283"/>
        </w:trPr>
        <w:tc>
          <w:tcPr>
            <w:tcW w:w="1285" w:type="pct"/>
          </w:tcPr>
          <w:p w:rsidR="000A688D" w:rsidRPr="00C34584" w:rsidRDefault="000A688D" w:rsidP="009D43E2">
            <w:pPr>
              <w:keepNext/>
              <w:rPr>
                <w:rFonts w:ascii="Arial Narrow" w:hAnsi="Arial Narrow"/>
                <w:sz w:val="20"/>
              </w:rPr>
            </w:pPr>
            <w:r w:rsidRPr="00C34584">
              <w:rPr>
                <w:rFonts w:ascii="Arial Narrow" w:hAnsi="Arial Narrow"/>
                <w:sz w:val="20"/>
              </w:rPr>
              <w:t>MUSCA Week 24</w:t>
            </w:r>
          </w:p>
        </w:tc>
        <w:tc>
          <w:tcPr>
            <w:tcW w:w="719" w:type="pct"/>
          </w:tcPr>
          <w:p w:rsidR="000A688D" w:rsidRPr="00C34584" w:rsidRDefault="000A688D" w:rsidP="009D43E2">
            <w:pPr>
              <w:keepNext/>
              <w:rPr>
                <w:rFonts w:ascii="Arial Narrow" w:hAnsi="Arial Narrow"/>
                <w:sz w:val="20"/>
              </w:rPr>
            </w:pPr>
            <w:r w:rsidRPr="00C34584">
              <w:rPr>
                <w:rFonts w:ascii="Arial Narrow" w:hAnsi="Arial Narrow"/>
                <w:sz w:val="20"/>
              </w:rPr>
              <w:t>0.51</w:t>
            </w:r>
          </w:p>
        </w:tc>
        <w:tc>
          <w:tcPr>
            <w:tcW w:w="684" w:type="pct"/>
          </w:tcPr>
          <w:p w:rsidR="000A688D" w:rsidRPr="00C34584" w:rsidRDefault="000A688D" w:rsidP="009D43E2">
            <w:pPr>
              <w:keepNext/>
              <w:rPr>
                <w:rFonts w:ascii="Arial Narrow" w:hAnsi="Arial Narrow"/>
                <w:sz w:val="20"/>
              </w:rPr>
            </w:pPr>
          </w:p>
        </w:tc>
        <w:tc>
          <w:tcPr>
            <w:tcW w:w="1173" w:type="pct"/>
          </w:tcPr>
          <w:p w:rsidR="000A688D" w:rsidRPr="00C34584" w:rsidRDefault="000A688D" w:rsidP="009D43E2">
            <w:pPr>
              <w:keepNext/>
              <w:rPr>
                <w:rFonts w:ascii="Arial Narrow" w:hAnsi="Arial Narrow"/>
                <w:sz w:val="20"/>
              </w:rPr>
            </w:pPr>
          </w:p>
        </w:tc>
        <w:tc>
          <w:tcPr>
            <w:tcW w:w="458" w:type="pct"/>
          </w:tcPr>
          <w:p w:rsidR="000A688D" w:rsidRPr="00C34584" w:rsidRDefault="000A688D" w:rsidP="009D43E2">
            <w:pPr>
              <w:keepNext/>
              <w:rPr>
                <w:rFonts w:ascii="Arial Narrow" w:hAnsi="Arial Narrow"/>
                <w:sz w:val="20"/>
              </w:rPr>
            </w:pPr>
            <w:r w:rsidRPr="00C34584">
              <w:rPr>
                <w:rFonts w:ascii="Arial Narrow" w:hAnsi="Arial Narrow"/>
                <w:sz w:val="20"/>
              </w:rPr>
              <w:t>1.21</w:t>
            </w:r>
          </w:p>
        </w:tc>
        <w:tc>
          <w:tcPr>
            <w:tcW w:w="680" w:type="pct"/>
          </w:tcPr>
          <w:p w:rsidR="000A688D" w:rsidRPr="00C34584" w:rsidRDefault="000A688D" w:rsidP="009D43E2">
            <w:pPr>
              <w:keepNext/>
              <w:rPr>
                <w:rFonts w:ascii="Arial Narrow" w:hAnsi="Arial Narrow"/>
                <w:sz w:val="20"/>
              </w:rPr>
            </w:pPr>
            <w:r w:rsidRPr="00C34584">
              <w:rPr>
                <w:rFonts w:ascii="Arial Narrow" w:hAnsi="Arial Narrow"/>
                <w:sz w:val="20"/>
              </w:rPr>
              <w:t>0.42</w:t>
            </w:r>
          </w:p>
        </w:tc>
      </w:tr>
    </w:tbl>
    <w:p w:rsidR="00DE30B1" w:rsidRPr="00C34584" w:rsidRDefault="00DE30B1" w:rsidP="00DE30B1">
      <w:pPr>
        <w:pStyle w:val="tablenotes"/>
        <w:keepNext/>
        <w:spacing w:after="120"/>
        <w:rPr>
          <w:rFonts w:ascii="Arial Narrow" w:hAnsi="Arial Narrow"/>
          <w:sz w:val="18"/>
          <w:szCs w:val="18"/>
        </w:rPr>
      </w:pPr>
      <w:r w:rsidRPr="00C34584">
        <w:rPr>
          <w:rFonts w:ascii="Arial Narrow" w:hAnsi="Arial Narrow"/>
          <w:sz w:val="18"/>
          <w:szCs w:val="18"/>
        </w:rPr>
        <w:t xml:space="preserve">Source: </w:t>
      </w:r>
      <w:r w:rsidR="000A688D" w:rsidRPr="00C34584">
        <w:rPr>
          <w:rFonts w:ascii="Arial Narrow" w:hAnsi="Arial Narrow"/>
          <w:sz w:val="18"/>
          <w:szCs w:val="18"/>
        </w:rPr>
        <w:t>Table 6 and 7, pp 13-14 of the m</w:t>
      </w:r>
      <w:r w:rsidRPr="00C34584">
        <w:rPr>
          <w:rFonts w:ascii="Arial Narrow" w:hAnsi="Arial Narrow"/>
          <w:sz w:val="18"/>
          <w:szCs w:val="18"/>
        </w:rPr>
        <w:t>inor submission</w:t>
      </w:r>
    </w:p>
    <w:p w:rsidR="00DE30B1" w:rsidRPr="00C34584" w:rsidRDefault="00A3105F" w:rsidP="00251C71">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 xml:space="preserve">The submission </w:t>
      </w:r>
      <w:r w:rsidR="00FB21B3" w:rsidRPr="00C34584">
        <w:rPr>
          <w:rFonts w:asciiTheme="minorHAnsi" w:hAnsiTheme="minorHAnsi"/>
          <w:sz w:val="24"/>
          <w:szCs w:val="24"/>
        </w:rPr>
        <w:t>stated that</w:t>
      </w:r>
      <w:r w:rsidRPr="00C34584">
        <w:rPr>
          <w:rFonts w:asciiTheme="minorHAnsi" w:hAnsiTheme="minorHAnsi"/>
          <w:sz w:val="24"/>
          <w:szCs w:val="24"/>
        </w:rPr>
        <w:t xml:space="preserve"> the reduction in </w:t>
      </w:r>
      <w:r w:rsidR="006E6D8E" w:rsidRPr="00C34584">
        <w:rPr>
          <w:rFonts w:asciiTheme="minorHAnsi" w:hAnsiTheme="minorHAnsi"/>
          <w:sz w:val="24"/>
          <w:szCs w:val="24"/>
        </w:rPr>
        <w:t xml:space="preserve">the </w:t>
      </w:r>
      <w:r w:rsidRPr="00C34584">
        <w:rPr>
          <w:rFonts w:asciiTheme="minorHAnsi" w:hAnsiTheme="minorHAnsi"/>
          <w:sz w:val="24"/>
          <w:szCs w:val="24"/>
        </w:rPr>
        <w:t xml:space="preserve">rate of clinically significant exacerbations </w:t>
      </w:r>
      <w:r w:rsidR="006E6D8E" w:rsidRPr="00C34584">
        <w:rPr>
          <w:rFonts w:asciiTheme="minorHAnsi" w:hAnsiTheme="minorHAnsi"/>
          <w:sz w:val="24"/>
          <w:szCs w:val="24"/>
        </w:rPr>
        <w:t xml:space="preserve">observed in OSMO </w:t>
      </w:r>
      <w:r w:rsidRPr="00C34584">
        <w:rPr>
          <w:rFonts w:asciiTheme="minorHAnsi" w:hAnsiTheme="minorHAnsi"/>
          <w:sz w:val="24"/>
          <w:szCs w:val="24"/>
        </w:rPr>
        <w:t xml:space="preserve">was consistent with the reduction seen in </w:t>
      </w:r>
      <w:r w:rsidR="006E6D8E" w:rsidRPr="00C34584">
        <w:rPr>
          <w:rFonts w:asciiTheme="minorHAnsi" w:hAnsiTheme="minorHAnsi"/>
          <w:sz w:val="24"/>
          <w:szCs w:val="24"/>
        </w:rPr>
        <w:t>randomised placebo-controlled trials of mepolizumab (MENSA and MUSCA)</w:t>
      </w:r>
      <w:r w:rsidRPr="00C34584">
        <w:rPr>
          <w:rFonts w:asciiTheme="minorHAnsi" w:hAnsiTheme="minorHAnsi"/>
          <w:sz w:val="24"/>
          <w:szCs w:val="24"/>
        </w:rPr>
        <w:t xml:space="preserve">. </w:t>
      </w:r>
    </w:p>
    <w:p w:rsidR="005A3173" w:rsidRPr="00885CC4" w:rsidRDefault="005A3173" w:rsidP="00937958">
      <w:pPr>
        <w:pStyle w:val="Heading2"/>
        <w:keepLines/>
        <w:spacing w:before="240" w:after="120"/>
        <w:rPr>
          <w:rFonts w:asciiTheme="minorHAnsi" w:eastAsiaTheme="majorEastAsia" w:hAnsiTheme="minorHAnsi" w:cstheme="majorBidi"/>
          <w:sz w:val="28"/>
          <w:szCs w:val="28"/>
          <w:lang w:eastAsia="en-US"/>
        </w:rPr>
      </w:pPr>
      <w:r w:rsidRPr="00885CC4">
        <w:rPr>
          <w:rFonts w:asciiTheme="minorHAnsi" w:eastAsiaTheme="majorEastAsia" w:hAnsiTheme="minorHAnsi" w:cstheme="majorBidi"/>
          <w:sz w:val="28"/>
          <w:szCs w:val="28"/>
          <w:lang w:eastAsia="en-US"/>
        </w:rPr>
        <w:t>Comparative harms</w:t>
      </w:r>
    </w:p>
    <w:p w:rsidR="00234D42" w:rsidRPr="00C34584" w:rsidRDefault="00234D42" w:rsidP="00287A1E">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 xml:space="preserve">The submission claimed </w:t>
      </w:r>
      <w:r w:rsidR="005D7D89" w:rsidRPr="00C34584">
        <w:rPr>
          <w:rFonts w:asciiTheme="minorHAnsi" w:hAnsiTheme="minorHAnsi"/>
          <w:sz w:val="24"/>
          <w:szCs w:val="24"/>
        </w:rPr>
        <w:t>that</w:t>
      </w:r>
      <w:r w:rsidR="006E6D8E" w:rsidRPr="00C34584">
        <w:rPr>
          <w:rFonts w:asciiTheme="minorHAnsi" w:hAnsiTheme="minorHAnsi"/>
          <w:sz w:val="24"/>
          <w:szCs w:val="24"/>
        </w:rPr>
        <w:t xml:space="preserve"> mepolizumab, when used </w:t>
      </w:r>
      <w:r w:rsidR="005D7D89" w:rsidRPr="00C34584">
        <w:rPr>
          <w:rFonts w:asciiTheme="minorHAnsi" w:hAnsiTheme="minorHAnsi"/>
          <w:sz w:val="24"/>
          <w:szCs w:val="24"/>
        </w:rPr>
        <w:t>following a direct switch from omalizumab</w:t>
      </w:r>
      <w:r w:rsidR="006E6D8E" w:rsidRPr="00C34584">
        <w:rPr>
          <w:rFonts w:asciiTheme="minorHAnsi" w:hAnsiTheme="minorHAnsi"/>
          <w:sz w:val="24"/>
          <w:szCs w:val="24"/>
        </w:rPr>
        <w:t xml:space="preserve"> (without a washout period)</w:t>
      </w:r>
      <w:r w:rsidR="005D7D89" w:rsidRPr="00C34584">
        <w:rPr>
          <w:rFonts w:asciiTheme="minorHAnsi" w:hAnsiTheme="minorHAnsi"/>
          <w:sz w:val="24"/>
          <w:szCs w:val="24"/>
        </w:rPr>
        <w:t xml:space="preserve">, </w:t>
      </w:r>
      <w:r w:rsidRPr="00C34584">
        <w:rPr>
          <w:rFonts w:asciiTheme="minorHAnsi" w:hAnsiTheme="minorHAnsi"/>
          <w:sz w:val="24"/>
          <w:szCs w:val="24"/>
        </w:rPr>
        <w:t xml:space="preserve">was well tolerated and </w:t>
      </w:r>
      <w:r w:rsidR="006E6D8E" w:rsidRPr="00C34584">
        <w:rPr>
          <w:rFonts w:asciiTheme="minorHAnsi" w:hAnsiTheme="minorHAnsi"/>
          <w:sz w:val="24"/>
          <w:szCs w:val="24"/>
        </w:rPr>
        <w:t xml:space="preserve">that </w:t>
      </w:r>
      <w:r w:rsidRPr="00C34584">
        <w:rPr>
          <w:rFonts w:asciiTheme="minorHAnsi" w:hAnsiTheme="minorHAnsi"/>
          <w:sz w:val="24"/>
          <w:szCs w:val="24"/>
        </w:rPr>
        <w:t>no new safety concerns were identified compared with the known safety profile</w:t>
      </w:r>
      <w:r w:rsidR="006E6D8E" w:rsidRPr="00C34584">
        <w:rPr>
          <w:rFonts w:asciiTheme="minorHAnsi" w:hAnsiTheme="minorHAnsi"/>
          <w:sz w:val="24"/>
          <w:szCs w:val="24"/>
        </w:rPr>
        <w:t xml:space="preserve"> of mepolizumab </w:t>
      </w:r>
      <w:r w:rsidRPr="00C34584">
        <w:rPr>
          <w:rFonts w:asciiTheme="minorHAnsi" w:hAnsiTheme="minorHAnsi"/>
          <w:sz w:val="24"/>
          <w:szCs w:val="24"/>
        </w:rPr>
        <w:t>in severe eosinophilic asthma.</w:t>
      </w:r>
    </w:p>
    <w:p w:rsidR="00364E6F" w:rsidRPr="00C34584" w:rsidRDefault="003C52B4" w:rsidP="009D43E2">
      <w:pPr>
        <w:pStyle w:val="ListParagraph"/>
        <w:widowControl/>
        <w:numPr>
          <w:ilvl w:val="1"/>
          <w:numId w:val="14"/>
        </w:numPr>
        <w:spacing w:after="120"/>
        <w:contextualSpacing w:val="0"/>
        <w:rPr>
          <w:rFonts w:asciiTheme="minorHAnsi" w:hAnsiTheme="minorHAnsi"/>
          <w:sz w:val="24"/>
          <w:szCs w:val="24"/>
        </w:rPr>
      </w:pPr>
      <w:r w:rsidRPr="00C34584">
        <w:rPr>
          <w:rFonts w:asciiTheme="minorHAnsi" w:hAnsiTheme="minorHAnsi"/>
          <w:sz w:val="24"/>
          <w:szCs w:val="24"/>
        </w:rPr>
        <w:t xml:space="preserve">Table </w:t>
      </w:r>
      <w:r w:rsidR="00E836E8" w:rsidRPr="00C34584">
        <w:rPr>
          <w:rFonts w:asciiTheme="minorHAnsi" w:hAnsiTheme="minorHAnsi"/>
          <w:sz w:val="24"/>
          <w:szCs w:val="24"/>
        </w:rPr>
        <w:t>4</w:t>
      </w:r>
      <w:r w:rsidRPr="00C34584">
        <w:rPr>
          <w:rFonts w:asciiTheme="minorHAnsi" w:hAnsiTheme="minorHAnsi"/>
          <w:sz w:val="24"/>
          <w:szCs w:val="24"/>
        </w:rPr>
        <w:t xml:space="preserve"> below shows the reported adverse event</w:t>
      </w:r>
      <w:r w:rsidR="00A60339" w:rsidRPr="00C34584">
        <w:rPr>
          <w:rFonts w:asciiTheme="minorHAnsi" w:hAnsiTheme="minorHAnsi"/>
          <w:sz w:val="24"/>
          <w:szCs w:val="24"/>
        </w:rPr>
        <w:t>s</w:t>
      </w:r>
      <w:r w:rsidRPr="00C34584">
        <w:rPr>
          <w:rFonts w:asciiTheme="minorHAnsi" w:hAnsiTheme="minorHAnsi"/>
          <w:sz w:val="24"/>
          <w:szCs w:val="24"/>
        </w:rPr>
        <w:t xml:space="preserve"> and immunogenicity profile of mepolizumab from the OSMO study, compared </w:t>
      </w:r>
      <w:r w:rsidR="009D43E2" w:rsidRPr="00C34584">
        <w:rPr>
          <w:rFonts w:asciiTheme="minorHAnsi" w:hAnsiTheme="minorHAnsi"/>
          <w:sz w:val="24"/>
          <w:szCs w:val="24"/>
        </w:rPr>
        <w:t>with the aforementioned randomised placebo-controlled trials of mepolizumab</w:t>
      </w:r>
      <w:r w:rsidR="00885CC4">
        <w:rPr>
          <w:rFonts w:asciiTheme="minorHAnsi" w:hAnsiTheme="minorHAnsi"/>
          <w:sz w:val="24"/>
          <w:szCs w:val="24"/>
        </w:rPr>
        <w:t>.</w:t>
      </w:r>
    </w:p>
    <w:p w:rsidR="003C52B4" w:rsidRPr="00C34584" w:rsidRDefault="003C52B4" w:rsidP="003C52B4">
      <w:pPr>
        <w:keepNext/>
        <w:spacing w:after="120"/>
        <w:ind w:left="-11"/>
        <w:rPr>
          <w:rFonts w:ascii="Arial Narrow" w:hAnsi="Arial Narrow"/>
          <w:b/>
          <w:sz w:val="20"/>
          <w:szCs w:val="22"/>
        </w:rPr>
      </w:pPr>
      <w:r w:rsidRPr="00C34584">
        <w:rPr>
          <w:rFonts w:ascii="Arial Narrow" w:hAnsi="Arial Narrow"/>
          <w:b/>
          <w:sz w:val="20"/>
          <w:szCs w:val="22"/>
        </w:rPr>
        <w:t xml:space="preserve">Table </w:t>
      </w:r>
      <w:r w:rsidR="00E836E8" w:rsidRPr="00C34584">
        <w:rPr>
          <w:rFonts w:ascii="Arial Narrow" w:hAnsi="Arial Narrow"/>
          <w:b/>
          <w:sz w:val="20"/>
          <w:szCs w:val="22"/>
        </w:rPr>
        <w:t>4</w:t>
      </w:r>
      <w:r w:rsidRPr="00C34584">
        <w:rPr>
          <w:rFonts w:ascii="Arial Narrow" w:hAnsi="Arial Narrow"/>
          <w:b/>
          <w:sz w:val="20"/>
          <w:szCs w:val="22"/>
        </w:rPr>
        <w:t>: Adverse event and immunogenicity profile of mepolizumab 100 mg SC from previous phase III double-blind studies</w:t>
      </w:r>
    </w:p>
    <w:tbl>
      <w:tblPr>
        <w:tblStyle w:val="TableGrid"/>
        <w:tblW w:w="5000" w:type="pct"/>
        <w:tblLayout w:type="fixed"/>
        <w:tblLook w:val="04A0" w:firstRow="1" w:lastRow="0" w:firstColumn="1" w:lastColumn="0" w:noHBand="0" w:noVBand="1"/>
        <w:tblCaption w:val="Table 4: Adverse event and immunogenicity profile of mepolizumab 100 mg SC from previous phase III double-blind studies"/>
      </w:tblPr>
      <w:tblGrid>
        <w:gridCol w:w="1456"/>
        <w:gridCol w:w="1628"/>
        <w:gridCol w:w="989"/>
        <w:gridCol w:w="993"/>
        <w:gridCol w:w="993"/>
        <w:gridCol w:w="994"/>
        <w:gridCol w:w="993"/>
        <w:gridCol w:w="1196"/>
      </w:tblGrid>
      <w:tr w:rsidR="00866665" w:rsidRPr="00C34584" w:rsidTr="00885CC4">
        <w:trPr>
          <w:tblHeader/>
        </w:trPr>
        <w:tc>
          <w:tcPr>
            <w:tcW w:w="788" w:type="pct"/>
            <w:vMerge w:val="restart"/>
            <w:shd w:val="clear" w:color="auto" w:fill="auto"/>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N (%)</w:t>
            </w:r>
          </w:p>
        </w:tc>
        <w:tc>
          <w:tcPr>
            <w:tcW w:w="881" w:type="pct"/>
            <w:tcBorders>
              <w:right w:val="double" w:sz="4" w:space="0" w:color="auto"/>
            </w:tcBorders>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OSMO</w:t>
            </w:r>
          </w:p>
        </w:tc>
        <w:tc>
          <w:tcPr>
            <w:tcW w:w="1072" w:type="pct"/>
            <w:gridSpan w:val="2"/>
            <w:tcBorders>
              <w:left w:val="double" w:sz="4" w:space="0" w:color="auto"/>
            </w:tcBorders>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MENSA</w:t>
            </w:r>
          </w:p>
        </w:tc>
        <w:tc>
          <w:tcPr>
            <w:tcW w:w="1075" w:type="pct"/>
            <w:gridSpan w:val="2"/>
            <w:shd w:val="clear" w:color="auto" w:fill="auto"/>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SIRIUS</w:t>
            </w:r>
          </w:p>
        </w:tc>
        <w:tc>
          <w:tcPr>
            <w:tcW w:w="1184" w:type="pct"/>
            <w:gridSpan w:val="2"/>
            <w:shd w:val="clear" w:color="auto" w:fill="auto"/>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MUSCA</w:t>
            </w:r>
          </w:p>
        </w:tc>
      </w:tr>
      <w:tr w:rsidR="00866665" w:rsidRPr="00C34584" w:rsidTr="00885CC4">
        <w:trPr>
          <w:tblHeader/>
        </w:trPr>
        <w:tc>
          <w:tcPr>
            <w:tcW w:w="788" w:type="pct"/>
            <w:vMerge/>
            <w:shd w:val="clear" w:color="auto" w:fill="auto"/>
          </w:tcPr>
          <w:p w:rsidR="00866665" w:rsidRPr="00C34584" w:rsidRDefault="00866665" w:rsidP="003C52B4">
            <w:pPr>
              <w:keepNext/>
              <w:rPr>
                <w:rFonts w:ascii="Arial Narrow" w:hAnsi="Arial Narrow"/>
                <w:sz w:val="20"/>
                <w:szCs w:val="20"/>
              </w:rPr>
            </w:pPr>
          </w:p>
        </w:tc>
        <w:tc>
          <w:tcPr>
            <w:tcW w:w="881" w:type="pct"/>
            <w:tcBorders>
              <w:right w:val="double" w:sz="4" w:space="0" w:color="auto"/>
            </w:tcBorders>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MEPO (N = 145)</w:t>
            </w:r>
          </w:p>
        </w:tc>
        <w:tc>
          <w:tcPr>
            <w:tcW w:w="535" w:type="pct"/>
            <w:tcBorders>
              <w:left w:val="double" w:sz="4" w:space="0" w:color="auto"/>
            </w:tcBorders>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MEPO</w:t>
            </w:r>
          </w:p>
        </w:tc>
        <w:tc>
          <w:tcPr>
            <w:tcW w:w="537" w:type="pct"/>
            <w:shd w:val="clear" w:color="auto" w:fill="auto"/>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PBO</w:t>
            </w:r>
          </w:p>
        </w:tc>
        <w:tc>
          <w:tcPr>
            <w:tcW w:w="537" w:type="pct"/>
            <w:shd w:val="clear" w:color="auto" w:fill="auto"/>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MEPO</w:t>
            </w:r>
          </w:p>
        </w:tc>
        <w:tc>
          <w:tcPr>
            <w:tcW w:w="538" w:type="pct"/>
            <w:shd w:val="clear" w:color="auto" w:fill="auto"/>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PBO</w:t>
            </w:r>
          </w:p>
        </w:tc>
        <w:tc>
          <w:tcPr>
            <w:tcW w:w="537" w:type="pct"/>
            <w:shd w:val="clear" w:color="auto" w:fill="auto"/>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MEPO</w:t>
            </w:r>
          </w:p>
        </w:tc>
        <w:tc>
          <w:tcPr>
            <w:tcW w:w="647" w:type="pct"/>
            <w:shd w:val="clear" w:color="auto" w:fill="auto"/>
          </w:tcPr>
          <w:p w:rsidR="00866665" w:rsidRPr="00C34584" w:rsidRDefault="00866665" w:rsidP="00866665">
            <w:pPr>
              <w:keepNext/>
              <w:jc w:val="center"/>
              <w:rPr>
                <w:rFonts w:ascii="Arial Narrow" w:hAnsi="Arial Narrow"/>
                <w:b/>
                <w:sz w:val="20"/>
                <w:szCs w:val="20"/>
              </w:rPr>
            </w:pPr>
            <w:r w:rsidRPr="00C34584">
              <w:rPr>
                <w:rFonts w:ascii="Arial Narrow" w:hAnsi="Arial Narrow"/>
                <w:b/>
                <w:sz w:val="20"/>
                <w:szCs w:val="20"/>
              </w:rPr>
              <w:t>PBO</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Any AEs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124 (86%)</w:t>
            </w:r>
          </w:p>
        </w:tc>
        <w:tc>
          <w:tcPr>
            <w:tcW w:w="535" w:type="pct"/>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152 (</w:t>
            </w:r>
            <w:r w:rsidR="00E00F46" w:rsidRPr="00C34584">
              <w:rPr>
                <w:rFonts w:ascii="Arial Narrow" w:hAnsi="Arial Narrow"/>
                <w:sz w:val="20"/>
                <w:szCs w:val="20"/>
              </w:rPr>
              <w:t>7</w:t>
            </w:r>
            <w:r w:rsidRPr="00C34584">
              <w:rPr>
                <w:rFonts w:ascii="Arial Narrow" w:hAnsi="Arial Narrow"/>
                <w:sz w:val="20"/>
                <w:szCs w:val="20"/>
              </w:rPr>
              <w:t>8%)</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158 (83%)</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57 (83%)</w:t>
            </w:r>
          </w:p>
        </w:tc>
        <w:tc>
          <w:tcPr>
            <w:tcW w:w="53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61(92%)</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192 (70%)</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207 (74%)</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Treatment-related AEs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33 (23%)</w:t>
            </w:r>
          </w:p>
        </w:tc>
        <w:tc>
          <w:tcPr>
            <w:tcW w:w="535" w:type="pct"/>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39 (20%)</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30 (16%)</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21 (30%)</w:t>
            </w:r>
          </w:p>
        </w:tc>
        <w:tc>
          <w:tcPr>
            <w:tcW w:w="53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12 (18%)</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31 (11%)</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25 (9%)</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SAEs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16 (11%)</w:t>
            </w:r>
          </w:p>
        </w:tc>
        <w:tc>
          <w:tcPr>
            <w:tcW w:w="535" w:type="pct"/>
            <w:tcBorders>
              <w:left w:val="double" w:sz="4" w:space="0" w:color="auto"/>
            </w:tcBorders>
          </w:tcPr>
          <w:p w:rsidR="00866665" w:rsidRPr="00C34584" w:rsidRDefault="00866665" w:rsidP="00E00F46">
            <w:pPr>
              <w:keepNext/>
              <w:rPr>
                <w:rFonts w:ascii="Arial Narrow" w:hAnsi="Arial Narrow"/>
                <w:sz w:val="20"/>
                <w:szCs w:val="20"/>
              </w:rPr>
            </w:pPr>
            <w:r w:rsidRPr="00C34584">
              <w:rPr>
                <w:rFonts w:ascii="Arial Narrow" w:hAnsi="Arial Narrow"/>
                <w:sz w:val="20"/>
                <w:szCs w:val="20"/>
              </w:rPr>
              <w:t>16 (8</w:t>
            </w:r>
            <w:r w:rsidR="00E00F46" w:rsidRPr="00C34584">
              <w:rPr>
                <w:rFonts w:ascii="Arial Narrow" w:hAnsi="Arial Narrow"/>
                <w:sz w:val="20"/>
                <w:szCs w:val="20"/>
              </w:rPr>
              <w:t>%</w:t>
            </w:r>
            <w:r w:rsidRPr="00C34584">
              <w:rPr>
                <w:rFonts w:ascii="Arial Narrow" w:hAnsi="Arial Narrow"/>
                <w:sz w:val="20"/>
                <w:szCs w:val="20"/>
              </w:rPr>
              <w:t>)</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27 (14%)</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21 (30%)</w:t>
            </w:r>
          </w:p>
        </w:tc>
        <w:tc>
          <w:tcPr>
            <w:tcW w:w="53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18 (12%)</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15 (5%)</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22 (8%)</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Withdrawals due to AEs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 (1%)</w:t>
            </w:r>
          </w:p>
        </w:tc>
        <w:tc>
          <w:tcPr>
            <w:tcW w:w="535" w:type="pct"/>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 (1%)</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4 (2%)</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3 (4%)</w:t>
            </w:r>
          </w:p>
        </w:tc>
        <w:tc>
          <w:tcPr>
            <w:tcW w:w="53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3 (5%)</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 (&lt; 1%)</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3 (1%)</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Deaths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c>
          <w:tcPr>
            <w:tcW w:w="535" w:type="pct"/>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 (1%)</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c>
          <w:tcPr>
            <w:tcW w:w="53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 (2%)</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r>
      <w:tr w:rsidR="00866665" w:rsidRPr="00C34584" w:rsidTr="00AD36C7">
        <w:tc>
          <w:tcPr>
            <w:tcW w:w="788" w:type="pct"/>
          </w:tcPr>
          <w:p w:rsidR="00866665" w:rsidRPr="00C34584" w:rsidRDefault="00866665" w:rsidP="0002393E">
            <w:pPr>
              <w:keepNext/>
              <w:rPr>
                <w:rFonts w:ascii="Arial Narrow" w:hAnsi="Arial Narrow"/>
                <w:sz w:val="20"/>
                <w:szCs w:val="20"/>
              </w:rPr>
            </w:pPr>
            <w:r w:rsidRPr="00C34584">
              <w:rPr>
                <w:rFonts w:ascii="Arial Narrow" w:hAnsi="Arial Narrow"/>
                <w:sz w:val="20"/>
                <w:szCs w:val="20"/>
              </w:rPr>
              <w:t>Most common AEs</w:t>
            </w:r>
            <w:r w:rsidRPr="00C34584">
              <w:rPr>
                <w:rFonts w:ascii="Arial Narrow" w:hAnsi="Arial Narrow"/>
                <w:color w:val="000000" w:themeColor="dark1"/>
                <w:kern w:val="24"/>
                <w:position w:val="7"/>
                <w:sz w:val="20"/>
                <w:szCs w:val="20"/>
                <w:vertAlign w:val="superscript"/>
                <w:lang w:val="en-GB"/>
              </w:rPr>
              <w:t xml:space="preserve"> </w:t>
            </w:r>
            <w:r w:rsidRPr="00C34584">
              <w:rPr>
                <w:rFonts w:ascii="Arial Narrow" w:hAnsi="Arial Narrow"/>
                <w:sz w:val="20"/>
                <w:szCs w:val="20"/>
              </w:rPr>
              <w:t>(≥10%)</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Headache (28%), URTI (17%), bronchitis (13%), arthralgia (10%), fatigue (10%)</w:t>
            </w:r>
          </w:p>
        </w:tc>
        <w:tc>
          <w:tcPr>
            <w:tcW w:w="2147" w:type="pct"/>
            <w:gridSpan w:val="4"/>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Asthma worsening, nasopharyngitis, headache, URTI, bronchitis, sinusitis, fatigue</w:t>
            </w:r>
          </w:p>
        </w:tc>
        <w:tc>
          <w:tcPr>
            <w:tcW w:w="1184" w:type="pct"/>
            <w:gridSpan w:val="2"/>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Headache, nasopharyngitis</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Injection-site reactions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5 (3%)</w:t>
            </w:r>
          </w:p>
        </w:tc>
        <w:tc>
          <w:tcPr>
            <w:tcW w:w="535" w:type="pct"/>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17 (9%)</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6 (3%)</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4 (6%)</w:t>
            </w:r>
          </w:p>
        </w:tc>
        <w:tc>
          <w:tcPr>
            <w:tcW w:w="53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 (3%)</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7 (3%)</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6 (2%)</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Systemic hypersensitivity</w:t>
            </w:r>
          </w:p>
        </w:tc>
        <w:tc>
          <w:tcPr>
            <w:tcW w:w="881" w:type="pct"/>
            <w:tcBorders>
              <w:right w:val="double" w:sz="4" w:space="0" w:color="auto"/>
            </w:tcBorders>
          </w:tcPr>
          <w:p w:rsidR="00866665" w:rsidRPr="00C34584" w:rsidRDefault="00866665" w:rsidP="0002393E">
            <w:pPr>
              <w:keepNext/>
              <w:rPr>
                <w:rFonts w:ascii="Arial Narrow" w:hAnsi="Arial Narrow"/>
                <w:sz w:val="20"/>
                <w:szCs w:val="20"/>
              </w:rPr>
            </w:pPr>
            <w:r w:rsidRPr="00C34584">
              <w:rPr>
                <w:rFonts w:ascii="Arial Narrow" w:hAnsi="Arial Narrow"/>
                <w:sz w:val="20"/>
                <w:szCs w:val="20"/>
              </w:rPr>
              <w:t>1 (&lt; 1%)</w:t>
            </w:r>
          </w:p>
        </w:tc>
        <w:tc>
          <w:tcPr>
            <w:tcW w:w="1072" w:type="pct"/>
            <w:gridSpan w:val="2"/>
            <w:tcBorders>
              <w:left w:val="double" w:sz="4" w:space="0" w:color="auto"/>
            </w:tcBorders>
          </w:tcPr>
          <w:p w:rsidR="00866665" w:rsidRPr="00C34584" w:rsidRDefault="00866665" w:rsidP="003C52B4">
            <w:pPr>
              <w:keepNext/>
              <w:jc w:val="center"/>
              <w:rPr>
                <w:rFonts w:ascii="Arial Narrow" w:hAnsi="Arial Narrow"/>
                <w:sz w:val="20"/>
                <w:szCs w:val="20"/>
              </w:rPr>
            </w:pPr>
            <w:r w:rsidRPr="00C34584">
              <w:rPr>
                <w:rFonts w:ascii="Arial Narrow" w:hAnsi="Arial Narrow"/>
                <w:sz w:val="20"/>
                <w:szCs w:val="20"/>
              </w:rPr>
              <w:t>N/A</w:t>
            </w:r>
          </w:p>
        </w:tc>
        <w:tc>
          <w:tcPr>
            <w:tcW w:w="1075" w:type="pct"/>
            <w:gridSpan w:val="2"/>
          </w:tcPr>
          <w:p w:rsidR="00866665" w:rsidRPr="00C34584" w:rsidRDefault="00866665" w:rsidP="003C52B4">
            <w:pPr>
              <w:keepNext/>
              <w:jc w:val="center"/>
              <w:rPr>
                <w:rFonts w:ascii="Arial Narrow" w:hAnsi="Arial Narrow"/>
                <w:sz w:val="20"/>
                <w:szCs w:val="20"/>
              </w:rPr>
            </w:pPr>
            <w:r w:rsidRPr="00C34584">
              <w:rPr>
                <w:rFonts w:ascii="Arial Narrow" w:hAnsi="Arial Narrow"/>
                <w:sz w:val="20"/>
                <w:szCs w:val="20"/>
              </w:rPr>
              <w:t>N/A</w:t>
            </w:r>
          </w:p>
        </w:tc>
        <w:tc>
          <w:tcPr>
            <w:tcW w:w="537" w:type="pct"/>
          </w:tcPr>
          <w:p w:rsidR="00866665" w:rsidRPr="00C34584" w:rsidRDefault="00866665" w:rsidP="003C52B4">
            <w:pPr>
              <w:keepNext/>
              <w:jc w:val="center"/>
              <w:rPr>
                <w:rFonts w:ascii="Arial Narrow" w:hAnsi="Arial Narrow"/>
                <w:sz w:val="20"/>
                <w:szCs w:val="20"/>
              </w:rPr>
            </w:pPr>
            <w:r w:rsidRPr="00C34584">
              <w:rPr>
                <w:rFonts w:ascii="Arial Narrow" w:hAnsi="Arial Narrow"/>
                <w:sz w:val="20"/>
                <w:szCs w:val="20"/>
              </w:rPr>
              <w:t>2 (&lt; 1%)</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2 (&lt; 1%)</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Anti-drug antibodies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11 (8%)</w:t>
            </w:r>
          </w:p>
        </w:tc>
        <w:tc>
          <w:tcPr>
            <w:tcW w:w="535" w:type="pct"/>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9 (5%)</w:t>
            </w:r>
          </w:p>
        </w:tc>
        <w:tc>
          <w:tcPr>
            <w:tcW w:w="537" w:type="pct"/>
          </w:tcPr>
          <w:p w:rsidR="00866665" w:rsidRPr="00C34584" w:rsidRDefault="00866665" w:rsidP="0002393E">
            <w:pPr>
              <w:keepNext/>
              <w:rPr>
                <w:rFonts w:ascii="Arial Narrow" w:hAnsi="Arial Narrow"/>
                <w:sz w:val="20"/>
                <w:szCs w:val="20"/>
              </w:rPr>
            </w:pPr>
            <w:r w:rsidRPr="00C34584">
              <w:rPr>
                <w:rFonts w:ascii="Arial Narrow" w:hAnsi="Arial Narrow"/>
                <w:sz w:val="20"/>
                <w:szCs w:val="20"/>
              </w:rPr>
              <w:t>4 (2%)</w:t>
            </w:r>
          </w:p>
        </w:tc>
        <w:tc>
          <w:tcPr>
            <w:tcW w:w="1075" w:type="pct"/>
            <w:gridSpan w:val="2"/>
          </w:tcPr>
          <w:p w:rsidR="00866665" w:rsidRPr="00C34584" w:rsidRDefault="00866665" w:rsidP="003C52B4">
            <w:pPr>
              <w:keepNext/>
              <w:jc w:val="center"/>
              <w:rPr>
                <w:rFonts w:ascii="Arial Narrow" w:hAnsi="Arial Narrow"/>
                <w:sz w:val="20"/>
                <w:szCs w:val="20"/>
              </w:rPr>
            </w:pPr>
            <w:r w:rsidRPr="00C34584">
              <w:rPr>
                <w:rFonts w:ascii="Arial Narrow" w:hAnsi="Arial Narrow"/>
                <w:sz w:val="20"/>
                <w:szCs w:val="20"/>
              </w:rPr>
              <w:t>6 (4%)</w:t>
            </w:r>
          </w:p>
        </w:tc>
        <w:tc>
          <w:tcPr>
            <w:tcW w:w="537" w:type="pct"/>
          </w:tcPr>
          <w:p w:rsidR="00866665" w:rsidRPr="00C34584" w:rsidRDefault="00866665" w:rsidP="003C52B4">
            <w:pPr>
              <w:keepNext/>
              <w:jc w:val="center"/>
              <w:rPr>
                <w:rFonts w:ascii="Arial Narrow" w:hAnsi="Arial Narrow"/>
                <w:sz w:val="20"/>
                <w:szCs w:val="20"/>
              </w:rPr>
            </w:pPr>
            <w:r w:rsidRPr="00C34584">
              <w:rPr>
                <w:rFonts w:ascii="Arial Narrow" w:hAnsi="Arial Narrow"/>
                <w:sz w:val="20"/>
                <w:szCs w:val="20"/>
              </w:rPr>
              <w:t>10 (4%)</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5 (2%)</w:t>
            </w:r>
          </w:p>
        </w:tc>
      </w:tr>
      <w:tr w:rsidR="00866665" w:rsidRPr="00C34584" w:rsidTr="00AD36C7">
        <w:tc>
          <w:tcPr>
            <w:tcW w:w="788"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Neutralising antibodies</w:t>
            </w:r>
          </w:p>
        </w:tc>
        <w:tc>
          <w:tcPr>
            <w:tcW w:w="881" w:type="pct"/>
            <w:tcBorders>
              <w:righ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c>
          <w:tcPr>
            <w:tcW w:w="535" w:type="pct"/>
            <w:tcBorders>
              <w:left w:val="double" w:sz="4" w:space="0" w:color="auto"/>
            </w:tcBorders>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c>
          <w:tcPr>
            <w:tcW w:w="53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c>
          <w:tcPr>
            <w:tcW w:w="1075" w:type="pct"/>
            <w:gridSpan w:val="2"/>
          </w:tcPr>
          <w:p w:rsidR="00866665" w:rsidRPr="00C34584" w:rsidRDefault="00866665" w:rsidP="003C52B4">
            <w:pPr>
              <w:keepNext/>
              <w:jc w:val="center"/>
              <w:rPr>
                <w:rFonts w:ascii="Arial Narrow" w:hAnsi="Arial Narrow"/>
                <w:sz w:val="20"/>
                <w:szCs w:val="20"/>
              </w:rPr>
            </w:pPr>
            <w:r w:rsidRPr="00C34584">
              <w:rPr>
                <w:rFonts w:ascii="Arial Narrow" w:hAnsi="Arial Narrow"/>
                <w:sz w:val="20"/>
                <w:szCs w:val="20"/>
              </w:rPr>
              <w:t>1</w:t>
            </w:r>
            <w:r w:rsidR="00AD36C7" w:rsidRPr="00C34584">
              <w:rPr>
                <w:rFonts w:ascii="Arial Narrow" w:hAnsi="Arial Narrow"/>
                <w:sz w:val="20"/>
                <w:szCs w:val="20"/>
              </w:rPr>
              <w:t xml:space="preserve"> </w:t>
            </w:r>
            <w:r w:rsidRPr="00C34584">
              <w:rPr>
                <w:rFonts w:ascii="Arial Narrow" w:hAnsi="Arial Narrow"/>
                <w:sz w:val="20"/>
                <w:szCs w:val="20"/>
              </w:rPr>
              <w:t>(&lt;</w:t>
            </w:r>
            <w:r w:rsidR="00AD36C7" w:rsidRPr="00C34584">
              <w:rPr>
                <w:rFonts w:ascii="Arial Narrow" w:hAnsi="Arial Narrow"/>
                <w:sz w:val="20"/>
                <w:szCs w:val="20"/>
              </w:rPr>
              <w:t xml:space="preserve"> </w:t>
            </w:r>
            <w:r w:rsidRPr="00C34584">
              <w:rPr>
                <w:rFonts w:ascii="Arial Narrow" w:hAnsi="Arial Narrow"/>
                <w:sz w:val="20"/>
                <w:szCs w:val="20"/>
              </w:rPr>
              <w:t>1%)</w:t>
            </w:r>
          </w:p>
        </w:tc>
        <w:tc>
          <w:tcPr>
            <w:tcW w:w="537" w:type="pct"/>
          </w:tcPr>
          <w:p w:rsidR="00866665" w:rsidRPr="00C34584" w:rsidRDefault="00866665" w:rsidP="003C52B4">
            <w:pPr>
              <w:keepNext/>
              <w:jc w:val="center"/>
              <w:rPr>
                <w:rFonts w:ascii="Arial Narrow" w:hAnsi="Arial Narrow"/>
                <w:sz w:val="20"/>
                <w:szCs w:val="20"/>
              </w:rPr>
            </w:pPr>
            <w:r w:rsidRPr="00C34584">
              <w:rPr>
                <w:rFonts w:ascii="Arial Narrow" w:hAnsi="Arial Narrow"/>
                <w:sz w:val="20"/>
                <w:szCs w:val="20"/>
              </w:rPr>
              <w:t>0</w:t>
            </w:r>
          </w:p>
        </w:tc>
        <w:tc>
          <w:tcPr>
            <w:tcW w:w="647" w:type="pct"/>
          </w:tcPr>
          <w:p w:rsidR="00866665" w:rsidRPr="00C34584" w:rsidRDefault="00866665" w:rsidP="003C52B4">
            <w:pPr>
              <w:keepNext/>
              <w:rPr>
                <w:rFonts w:ascii="Arial Narrow" w:hAnsi="Arial Narrow"/>
                <w:sz w:val="20"/>
                <w:szCs w:val="20"/>
              </w:rPr>
            </w:pPr>
            <w:r w:rsidRPr="00C34584">
              <w:rPr>
                <w:rFonts w:ascii="Arial Narrow" w:hAnsi="Arial Narrow"/>
                <w:sz w:val="20"/>
                <w:szCs w:val="20"/>
              </w:rPr>
              <w:t>0</w:t>
            </w:r>
          </w:p>
        </w:tc>
      </w:tr>
    </w:tbl>
    <w:p w:rsidR="003C52B4" w:rsidRPr="00C34584" w:rsidRDefault="003C52B4" w:rsidP="003C52B4">
      <w:pPr>
        <w:keepNext/>
        <w:spacing w:after="120"/>
        <w:ind w:left="-11"/>
        <w:rPr>
          <w:rFonts w:ascii="Arial Narrow" w:hAnsi="Arial Narrow"/>
          <w:snapToGrid w:val="0"/>
          <w:sz w:val="18"/>
          <w:szCs w:val="18"/>
          <w:lang w:eastAsia="en-US"/>
        </w:rPr>
      </w:pPr>
      <w:r w:rsidRPr="00C34584">
        <w:rPr>
          <w:rFonts w:ascii="Arial Narrow" w:hAnsi="Arial Narrow"/>
          <w:snapToGrid w:val="0"/>
          <w:sz w:val="18"/>
          <w:szCs w:val="18"/>
          <w:lang w:eastAsia="en-US"/>
        </w:rPr>
        <w:t xml:space="preserve">Source: </w:t>
      </w:r>
      <w:r w:rsidR="0002393E" w:rsidRPr="00C34584">
        <w:rPr>
          <w:rFonts w:ascii="Arial Narrow" w:hAnsi="Arial Narrow"/>
          <w:snapToGrid w:val="0"/>
          <w:sz w:val="18"/>
          <w:szCs w:val="18"/>
          <w:lang w:eastAsia="en-US"/>
        </w:rPr>
        <w:t xml:space="preserve">Table 12, p16 of the </w:t>
      </w:r>
      <w:r w:rsidRPr="00C34584">
        <w:rPr>
          <w:rFonts w:ascii="Arial Narrow" w:hAnsi="Arial Narrow"/>
          <w:snapToGrid w:val="0"/>
          <w:sz w:val="18"/>
          <w:szCs w:val="18"/>
          <w:lang w:eastAsia="en-US"/>
        </w:rPr>
        <w:t xml:space="preserve">Minor </w:t>
      </w:r>
      <w:r w:rsidR="0002393E" w:rsidRPr="00C34584">
        <w:rPr>
          <w:rFonts w:ascii="Arial Narrow" w:hAnsi="Arial Narrow"/>
          <w:snapToGrid w:val="0"/>
          <w:sz w:val="18"/>
          <w:szCs w:val="18"/>
          <w:lang w:eastAsia="en-US"/>
        </w:rPr>
        <w:t>s</w:t>
      </w:r>
      <w:r w:rsidRPr="00C34584">
        <w:rPr>
          <w:rFonts w:ascii="Arial Narrow" w:hAnsi="Arial Narrow"/>
          <w:snapToGrid w:val="0"/>
          <w:sz w:val="18"/>
          <w:szCs w:val="18"/>
          <w:lang w:eastAsia="en-US"/>
        </w:rPr>
        <w:t>ubmission</w:t>
      </w:r>
      <w:r w:rsidR="00E00F46" w:rsidRPr="00C34584">
        <w:rPr>
          <w:rFonts w:ascii="Arial Narrow" w:hAnsi="Arial Narrow"/>
          <w:snapToGrid w:val="0"/>
          <w:sz w:val="18"/>
          <w:szCs w:val="18"/>
          <w:lang w:eastAsia="en-US"/>
        </w:rPr>
        <w:t xml:space="preserve"> </w:t>
      </w:r>
    </w:p>
    <w:p w:rsidR="00E00F46" w:rsidRPr="00C34584" w:rsidRDefault="00866665" w:rsidP="00364E6F">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 xml:space="preserve">The submission stated that 86% of patients reported an </w:t>
      </w:r>
      <w:r w:rsidR="009D43E2" w:rsidRPr="00C34584">
        <w:rPr>
          <w:rFonts w:asciiTheme="minorHAnsi" w:hAnsiTheme="minorHAnsi"/>
          <w:sz w:val="24"/>
          <w:szCs w:val="24"/>
        </w:rPr>
        <w:t>adverse event</w:t>
      </w:r>
      <w:r w:rsidR="000F2FFD">
        <w:rPr>
          <w:rFonts w:asciiTheme="minorHAnsi" w:hAnsiTheme="minorHAnsi"/>
          <w:sz w:val="24"/>
          <w:szCs w:val="24"/>
        </w:rPr>
        <w:t>;</w:t>
      </w:r>
      <w:r w:rsidRPr="00C34584">
        <w:rPr>
          <w:rFonts w:asciiTheme="minorHAnsi" w:hAnsiTheme="minorHAnsi"/>
          <w:sz w:val="24"/>
          <w:szCs w:val="24"/>
        </w:rPr>
        <w:t xml:space="preserve"> 23% </w:t>
      </w:r>
      <w:r w:rsidR="009D43E2" w:rsidRPr="00C34584">
        <w:rPr>
          <w:rFonts w:asciiTheme="minorHAnsi" w:hAnsiTheme="minorHAnsi"/>
          <w:sz w:val="24"/>
          <w:szCs w:val="24"/>
        </w:rPr>
        <w:t xml:space="preserve">of </w:t>
      </w:r>
      <w:r w:rsidR="000F2FFD">
        <w:rPr>
          <w:rFonts w:asciiTheme="minorHAnsi" w:hAnsiTheme="minorHAnsi"/>
          <w:sz w:val="24"/>
          <w:szCs w:val="24"/>
        </w:rPr>
        <w:t>patients reported an adverse event that</w:t>
      </w:r>
      <w:r w:rsidR="000F2FFD" w:rsidRPr="00C34584">
        <w:rPr>
          <w:rFonts w:asciiTheme="minorHAnsi" w:hAnsiTheme="minorHAnsi"/>
          <w:sz w:val="24"/>
          <w:szCs w:val="24"/>
        </w:rPr>
        <w:t xml:space="preserve"> </w:t>
      </w:r>
      <w:r w:rsidRPr="00C34584">
        <w:rPr>
          <w:rFonts w:asciiTheme="minorHAnsi" w:hAnsiTheme="minorHAnsi"/>
          <w:sz w:val="24"/>
          <w:szCs w:val="24"/>
        </w:rPr>
        <w:t>w</w:t>
      </w:r>
      <w:r w:rsidR="000F2FFD">
        <w:rPr>
          <w:rFonts w:asciiTheme="minorHAnsi" w:hAnsiTheme="minorHAnsi"/>
          <w:sz w:val="24"/>
          <w:szCs w:val="24"/>
        </w:rPr>
        <w:t>as</w:t>
      </w:r>
      <w:r w:rsidRPr="00C34584">
        <w:rPr>
          <w:rFonts w:asciiTheme="minorHAnsi" w:hAnsiTheme="minorHAnsi"/>
          <w:sz w:val="24"/>
          <w:szCs w:val="24"/>
        </w:rPr>
        <w:t xml:space="preserve"> considered to be </w:t>
      </w:r>
      <w:r w:rsidR="009D43E2" w:rsidRPr="00C34584">
        <w:rPr>
          <w:rFonts w:asciiTheme="minorHAnsi" w:hAnsiTheme="minorHAnsi"/>
          <w:sz w:val="24"/>
          <w:szCs w:val="24"/>
        </w:rPr>
        <w:t xml:space="preserve">related to treatment. </w:t>
      </w:r>
      <w:r w:rsidR="00A60339" w:rsidRPr="00C34584">
        <w:rPr>
          <w:rFonts w:asciiTheme="minorHAnsi" w:hAnsiTheme="minorHAnsi"/>
          <w:sz w:val="24"/>
          <w:szCs w:val="24"/>
        </w:rPr>
        <w:t>The submission stated that 11% of patients in OSMO reported serious adverse events, none of which were considered to be related to treatment.</w:t>
      </w:r>
    </w:p>
    <w:p w:rsidR="00E00F46" w:rsidRPr="00C34584" w:rsidRDefault="00E00F46" w:rsidP="00364E6F">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 xml:space="preserve">The submission stated that 8% of patients </w:t>
      </w:r>
      <w:r w:rsidR="00AD36C7" w:rsidRPr="00C34584">
        <w:rPr>
          <w:rFonts w:asciiTheme="minorHAnsi" w:hAnsiTheme="minorHAnsi"/>
          <w:sz w:val="24"/>
          <w:szCs w:val="24"/>
        </w:rPr>
        <w:t xml:space="preserve">in OSMO </w:t>
      </w:r>
      <w:r w:rsidRPr="00C34584">
        <w:rPr>
          <w:rFonts w:asciiTheme="minorHAnsi" w:hAnsiTheme="minorHAnsi"/>
          <w:sz w:val="24"/>
          <w:szCs w:val="24"/>
        </w:rPr>
        <w:t xml:space="preserve">had anti-mepolizumab antibodies detected at any time post-baseline. </w:t>
      </w:r>
      <w:r w:rsidR="00AD36C7" w:rsidRPr="00C34584">
        <w:rPr>
          <w:rFonts w:asciiTheme="minorHAnsi" w:hAnsiTheme="minorHAnsi"/>
          <w:sz w:val="24"/>
          <w:szCs w:val="24"/>
        </w:rPr>
        <w:t>This was higher than observed in other trials of mepolizumab. In OSMO, p</w:t>
      </w:r>
      <w:r w:rsidRPr="00C34584">
        <w:rPr>
          <w:rFonts w:asciiTheme="minorHAnsi" w:hAnsiTheme="minorHAnsi"/>
          <w:sz w:val="24"/>
          <w:szCs w:val="24"/>
        </w:rPr>
        <w:t>ost-baseline samples were negative for neutralising antibodies.</w:t>
      </w:r>
    </w:p>
    <w:p w:rsidR="00364E6F" w:rsidRDefault="00E00F46" w:rsidP="00364E6F">
      <w:pPr>
        <w:pStyle w:val="ListParagraph"/>
        <w:widowControl/>
        <w:numPr>
          <w:ilvl w:val="1"/>
          <w:numId w:val="14"/>
        </w:numPr>
        <w:spacing w:after="120"/>
        <w:ind w:left="709"/>
        <w:contextualSpacing w:val="0"/>
        <w:rPr>
          <w:rFonts w:asciiTheme="minorHAnsi" w:hAnsiTheme="minorHAnsi"/>
          <w:sz w:val="24"/>
          <w:szCs w:val="24"/>
        </w:rPr>
      </w:pPr>
      <w:r w:rsidRPr="00C34584">
        <w:rPr>
          <w:rFonts w:asciiTheme="minorHAnsi" w:hAnsiTheme="minorHAnsi"/>
          <w:sz w:val="24"/>
          <w:szCs w:val="24"/>
        </w:rPr>
        <w:t>T</w:t>
      </w:r>
      <w:r w:rsidR="00364E6F" w:rsidRPr="00C34584">
        <w:rPr>
          <w:rFonts w:asciiTheme="minorHAnsi" w:hAnsiTheme="minorHAnsi"/>
          <w:sz w:val="24"/>
          <w:szCs w:val="24"/>
        </w:rPr>
        <w:t xml:space="preserve">he submission </w:t>
      </w:r>
      <w:r w:rsidRPr="00C34584">
        <w:rPr>
          <w:rFonts w:asciiTheme="minorHAnsi" w:hAnsiTheme="minorHAnsi"/>
          <w:sz w:val="24"/>
          <w:szCs w:val="24"/>
        </w:rPr>
        <w:t xml:space="preserve">concluded that </w:t>
      </w:r>
      <w:r w:rsidR="00ED2D9B" w:rsidRPr="00C34584">
        <w:rPr>
          <w:rFonts w:asciiTheme="minorHAnsi" w:hAnsiTheme="minorHAnsi"/>
          <w:sz w:val="24"/>
          <w:szCs w:val="24"/>
        </w:rPr>
        <w:t xml:space="preserve">the safety and immunogenicity profile of mepolizumab in </w:t>
      </w:r>
      <w:r w:rsidRPr="00C34584">
        <w:rPr>
          <w:rFonts w:asciiTheme="minorHAnsi" w:hAnsiTheme="minorHAnsi"/>
          <w:sz w:val="24"/>
          <w:szCs w:val="24"/>
        </w:rPr>
        <w:t>OSMO</w:t>
      </w:r>
      <w:r w:rsidR="00ED2D9B" w:rsidRPr="00C34584">
        <w:rPr>
          <w:rFonts w:asciiTheme="minorHAnsi" w:hAnsiTheme="minorHAnsi"/>
          <w:sz w:val="24"/>
          <w:szCs w:val="24"/>
        </w:rPr>
        <w:t xml:space="preserve"> was consistent with the known safety profile </w:t>
      </w:r>
      <w:r w:rsidRPr="00C34584">
        <w:rPr>
          <w:rFonts w:asciiTheme="minorHAnsi" w:hAnsiTheme="minorHAnsi"/>
          <w:sz w:val="24"/>
          <w:szCs w:val="24"/>
        </w:rPr>
        <w:t>observed in</w:t>
      </w:r>
      <w:r w:rsidR="00ED2D9B" w:rsidRPr="00C34584">
        <w:rPr>
          <w:rFonts w:asciiTheme="minorHAnsi" w:hAnsiTheme="minorHAnsi"/>
          <w:sz w:val="24"/>
          <w:szCs w:val="24"/>
        </w:rPr>
        <w:t xml:space="preserve"> previous </w:t>
      </w:r>
      <w:r w:rsidRPr="00C34584">
        <w:rPr>
          <w:rFonts w:asciiTheme="minorHAnsi" w:hAnsiTheme="minorHAnsi"/>
          <w:sz w:val="24"/>
          <w:szCs w:val="24"/>
        </w:rPr>
        <w:t xml:space="preserve">randomised placebo-controlled trials of mepolizumab </w:t>
      </w:r>
      <w:r w:rsidR="00ED2D9B" w:rsidRPr="00C34584">
        <w:rPr>
          <w:rFonts w:asciiTheme="minorHAnsi" w:hAnsiTheme="minorHAnsi"/>
          <w:sz w:val="24"/>
          <w:szCs w:val="24"/>
        </w:rPr>
        <w:t>(MENSA, SIRIUS, MUSCA)</w:t>
      </w:r>
      <w:r w:rsidRPr="00C34584">
        <w:rPr>
          <w:rFonts w:asciiTheme="minorHAnsi" w:hAnsiTheme="minorHAnsi"/>
          <w:sz w:val="24"/>
          <w:szCs w:val="24"/>
        </w:rPr>
        <w:t>.</w:t>
      </w:r>
      <w:r w:rsidR="00ED2D9B" w:rsidRPr="00C34584">
        <w:rPr>
          <w:rFonts w:asciiTheme="minorHAnsi" w:hAnsiTheme="minorHAnsi"/>
          <w:sz w:val="24"/>
          <w:szCs w:val="24"/>
        </w:rPr>
        <w:t xml:space="preserve"> </w:t>
      </w:r>
    </w:p>
    <w:p w:rsidR="0030439D" w:rsidRPr="00C34584" w:rsidRDefault="0030439D" w:rsidP="00867961">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The PBAC considered that the OSMO </w:t>
      </w:r>
      <w:r w:rsidR="00D80433">
        <w:rPr>
          <w:rFonts w:asciiTheme="minorHAnsi" w:hAnsiTheme="minorHAnsi"/>
          <w:sz w:val="24"/>
          <w:szCs w:val="24"/>
        </w:rPr>
        <w:t>study</w:t>
      </w:r>
      <w:r>
        <w:rPr>
          <w:rFonts w:asciiTheme="minorHAnsi" w:hAnsiTheme="minorHAnsi"/>
          <w:sz w:val="24"/>
          <w:szCs w:val="24"/>
        </w:rPr>
        <w:t xml:space="preserve"> </w:t>
      </w:r>
      <w:r w:rsidR="00867961">
        <w:rPr>
          <w:rFonts w:asciiTheme="minorHAnsi" w:hAnsiTheme="minorHAnsi"/>
          <w:sz w:val="24"/>
          <w:szCs w:val="24"/>
        </w:rPr>
        <w:t>demonstrated that</w:t>
      </w:r>
      <w:r w:rsidR="00867961" w:rsidRPr="00867961">
        <w:rPr>
          <w:rFonts w:asciiTheme="minorHAnsi" w:hAnsiTheme="minorHAnsi"/>
          <w:sz w:val="24"/>
          <w:szCs w:val="24"/>
        </w:rPr>
        <w:t xml:space="preserve"> mepolizumab, when used following a direct switch from omalizumab (without a washout period), was well tolerated</w:t>
      </w:r>
      <w:r w:rsidR="00867961">
        <w:rPr>
          <w:rFonts w:asciiTheme="minorHAnsi" w:hAnsiTheme="minorHAnsi"/>
          <w:sz w:val="24"/>
          <w:szCs w:val="24"/>
        </w:rPr>
        <w:t xml:space="preserve">, with a safety profile consistent with </w:t>
      </w:r>
      <w:r w:rsidR="00867961" w:rsidRPr="00C34584">
        <w:rPr>
          <w:rFonts w:asciiTheme="minorHAnsi" w:hAnsiTheme="minorHAnsi"/>
          <w:sz w:val="24"/>
          <w:szCs w:val="24"/>
        </w:rPr>
        <w:t>previous randomised placebo-controlled trials of mepolizumab</w:t>
      </w:r>
      <w:r w:rsidR="00867961">
        <w:rPr>
          <w:rFonts w:asciiTheme="minorHAnsi" w:hAnsiTheme="minorHAnsi"/>
          <w:sz w:val="24"/>
          <w:szCs w:val="24"/>
        </w:rPr>
        <w:t>.</w:t>
      </w:r>
    </w:p>
    <w:p w:rsidR="005A3173" w:rsidRPr="00885CC4" w:rsidRDefault="005A3173" w:rsidP="008306F3">
      <w:pPr>
        <w:pStyle w:val="Heading2"/>
        <w:keepLines/>
        <w:spacing w:before="240" w:after="120"/>
        <w:rPr>
          <w:rFonts w:asciiTheme="minorHAnsi" w:eastAsiaTheme="majorEastAsia" w:hAnsiTheme="minorHAnsi" w:cstheme="majorBidi"/>
          <w:sz w:val="28"/>
          <w:szCs w:val="28"/>
          <w:lang w:eastAsia="en-US"/>
        </w:rPr>
      </w:pPr>
      <w:r w:rsidRPr="00885CC4">
        <w:rPr>
          <w:rFonts w:asciiTheme="minorHAnsi" w:eastAsiaTheme="majorEastAsia" w:hAnsiTheme="minorHAnsi" w:cstheme="majorBidi"/>
          <w:sz w:val="28"/>
          <w:szCs w:val="28"/>
          <w:lang w:eastAsia="en-US"/>
        </w:rPr>
        <w:t>Estimated PBS usage &amp; financial implications</w:t>
      </w:r>
    </w:p>
    <w:p w:rsidR="00A93322" w:rsidRPr="006B5B12" w:rsidRDefault="00FF2801" w:rsidP="000F4B51">
      <w:pPr>
        <w:pStyle w:val="ListParagraph"/>
        <w:widowControl/>
        <w:numPr>
          <w:ilvl w:val="1"/>
          <w:numId w:val="14"/>
        </w:numPr>
        <w:spacing w:after="120"/>
        <w:contextualSpacing w:val="0"/>
        <w:rPr>
          <w:rFonts w:asciiTheme="minorHAnsi" w:hAnsiTheme="minorHAnsi"/>
          <w:b/>
          <w:sz w:val="24"/>
          <w:szCs w:val="24"/>
        </w:rPr>
      </w:pPr>
      <w:r w:rsidRPr="00C34584">
        <w:rPr>
          <w:rFonts w:asciiTheme="minorHAnsi" w:hAnsiTheme="minorHAnsi"/>
          <w:sz w:val="24"/>
          <w:szCs w:val="24"/>
        </w:rPr>
        <w:t xml:space="preserve">The submission </w:t>
      </w:r>
      <w:r w:rsidR="00A93322" w:rsidRPr="00C34584">
        <w:rPr>
          <w:rFonts w:asciiTheme="minorHAnsi" w:hAnsiTheme="minorHAnsi"/>
          <w:sz w:val="24"/>
          <w:szCs w:val="24"/>
        </w:rPr>
        <w:t>stated that there would be no additional cost to the PBS/RPBS associated with the requested change to the restriction (removing the six-month treatment break between omalizumab and mepolizumab</w:t>
      </w:r>
      <w:r w:rsidR="00CB6188">
        <w:rPr>
          <w:rFonts w:asciiTheme="minorHAnsi" w:hAnsiTheme="minorHAnsi"/>
          <w:sz w:val="24"/>
          <w:szCs w:val="24"/>
        </w:rPr>
        <w:t>)</w:t>
      </w:r>
      <w:r w:rsidR="00A93322" w:rsidRPr="00C34584">
        <w:rPr>
          <w:rFonts w:asciiTheme="minorHAnsi" w:hAnsiTheme="minorHAnsi"/>
          <w:sz w:val="24"/>
          <w:szCs w:val="24"/>
        </w:rPr>
        <w:t xml:space="preserve">. </w:t>
      </w:r>
      <w:r w:rsidR="00A93322" w:rsidRPr="006B5B12">
        <w:rPr>
          <w:rFonts w:asciiTheme="minorHAnsi" w:hAnsiTheme="minorHAnsi"/>
          <w:sz w:val="24"/>
          <w:szCs w:val="24"/>
        </w:rPr>
        <w:t>Th</w:t>
      </w:r>
      <w:r w:rsidR="00306A51" w:rsidRPr="006B5B12">
        <w:rPr>
          <w:rFonts w:asciiTheme="minorHAnsi" w:hAnsiTheme="minorHAnsi"/>
          <w:sz w:val="24"/>
          <w:szCs w:val="24"/>
        </w:rPr>
        <w:t xml:space="preserve">e submission </w:t>
      </w:r>
      <w:r w:rsidR="006B5B12">
        <w:rPr>
          <w:rFonts w:asciiTheme="minorHAnsi" w:hAnsiTheme="minorHAnsi"/>
          <w:sz w:val="24"/>
          <w:szCs w:val="24"/>
        </w:rPr>
        <w:t>claim</w:t>
      </w:r>
      <w:r w:rsidR="00306A51" w:rsidRPr="006B5B12">
        <w:rPr>
          <w:rFonts w:asciiTheme="minorHAnsi" w:hAnsiTheme="minorHAnsi"/>
          <w:sz w:val="24"/>
          <w:szCs w:val="24"/>
        </w:rPr>
        <w:t>ed th</w:t>
      </w:r>
      <w:r w:rsidR="00A93322" w:rsidRPr="006B5B12">
        <w:rPr>
          <w:rFonts w:asciiTheme="minorHAnsi" w:hAnsiTheme="minorHAnsi"/>
          <w:sz w:val="24"/>
          <w:szCs w:val="24"/>
        </w:rPr>
        <w:t xml:space="preserve">is was because </w:t>
      </w:r>
      <w:r w:rsidR="000F4B51" w:rsidRPr="006B5B12">
        <w:rPr>
          <w:rFonts w:asciiTheme="minorHAnsi" w:hAnsiTheme="minorHAnsi"/>
          <w:sz w:val="24"/>
          <w:szCs w:val="24"/>
        </w:rPr>
        <w:t xml:space="preserve">mepolizumab was listed </w:t>
      </w:r>
      <w:r w:rsidR="00A93322" w:rsidRPr="006B5B12">
        <w:rPr>
          <w:rFonts w:asciiTheme="minorHAnsi" w:hAnsiTheme="minorHAnsi"/>
          <w:sz w:val="24"/>
          <w:szCs w:val="24"/>
        </w:rPr>
        <w:t xml:space="preserve">on a cost-minimisation basis with omalizumab. </w:t>
      </w:r>
    </w:p>
    <w:p w:rsidR="00306A51" w:rsidRPr="006608B7" w:rsidRDefault="00A93322" w:rsidP="00D0554E">
      <w:pPr>
        <w:pStyle w:val="ListParagraph"/>
        <w:widowControl/>
        <w:numPr>
          <w:ilvl w:val="1"/>
          <w:numId w:val="14"/>
        </w:numPr>
        <w:spacing w:after="120"/>
        <w:contextualSpacing w:val="0"/>
        <w:rPr>
          <w:rFonts w:asciiTheme="minorHAnsi" w:hAnsiTheme="minorHAnsi"/>
          <w:b/>
          <w:sz w:val="24"/>
          <w:szCs w:val="24"/>
        </w:rPr>
      </w:pPr>
      <w:r w:rsidRPr="006B5B12">
        <w:rPr>
          <w:rFonts w:asciiTheme="minorHAnsi" w:hAnsiTheme="minorHAnsi"/>
          <w:sz w:val="24"/>
          <w:szCs w:val="24"/>
        </w:rPr>
        <w:t xml:space="preserve">The submission acknowledged that currently, during the six-month </w:t>
      </w:r>
      <w:r w:rsidR="006B5B12">
        <w:rPr>
          <w:rFonts w:asciiTheme="minorHAnsi" w:hAnsiTheme="minorHAnsi"/>
          <w:sz w:val="24"/>
          <w:szCs w:val="24"/>
        </w:rPr>
        <w:t>interval</w:t>
      </w:r>
      <w:r w:rsidRPr="006B5B12">
        <w:rPr>
          <w:rFonts w:asciiTheme="minorHAnsi" w:hAnsiTheme="minorHAnsi"/>
          <w:sz w:val="24"/>
          <w:szCs w:val="24"/>
        </w:rPr>
        <w:t xml:space="preserve"> patients would be treated with corticosteroid therapy </w:t>
      </w:r>
      <w:r w:rsidR="00306A51" w:rsidRPr="006B5B12">
        <w:rPr>
          <w:rFonts w:asciiTheme="minorHAnsi" w:hAnsiTheme="minorHAnsi"/>
          <w:sz w:val="24"/>
          <w:szCs w:val="24"/>
        </w:rPr>
        <w:t>(</w:t>
      </w:r>
      <w:r w:rsidRPr="006B5B12">
        <w:rPr>
          <w:rFonts w:asciiTheme="minorHAnsi" w:hAnsiTheme="minorHAnsi"/>
          <w:sz w:val="24"/>
          <w:szCs w:val="24"/>
        </w:rPr>
        <w:t>which has a lower cost to the PBS</w:t>
      </w:r>
      <w:r w:rsidR="00306A51" w:rsidRPr="006B5B12">
        <w:rPr>
          <w:rFonts w:asciiTheme="minorHAnsi" w:hAnsiTheme="minorHAnsi"/>
          <w:sz w:val="24"/>
          <w:szCs w:val="24"/>
        </w:rPr>
        <w:t>)</w:t>
      </w:r>
      <w:r w:rsidRPr="006B5B12">
        <w:rPr>
          <w:rFonts w:asciiTheme="minorHAnsi" w:hAnsiTheme="minorHAnsi"/>
          <w:sz w:val="24"/>
          <w:szCs w:val="24"/>
        </w:rPr>
        <w:t xml:space="preserve"> but that this would be offset by </w:t>
      </w:r>
      <w:r w:rsidR="00306A51" w:rsidRPr="006B5B12">
        <w:rPr>
          <w:rFonts w:asciiTheme="minorHAnsi" w:hAnsiTheme="minorHAnsi"/>
          <w:sz w:val="24"/>
          <w:szCs w:val="24"/>
        </w:rPr>
        <w:t xml:space="preserve">an </w:t>
      </w:r>
      <w:r w:rsidRPr="006B5B12">
        <w:rPr>
          <w:rFonts w:asciiTheme="minorHAnsi" w:hAnsiTheme="minorHAnsi"/>
          <w:sz w:val="24"/>
          <w:szCs w:val="24"/>
        </w:rPr>
        <w:t>increased risk of exacerbations</w:t>
      </w:r>
      <w:r w:rsidR="00306A51" w:rsidRPr="006B5B12">
        <w:rPr>
          <w:rFonts w:asciiTheme="minorHAnsi" w:hAnsiTheme="minorHAnsi"/>
          <w:sz w:val="24"/>
          <w:szCs w:val="24"/>
        </w:rPr>
        <w:t xml:space="preserve"> (which are associated with increased GP and hospital costs). </w:t>
      </w:r>
      <w:r w:rsidR="006B5B12">
        <w:rPr>
          <w:rFonts w:asciiTheme="minorHAnsi" w:hAnsiTheme="minorHAnsi"/>
          <w:sz w:val="24"/>
          <w:szCs w:val="24"/>
        </w:rPr>
        <w:t>As such</w:t>
      </w:r>
      <w:r w:rsidR="00D0554E" w:rsidRPr="006B5B12">
        <w:rPr>
          <w:rFonts w:asciiTheme="minorHAnsi" w:hAnsiTheme="minorHAnsi"/>
          <w:sz w:val="24"/>
          <w:szCs w:val="24"/>
        </w:rPr>
        <w:t>,</w:t>
      </w:r>
      <w:r w:rsidR="00306A51" w:rsidRPr="006B5B12">
        <w:rPr>
          <w:rFonts w:asciiTheme="minorHAnsi" w:hAnsiTheme="minorHAnsi"/>
          <w:sz w:val="24"/>
          <w:szCs w:val="24"/>
        </w:rPr>
        <w:t xml:space="preserve"> the requested change </w:t>
      </w:r>
      <w:r w:rsidR="00D0554E" w:rsidRPr="006B5B12">
        <w:rPr>
          <w:rFonts w:asciiTheme="minorHAnsi" w:hAnsiTheme="minorHAnsi"/>
          <w:sz w:val="24"/>
          <w:szCs w:val="24"/>
        </w:rPr>
        <w:t xml:space="preserve">may </w:t>
      </w:r>
      <w:r w:rsidR="00306A51" w:rsidRPr="006B5B12">
        <w:rPr>
          <w:rFonts w:asciiTheme="minorHAnsi" w:hAnsiTheme="minorHAnsi"/>
          <w:sz w:val="24"/>
          <w:szCs w:val="24"/>
        </w:rPr>
        <w:t xml:space="preserve">be associated with increased costs to the PBS/RPBS, for example due to increased </w:t>
      </w:r>
      <w:r w:rsidR="006B5B12">
        <w:rPr>
          <w:rFonts w:asciiTheme="minorHAnsi" w:hAnsiTheme="minorHAnsi"/>
          <w:sz w:val="24"/>
          <w:szCs w:val="24"/>
        </w:rPr>
        <w:t xml:space="preserve">mepolizumab </w:t>
      </w:r>
      <w:r w:rsidR="00306A51" w:rsidRPr="006B5B12">
        <w:rPr>
          <w:rFonts w:asciiTheme="minorHAnsi" w:hAnsiTheme="minorHAnsi"/>
          <w:sz w:val="24"/>
          <w:szCs w:val="24"/>
        </w:rPr>
        <w:t xml:space="preserve">drug costs during the six-month </w:t>
      </w:r>
      <w:r w:rsidR="00A60339" w:rsidRPr="006B5B12">
        <w:rPr>
          <w:rFonts w:asciiTheme="minorHAnsi" w:hAnsiTheme="minorHAnsi"/>
          <w:sz w:val="24"/>
          <w:szCs w:val="24"/>
        </w:rPr>
        <w:t>treatment break</w:t>
      </w:r>
      <w:r w:rsidR="00306A51" w:rsidRPr="006B5B12">
        <w:rPr>
          <w:rFonts w:asciiTheme="minorHAnsi" w:hAnsiTheme="minorHAnsi"/>
          <w:sz w:val="24"/>
          <w:szCs w:val="24"/>
        </w:rPr>
        <w:t>.</w:t>
      </w:r>
    </w:p>
    <w:p w:rsidR="00C34584" w:rsidRPr="006B5B12" w:rsidRDefault="00C34584" w:rsidP="00BF6508">
      <w:pPr>
        <w:pStyle w:val="ListParagraph"/>
        <w:snapToGrid w:val="0"/>
        <w:spacing w:after="120"/>
        <w:contextualSpacing w:val="0"/>
        <w:rPr>
          <w:rFonts w:asciiTheme="minorHAnsi" w:eastAsiaTheme="minorHAnsi" w:hAnsiTheme="minorHAnsi" w:cstheme="minorBidi"/>
          <w:i/>
          <w:sz w:val="24"/>
          <w:szCs w:val="22"/>
        </w:rPr>
      </w:pPr>
      <w:r w:rsidRPr="006B5B12">
        <w:rPr>
          <w:rFonts w:asciiTheme="minorHAnsi" w:eastAsiaTheme="minorHAnsi" w:hAnsiTheme="minorHAnsi" w:cstheme="minorBidi"/>
          <w:i/>
          <w:sz w:val="24"/>
          <w:szCs w:val="22"/>
        </w:rPr>
        <w:t>For more deta</w:t>
      </w:r>
      <w:r w:rsidR="00D22F30">
        <w:rPr>
          <w:rFonts w:asciiTheme="minorHAnsi" w:eastAsiaTheme="minorHAnsi" w:hAnsiTheme="minorHAnsi" w:cstheme="minorBidi"/>
          <w:i/>
          <w:sz w:val="24"/>
          <w:szCs w:val="22"/>
        </w:rPr>
        <w:t>il on PBAC’s view, see section 6</w:t>
      </w:r>
      <w:r w:rsidRPr="006B5B12">
        <w:rPr>
          <w:rFonts w:asciiTheme="minorHAnsi" w:eastAsiaTheme="minorHAnsi" w:hAnsiTheme="minorHAnsi" w:cstheme="minorBidi"/>
          <w:i/>
          <w:sz w:val="24"/>
          <w:szCs w:val="22"/>
        </w:rPr>
        <w:t xml:space="preserve"> PBAC Outcome.</w:t>
      </w:r>
    </w:p>
    <w:p w:rsidR="003B68CB" w:rsidRPr="000E22EB" w:rsidRDefault="003B68CB" w:rsidP="00BF6508">
      <w:pPr>
        <w:widowControl w:val="0"/>
        <w:numPr>
          <w:ilvl w:val="0"/>
          <w:numId w:val="5"/>
        </w:numPr>
        <w:spacing w:before="240" w:after="120"/>
        <w:jc w:val="both"/>
        <w:outlineLvl w:val="0"/>
        <w:rPr>
          <w:rFonts w:asciiTheme="minorHAnsi" w:hAnsiTheme="minorHAnsi" w:cs="Arial"/>
          <w:b/>
          <w:snapToGrid w:val="0"/>
          <w:sz w:val="32"/>
          <w:szCs w:val="32"/>
          <w:lang w:eastAsia="en-US"/>
        </w:rPr>
      </w:pPr>
      <w:r w:rsidRPr="000E22EB">
        <w:rPr>
          <w:rFonts w:asciiTheme="minorHAnsi" w:hAnsiTheme="minorHAnsi" w:cs="Arial"/>
          <w:b/>
          <w:snapToGrid w:val="0"/>
          <w:sz w:val="32"/>
          <w:szCs w:val="32"/>
          <w:lang w:eastAsia="en-US"/>
        </w:rPr>
        <w:t>PBAC Outcome</w:t>
      </w:r>
    </w:p>
    <w:p w:rsidR="00D0554E" w:rsidRPr="00F5777B" w:rsidRDefault="00D0554E" w:rsidP="00203E5B">
      <w:pPr>
        <w:pStyle w:val="ListParagraph"/>
        <w:numPr>
          <w:ilvl w:val="1"/>
          <w:numId w:val="5"/>
        </w:numPr>
        <w:spacing w:after="120"/>
        <w:contextualSpacing w:val="0"/>
        <w:rPr>
          <w:rFonts w:asciiTheme="minorHAnsi" w:hAnsiTheme="minorHAnsi"/>
          <w:bCs/>
          <w:sz w:val="24"/>
          <w:szCs w:val="24"/>
          <w:lang w:val="en-GB"/>
        </w:rPr>
      </w:pPr>
      <w:r w:rsidRPr="00D0554E">
        <w:rPr>
          <w:rFonts w:asciiTheme="minorHAnsi" w:hAnsiTheme="minorHAnsi"/>
          <w:bCs/>
          <w:sz w:val="24"/>
          <w:szCs w:val="24"/>
          <w:lang w:val="en-GB"/>
        </w:rPr>
        <w:t xml:space="preserve">The PBAC deferred </w:t>
      </w:r>
      <w:r w:rsidR="00B927E4">
        <w:rPr>
          <w:rFonts w:asciiTheme="minorHAnsi" w:hAnsiTheme="minorHAnsi"/>
          <w:bCs/>
          <w:sz w:val="24"/>
          <w:szCs w:val="24"/>
          <w:lang w:val="en-GB"/>
        </w:rPr>
        <w:t xml:space="preserve">making a </w:t>
      </w:r>
      <w:r w:rsidR="00B927E4" w:rsidRPr="00F5777B">
        <w:rPr>
          <w:rFonts w:asciiTheme="minorHAnsi" w:hAnsiTheme="minorHAnsi"/>
          <w:bCs/>
          <w:sz w:val="24"/>
          <w:szCs w:val="24"/>
          <w:lang w:val="en-GB"/>
        </w:rPr>
        <w:t>decision on the request to remove</w:t>
      </w:r>
      <w:r w:rsidRPr="00F5777B">
        <w:rPr>
          <w:rFonts w:asciiTheme="minorHAnsi" w:hAnsiTheme="minorHAnsi"/>
          <w:bCs/>
          <w:sz w:val="24"/>
          <w:szCs w:val="24"/>
          <w:lang w:val="en-GB"/>
        </w:rPr>
        <w:t xml:space="preserve"> the six month treatment break when switching between different biologics</w:t>
      </w:r>
      <w:r w:rsidR="00203E5B">
        <w:rPr>
          <w:rFonts w:asciiTheme="minorHAnsi" w:hAnsiTheme="minorHAnsi"/>
          <w:bCs/>
          <w:sz w:val="24"/>
          <w:szCs w:val="24"/>
          <w:lang w:val="en-GB"/>
        </w:rPr>
        <w:t xml:space="preserve"> for the treatment of u</w:t>
      </w:r>
      <w:r w:rsidR="00203E5B" w:rsidRPr="00203E5B">
        <w:rPr>
          <w:rFonts w:asciiTheme="minorHAnsi" w:hAnsiTheme="minorHAnsi"/>
          <w:bCs/>
          <w:sz w:val="24"/>
          <w:szCs w:val="24"/>
          <w:lang w:val="en-GB"/>
        </w:rPr>
        <w:t>ncontrolled severe eosinophilic asthma</w:t>
      </w:r>
      <w:r w:rsidR="00203E5B">
        <w:rPr>
          <w:rFonts w:asciiTheme="minorHAnsi" w:hAnsiTheme="minorHAnsi"/>
          <w:bCs/>
          <w:sz w:val="24"/>
          <w:szCs w:val="24"/>
          <w:lang w:val="en-GB"/>
        </w:rPr>
        <w:t xml:space="preserve"> and u</w:t>
      </w:r>
      <w:r w:rsidR="00203E5B" w:rsidRPr="00203E5B">
        <w:rPr>
          <w:rFonts w:asciiTheme="minorHAnsi" w:hAnsiTheme="minorHAnsi"/>
          <w:bCs/>
          <w:sz w:val="24"/>
          <w:szCs w:val="24"/>
          <w:lang w:val="en-GB"/>
        </w:rPr>
        <w:t>ncontrolled severe allergic asthma</w:t>
      </w:r>
      <w:r w:rsidRPr="00F5777B">
        <w:rPr>
          <w:rFonts w:asciiTheme="minorHAnsi" w:hAnsiTheme="minorHAnsi"/>
          <w:bCs/>
          <w:sz w:val="24"/>
          <w:szCs w:val="24"/>
          <w:lang w:val="en-GB"/>
        </w:rPr>
        <w:t>. The PBAC considered that removal of the treatment break would have flow-on implications</w:t>
      </w:r>
      <w:r w:rsidR="003C0661" w:rsidRPr="00F5777B">
        <w:rPr>
          <w:rFonts w:asciiTheme="minorHAnsi" w:hAnsiTheme="minorHAnsi"/>
          <w:bCs/>
          <w:sz w:val="24"/>
          <w:szCs w:val="24"/>
          <w:lang w:val="en-GB"/>
        </w:rPr>
        <w:t xml:space="preserve"> and </w:t>
      </w:r>
      <w:r w:rsidR="00F5777B">
        <w:rPr>
          <w:rFonts w:asciiTheme="minorHAnsi" w:hAnsiTheme="minorHAnsi"/>
          <w:bCs/>
          <w:sz w:val="24"/>
          <w:szCs w:val="24"/>
          <w:lang w:val="en-GB"/>
        </w:rPr>
        <w:t xml:space="preserve">would </w:t>
      </w:r>
      <w:r w:rsidR="003C0661" w:rsidRPr="00F5777B">
        <w:rPr>
          <w:rFonts w:asciiTheme="minorHAnsi" w:hAnsiTheme="minorHAnsi"/>
          <w:bCs/>
          <w:sz w:val="24"/>
          <w:szCs w:val="24"/>
          <w:lang w:val="en-GB"/>
        </w:rPr>
        <w:t xml:space="preserve">require consideration of </w:t>
      </w:r>
      <w:r w:rsidR="00F5777B" w:rsidRPr="00F5777B">
        <w:rPr>
          <w:rFonts w:asciiTheme="minorHAnsi" w:hAnsiTheme="minorHAnsi"/>
          <w:bCs/>
          <w:sz w:val="24"/>
          <w:szCs w:val="24"/>
          <w:lang w:val="en-GB"/>
        </w:rPr>
        <w:t xml:space="preserve">issues around </w:t>
      </w:r>
      <w:r w:rsidR="003C0661" w:rsidRPr="00F5777B">
        <w:rPr>
          <w:rFonts w:asciiTheme="minorHAnsi" w:hAnsiTheme="minorHAnsi"/>
          <w:bCs/>
          <w:sz w:val="24"/>
          <w:szCs w:val="24"/>
          <w:lang w:val="en-GB"/>
        </w:rPr>
        <w:t>re-trialling</w:t>
      </w:r>
      <w:r w:rsidR="00F5777B" w:rsidRPr="00F5777B">
        <w:rPr>
          <w:rFonts w:asciiTheme="minorHAnsi" w:hAnsiTheme="minorHAnsi"/>
          <w:bCs/>
          <w:sz w:val="24"/>
          <w:szCs w:val="24"/>
          <w:lang w:val="en-GB"/>
        </w:rPr>
        <w:t xml:space="preserve"> of the same biologic</w:t>
      </w:r>
      <w:r w:rsidR="003C0661" w:rsidRPr="00F5777B">
        <w:rPr>
          <w:rFonts w:asciiTheme="minorHAnsi" w:hAnsiTheme="minorHAnsi"/>
          <w:bCs/>
          <w:sz w:val="24"/>
          <w:szCs w:val="24"/>
          <w:lang w:val="en-GB"/>
        </w:rPr>
        <w:t xml:space="preserve">, switching </w:t>
      </w:r>
      <w:r w:rsidR="00F5777B" w:rsidRPr="00F5777B">
        <w:rPr>
          <w:rFonts w:asciiTheme="minorHAnsi" w:hAnsiTheme="minorHAnsi"/>
          <w:bCs/>
          <w:sz w:val="24"/>
          <w:szCs w:val="24"/>
          <w:lang w:val="en-GB"/>
        </w:rPr>
        <w:t xml:space="preserve">between </w:t>
      </w:r>
      <w:r w:rsidR="003C0661" w:rsidRPr="00F5777B">
        <w:rPr>
          <w:rFonts w:asciiTheme="minorHAnsi" w:hAnsiTheme="minorHAnsi"/>
          <w:bCs/>
          <w:sz w:val="24"/>
          <w:szCs w:val="24"/>
          <w:lang w:val="en-GB"/>
        </w:rPr>
        <w:t xml:space="preserve">and cycling of biologics in </w:t>
      </w:r>
      <w:r w:rsidR="00F941B8">
        <w:rPr>
          <w:rFonts w:asciiTheme="minorHAnsi" w:hAnsiTheme="minorHAnsi"/>
          <w:bCs/>
          <w:sz w:val="24"/>
          <w:szCs w:val="24"/>
          <w:lang w:val="en-GB"/>
        </w:rPr>
        <w:t xml:space="preserve">severe </w:t>
      </w:r>
      <w:r w:rsidR="003C0661" w:rsidRPr="00F5777B">
        <w:rPr>
          <w:rFonts w:asciiTheme="minorHAnsi" w:hAnsiTheme="minorHAnsi"/>
          <w:bCs/>
          <w:sz w:val="24"/>
          <w:szCs w:val="24"/>
          <w:lang w:val="en-GB"/>
        </w:rPr>
        <w:t>asthma.</w:t>
      </w:r>
      <w:r w:rsidRPr="00F5777B">
        <w:rPr>
          <w:rFonts w:asciiTheme="minorHAnsi" w:hAnsiTheme="minorHAnsi"/>
          <w:bCs/>
          <w:sz w:val="24"/>
          <w:szCs w:val="24"/>
          <w:lang w:val="en-GB"/>
        </w:rPr>
        <w:t xml:space="preserve"> The deferral was to enable further consideration and broader discussion </w:t>
      </w:r>
      <w:r w:rsidR="00F5777B" w:rsidRPr="00F5777B">
        <w:rPr>
          <w:rFonts w:asciiTheme="minorHAnsi" w:hAnsiTheme="minorHAnsi"/>
          <w:bCs/>
          <w:sz w:val="24"/>
          <w:szCs w:val="24"/>
          <w:lang w:val="en-GB"/>
        </w:rPr>
        <w:t xml:space="preserve">given the complexity of these </w:t>
      </w:r>
      <w:r w:rsidR="00F5777B">
        <w:rPr>
          <w:rFonts w:asciiTheme="minorHAnsi" w:hAnsiTheme="minorHAnsi"/>
          <w:bCs/>
          <w:sz w:val="24"/>
          <w:szCs w:val="24"/>
          <w:lang w:val="en-GB"/>
        </w:rPr>
        <w:t>matters</w:t>
      </w:r>
      <w:r w:rsidRPr="00F5777B">
        <w:rPr>
          <w:rFonts w:asciiTheme="minorHAnsi" w:hAnsiTheme="minorHAnsi"/>
          <w:bCs/>
          <w:sz w:val="24"/>
          <w:szCs w:val="24"/>
          <w:lang w:val="en-GB"/>
        </w:rPr>
        <w:t xml:space="preserve">. </w:t>
      </w:r>
    </w:p>
    <w:p w:rsidR="00D0554E" w:rsidRPr="009B6700" w:rsidRDefault="00D0554E" w:rsidP="002D3BFE">
      <w:pPr>
        <w:pStyle w:val="ListParagraph"/>
        <w:numPr>
          <w:ilvl w:val="1"/>
          <w:numId w:val="5"/>
        </w:numPr>
        <w:spacing w:after="120"/>
        <w:contextualSpacing w:val="0"/>
        <w:rPr>
          <w:rFonts w:asciiTheme="minorHAnsi" w:hAnsiTheme="minorHAnsi"/>
          <w:bCs/>
          <w:sz w:val="24"/>
          <w:szCs w:val="24"/>
          <w:lang w:val="en-GB"/>
        </w:rPr>
      </w:pPr>
      <w:r w:rsidRPr="00001C05">
        <w:rPr>
          <w:rFonts w:asciiTheme="minorHAnsi" w:hAnsiTheme="minorHAnsi"/>
          <w:bCs/>
          <w:sz w:val="24"/>
          <w:szCs w:val="24"/>
          <w:lang w:val="en-GB"/>
        </w:rPr>
        <w:t>The PBAC noted that there was support from a number of clinician</w:t>
      </w:r>
      <w:r w:rsidR="006B5B12">
        <w:rPr>
          <w:rFonts w:asciiTheme="minorHAnsi" w:hAnsiTheme="minorHAnsi"/>
          <w:bCs/>
          <w:sz w:val="24"/>
          <w:szCs w:val="24"/>
          <w:lang w:val="en-GB"/>
        </w:rPr>
        <w:t xml:space="preserve"> group</w:t>
      </w:r>
      <w:r w:rsidRPr="00001C05">
        <w:rPr>
          <w:rFonts w:asciiTheme="minorHAnsi" w:hAnsiTheme="minorHAnsi"/>
          <w:bCs/>
          <w:sz w:val="24"/>
          <w:szCs w:val="24"/>
          <w:lang w:val="en-GB"/>
        </w:rPr>
        <w:t xml:space="preserve">s for </w:t>
      </w:r>
      <w:r w:rsidR="006B5B12">
        <w:rPr>
          <w:rFonts w:asciiTheme="minorHAnsi" w:hAnsiTheme="minorHAnsi"/>
          <w:bCs/>
          <w:sz w:val="24"/>
          <w:szCs w:val="24"/>
          <w:lang w:val="en-GB"/>
        </w:rPr>
        <w:t>changes</w:t>
      </w:r>
      <w:r w:rsidRPr="00001C05">
        <w:rPr>
          <w:rFonts w:asciiTheme="minorHAnsi" w:hAnsiTheme="minorHAnsi"/>
          <w:bCs/>
          <w:sz w:val="24"/>
          <w:szCs w:val="24"/>
          <w:lang w:val="en-GB"/>
        </w:rPr>
        <w:t xml:space="preserve"> to the six-month treatment break when switching between different biologics in severe asthma. The comments</w:t>
      </w:r>
      <w:r w:rsidRPr="009B6700">
        <w:rPr>
          <w:rFonts w:asciiTheme="minorHAnsi" w:hAnsiTheme="minorHAnsi"/>
          <w:bCs/>
          <w:sz w:val="24"/>
          <w:szCs w:val="24"/>
          <w:lang w:val="en-GB"/>
        </w:rPr>
        <w:t xml:space="preserve"> highlighted the </w:t>
      </w:r>
      <w:r w:rsidR="00C65E78" w:rsidRPr="009B6700">
        <w:rPr>
          <w:rFonts w:asciiTheme="minorHAnsi" w:hAnsiTheme="minorHAnsi"/>
          <w:bCs/>
          <w:sz w:val="24"/>
          <w:szCs w:val="24"/>
          <w:lang w:val="en-GB"/>
        </w:rPr>
        <w:t xml:space="preserve">range of inter-related factors that would need to be taken into account if any change were made to this aspect of the restriction. </w:t>
      </w:r>
    </w:p>
    <w:p w:rsidR="00867961" w:rsidRPr="00D40E82" w:rsidRDefault="00C65E78" w:rsidP="002D3BFE">
      <w:pPr>
        <w:pStyle w:val="ListParagraph"/>
        <w:numPr>
          <w:ilvl w:val="1"/>
          <w:numId w:val="5"/>
        </w:numPr>
        <w:spacing w:after="120"/>
        <w:contextualSpacing w:val="0"/>
        <w:rPr>
          <w:rFonts w:asciiTheme="minorHAnsi" w:hAnsiTheme="minorHAnsi"/>
          <w:bCs/>
          <w:sz w:val="24"/>
          <w:szCs w:val="24"/>
          <w:lang w:val="en-GB"/>
        </w:rPr>
      </w:pPr>
      <w:r w:rsidRPr="009B6700">
        <w:rPr>
          <w:rFonts w:asciiTheme="minorHAnsi" w:hAnsiTheme="minorHAnsi"/>
          <w:bCs/>
          <w:sz w:val="24"/>
          <w:szCs w:val="24"/>
          <w:lang w:val="en-GB"/>
        </w:rPr>
        <w:t>The PBAC not</w:t>
      </w:r>
      <w:r w:rsidR="00D40E82" w:rsidRPr="009B6700">
        <w:rPr>
          <w:rFonts w:asciiTheme="minorHAnsi" w:hAnsiTheme="minorHAnsi"/>
          <w:bCs/>
          <w:sz w:val="24"/>
          <w:szCs w:val="24"/>
          <w:lang w:val="en-GB"/>
        </w:rPr>
        <w:t>e</w:t>
      </w:r>
      <w:r w:rsidRPr="009B6700">
        <w:rPr>
          <w:rFonts w:asciiTheme="minorHAnsi" w:hAnsiTheme="minorHAnsi"/>
          <w:bCs/>
          <w:sz w:val="24"/>
          <w:szCs w:val="24"/>
          <w:lang w:val="en-GB"/>
        </w:rPr>
        <w:t xml:space="preserve">d that </w:t>
      </w:r>
      <w:r w:rsidR="00D40E82" w:rsidRPr="009B6700">
        <w:rPr>
          <w:rFonts w:asciiTheme="minorHAnsi" w:hAnsiTheme="minorHAnsi"/>
          <w:bCs/>
          <w:sz w:val="24"/>
          <w:szCs w:val="24"/>
          <w:lang w:val="en-GB"/>
        </w:rPr>
        <w:t xml:space="preserve">the </w:t>
      </w:r>
      <w:r w:rsidR="0090598C" w:rsidRPr="009B6700">
        <w:rPr>
          <w:rFonts w:asciiTheme="minorHAnsi" w:hAnsiTheme="minorHAnsi"/>
          <w:bCs/>
          <w:sz w:val="24"/>
          <w:szCs w:val="24"/>
          <w:lang w:val="en-GB"/>
        </w:rPr>
        <w:t>OSMO</w:t>
      </w:r>
      <w:r w:rsidR="00D40E82" w:rsidRPr="009B6700">
        <w:rPr>
          <w:rFonts w:asciiTheme="minorHAnsi" w:hAnsiTheme="minorHAnsi"/>
          <w:bCs/>
          <w:sz w:val="24"/>
          <w:szCs w:val="24"/>
          <w:lang w:val="en-GB"/>
        </w:rPr>
        <w:t xml:space="preserve"> study</w:t>
      </w:r>
      <w:r w:rsidR="0090598C" w:rsidRPr="009B6700">
        <w:rPr>
          <w:rFonts w:asciiTheme="minorHAnsi" w:hAnsiTheme="minorHAnsi"/>
          <w:bCs/>
          <w:sz w:val="24"/>
          <w:szCs w:val="24"/>
          <w:lang w:val="en-GB"/>
        </w:rPr>
        <w:t xml:space="preserve"> </w:t>
      </w:r>
      <w:r w:rsidR="00D40E82" w:rsidRPr="009B6700">
        <w:rPr>
          <w:rFonts w:asciiTheme="minorHAnsi" w:hAnsiTheme="minorHAnsi"/>
          <w:bCs/>
          <w:sz w:val="24"/>
          <w:szCs w:val="24"/>
          <w:lang w:val="en-GB"/>
        </w:rPr>
        <w:t>investigated</w:t>
      </w:r>
      <w:r w:rsidR="0090598C" w:rsidRPr="009B6700">
        <w:rPr>
          <w:rFonts w:asciiTheme="minorHAnsi" w:hAnsiTheme="minorHAnsi"/>
          <w:bCs/>
          <w:sz w:val="24"/>
          <w:szCs w:val="24"/>
          <w:lang w:val="en-GB"/>
        </w:rPr>
        <w:t xml:space="preserve"> </w:t>
      </w:r>
      <w:r w:rsidR="00D40E82" w:rsidRPr="009B6700">
        <w:rPr>
          <w:rFonts w:asciiTheme="minorHAnsi" w:hAnsiTheme="minorHAnsi"/>
          <w:bCs/>
          <w:sz w:val="24"/>
          <w:szCs w:val="24"/>
          <w:lang w:val="en-GB"/>
        </w:rPr>
        <w:t xml:space="preserve">the efficacy and safety of </w:t>
      </w:r>
      <w:r w:rsidR="00C24D56" w:rsidRPr="009B6700">
        <w:rPr>
          <w:rFonts w:asciiTheme="minorHAnsi" w:hAnsiTheme="minorHAnsi"/>
          <w:bCs/>
          <w:sz w:val="24"/>
          <w:szCs w:val="24"/>
          <w:lang w:val="en-GB"/>
        </w:rPr>
        <w:t xml:space="preserve">a direct </w:t>
      </w:r>
      <w:r w:rsidR="0090598C" w:rsidRPr="009B6700">
        <w:rPr>
          <w:rFonts w:asciiTheme="minorHAnsi" w:hAnsiTheme="minorHAnsi"/>
          <w:bCs/>
          <w:sz w:val="24"/>
          <w:szCs w:val="24"/>
          <w:lang w:val="en-GB"/>
        </w:rPr>
        <w:t>switch from omalizumab to mepolizumab</w:t>
      </w:r>
      <w:r w:rsidR="00D40E82" w:rsidRPr="009B6700">
        <w:rPr>
          <w:rFonts w:asciiTheme="minorHAnsi" w:hAnsiTheme="minorHAnsi"/>
          <w:bCs/>
          <w:sz w:val="24"/>
          <w:szCs w:val="24"/>
          <w:lang w:val="en-GB"/>
        </w:rPr>
        <w:t xml:space="preserve"> without a wash-out period</w:t>
      </w:r>
      <w:r w:rsidR="0090598C" w:rsidRPr="009B6700">
        <w:rPr>
          <w:rFonts w:asciiTheme="minorHAnsi" w:hAnsiTheme="minorHAnsi"/>
          <w:bCs/>
          <w:sz w:val="24"/>
          <w:szCs w:val="24"/>
          <w:lang w:val="en-GB"/>
        </w:rPr>
        <w:t xml:space="preserve">. </w:t>
      </w:r>
      <w:r w:rsidR="00867961" w:rsidRPr="00D40E82">
        <w:rPr>
          <w:rFonts w:asciiTheme="minorHAnsi" w:hAnsiTheme="minorHAnsi"/>
          <w:bCs/>
          <w:sz w:val="24"/>
          <w:szCs w:val="24"/>
          <w:lang w:val="en-GB"/>
        </w:rPr>
        <w:t>The PBAC considered that</w:t>
      </w:r>
      <w:r w:rsidR="007C022D">
        <w:rPr>
          <w:rFonts w:asciiTheme="minorHAnsi" w:hAnsiTheme="minorHAnsi"/>
          <w:bCs/>
          <w:sz w:val="24"/>
          <w:szCs w:val="24"/>
          <w:lang w:val="en-GB"/>
        </w:rPr>
        <w:t>, based on the data provided,</w:t>
      </w:r>
      <w:r w:rsidR="00867961" w:rsidRPr="00D40E82">
        <w:rPr>
          <w:rFonts w:asciiTheme="minorHAnsi" w:hAnsiTheme="minorHAnsi"/>
          <w:bCs/>
          <w:sz w:val="24"/>
          <w:szCs w:val="24"/>
          <w:lang w:val="en-GB"/>
        </w:rPr>
        <w:t xml:space="preserve"> mepolizumab when used following a direct switch from omalizumab (without a washout period) had a safety profile consistent with previous randomised placebo-controlled trials of mepolizumab.</w:t>
      </w:r>
    </w:p>
    <w:p w:rsidR="00C65E78" w:rsidRPr="00C65E78" w:rsidRDefault="00C65E78" w:rsidP="00C65E78">
      <w:pPr>
        <w:widowControl w:val="0"/>
        <w:numPr>
          <w:ilvl w:val="1"/>
          <w:numId w:val="5"/>
        </w:numPr>
        <w:spacing w:after="120"/>
        <w:jc w:val="both"/>
        <w:rPr>
          <w:rFonts w:asciiTheme="minorHAnsi" w:hAnsiTheme="minorHAnsi" w:cs="Arial"/>
          <w:bCs/>
          <w:snapToGrid w:val="0"/>
          <w:lang w:val="en-GB" w:eastAsia="en-US"/>
        </w:rPr>
      </w:pPr>
      <w:r w:rsidRPr="00C65E78">
        <w:rPr>
          <w:rFonts w:asciiTheme="minorHAnsi" w:hAnsiTheme="minorHAnsi" w:cs="Arial"/>
          <w:bCs/>
          <w:snapToGrid w:val="0"/>
          <w:lang w:val="en-GB" w:eastAsia="en-US"/>
        </w:rPr>
        <w:t xml:space="preserve">The PBAC noted the six month treatment break was originally based on the omalizumab restriction when it was the only biologic listed for asthma and the requirement initially only related to re-trialling omalizumab in patients with </w:t>
      </w:r>
      <w:r w:rsidR="00001C05">
        <w:rPr>
          <w:rFonts w:asciiTheme="minorHAnsi" w:hAnsiTheme="minorHAnsi" w:cs="Arial"/>
          <w:bCs/>
          <w:snapToGrid w:val="0"/>
          <w:lang w:val="en-GB" w:eastAsia="en-US"/>
        </w:rPr>
        <w:t xml:space="preserve">an </w:t>
      </w:r>
      <w:r w:rsidRPr="00C65E78">
        <w:rPr>
          <w:rFonts w:asciiTheme="minorHAnsi" w:hAnsiTheme="minorHAnsi" w:cs="Arial"/>
          <w:bCs/>
          <w:snapToGrid w:val="0"/>
          <w:lang w:val="en-GB" w:eastAsia="en-US"/>
        </w:rPr>
        <w:t>inadequate response.</w:t>
      </w:r>
    </w:p>
    <w:p w:rsidR="00C65E78" w:rsidRPr="000E22EB" w:rsidRDefault="00C65E78" w:rsidP="00C65E78">
      <w:pPr>
        <w:widowControl w:val="0"/>
        <w:numPr>
          <w:ilvl w:val="1"/>
          <w:numId w:val="5"/>
        </w:numPr>
        <w:spacing w:after="120"/>
        <w:jc w:val="both"/>
        <w:rPr>
          <w:rFonts w:asciiTheme="minorHAnsi" w:hAnsiTheme="minorHAnsi" w:cs="Arial"/>
          <w:bCs/>
          <w:snapToGrid w:val="0"/>
          <w:lang w:val="en-GB" w:eastAsia="en-US"/>
        </w:rPr>
      </w:pPr>
      <w:r w:rsidRPr="000E22EB">
        <w:rPr>
          <w:rFonts w:asciiTheme="minorHAnsi" w:hAnsiTheme="minorHAnsi" w:cs="Arial"/>
          <w:bCs/>
          <w:snapToGrid w:val="0"/>
          <w:lang w:val="en-GB" w:eastAsia="en-US"/>
        </w:rPr>
        <w:t xml:space="preserve">The PBAC noted that the treatment breaks when switching between different biologics were somewhat consistent with the exclusion criteria of the key trials of biologics in asthma. The </w:t>
      </w:r>
      <w:r w:rsidR="000E22EB" w:rsidRPr="000E22EB">
        <w:rPr>
          <w:rFonts w:asciiTheme="minorHAnsi" w:hAnsiTheme="minorHAnsi" w:cs="Arial"/>
          <w:bCs/>
          <w:snapToGrid w:val="0"/>
          <w:lang w:val="en-GB" w:eastAsia="en-US"/>
        </w:rPr>
        <w:t xml:space="preserve">PBAC noted that the </w:t>
      </w:r>
      <w:r w:rsidRPr="000E22EB">
        <w:rPr>
          <w:rFonts w:asciiTheme="minorHAnsi" w:hAnsiTheme="minorHAnsi" w:cs="Arial"/>
          <w:bCs/>
          <w:snapToGrid w:val="0"/>
          <w:lang w:val="en-GB" w:eastAsia="en-US"/>
        </w:rPr>
        <w:t xml:space="preserve">original mepolizumab restriction </w:t>
      </w:r>
      <w:r w:rsidR="00001C05" w:rsidRPr="000E22EB">
        <w:rPr>
          <w:rFonts w:asciiTheme="minorHAnsi" w:hAnsiTheme="minorHAnsi" w:cs="Arial"/>
          <w:bCs/>
          <w:snapToGrid w:val="0"/>
          <w:lang w:val="en-GB" w:eastAsia="en-US"/>
        </w:rPr>
        <w:t xml:space="preserve">that was </w:t>
      </w:r>
      <w:r w:rsidRPr="000E22EB">
        <w:rPr>
          <w:rFonts w:asciiTheme="minorHAnsi" w:hAnsiTheme="minorHAnsi" w:cs="Arial"/>
          <w:bCs/>
          <w:snapToGrid w:val="0"/>
          <w:lang w:val="en-GB" w:eastAsia="en-US"/>
        </w:rPr>
        <w:t>proposed by the sponsor</w:t>
      </w:r>
      <w:r w:rsidR="00001C05" w:rsidRPr="000E22EB">
        <w:rPr>
          <w:rFonts w:asciiTheme="minorHAnsi" w:hAnsiTheme="minorHAnsi" w:cs="Arial"/>
          <w:bCs/>
          <w:snapToGrid w:val="0"/>
          <w:lang w:val="en-GB" w:eastAsia="en-US"/>
        </w:rPr>
        <w:t xml:space="preserve"> (in March 2017)</w:t>
      </w:r>
      <w:r w:rsidRPr="000E22EB">
        <w:rPr>
          <w:rFonts w:asciiTheme="minorHAnsi" w:hAnsiTheme="minorHAnsi" w:cs="Arial"/>
          <w:bCs/>
          <w:snapToGrid w:val="0"/>
          <w:lang w:val="en-GB" w:eastAsia="en-US"/>
        </w:rPr>
        <w:t xml:space="preserve"> </w:t>
      </w:r>
      <w:r w:rsidR="002D3BFE" w:rsidRPr="000E22EB">
        <w:rPr>
          <w:rFonts w:asciiTheme="minorHAnsi" w:hAnsiTheme="minorHAnsi" w:cs="Arial"/>
          <w:bCs/>
          <w:snapToGrid w:val="0"/>
          <w:lang w:val="en-GB" w:eastAsia="en-US"/>
        </w:rPr>
        <w:t>request</w:t>
      </w:r>
      <w:r w:rsidRPr="000E22EB">
        <w:rPr>
          <w:rFonts w:asciiTheme="minorHAnsi" w:hAnsiTheme="minorHAnsi" w:cs="Arial"/>
          <w:bCs/>
          <w:snapToGrid w:val="0"/>
          <w:lang w:val="en-GB" w:eastAsia="en-US"/>
        </w:rPr>
        <w:t xml:space="preserve">ed a 130 day </w:t>
      </w:r>
      <w:r w:rsidR="002D3BFE" w:rsidRPr="000E22EB">
        <w:rPr>
          <w:rFonts w:asciiTheme="minorHAnsi" w:hAnsiTheme="minorHAnsi" w:cs="Arial"/>
          <w:bCs/>
          <w:snapToGrid w:val="0"/>
          <w:lang w:val="en-GB" w:eastAsia="en-US"/>
        </w:rPr>
        <w:t>treatment break</w:t>
      </w:r>
      <w:r w:rsidRPr="000E22EB">
        <w:rPr>
          <w:rFonts w:asciiTheme="minorHAnsi" w:hAnsiTheme="minorHAnsi" w:cs="Arial"/>
          <w:bCs/>
          <w:snapToGrid w:val="0"/>
          <w:lang w:val="en-GB" w:eastAsia="en-US"/>
        </w:rPr>
        <w:t xml:space="preserve"> for patients who had failed to respond to omalizumab</w:t>
      </w:r>
      <w:r w:rsidR="002D3BFE" w:rsidRPr="000E22EB">
        <w:rPr>
          <w:rFonts w:asciiTheme="minorHAnsi" w:hAnsiTheme="minorHAnsi" w:cs="Arial"/>
          <w:bCs/>
          <w:snapToGrid w:val="0"/>
          <w:lang w:val="en-GB" w:eastAsia="en-US"/>
        </w:rPr>
        <w:t xml:space="preserve">. This was </w:t>
      </w:r>
      <w:r w:rsidR="0030439D" w:rsidRPr="000E22EB">
        <w:rPr>
          <w:rFonts w:asciiTheme="minorHAnsi" w:hAnsiTheme="minorHAnsi" w:cs="Arial"/>
          <w:bCs/>
          <w:snapToGrid w:val="0"/>
          <w:lang w:val="en-GB" w:eastAsia="en-US"/>
        </w:rPr>
        <w:t xml:space="preserve">based on the key mepolizumab trials, which excluded patients who had received omalizumab within 130 days of enrolment, or other monoclonal antibodies within five half-lives of enrolment. </w:t>
      </w:r>
      <w:r w:rsidRPr="000E22EB">
        <w:rPr>
          <w:rFonts w:asciiTheme="minorHAnsi" w:hAnsiTheme="minorHAnsi" w:cs="Arial"/>
          <w:bCs/>
          <w:snapToGrid w:val="0"/>
          <w:lang w:val="en-GB" w:eastAsia="en-US"/>
        </w:rPr>
        <w:t xml:space="preserve">The PBAC noted that </w:t>
      </w:r>
      <w:r w:rsidR="00A515CA">
        <w:rPr>
          <w:rFonts w:asciiTheme="minorHAnsi" w:hAnsiTheme="minorHAnsi" w:cs="Arial"/>
          <w:bCs/>
          <w:snapToGrid w:val="0"/>
          <w:lang w:val="en-GB" w:eastAsia="en-US"/>
        </w:rPr>
        <w:t xml:space="preserve">it subsequently recommended </w:t>
      </w:r>
      <w:r w:rsidRPr="000E22EB">
        <w:rPr>
          <w:rFonts w:asciiTheme="minorHAnsi" w:hAnsiTheme="minorHAnsi" w:cs="Arial"/>
          <w:bCs/>
          <w:snapToGrid w:val="0"/>
          <w:lang w:val="en-GB" w:eastAsia="en-US"/>
        </w:rPr>
        <w:t xml:space="preserve">a six month treatment break </w:t>
      </w:r>
      <w:r w:rsidR="00701480">
        <w:rPr>
          <w:rFonts w:asciiTheme="minorHAnsi" w:hAnsiTheme="minorHAnsi" w:cs="Arial"/>
          <w:bCs/>
          <w:snapToGrid w:val="0"/>
          <w:lang w:val="en-GB" w:eastAsia="en-US"/>
        </w:rPr>
        <w:t xml:space="preserve">be </w:t>
      </w:r>
      <w:r w:rsidRPr="000E22EB">
        <w:rPr>
          <w:rFonts w:asciiTheme="minorHAnsi" w:hAnsiTheme="minorHAnsi" w:cs="Arial"/>
          <w:bCs/>
          <w:snapToGrid w:val="0"/>
          <w:lang w:val="en-GB" w:eastAsia="en-US"/>
        </w:rPr>
        <w:t>included in the final restriction for consistency with the break between re-trial</w:t>
      </w:r>
      <w:r w:rsidR="0030439D" w:rsidRPr="000E22EB">
        <w:rPr>
          <w:rFonts w:asciiTheme="minorHAnsi" w:hAnsiTheme="minorHAnsi" w:cs="Arial"/>
          <w:bCs/>
          <w:snapToGrid w:val="0"/>
          <w:lang w:val="en-GB" w:eastAsia="en-US"/>
        </w:rPr>
        <w:t xml:space="preserve">. </w:t>
      </w:r>
      <w:r w:rsidR="00001C05" w:rsidRPr="000E22EB">
        <w:rPr>
          <w:rFonts w:asciiTheme="minorHAnsi" w:hAnsiTheme="minorHAnsi" w:cs="Arial"/>
          <w:bCs/>
          <w:snapToGrid w:val="0"/>
          <w:lang w:val="en-GB" w:eastAsia="en-US"/>
        </w:rPr>
        <w:t>In this context, t</w:t>
      </w:r>
      <w:r w:rsidRPr="000E22EB">
        <w:rPr>
          <w:rFonts w:asciiTheme="minorHAnsi" w:hAnsiTheme="minorHAnsi" w:cs="Arial"/>
          <w:bCs/>
          <w:snapToGrid w:val="0"/>
          <w:lang w:val="en-GB" w:eastAsia="en-US"/>
        </w:rPr>
        <w:t>he PBAC further noted the long elimination half-lives of the biologics for asthma (15 to 22 days).</w:t>
      </w:r>
    </w:p>
    <w:p w:rsidR="00C65E78" w:rsidRPr="00C65E78" w:rsidRDefault="00001C05" w:rsidP="00001C05">
      <w:pPr>
        <w:widowControl w:val="0"/>
        <w:numPr>
          <w:ilvl w:val="1"/>
          <w:numId w:val="5"/>
        </w:numPr>
        <w:spacing w:after="120"/>
        <w:jc w:val="both"/>
        <w:rPr>
          <w:rFonts w:asciiTheme="minorHAnsi" w:hAnsiTheme="minorHAnsi" w:cs="Arial"/>
          <w:bCs/>
          <w:snapToGrid w:val="0"/>
          <w:lang w:val="en-GB" w:eastAsia="en-US"/>
        </w:rPr>
      </w:pPr>
      <w:r w:rsidRPr="00001C05">
        <w:rPr>
          <w:rFonts w:asciiTheme="minorHAnsi" w:hAnsiTheme="minorHAnsi" w:cs="Arial"/>
          <w:bCs/>
          <w:snapToGrid w:val="0"/>
          <w:lang w:val="en-GB" w:eastAsia="en-US"/>
        </w:rPr>
        <w:t xml:space="preserve">The PBAC noted input from the Centre of Research Excellence in Severe Asthma and the Thoracic Society of Australia and New Zealand, which stated that patients may be at risk of severe exacerbations during treatment breaks. </w:t>
      </w:r>
      <w:r w:rsidR="00C65E78" w:rsidRPr="00C65E78">
        <w:rPr>
          <w:rFonts w:asciiTheme="minorHAnsi" w:hAnsiTheme="minorHAnsi" w:cs="Arial"/>
          <w:bCs/>
          <w:snapToGrid w:val="0"/>
          <w:lang w:val="en-GB" w:eastAsia="en-US"/>
        </w:rPr>
        <w:t xml:space="preserve">As such, the PBAC considered that the requirements warranted further review. The PBAC considered that </w:t>
      </w:r>
      <w:r w:rsidR="002D3BFE">
        <w:rPr>
          <w:rFonts w:asciiTheme="minorHAnsi" w:hAnsiTheme="minorHAnsi" w:cs="Arial"/>
          <w:bCs/>
          <w:snapToGrid w:val="0"/>
          <w:lang w:val="en-GB" w:eastAsia="en-US"/>
        </w:rPr>
        <w:t>any changes to the</w:t>
      </w:r>
      <w:r w:rsidR="00C65E78" w:rsidRPr="00C65E78">
        <w:rPr>
          <w:rFonts w:asciiTheme="minorHAnsi" w:hAnsiTheme="minorHAnsi" w:cs="Arial"/>
          <w:bCs/>
          <w:snapToGrid w:val="0"/>
          <w:lang w:val="en-GB" w:eastAsia="en-US"/>
        </w:rPr>
        <w:t xml:space="preserve"> time periods between use of biologics</w:t>
      </w:r>
      <w:r w:rsidR="002D3BFE">
        <w:rPr>
          <w:rFonts w:asciiTheme="minorHAnsi" w:hAnsiTheme="minorHAnsi" w:cs="Arial"/>
          <w:bCs/>
          <w:snapToGrid w:val="0"/>
          <w:lang w:val="en-GB" w:eastAsia="en-US"/>
        </w:rPr>
        <w:t xml:space="preserve"> </w:t>
      </w:r>
      <w:r w:rsidRPr="00C65E78">
        <w:rPr>
          <w:rFonts w:asciiTheme="minorHAnsi" w:hAnsiTheme="minorHAnsi" w:cs="Arial"/>
          <w:bCs/>
          <w:snapToGrid w:val="0"/>
          <w:lang w:val="en-GB" w:eastAsia="en-US"/>
        </w:rPr>
        <w:t>should take into account the inter-related issues associated with re-trialling, switching and cycling of biologics</w:t>
      </w:r>
      <w:r>
        <w:rPr>
          <w:rFonts w:asciiTheme="minorHAnsi" w:hAnsiTheme="minorHAnsi" w:cs="Arial"/>
          <w:bCs/>
          <w:snapToGrid w:val="0"/>
          <w:lang w:val="en-GB" w:eastAsia="en-US"/>
        </w:rPr>
        <w:t xml:space="preserve"> in asthma</w:t>
      </w:r>
      <w:r w:rsidRPr="00C65E78">
        <w:rPr>
          <w:rFonts w:asciiTheme="minorHAnsi" w:hAnsiTheme="minorHAnsi" w:cs="Arial"/>
          <w:bCs/>
          <w:snapToGrid w:val="0"/>
          <w:lang w:val="en-GB" w:eastAsia="en-US"/>
        </w:rPr>
        <w:t>, which are each discussed in turn below.</w:t>
      </w:r>
      <w:r>
        <w:rPr>
          <w:rFonts w:asciiTheme="minorHAnsi" w:hAnsiTheme="minorHAnsi" w:cs="Arial"/>
          <w:bCs/>
          <w:snapToGrid w:val="0"/>
          <w:lang w:val="en-GB" w:eastAsia="en-US"/>
        </w:rPr>
        <w:t xml:space="preserve"> Given the complexity, the PBAC considered that such </w:t>
      </w:r>
      <w:r w:rsidR="001301CF">
        <w:rPr>
          <w:rFonts w:asciiTheme="minorHAnsi" w:hAnsiTheme="minorHAnsi" w:cs="Arial"/>
          <w:bCs/>
          <w:snapToGrid w:val="0"/>
          <w:lang w:val="en-GB" w:eastAsia="en-US"/>
        </w:rPr>
        <w:t>matters</w:t>
      </w:r>
      <w:r>
        <w:rPr>
          <w:rFonts w:asciiTheme="minorHAnsi" w:hAnsiTheme="minorHAnsi" w:cs="Arial"/>
          <w:bCs/>
          <w:snapToGrid w:val="0"/>
          <w:lang w:val="en-GB" w:eastAsia="en-US"/>
        </w:rPr>
        <w:t xml:space="preserve"> would best be informed by broader discussion</w:t>
      </w:r>
      <w:r w:rsidR="00C65E78" w:rsidRPr="00C65E78">
        <w:rPr>
          <w:rFonts w:asciiTheme="minorHAnsi" w:hAnsiTheme="minorHAnsi" w:cs="Arial"/>
          <w:bCs/>
          <w:snapToGrid w:val="0"/>
          <w:lang w:val="en-GB" w:eastAsia="en-US"/>
        </w:rPr>
        <w:t xml:space="preserve">. </w:t>
      </w:r>
    </w:p>
    <w:p w:rsidR="00C65E78" w:rsidRPr="00C65E78" w:rsidRDefault="00C65E78" w:rsidP="00C65E78">
      <w:pPr>
        <w:widowControl w:val="0"/>
        <w:numPr>
          <w:ilvl w:val="1"/>
          <w:numId w:val="5"/>
        </w:numPr>
        <w:spacing w:after="120"/>
        <w:jc w:val="both"/>
        <w:rPr>
          <w:rFonts w:asciiTheme="minorHAnsi" w:hAnsiTheme="minorHAnsi" w:cs="Arial"/>
          <w:bCs/>
          <w:snapToGrid w:val="0"/>
          <w:lang w:val="en-GB" w:eastAsia="en-US"/>
        </w:rPr>
      </w:pPr>
      <w:r w:rsidRPr="00C65E78">
        <w:rPr>
          <w:rFonts w:asciiTheme="minorHAnsi" w:hAnsiTheme="minorHAnsi" w:cs="Arial"/>
          <w:bCs/>
          <w:snapToGrid w:val="0"/>
          <w:lang w:val="en-GB" w:eastAsia="en-US"/>
        </w:rPr>
        <w:t>With respect to re-trialling of the same biologic, the PBAC considered that broader discussion was required as to:</w:t>
      </w:r>
    </w:p>
    <w:p w:rsidR="00C65E78" w:rsidRPr="0030439D" w:rsidRDefault="00C65E78" w:rsidP="002D3BFE">
      <w:pPr>
        <w:pStyle w:val="Bulletpoints"/>
        <w:numPr>
          <w:ilvl w:val="0"/>
          <w:numId w:val="48"/>
        </w:numPr>
        <w:ind w:left="1276" w:hanging="284"/>
        <w:rPr>
          <w:lang w:val="en-GB"/>
        </w:rPr>
      </w:pPr>
      <w:r w:rsidRPr="0030439D">
        <w:rPr>
          <w:lang w:val="en-GB"/>
        </w:rPr>
        <w:t xml:space="preserve">the circumstances under which it would be appropriate to re-trial the same biologic agent rather than trial other treatment options; and </w:t>
      </w:r>
    </w:p>
    <w:p w:rsidR="00C65E78" w:rsidRPr="00C65E78" w:rsidRDefault="00C65E78" w:rsidP="002D3BFE">
      <w:pPr>
        <w:pStyle w:val="Bulletpoints"/>
        <w:numPr>
          <w:ilvl w:val="0"/>
          <w:numId w:val="48"/>
        </w:numPr>
        <w:spacing w:after="120"/>
        <w:ind w:left="1276" w:hanging="284"/>
        <w:rPr>
          <w:rFonts w:asciiTheme="minorHAnsi" w:hAnsiTheme="minorHAnsi"/>
          <w:bCs/>
          <w:lang w:val="en-GB"/>
        </w:rPr>
      </w:pPr>
      <w:r w:rsidRPr="00C65E78">
        <w:rPr>
          <w:rFonts w:asciiTheme="minorHAnsi" w:hAnsiTheme="minorHAnsi"/>
          <w:bCs/>
          <w:lang w:val="en-GB"/>
        </w:rPr>
        <w:t xml:space="preserve">whether the same agent could be re-trialled following previous inadequate response. If so, consideration would be required as to how many times an agent could be re-trialled and the time period between re-trialling of the same agent. </w:t>
      </w:r>
    </w:p>
    <w:p w:rsidR="00C65E78" w:rsidRPr="00C65E78" w:rsidRDefault="00C65E78" w:rsidP="00C65E78">
      <w:pPr>
        <w:widowControl w:val="0"/>
        <w:numPr>
          <w:ilvl w:val="1"/>
          <w:numId w:val="5"/>
        </w:numPr>
        <w:spacing w:after="120"/>
        <w:jc w:val="both"/>
        <w:rPr>
          <w:rFonts w:asciiTheme="minorHAnsi" w:hAnsiTheme="minorHAnsi" w:cs="Arial"/>
          <w:bCs/>
          <w:snapToGrid w:val="0"/>
          <w:lang w:val="en-GB" w:eastAsia="en-US"/>
        </w:rPr>
      </w:pPr>
      <w:r w:rsidRPr="00C65E78">
        <w:rPr>
          <w:rFonts w:asciiTheme="minorHAnsi" w:hAnsiTheme="minorHAnsi" w:cs="Arial"/>
          <w:bCs/>
          <w:snapToGrid w:val="0"/>
          <w:lang w:val="en-GB" w:eastAsia="en-US"/>
        </w:rPr>
        <w:t>With respect to switching between different biologics, the PBAC considered that broader discussion was required as to:</w:t>
      </w:r>
    </w:p>
    <w:p w:rsidR="00C65E78" w:rsidRPr="00C65E78" w:rsidRDefault="00C65E78" w:rsidP="0030439D">
      <w:pPr>
        <w:pStyle w:val="Bulletpoints"/>
        <w:numPr>
          <w:ilvl w:val="0"/>
          <w:numId w:val="48"/>
        </w:numPr>
        <w:ind w:left="1276" w:hanging="283"/>
        <w:rPr>
          <w:rFonts w:asciiTheme="minorHAnsi" w:hAnsiTheme="minorHAnsi"/>
          <w:bCs/>
          <w:lang w:val="en-GB"/>
        </w:rPr>
      </w:pPr>
      <w:r w:rsidRPr="00C65E78">
        <w:rPr>
          <w:rFonts w:asciiTheme="minorHAnsi" w:hAnsiTheme="minorHAnsi"/>
          <w:bCs/>
          <w:lang w:val="en-GB"/>
        </w:rPr>
        <w:t xml:space="preserve">the criteria for switching to an alternative biologic therapy; </w:t>
      </w:r>
    </w:p>
    <w:p w:rsidR="00C65E78" w:rsidRPr="00C65E78" w:rsidRDefault="00C65E78" w:rsidP="0030439D">
      <w:pPr>
        <w:pStyle w:val="Bulletpoints"/>
        <w:numPr>
          <w:ilvl w:val="0"/>
          <w:numId w:val="48"/>
        </w:numPr>
        <w:ind w:left="1276" w:hanging="283"/>
        <w:rPr>
          <w:rFonts w:asciiTheme="minorHAnsi" w:hAnsiTheme="minorHAnsi"/>
          <w:bCs/>
          <w:lang w:val="en-GB"/>
        </w:rPr>
      </w:pPr>
      <w:r w:rsidRPr="00C65E78">
        <w:rPr>
          <w:rFonts w:asciiTheme="minorHAnsi" w:hAnsiTheme="minorHAnsi"/>
          <w:bCs/>
          <w:lang w:val="en-GB"/>
        </w:rPr>
        <w:t xml:space="preserve">whether the six month break should be replaced with a break of a different duration. The PBAC noted that clinical organisations had proposed that the requirement be either removed or replaced with a treatment break of one or two months; </w:t>
      </w:r>
    </w:p>
    <w:p w:rsidR="00C65E78" w:rsidRPr="00C65E78" w:rsidRDefault="00C65E78" w:rsidP="0030439D">
      <w:pPr>
        <w:pStyle w:val="Bulletpoints"/>
        <w:numPr>
          <w:ilvl w:val="0"/>
          <w:numId w:val="48"/>
        </w:numPr>
        <w:ind w:left="1276" w:hanging="283"/>
        <w:rPr>
          <w:rFonts w:asciiTheme="minorHAnsi" w:hAnsiTheme="minorHAnsi"/>
          <w:bCs/>
          <w:lang w:val="en-GB"/>
        </w:rPr>
      </w:pPr>
      <w:r w:rsidRPr="00C65E78">
        <w:rPr>
          <w:rFonts w:asciiTheme="minorHAnsi" w:hAnsiTheme="minorHAnsi"/>
          <w:bCs/>
          <w:lang w:val="en-GB"/>
        </w:rPr>
        <w:t xml:space="preserve">whether there should be limits on the number of times that a patient can use each agent (refer to cycling between </w:t>
      </w:r>
      <w:r w:rsidR="002D3BFE">
        <w:rPr>
          <w:rFonts w:asciiTheme="minorHAnsi" w:hAnsiTheme="minorHAnsi"/>
          <w:bCs/>
          <w:lang w:val="en-GB"/>
        </w:rPr>
        <w:t xml:space="preserve">the </w:t>
      </w:r>
      <w:r w:rsidRPr="00C65E78">
        <w:rPr>
          <w:rFonts w:asciiTheme="minorHAnsi" w:hAnsiTheme="minorHAnsi"/>
          <w:bCs/>
          <w:lang w:val="en-GB"/>
        </w:rPr>
        <w:t xml:space="preserve">biologics, discussed below); and </w:t>
      </w:r>
    </w:p>
    <w:p w:rsidR="00C65E78" w:rsidRPr="00C65E78" w:rsidRDefault="00C65E78" w:rsidP="002D3BFE">
      <w:pPr>
        <w:pStyle w:val="Bulletpoints"/>
        <w:numPr>
          <w:ilvl w:val="0"/>
          <w:numId w:val="48"/>
        </w:numPr>
        <w:spacing w:after="120"/>
        <w:ind w:left="1276" w:hanging="284"/>
        <w:rPr>
          <w:rFonts w:asciiTheme="minorHAnsi" w:hAnsiTheme="minorHAnsi"/>
          <w:bCs/>
          <w:lang w:val="en-GB"/>
        </w:rPr>
      </w:pPr>
      <w:r w:rsidRPr="00C65E78">
        <w:rPr>
          <w:rFonts w:asciiTheme="minorHAnsi" w:hAnsiTheme="minorHAnsi"/>
          <w:bCs/>
          <w:lang w:val="en-GB"/>
        </w:rPr>
        <w:t>whether a separate initial restriction would be required to enable patients to switch from one biologic to another without having to meet the current initial restriction requirements (i.e. separate initial restrictions may be required for: patients who are newly eligible for biologic therapy; and those who were previously eligible and now initiating</w:t>
      </w:r>
      <w:r w:rsidR="002D3BFE">
        <w:rPr>
          <w:rFonts w:asciiTheme="minorHAnsi" w:hAnsiTheme="minorHAnsi"/>
          <w:bCs/>
          <w:lang w:val="en-GB"/>
        </w:rPr>
        <w:t xml:space="preserve"> a</w:t>
      </w:r>
      <w:r w:rsidRPr="00C65E78">
        <w:rPr>
          <w:rFonts w:asciiTheme="minorHAnsi" w:hAnsiTheme="minorHAnsi"/>
          <w:bCs/>
          <w:lang w:val="en-GB"/>
        </w:rPr>
        <w:t xml:space="preserve"> different biologic).</w:t>
      </w:r>
    </w:p>
    <w:p w:rsidR="000E22EB" w:rsidRDefault="00C65E78" w:rsidP="00052063">
      <w:pPr>
        <w:widowControl w:val="0"/>
        <w:numPr>
          <w:ilvl w:val="1"/>
          <w:numId w:val="5"/>
        </w:numPr>
        <w:spacing w:after="120"/>
        <w:jc w:val="both"/>
        <w:rPr>
          <w:rFonts w:asciiTheme="minorHAnsi" w:hAnsiTheme="minorHAnsi" w:cs="Arial"/>
          <w:bCs/>
          <w:snapToGrid w:val="0"/>
          <w:lang w:val="en-GB" w:eastAsia="en-US"/>
        </w:rPr>
      </w:pPr>
      <w:r w:rsidRPr="000E22EB">
        <w:rPr>
          <w:rFonts w:asciiTheme="minorHAnsi" w:hAnsiTheme="minorHAnsi" w:cs="Arial"/>
          <w:bCs/>
          <w:snapToGrid w:val="0"/>
          <w:lang w:val="en-GB" w:eastAsia="en-US"/>
        </w:rPr>
        <w:t xml:space="preserve">With respect to cycling between the biologics, the PBAC considered that broader discussion was required </w:t>
      </w:r>
      <w:r w:rsidR="000E22EB" w:rsidRPr="00052063">
        <w:rPr>
          <w:rFonts w:asciiTheme="minorHAnsi" w:hAnsiTheme="minorHAnsi" w:cs="Arial"/>
          <w:bCs/>
          <w:snapToGrid w:val="0"/>
          <w:lang w:val="en-GB" w:eastAsia="en-US"/>
        </w:rPr>
        <w:t>to inform on the number of agents that could be appropriate to use over a defined time period, including evidence supporting the clinical plausibility of cycling between agents. This could potentially include consideration of: a maximum number of biologics for the treatment of asthma over a certain timeframe (e.g. similar to the PBS arrangements for chronic plaque psoriasis, wherein patients with an inadequate response to three biologic agents must have a minimum five year break before re-trialling biologics); or a maximum number of biologics for the treatment of asthma in a lifetime (e.g. similar to the PBS arrangements for rheumatoid arthritis, wherein patients can trial a maximum of five biologics within a life-time).</w:t>
      </w:r>
    </w:p>
    <w:p w:rsidR="004236CE" w:rsidRPr="00052063" w:rsidRDefault="009838F3" w:rsidP="00052063">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The PBAC </w:t>
      </w:r>
      <w:r w:rsidR="004236CE">
        <w:rPr>
          <w:rFonts w:asciiTheme="minorHAnsi" w:hAnsiTheme="minorHAnsi" w:cs="Arial"/>
          <w:bCs/>
          <w:snapToGrid w:val="0"/>
          <w:lang w:val="en-GB" w:eastAsia="en-US"/>
        </w:rPr>
        <w:t xml:space="preserve">considered that such changes to the PBS restrictions for the biological medicines for the treatment of severe asthma are likely to have implications for the total cost to the PBS of these medicines. </w:t>
      </w:r>
    </w:p>
    <w:p w:rsidR="00FF3636" w:rsidRPr="00D22F30" w:rsidRDefault="00FF3636" w:rsidP="00BA601C">
      <w:pPr>
        <w:widowControl w:val="0"/>
        <w:numPr>
          <w:ilvl w:val="1"/>
          <w:numId w:val="5"/>
        </w:num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The PBAC noted</w:t>
      </w:r>
      <w:r w:rsidRPr="00FF3636">
        <w:rPr>
          <w:rFonts w:asciiTheme="minorHAnsi" w:hAnsiTheme="minorHAnsi" w:cs="Arial"/>
          <w:bCs/>
          <w:snapToGrid w:val="0"/>
          <w:lang w:val="en-GB" w:eastAsia="en-US"/>
        </w:rPr>
        <w:t xml:space="preserve"> </w:t>
      </w:r>
      <w:r w:rsidRPr="001B6E83">
        <w:rPr>
          <w:rFonts w:asciiTheme="minorHAnsi" w:hAnsiTheme="minorHAnsi" w:cs="Arial"/>
          <w:bCs/>
          <w:snapToGrid w:val="0"/>
          <w:lang w:val="en-GB" w:eastAsia="en-US"/>
        </w:rPr>
        <w:t xml:space="preserve">that this submission is not eligible for an Independent Review, as </w:t>
      </w:r>
      <w:r w:rsidR="00B04862" w:rsidRPr="00B04862">
        <w:rPr>
          <w:rFonts w:asciiTheme="minorHAnsi" w:hAnsiTheme="minorHAnsi" w:cs="Arial"/>
          <w:bCs/>
          <w:snapToGrid w:val="0"/>
          <w:lang w:val="en-GB" w:eastAsia="en-US"/>
        </w:rPr>
        <w:t>listing is not requested for an entirely different disease, different subtype or different population or stage of the disease</w:t>
      </w:r>
      <w:r w:rsidRPr="001B6E83">
        <w:rPr>
          <w:rFonts w:asciiTheme="minorHAnsi" w:hAnsiTheme="minorHAnsi" w:cs="Arial"/>
          <w:bCs/>
          <w:snapToGrid w:val="0"/>
          <w:lang w:val="en-GB" w:eastAsia="en-US"/>
        </w:rPr>
        <w:t>.</w:t>
      </w:r>
    </w:p>
    <w:p w:rsidR="003B68CB" w:rsidRPr="00BA601C" w:rsidRDefault="003B68CB" w:rsidP="00BA601C">
      <w:pPr>
        <w:widowControl w:val="0"/>
        <w:spacing w:after="120"/>
        <w:jc w:val="both"/>
        <w:rPr>
          <w:rFonts w:asciiTheme="minorHAnsi" w:hAnsiTheme="minorHAnsi" w:cs="Arial"/>
          <w:b/>
          <w:bCs/>
          <w:snapToGrid w:val="0"/>
          <w:lang w:val="en-GB" w:eastAsia="en-US"/>
        </w:rPr>
      </w:pPr>
      <w:r w:rsidRPr="00BA601C">
        <w:rPr>
          <w:rFonts w:asciiTheme="minorHAnsi" w:hAnsiTheme="minorHAnsi" w:cs="Arial"/>
          <w:b/>
          <w:bCs/>
          <w:snapToGrid w:val="0"/>
          <w:lang w:val="en-GB" w:eastAsia="en-US"/>
        </w:rPr>
        <w:t>Outcome:</w:t>
      </w:r>
    </w:p>
    <w:p w:rsidR="003B68CB" w:rsidRDefault="003B68CB" w:rsidP="00D22F30">
      <w:pPr>
        <w:spacing w:after="120"/>
        <w:jc w:val="both"/>
        <w:rPr>
          <w:rFonts w:asciiTheme="minorHAnsi" w:hAnsiTheme="minorHAnsi" w:cs="Arial"/>
          <w:bCs/>
          <w:snapToGrid w:val="0"/>
          <w:lang w:val="en-GB" w:eastAsia="en-US"/>
        </w:rPr>
      </w:pPr>
      <w:r w:rsidRPr="00BA601C">
        <w:rPr>
          <w:rFonts w:asciiTheme="minorHAnsi" w:hAnsiTheme="minorHAnsi" w:cs="Arial"/>
          <w:bCs/>
          <w:snapToGrid w:val="0"/>
          <w:lang w:val="en-GB" w:eastAsia="en-US"/>
        </w:rPr>
        <w:t xml:space="preserve">Deferred </w:t>
      </w:r>
    </w:p>
    <w:p w:rsidR="007615B7" w:rsidRDefault="007615B7" w:rsidP="007615B7">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7615B7" w:rsidRPr="00885CC4" w:rsidRDefault="007615B7" w:rsidP="00885CC4">
      <w:pPr>
        <w:ind w:left="709"/>
        <w:jc w:val="both"/>
        <w:rPr>
          <w:rFonts w:asciiTheme="minorHAnsi" w:hAnsiTheme="minorHAnsi"/>
          <w:b/>
          <w:bCs/>
          <w:snapToGrid w:val="0"/>
          <w:sz w:val="32"/>
        </w:rPr>
      </w:pPr>
      <w:r w:rsidRPr="00885CC4">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615B7" w:rsidRPr="00A56D22" w:rsidRDefault="007615B7" w:rsidP="007615B7">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FC22B9" w:rsidRPr="00FC22B9" w:rsidRDefault="00FC22B9" w:rsidP="00FC22B9">
      <w:pPr>
        <w:spacing w:after="120"/>
        <w:ind w:left="709"/>
        <w:jc w:val="both"/>
        <w:rPr>
          <w:rFonts w:asciiTheme="minorHAnsi" w:hAnsiTheme="minorHAnsi" w:cs="Arial"/>
          <w:bCs/>
          <w:lang w:val="en-GB"/>
        </w:rPr>
      </w:pPr>
      <w:r w:rsidRPr="00FC22B9">
        <w:rPr>
          <w:rFonts w:asciiTheme="minorHAnsi" w:hAnsiTheme="minorHAnsi" w:cs="Arial"/>
          <w:bCs/>
          <w:lang w:val="en-GB"/>
        </w:rPr>
        <w:t>GSK welcomes the opportunity for a broader discussion with relevant stakeholders to help determine whether removal of the treatment break between ceasing omalizumab and commencing mepolizumab is appropriate. GSK recognises that a decision around this could have flow on implications for other biologics used to treat asthma.</w:t>
      </w:r>
    </w:p>
    <w:p w:rsidR="007615B7" w:rsidRPr="00D22F30" w:rsidRDefault="00FC22B9" w:rsidP="00FC22B9">
      <w:pPr>
        <w:spacing w:after="120"/>
        <w:ind w:left="709"/>
        <w:jc w:val="both"/>
        <w:rPr>
          <w:rFonts w:asciiTheme="minorHAnsi" w:hAnsiTheme="minorHAnsi" w:cs="Arial"/>
          <w:bCs/>
          <w:snapToGrid w:val="0"/>
          <w:highlight w:val="yellow"/>
          <w:lang w:val="en-GB" w:eastAsia="en-US"/>
        </w:rPr>
      </w:pPr>
      <w:r w:rsidRPr="00FC22B9">
        <w:rPr>
          <w:rFonts w:asciiTheme="minorHAnsi" w:hAnsiTheme="minorHAnsi" w:cs="Arial"/>
          <w:bCs/>
          <w:lang w:val="en-GB"/>
        </w:rPr>
        <w:t>In terms of the additional barriers to biologics use in asthma raised by the Committee and the Centre for Research Excellence for Severe Asthma, GSK believes that these are outside of the scope of this minor submission. However, GSK welcomes a separate broader discussion with relevant stakeholders regarding these.</w:t>
      </w:r>
    </w:p>
    <w:sectPr w:rsidR="007615B7" w:rsidRPr="00D22F30" w:rsidSect="00F2568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74"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3D0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F1" w:rsidRDefault="00862CF1">
      <w:r>
        <w:separator/>
      </w:r>
    </w:p>
    <w:p w:rsidR="00862CF1" w:rsidRDefault="00862CF1"/>
    <w:p w:rsidR="00862CF1" w:rsidRDefault="00862CF1"/>
  </w:endnote>
  <w:endnote w:type="continuationSeparator" w:id="0">
    <w:p w:rsidR="00862CF1" w:rsidRDefault="00862CF1">
      <w:r>
        <w:continuationSeparator/>
      </w:r>
    </w:p>
    <w:p w:rsidR="00862CF1" w:rsidRDefault="00862CF1"/>
    <w:p w:rsidR="00862CF1" w:rsidRDefault="0086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C5E92" w:rsidTr="005A3173">
      <w:trPr>
        <w:trHeight w:val="151"/>
      </w:trPr>
      <w:tc>
        <w:tcPr>
          <w:tcW w:w="2250" w:type="pct"/>
          <w:tcBorders>
            <w:top w:val="nil"/>
            <w:left w:val="nil"/>
            <w:bottom w:val="single" w:sz="4" w:space="0" w:color="4F81BD"/>
            <w:right w:val="nil"/>
          </w:tcBorders>
        </w:tcPr>
        <w:p w:rsidR="007C5E92" w:rsidRPr="005A3173" w:rsidRDefault="007C5E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C5E92" w:rsidRPr="005A3173" w:rsidRDefault="007C5E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C5E92" w:rsidRPr="005A3173" w:rsidRDefault="007C5E92" w:rsidP="005A3173">
          <w:pPr>
            <w:pStyle w:val="Header"/>
            <w:spacing w:line="276" w:lineRule="auto"/>
            <w:rPr>
              <w:rFonts w:ascii="Calibri" w:eastAsia="MS Gothic" w:hAnsi="Calibri"/>
              <w:b/>
              <w:bCs/>
              <w:color w:val="4F81BD"/>
            </w:rPr>
          </w:pPr>
        </w:p>
      </w:tc>
    </w:tr>
    <w:tr w:rsidR="007C5E92" w:rsidTr="005A3173">
      <w:trPr>
        <w:trHeight w:val="150"/>
      </w:trPr>
      <w:tc>
        <w:tcPr>
          <w:tcW w:w="2250" w:type="pct"/>
          <w:tcBorders>
            <w:top w:val="single" w:sz="4" w:space="0" w:color="4F81BD"/>
            <w:left w:val="nil"/>
            <w:bottom w:val="nil"/>
            <w:right w:val="nil"/>
          </w:tcBorders>
        </w:tcPr>
        <w:p w:rsidR="007C5E92" w:rsidRPr="005A3173" w:rsidRDefault="007C5E92" w:rsidP="005A3173">
          <w:pPr>
            <w:pStyle w:val="Header"/>
            <w:spacing w:line="276" w:lineRule="auto"/>
            <w:rPr>
              <w:rFonts w:ascii="Calibri" w:eastAsia="MS Gothic" w:hAnsi="Calibri"/>
              <w:b/>
              <w:bCs/>
              <w:color w:val="4F81BD"/>
            </w:rPr>
          </w:pPr>
        </w:p>
      </w:tc>
      <w:tc>
        <w:tcPr>
          <w:tcW w:w="0" w:type="auto"/>
          <w:vMerge/>
          <w:vAlign w:val="center"/>
          <w:hideMark/>
        </w:tcPr>
        <w:p w:rsidR="007C5E92" w:rsidRPr="005A3173" w:rsidRDefault="007C5E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7C5E92" w:rsidRPr="005A3173" w:rsidRDefault="007C5E92" w:rsidP="005A3173">
          <w:pPr>
            <w:pStyle w:val="Header"/>
            <w:spacing w:line="276" w:lineRule="auto"/>
            <w:rPr>
              <w:rFonts w:ascii="Calibri" w:eastAsia="MS Gothic" w:hAnsi="Calibri"/>
              <w:b/>
              <w:bCs/>
              <w:color w:val="4F81BD"/>
            </w:rPr>
          </w:pPr>
        </w:p>
      </w:tc>
    </w:tr>
  </w:tbl>
  <w:p w:rsidR="007C5E92" w:rsidRDefault="007C5E9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5E92" w:rsidRDefault="007C5E92">
    <w:pPr>
      <w:pStyle w:val="Footer"/>
    </w:pPr>
  </w:p>
  <w:p w:rsidR="007C5E92" w:rsidRDefault="007C5E92"/>
  <w:p w:rsidR="007C5E92" w:rsidRDefault="007C5E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777313"/>
      <w:docPartObj>
        <w:docPartGallery w:val="Page Numbers (Bottom of Page)"/>
        <w:docPartUnique/>
      </w:docPartObj>
    </w:sdtPr>
    <w:sdtEndPr>
      <w:rPr>
        <w:rFonts w:asciiTheme="minorHAnsi" w:hAnsiTheme="minorHAnsi"/>
        <w:b/>
        <w:noProof/>
      </w:rPr>
    </w:sdtEndPr>
    <w:sdtContent>
      <w:p w:rsidR="007C5E92" w:rsidRPr="00F25687" w:rsidRDefault="007C5E92" w:rsidP="00F25687">
        <w:pPr>
          <w:pStyle w:val="Footer"/>
          <w:jc w:val="center"/>
          <w:rPr>
            <w:rFonts w:asciiTheme="minorHAnsi" w:hAnsiTheme="minorHAnsi"/>
            <w:b/>
          </w:rPr>
        </w:pPr>
        <w:r w:rsidRPr="00C34584">
          <w:rPr>
            <w:rFonts w:asciiTheme="minorHAnsi" w:hAnsiTheme="minorHAnsi"/>
            <w:b/>
          </w:rPr>
          <w:fldChar w:fldCharType="begin"/>
        </w:r>
        <w:r w:rsidRPr="00C34584">
          <w:rPr>
            <w:rFonts w:asciiTheme="minorHAnsi" w:hAnsiTheme="minorHAnsi"/>
            <w:b/>
          </w:rPr>
          <w:instrText xml:space="preserve"> PAGE   \* MERGEFORMAT </w:instrText>
        </w:r>
        <w:r w:rsidRPr="00C34584">
          <w:rPr>
            <w:rFonts w:asciiTheme="minorHAnsi" w:hAnsiTheme="minorHAnsi"/>
            <w:b/>
          </w:rPr>
          <w:fldChar w:fldCharType="separate"/>
        </w:r>
        <w:r w:rsidR="00862CF1">
          <w:rPr>
            <w:rFonts w:asciiTheme="minorHAnsi" w:hAnsiTheme="minorHAnsi"/>
            <w:b/>
            <w:noProof/>
          </w:rPr>
          <w:t>1</w:t>
        </w:r>
        <w:r w:rsidRPr="00C34584">
          <w:rPr>
            <w:rFonts w:asciiTheme="minorHAnsi" w:hAnsiTheme="minorHAnsi"/>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C5E92" w:rsidTr="005A3173">
      <w:trPr>
        <w:trHeight w:val="151"/>
      </w:trPr>
      <w:tc>
        <w:tcPr>
          <w:tcW w:w="2250" w:type="pct"/>
          <w:tcBorders>
            <w:top w:val="nil"/>
            <w:left w:val="nil"/>
            <w:bottom w:val="single" w:sz="4" w:space="0" w:color="4F81BD"/>
            <w:right w:val="nil"/>
          </w:tcBorders>
        </w:tcPr>
        <w:p w:rsidR="007C5E92" w:rsidRPr="005A3173" w:rsidRDefault="007C5E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C5E92" w:rsidRPr="005A3173" w:rsidRDefault="007C5E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C5E92" w:rsidRPr="005A3173" w:rsidRDefault="007C5E92" w:rsidP="005A3173">
          <w:pPr>
            <w:pStyle w:val="Header"/>
            <w:spacing w:line="276" w:lineRule="auto"/>
            <w:rPr>
              <w:rFonts w:ascii="Calibri" w:eastAsia="MS Gothic" w:hAnsi="Calibri"/>
              <w:b/>
              <w:bCs/>
              <w:color w:val="4F81BD"/>
            </w:rPr>
          </w:pPr>
        </w:p>
      </w:tc>
    </w:tr>
    <w:tr w:rsidR="007C5E92" w:rsidTr="005A3173">
      <w:trPr>
        <w:trHeight w:val="150"/>
      </w:trPr>
      <w:tc>
        <w:tcPr>
          <w:tcW w:w="2250" w:type="pct"/>
          <w:tcBorders>
            <w:top w:val="single" w:sz="4" w:space="0" w:color="4F81BD"/>
            <w:left w:val="nil"/>
            <w:bottom w:val="nil"/>
            <w:right w:val="nil"/>
          </w:tcBorders>
        </w:tcPr>
        <w:p w:rsidR="007C5E92" w:rsidRPr="005A3173" w:rsidRDefault="007C5E92" w:rsidP="005A3173">
          <w:pPr>
            <w:pStyle w:val="Header"/>
            <w:spacing w:line="276" w:lineRule="auto"/>
            <w:rPr>
              <w:rFonts w:ascii="Calibri" w:eastAsia="MS Gothic" w:hAnsi="Calibri"/>
              <w:b/>
              <w:bCs/>
              <w:color w:val="4F81BD"/>
            </w:rPr>
          </w:pPr>
        </w:p>
      </w:tc>
      <w:tc>
        <w:tcPr>
          <w:tcW w:w="0" w:type="auto"/>
          <w:vMerge/>
          <w:vAlign w:val="center"/>
          <w:hideMark/>
        </w:tcPr>
        <w:p w:rsidR="007C5E92" w:rsidRPr="005A3173" w:rsidRDefault="007C5E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7C5E92" w:rsidRPr="005A3173" w:rsidRDefault="007C5E9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C5E92" w:rsidTr="005A3173">
      <w:trPr>
        <w:trHeight w:val="151"/>
      </w:trPr>
      <w:tc>
        <w:tcPr>
          <w:tcW w:w="2250" w:type="pct"/>
          <w:tcBorders>
            <w:top w:val="nil"/>
            <w:left w:val="nil"/>
            <w:bottom w:val="single" w:sz="4" w:space="0" w:color="4F81BD"/>
            <w:right w:val="nil"/>
          </w:tcBorders>
        </w:tcPr>
        <w:p w:rsidR="007C5E92" w:rsidRPr="005A3173" w:rsidRDefault="007C5E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C5E92" w:rsidRPr="005A3173" w:rsidRDefault="007C5E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C5E92" w:rsidRPr="005A3173" w:rsidRDefault="007C5E92" w:rsidP="005A3173">
          <w:pPr>
            <w:pStyle w:val="Header"/>
            <w:spacing w:line="276" w:lineRule="auto"/>
            <w:rPr>
              <w:rFonts w:ascii="Calibri" w:eastAsia="MS Gothic" w:hAnsi="Calibri"/>
              <w:b/>
              <w:bCs/>
              <w:color w:val="4F81BD"/>
            </w:rPr>
          </w:pPr>
        </w:p>
      </w:tc>
    </w:tr>
    <w:tr w:rsidR="007C5E92" w:rsidTr="005A3173">
      <w:trPr>
        <w:trHeight w:val="150"/>
      </w:trPr>
      <w:tc>
        <w:tcPr>
          <w:tcW w:w="2250" w:type="pct"/>
          <w:tcBorders>
            <w:top w:val="single" w:sz="4" w:space="0" w:color="4F81BD"/>
            <w:left w:val="nil"/>
            <w:bottom w:val="nil"/>
            <w:right w:val="nil"/>
          </w:tcBorders>
        </w:tcPr>
        <w:p w:rsidR="007C5E92" w:rsidRPr="005A3173" w:rsidRDefault="007C5E92" w:rsidP="005A3173">
          <w:pPr>
            <w:pStyle w:val="Header"/>
            <w:spacing w:line="276" w:lineRule="auto"/>
            <w:rPr>
              <w:rFonts w:ascii="Calibri" w:eastAsia="MS Gothic" w:hAnsi="Calibri"/>
              <w:b/>
              <w:bCs/>
              <w:color w:val="4F81BD"/>
            </w:rPr>
          </w:pPr>
        </w:p>
      </w:tc>
      <w:tc>
        <w:tcPr>
          <w:tcW w:w="0" w:type="auto"/>
          <w:vMerge/>
          <w:vAlign w:val="center"/>
          <w:hideMark/>
        </w:tcPr>
        <w:p w:rsidR="007C5E92" w:rsidRPr="005A3173" w:rsidRDefault="007C5E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7C5E92" w:rsidRPr="005A3173" w:rsidRDefault="007C5E92" w:rsidP="005A3173">
          <w:pPr>
            <w:pStyle w:val="Header"/>
            <w:spacing w:line="276" w:lineRule="auto"/>
            <w:rPr>
              <w:rFonts w:ascii="Calibri" w:eastAsia="MS Gothic" w:hAnsi="Calibri"/>
              <w:b/>
              <w:bCs/>
              <w:color w:val="4F81BD"/>
            </w:rPr>
          </w:pPr>
        </w:p>
      </w:tc>
    </w:tr>
  </w:tbl>
  <w:p w:rsidR="007C5E92" w:rsidRPr="007C0F57" w:rsidRDefault="007C5E9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C5E92" w:rsidRPr="007C0F57" w:rsidRDefault="007C5E92" w:rsidP="007C0F57">
    <w:pPr>
      <w:pStyle w:val="Footer"/>
      <w:jc w:val="center"/>
      <w:rPr>
        <w:b/>
        <w:i/>
        <w:sz w:val="20"/>
        <w:szCs w:val="20"/>
      </w:rPr>
    </w:pPr>
    <w:r w:rsidRPr="007C0F57">
      <w:rPr>
        <w:b/>
        <w:i/>
        <w:sz w:val="20"/>
        <w:szCs w:val="20"/>
      </w:rPr>
      <w:t>Commercial-in-Confidence</w:t>
    </w:r>
  </w:p>
  <w:p w:rsidR="007C5E92" w:rsidRDefault="007C5E92"/>
  <w:p w:rsidR="007C5E92" w:rsidRDefault="007C5E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F1" w:rsidRDefault="00862CF1">
      <w:r>
        <w:separator/>
      </w:r>
    </w:p>
    <w:p w:rsidR="00862CF1" w:rsidRDefault="00862CF1"/>
    <w:p w:rsidR="00862CF1" w:rsidRDefault="00862CF1"/>
  </w:footnote>
  <w:footnote w:type="continuationSeparator" w:id="0">
    <w:p w:rsidR="00862CF1" w:rsidRDefault="00862CF1">
      <w:r>
        <w:continuationSeparator/>
      </w:r>
    </w:p>
    <w:p w:rsidR="00862CF1" w:rsidRDefault="00862CF1"/>
    <w:p w:rsidR="00862CF1" w:rsidRDefault="00862C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C5E92" w:rsidRPr="008E0D90" w:rsidTr="00A06225">
      <w:trPr>
        <w:trHeight w:val="151"/>
      </w:trPr>
      <w:tc>
        <w:tcPr>
          <w:tcW w:w="2389" w:type="pct"/>
          <w:tcBorders>
            <w:top w:val="nil"/>
            <w:left w:val="nil"/>
            <w:bottom w:val="single" w:sz="4" w:space="0" w:color="4F81BD"/>
            <w:right w:val="nil"/>
          </w:tcBorders>
        </w:tcPr>
        <w:p w:rsidR="007C5E92" w:rsidRPr="00A06225" w:rsidRDefault="007C5E92">
          <w:pPr>
            <w:pStyle w:val="Header"/>
            <w:spacing w:line="276" w:lineRule="auto"/>
            <w:rPr>
              <w:rFonts w:ascii="Cambria" w:eastAsia="MS Gothic" w:hAnsi="Cambria"/>
              <w:b/>
              <w:bCs/>
              <w:color w:val="4F81BD"/>
            </w:rPr>
          </w:pPr>
        </w:p>
      </w:tc>
      <w:tc>
        <w:tcPr>
          <w:tcW w:w="333" w:type="pct"/>
          <w:vMerge w:val="restart"/>
          <w:noWrap/>
          <w:vAlign w:val="center"/>
          <w:hideMark/>
        </w:tcPr>
        <w:p w:rsidR="007C5E92" w:rsidRPr="00A06225" w:rsidRDefault="007C5E9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C5E92" w:rsidRPr="00A06225" w:rsidRDefault="007C5E92">
          <w:pPr>
            <w:pStyle w:val="Header"/>
            <w:spacing w:line="276" w:lineRule="auto"/>
            <w:rPr>
              <w:rFonts w:ascii="Cambria" w:eastAsia="MS Gothic" w:hAnsi="Cambria"/>
              <w:b/>
              <w:bCs/>
              <w:color w:val="4F81BD"/>
            </w:rPr>
          </w:pPr>
        </w:p>
      </w:tc>
    </w:tr>
    <w:tr w:rsidR="007C5E92" w:rsidRPr="008E0D90" w:rsidTr="00A06225">
      <w:trPr>
        <w:trHeight w:val="150"/>
      </w:trPr>
      <w:tc>
        <w:tcPr>
          <w:tcW w:w="2389" w:type="pct"/>
          <w:tcBorders>
            <w:top w:val="single" w:sz="4" w:space="0" w:color="4F81BD"/>
            <w:left w:val="nil"/>
            <w:bottom w:val="nil"/>
            <w:right w:val="nil"/>
          </w:tcBorders>
        </w:tcPr>
        <w:p w:rsidR="007C5E92" w:rsidRPr="00A06225" w:rsidRDefault="007C5E92">
          <w:pPr>
            <w:pStyle w:val="Header"/>
            <w:spacing w:line="276" w:lineRule="auto"/>
            <w:rPr>
              <w:rFonts w:ascii="Cambria" w:eastAsia="MS Gothic" w:hAnsi="Cambria"/>
              <w:b/>
              <w:bCs/>
              <w:color w:val="4F81BD"/>
            </w:rPr>
          </w:pPr>
        </w:p>
      </w:tc>
      <w:tc>
        <w:tcPr>
          <w:tcW w:w="0" w:type="auto"/>
          <w:vMerge/>
          <w:vAlign w:val="center"/>
          <w:hideMark/>
        </w:tcPr>
        <w:p w:rsidR="007C5E92" w:rsidRPr="00A06225" w:rsidRDefault="007C5E92">
          <w:pPr>
            <w:rPr>
              <w:rFonts w:ascii="Cambria" w:hAnsi="Cambria"/>
              <w:color w:val="4F81BD"/>
              <w:sz w:val="22"/>
              <w:szCs w:val="22"/>
            </w:rPr>
          </w:pPr>
        </w:p>
      </w:tc>
      <w:tc>
        <w:tcPr>
          <w:tcW w:w="2278" w:type="pct"/>
          <w:tcBorders>
            <w:top w:val="single" w:sz="4" w:space="0" w:color="4F81BD"/>
            <w:left w:val="nil"/>
            <w:bottom w:val="nil"/>
            <w:right w:val="nil"/>
          </w:tcBorders>
        </w:tcPr>
        <w:p w:rsidR="007C5E92" w:rsidRPr="00A06225" w:rsidRDefault="007C5E92">
          <w:pPr>
            <w:pStyle w:val="Header"/>
            <w:spacing w:line="276" w:lineRule="auto"/>
            <w:rPr>
              <w:rFonts w:ascii="Cambria" w:eastAsia="MS Gothic" w:hAnsi="Cambria"/>
              <w:b/>
              <w:bCs/>
              <w:color w:val="4F81BD"/>
            </w:rPr>
          </w:pPr>
        </w:p>
      </w:tc>
    </w:tr>
  </w:tbl>
  <w:p w:rsidR="007C5E92" w:rsidRDefault="007C5E92">
    <w:pPr>
      <w:pStyle w:val="Header"/>
    </w:pPr>
  </w:p>
  <w:p w:rsidR="007C5E92" w:rsidRDefault="007C5E92"/>
  <w:p w:rsidR="007C5E92" w:rsidRDefault="007C5E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92" w:rsidRPr="00885CC4" w:rsidRDefault="007C5E92" w:rsidP="00885CC4">
    <w:pPr>
      <w:pStyle w:val="Header"/>
      <w:spacing w:after="240"/>
      <w:jc w:val="center"/>
      <w:rPr>
        <w:rFonts w:asciiTheme="minorHAnsi" w:hAnsiTheme="minorHAnsi" w:cs="Arial"/>
        <w:i/>
      </w:rPr>
    </w:pPr>
    <w:r>
      <w:rPr>
        <w:rFonts w:asciiTheme="minorHAnsi" w:hAnsiTheme="minorHAnsi" w:cs="Arial"/>
        <w:i/>
      </w:rPr>
      <w:t>Public Summary Document – March 2018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F1" w:rsidRDefault="00862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3F1563D"/>
    <w:multiLevelType w:val="hybridMultilevel"/>
    <w:tmpl w:val="4BA465C4"/>
    <w:lvl w:ilvl="0" w:tplc="C8109E60">
      <w:start w:val="4"/>
      <w:numFmt w:val="bullet"/>
      <w:lvlText w:val="-"/>
      <w:lvlJc w:val="left"/>
      <w:pPr>
        <w:ind w:left="1494" w:hanging="360"/>
      </w:pPr>
      <w:rPr>
        <w:rFonts w:ascii="Calibri" w:eastAsia="Times New Roman" w:hAnsi="Calibri"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
    <w:nsid w:val="05E3077B"/>
    <w:multiLevelType w:val="hybridMultilevel"/>
    <w:tmpl w:val="6F44E35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73D6513"/>
    <w:multiLevelType w:val="hybridMultilevel"/>
    <w:tmpl w:val="A7FE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AD4691"/>
    <w:multiLevelType w:val="hybridMultilevel"/>
    <w:tmpl w:val="FB9053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B753F06"/>
    <w:multiLevelType w:val="hybridMultilevel"/>
    <w:tmpl w:val="F45C0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C1A64FB"/>
    <w:multiLevelType w:val="hybridMultilevel"/>
    <w:tmpl w:val="AAECA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3">
    <w:nsid w:val="17083047"/>
    <w:multiLevelType w:val="hybridMultilevel"/>
    <w:tmpl w:val="B1B4D9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87C0193"/>
    <w:multiLevelType w:val="hybridMultilevel"/>
    <w:tmpl w:val="B8FE5C34"/>
    <w:lvl w:ilvl="0" w:tplc="0BB20652">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490CB3"/>
    <w:multiLevelType w:val="hybridMultilevel"/>
    <w:tmpl w:val="B9E2C4A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8">
    <w:nsid w:val="22B12293"/>
    <w:multiLevelType w:val="hybridMultilevel"/>
    <w:tmpl w:val="1FD695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443552E"/>
    <w:multiLevelType w:val="hybridMultilevel"/>
    <w:tmpl w:val="70A28424"/>
    <w:lvl w:ilvl="0" w:tplc="BCD258A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B0116A"/>
    <w:multiLevelType w:val="hybridMultilevel"/>
    <w:tmpl w:val="9984C91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D8031D0"/>
    <w:multiLevelType w:val="hybridMultilevel"/>
    <w:tmpl w:val="9AAC3790"/>
    <w:lvl w:ilvl="0" w:tplc="5D48FF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EE71DB7"/>
    <w:multiLevelType w:val="hybridMultilevel"/>
    <w:tmpl w:val="F2789EE0"/>
    <w:lvl w:ilvl="0" w:tplc="238C25C2">
      <w:start w:val="2"/>
      <w:numFmt w:val="bullet"/>
      <w:lvlText w:val="-"/>
      <w:lvlJc w:val="left"/>
      <w:pPr>
        <w:ind w:left="1069" w:hanging="360"/>
      </w:pPr>
      <w:rPr>
        <w:rFonts w:ascii="Calibri" w:eastAsia="Times New Roman" w:hAnsi="Calibri"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FA1132"/>
    <w:multiLevelType w:val="hybridMultilevel"/>
    <w:tmpl w:val="A76A13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3E95213D"/>
    <w:multiLevelType w:val="hybridMultilevel"/>
    <w:tmpl w:val="BF188036"/>
    <w:lvl w:ilvl="0" w:tplc="0C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7526C3D4">
      <w:start w:val="4"/>
      <w:numFmt w:val="bullet"/>
      <w:lvlText w:val="-"/>
      <w:lvlJc w:val="left"/>
      <w:pPr>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A7348B"/>
    <w:multiLevelType w:val="hybridMultilevel"/>
    <w:tmpl w:val="BF188036"/>
    <w:lvl w:ilvl="0" w:tplc="0C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7526C3D4">
      <w:start w:val="4"/>
      <w:numFmt w:val="bullet"/>
      <w:lvlText w:val="-"/>
      <w:lvlJc w:val="left"/>
      <w:pPr>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126567"/>
    <w:multiLevelType w:val="hybridMultilevel"/>
    <w:tmpl w:val="BA6E9E1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B2221ED"/>
    <w:multiLevelType w:val="hybridMultilevel"/>
    <w:tmpl w:val="7856DE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50947504"/>
    <w:multiLevelType w:val="hybridMultilevel"/>
    <w:tmpl w:val="5EFE9550"/>
    <w:lvl w:ilvl="0" w:tplc="58345F16">
      <w:start w:val="1"/>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9E4E5E"/>
    <w:multiLevelType w:val="hybridMultilevel"/>
    <w:tmpl w:val="38708E48"/>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334216"/>
    <w:multiLevelType w:val="hybridMultilevel"/>
    <w:tmpl w:val="6C929A3A"/>
    <w:lvl w:ilvl="0" w:tplc="4B86B102">
      <w:start w:val="4"/>
      <w:numFmt w:val="bullet"/>
      <w:lvlText w:val="-"/>
      <w:lvlJc w:val="left"/>
      <w:pPr>
        <w:ind w:left="2214" w:hanging="360"/>
      </w:pPr>
      <w:rPr>
        <w:rFonts w:ascii="Calibri" w:eastAsia="Times New Roman" w:hAnsi="Calibri" w:cs="Aria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5A2D2861"/>
    <w:multiLevelType w:val="hybridMultilevel"/>
    <w:tmpl w:val="ADFC1EE2"/>
    <w:lvl w:ilvl="0" w:tplc="87AC3878">
      <w:numFmt w:val="bullet"/>
      <w:lvlText w:val="-"/>
      <w:lvlJc w:val="left"/>
      <w:pPr>
        <w:ind w:left="360" w:firstLine="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D9F5A0E"/>
    <w:multiLevelType w:val="hybridMultilevel"/>
    <w:tmpl w:val="0A3AC42E"/>
    <w:lvl w:ilvl="0" w:tplc="58345F16">
      <w:start w:val="1"/>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397B1D"/>
    <w:multiLevelType w:val="hybridMultilevel"/>
    <w:tmpl w:val="2480A1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6D871D99"/>
    <w:multiLevelType w:val="hybridMultilevel"/>
    <w:tmpl w:val="3B10392E"/>
    <w:lvl w:ilvl="0" w:tplc="4B86B102">
      <w:start w:val="4"/>
      <w:numFmt w:val="bullet"/>
      <w:lvlText w:val="-"/>
      <w:lvlJc w:val="left"/>
      <w:pPr>
        <w:ind w:left="1494" w:hanging="360"/>
      </w:pPr>
      <w:rPr>
        <w:rFonts w:ascii="Calibri" w:eastAsia="Times New Roman" w:hAnsi="Calibri"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3">
    <w:nsid w:val="6EDD72F6"/>
    <w:multiLevelType w:val="hybridMultilevel"/>
    <w:tmpl w:val="1FA8E0B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4D033C"/>
    <w:multiLevelType w:val="multilevel"/>
    <w:tmpl w:val="89CE18C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8445AD"/>
    <w:multiLevelType w:val="hybridMultilevel"/>
    <w:tmpl w:val="72383E06"/>
    <w:lvl w:ilvl="0" w:tplc="09660F2C">
      <w:start w:val="3"/>
      <w:numFmt w:val="bullet"/>
      <w:lvlText w:val=""/>
      <w:lvlJc w:val="left"/>
      <w:pPr>
        <w:ind w:left="1069" w:hanging="360"/>
      </w:pPr>
      <w:rPr>
        <w:rFonts w:ascii="Wingdings" w:eastAsia="Times New Roman" w:hAnsi="Wingdings"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7"/>
  </w:num>
  <w:num w:numId="2">
    <w:abstractNumId w:val="3"/>
  </w:num>
  <w:num w:numId="3">
    <w:abstractNumId w:val="12"/>
  </w:num>
  <w:num w:numId="4">
    <w:abstractNumId w:val="32"/>
  </w:num>
  <w:num w:numId="5">
    <w:abstractNumId w:val="44"/>
  </w:num>
  <w:num w:numId="6">
    <w:abstractNumId w:val="15"/>
  </w:num>
  <w:num w:numId="7">
    <w:abstractNumId w:val="27"/>
  </w:num>
  <w:num w:numId="8">
    <w:abstractNumId w:val="6"/>
  </w:num>
  <w:num w:numId="9">
    <w:abstractNumId w:val="26"/>
  </w:num>
  <w:num w:numId="10">
    <w:abstractNumId w:val="25"/>
  </w:num>
  <w:num w:numId="11">
    <w:abstractNumId w:val="22"/>
  </w:num>
  <w:num w:numId="12">
    <w:abstractNumId w:val="1"/>
  </w:num>
  <w:num w:numId="13">
    <w:abstractNumId w:val="0"/>
  </w:num>
  <w:num w:numId="14">
    <w:abstractNumId w:val="44"/>
  </w:num>
  <w:num w:numId="15">
    <w:abstractNumId w:val="14"/>
  </w:num>
  <w:num w:numId="16">
    <w:abstractNumId w:val="40"/>
  </w:num>
  <w:num w:numId="17">
    <w:abstractNumId w:val="39"/>
  </w:num>
  <w:num w:numId="18">
    <w:abstractNumId w:val="35"/>
  </w:num>
  <w:num w:numId="19">
    <w:abstractNumId w:val="34"/>
  </w:num>
  <w:num w:numId="20">
    <w:abstractNumId w:val="33"/>
  </w:num>
  <w:num w:numId="21">
    <w:abstractNumId w:val="28"/>
  </w:num>
  <w:num w:numId="22">
    <w:abstractNumId w:val="41"/>
  </w:num>
  <w:num w:numId="23">
    <w:abstractNumId w:val="11"/>
  </w:num>
  <w:num w:numId="24">
    <w:abstractNumId w:val="18"/>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4"/>
  </w:num>
  <w:num w:numId="28">
    <w:abstractNumId w:val="16"/>
  </w:num>
  <w:num w:numId="29">
    <w:abstractNumId w:val="45"/>
  </w:num>
  <w:num w:numId="30">
    <w:abstractNumId w:val="5"/>
  </w:num>
  <w:num w:numId="31">
    <w:abstractNumId w:val="36"/>
  </w:num>
  <w:num w:numId="32">
    <w:abstractNumId w:val="37"/>
  </w:num>
  <w:num w:numId="33">
    <w:abstractNumId w:val="9"/>
  </w:num>
  <w:num w:numId="34">
    <w:abstractNumId w:val="2"/>
  </w:num>
  <w:num w:numId="35">
    <w:abstractNumId w:val="19"/>
  </w:num>
  <w:num w:numId="36">
    <w:abstractNumId w:val="13"/>
  </w:num>
  <w:num w:numId="37">
    <w:abstractNumId w:val="29"/>
  </w:num>
  <w:num w:numId="38">
    <w:abstractNumId w:val="44"/>
  </w:num>
  <w:num w:numId="39">
    <w:abstractNumId w:val="42"/>
  </w:num>
  <w:num w:numId="40">
    <w:abstractNumId w:val="4"/>
  </w:num>
  <w:num w:numId="41">
    <w:abstractNumId w:val="21"/>
  </w:num>
  <w:num w:numId="42">
    <w:abstractNumId w:val="43"/>
  </w:num>
  <w:num w:numId="43">
    <w:abstractNumId w:val="38"/>
  </w:num>
  <w:num w:numId="44">
    <w:abstractNumId w:val="30"/>
  </w:num>
  <w:num w:numId="45">
    <w:abstractNumId w:val="8"/>
  </w:num>
  <w:num w:numId="46">
    <w:abstractNumId w:val="31"/>
  </w:num>
  <w:num w:numId="47">
    <w:abstractNumId w:val="10"/>
  </w:num>
  <w:num w:numId="48">
    <w:abstractNumId w:val="7"/>
  </w:num>
  <w:num w:numId="49">
    <w:abstractNumId w:val="2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ongpark">
    <w15:presenceInfo w15:providerId="Windows Live" w15:userId="c8afe2399a2ff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C05"/>
    <w:rsid w:val="000025AD"/>
    <w:rsid w:val="0000335D"/>
    <w:rsid w:val="00003C96"/>
    <w:rsid w:val="00010CF7"/>
    <w:rsid w:val="0001664F"/>
    <w:rsid w:val="00016723"/>
    <w:rsid w:val="00017EDB"/>
    <w:rsid w:val="000202B5"/>
    <w:rsid w:val="0002393E"/>
    <w:rsid w:val="0002464A"/>
    <w:rsid w:val="0002588F"/>
    <w:rsid w:val="00030CFF"/>
    <w:rsid w:val="0003106B"/>
    <w:rsid w:val="000421A1"/>
    <w:rsid w:val="0004240E"/>
    <w:rsid w:val="0004553F"/>
    <w:rsid w:val="00045E26"/>
    <w:rsid w:val="000514B5"/>
    <w:rsid w:val="00052063"/>
    <w:rsid w:val="00060E64"/>
    <w:rsid w:val="00064761"/>
    <w:rsid w:val="00066755"/>
    <w:rsid w:val="00074189"/>
    <w:rsid w:val="00077143"/>
    <w:rsid w:val="0008172F"/>
    <w:rsid w:val="00082169"/>
    <w:rsid w:val="000872CC"/>
    <w:rsid w:val="000969AD"/>
    <w:rsid w:val="000A3A0F"/>
    <w:rsid w:val="000A688D"/>
    <w:rsid w:val="000B558D"/>
    <w:rsid w:val="000C6996"/>
    <w:rsid w:val="000D23BA"/>
    <w:rsid w:val="000D7075"/>
    <w:rsid w:val="000E22EB"/>
    <w:rsid w:val="000E681E"/>
    <w:rsid w:val="000F0003"/>
    <w:rsid w:val="000F2FFD"/>
    <w:rsid w:val="000F4B51"/>
    <w:rsid w:val="000F4E6A"/>
    <w:rsid w:val="000F54FB"/>
    <w:rsid w:val="00101E0A"/>
    <w:rsid w:val="00104227"/>
    <w:rsid w:val="00104D29"/>
    <w:rsid w:val="001107BF"/>
    <w:rsid w:val="00113E2A"/>
    <w:rsid w:val="0012417C"/>
    <w:rsid w:val="001267D5"/>
    <w:rsid w:val="001301CF"/>
    <w:rsid w:val="001324C2"/>
    <w:rsid w:val="00135212"/>
    <w:rsid w:val="00142395"/>
    <w:rsid w:val="00142714"/>
    <w:rsid w:val="00143BA3"/>
    <w:rsid w:val="001452ED"/>
    <w:rsid w:val="00154914"/>
    <w:rsid w:val="00163329"/>
    <w:rsid w:val="00164623"/>
    <w:rsid w:val="00165B64"/>
    <w:rsid w:val="001830CE"/>
    <w:rsid w:val="0018643B"/>
    <w:rsid w:val="00195FFB"/>
    <w:rsid w:val="00196307"/>
    <w:rsid w:val="001A0282"/>
    <w:rsid w:val="001A33EA"/>
    <w:rsid w:val="001A389B"/>
    <w:rsid w:val="001B017F"/>
    <w:rsid w:val="001B2BBC"/>
    <w:rsid w:val="001B5129"/>
    <w:rsid w:val="001C1195"/>
    <w:rsid w:val="001C16B7"/>
    <w:rsid w:val="001D4786"/>
    <w:rsid w:val="001E0240"/>
    <w:rsid w:val="001E3207"/>
    <w:rsid w:val="001F1850"/>
    <w:rsid w:val="001F3EE1"/>
    <w:rsid w:val="001F486D"/>
    <w:rsid w:val="001F7DB5"/>
    <w:rsid w:val="002019A4"/>
    <w:rsid w:val="00203E5B"/>
    <w:rsid w:val="00203FAC"/>
    <w:rsid w:val="00213CFB"/>
    <w:rsid w:val="00217BE1"/>
    <w:rsid w:val="0022174F"/>
    <w:rsid w:val="00233C21"/>
    <w:rsid w:val="00234BEC"/>
    <w:rsid w:val="00234D42"/>
    <w:rsid w:val="00246DE5"/>
    <w:rsid w:val="00251C71"/>
    <w:rsid w:val="002550DB"/>
    <w:rsid w:val="00256D83"/>
    <w:rsid w:val="00260475"/>
    <w:rsid w:val="002632B8"/>
    <w:rsid w:val="00266778"/>
    <w:rsid w:val="002673C7"/>
    <w:rsid w:val="00271BA1"/>
    <w:rsid w:val="00273D2A"/>
    <w:rsid w:val="002762FA"/>
    <w:rsid w:val="00277505"/>
    <w:rsid w:val="00281321"/>
    <w:rsid w:val="00287A1E"/>
    <w:rsid w:val="0029458F"/>
    <w:rsid w:val="002A104C"/>
    <w:rsid w:val="002A2F69"/>
    <w:rsid w:val="002A4960"/>
    <w:rsid w:val="002B03D0"/>
    <w:rsid w:val="002B1869"/>
    <w:rsid w:val="002B1AE6"/>
    <w:rsid w:val="002B2DE8"/>
    <w:rsid w:val="002B30F8"/>
    <w:rsid w:val="002B5596"/>
    <w:rsid w:val="002B7C15"/>
    <w:rsid w:val="002C0BBB"/>
    <w:rsid w:val="002C212F"/>
    <w:rsid w:val="002C5B8D"/>
    <w:rsid w:val="002D3BFE"/>
    <w:rsid w:val="002D4543"/>
    <w:rsid w:val="002D7840"/>
    <w:rsid w:val="002E0CBF"/>
    <w:rsid w:val="002E3153"/>
    <w:rsid w:val="002E4841"/>
    <w:rsid w:val="002E72CA"/>
    <w:rsid w:val="002F0623"/>
    <w:rsid w:val="002F4AB3"/>
    <w:rsid w:val="00300AD6"/>
    <w:rsid w:val="0030439D"/>
    <w:rsid w:val="00306A51"/>
    <w:rsid w:val="00317C6C"/>
    <w:rsid w:val="00326E79"/>
    <w:rsid w:val="0033179F"/>
    <w:rsid w:val="003319FC"/>
    <w:rsid w:val="00331C90"/>
    <w:rsid w:val="0033518A"/>
    <w:rsid w:val="003367EF"/>
    <w:rsid w:val="00341AE4"/>
    <w:rsid w:val="00341B4E"/>
    <w:rsid w:val="003614F7"/>
    <w:rsid w:val="00361C6E"/>
    <w:rsid w:val="00364E6F"/>
    <w:rsid w:val="00367825"/>
    <w:rsid w:val="00374290"/>
    <w:rsid w:val="00377436"/>
    <w:rsid w:val="0038485B"/>
    <w:rsid w:val="00386A69"/>
    <w:rsid w:val="00387299"/>
    <w:rsid w:val="003872CF"/>
    <w:rsid w:val="0039729E"/>
    <w:rsid w:val="0039782C"/>
    <w:rsid w:val="003A5B4A"/>
    <w:rsid w:val="003A71F3"/>
    <w:rsid w:val="003B05B6"/>
    <w:rsid w:val="003B23C5"/>
    <w:rsid w:val="003B2A75"/>
    <w:rsid w:val="003B6124"/>
    <w:rsid w:val="003B68CB"/>
    <w:rsid w:val="003C0661"/>
    <w:rsid w:val="003C2B55"/>
    <w:rsid w:val="003C2FB5"/>
    <w:rsid w:val="003C52B4"/>
    <w:rsid w:val="003D4AC4"/>
    <w:rsid w:val="003D63B7"/>
    <w:rsid w:val="003E468B"/>
    <w:rsid w:val="003E5E1B"/>
    <w:rsid w:val="003F1117"/>
    <w:rsid w:val="003F3228"/>
    <w:rsid w:val="003F5C8C"/>
    <w:rsid w:val="0040349A"/>
    <w:rsid w:val="00405E2C"/>
    <w:rsid w:val="00415DDD"/>
    <w:rsid w:val="00415E7C"/>
    <w:rsid w:val="0042156F"/>
    <w:rsid w:val="00421C77"/>
    <w:rsid w:val="004236CE"/>
    <w:rsid w:val="00423F24"/>
    <w:rsid w:val="004252EC"/>
    <w:rsid w:val="0042596C"/>
    <w:rsid w:val="004368BD"/>
    <w:rsid w:val="004465BD"/>
    <w:rsid w:val="00456A53"/>
    <w:rsid w:val="0046428A"/>
    <w:rsid w:val="00466ADA"/>
    <w:rsid w:val="00473B89"/>
    <w:rsid w:val="00475D0D"/>
    <w:rsid w:val="00476245"/>
    <w:rsid w:val="00483035"/>
    <w:rsid w:val="00485940"/>
    <w:rsid w:val="004A089F"/>
    <w:rsid w:val="004A0A72"/>
    <w:rsid w:val="004A156C"/>
    <w:rsid w:val="004A2484"/>
    <w:rsid w:val="004A5A85"/>
    <w:rsid w:val="004A71D1"/>
    <w:rsid w:val="004B5640"/>
    <w:rsid w:val="004B5E4F"/>
    <w:rsid w:val="004B708D"/>
    <w:rsid w:val="004C1BD7"/>
    <w:rsid w:val="004C31FE"/>
    <w:rsid w:val="004C3ABD"/>
    <w:rsid w:val="004C529B"/>
    <w:rsid w:val="004C691D"/>
    <w:rsid w:val="004C6C07"/>
    <w:rsid w:val="004D1A5E"/>
    <w:rsid w:val="004E27C4"/>
    <w:rsid w:val="004E692D"/>
    <w:rsid w:val="004F23C4"/>
    <w:rsid w:val="004F713B"/>
    <w:rsid w:val="00501554"/>
    <w:rsid w:val="00507B5B"/>
    <w:rsid w:val="005107DF"/>
    <w:rsid w:val="00514CD7"/>
    <w:rsid w:val="005319B2"/>
    <w:rsid w:val="00532402"/>
    <w:rsid w:val="00532C74"/>
    <w:rsid w:val="00534E2E"/>
    <w:rsid w:val="005404B8"/>
    <w:rsid w:val="00544552"/>
    <w:rsid w:val="00546D64"/>
    <w:rsid w:val="00573DB4"/>
    <w:rsid w:val="00577C4D"/>
    <w:rsid w:val="005809E6"/>
    <w:rsid w:val="00581932"/>
    <w:rsid w:val="005963BB"/>
    <w:rsid w:val="005A3173"/>
    <w:rsid w:val="005A3223"/>
    <w:rsid w:val="005A3DA3"/>
    <w:rsid w:val="005A4D94"/>
    <w:rsid w:val="005A52C4"/>
    <w:rsid w:val="005B25EE"/>
    <w:rsid w:val="005B67AD"/>
    <w:rsid w:val="005D03AB"/>
    <w:rsid w:val="005D0EFD"/>
    <w:rsid w:val="005D5017"/>
    <w:rsid w:val="005D7D89"/>
    <w:rsid w:val="005E1333"/>
    <w:rsid w:val="005E19BC"/>
    <w:rsid w:val="005F0D34"/>
    <w:rsid w:val="005F2A83"/>
    <w:rsid w:val="005F7379"/>
    <w:rsid w:val="005F7455"/>
    <w:rsid w:val="00601A91"/>
    <w:rsid w:val="00602AF1"/>
    <w:rsid w:val="00602BA3"/>
    <w:rsid w:val="00612E34"/>
    <w:rsid w:val="00613CB8"/>
    <w:rsid w:val="00614159"/>
    <w:rsid w:val="00617C00"/>
    <w:rsid w:val="00623F3D"/>
    <w:rsid w:val="006263BF"/>
    <w:rsid w:val="0062748A"/>
    <w:rsid w:val="00630A2C"/>
    <w:rsid w:val="00630B9B"/>
    <w:rsid w:val="00631C67"/>
    <w:rsid w:val="0063682E"/>
    <w:rsid w:val="006436CD"/>
    <w:rsid w:val="0064552D"/>
    <w:rsid w:val="00650777"/>
    <w:rsid w:val="00651169"/>
    <w:rsid w:val="00652219"/>
    <w:rsid w:val="00653809"/>
    <w:rsid w:val="00653D69"/>
    <w:rsid w:val="006608B7"/>
    <w:rsid w:val="00661B34"/>
    <w:rsid w:val="00662965"/>
    <w:rsid w:val="006670BE"/>
    <w:rsid w:val="00670A76"/>
    <w:rsid w:val="006711AA"/>
    <w:rsid w:val="00672B57"/>
    <w:rsid w:val="00675622"/>
    <w:rsid w:val="0067747D"/>
    <w:rsid w:val="00680017"/>
    <w:rsid w:val="00682631"/>
    <w:rsid w:val="006838D6"/>
    <w:rsid w:val="00683C64"/>
    <w:rsid w:val="006840B8"/>
    <w:rsid w:val="006906DB"/>
    <w:rsid w:val="00691E6C"/>
    <w:rsid w:val="00696129"/>
    <w:rsid w:val="0069735F"/>
    <w:rsid w:val="00697CF2"/>
    <w:rsid w:val="006A12A5"/>
    <w:rsid w:val="006A3754"/>
    <w:rsid w:val="006B0D94"/>
    <w:rsid w:val="006B485D"/>
    <w:rsid w:val="006B5B12"/>
    <w:rsid w:val="006C708E"/>
    <w:rsid w:val="006D3406"/>
    <w:rsid w:val="006D3670"/>
    <w:rsid w:val="006D6493"/>
    <w:rsid w:val="006D6836"/>
    <w:rsid w:val="006D6EC7"/>
    <w:rsid w:val="006D7FF8"/>
    <w:rsid w:val="006E4E21"/>
    <w:rsid w:val="006E6C41"/>
    <w:rsid w:val="006E6D8E"/>
    <w:rsid w:val="006E7F8E"/>
    <w:rsid w:val="006F5125"/>
    <w:rsid w:val="006F7173"/>
    <w:rsid w:val="00701480"/>
    <w:rsid w:val="00702B6F"/>
    <w:rsid w:val="007048BF"/>
    <w:rsid w:val="0071340B"/>
    <w:rsid w:val="007174BB"/>
    <w:rsid w:val="0072025D"/>
    <w:rsid w:val="00723D6C"/>
    <w:rsid w:val="00724D30"/>
    <w:rsid w:val="00734F6A"/>
    <w:rsid w:val="007353D3"/>
    <w:rsid w:val="0073641C"/>
    <w:rsid w:val="00756A92"/>
    <w:rsid w:val="007615B7"/>
    <w:rsid w:val="0076420C"/>
    <w:rsid w:val="007663A2"/>
    <w:rsid w:val="007753C2"/>
    <w:rsid w:val="0077751B"/>
    <w:rsid w:val="00781815"/>
    <w:rsid w:val="0078260C"/>
    <w:rsid w:val="007838B8"/>
    <w:rsid w:val="00786E98"/>
    <w:rsid w:val="007B474F"/>
    <w:rsid w:val="007C022D"/>
    <w:rsid w:val="007C0F57"/>
    <w:rsid w:val="007C40B6"/>
    <w:rsid w:val="007C5E92"/>
    <w:rsid w:val="007C729F"/>
    <w:rsid w:val="007D4657"/>
    <w:rsid w:val="007D51F6"/>
    <w:rsid w:val="007E1D28"/>
    <w:rsid w:val="007F0A8C"/>
    <w:rsid w:val="007F2641"/>
    <w:rsid w:val="007F72A5"/>
    <w:rsid w:val="007F73D0"/>
    <w:rsid w:val="007F7C36"/>
    <w:rsid w:val="008057E8"/>
    <w:rsid w:val="00806796"/>
    <w:rsid w:val="008151D6"/>
    <w:rsid w:val="00820250"/>
    <w:rsid w:val="008253BE"/>
    <w:rsid w:val="00825B93"/>
    <w:rsid w:val="00826F6D"/>
    <w:rsid w:val="008306F3"/>
    <w:rsid w:val="008339C1"/>
    <w:rsid w:val="00833BD3"/>
    <w:rsid w:val="0083570E"/>
    <w:rsid w:val="00845B9C"/>
    <w:rsid w:val="00856DDD"/>
    <w:rsid w:val="00862CF1"/>
    <w:rsid w:val="00863E68"/>
    <w:rsid w:val="00864C75"/>
    <w:rsid w:val="00866665"/>
    <w:rsid w:val="00867961"/>
    <w:rsid w:val="00871FB0"/>
    <w:rsid w:val="00882085"/>
    <w:rsid w:val="00883188"/>
    <w:rsid w:val="00885225"/>
    <w:rsid w:val="00885CC4"/>
    <w:rsid w:val="008869FC"/>
    <w:rsid w:val="00886A81"/>
    <w:rsid w:val="00891E6F"/>
    <w:rsid w:val="00897D58"/>
    <w:rsid w:val="00897F22"/>
    <w:rsid w:val="008A1956"/>
    <w:rsid w:val="008A3269"/>
    <w:rsid w:val="008A34BB"/>
    <w:rsid w:val="008A4937"/>
    <w:rsid w:val="008A50F1"/>
    <w:rsid w:val="008B506E"/>
    <w:rsid w:val="008D1B5C"/>
    <w:rsid w:val="008D3C82"/>
    <w:rsid w:val="008D447E"/>
    <w:rsid w:val="008D7824"/>
    <w:rsid w:val="008D7A41"/>
    <w:rsid w:val="008E3680"/>
    <w:rsid w:val="008E5870"/>
    <w:rsid w:val="008F0CF7"/>
    <w:rsid w:val="008F1434"/>
    <w:rsid w:val="008F448D"/>
    <w:rsid w:val="008F4875"/>
    <w:rsid w:val="008F7355"/>
    <w:rsid w:val="008F7880"/>
    <w:rsid w:val="0090598C"/>
    <w:rsid w:val="009067B7"/>
    <w:rsid w:val="0092293A"/>
    <w:rsid w:val="00930937"/>
    <w:rsid w:val="00933E6C"/>
    <w:rsid w:val="00934AB6"/>
    <w:rsid w:val="00935B8D"/>
    <w:rsid w:val="00937958"/>
    <w:rsid w:val="00942160"/>
    <w:rsid w:val="00942897"/>
    <w:rsid w:val="00950861"/>
    <w:rsid w:val="009512ED"/>
    <w:rsid w:val="0095146F"/>
    <w:rsid w:val="009602C5"/>
    <w:rsid w:val="00962223"/>
    <w:rsid w:val="009622D9"/>
    <w:rsid w:val="00966D0D"/>
    <w:rsid w:val="00972F5E"/>
    <w:rsid w:val="00974C21"/>
    <w:rsid w:val="00980133"/>
    <w:rsid w:val="009811BC"/>
    <w:rsid w:val="009822A5"/>
    <w:rsid w:val="0098254B"/>
    <w:rsid w:val="009838F3"/>
    <w:rsid w:val="009923E1"/>
    <w:rsid w:val="009A29C3"/>
    <w:rsid w:val="009A2ACB"/>
    <w:rsid w:val="009A5338"/>
    <w:rsid w:val="009B0F67"/>
    <w:rsid w:val="009B6700"/>
    <w:rsid w:val="009C283A"/>
    <w:rsid w:val="009C703C"/>
    <w:rsid w:val="009D2B2D"/>
    <w:rsid w:val="009D2F41"/>
    <w:rsid w:val="009D3CAA"/>
    <w:rsid w:val="009D43E2"/>
    <w:rsid w:val="009D5097"/>
    <w:rsid w:val="009F2748"/>
    <w:rsid w:val="009F4E46"/>
    <w:rsid w:val="009F5B65"/>
    <w:rsid w:val="009F5F2E"/>
    <w:rsid w:val="00A01707"/>
    <w:rsid w:val="00A06225"/>
    <w:rsid w:val="00A128E6"/>
    <w:rsid w:val="00A133FB"/>
    <w:rsid w:val="00A13402"/>
    <w:rsid w:val="00A22221"/>
    <w:rsid w:val="00A3105F"/>
    <w:rsid w:val="00A34E6C"/>
    <w:rsid w:val="00A36D96"/>
    <w:rsid w:val="00A37C8D"/>
    <w:rsid w:val="00A4217B"/>
    <w:rsid w:val="00A47256"/>
    <w:rsid w:val="00A515CA"/>
    <w:rsid w:val="00A51C6B"/>
    <w:rsid w:val="00A5273B"/>
    <w:rsid w:val="00A5373B"/>
    <w:rsid w:val="00A53A9D"/>
    <w:rsid w:val="00A55FEE"/>
    <w:rsid w:val="00A60339"/>
    <w:rsid w:val="00A62C1A"/>
    <w:rsid w:val="00A6426D"/>
    <w:rsid w:val="00A665C1"/>
    <w:rsid w:val="00A70622"/>
    <w:rsid w:val="00A70977"/>
    <w:rsid w:val="00A77613"/>
    <w:rsid w:val="00A77CE9"/>
    <w:rsid w:val="00A810C6"/>
    <w:rsid w:val="00A8390C"/>
    <w:rsid w:val="00A85007"/>
    <w:rsid w:val="00A866D9"/>
    <w:rsid w:val="00A904CF"/>
    <w:rsid w:val="00A928BD"/>
    <w:rsid w:val="00A93322"/>
    <w:rsid w:val="00AA1AC4"/>
    <w:rsid w:val="00AA3285"/>
    <w:rsid w:val="00AA4D1C"/>
    <w:rsid w:val="00AA662D"/>
    <w:rsid w:val="00AB2F89"/>
    <w:rsid w:val="00AB4EE9"/>
    <w:rsid w:val="00AC0EE0"/>
    <w:rsid w:val="00AC10F4"/>
    <w:rsid w:val="00AC193C"/>
    <w:rsid w:val="00AC2367"/>
    <w:rsid w:val="00AC44A5"/>
    <w:rsid w:val="00AC5206"/>
    <w:rsid w:val="00AD36C7"/>
    <w:rsid w:val="00AD5A3F"/>
    <w:rsid w:val="00AD78CD"/>
    <w:rsid w:val="00AE11A5"/>
    <w:rsid w:val="00AE13E2"/>
    <w:rsid w:val="00AE22D3"/>
    <w:rsid w:val="00AF1FBA"/>
    <w:rsid w:val="00AF4605"/>
    <w:rsid w:val="00AF625D"/>
    <w:rsid w:val="00AF62DF"/>
    <w:rsid w:val="00AF68CC"/>
    <w:rsid w:val="00B003F1"/>
    <w:rsid w:val="00B04862"/>
    <w:rsid w:val="00B061A9"/>
    <w:rsid w:val="00B1059E"/>
    <w:rsid w:val="00B12C42"/>
    <w:rsid w:val="00B1661E"/>
    <w:rsid w:val="00B1746B"/>
    <w:rsid w:val="00B176C8"/>
    <w:rsid w:val="00B205AA"/>
    <w:rsid w:val="00B2198E"/>
    <w:rsid w:val="00B21F2A"/>
    <w:rsid w:val="00B22E84"/>
    <w:rsid w:val="00B25F75"/>
    <w:rsid w:val="00B26B3F"/>
    <w:rsid w:val="00B43E90"/>
    <w:rsid w:val="00B467DC"/>
    <w:rsid w:val="00B47DD8"/>
    <w:rsid w:val="00B5421D"/>
    <w:rsid w:val="00B56118"/>
    <w:rsid w:val="00B60327"/>
    <w:rsid w:val="00B61225"/>
    <w:rsid w:val="00B6773F"/>
    <w:rsid w:val="00B77196"/>
    <w:rsid w:val="00B801BA"/>
    <w:rsid w:val="00B84D5C"/>
    <w:rsid w:val="00B927E4"/>
    <w:rsid w:val="00BA0490"/>
    <w:rsid w:val="00BA0C39"/>
    <w:rsid w:val="00BA601C"/>
    <w:rsid w:val="00BA76ED"/>
    <w:rsid w:val="00BB3A55"/>
    <w:rsid w:val="00BB6750"/>
    <w:rsid w:val="00BB69F5"/>
    <w:rsid w:val="00BB7EC3"/>
    <w:rsid w:val="00BC3EEE"/>
    <w:rsid w:val="00BC4B9A"/>
    <w:rsid w:val="00BD4FEE"/>
    <w:rsid w:val="00BD784C"/>
    <w:rsid w:val="00BF390E"/>
    <w:rsid w:val="00BF4CB6"/>
    <w:rsid w:val="00BF6508"/>
    <w:rsid w:val="00C00DA7"/>
    <w:rsid w:val="00C12768"/>
    <w:rsid w:val="00C13D8B"/>
    <w:rsid w:val="00C15035"/>
    <w:rsid w:val="00C179A8"/>
    <w:rsid w:val="00C22F12"/>
    <w:rsid w:val="00C24D56"/>
    <w:rsid w:val="00C27B58"/>
    <w:rsid w:val="00C32016"/>
    <w:rsid w:val="00C34584"/>
    <w:rsid w:val="00C35996"/>
    <w:rsid w:val="00C37709"/>
    <w:rsid w:val="00C40131"/>
    <w:rsid w:val="00C44232"/>
    <w:rsid w:val="00C444C2"/>
    <w:rsid w:val="00C4747E"/>
    <w:rsid w:val="00C5342C"/>
    <w:rsid w:val="00C603D4"/>
    <w:rsid w:val="00C61C4F"/>
    <w:rsid w:val="00C6256A"/>
    <w:rsid w:val="00C65E78"/>
    <w:rsid w:val="00C6736E"/>
    <w:rsid w:val="00C77891"/>
    <w:rsid w:val="00C85C81"/>
    <w:rsid w:val="00C862B0"/>
    <w:rsid w:val="00C87ADC"/>
    <w:rsid w:val="00C91449"/>
    <w:rsid w:val="00C92D10"/>
    <w:rsid w:val="00C97971"/>
    <w:rsid w:val="00CA4862"/>
    <w:rsid w:val="00CA6432"/>
    <w:rsid w:val="00CB41EF"/>
    <w:rsid w:val="00CB5AEE"/>
    <w:rsid w:val="00CB6188"/>
    <w:rsid w:val="00CC61F1"/>
    <w:rsid w:val="00CC6F1D"/>
    <w:rsid w:val="00CD7E3A"/>
    <w:rsid w:val="00CE0FB3"/>
    <w:rsid w:val="00CE10C4"/>
    <w:rsid w:val="00CE27B5"/>
    <w:rsid w:val="00CE29F4"/>
    <w:rsid w:val="00CF0C5B"/>
    <w:rsid w:val="00CF3E7E"/>
    <w:rsid w:val="00CF65DC"/>
    <w:rsid w:val="00CF67EA"/>
    <w:rsid w:val="00D01E71"/>
    <w:rsid w:val="00D0321E"/>
    <w:rsid w:val="00D0554E"/>
    <w:rsid w:val="00D1064D"/>
    <w:rsid w:val="00D11D4A"/>
    <w:rsid w:val="00D14061"/>
    <w:rsid w:val="00D1455A"/>
    <w:rsid w:val="00D1471E"/>
    <w:rsid w:val="00D15918"/>
    <w:rsid w:val="00D17EEC"/>
    <w:rsid w:val="00D22F30"/>
    <w:rsid w:val="00D31150"/>
    <w:rsid w:val="00D3138B"/>
    <w:rsid w:val="00D32601"/>
    <w:rsid w:val="00D3280C"/>
    <w:rsid w:val="00D3406A"/>
    <w:rsid w:val="00D36233"/>
    <w:rsid w:val="00D40E82"/>
    <w:rsid w:val="00D4572C"/>
    <w:rsid w:val="00D469B2"/>
    <w:rsid w:val="00D6692D"/>
    <w:rsid w:val="00D66F7F"/>
    <w:rsid w:val="00D71C5A"/>
    <w:rsid w:val="00D741EB"/>
    <w:rsid w:val="00D80433"/>
    <w:rsid w:val="00D83605"/>
    <w:rsid w:val="00D84934"/>
    <w:rsid w:val="00D91271"/>
    <w:rsid w:val="00DA2CB5"/>
    <w:rsid w:val="00DA4BAC"/>
    <w:rsid w:val="00DB1BF8"/>
    <w:rsid w:val="00DC7B0C"/>
    <w:rsid w:val="00DD3C19"/>
    <w:rsid w:val="00DD6906"/>
    <w:rsid w:val="00DE30B1"/>
    <w:rsid w:val="00DE6640"/>
    <w:rsid w:val="00DE6D27"/>
    <w:rsid w:val="00DF2084"/>
    <w:rsid w:val="00DF217D"/>
    <w:rsid w:val="00DF26A7"/>
    <w:rsid w:val="00E00F46"/>
    <w:rsid w:val="00E039E8"/>
    <w:rsid w:val="00E15627"/>
    <w:rsid w:val="00E158EF"/>
    <w:rsid w:val="00E15D0C"/>
    <w:rsid w:val="00E164B3"/>
    <w:rsid w:val="00E16910"/>
    <w:rsid w:val="00E26639"/>
    <w:rsid w:val="00E42BDB"/>
    <w:rsid w:val="00E45A4C"/>
    <w:rsid w:val="00E51521"/>
    <w:rsid w:val="00E51A90"/>
    <w:rsid w:val="00E54E62"/>
    <w:rsid w:val="00E562AE"/>
    <w:rsid w:val="00E57EEB"/>
    <w:rsid w:val="00E609C0"/>
    <w:rsid w:val="00E61C48"/>
    <w:rsid w:val="00E62D94"/>
    <w:rsid w:val="00E642B9"/>
    <w:rsid w:val="00E65E54"/>
    <w:rsid w:val="00E760B9"/>
    <w:rsid w:val="00E80155"/>
    <w:rsid w:val="00E81F28"/>
    <w:rsid w:val="00E836E8"/>
    <w:rsid w:val="00E848C0"/>
    <w:rsid w:val="00E85545"/>
    <w:rsid w:val="00E91B96"/>
    <w:rsid w:val="00E91CEB"/>
    <w:rsid w:val="00E941A1"/>
    <w:rsid w:val="00E95CE3"/>
    <w:rsid w:val="00EA2825"/>
    <w:rsid w:val="00EA6095"/>
    <w:rsid w:val="00EB0B63"/>
    <w:rsid w:val="00EB1936"/>
    <w:rsid w:val="00EB5088"/>
    <w:rsid w:val="00EC126E"/>
    <w:rsid w:val="00EC6B7C"/>
    <w:rsid w:val="00ED1644"/>
    <w:rsid w:val="00ED2593"/>
    <w:rsid w:val="00ED2D9B"/>
    <w:rsid w:val="00ED538A"/>
    <w:rsid w:val="00ED551D"/>
    <w:rsid w:val="00ED7D9C"/>
    <w:rsid w:val="00EE000A"/>
    <w:rsid w:val="00EE3708"/>
    <w:rsid w:val="00EE3BEB"/>
    <w:rsid w:val="00EF25A1"/>
    <w:rsid w:val="00EF3D1E"/>
    <w:rsid w:val="00EF44A0"/>
    <w:rsid w:val="00EF4FED"/>
    <w:rsid w:val="00F0269F"/>
    <w:rsid w:val="00F050BD"/>
    <w:rsid w:val="00F05657"/>
    <w:rsid w:val="00F07664"/>
    <w:rsid w:val="00F21250"/>
    <w:rsid w:val="00F22ADA"/>
    <w:rsid w:val="00F22F74"/>
    <w:rsid w:val="00F25578"/>
    <w:rsid w:val="00F25687"/>
    <w:rsid w:val="00F258E5"/>
    <w:rsid w:val="00F27F19"/>
    <w:rsid w:val="00F300BC"/>
    <w:rsid w:val="00F321F5"/>
    <w:rsid w:val="00F3334E"/>
    <w:rsid w:val="00F36CCB"/>
    <w:rsid w:val="00F374E5"/>
    <w:rsid w:val="00F43AF2"/>
    <w:rsid w:val="00F50EC4"/>
    <w:rsid w:val="00F51516"/>
    <w:rsid w:val="00F550CF"/>
    <w:rsid w:val="00F555B6"/>
    <w:rsid w:val="00F57255"/>
    <w:rsid w:val="00F5777B"/>
    <w:rsid w:val="00F57A6D"/>
    <w:rsid w:val="00F61686"/>
    <w:rsid w:val="00F638CC"/>
    <w:rsid w:val="00F64CC1"/>
    <w:rsid w:val="00F72317"/>
    <w:rsid w:val="00F75DF2"/>
    <w:rsid w:val="00F80475"/>
    <w:rsid w:val="00F8247A"/>
    <w:rsid w:val="00F9027D"/>
    <w:rsid w:val="00F93A7C"/>
    <w:rsid w:val="00F941B8"/>
    <w:rsid w:val="00F9629A"/>
    <w:rsid w:val="00F97EFC"/>
    <w:rsid w:val="00FA42B7"/>
    <w:rsid w:val="00FA5883"/>
    <w:rsid w:val="00FA6055"/>
    <w:rsid w:val="00FB21B3"/>
    <w:rsid w:val="00FB322F"/>
    <w:rsid w:val="00FB442F"/>
    <w:rsid w:val="00FB7F8D"/>
    <w:rsid w:val="00FC04C4"/>
    <w:rsid w:val="00FC1929"/>
    <w:rsid w:val="00FC22B9"/>
    <w:rsid w:val="00FC5B46"/>
    <w:rsid w:val="00FD131E"/>
    <w:rsid w:val="00FD1DEB"/>
    <w:rsid w:val="00FD3C21"/>
    <w:rsid w:val="00FD416B"/>
    <w:rsid w:val="00FD58AF"/>
    <w:rsid w:val="00FD66B4"/>
    <w:rsid w:val="00FD6D8E"/>
    <w:rsid w:val="00FE0E94"/>
    <w:rsid w:val="00FF00BD"/>
    <w:rsid w:val="00FF02E4"/>
    <w:rsid w:val="00FF1ED4"/>
    <w:rsid w:val="00FF2801"/>
    <w:rsid w:val="00FF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F3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C04C4"/>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ASD Table,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semiHidden/>
    <w:rsid w:val="00C32016"/>
    <w:rPr>
      <w:sz w:val="24"/>
      <w:szCs w:val="24"/>
    </w:rPr>
  </w:style>
  <w:style w:type="paragraph" w:styleId="NormalWeb">
    <w:name w:val="Normal (Web)"/>
    <w:basedOn w:val="Normal"/>
    <w:uiPriority w:val="99"/>
    <w:semiHidden/>
    <w:unhideWhenUsed/>
    <w:rsid w:val="009D2F41"/>
    <w:pPr>
      <w:spacing w:after="150"/>
    </w:pPr>
    <w:rPr>
      <w:color w:val="222222"/>
    </w:rPr>
  </w:style>
  <w:style w:type="paragraph" w:customStyle="1" w:styleId="Bulletpoints">
    <w:name w:val="Bullet points"/>
    <w:basedOn w:val="ListParagraph"/>
    <w:qFormat/>
    <w:rsid w:val="00C40131"/>
    <w:pPr>
      <w:ind w:left="0"/>
      <w:contextualSpacing w:val="0"/>
    </w:pPr>
    <w:rPr>
      <w:rFonts w:ascii="Calibri" w:hAnsi="Calibri"/>
      <w:sz w:val="24"/>
      <w:szCs w:val="24"/>
    </w:rPr>
  </w:style>
  <w:style w:type="character" w:styleId="FollowedHyperlink">
    <w:name w:val="FollowedHyperlink"/>
    <w:basedOn w:val="DefaultParagraphFont"/>
    <w:semiHidden/>
    <w:unhideWhenUsed/>
    <w:rsid w:val="007C5E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C04C4"/>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ASD Table,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semiHidden/>
    <w:rsid w:val="00C32016"/>
    <w:rPr>
      <w:sz w:val="24"/>
      <w:szCs w:val="24"/>
    </w:rPr>
  </w:style>
  <w:style w:type="paragraph" w:styleId="NormalWeb">
    <w:name w:val="Normal (Web)"/>
    <w:basedOn w:val="Normal"/>
    <w:uiPriority w:val="99"/>
    <w:semiHidden/>
    <w:unhideWhenUsed/>
    <w:rsid w:val="009D2F41"/>
    <w:pPr>
      <w:spacing w:after="150"/>
    </w:pPr>
    <w:rPr>
      <w:color w:val="222222"/>
    </w:rPr>
  </w:style>
  <w:style w:type="paragraph" w:customStyle="1" w:styleId="Bulletpoints">
    <w:name w:val="Bullet points"/>
    <w:basedOn w:val="ListParagraph"/>
    <w:qFormat/>
    <w:rsid w:val="00C40131"/>
    <w:pPr>
      <w:ind w:left="0"/>
      <w:contextualSpacing w:val="0"/>
    </w:pPr>
    <w:rPr>
      <w:rFonts w:ascii="Calibri" w:hAnsi="Calibri"/>
      <w:sz w:val="24"/>
      <w:szCs w:val="24"/>
    </w:rPr>
  </w:style>
  <w:style w:type="character" w:styleId="FollowedHyperlink">
    <w:name w:val="FollowedHyperlink"/>
    <w:basedOn w:val="DefaultParagraphFont"/>
    <w:semiHidden/>
    <w:unhideWhenUsed/>
    <w:rsid w:val="007C5E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7097874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6914489">
      <w:bodyDiv w:val="1"/>
      <w:marLeft w:val="0"/>
      <w:marRight w:val="0"/>
      <w:marTop w:val="0"/>
      <w:marBottom w:val="0"/>
      <w:divBdr>
        <w:top w:val="none" w:sz="0" w:space="0" w:color="auto"/>
        <w:left w:val="none" w:sz="0" w:space="0" w:color="auto"/>
        <w:bottom w:val="none" w:sz="0" w:space="0" w:color="auto"/>
        <w:right w:val="none" w:sz="0" w:space="0" w:color="auto"/>
      </w:divBdr>
    </w:div>
    <w:div w:id="1328241208">
      <w:bodyDiv w:val="1"/>
      <w:marLeft w:val="0"/>
      <w:marRight w:val="0"/>
      <w:marTop w:val="0"/>
      <w:marBottom w:val="0"/>
      <w:divBdr>
        <w:top w:val="none" w:sz="0" w:space="0" w:color="auto"/>
        <w:left w:val="none" w:sz="0" w:space="0" w:color="auto"/>
        <w:bottom w:val="none" w:sz="0" w:space="0" w:color="auto"/>
        <w:right w:val="none" w:sz="0" w:space="0" w:color="auto"/>
      </w:divBdr>
    </w:div>
    <w:div w:id="1578126814">
      <w:bodyDiv w:val="1"/>
      <w:marLeft w:val="0"/>
      <w:marRight w:val="0"/>
      <w:marTop w:val="0"/>
      <w:marBottom w:val="0"/>
      <w:divBdr>
        <w:top w:val="none" w:sz="0" w:space="0" w:color="auto"/>
        <w:left w:val="none" w:sz="0" w:space="0" w:color="auto"/>
        <w:bottom w:val="none" w:sz="0" w:space="0" w:color="auto"/>
        <w:right w:val="none" w:sz="0" w:space="0" w:color="auto"/>
      </w:divBdr>
    </w:div>
    <w:div w:id="1582906280">
      <w:bodyDiv w:val="1"/>
      <w:marLeft w:val="0"/>
      <w:marRight w:val="0"/>
      <w:marTop w:val="0"/>
      <w:marBottom w:val="0"/>
      <w:divBdr>
        <w:top w:val="none" w:sz="0" w:space="0" w:color="auto"/>
        <w:left w:val="none" w:sz="0" w:space="0" w:color="auto"/>
        <w:bottom w:val="none" w:sz="0" w:space="0" w:color="auto"/>
        <w:right w:val="none" w:sz="0" w:space="0" w:color="auto"/>
      </w:divBdr>
    </w:div>
    <w:div w:id="159705564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80695084">
      <w:bodyDiv w:val="1"/>
      <w:marLeft w:val="0"/>
      <w:marRight w:val="0"/>
      <w:marTop w:val="0"/>
      <w:marBottom w:val="0"/>
      <w:divBdr>
        <w:top w:val="none" w:sz="0" w:space="0" w:color="auto"/>
        <w:left w:val="none" w:sz="0" w:space="0" w:color="auto"/>
        <w:bottom w:val="none" w:sz="0" w:space="0" w:color="auto"/>
        <w:right w:val="none" w:sz="0" w:space="0" w:color="auto"/>
      </w:divBdr>
    </w:div>
    <w:div w:id="2054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E64B-BAA7-4F1F-8CFC-CD897B0A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5963</Words>
  <Characters>33308</Characters>
  <Application>Microsoft Office Word</Application>
  <DocSecurity>0</DocSecurity>
  <Lines>1189</Lines>
  <Paragraphs>913</Paragraphs>
  <ScaleCrop>false</ScaleCrop>
  <LinksUpToDate>false</LinksUpToDate>
  <CharactersWithSpaces>38358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2018-06-21T05:17:00Z</dcterms:created>
  <dcterms:modified xsi:type="dcterms:W3CDTF">2018-06-21T05:18:00Z</dcterms:modified>
</cp:coreProperties>
</file>