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019" w:rsidRDefault="00F22A21" w:rsidP="00577C4D">
      <w:pPr>
        <w:pStyle w:val="Title"/>
        <w:spacing w:before="120" w:after="160"/>
        <w:ind w:left="720" w:hanging="720"/>
        <w:rPr>
          <w:rFonts w:asciiTheme="minorHAnsi" w:hAnsiTheme="minorHAnsi"/>
          <w:sz w:val="36"/>
          <w:szCs w:val="36"/>
        </w:rPr>
      </w:pPr>
      <w:r>
        <w:rPr>
          <w:rFonts w:asciiTheme="minorHAnsi" w:hAnsiTheme="minorHAnsi"/>
          <w:sz w:val="36"/>
          <w:szCs w:val="36"/>
        </w:rPr>
        <w:t>6</w:t>
      </w:r>
      <w:r w:rsidR="00304D80">
        <w:rPr>
          <w:rFonts w:asciiTheme="minorHAnsi" w:hAnsiTheme="minorHAnsi"/>
          <w:sz w:val="36"/>
          <w:szCs w:val="36"/>
        </w:rPr>
        <w:t>.</w:t>
      </w:r>
      <w:r>
        <w:rPr>
          <w:rFonts w:asciiTheme="minorHAnsi" w:hAnsiTheme="minorHAnsi"/>
          <w:sz w:val="36"/>
          <w:szCs w:val="36"/>
        </w:rPr>
        <w:t>14</w:t>
      </w:r>
      <w:r w:rsidR="007C0F57" w:rsidRPr="002B5596">
        <w:rPr>
          <w:rFonts w:asciiTheme="minorHAnsi" w:hAnsiTheme="minorHAnsi"/>
          <w:sz w:val="36"/>
          <w:szCs w:val="36"/>
        </w:rPr>
        <w:tab/>
      </w:r>
      <w:r w:rsidR="00591E8E">
        <w:rPr>
          <w:rFonts w:asciiTheme="minorHAnsi" w:hAnsiTheme="minorHAnsi"/>
          <w:sz w:val="36"/>
          <w:szCs w:val="36"/>
        </w:rPr>
        <w:t>PNEUMOCOCCAL POLYSACCHARIDE CONJUGATE 13-VALENT</w:t>
      </w:r>
      <w:r w:rsidR="00500019">
        <w:rPr>
          <w:rFonts w:asciiTheme="minorHAnsi" w:hAnsiTheme="minorHAnsi"/>
          <w:sz w:val="36"/>
          <w:szCs w:val="36"/>
        </w:rPr>
        <w:t xml:space="preserve"> A</w:t>
      </w:r>
      <w:r w:rsidR="00B61BB9">
        <w:rPr>
          <w:rFonts w:asciiTheme="minorHAnsi" w:hAnsiTheme="minorHAnsi"/>
          <w:sz w:val="36"/>
          <w:szCs w:val="36"/>
        </w:rPr>
        <w:t>D</w:t>
      </w:r>
      <w:r w:rsidR="00500019">
        <w:rPr>
          <w:rFonts w:asciiTheme="minorHAnsi" w:hAnsiTheme="minorHAnsi"/>
          <w:sz w:val="36"/>
          <w:szCs w:val="36"/>
        </w:rPr>
        <w:t>SORBED VACCINE</w:t>
      </w:r>
      <w:r w:rsidR="00635A82" w:rsidRPr="002B5596">
        <w:rPr>
          <w:rFonts w:asciiTheme="minorHAnsi" w:hAnsiTheme="minorHAnsi"/>
          <w:sz w:val="36"/>
          <w:szCs w:val="36"/>
        </w:rPr>
        <w:t>,</w:t>
      </w:r>
      <w:r w:rsidR="00635A82">
        <w:rPr>
          <w:rFonts w:asciiTheme="minorHAnsi" w:hAnsiTheme="minorHAnsi"/>
          <w:sz w:val="36"/>
          <w:szCs w:val="36"/>
        </w:rPr>
        <w:t xml:space="preserve"> </w:t>
      </w:r>
    </w:p>
    <w:p w:rsidR="00C27B58" w:rsidRPr="00577C4D" w:rsidRDefault="00500019" w:rsidP="00A70E89">
      <w:pPr>
        <w:pStyle w:val="Title"/>
        <w:spacing w:before="120" w:after="160"/>
        <w:ind w:left="720" w:hanging="11"/>
        <w:outlineLvl w:val="9"/>
        <w:rPr>
          <w:rFonts w:asciiTheme="minorHAnsi" w:hAnsiTheme="minorHAnsi"/>
          <w:sz w:val="36"/>
          <w:szCs w:val="36"/>
        </w:rPr>
      </w:pPr>
      <w:r>
        <w:rPr>
          <w:rFonts w:asciiTheme="minorHAnsi" w:hAnsiTheme="minorHAnsi"/>
          <w:sz w:val="36"/>
          <w:szCs w:val="36"/>
        </w:rPr>
        <w:t>Pre-filled syringe,</w:t>
      </w:r>
      <w:r w:rsidR="00591E8E">
        <w:rPr>
          <w:rFonts w:asciiTheme="minorHAnsi" w:hAnsiTheme="minorHAnsi"/>
          <w:sz w:val="36"/>
          <w:szCs w:val="36"/>
        </w:rPr>
        <w:t xml:space="preserve"> </w:t>
      </w:r>
      <w:r w:rsidR="00CE4A2C">
        <w:rPr>
          <w:rFonts w:asciiTheme="minorHAnsi" w:hAnsiTheme="minorHAnsi"/>
          <w:sz w:val="36"/>
          <w:szCs w:val="36"/>
        </w:rPr>
        <w:t>0.5</w:t>
      </w:r>
      <w:r>
        <w:rPr>
          <w:rFonts w:asciiTheme="minorHAnsi" w:hAnsiTheme="minorHAnsi"/>
          <w:sz w:val="36"/>
          <w:szCs w:val="36"/>
        </w:rPr>
        <w:t xml:space="preserve"> </w:t>
      </w:r>
      <w:r w:rsidR="00CE4A2C">
        <w:rPr>
          <w:rFonts w:asciiTheme="minorHAnsi" w:hAnsiTheme="minorHAnsi"/>
          <w:sz w:val="36"/>
          <w:szCs w:val="36"/>
        </w:rPr>
        <w:t>mL</w:t>
      </w:r>
      <w:r w:rsidR="0004240E" w:rsidRPr="002B5596">
        <w:rPr>
          <w:rFonts w:asciiTheme="minorHAnsi" w:hAnsiTheme="minorHAnsi"/>
          <w:sz w:val="36"/>
          <w:szCs w:val="36"/>
        </w:rPr>
        <w:t>,</w:t>
      </w:r>
      <w:r w:rsidR="008A50F1" w:rsidRPr="002B5596">
        <w:rPr>
          <w:rFonts w:asciiTheme="minorHAnsi" w:hAnsiTheme="minorHAnsi"/>
          <w:sz w:val="36"/>
          <w:szCs w:val="36"/>
        </w:rPr>
        <w:t xml:space="preserve"> </w:t>
      </w:r>
      <w:r w:rsidR="008A50F1" w:rsidRPr="002B5596">
        <w:rPr>
          <w:rFonts w:asciiTheme="minorHAnsi" w:hAnsiTheme="minorHAnsi"/>
          <w:sz w:val="36"/>
          <w:szCs w:val="36"/>
        </w:rPr>
        <w:br/>
      </w:r>
      <w:proofErr w:type="spellStart"/>
      <w:r w:rsidR="00591E8E">
        <w:rPr>
          <w:rFonts w:asciiTheme="minorHAnsi" w:hAnsiTheme="minorHAnsi"/>
          <w:sz w:val="36"/>
          <w:szCs w:val="36"/>
        </w:rPr>
        <w:t>Prevenar</w:t>
      </w:r>
      <w:proofErr w:type="spellEnd"/>
      <w:r w:rsidR="00591E8E">
        <w:rPr>
          <w:rFonts w:asciiTheme="minorHAnsi" w:hAnsiTheme="minorHAnsi"/>
          <w:sz w:val="36"/>
          <w:szCs w:val="36"/>
        </w:rPr>
        <w:t xml:space="preserve"> 13</w:t>
      </w:r>
      <w:r w:rsidR="0004240E" w:rsidRPr="002B5596">
        <w:rPr>
          <w:rFonts w:asciiTheme="minorHAnsi" w:hAnsiTheme="minorHAnsi"/>
          <w:sz w:val="36"/>
          <w:szCs w:val="36"/>
          <w:vertAlign w:val="superscript"/>
        </w:rPr>
        <w:t>®</w:t>
      </w:r>
      <w:r w:rsidR="00EF44A0" w:rsidRPr="002B5596">
        <w:rPr>
          <w:rFonts w:asciiTheme="minorHAnsi" w:hAnsiTheme="minorHAnsi"/>
          <w:sz w:val="36"/>
          <w:szCs w:val="36"/>
        </w:rPr>
        <w:t xml:space="preserve">, </w:t>
      </w:r>
      <w:r w:rsidR="00591E8E">
        <w:rPr>
          <w:rFonts w:asciiTheme="minorHAnsi" w:hAnsiTheme="minorHAnsi"/>
          <w:sz w:val="36"/>
          <w:szCs w:val="36"/>
        </w:rPr>
        <w:t>Pfizer Australia Pty Ltd</w:t>
      </w:r>
    </w:p>
    <w:p w:rsidR="000A0C36" w:rsidRPr="000A0C36" w:rsidRDefault="000A0C36" w:rsidP="000A0C36">
      <w:pPr>
        <w:pStyle w:val="PBACHeading1"/>
      </w:pPr>
      <w:r w:rsidRPr="000A0C36">
        <w:t>Purpose of Application</w:t>
      </w:r>
    </w:p>
    <w:p w:rsidR="00BB1215" w:rsidRPr="00CF4A6A" w:rsidRDefault="00EF44A0" w:rsidP="00EB0B63">
      <w:pPr>
        <w:pStyle w:val="ListParagraph"/>
        <w:widowControl/>
        <w:numPr>
          <w:ilvl w:val="1"/>
          <w:numId w:val="5"/>
        </w:numPr>
        <w:spacing w:after="120"/>
        <w:contextualSpacing w:val="0"/>
        <w:rPr>
          <w:rFonts w:asciiTheme="minorHAnsi" w:eastAsiaTheme="minorHAnsi" w:hAnsiTheme="minorHAnsi" w:cstheme="minorBidi"/>
          <w:i/>
          <w:snapToGrid/>
          <w:sz w:val="24"/>
          <w:szCs w:val="22"/>
        </w:rPr>
      </w:pPr>
      <w:r w:rsidRPr="001B2BBC">
        <w:rPr>
          <w:rFonts w:asciiTheme="minorHAnsi" w:eastAsiaTheme="minorHAnsi" w:hAnsiTheme="minorHAnsi" w:cstheme="minorBidi"/>
          <w:snapToGrid/>
          <w:sz w:val="24"/>
          <w:szCs w:val="22"/>
        </w:rPr>
        <w:t>The mi</w:t>
      </w:r>
      <w:r w:rsidR="00FF2801" w:rsidRPr="001B2BBC">
        <w:rPr>
          <w:rFonts w:asciiTheme="minorHAnsi" w:eastAsiaTheme="minorHAnsi" w:hAnsiTheme="minorHAnsi" w:cstheme="minorBidi"/>
          <w:snapToGrid/>
          <w:sz w:val="24"/>
          <w:szCs w:val="22"/>
        </w:rPr>
        <w:t xml:space="preserve">nor submission sought </w:t>
      </w:r>
      <w:r w:rsidR="008032B1">
        <w:rPr>
          <w:rFonts w:asciiTheme="minorHAnsi" w:eastAsiaTheme="minorHAnsi" w:hAnsiTheme="minorHAnsi" w:cstheme="minorBidi"/>
          <w:snapToGrid/>
          <w:sz w:val="24"/>
          <w:szCs w:val="22"/>
        </w:rPr>
        <w:t>a</w:t>
      </w:r>
      <w:r w:rsidR="002A05E6">
        <w:rPr>
          <w:rFonts w:asciiTheme="minorHAnsi" w:eastAsiaTheme="minorHAnsi" w:hAnsiTheme="minorHAnsi" w:cstheme="minorBidi"/>
          <w:snapToGrid/>
          <w:sz w:val="24"/>
          <w:szCs w:val="22"/>
        </w:rPr>
        <w:t xml:space="preserve"> change</w:t>
      </w:r>
      <w:r w:rsidR="008032B1">
        <w:rPr>
          <w:rFonts w:asciiTheme="minorHAnsi" w:eastAsiaTheme="minorHAnsi" w:hAnsiTheme="minorHAnsi" w:cstheme="minorBidi"/>
          <w:snapToGrid/>
          <w:sz w:val="24"/>
          <w:szCs w:val="22"/>
        </w:rPr>
        <w:t xml:space="preserve"> to</w:t>
      </w:r>
      <w:r w:rsidR="00DF11CC">
        <w:rPr>
          <w:rFonts w:asciiTheme="minorHAnsi" w:eastAsiaTheme="minorHAnsi" w:hAnsiTheme="minorHAnsi" w:cstheme="minorBidi"/>
          <w:snapToGrid/>
          <w:sz w:val="24"/>
          <w:szCs w:val="22"/>
        </w:rPr>
        <w:t xml:space="preserve"> the</w:t>
      </w:r>
      <w:r w:rsidR="008032B1">
        <w:rPr>
          <w:rFonts w:asciiTheme="minorHAnsi" w:eastAsiaTheme="minorHAnsi" w:hAnsiTheme="minorHAnsi" w:cstheme="minorBidi"/>
          <w:snapToGrid/>
          <w:sz w:val="24"/>
          <w:szCs w:val="22"/>
        </w:rPr>
        <w:t xml:space="preserve"> </w:t>
      </w:r>
      <w:r w:rsidR="006F43B1">
        <w:rPr>
          <w:rFonts w:asciiTheme="minorHAnsi" w:eastAsiaTheme="minorHAnsi" w:hAnsiTheme="minorHAnsi" w:cstheme="minorBidi"/>
          <w:snapToGrid/>
          <w:sz w:val="24"/>
          <w:szCs w:val="22"/>
        </w:rPr>
        <w:t>listing for</w:t>
      </w:r>
      <w:r w:rsidR="00802462">
        <w:rPr>
          <w:rFonts w:asciiTheme="minorHAnsi" w:eastAsiaTheme="minorHAnsi" w:hAnsiTheme="minorHAnsi" w:cstheme="minorBidi"/>
          <w:snapToGrid/>
          <w:sz w:val="24"/>
          <w:szCs w:val="22"/>
        </w:rPr>
        <w:t xml:space="preserve"> </w:t>
      </w:r>
      <w:r w:rsidR="00DF11CC">
        <w:rPr>
          <w:rFonts w:asciiTheme="minorHAnsi" w:eastAsiaTheme="minorHAnsi" w:hAnsiTheme="minorHAnsi" w:cstheme="minorBidi"/>
          <w:snapToGrid/>
          <w:sz w:val="24"/>
          <w:szCs w:val="22"/>
        </w:rPr>
        <w:t>13vPCV</w:t>
      </w:r>
      <w:r w:rsidR="00802462">
        <w:rPr>
          <w:rFonts w:asciiTheme="minorHAnsi" w:eastAsiaTheme="minorHAnsi" w:hAnsiTheme="minorHAnsi" w:cstheme="minorBidi"/>
          <w:snapToGrid/>
          <w:sz w:val="24"/>
          <w:szCs w:val="22"/>
        </w:rPr>
        <w:t>, on the National Immunisation Program (NIP)</w:t>
      </w:r>
      <w:r w:rsidR="0025311E">
        <w:rPr>
          <w:rFonts w:asciiTheme="minorHAnsi" w:eastAsiaTheme="minorHAnsi" w:hAnsiTheme="minorHAnsi" w:cstheme="minorBidi"/>
          <w:snapToGrid/>
          <w:sz w:val="24"/>
          <w:szCs w:val="22"/>
        </w:rPr>
        <w:t xml:space="preserve"> for use in infants</w:t>
      </w:r>
      <w:r w:rsidR="00B52ADF">
        <w:rPr>
          <w:rFonts w:asciiTheme="minorHAnsi" w:eastAsiaTheme="minorHAnsi" w:hAnsiTheme="minorHAnsi" w:cstheme="minorBidi"/>
          <w:snapToGrid/>
          <w:sz w:val="24"/>
          <w:szCs w:val="22"/>
        </w:rPr>
        <w:t xml:space="preserve"> and children</w:t>
      </w:r>
      <w:r w:rsidR="00F9706A">
        <w:rPr>
          <w:rFonts w:asciiTheme="minorHAnsi" w:eastAsiaTheme="minorHAnsi" w:hAnsiTheme="minorHAnsi" w:cstheme="minorBidi"/>
          <w:snapToGrid/>
          <w:sz w:val="24"/>
          <w:szCs w:val="22"/>
        </w:rPr>
        <w:t xml:space="preserve"> </w:t>
      </w:r>
      <w:r w:rsidR="001D504E" w:rsidRPr="00CF4A6A">
        <w:rPr>
          <w:rFonts w:asciiTheme="minorHAnsi" w:eastAsiaTheme="minorHAnsi" w:hAnsiTheme="minorHAnsi" w:cstheme="minorBidi"/>
          <w:i/>
          <w:snapToGrid/>
          <w:sz w:val="24"/>
          <w:szCs w:val="22"/>
        </w:rPr>
        <w:t>for the prevention</w:t>
      </w:r>
      <w:r w:rsidR="00F9706A" w:rsidRPr="00CF4A6A">
        <w:rPr>
          <w:rFonts w:asciiTheme="minorHAnsi" w:eastAsiaTheme="minorHAnsi" w:hAnsiTheme="minorHAnsi" w:cstheme="minorBidi"/>
          <w:i/>
          <w:snapToGrid/>
          <w:sz w:val="24"/>
          <w:szCs w:val="22"/>
        </w:rPr>
        <w:t xml:space="preserve"> of pneumococcal disease</w:t>
      </w:r>
      <w:r w:rsidR="00CE4A2C" w:rsidRPr="00CF4A6A">
        <w:rPr>
          <w:rFonts w:asciiTheme="minorHAnsi" w:eastAsiaTheme="minorHAnsi" w:hAnsiTheme="minorHAnsi" w:cstheme="minorBidi"/>
          <w:i/>
          <w:snapToGrid/>
          <w:sz w:val="24"/>
          <w:szCs w:val="22"/>
        </w:rPr>
        <w:t xml:space="preserve">. </w:t>
      </w:r>
    </w:p>
    <w:p w:rsidR="006A12A5" w:rsidRPr="001B2BBC" w:rsidRDefault="00802462"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w:t>
      </w:r>
      <w:r w:rsidR="00BB1215">
        <w:rPr>
          <w:rFonts w:asciiTheme="minorHAnsi" w:eastAsiaTheme="minorHAnsi" w:hAnsiTheme="minorHAnsi" w:cstheme="minorBidi"/>
          <w:snapToGrid/>
          <w:sz w:val="24"/>
          <w:szCs w:val="22"/>
        </w:rPr>
        <w:t xml:space="preserve"> proposed</w:t>
      </w:r>
      <w:r>
        <w:rPr>
          <w:rFonts w:asciiTheme="minorHAnsi" w:eastAsiaTheme="minorHAnsi" w:hAnsiTheme="minorHAnsi" w:cstheme="minorBidi"/>
          <w:snapToGrid/>
          <w:sz w:val="24"/>
          <w:szCs w:val="22"/>
        </w:rPr>
        <w:t xml:space="preserve"> </w:t>
      </w:r>
      <w:r w:rsidR="002A05E6">
        <w:rPr>
          <w:rFonts w:asciiTheme="minorHAnsi" w:eastAsiaTheme="minorHAnsi" w:hAnsiTheme="minorHAnsi" w:cstheme="minorBidi"/>
          <w:snapToGrid/>
          <w:sz w:val="24"/>
          <w:szCs w:val="22"/>
        </w:rPr>
        <w:t>amendment</w:t>
      </w:r>
      <w:r>
        <w:rPr>
          <w:rFonts w:asciiTheme="minorHAnsi" w:eastAsiaTheme="minorHAnsi" w:hAnsiTheme="minorHAnsi" w:cstheme="minorBidi"/>
          <w:snapToGrid/>
          <w:sz w:val="24"/>
          <w:szCs w:val="22"/>
        </w:rPr>
        <w:t xml:space="preserve"> </w:t>
      </w:r>
      <w:r w:rsidR="00BB1215">
        <w:rPr>
          <w:rFonts w:asciiTheme="minorHAnsi" w:eastAsiaTheme="minorHAnsi" w:hAnsiTheme="minorHAnsi" w:cstheme="minorBidi"/>
          <w:snapToGrid/>
          <w:sz w:val="24"/>
          <w:szCs w:val="22"/>
        </w:rPr>
        <w:t>is a consequence of a review by the Australian Technical Advisory Group on Immunisation (ATAGI)</w:t>
      </w:r>
      <w:r w:rsidR="002A05E6">
        <w:rPr>
          <w:rFonts w:asciiTheme="minorHAnsi" w:eastAsiaTheme="minorHAnsi" w:hAnsiTheme="minorHAnsi" w:cstheme="minorBidi"/>
          <w:snapToGrid/>
          <w:sz w:val="24"/>
          <w:szCs w:val="22"/>
        </w:rPr>
        <w:t>,</w:t>
      </w:r>
      <w:r w:rsidR="00BB1215">
        <w:rPr>
          <w:rFonts w:asciiTheme="minorHAnsi" w:eastAsiaTheme="minorHAnsi" w:hAnsiTheme="minorHAnsi" w:cstheme="minorBidi"/>
          <w:snapToGrid/>
          <w:sz w:val="24"/>
          <w:szCs w:val="22"/>
        </w:rPr>
        <w:t xml:space="preserve"> and requests a change to the</w:t>
      </w:r>
      <w:r>
        <w:rPr>
          <w:rFonts w:asciiTheme="minorHAnsi" w:eastAsiaTheme="minorHAnsi" w:hAnsiTheme="minorHAnsi" w:cstheme="minorBidi"/>
          <w:snapToGrid/>
          <w:sz w:val="24"/>
          <w:szCs w:val="22"/>
        </w:rPr>
        <w:t xml:space="preserve"> </w:t>
      </w:r>
      <w:r w:rsidR="002A05E6">
        <w:rPr>
          <w:rFonts w:asciiTheme="minorHAnsi" w:eastAsiaTheme="minorHAnsi" w:hAnsiTheme="minorHAnsi" w:cstheme="minorBidi"/>
          <w:snapToGrid/>
          <w:sz w:val="24"/>
          <w:szCs w:val="22"/>
        </w:rPr>
        <w:t>recommended vaccine schedule on the NIP,</w:t>
      </w:r>
      <w:r>
        <w:rPr>
          <w:rFonts w:asciiTheme="minorHAnsi" w:eastAsiaTheme="minorHAnsi" w:hAnsiTheme="minorHAnsi" w:cstheme="minorBidi"/>
          <w:snapToGrid/>
          <w:sz w:val="24"/>
          <w:szCs w:val="22"/>
        </w:rPr>
        <w:t xml:space="preserve"> </w:t>
      </w:r>
      <w:r w:rsidR="00B26FEB">
        <w:rPr>
          <w:rFonts w:asciiTheme="minorHAnsi" w:eastAsiaTheme="minorHAnsi" w:hAnsiTheme="minorHAnsi" w:cstheme="minorBidi"/>
          <w:snapToGrid/>
          <w:sz w:val="24"/>
          <w:szCs w:val="22"/>
        </w:rPr>
        <w:t xml:space="preserve">with no impact on the number of doses </w:t>
      </w:r>
      <w:r w:rsidR="002A05E6">
        <w:rPr>
          <w:rFonts w:asciiTheme="minorHAnsi" w:eastAsiaTheme="minorHAnsi" w:hAnsiTheme="minorHAnsi" w:cstheme="minorBidi"/>
          <w:snapToGrid/>
          <w:sz w:val="24"/>
          <w:szCs w:val="22"/>
        </w:rPr>
        <w:t xml:space="preserve">patient </w:t>
      </w:r>
      <w:r w:rsidR="00B26FEB">
        <w:rPr>
          <w:rFonts w:asciiTheme="minorHAnsi" w:eastAsiaTheme="minorHAnsi" w:hAnsiTheme="minorHAnsi" w:cstheme="minorBidi"/>
          <w:snapToGrid/>
          <w:sz w:val="24"/>
          <w:szCs w:val="22"/>
        </w:rPr>
        <w:t>groups would receive</w:t>
      </w:r>
      <w:r>
        <w:rPr>
          <w:rFonts w:asciiTheme="minorHAnsi" w:eastAsiaTheme="minorHAnsi" w:hAnsiTheme="minorHAnsi" w:cstheme="minorBidi"/>
          <w:snapToGrid/>
          <w:sz w:val="24"/>
          <w:szCs w:val="22"/>
        </w:rPr>
        <w:t>.</w:t>
      </w:r>
    </w:p>
    <w:p w:rsidR="006A12A5" w:rsidRPr="00577C4D" w:rsidRDefault="006A12A5" w:rsidP="000A0C36">
      <w:pPr>
        <w:pStyle w:val="PBACHeading1"/>
      </w:pPr>
      <w:r w:rsidRPr="002B5596">
        <w:t xml:space="preserve">Requested </w:t>
      </w:r>
      <w:r w:rsidR="00CB4A0F">
        <w:t xml:space="preserve">NIP </w:t>
      </w:r>
      <w:r w:rsidRPr="002B5596">
        <w:t>listing</w:t>
      </w:r>
    </w:p>
    <w:p w:rsidR="00E409E5" w:rsidRDefault="00EF44A0" w:rsidP="00FF46DB">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The submission </w:t>
      </w:r>
      <w:r w:rsidR="002A05E6">
        <w:rPr>
          <w:rFonts w:asciiTheme="minorHAnsi" w:eastAsiaTheme="minorHAnsi" w:hAnsiTheme="minorHAnsi" w:cstheme="minorBidi"/>
          <w:snapToGrid/>
          <w:sz w:val="24"/>
          <w:szCs w:val="22"/>
        </w:rPr>
        <w:t xml:space="preserve">did not </w:t>
      </w:r>
      <w:r w:rsidR="00E409E5">
        <w:rPr>
          <w:rFonts w:asciiTheme="minorHAnsi" w:eastAsiaTheme="minorHAnsi" w:hAnsiTheme="minorHAnsi" w:cstheme="minorBidi"/>
          <w:snapToGrid/>
          <w:sz w:val="24"/>
          <w:szCs w:val="22"/>
        </w:rPr>
        <w:t>propose</w:t>
      </w:r>
      <w:r w:rsidR="00B52ADF">
        <w:rPr>
          <w:rFonts w:asciiTheme="minorHAnsi" w:eastAsiaTheme="minorHAnsi" w:hAnsiTheme="minorHAnsi" w:cstheme="minorBidi"/>
          <w:snapToGrid/>
          <w:sz w:val="24"/>
          <w:szCs w:val="22"/>
        </w:rPr>
        <w:t xml:space="preserve"> an</w:t>
      </w:r>
      <w:r w:rsidR="002A05E6">
        <w:rPr>
          <w:rFonts w:asciiTheme="minorHAnsi" w:eastAsiaTheme="minorHAnsi" w:hAnsiTheme="minorHAnsi" w:cstheme="minorBidi"/>
          <w:snapToGrid/>
          <w:sz w:val="24"/>
          <w:szCs w:val="22"/>
        </w:rPr>
        <w:t xml:space="preserve"> amended </w:t>
      </w:r>
      <w:r w:rsidR="00D45F8F">
        <w:rPr>
          <w:rFonts w:asciiTheme="minorHAnsi" w:eastAsiaTheme="minorHAnsi" w:hAnsiTheme="minorHAnsi" w:cstheme="minorBidi"/>
          <w:snapToGrid/>
          <w:sz w:val="24"/>
          <w:szCs w:val="22"/>
        </w:rPr>
        <w:t xml:space="preserve">listing for 13vPCV. </w:t>
      </w:r>
    </w:p>
    <w:p w:rsidR="00826F6D" w:rsidRPr="00D532AC" w:rsidRDefault="005F3BE4" w:rsidP="001E5A2B">
      <w:pPr>
        <w:pStyle w:val="ListParagraph"/>
        <w:widowControl/>
        <w:numPr>
          <w:ilvl w:val="1"/>
          <w:numId w:val="14"/>
        </w:numPr>
        <w:spacing w:before="240" w:after="120"/>
        <w:contextualSpacing w:val="0"/>
        <w:rPr>
          <w:rFonts w:asciiTheme="minorHAnsi" w:eastAsiaTheme="minorHAnsi" w:hAnsiTheme="minorHAnsi" w:cstheme="minorBidi"/>
          <w:snapToGrid/>
          <w:sz w:val="24"/>
          <w:szCs w:val="22"/>
        </w:rPr>
      </w:pPr>
      <w:r w:rsidRPr="00D90E5B">
        <w:rPr>
          <w:rFonts w:asciiTheme="minorHAnsi" w:eastAsiaTheme="minorHAnsi" w:hAnsiTheme="minorHAnsi" w:cstheme="minorBidi"/>
          <w:snapToGrid/>
          <w:sz w:val="24"/>
          <w:szCs w:val="22"/>
        </w:rPr>
        <w:t xml:space="preserve">The </w:t>
      </w:r>
      <w:r w:rsidR="00F132A3" w:rsidRPr="00D90E5B">
        <w:rPr>
          <w:rFonts w:asciiTheme="minorHAnsi" w:eastAsiaTheme="minorHAnsi" w:hAnsiTheme="minorHAnsi" w:cstheme="minorBidi"/>
          <w:snapToGrid/>
          <w:sz w:val="24"/>
          <w:szCs w:val="22"/>
        </w:rPr>
        <w:t>PBAC recommended</w:t>
      </w:r>
      <w:r w:rsidR="00D45F8F" w:rsidRPr="00D90E5B">
        <w:rPr>
          <w:rFonts w:asciiTheme="minorHAnsi" w:eastAsiaTheme="minorHAnsi" w:hAnsiTheme="minorHAnsi" w:cstheme="minorBidi"/>
          <w:snapToGrid/>
          <w:sz w:val="24"/>
          <w:szCs w:val="22"/>
        </w:rPr>
        <w:t xml:space="preserve"> the following changes to the </w:t>
      </w:r>
      <w:r w:rsidR="00CB4A0F" w:rsidRPr="00D90E5B">
        <w:rPr>
          <w:rFonts w:asciiTheme="minorHAnsi" w:eastAsiaTheme="minorHAnsi" w:hAnsiTheme="minorHAnsi" w:cstheme="minorBidi"/>
          <w:snapToGrid/>
          <w:sz w:val="24"/>
          <w:szCs w:val="22"/>
        </w:rPr>
        <w:t xml:space="preserve">current NIP </w:t>
      </w:r>
      <w:r w:rsidR="00D45F8F" w:rsidRPr="00D90E5B">
        <w:rPr>
          <w:rFonts w:asciiTheme="minorHAnsi" w:eastAsiaTheme="minorHAnsi" w:hAnsiTheme="minorHAnsi" w:cstheme="minorBidi"/>
          <w:snapToGrid/>
          <w:sz w:val="24"/>
          <w:szCs w:val="22"/>
        </w:rPr>
        <w:t>listing for 13vPCV (</w:t>
      </w:r>
      <w:proofErr w:type="spellStart"/>
      <w:r w:rsidR="00D45F8F" w:rsidRPr="00D90E5B">
        <w:rPr>
          <w:rFonts w:asciiTheme="minorHAnsi" w:eastAsiaTheme="minorHAnsi" w:hAnsiTheme="minorHAnsi" w:cstheme="minorBidi"/>
          <w:snapToGrid/>
          <w:sz w:val="24"/>
          <w:szCs w:val="22"/>
        </w:rPr>
        <w:t>Prevenar</w:t>
      </w:r>
      <w:proofErr w:type="spellEnd"/>
      <w:r w:rsidR="00D45F8F" w:rsidRPr="00D90E5B">
        <w:rPr>
          <w:rFonts w:asciiTheme="minorHAnsi" w:eastAsiaTheme="minorHAnsi" w:hAnsiTheme="minorHAnsi" w:cstheme="minorBidi"/>
          <w:snapToGrid/>
          <w:sz w:val="24"/>
          <w:szCs w:val="22"/>
        </w:rPr>
        <w:t xml:space="preserve"> 13</w:t>
      </w:r>
      <w:r w:rsidR="00D45F8F" w:rsidRPr="00D90E5B">
        <w:rPr>
          <w:rFonts w:asciiTheme="minorHAnsi" w:hAnsiTheme="minorHAnsi"/>
          <w:sz w:val="24"/>
          <w:szCs w:val="24"/>
          <w:vertAlign w:val="superscript"/>
        </w:rPr>
        <w:t>®</w:t>
      </w:r>
      <w:r w:rsidR="00D45F8F" w:rsidRPr="00D90E5B">
        <w:rPr>
          <w:rFonts w:asciiTheme="minorHAnsi" w:eastAsiaTheme="minorHAnsi" w:hAnsiTheme="minorHAnsi" w:cstheme="minorBidi"/>
          <w:snapToGrid/>
          <w:sz w:val="24"/>
          <w:szCs w:val="22"/>
        </w:rPr>
        <w:t>) in</w:t>
      </w:r>
      <w:r w:rsidR="00F3604B" w:rsidRPr="00D90E5B">
        <w:rPr>
          <w:rFonts w:asciiTheme="minorHAnsi" w:eastAsiaTheme="minorHAnsi" w:hAnsiTheme="minorHAnsi" w:cstheme="minorBidi"/>
          <w:snapToGrid/>
          <w:sz w:val="24"/>
          <w:szCs w:val="22"/>
        </w:rPr>
        <w:t xml:space="preserve"> Schedule 1 (Designated vaccines and circumstances in which vaccines may be provided) of </w:t>
      </w:r>
      <w:r w:rsidR="00483096" w:rsidRPr="00D90E5B">
        <w:rPr>
          <w:rFonts w:asciiTheme="minorHAnsi" w:eastAsiaTheme="minorHAnsi" w:hAnsiTheme="minorHAnsi" w:cstheme="minorBidi"/>
          <w:snapToGrid/>
          <w:sz w:val="24"/>
          <w:szCs w:val="22"/>
        </w:rPr>
        <w:t>the</w:t>
      </w:r>
      <w:r w:rsidR="00483096" w:rsidRPr="00D532AC">
        <w:rPr>
          <w:rFonts w:asciiTheme="minorHAnsi" w:eastAsiaTheme="minorHAnsi" w:hAnsiTheme="minorHAnsi" w:cstheme="minorBidi"/>
          <w:snapToGrid/>
          <w:sz w:val="24"/>
          <w:szCs w:val="22"/>
        </w:rPr>
        <w:t xml:space="preserve"> </w:t>
      </w:r>
      <w:r w:rsidR="00F3604B" w:rsidRPr="001E5A2B">
        <w:rPr>
          <w:rFonts w:asciiTheme="minorHAnsi" w:eastAsiaTheme="minorHAnsi" w:hAnsiTheme="minorHAnsi" w:cstheme="minorBidi"/>
          <w:i/>
          <w:snapToGrid/>
          <w:sz w:val="24"/>
          <w:szCs w:val="22"/>
        </w:rPr>
        <w:t>National Health (Immunisation Program – Designated Vaccines Determination 2014 (No.1)</w:t>
      </w:r>
      <w:r w:rsidR="00D90E5B">
        <w:rPr>
          <w:rFonts w:asciiTheme="minorHAnsi" w:eastAsiaTheme="minorHAnsi" w:hAnsiTheme="minorHAnsi" w:cstheme="minorBidi"/>
          <w:i/>
          <w:snapToGrid/>
          <w:sz w:val="24"/>
          <w:szCs w:val="22"/>
        </w:rPr>
        <w:t>)</w:t>
      </w:r>
      <w:r w:rsidR="00F3604B" w:rsidRPr="00D532AC">
        <w:rPr>
          <w:rFonts w:asciiTheme="minorHAnsi" w:eastAsiaTheme="minorHAnsi" w:hAnsiTheme="minorHAnsi" w:cstheme="minorBidi"/>
          <w:snapToGrid/>
          <w:sz w:val="24"/>
          <w:szCs w:val="22"/>
        </w:rPr>
        <w:t>:</w:t>
      </w:r>
    </w:p>
    <w:p w:rsidR="00274646" w:rsidRPr="00114F45" w:rsidRDefault="00274646" w:rsidP="00114F45">
      <w:pPr>
        <w:pStyle w:val="Caption"/>
        <w:keepNext/>
        <w:spacing w:after="60"/>
        <w:rPr>
          <w:rFonts w:ascii="Arial Narrow" w:hAnsi="Arial Narrow"/>
          <w:color w:val="auto"/>
          <w:sz w:val="20"/>
          <w:szCs w:val="20"/>
        </w:rPr>
      </w:pPr>
      <w:r w:rsidRPr="00114F45">
        <w:rPr>
          <w:rFonts w:ascii="Arial Narrow" w:hAnsi="Arial Narrow"/>
          <w:color w:val="auto"/>
          <w:sz w:val="20"/>
          <w:szCs w:val="20"/>
        </w:rPr>
        <w:lastRenderedPageBreak/>
        <w:t xml:space="preserve">Table </w:t>
      </w:r>
      <w:r w:rsidR="00F64154" w:rsidRPr="00114F45">
        <w:rPr>
          <w:rFonts w:ascii="Arial Narrow" w:hAnsi="Arial Narrow"/>
          <w:noProof/>
          <w:color w:val="auto"/>
          <w:sz w:val="20"/>
          <w:szCs w:val="20"/>
        </w:rPr>
        <w:t>1</w:t>
      </w:r>
      <w:r w:rsidR="002B5BC0">
        <w:rPr>
          <w:rFonts w:ascii="Arial Narrow" w:hAnsi="Arial Narrow"/>
          <w:color w:val="auto"/>
          <w:sz w:val="20"/>
          <w:szCs w:val="20"/>
        </w:rPr>
        <w:t xml:space="preserve">: </w:t>
      </w:r>
      <w:r w:rsidRPr="00114F45">
        <w:rPr>
          <w:rFonts w:ascii="Arial Narrow" w:hAnsi="Arial Narrow"/>
          <w:color w:val="auto"/>
          <w:sz w:val="20"/>
          <w:szCs w:val="20"/>
        </w:rPr>
        <w:t xml:space="preserve"> Current listing for </w:t>
      </w:r>
      <w:proofErr w:type="spellStart"/>
      <w:r w:rsidRPr="00114F45">
        <w:rPr>
          <w:rFonts w:ascii="Arial Narrow" w:hAnsi="Arial Narrow"/>
          <w:color w:val="auto"/>
          <w:sz w:val="20"/>
          <w:szCs w:val="20"/>
        </w:rPr>
        <w:t>Prevenar</w:t>
      </w:r>
      <w:proofErr w:type="spellEnd"/>
      <w:r w:rsidRPr="00114F45">
        <w:rPr>
          <w:rFonts w:ascii="Arial Narrow" w:hAnsi="Arial Narrow"/>
          <w:color w:val="auto"/>
          <w:sz w:val="20"/>
          <w:szCs w:val="20"/>
        </w:rPr>
        <w:t xml:space="preserve"> 13 on the </w:t>
      </w:r>
      <w:r w:rsidRPr="00114F45">
        <w:rPr>
          <w:rFonts w:ascii="Arial Narrow" w:eastAsiaTheme="minorHAnsi" w:hAnsi="Arial Narrow" w:cstheme="minorBidi"/>
          <w:color w:val="auto"/>
          <w:sz w:val="20"/>
          <w:szCs w:val="20"/>
        </w:rPr>
        <w:t>National Immunisation Program</w:t>
      </w:r>
      <w:r w:rsidR="00243405" w:rsidRPr="00114F45">
        <w:rPr>
          <w:rFonts w:ascii="Arial Narrow" w:eastAsiaTheme="minorHAnsi" w:hAnsi="Arial Narrow" w:cstheme="minorBidi"/>
          <w:color w:val="auto"/>
          <w:sz w:val="20"/>
          <w:szCs w:val="20"/>
        </w:rPr>
        <w:t xml:space="preserve"> with </w:t>
      </w:r>
      <w:r w:rsidR="005F4B89">
        <w:rPr>
          <w:rFonts w:ascii="Arial Narrow" w:eastAsiaTheme="minorHAnsi" w:hAnsi="Arial Narrow" w:cstheme="minorBidi"/>
          <w:color w:val="auto"/>
          <w:sz w:val="20"/>
          <w:szCs w:val="20"/>
        </w:rPr>
        <w:t>recommended</w:t>
      </w:r>
      <w:r w:rsidR="00243405" w:rsidRPr="00114F45">
        <w:rPr>
          <w:rFonts w:ascii="Arial Narrow" w:eastAsiaTheme="minorHAnsi" w:hAnsi="Arial Narrow" w:cstheme="minorBidi"/>
          <w:color w:val="auto"/>
          <w:sz w:val="20"/>
          <w:szCs w:val="20"/>
        </w:rPr>
        <w:t xml:space="preserve"> amendments</w:t>
      </w:r>
      <w:r w:rsidRPr="00114F45">
        <w:rPr>
          <w:rFonts w:ascii="Arial Narrow" w:hAnsi="Arial Narrow"/>
          <w:color w:val="auto"/>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147"/>
        <w:gridCol w:w="1189"/>
        <w:gridCol w:w="1322"/>
        <w:gridCol w:w="1825"/>
        <w:gridCol w:w="1759"/>
      </w:tblGrid>
      <w:tr w:rsidR="00D45F8F" w:rsidRPr="00127A3D" w:rsidTr="00680777">
        <w:trPr>
          <w:cantSplit/>
          <w:trHeight w:val="889"/>
          <w:jc w:val="center"/>
        </w:trPr>
        <w:tc>
          <w:tcPr>
            <w:tcW w:w="1516" w:type="pct"/>
            <w:shd w:val="clear" w:color="auto" w:fill="D9D9D9" w:themeFill="background1" w:themeFillShade="D9"/>
            <w:vAlign w:val="center"/>
          </w:tcPr>
          <w:p w:rsidR="00D45F8F" w:rsidRPr="00127A3D" w:rsidRDefault="00D45F8F" w:rsidP="00274646">
            <w:pPr>
              <w:pStyle w:val="tablecolhead"/>
              <w:keepNext/>
              <w:rPr>
                <w:rFonts w:ascii="Arial Narrow" w:hAnsi="Arial Narrow" w:cs="Arial"/>
                <w:sz w:val="20"/>
                <w:szCs w:val="20"/>
              </w:rPr>
            </w:pPr>
            <w:r w:rsidRPr="00127A3D">
              <w:rPr>
                <w:rFonts w:ascii="Arial Narrow" w:hAnsi="Arial Narrow" w:cs="Arial"/>
                <w:sz w:val="20"/>
                <w:szCs w:val="20"/>
              </w:rPr>
              <w:t>Vaccine and the circumstances in which vaccine may be provided</w:t>
            </w:r>
          </w:p>
        </w:tc>
        <w:tc>
          <w:tcPr>
            <w:tcW w:w="690" w:type="pct"/>
            <w:shd w:val="clear" w:color="auto" w:fill="D9D9D9" w:themeFill="background1" w:themeFillShade="D9"/>
            <w:vAlign w:val="center"/>
          </w:tcPr>
          <w:p w:rsidR="00D45F8F" w:rsidRPr="00127A3D" w:rsidRDefault="00D45F8F" w:rsidP="00274646">
            <w:pPr>
              <w:pStyle w:val="tablecolhead"/>
              <w:keepNext/>
              <w:rPr>
                <w:rFonts w:ascii="Arial Narrow" w:hAnsi="Arial Narrow" w:cs="Arial"/>
                <w:sz w:val="20"/>
                <w:szCs w:val="20"/>
              </w:rPr>
            </w:pPr>
            <w:r w:rsidRPr="00127A3D">
              <w:rPr>
                <w:rFonts w:ascii="Arial Narrow" w:hAnsi="Arial Narrow" w:cs="Arial"/>
                <w:sz w:val="20"/>
                <w:szCs w:val="20"/>
              </w:rPr>
              <w:t>Brand</w:t>
            </w:r>
          </w:p>
        </w:tc>
        <w:tc>
          <w:tcPr>
            <w:tcW w:w="762" w:type="pct"/>
            <w:shd w:val="clear" w:color="auto" w:fill="D9D9D9" w:themeFill="background1" w:themeFillShade="D9"/>
            <w:vAlign w:val="center"/>
          </w:tcPr>
          <w:p w:rsidR="00D45F8F" w:rsidRPr="00127A3D" w:rsidRDefault="00D45F8F" w:rsidP="00274646">
            <w:pPr>
              <w:pStyle w:val="tablecolhead"/>
              <w:keepNext/>
              <w:rPr>
                <w:rFonts w:ascii="Arial Narrow" w:hAnsi="Arial Narrow" w:cs="Arial"/>
                <w:sz w:val="20"/>
                <w:szCs w:val="20"/>
              </w:rPr>
            </w:pPr>
            <w:r w:rsidRPr="00127A3D">
              <w:rPr>
                <w:rFonts w:ascii="Arial Narrow" w:hAnsi="Arial Narrow" w:cs="Arial"/>
                <w:sz w:val="20"/>
                <w:szCs w:val="20"/>
              </w:rPr>
              <w:t>Formulation</w:t>
            </w:r>
          </w:p>
        </w:tc>
        <w:tc>
          <w:tcPr>
            <w:tcW w:w="1034" w:type="pct"/>
            <w:shd w:val="clear" w:color="auto" w:fill="D9D9D9" w:themeFill="background1" w:themeFillShade="D9"/>
            <w:vAlign w:val="center"/>
          </w:tcPr>
          <w:p w:rsidR="00D45F8F" w:rsidRPr="00127A3D" w:rsidRDefault="00D45F8F" w:rsidP="00274646">
            <w:pPr>
              <w:pStyle w:val="tablecolhead"/>
              <w:keepNext/>
              <w:rPr>
                <w:rFonts w:ascii="Arial Narrow" w:hAnsi="Arial Narrow" w:cs="Arial"/>
                <w:sz w:val="20"/>
                <w:szCs w:val="20"/>
              </w:rPr>
            </w:pPr>
            <w:r w:rsidRPr="00127A3D">
              <w:rPr>
                <w:rFonts w:ascii="Arial Narrow" w:hAnsi="Arial Narrow" w:cs="Arial"/>
                <w:sz w:val="20"/>
                <w:szCs w:val="20"/>
              </w:rPr>
              <w:t>Active ingredient and strength</w:t>
            </w:r>
          </w:p>
        </w:tc>
        <w:tc>
          <w:tcPr>
            <w:tcW w:w="998" w:type="pct"/>
            <w:shd w:val="clear" w:color="auto" w:fill="D9D9D9" w:themeFill="background1" w:themeFillShade="D9"/>
            <w:vAlign w:val="center"/>
          </w:tcPr>
          <w:p w:rsidR="00D45F8F" w:rsidRPr="00127A3D" w:rsidRDefault="00D45F8F" w:rsidP="00274646">
            <w:pPr>
              <w:pStyle w:val="tablecolhead"/>
              <w:keepNext/>
              <w:rPr>
                <w:rFonts w:ascii="Arial Narrow" w:hAnsi="Arial Narrow" w:cs="Arial"/>
                <w:sz w:val="20"/>
                <w:szCs w:val="20"/>
              </w:rPr>
            </w:pPr>
            <w:r w:rsidRPr="00127A3D">
              <w:rPr>
                <w:rFonts w:ascii="Arial Narrow" w:hAnsi="Arial Narrow" w:cs="Arial"/>
                <w:sz w:val="20"/>
                <w:szCs w:val="20"/>
              </w:rPr>
              <w:t>Number and timing of doses</w:t>
            </w:r>
          </w:p>
        </w:tc>
      </w:tr>
      <w:tr w:rsidR="00D45F8F" w:rsidRPr="00127A3D" w:rsidTr="00680777">
        <w:trPr>
          <w:cantSplit/>
          <w:trHeight w:val="4101"/>
          <w:jc w:val="center"/>
        </w:trPr>
        <w:tc>
          <w:tcPr>
            <w:tcW w:w="1516" w:type="pct"/>
            <w:shd w:val="clear" w:color="auto" w:fill="auto"/>
          </w:tcPr>
          <w:p w:rsidR="00D45F8F" w:rsidRPr="00D45F8F" w:rsidRDefault="00D45F8F" w:rsidP="00274646">
            <w:pPr>
              <w:pStyle w:val="tablecolhead"/>
              <w:keepNext/>
              <w:rPr>
                <w:rFonts w:ascii="Arial Narrow" w:hAnsi="Arial Narrow" w:cs="Arial"/>
                <w:b/>
                <w:sz w:val="20"/>
                <w:szCs w:val="20"/>
              </w:rPr>
            </w:pPr>
            <w:r w:rsidRPr="00D45F8F">
              <w:rPr>
                <w:rFonts w:ascii="Arial Narrow" w:hAnsi="Arial Narrow" w:cs="Arial"/>
                <w:b/>
                <w:sz w:val="20"/>
                <w:szCs w:val="20"/>
              </w:rPr>
              <w:t>Vaccine</w:t>
            </w:r>
          </w:p>
          <w:p w:rsidR="00D45F8F" w:rsidRPr="00D45F8F" w:rsidRDefault="00D45F8F" w:rsidP="00274646">
            <w:pPr>
              <w:pStyle w:val="tabletext0"/>
              <w:keepNext/>
              <w:shd w:val="clear" w:color="auto" w:fill="FFFFFF"/>
              <w:spacing w:before="60" w:beforeAutospacing="0" w:after="60" w:afterAutospacing="0" w:line="240" w:lineRule="atLeast"/>
              <w:rPr>
                <w:rFonts w:ascii="Arial Narrow" w:hAnsi="Arial Narrow"/>
                <w:color w:val="000000"/>
                <w:sz w:val="20"/>
                <w:szCs w:val="20"/>
              </w:rPr>
            </w:pPr>
            <w:r w:rsidRPr="00D45F8F">
              <w:rPr>
                <w:rFonts w:ascii="Arial Narrow" w:hAnsi="Arial Narrow"/>
                <w:color w:val="000000"/>
                <w:sz w:val="20"/>
                <w:szCs w:val="20"/>
              </w:rPr>
              <w:t>Pneumococcal (conjugate, 13</w:t>
            </w:r>
            <w:r w:rsidRPr="00D45F8F">
              <w:rPr>
                <w:rFonts w:ascii="Arial Narrow" w:hAnsi="Arial Narrow"/>
                <w:color w:val="000000"/>
                <w:sz w:val="20"/>
                <w:szCs w:val="20"/>
              </w:rPr>
              <w:noBreakHyphen/>
              <w:t>valent)</w:t>
            </w:r>
          </w:p>
          <w:p w:rsidR="00D45F8F" w:rsidRPr="00D45F8F" w:rsidRDefault="00D45F8F" w:rsidP="00274646">
            <w:pPr>
              <w:pStyle w:val="tablecolhead"/>
              <w:keepNext/>
              <w:shd w:val="clear" w:color="auto" w:fill="FFFFFF"/>
              <w:spacing w:before="120" w:beforeAutospacing="0" w:after="60" w:afterAutospacing="0" w:line="200" w:lineRule="atLeast"/>
              <w:rPr>
                <w:rFonts w:ascii="Arial Narrow" w:hAnsi="Arial Narrow" w:cs="Arial"/>
                <w:b/>
                <w:bCs/>
                <w:color w:val="000000"/>
                <w:sz w:val="20"/>
                <w:szCs w:val="20"/>
              </w:rPr>
            </w:pPr>
            <w:r w:rsidRPr="00D45F8F">
              <w:rPr>
                <w:rFonts w:ascii="Arial Narrow" w:hAnsi="Arial Narrow" w:cs="Arial"/>
                <w:b/>
                <w:bCs/>
                <w:color w:val="000000"/>
                <w:sz w:val="20"/>
                <w:szCs w:val="20"/>
              </w:rPr>
              <w:t>Circumstances</w:t>
            </w:r>
          </w:p>
          <w:p w:rsidR="00D45F8F" w:rsidRPr="00D45F8F" w:rsidRDefault="00D45F8F" w:rsidP="00274646">
            <w:pPr>
              <w:pStyle w:val="tabletext0"/>
              <w:keepNext/>
              <w:shd w:val="clear" w:color="auto" w:fill="FFFFFF"/>
              <w:spacing w:before="60" w:beforeAutospacing="0" w:after="60" w:afterAutospacing="0" w:line="240" w:lineRule="atLeast"/>
              <w:rPr>
                <w:rFonts w:ascii="Arial Narrow" w:hAnsi="Arial Narrow"/>
                <w:color w:val="000000"/>
                <w:sz w:val="20"/>
                <w:szCs w:val="20"/>
              </w:rPr>
            </w:pPr>
            <w:r w:rsidRPr="00D45F8F">
              <w:rPr>
                <w:rFonts w:ascii="Arial Narrow" w:hAnsi="Arial Narrow"/>
                <w:color w:val="000000"/>
                <w:sz w:val="20"/>
                <w:szCs w:val="20"/>
              </w:rPr>
              <w:t>Vaccine may be provided:</w:t>
            </w:r>
          </w:p>
          <w:p w:rsidR="00D90E5B" w:rsidRDefault="00D45F8F" w:rsidP="001E5A2B">
            <w:pPr>
              <w:pStyle w:val="tablep1a"/>
              <w:keepNext/>
              <w:numPr>
                <w:ilvl w:val="0"/>
                <w:numId w:val="31"/>
              </w:numPr>
              <w:shd w:val="clear" w:color="auto" w:fill="FFFFFF"/>
              <w:spacing w:before="0" w:beforeAutospacing="0" w:after="60" w:afterAutospacing="0" w:line="240" w:lineRule="atLeast"/>
              <w:rPr>
                <w:rFonts w:ascii="Arial Narrow" w:hAnsi="Arial Narrow"/>
                <w:color w:val="000000"/>
                <w:sz w:val="20"/>
                <w:szCs w:val="20"/>
              </w:rPr>
            </w:pPr>
            <w:r w:rsidRPr="00D45F8F">
              <w:rPr>
                <w:rFonts w:ascii="Arial Narrow" w:hAnsi="Arial Narrow"/>
                <w:color w:val="000000"/>
                <w:sz w:val="20"/>
                <w:szCs w:val="20"/>
              </w:rPr>
              <w:t>to a child who is</w:t>
            </w:r>
            <w:r w:rsidR="00D90E5B">
              <w:rPr>
                <w:rFonts w:ascii="Arial Narrow" w:hAnsi="Arial Narrow"/>
                <w:color w:val="000000"/>
                <w:sz w:val="20"/>
                <w:szCs w:val="20"/>
              </w:rPr>
              <w:t>:</w:t>
            </w:r>
          </w:p>
          <w:p w:rsidR="00D90E5B" w:rsidRPr="001E5A2B" w:rsidRDefault="00D45F8F" w:rsidP="001E5A2B">
            <w:pPr>
              <w:pStyle w:val="tablep1a"/>
              <w:keepNext/>
              <w:numPr>
                <w:ilvl w:val="1"/>
                <w:numId w:val="31"/>
              </w:numPr>
              <w:shd w:val="clear" w:color="auto" w:fill="FFFFFF"/>
              <w:spacing w:before="0" w:beforeAutospacing="0" w:after="60" w:afterAutospacing="0" w:line="240" w:lineRule="atLeast"/>
              <w:rPr>
                <w:rFonts w:ascii="Arial Narrow" w:hAnsi="Arial Narrow"/>
                <w:i/>
                <w:color w:val="000000"/>
                <w:sz w:val="20"/>
                <w:szCs w:val="20"/>
              </w:rPr>
            </w:pPr>
            <w:r w:rsidRPr="00D45F8F">
              <w:rPr>
                <w:rFonts w:ascii="Arial Narrow" w:hAnsi="Arial Narrow"/>
                <w:color w:val="000000"/>
                <w:sz w:val="20"/>
                <w:szCs w:val="20"/>
              </w:rPr>
              <w:t xml:space="preserve"> </w:t>
            </w:r>
            <w:r w:rsidRPr="0021443B">
              <w:rPr>
                <w:rFonts w:ascii="Arial Narrow" w:hAnsi="Arial Narrow"/>
                <w:color w:val="000000"/>
                <w:sz w:val="20"/>
                <w:szCs w:val="20"/>
              </w:rPr>
              <w:t>about</w:t>
            </w:r>
            <w:r w:rsidRPr="00D45F8F">
              <w:rPr>
                <w:rFonts w:ascii="Arial Narrow" w:hAnsi="Arial Narrow"/>
                <w:color w:val="000000"/>
                <w:sz w:val="20"/>
                <w:szCs w:val="20"/>
              </w:rPr>
              <w:t xml:space="preserve"> 2</w:t>
            </w:r>
            <w:r w:rsidR="00D90E5B">
              <w:rPr>
                <w:rFonts w:ascii="Arial Narrow" w:hAnsi="Arial Narrow"/>
                <w:color w:val="000000"/>
                <w:sz w:val="20"/>
                <w:szCs w:val="20"/>
              </w:rPr>
              <w:t xml:space="preserve"> </w:t>
            </w:r>
            <w:r w:rsidR="00D90E5B" w:rsidRPr="001E5A2B">
              <w:rPr>
                <w:rFonts w:ascii="Arial Narrow" w:hAnsi="Arial Narrow"/>
                <w:i/>
                <w:color w:val="000000"/>
                <w:sz w:val="20"/>
                <w:szCs w:val="20"/>
              </w:rPr>
              <w:t>months old</w:t>
            </w:r>
            <w:r w:rsidRPr="001E5A2B">
              <w:rPr>
                <w:rFonts w:ascii="Arial Narrow" w:hAnsi="Arial Narrow"/>
                <w:i/>
                <w:color w:val="000000"/>
                <w:sz w:val="20"/>
                <w:szCs w:val="20"/>
              </w:rPr>
              <w:t xml:space="preserve">, </w:t>
            </w:r>
            <w:r w:rsidR="00D90E5B" w:rsidRPr="001E5A2B">
              <w:rPr>
                <w:rFonts w:ascii="Arial Narrow" w:hAnsi="Arial Narrow"/>
                <w:i/>
                <w:color w:val="000000"/>
                <w:sz w:val="20"/>
                <w:szCs w:val="20"/>
              </w:rPr>
              <w:t>and</w:t>
            </w:r>
          </w:p>
          <w:p w:rsidR="00325D6D" w:rsidRPr="001E5A2B" w:rsidRDefault="00D90E5B" w:rsidP="001E5A2B">
            <w:pPr>
              <w:pStyle w:val="tablep1a"/>
              <w:keepNext/>
              <w:numPr>
                <w:ilvl w:val="1"/>
                <w:numId w:val="31"/>
              </w:numPr>
              <w:shd w:val="clear" w:color="auto" w:fill="FFFFFF"/>
              <w:spacing w:before="0" w:beforeAutospacing="0" w:after="60" w:afterAutospacing="0" w:line="240" w:lineRule="atLeast"/>
              <w:rPr>
                <w:rFonts w:ascii="Arial Narrow" w:hAnsi="Arial Narrow"/>
                <w:color w:val="000000"/>
                <w:sz w:val="20"/>
                <w:szCs w:val="20"/>
              </w:rPr>
            </w:pPr>
            <w:r w:rsidRPr="001E5A2B">
              <w:rPr>
                <w:rFonts w:ascii="Arial Narrow" w:hAnsi="Arial Narrow"/>
                <w:i/>
                <w:color w:val="000000"/>
                <w:sz w:val="20"/>
                <w:szCs w:val="20"/>
              </w:rPr>
              <w:t>about</w:t>
            </w:r>
            <w:r>
              <w:rPr>
                <w:rFonts w:ascii="Arial Narrow" w:hAnsi="Arial Narrow"/>
                <w:color w:val="000000"/>
                <w:sz w:val="20"/>
                <w:szCs w:val="20"/>
              </w:rPr>
              <w:t xml:space="preserve"> </w:t>
            </w:r>
            <w:r w:rsidR="00D45F8F" w:rsidRPr="00A03F34">
              <w:rPr>
                <w:rFonts w:ascii="Arial Narrow" w:hAnsi="Arial Narrow"/>
                <w:color w:val="000000"/>
                <w:sz w:val="20"/>
                <w:szCs w:val="20"/>
              </w:rPr>
              <w:t>4</w:t>
            </w:r>
            <w:r>
              <w:rPr>
                <w:rFonts w:ascii="Arial Narrow" w:hAnsi="Arial Narrow"/>
                <w:color w:val="000000"/>
                <w:sz w:val="20"/>
                <w:szCs w:val="20"/>
              </w:rPr>
              <w:t xml:space="preserve"> </w:t>
            </w:r>
            <w:r w:rsidRPr="001E5A2B">
              <w:rPr>
                <w:rFonts w:ascii="Arial Narrow" w:hAnsi="Arial Narrow"/>
                <w:i/>
                <w:color w:val="000000"/>
                <w:sz w:val="20"/>
                <w:szCs w:val="20"/>
              </w:rPr>
              <w:t>months old; and</w:t>
            </w:r>
            <w:r w:rsidR="00D45F8F" w:rsidRPr="00A03F34">
              <w:rPr>
                <w:rFonts w:ascii="Arial Narrow" w:hAnsi="Arial Narrow"/>
                <w:color w:val="000000"/>
                <w:sz w:val="20"/>
                <w:szCs w:val="20"/>
              </w:rPr>
              <w:t xml:space="preserve"> </w:t>
            </w:r>
            <w:r w:rsidR="00D45F8F" w:rsidRPr="00E409E5">
              <w:rPr>
                <w:rFonts w:ascii="Arial Narrow" w:hAnsi="Arial Narrow"/>
                <w:strike/>
                <w:color w:val="000000"/>
                <w:sz w:val="20"/>
                <w:szCs w:val="20"/>
              </w:rPr>
              <w:t>or</w:t>
            </w:r>
            <w:r w:rsidR="00D45F8F" w:rsidRPr="00A03F34">
              <w:rPr>
                <w:rFonts w:ascii="Arial Narrow" w:hAnsi="Arial Narrow"/>
                <w:color w:val="000000"/>
                <w:sz w:val="20"/>
                <w:szCs w:val="20"/>
              </w:rPr>
              <w:t xml:space="preserve"> </w:t>
            </w:r>
            <w:r w:rsidR="00D45F8F" w:rsidRPr="00E409E5">
              <w:rPr>
                <w:rFonts w:ascii="Arial Narrow" w:hAnsi="Arial Narrow"/>
                <w:strike/>
                <w:color w:val="000000"/>
                <w:sz w:val="20"/>
                <w:szCs w:val="20"/>
              </w:rPr>
              <w:t>6</w:t>
            </w:r>
            <w:r w:rsidR="00D45F8F" w:rsidRPr="00E409E5">
              <w:rPr>
                <w:rFonts w:ascii="Arial Narrow" w:hAnsi="Arial Narrow"/>
                <w:color w:val="000000"/>
                <w:sz w:val="20"/>
                <w:szCs w:val="20"/>
              </w:rPr>
              <w:t xml:space="preserve"> </w:t>
            </w:r>
            <w:r w:rsidR="00D45F8F" w:rsidRPr="005F3BE4">
              <w:rPr>
                <w:rFonts w:ascii="Arial Narrow" w:hAnsi="Arial Narrow"/>
                <w:strike/>
                <w:color w:val="000000"/>
                <w:sz w:val="20"/>
                <w:szCs w:val="20"/>
              </w:rPr>
              <w:t>months old</w:t>
            </w:r>
            <w:r w:rsidR="005F3BE4">
              <w:rPr>
                <w:rFonts w:ascii="Arial Narrow" w:hAnsi="Arial Narrow"/>
                <w:strike/>
                <w:color w:val="000000"/>
                <w:sz w:val="20"/>
                <w:szCs w:val="20"/>
              </w:rPr>
              <w:t xml:space="preserve"> </w:t>
            </w:r>
          </w:p>
          <w:p w:rsidR="00D45F8F" w:rsidRPr="00483096" w:rsidRDefault="005F3BE4" w:rsidP="001E5A2B">
            <w:pPr>
              <w:pStyle w:val="tablep1a"/>
              <w:keepNext/>
              <w:numPr>
                <w:ilvl w:val="1"/>
                <w:numId w:val="31"/>
              </w:numPr>
              <w:shd w:val="clear" w:color="auto" w:fill="FFFFFF"/>
              <w:spacing w:before="0" w:beforeAutospacing="0" w:after="60" w:afterAutospacing="0" w:line="240" w:lineRule="atLeast"/>
              <w:rPr>
                <w:rFonts w:ascii="Arial Narrow" w:hAnsi="Arial Narrow"/>
                <w:color w:val="000000"/>
                <w:sz w:val="20"/>
                <w:szCs w:val="20"/>
              </w:rPr>
            </w:pPr>
            <w:r w:rsidRPr="00562DF6">
              <w:rPr>
                <w:rFonts w:ascii="Arial Narrow" w:hAnsi="Arial Narrow"/>
                <w:i/>
                <w:color w:val="000000"/>
                <w:sz w:val="20"/>
                <w:szCs w:val="20"/>
              </w:rPr>
              <w:t>in their second year of life</w:t>
            </w:r>
            <w:r w:rsidR="00D45F8F" w:rsidRPr="00562DF6">
              <w:rPr>
                <w:rFonts w:ascii="Arial Narrow" w:hAnsi="Arial Narrow"/>
                <w:color w:val="000000"/>
                <w:sz w:val="20"/>
                <w:szCs w:val="20"/>
              </w:rPr>
              <w:t xml:space="preserve">; </w:t>
            </w:r>
            <w:r w:rsidR="00D45F8F" w:rsidRPr="001E5A2B">
              <w:rPr>
                <w:rFonts w:ascii="Arial Narrow" w:hAnsi="Arial Narrow"/>
                <w:i/>
                <w:color w:val="000000"/>
                <w:sz w:val="20"/>
                <w:szCs w:val="20"/>
              </w:rPr>
              <w:t>and</w:t>
            </w:r>
            <w:r w:rsidR="00CB4A0F" w:rsidRPr="00242629">
              <w:rPr>
                <w:rFonts w:ascii="Arial Narrow" w:hAnsi="Arial Narrow"/>
                <w:color w:val="000000"/>
                <w:sz w:val="20"/>
                <w:szCs w:val="20"/>
              </w:rPr>
              <w:t xml:space="preserve"> </w:t>
            </w:r>
          </w:p>
          <w:p w:rsidR="00D45F8F" w:rsidRPr="00D45F8F" w:rsidRDefault="00D45F8F" w:rsidP="00274646">
            <w:pPr>
              <w:pStyle w:val="tablep1a"/>
              <w:keepNext/>
              <w:shd w:val="clear" w:color="auto" w:fill="FFFFFF"/>
              <w:spacing w:before="0" w:beforeAutospacing="0" w:after="60" w:afterAutospacing="0" w:line="240" w:lineRule="atLeast"/>
              <w:ind w:left="720" w:hanging="360"/>
              <w:rPr>
                <w:rFonts w:ascii="Arial Narrow" w:hAnsi="Arial Narrow"/>
                <w:color w:val="000000"/>
                <w:sz w:val="20"/>
                <w:szCs w:val="20"/>
              </w:rPr>
            </w:pPr>
            <w:r w:rsidRPr="00840660">
              <w:rPr>
                <w:rFonts w:ascii="Arial Narrow" w:hAnsi="Arial Narrow"/>
                <w:color w:val="000000"/>
                <w:sz w:val="20"/>
                <w:szCs w:val="20"/>
              </w:rPr>
              <w:t xml:space="preserve">(b)   to a child who is about </w:t>
            </w:r>
            <w:r w:rsidRPr="00E409E5">
              <w:rPr>
                <w:rFonts w:ascii="Arial Narrow" w:hAnsi="Arial Narrow"/>
                <w:strike/>
                <w:color w:val="000000"/>
                <w:sz w:val="20"/>
                <w:szCs w:val="20"/>
              </w:rPr>
              <w:t>12</w:t>
            </w:r>
            <w:r w:rsidR="00F423A3" w:rsidRPr="00E409E5">
              <w:rPr>
                <w:rFonts w:ascii="Arial Narrow" w:hAnsi="Arial Narrow"/>
                <w:strike/>
                <w:color w:val="000000"/>
                <w:sz w:val="20"/>
                <w:szCs w:val="20"/>
              </w:rPr>
              <w:t xml:space="preserve"> </w:t>
            </w:r>
            <w:r w:rsidR="00802462" w:rsidRPr="00E409E5">
              <w:rPr>
                <w:rFonts w:ascii="Arial Narrow" w:hAnsi="Arial Narrow"/>
                <w:i/>
                <w:color w:val="000000"/>
                <w:sz w:val="20"/>
                <w:szCs w:val="20"/>
              </w:rPr>
              <w:t>6</w:t>
            </w:r>
            <w:r w:rsidR="00802462" w:rsidRPr="00A03F34">
              <w:rPr>
                <w:rFonts w:ascii="Arial Narrow" w:hAnsi="Arial Narrow"/>
                <w:i/>
                <w:color w:val="000000"/>
                <w:sz w:val="20"/>
                <w:szCs w:val="20"/>
              </w:rPr>
              <w:t xml:space="preserve"> </w:t>
            </w:r>
            <w:r w:rsidRPr="00A03F34">
              <w:rPr>
                <w:rFonts w:ascii="Arial Narrow" w:hAnsi="Arial Narrow"/>
                <w:color w:val="000000"/>
                <w:sz w:val="20"/>
                <w:szCs w:val="20"/>
              </w:rPr>
              <w:t>months of age and is a member</w:t>
            </w:r>
            <w:r w:rsidRPr="00D45F8F">
              <w:rPr>
                <w:rFonts w:ascii="Arial Narrow" w:hAnsi="Arial Narrow"/>
                <w:color w:val="000000"/>
                <w:sz w:val="20"/>
                <w:szCs w:val="20"/>
              </w:rPr>
              <w:t xml:space="preserve"> of a medical risk group; or</w:t>
            </w:r>
          </w:p>
          <w:p w:rsidR="00D45F8F" w:rsidRPr="00D45F8F" w:rsidRDefault="00D45F8F" w:rsidP="00896F96">
            <w:pPr>
              <w:pStyle w:val="tablep1a"/>
              <w:keepNext/>
              <w:shd w:val="clear" w:color="auto" w:fill="FFFFFF"/>
              <w:spacing w:before="0" w:beforeAutospacing="0" w:after="60" w:afterAutospacing="0" w:line="240" w:lineRule="atLeast"/>
              <w:ind w:left="720" w:hanging="360"/>
              <w:rPr>
                <w:rFonts w:ascii="Arial Narrow" w:hAnsi="Arial Narrow"/>
                <w:color w:val="000000"/>
                <w:sz w:val="20"/>
                <w:szCs w:val="20"/>
              </w:rPr>
            </w:pPr>
            <w:r w:rsidRPr="00D45F8F">
              <w:rPr>
                <w:rFonts w:ascii="Arial Narrow" w:hAnsi="Arial Narrow"/>
                <w:color w:val="000000"/>
                <w:sz w:val="20"/>
                <w:szCs w:val="20"/>
              </w:rPr>
              <w:t>(c)   </w:t>
            </w:r>
            <w:r w:rsidR="00896F96">
              <w:rPr>
                <w:rFonts w:ascii="Arial Narrow" w:hAnsi="Arial Narrow"/>
                <w:color w:val="000000"/>
                <w:sz w:val="20"/>
                <w:szCs w:val="20"/>
              </w:rPr>
              <w:t xml:space="preserve"> </w:t>
            </w:r>
            <w:r w:rsidRPr="00D45F8F">
              <w:rPr>
                <w:rFonts w:ascii="Arial Narrow" w:hAnsi="Arial Narrow"/>
                <w:color w:val="000000"/>
                <w:sz w:val="20"/>
                <w:szCs w:val="20"/>
              </w:rPr>
              <w:t>Vaccine may be provided in the circumstances set out in subsection 7 (1)</w:t>
            </w:r>
          </w:p>
        </w:tc>
        <w:tc>
          <w:tcPr>
            <w:tcW w:w="690" w:type="pct"/>
            <w:shd w:val="clear" w:color="auto" w:fill="auto"/>
          </w:tcPr>
          <w:p w:rsidR="00D45F8F" w:rsidRPr="00127A3D" w:rsidRDefault="00D45F8F" w:rsidP="00274646">
            <w:pPr>
              <w:keepNext/>
              <w:rPr>
                <w:rFonts w:ascii="Arial Narrow" w:hAnsi="Arial Narrow"/>
                <w:b/>
                <w:i/>
                <w:sz w:val="20"/>
              </w:rPr>
            </w:pPr>
            <w:proofErr w:type="spellStart"/>
            <w:r>
              <w:rPr>
                <w:rFonts w:ascii="Arial Narrow" w:hAnsi="Arial Narrow"/>
                <w:sz w:val="20"/>
              </w:rPr>
              <w:t>Prevenar</w:t>
            </w:r>
            <w:proofErr w:type="spellEnd"/>
            <w:r>
              <w:rPr>
                <w:rFonts w:ascii="Arial Narrow" w:hAnsi="Arial Narrow"/>
                <w:sz w:val="20"/>
              </w:rPr>
              <w:t xml:space="preserve"> 13 </w:t>
            </w:r>
          </w:p>
        </w:tc>
        <w:tc>
          <w:tcPr>
            <w:tcW w:w="762" w:type="pct"/>
            <w:shd w:val="clear" w:color="auto" w:fill="auto"/>
          </w:tcPr>
          <w:p w:rsidR="00D45F8F" w:rsidRPr="00127A3D" w:rsidRDefault="00D45F8F" w:rsidP="00274646">
            <w:pPr>
              <w:keepNext/>
              <w:rPr>
                <w:rFonts w:ascii="Arial Narrow" w:hAnsi="Arial Narrow"/>
                <w:b/>
                <w:i/>
                <w:sz w:val="20"/>
              </w:rPr>
            </w:pPr>
            <w:r w:rsidRPr="00127A3D">
              <w:rPr>
                <w:rFonts w:ascii="Arial Narrow" w:hAnsi="Arial Narrow"/>
                <w:sz w:val="20"/>
              </w:rPr>
              <w:t>Injection (0.5mL)</w:t>
            </w:r>
          </w:p>
        </w:tc>
        <w:tc>
          <w:tcPr>
            <w:tcW w:w="1034" w:type="pct"/>
            <w:shd w:val="clear" w:color="auto" w:fill="auto"/>
          </w:tcPr>
          <w:p w:rsidR="00D45F8F" w:rsidRPr="00D45F8F" w:rsidRDefault="00D45F8F" w:rsidP="00274646">
            <w:pPr>
              <w:pStyle w:val="tablep1a"/>
              <w:keepNext/>
              <w:rPr>
                <w:rFonts w:ascii="Arial Narrow" w:hAnsi="Arial Narrow" w:cs="Arial"/>
                <w:sz w:val="20"/>
                <w:szCs w:val="20"/>
              </w:rPr>
            </w:pPr>
            <w:r w:rsidRPr="00D45F8F">
              <w:rPr>
                <w:rFonts w:ascii="Arial Narrow" w:hAnsi="Arial Narrow"/>
                <w:color w:val="000000"/>
                <w:sz w:val="20"/>
                <w:szCs w:val="20"/>
                <w:shd w:val="clear" w:color="auto" w:fill="FFFFFF"/>
              </w:rPr>
              <w:t>Polysaccharides of </w:t>
            </w:r>
            <w:r w:rsidRPr="00D45F8F">
              <w:rPr>
                <w:rFonts w:ascii="Arial Narrow" w:hAnsi="Arial Narrow"/>
                <w:i/>
                <w:iCs/>
                <w:color w:val="000000"/>
                <w:sz w:val="20"/>
                <w:szCs w:val="20"/>
                <w:shd w:val="clear" w:color="auto" w:fill="FFFFFF"/>
              </w:rPr>
              <w:t>Streptococcus pneumoniae</w:t>
            </w:r>
            <w:r w:rsidR="00AB103E">
              <w:rPr>
                <w:rFonts w:ascii="Arial Narrow" w:hAnsi="Arial Narrow"/>
                <w:i/>
                <w:iCs/>
                <w:color w:val="000000"/>
                <w:sz w:val="20"/>
                <w:szCs w:val="20"/>
                <w:shd w:val="clear" w:color="auto" w:fill="FFFFFF"/>
              </w:rPr>
              <w:t xml:space="preserve"> </w:t>
            </w:r>
            <w:r w:rsidRPr="00D45F8F">
              <w:rPr>
                <w:rFonts w:ascii="Arial Narrow" w:hAnsi="Arial Narrow"/>
                <w:color w:val="000000"/>
                <w:sz w:val="20"/>
                <w:szCs w:val="20"/>
                <w:shd w:val="clear" w:color="auto" w:fill="FFFFFF"/>
              </w:rPr>
              <w:t xml:space="preserve">serotypes 1, 3, 4, 5, 6A, 7F, 9V, 14, 18C, 19A, 19F, 23F - 2.2 µg of each of serotype, and 4.4 </w:t>
            </w:r>
            <w:proofErr w:type="spellStart"/>
            <w:r w:rsidRPr="00D45F8F">
              <w:rPr>
                <w:rFonts w:ascii="Arial Narrow" w:hAnsi="Arial Narrow"/>
                <w:color w:val="000000"/>
                <w:sz w:val="20"/>
                <w:szCs w:val="20"/>
                <w:shd w:val="clear" w:color="auto" w:fill="FFFFFF"/>
              </w:rPr>
              <w:t>μg</w:t>
            </w:r>
            <w:proofErr w:type="spellEnd"/>
            <w:r w:rsidRPr="00D45F8F">
              <w:rPr>
                <w:rFonts w:ascii="Arial Narrow" w:hAnsi="Arial Narrow"/>
                <w:color w:val="000000"/>
                <w:sz w:val="20"/>
                <w:szCs w:val="20"/>
                <w:shd w:val="clear" w:color="auto" w:fill="FFFFFF"/>
              </w:rPr>
              <w:t xml:space="preserve"> of serotype 6B</w:t>
            </w:r>
          </w:p>
        </w:tc>
        <w:tc>
          <w:tcPr>
            <w:tcW w:w="998" w:type="pct"/>
            <w:shd w:val="clear" w:color="auto" w:fill="auto"/>
          </w:tcPr>
          <w:p w:rsidR="00D45F8F" w:rsidRDefault="008E1ADE" w:rsidP="00274646">
            <w:pPr>
              <w:keepNext/>
              <w:rPr>
                <w:rFonts w:ascii="Arial Narrow" w:hAnsi="Arial Narrow"/>
                <w:sz w:val="20"/>
              </w:rPr>
            </w:pPr>
            <w:r>
              <w:rPr>
                <w:rFonts w:ascii="Arial Narrow" w:hAnsi="Arial Narrow"/>
                <w:sz w:val="20"/>
              </w:rPr>
              <w:t>2</w:t>
            </w:r>
            <w:r w:rsidR="00D45F8F">
              <w:rPr>
                <w:rFonts w:ascii="Arial Narrow" w:hAnsi="Arial Narrow"/>
                <w:sz w:val="20"/>
              </w:rPr>
              <w:t xml:space="preserve"> or </w:t>
            </w:r>
            <w:r>
              <w:rPr>
                <w:rFonts w:ascii="Arial Narrow" w:hAnsi="Arial Narrow"/>
                <w:sz w:val="20"/>
              </w:rPr>
              <w:t>3</w:t>
            </w:r>
            <w:r w:rsidR="00D45F8F" w:rsidRPr="00127A3D">
              <w:rPr>
                <w:rFonts w:ascii="Arial Narrow" w:hAnsi="Arial Narrow"/>
                <w:sz w:val="20"/>
              </w:rPr>
              <w:t xml:space="preserve"> dose</w:t>
            </w:r>
            <w:r w:rsidR="00D45F8F">
              <w:rPr>
                <w:rFonts w:ascii="Arial Narrow" w:hAnsi="Arial Narrow"/>
                <w:sz w:val="20"/>
              </w:rPr>
              <w:t>s of a primary course</w:t>
            </w:r>
            <w:r>
              <w:rPr>
                <w:rFonts w:ascii="Arial Narrow" w:hAnsi="Arial Narrow"/>
                <w:sz w:val="20"/>
              </w:rPr>
              <w:t xml:space="preserve"> plus a booster dose</w:t>
            </w:r>
          </w:p>
          <w:p w:rsidR="00D45F8F" w:rsidRDefault="00D45F8F" w:rsidP="00274646">
            <w:pPr>
              <w:keepNext/>
              <w:rPr>
                <w:rFonts w:ascii="Arial Narrow" w:hAnsi="Arial Narrow"/>
                <w:sz w:val="20"/>
              </w:rPr>
            </w:pPr>
          </w:p>
          <w:p w:rsidR="00D45F8F" w:rsidRPr="00127A3D" w:rsidRDefault="00D45F8F" w:rsidP="00274646">
            <w:pPr>
              <w:keepNext/>
              <w:rPr>
                <w:rFonts w:ascii="Arial Narrow" w:hAnsi="Arial Narrow"/>
                <w:sz w:val="20"/>
              </w:rPr>
            </w:pPr>
            <w:r>
              <w:rPr>
                <w:rFonts w:ascii="Arial Narrow" w:hAnsi="Arial Narrow"/>
                <w:sz w:val="20"/>
              </w:rPr>
              <w:t>or a single supplementary dose</w:t>
            </w:r>
          </w:p>
        </w:tc>
      </w:tr>
    </w:tbl>
    <w:p w:rsidR="00D84262" w:rsidRPr="00A70E89" w:rsidRDefault="00D84262" w:rsidP="00A70E89">
      <w:pPr>
        <w:spacing w:before="240" w:after="120"/>
        <w:rPr>
          <w:rFonts w:asciiTheme="minorHAnsi" w:eastAsiaTheme="majorEastAsia" w:hAnsiTheme="minorHAnsi"/>
          <w:b/>
          <w:i/>
          <w:lang w:eastAsia="en-US"/>
        </w:rPr>
      </w:pPr>
      <w:r w:rsidRPr="00A70E89">
        <w:rPr>
          <w:rFonts w:asciiTheme="minorHAnsi" w:eastAsiaTheme="majorEastAsia" w:hAnsiTheme="minorHAnsi"/>
          <w:lang w:eastAsia="en-US"/>
        </w:rPr>
        <w:t>T</w:t>
      </w:r>
      <w:r w:rsidR="00F3330D" w:rsidRPr="00A70E89">
        <w:rPr>
          <w:rFonts w:asciiTheme="minorHAnsi" w:eastAsiaTheme="majorEastAsia" w:hAnsiTheme="minorHAnsi"/>
          <w:lang w:eastAsia="en-US"/>
        </w:rPr>
        <w:t>he submission proposed t</w:t>
      </w:r>
      <w:r w:rsidRPr="00A70E89">
        <w:rPr>
          <w:rFonts w:asciiTheme="minorHAnsi" w:eastAsiaTheme="majorEastAsia" w:hAnsiTheme="minorHAnsi"/>
          <w:lang w:eastAsia="en-US"/>
        </w:rPr>
        <w:t xml:space="preserve">wo additional changes </w:t>
      </w:r>
      <w:r w:rsidR="000B5653" w:rsidRPr="00A70E89">
        <w:rPr>
          <w:rFonts w:asciiTheme="minorHAnsi" w:eastAsiaTheme="majorEastAsia" w:hAnsiTheme="minorHAnsi"/>
          <w:lang w:eastAsia="en-US"/>
        </w:rPr>
        <w:t>to the detail of the circumstances</w:t>
      </w:r>
      <w:r w:rsidR="00E61ADA" w:rsidRPr="00A70E89">
        <w:rPr>
          <w:rFonts w:asciiTheme="minorHAnsi" w:eastAsiaTheme="majorEastAsia" w:hAnsiTheme="minorHAnsi"/>
          <w:lang w:eastAsia="en-US"/>
        </w:rPr>
        <w:t>:</w:t>
      </w:r>
    </w:p>
    <w:p w:rsidR="006571F6" w:rsidRPr="00A70E89" w:rsidRDefault="006571F6" w:rsidP="00A70E89">
      <w:pPr>
        <w:pStyle w:val="ListParagraph"/>
        <w:numPr>
          <w:ilvl w:val="0"/>
          <w:numId w:val="25"/>
        </w:numPr>
        <w:spacing w:before="240" w:after="120"/>
        <w:ind w:left="714" w:hanging="357"/>
        <w:contextualSpacing w:val="0"/>
        <w:rPr>
          <w:rFonts w:asciiTheme="minorHAnsi" w:eastAsiaTheme="majorEastAsia" w:hAnsiTheme="minorHAnsi"/>
          <w:b/>
          <w:i/>
          <w:sz w:val="24"/>
          <w:szCs w:val="24"/>
        </w:rPr>
      </w:pPr>
      <w:r w:rsidRPr="00A70E89">
        <w:rPr>
          <w:rFonts w:asciiTheme="minorHAnsi" w:eastAsiaTheme="majorEastAsia" w:hAnsiTheme="minorHAnsi"/>
          <w:sz w:val="24"/>
          <w:szCs w:val="24"/>
        </w:rPr>
        <w:t>A tightening of the age for the 12-18 month dose to 12 months for Aboriginal and Torres Strait Isla</w:t>
      </w:r>
      <w:r w:rsidR="005F3BE4" w:rsidRPr="00A70E89">
        <w:rPr>
          <w:rFonts w:asciiTheme="minorHAnsi" w:eastAsiaTheme="majorEastAsia" w:hAnsiTheme="minorHAnsi"/>
          <w:sz w:val="24"/>
          <w:szCs w:val="24"/>
        </w:rPr>
        <w:t>nder children in at risk areas</w:t>
      </w:r>
      <w:r w:rsidRPr="00A70E89">
        <w:rPr>
          <w:rFonts w:asciiTheme="minorHAnsi" w:eastAsiaTheme="majorEastAsia" w:hAnsiTheme="minorHAnsi"/>
          <w:sz w:val="24"/>
          <w:szCs w:val="24"/>
        </w:rPr>
        <w:t xml:space="preserve">.  </w:t>
      </w:r>
    </w:p>
    <w:p w:rsidR="00D84262" w:rsidRPr="002104BB" w:rsidRDefault="00D84262" w:rsidP="00A70E89">
      <w:pPr>
        <w:pStyle w:val="ListParagraph"/>
        <w:numPr>
          <w:ilvl w:val="0"/>
          <w:numId w:val="25"/>
        </w:numPr>
        <w:spacing w:before="240" w:after="120"/>
        <w:ind w:left="714" w:hanging="357"/>
        <w:contextualSpacing w:val="0"/>
        <w:rPr>
          <w:rFonts w:asciiTheme="minorHAnsi" w:eastAsiaTheme="majorEastAsia" w:hAnsiTheme="minorHAnsi" w:cstheme="minorHAnsi"/>
          <w:b/>
          <w:i/>
          <w:sz w:val="24"/>
        </w:rPr>
      </w:pPr>
      <w:r w:rsidRPr="002104BB">
        <w:rPr>
          <w:rFonts w:asciiTheme="minorHAnsi" w:eastAsiaTheme="majorEastAsia" w:hAnsiTheme="minorHAnsi" w:cstheme="minorHAnsi"/>
          <w:sz w:val="24"/>
          <w:szCs w:val="24"/>
        </w:rPr>
        <w:t>T</w:t>
      </w:r>
      <w:r w:rsidR="00DB4671">
        <w:rPr>
          <w:rFonts w:asciiTheme="minorHAnsi" w:eastAsiaTheme="majorEastAsia" w:hAnsiTheme="minorHAnsi" w:cstheme="minorHAnsi"/>
          <w:sz w:val="24"/>
          <w:szCs w:val="24"/>
        </w:rPr>
        <w:t>hat t</w:t>
      </w:r>
      <w:r w:rsidRPr="002104BB">
        <w:rPr>
          <w:rFonts w:asciiTheme="minorHAnsi" w:eastAsiaTheme="majorEastAsia" w:hAnsiTheme="minorHAnsi" w:cstheme="minorHAnsi"/>
          <w:sz w:val="24"/>
          <w:szCs w:val="24"/>
        </w:rPr>
        <w:t xml:space="preserve">he recommended catch-up schedules for 13vPCV vaccinations for children who are unvaccinated, or only partially vaccinated, be amended using the same principles as for routine vaccinations. Children who have received 3 previous doses of 13vPCV &lt;12 months of age and present prior to 12 months of age </w:t>
      </w:r>
      <w:r w:rsidR="00DB4671">
        <w:rPr>
          <w:rFonts w:asciiTheme="minorHAnsi" w:eastAsiaTheme="majorEastAsia" w:hAnsiTheme="minorHAnsi" w:cstheme="minorHAnsi"/>
          <w:sz w:val="24"/>
          <w:szCs w:val="24"/>
        </w:rPr>
        <w:t>be</w:t>
      </w:r>
      <w:r w:rsidRPr="002104BB">
        <w:rPr>
          <w:rFonts w:asciiTheme="minorHAnsi" w:eastAsiaTheme="majorEastAsia" w:hAnsiTheme="minorHAnsi" w:cstheme="minorHAnsi"/>
          <w:sz w:val="24"/>
          <w:szCs w:val="24"/>
        </w:rPr>
        <w:t xml:space="preserve"> recommended to receive 1 further dose of 13vPCV at 12 months of age with a minimum interval of 2 months after the previous dose of 13vPCV. This </w:t>
      </w:r>
      <w:r w:rsidR="00DB4671">
        <w:rPr>
          <w:rFonts w:asciiTheme="minorHAnsi" w:eastAsiaTheme="majorEastAsia" w:hAnsiTheme="minorHAnsi" w:cstheme="minorHAnsi"/>
          <w:sz w:val="24"/>
          <w:szCs w:val="24"/>
        </w:rPr>
        <w:t>will mean that</w:t>
      </w:r>
      <w:r w:rsidRPr="002104BB">
        <w:rPr>
          <w:rFonts w:asciiTheme="minorHAnsi" w:eastAsiaTheme="majorEastAsia" w:hAnsiTheme="minorHAnsi" w:cstheme="minorHAnsi"/>
          <w:sz w:val="24"/>
          <w:szCs w:val="24"/>
        </w:rPr>
        <w:t xml:space="preserve"> a small cohort of children would receive a ‘3+1’ schedule in the first year of the change in </w:t>
      </w:r>
      <w:r w:rsidR="00DB4671">
        <w:rPr>
          <w:rFonts w:asciiTheme="minorHAnsi" w:eastAsiaTheme="majorEastAsia" w:hAnsiTheme="minorHAnsi" w:cstheme="minorHAnsi"/>
          <w:sz w:val="24"/>
          <w:szCs w:val="24"/>
        </w:rPr>
        <w:t>dosing schedule</w:t>
      </w:r>
      <w:r w:rsidRPr="002104BB">
        <w:rPr>
          <w:rFonts w:asciiTheme="minorHAnsi" w:eastAsiaTheme="majorEastAsia" w:hAnsiTheme="minorHAnsi" w:cstheme="minorHAnsi"/>
          <w:sz w:val="24"/>
          <w:szCs w:val="24"/>
        </w:rPr>
        <w:t>.</w:t>
      </w:r>
    </w:p>
    <w:p w:rsidR="00245BA3" w:rsidRPr="00940173" w:rsidRDefault="00D532AC" w:rsidP="00940173">
      <w:pPr>
        <w:spacing w:before="120" w:after="160"/>
        <w:rPr>
          <w:rFonts w:asciiTheme="minorHAnsi" w:eastAsiaTheme="minorHAnsi" w:hAnsiTheme="minorHAnsi" w:cstheme="minorBidi"/>
          <w:i/>
          <w:szCs w:val="22"/>
        </w:rPr>
      </w:pPr>
      <w:r w:rsidRPr="00822C24">
        <w:rPr>
          <w:rFonts w:asciiTheme="minorHAnsi" w:eastAsiaTheme="minorHAnsi" w:hAnsiTheme="minorHAnsi" w:cstheme="minorBidi"/>
          <w:i/>
          <w:szCs w:val="22"/>
        </w:rPr>
        <w:t xml:space="preserve">For more detail on the PBAC’s view, see section </w:t>
      </w:r>
      <w:r w:rsidR="00822C24">
        <w:rPr>
          <w:rFonts w:asciiTheme="minorHAnsi" w:eastAsiaTheme="minorHAnsi" w:hAnsiTheme="minorHAnsi" w:cstheme="minorBidi"/>
          <w:i/>
          <w:szCs w:val="22"/>
        </w:rPr>
        <w:t>6</w:t>
      </w:r>
      <w:r w:rsidRPr="00822C24">
        <w:rPr>
          <w:rFonts w:asciiTheme="minorHAnsi" w:eastAsiaTheme="minorHAnsi" w:hAnsiTheme="minorHAnsi" w:cstheme="minorBidi"/>
          <w:i/>
          <w:szCs w:val="22"/>
        </w:rPr>
        <w:t xml:space="preserve"> PBAC outcome.</w:t>
      </w:r>
    </w:p>
    <w:p w:rsidR="00C603D4" w:rsidRPr="00FD6D8E" w:rsidRDefault="00CE10C4" w:rsidP="000A0C36">
      <w:pPr>
        <w:pStyle w:val="PBACHeading1"/>
      </w:pPr>
      <w:r w:rsidRPr="002B5596">
        <w:t>Background</w:t>
      </w:r>
    </w:p>
    <w:p w:rsidR="007A58A4" w:rsidRDefault="00F66FB3" w:rsidP="00FF46D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13vPCV</w:t>
      </w:r>
      <w:r w:rsidR="00476245" w:rsidRPr="001B2BBC">
        <w:rPr>
          <w:rFonts w:asciiTheme="minorHAnsi" w:eastAsiaTheme="minorHAnsi" w:hAnsiTheme="minorHAnsi" w:cstheme="minorBidi"/>
          <w:snapToGrid/>
          <w:sz w:val="24"/>
          <w:szCs w:val="22"/>
        </w:rPr>
        <w:t xml:space="preserve"> is TGA registered for</w:t>
      </w:r>
      <w:r w:rsidR="007A58A4">
        <w:rPr>
          <w:rFonts w:asciiTheme="minorHAnsi" w:eastAsiaTheme="minorHAnsi" w:hAnsiTheme="minorHAnsi" w:cstheme="minorBidi"/>
          <w:snapToGrid/>
          <w:sz w:val="24"/>
          <w:szCs w:val="22"/>
        </w:rPr>
        <w:t>:</w:t>
      </w:r>
      <w:r w:rsidR="007A58A4" w:rsidRPr="006552D5">
        <w:rPr>
          <w:rFonts w:asciiTheme="minorHAnsi" w:eastAsiaTheme="minorHAnsi" w:hAnsiTheme="minorHAnsi" w:cstheme="minorBidi"/>
          <w:snapToGrid/>
          <w:sz w:val="24"/>
          <w:szCs w:val="22"/>
        </w:rPr>
        <w:t xml:space="preserve"> </w:t>
      </w:r>
    </w:p>
    <w:p w:rsidR="007A58A4" w:rsidRPr="00F66FB3" w:rsidRDefault="00F66FB3" w:rsidP="00FF46DB">
      <w:pPr>
        <w:pStyle w:val="ListParagraph"/>
        <w:widowControl/>
        <w:numPr>
          <w:ilvl w:val="2"/>
          <w:numId w:val="14"/>
        </w:numPr>
        <w:spacing w:before="120" w:after="160"/>
        <w:ind w:left="1134" w:hanging="436"/>
        <w:contextualSpacing w:val="0"/>
        <w:rPr>
          <w:rFonts w:asciiTheme="minorHAnsi" w:eastAsiaTheme="minorHAnsi" w:hAnsiTheme="minorHAnsi" w:cstheme="minorBidi"/>
          <w:snapToGrid/>
          <w:sz w:val="24"/>
          <w:szCs w:val="24"/>
        </w:rPr>
      </w:pPr>
      <w:r w:rsidRPr="00F66FB3">
        <w:rPr>
          <w:rFonts w:asciiTheme="minorHAnsi" w:hAnsiTheme="minorHAnsi"/>
          <w:sz w:val="24"/>
          <w:szCs w:val="24"/>
        </w:rPr>
        <w:t>active immunisation for the prevention of pneumococcal disease caused by Streptococcus pneumoniae serotypes 1, 3, 4, 5, 6A, 6B, 7F, 9V, 14, 18C, 19A, 19F and 23F in adults and children aged more than 6 weeks of age</w:t>
      </w:r>
      <w:r>
        <w:rPr>
          <w:rFonts w:asciiTheme="minorHAnsi" w:hAnsiTheme="minorHAnsi"/>
          <w:sz w:val="24"/>
          <w:szCs w:val="24"/>
        </w:rPr>
        <w:t>.</w:t>
      </w:r>
    </w:p>
    <w:p w:rsidR="007A58A4" w:rsidRPr="00DE43D4" w:rsidRDefault="00CA39B7" w:rsidP="007A58A4">
      <w:pPr>
        <w:pStyle w:val="ListParagraph"/>
        <w:widowControl/>
        <w:numPr>
          <w:ilvl w:val="1"/>
          <w:numId w:val="5"/>
        </w:numPr>
        <w:spacing w:before="120" w:after="160"/>
        <w:contextualSpacing w:val="0"/>
        <w:rPr>
          <w:rFonts w:asciiTheme="minorHAnsi" w:eastAsiaTheme="minorHAnsi" w:hAnsiTheme="minorHAnsi" w:cstheme="minorBidi"/>
          <w:snapToGrid/>
          <w:sz w:val="24"/>
          <w:szCs w:val="24"/>
        </w:rPr>
      </w:pPr>
      <w:r w:rsidRPr="00DE43D4">
        <w:rPr>
          <w:rFonts w:asciiTheme="minorHAnsi" w:eastAsiaTheme="minorHAnsi" w:hAnsiTheme="minorHAnsi" w:cstheme="minorBidi"/>
          <w:snapToGrid/>
          <w:sz w:val="24"/>
          <w:szCs w:val="24"/>
        </w:rPr>
        <w:lastRenderedPageBreak/>
        <w:t xml:space="preserve">13vPCV replaced 7vPCV </w:t>
      </w:r>
      <w:r w:rsidRPr="00DE43D4">
        <w:rPr>
          <w:rFonts w:asciiTheme="minorHAnsi" w:hAnsiTheme="minorHAnsi"/>
          <w:sz w:val="24"/>
          <w:szCs w:val="24"/>
        </w:rPr>
        <w:t>in the childhood pneumococcal vaccination program under the National Immunisation Program (NIP) in 2011.</w:t>
      </w:r>
    </w:p>
    <w:p w:rsidR="00995065" w:rsidRPr="00DE43D4" w:rsidRDefault="00A64077" w:rsidP="00A64077">
      <w:pPr>
        <w:pStyle w:val="ListParagraph"/>
        <w:widowControl/>
        <w:numPr>
          <w:ilvl w:val="1"/>
          <w:numId w:val="5"/>
        </w:numPr>
        <w:spacing w:before="120" w:after="160"/>
        <w:contextualSpacing w:val="0"/>
        <w:rPr>
          <w:rFonts w:asciiTheme="minorHAnsi" w:hAnsiTheme="minorHAnsi"/>
        </w:rPr>
      </w:pPr>
      <w:r w:rsidRPr="00DE43D4">
        <w:rPr>
          <w:rFonts w:asciiTheme="minorHAnsi" w:hAnsiTheme="minorHAnsi"/>
          <w:sz w:val="24"/>
          <w:szCs w:val="24"/>
        </w:rPr>
        <w:t>Given the evidence available at the time, the dosing schedule for 7vPCV was maintained for 13vPCV</w:t>
      </w:r>
      <w:r w:rsidR="00DE43D4" w:rsidRPr="00DE43D4">
        <w:rPr>
          <w:rFonts w:asciiTheme="minorHAnsi" w:hAnsiTheme="minorHAnsi"/>
          <w:sz w:val="24"/>
          <w:szCs w:val="24"/>
        </w:rPr>
        <w:t xml:space="preserve"> (see table below)</w:t>
      </w:r>
      <w:r w:rsidRPr="00DE43D4">
        <w:rPr>
          <w:rFonts w:asciiTheme="minorHAnsi" w:hAnsiTheme="minorHAnsi"/>
          <w:sz w:val="24"/>
          <w:szCs w:val="24"/>
        </w:rPr>
        <w:t xml:space="preserve">. </w:t>
      </w:r>
    </w:p>
    <w:p w:rsidR="00995065" w:rsidRPr="00734282" w:rsidRDefault="00995065" w:rsidP="00734282">
      <w:pPr>
        <w:pStyle w:val="Caption"/>
        <w:keepNext/>
        <w:spacing w:after="60"/>
        <w:rPr>
          <w:rFonts w:ascii="Arial Narrow" w:hAnsi="Arial Narrow"/>
          <w:color w:val="auto"/>
          <w:sz w:val="20"/>
          <w:szCs w:val="20"/>
        </w:rPr>
      </w:pPr>
      <w:r w:rsidRPr="00734282">
        <w:rPr>
          <w:rFonts w:ascii="Arial Narrow" w:hAnsi="Arial Narrow"/>
          <w:color w:val="auto"/>
          <w:sz w:val="20"/>
          <w:szCs w:val="20"/>
        </w:rPr>
        <w:t xml:space="preserve">Table </w:t>
      </w:r>
      <w:r w:rsidR="00F64154" w:rsidRPr="00734282">
        <w:rPr>
          <w:rFonts w:ascii="Arial Narrow" w:hAnsi="Arial Narrow"/>
          <w:noProof/>
          <w:color w:val="auto"/>
          <w:sz w:val="20"/>
          <w:szCs w:val="20"/>
        </w:rPr>
        <w:t>2</w:t>
      </w:r>
      <w:r w:rsidR="002B5BC0">
        <w:rPr>
          <w:rFonts w:ascii="Arial Narrow" w:hAnsi="Arial Narrow"/>
          <w:color w:val="auto"/>
          <w:sz w:val="20"/>
          <w:szCs w:val="20"/>
        </w:rPr>
        <w:t xml:space="preserve">: </w:t>
      </w:r>
      <w:r w:rsidRPr="00734282">
        <w:rPr>
          <w:rFonts w:ascii="Arial Narrow" w:hAnsi="Arial Narrow"/>
          <w:color w:val="auto"/>
          <w:sz w:val="20"/>
          <w:szCs w:val="20"/>
        </w:rPr>
        <w:t xml:space="preserve"> </w:t>
      </w:r>
      <w:r w:rsidR="00A64077" w:rsidRPr="00734282">
        <w:rPr>
          <w:rFonts w:ascii="Arial Narrow" w:hAnsi="Arial Narrow"/>
          <w:color w:val="auto"/>
          <w:sz w:val="20"/>
          <w:szCs w:val="20"/>
        </w:rPr>
        <w:t xml:space="preserve">Comparison of current and proposed 13vPCV vaccine schedules in children. </w:t>
      </w:r>
    </w:p>
    <w:tbl>
      <w:tblPr>
        <w:tblW w:w="5000" w:type="pct"/>
        <w:jc w:val="center"/>
        <w:tblCellMar>
          <w:left w:w="0" w:type="dxa"/>
          <w:right w:w="0" w:type="dxa"/>
        </w:tblCellMar>
        <w:tblLook w:val="01E0" w:firstRow="1" w:lastRow="1" w:firstColumn="1" w:lastColumn="1" w:noHBand="0" w:noVBand="0"/>
      </w:tblPr>
      <w:tblGrid>
        <w:gridCol w:w="2257"/>
        <w:gridCol w:w="2263"/>
        <w:gridCol w:w="2246"/>
        <w:gridCol w:w="11"/>
        <w:gridCol w:w="2259"/>
      </w:tblGrid>
      <w:tr w:rsidR="00A64077" w:rsidTr="00680777">
        <w:trPr>
          <w:trHeight w:val="20"/>
          <w:tblHeader/>
          <w:jc w:val="center"/>
        </w:trPr>
        <w:tc>
          <w:tcPr>
            <w:tcW w:w="250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64077" w:rsidRPr="006217C8" w:rsidRDefault="00A64077" w:rsidP="00DE43D4">
            <w:pPr>
              <w:pStyle w:val="TableParagraph"/>
              <w:keepNext/>
              <w:spacing w:before="40" w:after="40"/>
              <w:ind w:left="102" w:right="618"/>
              <w:jc w:val="center"/>
              <w:rPr>
                <w:rFonts w:ascii="Arial Narrow" w:hAnsi="Arial Narrow" w:cs="Arial"/>
                <w:b/>
                <w:color w:val="000000" w:themeColor="text1"/>
                <w:spacing w:val="-2"/>
                <w:sz w:val="20"/>
                <w:szCs w:val="20"/>
              </w:rPr>
            </w:pPr>
            <w:r w:rsidRPr="006217C8">
              <w:rPr>
                <w:rFonts w:ascii="Arial Narrow" w:hAnsi="Arial Narrow" w:cs="Arial"/>
                <w:b/>
                <w:color w:val="000000" w:themeColor="text1"/>
                <w:spacing w:val="-2"/>
                <w:sz w:val="20"/>
                <w:szCs w:val="20"/>
              </w:rPr>
              <w:t>Cohort</w:t>
            </w:r>
          </w:p>
        </w:tc>
        <w:tc>
          <w:tcPr>
            <w:tcW w:w="12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4077" w:rsidRPr="006217C8" w:rsidRDefault="00A64077" w:rsidP="00DE43D4">
            <w:pPr>
              <w:pStyle w:val="TableParagraph"/>
              <w:keepNext/>
              <w:spacing w:before="40" w:after="40"/>
              <w:jc w:val="center"/>
              <w:rPr>
                <w:rFonts w:ascii="Arial Narrow" w:hAnsi="Arial Narrow" w:cs="Arial"/>
                <w:color w:val="000000" w:themeColor="text1"/>
                <w:sz w:val="20"/>
                <w:szCs w:val="20"/>
              </w:rPr>
            </w:pPr>
            <w:r w:rsidRPr="006217C8">
              <w:rPr>
                <w:rFonts w:ascii="Arial Narrow" w:hAnsi="Arial Narrow" w:cs="Arial"/>
                <w:b/>
                <w:color w:val="000000" w:themeColor="text1"/>
                <w:spacing w:val="-1"/>
                <w:sz w:val="20"/>
                <w:szCs w:val="20"/>
              </w:rPr>
              <w:t>Schedule in current recommendation</w:t>
            </w:r>
          </w:p>
        </w:tc>
        <w:tc>
          <w:tcPr>
            <w:tcW w:w="12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4077" w:rsidRPr="006217C8" w:rsidRDefault="00A64077" w:rsidP="00DE43D4">
            <w:pPr>
              <w:pStyle w:val="TableParagraph"/>
              <w:keepNext/>
              <w:spacing w:before="40" w:after="40"/>
              <w:jc w:val="center"/>
              <w:rPr>
                <w:rFonts w:ascii="Arial Narrow" w:hAnsi="Arial Narrow" w:cs="Arial"/>
                <w:color w:val="000000" w:themeColor="text1"/>
                <w:sz w:val="20"/>
                <w:szCs w:val="20"/>
              </w:rPr>
            </w:pPr>
            <w:r w:rsidRPr="006217C8">
              <w:rPr>
                <w:rFonts w:ascii="Arial Narrow" w:hAnsi="Arial Narrow" w:cs="Arial"/>
                <w:b/>
                <w:color w:val="000000" w:themeColor="text1"/>
                <w:spacing w:val="-1"/>
                <w:sz w:val="20"/>
                <w:szCs w:val="20"/>
              </w:rPr>
              <w:t>Schedule in proposed recommendation</w:t>
            </w:r>
          </w:p>
        </w:tc>
      </w:tr>
      <w:tr w:rsidR="00A64077" w:rsidTr="00680777">
        <w:trPr>
          <w:trHeight w:val="20"/>
          <w:jc w:val="center"/>
        </w:trPr>
        <w:tc>
          <w:tcPr>
            <w:tcW w:w="1249" w:type="pct"/>
            <w:vMerge w:val="restart"/>
            <w:tcBorders>
              <w:top w:val="nil"/>
              <w:left w:val="single" w:sz="5" w:space="0" w:color="000000"/>
              <w:right w:val="single" w:sz="5" w:space="0" w:color="000000"/>
            </w:tcBorders>
            <w:vAlign w:val="center"/>
          </w:tcPr>
          <w:p w:rsidR="00A64077" w:rsidRPr="006217C8" w:rsidRDefault="00A64077" w:rsidP="00DE43D4">
            <w:pPr>
              <w:pStyle w:val="Default"/>
              <w:keepNext/>
              <w:spacing w:before="40" w:after="40"/>
              <w:ind w:left="142"/>
              <w:rPr>
                <w:rFonts w:ascii="Arial Narrow" w:hAnsi="Arial Narrow"/>
                <w:sz w:val="20"/>
                <w:szCs w:val="20"/>
              </w:rPr>
            </w:pPr>
            <w:r w:rsidRPr="006217C8">
              <w:rPr>
                <w:rFonts w:ascii="Arial Narrow" w:hAnsi="Arial Narrow"/>
                <w:sz w:val="20"/>
                <w:szCs w:val="20"/>
              </w:rPr>
              <w:t xml:space="preserve">Children without underlying medical conditions associated with increased risk of IPD </w:t>
            </w:r>
          </w:p>
          <w:p w:rsidR="00A64077" w:rsidRPr="006217C8" w:rsidRDefault="00A64077" w:rsidP="00DE43D4">
            <w:pPr>
              <w:keepNext/>
              <w:spacing w:before="40" w:after="40"/>
              <w:ind w:firstLine="142"/>
              <w:rPr>
                <w:rFonts w:ascii="Arial Narrow" w:hAnsi="Arial Narrow" w:cs="Arial"/>
                <w:sz w:val="20"/>
                <w:szCs w:val="20"/>
              </w:rPr>
            </w:pPr>
          </w:p>
        </w:tc>
        <w:tc>
          <w:tcPr>
            <w:tcW w:w="1252" w:type="pct"/>
            <w:tcBorders>
              <w:top w:val="nil"/>
              <w:left w:val="single" w:sz="5" w:space="0" w:color="000000"/>
              <w:bottom w:val="single" w:sz="5" w:space="0" w:color="000000"/>
              <w:right w:val="single" w:sz="5" w:space="0" w:color="000000"/>
            </w:tcBorders>
          </w:tcPr>
          <w:p w:rsidR="00A64077" w:rsidRPr="006217C8" w:rsidRDefault="00A64077" w:rsidP="00DE43D4">
            <w:pPr>
              <w:pStyle w:val="TableParagraph"/>
              <w:keepNext/>
              <w:spacing w:before="40" w:after="40"/>
              <w:ind w:left="102" w:right="618"/>
              <w:rPr>
                <w:rFonts w:ascii="Arial Narrow" w:eastAsia="Times New Roman" w:hAnsi="Arial Narrow" w:cs="Arial"/>
                <w:sz w:val="20"/>
                <w:szCs w:val="20"/>
              </w:rPr>
            </w:pPr>
            <w:r w:rsidRPr="006217C8">
              <w:rPr>
                <w:rFonts w:ascii="Arial Narrow" w:hAnsi="Arial Narrow" w:cs="Arial"/>
                <w:spacing w:val="-2"/>
                <w:sz w:val="20"/>
                <w:szCs w:val="20"/>
              </w:rPr>
              <w:t>All</w:t>
            </w:r>
            <w:r w:rsidRPr="006217C8">
              <w:rPr>
                <w:rFonts w:ascii="Arial Narrow" w:hAnsi="Arial Narrow" w:cs="Arial"/>
                <w:spacing w:val="-6"/>
                <w:sz w:val="20"/>
                <w:szCs w:val="20"/>
              </w:rPr>
              <w:t xml:space="preserve"> </w:t>
            </w:r>
            <w:r w:rsidRPr="006217C8">
              <w:rPr>
                <w:rFonts w:ascii="Arial Narrow" w:hAnsi="Arial Narrow" w:cs="Arial"/>
                <w:spacing w:val="-1"/>
                <w:sz w:val="20"/>
                <w:szCs w:val="20"/>
              </w:rPr>
              <w:t>children</w:t>
            </w:r>
            <w:r w:rsidRPr="006217C8">
              <w:rPr>
                <w:rFonts w:ascii="Arial Narrow" w:hAnsi="Arial Narrow" w:cs="Arial"/>
                <w:spacing w:val="-5"/>
                <w:sz w:val="20"/>
                <w:szCs w:val="20"/>
              </w:rPr>
              <w:t xml:space="preserve"> </w:t>
            </w:r>
            <w:r w:rsidRPr="006217C8">
              <w:rPr>
                <w:rFonts w:ascii="Arial Narrow" w:hAnsi="Arial Narrow" w:cs="Arial"/>
                <w:spacing w:val="1"/>
                <w:sz w:val="20"/>
                <w:szCs w:val="20"/>
              </w:rPr>
              <w:t>in</w:t>
            </w:r>
            <w:r w:rsidRPr="006217C8">
              <w:rPr>
                <w:rFonts w:ascii="Arial Narrow" w:hAnsi="Arial Narrow" w:cs="Arial"/>
                <w:spacing w:val="-5"/>
                <w:sz w:val="20"/>
                <w:szCs w:val="20"/>
              </w:rPr>
              <w:t xml:space="preserve"> </w:t>
            </w:r>
            <w:r w:rsidRPr="006217C8">
              <w:rPr>
                <w:rFonts w:ascii="Arial Narrow" w:hAnsi="Arial Narrow" w:cs="Arial"/>
                <w:sz w:val="20"/>
                <w:szCs w:val="20"/>
              </w:rPr>
              <w:t>ACT,</w:t>
            </w:r>
            <w:r w:rsidRPr="006217C8">
              <w:rPr>
                <w:rFonts w:ascii="Arial Narrow" w:hAnsi="Arial Narrow" w:cs="Arial"/>
                <w:spacing w:val="22"/>
                <w:w w:val="99"/>
                <w:sz w:val="20"/>
                <w:szCs w:val="20"/>
              </w:rPr>
              <w:t xml:space="preserve"> </w:t>
            </w:r>
            <w:r w:rsidRPr="006217C8">
              <w:rPr>
                <w:rFonts w:ascii="Arial Narrow" w:hAnsi="Arial Narrow" w:cs="Arial"/>
                <w:sz w:val="20"/>
                <w:szCs w:val="20"/>
              </w:rPr>
              <w:t>NSW,</w:t>
            </w:r>
            <w:r w:rsidRPr="006217C8">
              <w:rPr>
                <w:rFonts w:ascii="Arial Narrow" w:hAnsi="Arial Narrow" w:cs="Arial"/>
                <w:spacing w:val="-4"/>
                <w:sz w:val="20"/>
                <w:szCs w:val="20"/>
              </w:rPr>
              <w:t xml:space="preserve"> </w:t>
            </w:r>
            <w:r w:rsidRPr="006217C8">
              <w:rPr>
                <w:rFonts w:ascii="Arial Narrow" w:hAnsi="Arial Narrow" w:cs="Arial"/>
                <w:sz w:val="20"/>
                <w:szCs w:val="20"/>
              </w:rPr>
              <w:t>TAS</w:t>
            </w:r>
            <w:r w:rsidRPr="006217C8">
              <w:rPr>
                <w:rFonts w:ascii="Arial Narrow" w:hAnsi="Arial Narrow" w:cs="Arial"/>
                <w:spacing w:val="-5"/>
                <w:sz w:val="20"/>
                <w:szCs w:val="20"/>
              </w:rPr>
              <w:t xml:space="preserve"> </w:t>
            </w:r>
            <w:r w:rsidRPr="006217C8">
              <w:rPr>
                <w:rFonts w:ascii="Arial Narrow" w:hAnsi="Arial Narrow" w:cs="Arial"/>
                <w:sz w:val="20"/>
                <w:szCs w:val="20"/>
              </w:rPr>
              <w:t>or</w:t>
            </w:r>
            <w:r w:rsidRPr="006217C8">
              <w:rPr>
                <w:rFonts w:ascii="Arial Narrow" w:hAnsi="Arial Narrow" w:cs="Arial"/>
                <w:spacing w:val="-3"/>
                <w:sz w:val="20"/>
                <w:szCs w:val="20"/>
              </w:rPr>
              <w:t xml:space="preserve"> </w:t>
            </w:r>
            <w:r w:rsidRPr="006217C8">
              <w:rPr>
                <w:rFonts w:ascii="Arial Narrow" w:hAnsi="Arial Narrow" w:cs="Arial"/>
                <w:sz w:val="20"/>
                <w:szCs w:val="20"/>
              </w:rPr>
              <w:t>VIC</w:t>
            </w:r>
          </w:p>
        </w:tc>
        <w:tc>
          <w:tcPr>
            <w:tcW w:w="1249" w:type="pct"/>
            <w:gridSpan w:val="2"/>
            <w:vMerge w:val="restart"/>
            <w:tcBorders>
              <w:top w:val="nil"/>
              <w:left w:val="single" w:sz="5" w:space="0" w:color="000000"/>
              <w:right w:val="single" w:sz="4" w:space="0" w:color="auto"/>
            </w:tcBorders>
          </w:tcPr>
          <w:p w:rsidR="00A64077" w:rsidRPr="006217C8" w:rsidRDefault="00A64077" w:rsidP="00DE43D4">
            <w:pPr>
              <w:pStyle w:val="TableParagraph"/>
              <w:keepNext/>
              <w:spacing w:before="40" w:after="40"/>
              <w:rPr>
                <w:rFonts w:ascii="Arial Narrow" w:hAnsi="Arial Narrow" w:cs="Arial"/>
                <w:sz w:val="20"/>
                <w:szCs w:val="20"/>
              </w:rPr>
            </w:pPr>
          </w:p>
          <w:p w:rsidR="00A64077" w:rsidRPr="006217C8" w:rsidRDefault="00A64077" w:rsidP="00DE43D4">
            <w:pPr>
              <w:pStyle w:val="TableParagraph"/>
              <w:keepNext/>
              <w:spacing w:before="40" w:after="40"/>
              <w:rPr>
                <w:rFonts w:ascii="Arial Narrow" w:hAnsi="Arial Narrow" w:cs="Arial"/>
                <w:sz w:val="20"/>
                <w:szCs w:val="20"/>
              </w:rPr>
            </w:pPr>
          </w:p>
          <w:p w:rsidR="00A64077" w:rsidRPr="006217C8" w:rsidRDefault="00A64077" w:rsidP="00DE43D4">
            <w:pPr>
              <w:pStyle w:val="TableParagraph"/>
              <w:keepNext/>
              <w:spacing w:before="40" w:after="40"/>
              <w:ind w:left="423" w:right="419"/>
              <w:jc w:val="center"/>
              <w:rPr>
                <w:rFonts w:ascii="Arial Narrow" w:eastAsia="Times New Roman" w:hAnsi="Arial Narrow" w:cs="Arial"/>
                <w:sz w:val="20"/>
                <w:szCs w:val="20"/>
              </w:rPr>
            </w:pPr>
            <w:r>
              <w:rPr>
                <w:rFonts w:ascii="Arial Narrow" w:hAnsi="Arial Narrow" w:cs="Arial"/>
                <w:sz w:val="20"/>
                <w:szCs w:val="20"/>
              </w:rPr>
              <w:t>‘3+0’</w:t>
            </w:r>
          </w:p>
          <w:p w:rsidR="00A64077" w:rsidRPr="006217C8" w:rsidRDefault="00A64077" w:rsidP="00DE43D4">
            <w:pPr>
              <w:pStyle w:val="TableParagraph"/>
              <w:keepNext/>
              <w:spacing w:before="40" w:after="40"/>
              <w:ind w:left="423" w:right="422"/>
              <w:jc w:val="center"/>
              <w:rPr>
                <w:rFonts w:ascii="Arial Narrow" w:eastAsia="Times New Roman" w:hAnsi="Arial Narrow" w:cs="Arial"/>
                <w:sz w:val="20"/>
                <w:szCs w:val="20"/>
              </w:rPr>
            </w:pPr>
            <w:r w:rsidRPr="006217C8">
              <w:rPr>
                <w:rFonts w:ascii="Arial Narrow" w:hAnsi="Arial Narrow" w:cs="Arial"/>
                <w:sz w:val="20"/>
                <w:szCs w:val="20"/>
              </w:rPr>
              <w:t>(2,</w:t>
            </w:r>
            <w:r w:rsidRPr="006217C8">
              <w:rPr>
                <w:rFonts w:ascii="Arial Narrow" w:hAnsi="Arial Narrow" w:cs="Arial"/>
                <w:spacing w:val="-3"/>
                <w:sz w:val="20"/>
                <w:szCs w:val="20"/>
              </w:rPr>
              <w:t xml:space="preserve"> </w:t>
            </w:r>
            <w:r w:rsidRPr="006217C8">
              <w:rPr>
                <w:rFonts w:ascii="Arial Narrow" w:hAnsi="Arial Narrow" w:cs="Arial"/>
                <w:sz w:val="20"/>
                <w:szCs w:val="20"/>
              </w:rPr>
              <w:t>4</w:t>
            </w:r>
            <w:r w:rsidRPr="006217C8">
              <w:rPr>
                <w:rFonts w:ascii="Arial Narrow" w:hAnsi="Arial Narrow" w:cs="Arial"/>
                <w:spacing w:val="-2"/>
                <w:sz w:val="20"/>
                <w:szCs w:val="20"/>
              </w:rPr>
              <w:t xml:space="preserve"> </w:t>
            </w:r>
            <w:r w:rsidRPr="006217C8">
              <w:rPr>
                <w:rFonts w:ascii="Arial Narrow" w:hAnsi="Arial Narrow" w:cs="Arial"/>
                <w:spacing w:val="-1"/>
                <w:sz w:val="20"/>
                <w:szCs w:val="20"/>
              </w:rPr>
              <w:t>and</w:t>
            </w:r>
            <w:r w:rsidRPr="006217C8">
              <w:rPr>
                <w:rFonts w:ascii="Arial Narrow" w:hAnsi="Arial Narrow" w:cs="Arial"/>
                <w:spacing w:val="-5"/>
                <w:sz w:val="20"/>
                <w:szCs w:val="20"/>
              </w:rPr>
              <w:t xml:space="preserve"> </w:t>
            </w:r>
            <w:r w:rsidRPr="006217C8">
              <w:rPr>
                <w:rFonts w:ascii="Arial Narrow" w:hAnsi="Arial Narrow" w:cs="Arial"/>
                <w:sz w:val="20"/>
                <w:szCs w:val="20"/>
              </w:rPr>
              <w:t>6</w:t>
            </w:r>
            <w:r w:rsidRPr="006217C8">
              <w:rPr>
                <w:rFonts w:ascii="Arial Narrow" w:hAnsi="Arial Narrow" w:cs="Arial"/>
                <w:spacing w:val="-2"/>
                <w:sz w:val="20"/>
                <w:szCs w:val="20"/>
              </w:rPr>
              <w:t xml:space="preserve"> </w:t>
            </w:r>
            <w:r w:rsidRPr="006217C8">
              <w:rPr>
                <w:rFonts w:ascii="Arial Narrow" w:hAnsi="Arial Narrow" w:cs="Arial"/>
                <w:spacing w:val="-1"/>
                <w:sz w:val="20"/>
                <w:szCs w:val="20"/>
              </w:rPr>
              <w:t>months)</w:t>
            </w:r>
          </w:p>
        </w:tc>
        <w:tc>
          <w:tcPr>
            <w:tcW w:w="1250" w:type="pct"/>
            <w:vMerge w:val="restart"/>
            <w:tcBorders>
              <w:top w:val="single" w:sz="4" w:space="0" w:color="auto"/>
              <w:left w:val="single" w:sz="4" w:space="0" w:color="auto"/>
              <w:bottom w:val="single" w:sz="4" w:space="0" w:color="auto"/>
              <w:right w:val="single" w:sz="4" w:space="0" w:color="auto"/>
            </w:tcBorders>
          </w:tcPr>
          <w:p w:rsidR="00A64077" w:rsidRPr="006217C8" w:rsidRDefault="00A64077" w:rsidP="00DE43D4">
            <w:pPr>
              <w:pStyle w:val="TableParagraph"/>
              <w:keepNext/>
              <w:spacing w:before="40" w:after="40"/>
              <w:rPr>
                <w:rFonts w:ascii="Arial Narrow" w:hAnsi="Arial Narrow" w:cs="Arial"/>
                <w:sz w:val="20"/>
                <w:szCs w:val="20"/>
              </w:rPr>
            </w:pPr>
          </w:p>
          <w:p w:rsidR="00A64077" w:rsidRPr="006217C8" w:rsidRDefault="00A64077" w:rsidP="00DE43D4">
            <w:pPr>
              <w:pStyle w:val="TableParagraph"/>
              <w:keepNext/>
              <w:spacing w:before="40" w:after="40"/>
              <w:rPr>
                <w:rFonts w:ascii="Arial Narrow" w:hAnsi="Arial Narrow" w:cs="Arial"/>
                <w:sz w:val="20"/>
                <w:szCs w:val="20"/>
              </w:rPr>
            </w:pPr>
          </w:p>
          <w:p w:rsidR="00A64077" w:rsidRPr="006217C8" w:rsidRDefault="00A64077" w:rsidP="00DE43D4">
            <w:pPr>
              <w:pStyle w:val="TableParagraph"/>
              <w:keepNext/>
              <w:spacing w:before="40" w:after="40"/>
              <w:ind w:left="191" w:right="192"/>
              <w:jc w:val="center"/>
              <w:rPr>
                <w:rFonts w:ascii="Arial Narrow" w:eastAsia="Times New Roman" w:hAnsi="Arial Narrow" w:cs="Arial"/>
                <w:sz w:val="20"/>
                <w:szCs w:val="20"/>
              </w:rPr>
            </w:pPr>
            <w:r>
              <w:rPr>
                <w:rFonts w:ascii="Arial Narrow" w:hAnsi="Arial Narrow" w:cs="Arial"/>
                <w:sz w:val="20"/>
                <w:szCs w:val="20"/>
              </w:rPr>
              <w:t>‘2+1’</w:t>
            </w:r>
          </w:p>
          <w:p w:rsidR="00A64077" w:rsidRPr="006217C8" w:rsidRDefault="00A64077" w:rsidP="00DE43D4">
            <w:pPr>
              <w:pStyle w:val="TableParagraph"/>
              <w:keepNext/>
              <w:spacing w:before="40" w:after="40"/>
              <w:ind w:left="187" w:right="193"/>
              <w:jc w:val="center"/>
              <w:rPr>
                <w:rFonts w:ascii="Arial Narrow" w:eastAsia="Times New Roman" w:hAnsi="Arial Narrow" w:cs="Arial"/>
                <w:sz w:val="20"/>
                <w:szCs w:val="20"/>
              </w:rPr>
            </w:pPr>
            <w:r w:rsidRPr="006217C8">
              <w:rPr>
                <w:rFonts w:ascii="Arial Narrow" w:hAnsi="Arial Narrow" w:cs="Arial"/>
                <w:sz w:val="20"/>
                <w:szCs w:val="20"/>
              </w:rPr>
              <w:t>(2,</w:t>
            </w:r>
            <w:r w:rsidRPr="006217C8">
              <w:rPr>
                <w:rFonts w:ascii="Arial Narrow" w:hAnsi="Arial Narrow" w:cs="Arial"/>
                <w:spacing w:val="-4"/>
                <w:sz w:val="20"/>
                <w:szCs w:val="20"/>
              </w:rPr>
              <w:t xml:space="preserve"> </w:t>
            </w:r>
            <w:r w:rsidRPr="006217C8">
              <w:rPr>
                <w:rFonts w:ascii="Arial Narrow" w:hAnsi="Arial Narrow" w:cs="Arial"/>
                <w:sz w:val="20"/>
                <w:szCs w:val="20"/>
              </w:rPr>
              <w:t>4</w:t>
            </w:r>
            <w:r w:rsidRPr="006217C8">
              <w:rPr>
                <w:rFonts w:ascii="Arial Narrow" w:hAnsi="Arial Narrow" w:cs="Arial"/>
                <w:spacing w:val="-3"/>
                <w:sz w:val="20"/>
                <w:szCs w:val="20"/>
              </w:rPr>
              <w:t xml:space="preserve"> </w:t>
            </w:r>
            <w:r w:rsidRPr="006217C8">
              <w:rPr>
                <w:rFonts w:ascii="Arial Narrow" w:hAnsi="Arial Narrow" w:cs="Arial"/>
                <w:spacing w:val="-1"/>
                <w:sz w:val="20"/>
                <w:szCs w:val="20"/>
              </w:rPr>
              <w:t>and</w:t>
            </w:r>
            <w:r w:rsidRPr="006217C8">
              <w:rPr>
                <w:rFonts w:ascii="Arial Narrow" w:hAnsi="Arial Narrow" w:cs="Arial"/>
                <w:spacing w:val="-4"/>
                <w:sz w:val="20"/>
                <w:szCs w:val="20"/>
              </w:rPr>
              <w:t xml:space="preserve"> </w:t>
            </w:r>
            <w:r w:rsidRPr="006217C8">
              <w:rPr>
                <w:rFonts w:ascii="Arial Narrow" w:hAnsi="Arial Narrow" w:cs="Arial"/>
                <w:sz w:val="20"/>
                <w:szCs w:val="20"/>
              </w:rPr>
              <w:t>12</w:t>
            </w:r>
            <w:r w:rsidRPr="006217C8">
              <w:rPr>
                <w:rFonts w:ascii="Arial Narrow" w:hAnsi="Arial Narrow" w:cs="Arial"/>
                <w:spacing w:val="-3"/>
                <w:sz w:val="20"/>
                <w:szCs w:val="20"/>
              </w:rPr>
              <w:t xml:space="preserve"> </w:t>
            </w:r>
            <w:r w:rsidRPr="006217C8">
              <w:rPr>
                <w:rFonts w:ascii="Arial Narrow" w:hAnsi="Arial Narrow" w:cs="Arial"/>
                <w:spacing w:val="-1"/>
                <w:sz w:val="20"/>
                <w:szCs w:val="20"/>
              </w:rPr>
              <w:t>months)</w:t>
            </w:r>
          </w:p>
        </w:tc>
      </w:tr>
      <w:tr w:rsidR="00A64077" w:rsidTr="00680777">
        <w:trPr>
          <w:trHeight w:val="20"/>
          <w:jc w:val="center"/>
        </w:trPr>
        <w:tc>
          <w:tcPr>
            <w:tcW w:w="1249" w:type="pct"/>
            <w:vMerge/>
            <w:tcBorders>
              <w:left w:val="single" w:sz="5" w:space="0" w:color="000000"/>
              <w:right w:val="single" w:sz="5" w:space="0" w:color="000000"/>
            </w:tcBorders>
          </w:tcPr>
          <w:p w:rsidR="00A64077" w:rsidRPr="006217C8" w:rsidRDefault="00A64077" w:rsidP="00DE43D4">
            <w:pPr>
              <w:keepNext/>
              <w:spacing w:before="40" w:after="40"/>
              <w:rPr>
                <w:rFonts w:ascii="Arial Narrow" w:hAnsi="Arial Narrow" w:cs="Arial"/>
                <w:sz w:val="20"/>
                <w:szCs w:val="20"/>
              </w:rPr>
            </w:pPr>
          </w:p>
        </w:tc>
        <w:tc>
          <w:tcPr>
            <w:tcW w:w="1252" w:type="pct"/>
            <w:tcBorders>
              <w:top w:val="single" w:sz="5" w:space="0" w:color="000000"/>
              <w:left w:val="single" w:sz="5" w:space="0" w:color="000000"/>
              <w:bottom w:val="single" w:sz="5" w:space="0" w:color="000000"/>
              <w:right w:val="single" w:sz="5" w:space="0" w:color="000000"/>
            </w:tcBorders>
          </w:tcPr>
          <w:p w:rsidR="00A64077" w:rsidRPr="006217C8" w:rsidRDefault="00A64077" w:rsidP="00DE43D4">
            <w:pPr>
              <w:pStyle w:val="TableParagraph"/>
              <w:keepNext/>
              <w:spacing w:before="40" w:after="40"/>
              <w:ind w:left="102" w:right="191"/>
              <w:rPr>
                <w:rFonts w:ascii="Arial Narrow" w:eastAsia="Times New Roman" w:hAnsi="Arial Narrow" w:cs="Arial"/>
                <w:sz w:val="20"/>
                <w:szCs w:val="20"/>
              </w:rPr>
            </w:pPr>
            <w:r w:rsidRPr="006217C8">
              <w:rPr>
                <w:rFonts w:ascii="Arial Narrow" w:hAnsi="Arial Narrow" w:cs="Arial"/>
                <w:spacing w:val="-1"/>
                <w:sz w:val="20"/>
                <w:szCs w:val="20"/>
              </w:rPr>
              <w:t>Non-Indigenous</w:t>
            </w:r>
            <w:r w:rsidRPr="006217C8">
              <w:rPr>
                <w:rFonts w:ascii="Arial Narrow" w:hAnsi="Arial Narrow" w:cs="Arial"/>
                <w:spacing w:val="-21"/>
                <w:sz w:val="20"/>
                <w:szCs w:val="20"/>
              </w:rPr>
              <w:t xml:space="preserve"> </w:t>
            </w:r>
            <w:r w:rsidRPr="006217C8">
              <w:rPr>
                <w:rFonts w:ascii="Arial Narrow" w:hAnsi="Arial Narrow" w:cs="Arial"/>
                <w:spacing w:val="-1"/>
                <w:sz w:val="20"/>
                <w:szCs w:val="20"/>
              </w:rPr>
              <w:t>children</w:t>
            </w:r>
            <w:r w:rsidRPr="006217C8">
              <w:rPr>
                <w:rFonts w:ascii="Arial Narrow" w:hAnsi="Arial Narrow" w:cs="Arial"/>
                <w:spacing w:val="39"/>
                <w:w w:val="99"/>
                <w:sz w:val="20"/>
                <w:szCs w:val="20"/>
              </w:rPr>
              <w:t xml:space="preserve"> </w:t>
            </w:r>
            <w:r w:rsidRPr="006217C8">
              <w:rPr>
                <w:rFonts w:ascii="Arial Narrow" w:hAnsi="Arial Narrow" w:cs="Arial"/>
                <w:spacing w:val="-1"/>
                <w:sz w:val="20"/>
                <w:szCs w:val="20"/>
              </w:rPr>
              <w:t>in</w:t>
            </w:r>
            <w:r w:rsidRPr="006217C8">
              <w:rPr>
                <w:rFonts w:ascii="Arial Narrow" w:hAnsi="Arial Narrow" w:cs="Arial"/>
                <w:spacing w:val="-5"/>
                <w:sz w:val="20"/>
                <w:szCs w:val="20"/>
              </w:rPr>
              <w:t xml:space="preserve"> </w:t>
            </w:r>
            <w:r w:rsidRPr="006217C8">
              <w:rPr>
                <w:rFonts w:ascii="Arial Narrow" w:hAnsi="Arial Narrow" w:cs="Arial"/>
                <w:spacing w:val="1"/>
                <w:sz w:val="20"/>
                <w:szCs w:val="20"/>
              </w:rPr>
              <w:t>NT,</w:t>
            </w:r>
            <w:r w:rsidRPr="006217C8">
              <w:rPr>
                <w:rFonts w:ascii="Arial Narrow" w:hAnsi="Arial Narrow" w:cs="Arial"/>
                <w:spacing w:val="-2"/>
                <w:sz w:val="20"/>
                <w:szCs w:val="20"/>
              </w:rPr>
              <w:t xml:space="preserve"> </w:t>
            </w:r>
            <w:r w:rsidRPr="006217C8">
              <w:rPr>
                <w:rFonts w:ascii="Arial Narrow" w:hAnsi="Arial Narrow" w:cs="Arial"/>
                <w:spacing w:val="-1"/>
                <w:sz w:val="20"/>
                <w:szCs w:val="20"/>
              </w:rPr>
              <w:t>QLD,</w:t>
            </w:r>
            <w:r w:rsidRPr="006217C8">
              <w:rPr>
                <w:rFonts w:ascii="Arial Narrow" w:hAnsi="Arial Narrow" w:cs="Arial"/>
                <w:spacing w:val="-3"/>
                <w:sz w:val="20"/>
                <w:szCs w:val="20"/>
              </w:rPr>
              <w:t xml:space="preserve"> </w:t>
            </w:r>
            <w:r w:rsidRPr="006217C8">
              <w:rPr>
                <w:rFonts w:ascii="Arial Narrow" w:hAnsi="Arial Narrow" w:cs="Arial"/>
                <w:spacing w:val="1"/>
                <w:sz w:val="20"/>
                <w:szCs w:val="20"/>
              </w:rPr>
              <w:t>SA</w:t>
            </w:r>
            <w:r w:rsidRPr="006217C8">
              <w:rPr>
                <w:rFonts w:ascii="Arial Narrow" w:hAnsi="Arial Narrow" w:cs="Arial"/>
                <w:spacing w:val="-5"/>
                <w:sz w:val="20"/>
                <w:szCs w:val="20"/>
              </w:rPr>
              <w:t xml:space="preserve"> </w:t>
            </w:r>
            <w:r w:rsidRPr="006217C8">
              <w:rPr>
                <w:rFonts w:ascii="Arial Narrow" w:hAnsi="Arial Narrow" w:cs="Arial"/>
                <w:sz w:val="20"/>
                <w:szCs w:val="20"/>
              </w:rPr>
              <w:t>or</w:t>
            </w:r>
            <w:r w:rsidRPr="006217C8">
              <w:rPr>
                <w:rFonts w:ascii="Arial Narrow" w:hAnsi="Arial Narrow" w:cs="Arial"/>
                <w:spacing w:val="-2"/>
                <w:sz w:val="20"/>
                <w:szCs w:val="20"/>
              </w:rPr>
              <w:t xml:space="preserve"> </w:t>
            </w:r>
            <w:r w:rsidRPr="006217C8">
              <w:rPr>
                <w:rFonts w:ascii="Arial Narrow" w:hAnsi="Arial Narrow" w:cs="Arial"/>
                <w:sz w:val="20"/>
                <w:szCs w:val="20"/>
              </w:rPr>
              <w:t>WA</w:t>
            </w:r>
          </w:p>
        </w:tc>
        <w:tc>
          <w:tcPr>
            <w:tcW w:w="1249" w:type="pct"/>
            <w:gridSpan w:val="2"/>
            <w:vMerge/>
            <w:tcBorders>
              <w:left w:val="single" w:sz="5" w:space="0" w:color="000000"/>
              <w:bottom w:val="single" w:sz="5" w:space="0" w:color="000000"/>
              <w:right w:val="single" w:sz="4" w:space="0" w:color="auto"/>
            </w:tcBorders>
          </w:tcPr>
          <w:p w:rsidR="00A64077" w:rsidRPr="006217C8" w:rsidRDefault="00A64077" w:rsidP="00DE43D4">
            <w:pPr>
              <w:keepNext/>
              <w:spacing w:before="40" w:after="40"/>
              <w:rPr>
                <w:rFonts w:ascii="Arial Narrow" w:hAnsi="Arial Narrow" w:cs="Arial"/>
                <w:sz w:val="20"/>
                <w:szCs w:val="20"/>
              </w:rPr>
            </w:pPr>
          </w:p>
        </w:tc>
        <w:tc>
          <w:tcPr>
            <w:tcW w:w="1250" w:type="pct"/>
            <w:vMerge/>
            <w:tcBorders>
              <w:top w:val="single" w:sz="4" w:space="0" w:color="auto"/>
              <w:left w:val="single" w:sz="4" w:space="0" w:color="auto"/>
              <w:bottom w:val="single" w:sz="4" w:space="0" w:color="auto"/>
              <w:right w:val="single" w:sz="4" w:space="0" w:color="auto"/>
            </w:tcBorders>
          </w:tcPr>
          <w:p w:rsidR="00A64077" w:rsidRPr="006217C8" w:rsidRDefault="00A64077" w:rsidP="00DE43D4">
            <w:pPr>
              <w:keepNext/>
              <w:spacing w:before="40" w:after="40"/>
              <w:rPr>
                <w:rFonts w:ascii="Arial Narrow" w:hAnsi="Arial Narrow" w:cs="Arial"/>
                <w:sz w:val="20"/>
                <w:szCs w:val="20"/>
              </w:rPr>
            </w:pPr>
          </w:p>
        </w:tc>
      </w:tr>
      <w:tr w:rsidR="00A64077" w:rsidTr="00680777">
        <w:trPr>
          <w:trHeight w:val="20"/>
          <w:jc w:val="center"/>
        </w:trPr>
        <w:tc>
          <w:tcPr>
            <w:tcW w:w="1249" w:type="pct"/>
            <w:vMerge/>
            <w:tcBorders>
              <w:left w:val="single" w:sz="5" w:space="0" w:color="000000"/>
              <w:bottom w:val="single" w:sz="5" w:space="0" w:color="000000"/>
              <w:right w:val="single" w:sz="5" w:space="0" w:color="000000"/>
            </w:tcBorders>
          </w:tcPr>
          <w:p w:rsidR="00A64077" w:rsidRPr="006217C8" w:rsidRDefault="00A64077" w:rsidP="00DE43D4">
            <w:pPr>
              <w:keepNext/>
              <w:spacing w:before="40" w:after="40"/>
              <w:rPr>
                <w:rFonts w:ascii="Arial Narrow" w:hAnsi="Arial Narrow" w:cs="Arial"/>
                <w:sz w:val="20"/>
                <w:szCs w:val="20"/>
              </w:rPr>
            </w:pPr>
          </w:p>
        </w:tc>
        <w:tc>
          <w:tcPr>
            <w:tcW w:w="1252" w:type="pct"/>
            <w:tcBorders>
              <w:top w:val="single" w:sz="5" w:space="0" w:color="000000"/>
              <w:left w:val="single" w:sz="5" w:space="0" w:color="000000"/>
              <w:bottom w:val="single" w:sz="5" w:space="0" w:color="000000"/>
              <w:right w:val="single" w:sz="5" w:space="0" w:color="000000"/>
            </w:tcBorders>
          </w:tcPr>
          <w:p w:rsidR="00A64077" w:rsidRPr="006217C8" w:rsidRDefault="00A64077" w:rsidP="00DE43D4">
            <w:pPr>
              <w:pStyle w:val="TableParagraph"/>
              <w:keepNext/>
              <w:spacing w:before="40" w:after="40"/>
              <w:ind w:left="102" w:right="191"/>
              <w:rPr>
                <w:rFonts w:ascii="Arial Narrow" w:eastAsia="Times New Roman" w:hAnsi="Arial Narrow" w:cs="Arial"/>
                <w:sz w:val="20"/>
                <w:szCs w:val="20"/>
              </w:rPr>
            </w:pPr>
            <w:r w:rsidRPr="006217C8">
              <w:rPr>
                <w:rFonts w:ascii="Arial Narrow" w:hAnsi="Arial Narrow" w:cs="Arial"/>
                <w:spacing w:val="-1"/>
                <w:sz w:val="20"/>
                <w:szCs w:val="20"/>
              </w:rPr>
              <w:t>Aboriginal</w:t>
            </w:r>
            <w:r w:rsidRPr="006217C8">
              <w:rPr>
                <w:rFonts w:ascii="Arial Narrow" w:hAnsi="Arial Narrow" w:cs="Arial"/>
                <w:spacing w:val="-9"/>
                <w:sz w:val="20"/>
                <w:szCs w:val="20"/>
              </w:rPr>
              <w:t xml:space="preserve"> </w:t>
            </w:r>
            <w:r w:rsidRPr="006217C8">
              <w:rPr>
                <w:rFonts w:ascii="Arial Narrow" w:hAnsi="Arial Narrow" w:cs="Arial"/>
                <w:sz w:val="20"/>
                <w:szCs w:val="20"/>
              </w:rPr>
              <w:t>and</w:t>
            </w:r>
            <w:r w:rsidRPr="006217C8">
              <w:rPr>
                <w:rFonts w:ascii="Arial Narrow" w:hAnsi="Arial Narrow" w:cs="Arial"/>
                <w:spacing w:val="-7"/>
                <w:sz w:val="20"/>
                <w:szCs w:val="20"/>
              </w:rPr>
              <w:t xml:space="preserve"> </w:t>
            </w:r>
            <w:r w:rsidRPr="006217C8">
              <w:rPr>
                <w:rFonts w:ascii="Arial Narrow" w:hAnsi="Arial Narrow" w:cs="Arial"/>
                <w:sz w:val="20"/>
                <w:szCs w:val="20"/>
              </w:rPr>
              <w:t>Torres</w:t>
            </w:r>
            <w:r w:rsidRPr="006217C8">
              <w:rPr>
                <w:rFonts w:ascii="Arial Narrow" w:hAnsi="Arial Narrow" w:cs="Arial"/>
                <w:spacing w:val="27"/>
                <w:w w:val="99"/>
                <w:sz w:val="20"/>
                <w:szCs w:val="20"/>
              </w:rPr>
              <w:t xml:space="preserve"> </w:t>
            </w:r>
            <w:r w:rsidRPr="006217C8">
              <w:rPr>
                <w:rFonts w:ascii="Arial Narrow" w:hAnsi="Arial Narrow" w:cs="Arial"/>
                <w:spacing w:val="-1"/>
                <w:sz w:val="20"/>
                <w:szCs w:val="20"/>
              </w:rPr>
              <w:t>Strait</w:t>
            </w:r>
            <w:r w:rsidRPr="006217C8">
              <w:rPr>
                <w:rFonts w:ascii="Arial Narrow" w:hAnsi="Arial Narrow" w:cs="Arial"/>
                <w:spacing w:val="-7"/>
                <w:sz w:val="20"/>
                <w:szCs w:val="20"/>
              </w:rPr>
              <w:t xml:space="preserve"> </w:t>
            </w:r>
            <w:r w:rsidRPr="006217C8">
              <w:rPr>
                <w:rFonts w:ascii="Arial Narrow" w:hAnsi="Arial Narrow" w:cs="Arial"/>
                <w:spacing w:val="-1"/>
                <w:sz w:val="20"/>
                <w:szCs w:val="20"/>
              </w:rPr>
              <w:t>Islander</w:t>
            </w:r>
            <w:r w:rsidRPr="006217C8">
              <w:rPr>
                <w:rFonts w:ascii="Arial Narrow" w:hAnsi="Arial Narrow" w:cs="Arial"/>
                <w:spacing w:val="-5"/>
                <w:sz w:val="20"/>
                <w:szCs w:val="20"/>
              </w:rPr>
              <w:t xml:space="preserve"> </w:t>
            </w:r>
            <w:r w:rsidRPr="006217C8">
              <w:rPr>
                <w:rFonts w:ascii="Arial Narrow" w:hAnsi="Arial Narrow" w:cs="Arial"/>
                <w:sz w:val="20"/>
                <w:szCs w:val="20"/>
              </w:rPr>
              <w:t>children</w:t>
            </w:r>
            <w:r w:rsidRPr="006217C8">
              <w:rPr>
                <w:rFonts w:ascii="Arial Narrow" w:hAnsi="Arial Narrow" w:cs="Arial"/>
                <w:spacing w:val="-7"/>
                <w:sz w:val="20"/>
                <w:szCs w:val="20"/>
              </w:rPr>
              <w:t xml:space="preserve"> </w:t>
            </w:r>
            <w:r w:rsidRPr="006217C8">
              <w:rPr>
                <w:rFonts w:ascii="Arial Narrow" w:hAnsi="Arial Narrow" w:cs="Arial"/>
                <w:spacing w:val="-1"/>
                <w:sz w:val="20"/>
                <w:szCs w:val="20"/>
              </w:rPr>
              <w:t>in</w:t>
            </w:r>
            <w:r w:rsidRPr="006217C8">
              <w:rPr>
                <w:rFonts w:ascii="Arial Narrow" w:hAnsi="Arial Narrow" w:cs="Arial"/>
                <w:spacing w:val="28"/>
                <w:w w:val="99"/>
                <w:sz w:val="20"/>
                <w:szCs w:val="20"/>
              </w:rPr>
              <w:t xml:space="preserve"> </w:t>
            </w:r>
            <w:r w:rsidRPr="006217C8">
              <w:rPr>
                <w:rFonts w:ascii="Arial Narrow" w:hAnsi="Arial Narrow" w:cs="Arial"/>
                <w:spacing w:val="1"/>
                <w:sz w:val="20"/>
                <w:szCs w:val="20"/>
              </w:rPr>
              <w:t>NT,</w:t>
            </w:r>
            <w:r w:rsidRPr="006217C8">
              <w:rPr>
                <w:rFonts w:ascii="Arial Narrow" w:hAnsi="Arial Narrow" w:cs="Arial"/>
                <w:spacing w:val="-4"/>
                <w:sz w:val="20"/>
                <w:szCs w:val="20"/>
              </w:rPr>
              <w:t xml:space="preserve"> </w:t>
            </w:r>
            <w:r w:rsidRPr="006217C8">
              <w:rPr>
                <w:rFonts w:ascii="Arial Narrow" w:hAnsi="Arial Narrow" w:cs="Arial"/>
                <w:spacing w:val="-1"/>
                <w:sz w:val="20"/>
                <w:szCs w:val="20"/>
              </w:rPr>
              <w:t>QLD,</w:t>
            </w:r>
            <w:r w:rsidRPr="006217C8">
              <w:rPr>
                <w:rFonts w:ascii="Arial Narrow" w:hAnsi="Arial Narrow" w:cs="Arial"/>
                <w:spacing w:val="-4"/>
                <w:sz w:val="20"/>
                <w:szCs w:val="20"/>
              </w:rPr>
              <w:t xml:space="preserve"> </w:t>
            </w:r>
            <w:r w:rsidRPr="006217C8">
              <w:rPr>
                <w:rFonts w:ascii="Arial Narrow" w:hAnsi="Arial Narrow" w:cs="Arial"/>
                <w:spacing w:val="-1"/>
                <w:sz w:val="20"/>
                <w:szCs w:val="20"/>
              </w:rPr>
              <w:t>SA</w:t>
            </w:r>
            <w:r w:rsidRPr="006217C8">
              <w:rPr>
                <w:rFonts w:ascii="Arial Narrow" w:hAnsi="Arial Narrow" w:cs="Arial"/>
                <w:spacing w:val="-6"/>
                <w:sz w:val="20"/>
                <w:szCs w:val="20"/>
              </w:rPr>
              <w:t xml:space="preserve"> </w:t>
            </w:r>
            <w:r w:rsidRPr="006217C8">
              <w:rPr>
                <w:rFonts w:ascii="Arial Narrow" w:hAnsi="Arial Narrow" w:cs="Arial"/>
                <w:sz w:val="20"/>
                <w:szCs w:val="20"/>
              </w:rPr>
              <w:t>or</w:t>
            </w:r>
            <w:r w:rsidRPr="006217C8">
              <w:rPr>
                <w:rFonts w:ascii="Arial Narrow" w:hAnsi="Arial Narrow" w:cs="Arial"/>
                <w:spacing w:val="-3"/>
                <w:sz w:val="20"/>
                <w:szCs w:val="20"/>
              </w:rPr>
              <w:t xml:space="preserve"> </w:t>
            </w:r>
            <w:r w:rsidRPr="006217C8">
              <w:rPr>
                <w:rFonts w:ascii="Arial Narrow" w:hAnsi="Arial Narrow" w:cs="Arial"/>
                <w:spacing w:val="1"/>
                <w:sz w:val="20"/>
                <w:szCs w:val="20"/>
              </w:rPr>
              <w:t>WA</w:t>
            </w:r>
          </w:p>
        </w:tc>
        <w:tc>
          <w:tcPr>
            <w:tcW w:w="1249" w:type="pct"/>
            <w:gridSpan w:val="2"/>
            <w:tcBorders>
              <w:top w:val="single" w:sz="5" w:space="0" w:color="000000"/>
              <w:left w:val="single" w:sz="5" w:space="0" w:color="000000"/>
              <w:bottom w:val="single" w:sz="5" w:space="0" w:color="000000"/>
              <w:right w:val="single" w:sz="4" w:space="0" w:color="auto"/>
            </w:tcBorders>
          </w:tcPr>
          <w:p w:rsidR="00A64077" w:rsidRPr="006217C8" w:rsidRDefault="00A64077" w:rsidP="00DE43D4">
            <w:pPr>
              <w:pStyle w:val="TableParagraph"/>
              <w:keepNext/>
              <w:spacing w:before="40" w:after="40"/>
              <w:ind w:left="423" w:right="420"/>
              <w:jc w:val="center"/>
              <w:rPr>
                <w:rFonts w:ascii="Arial Narrow" w:eastAsia="Times New Roman" w:hAnsi="Arial Narrow" w:cs="Arial"/>
                <w:sz w:val="20"/>
                <w:szCs w:val="20"/>
              </w:rPr>
            </w:pPr>
            <w:r w:rsidRPr="006217C8">
              <w:rPr>
                <w:rFonts w:ascii="Arial Narrow" w:hAnsi="Arial Narrow" w:cs="Arial"/>
                <w:sz w:val="20"/>
                <w:szCs w:val="20"/>
              </w:rPr>
              <w:t>3+1</w:t>
            </w:r>
          </w:p>
          <w:p w:rsidR="00A64077" w:rsidRPr="006217C8" w:rsidRDefault="00A64077" w:rsidP="00DE43D4">
            <w:pPr>
              <w:pStyle w:val="TableParagraph"/>
              <w:keepNext/>
              <w:spacing w:before="40" w:after="40"/>
              <w:ind w:left="129" w:right="128"/>
              <w:jc w:val="center"/>
              <w:rPr>
                <w:rFonts w:ascii="Arial Narrow" w:eastAsia="Times New Roman" w:hAnsi="Arial Narrow" w:cs="Arial"/>
                <w:sz w:val="20"/>
                <w:szCs w:val="20"/>
              </w:rPr>
            </w:pPr>
            <w:r w:rsidRPr="006217C8">
              <w:rPr>
                <w:rFonts w:ascii="Arial Narrow" w:eastAsia="Times New Roman" w:hAnsi="Arial Narrow" w:cs="Arial"/>
                <w:sz w:val="20"/>
                <w:szCs w:val="20"/>
              </w:rPr>
              <w:t>(2,</w:t>
            </w:r>
            <w:r w:rsidRPr="006217C8">
              <w:rPr>
                <w:rFonts w:ascii="Arial Narrow" w:eastAsia="Times New Roman" w:hAnsi="Arial Narrow" w:cs="Arial"/>
                <w:spacing w:val="-3"/>
                <w:sz w:val="20"/>
                <w:szCs w:val="20"/>
              </w:rPr>
              <w:t xml:space="preserve"> </w:t>
            </w:r>
            <w:r w:rsidRPr="006217C8">
              <w:rPr>
                <w:rFonts w:ascii="Arial Narrow" w:eastAsia="Times New Roman" w:hAnsi="Arial Narrow" w:cs="Arial"/>
                <w:sz w:val="20"/>
                <w:szCs w:val="20"/>
              </w:rPr>
              <w:t>4,</w:t>
            </w:r>
            <w:r w:rsidRPr="006217C8">
              <w:rPr>
                <w:rFonts w:ascii="Arial Narrow" w:eastAsia="Times New Roman" w:hAnsi="Arial Narrow" w:cs="Arial"/>
                <w:spacing w:val="-6"/>
                <w:sz w:val="20"/>
                <w:szCs w:val="20"/>
              </w:rPr>
              <w:t xml:space="preserve"> </w:t>
            </w:r>
            <w:r w:rsidRPr="006217C8">
              <w:rPr>
                <w:rFonts w:ascii="Arial Narrow" w:eastAsia="Times New Roman" w:hAnsi="Arial Narrow" w:cs="Arial"/>
                <w:sz w:val="20"/>
                <w:szCs w:val="20"/>
              </w:rPr>
              <w:t>6</w:t>
            </w:r>
            <w:r w:rsidRPr="006217C8">
              <w:rPr>
                <w:rFonts w:ascii="Arial Narrow" w:eastAsia="Times New Roman" w:hAnsi="Arial Narrow" w:cs="Arial"/>
                <w:spacing w:val="-3"/>
                <w:sz w:val="20"/>
                <w:szCs w:val="20"/>
              </w:rPr>
              <w:t xml:space="preserve"> </w:t>
            </w:r>
            <w:r w:rsidRPr="006217C8">
              <w:rPr>
                <w:rFonts w:ascii="Arial Narrow" w:eastAsia="Times New Roman" w:hAnsi="Arial Narrow" w:cs="Arial"/>
                <w:spacing w:val="-1"/>
                <w:sz w:val="20"/>
                <w:szCs w:val="20"/>
              </w:rPr>
              <w:t>and</w:t>
            </w:r>
            <w:r w:rsidRPr="006217C8">
              <w:rPr>
                <w:rFonts w:ascii="Arial Narrow" w:eastAsia="Times New Roman" w:hAnsi="Arial Narrow" w:cs="Arial"/>
                <w:spacing w:val="-3"/>
                <w:sz w:val="20"/>
                <w:szCs w:val="20"/>
              </w:rPr>
              <w:t xml:space="preserve"> </w:t>
            </w:r>
            <w:r w:rsidRPr="006217C8">
              <w:rPr>
                <w:rFonts w:ascii="Arial Narrow" w:eastAsia="Times New Roman" w:hAnsi="Arial Narrow" w:cs="Arial"/>
                <w:spacing w:val="-1"/>
                <w:sz w:val="20"/>
                <w:szCs w:val="20"/>
              </w:rPr>
              <w:t>12–18</w:t>
            </w:r>
            <w:r w:rsidRPr="006217C8">
              <w:rPr>
                <w:rFonts w:ascii="Arial Narrow" w:eastAsia="Times New Roman" w:hAnsi="Arial Narrow" w:cs="Arial"/>
                <w:spacing w:val="-3"/>
                <w:sz w:val="20"/>
                <w:szCs w:val="20"/>
              </w:rPr>
              <w:t xml:space="preserve"> </w:t>
            </w:r>
            <w:r w:rsidRPr="006217C8">
              <w:rPr>
                <w:rFonts w:ascii="Arial Narrow" w:eastAsia="Times New Roman" w:hAnsi="Arial Narrow" w:cs="Arial"/>
                <w:spacing w:val="-1"/>
                <w:sz w:val="20"/>
                <w:szCs w:val="20"/>
              </w:rPr>
              <w:t>months)</w:t>
            </w:r>
          </w:p>
        </w:tc>
        <w:tc>
          <w:tcPr>
            <w:tcW w:w="1250" w:type="pct"/>
            <w:tcBorders>
              <w:top w:val="single" w:sz="4" w:space="0" w:color="auto"/>
              <w:left w:val="single" w:sz="4" w:space="0" w:color="auto"/>
              <w:bottom w:val="single" w:sz="4" w:space="0" w:color="auto"/>
              <w:right w:val="single" w:sz="4" w:space="0" w:color="auto"/>
            </w:tcBorders>
          </w:tcPr>
          <w:p w:rsidR="00A64077" w:rsidRPr="006217C8" w:rsidRDefault="00A64077" w:rsidP="00DE43D4">
            <w:pPr>
              <w:pStyle w:val="TableParagraph"/>
              <w:keepNext/>
              <w:spacing w:before="40" w:after="40"/>
              <w:ind w:left="951" w:right="952"/>
              <w:jc w:val="center"/>
              <w:rPr>
                <w:rFonts w:ascii="Arial Narrow" w:eastAsia="Times New Roman" w:hAnsi="Arial Narrow" w:cs="Arial"/>
                <w:sz w:val="20"/>
                <w:szCs w:val="20"/>
              </w:rPr>
            </w:pPr>
            <w:r w:rsidRPr="006217C8">
              <w:rPr>
                <w:rFonts w:ascii="Arial Narrow" w:hAnsi="Arial Narrow" w:cs="Arial"/>
                <w:sz w:val="20"/>
                <w:szCs w:val="20"/>
              </w:rPr>
              <w:t>3+1</w:t>
            </w:r>
          </w:p>
          <w:p w:rsidR="00A64077" w:rsidRPr="006217C8" w:rsidRDefault="00A64077" w:rsidP="00DE43D4">
            <w:pPr>
              <w:pStyle w:val="TableParagraph"/>
              <w:keepNext/>
              <w:spacing w:before="40" w:after="40"/>
              <w:ind w:left="191" w:right="193"/>
              <w:jc w:val="center"/>
              <w:rPr>
                <w:rFonts w:ascii="Arial Narrow" w:eastAsia="Times New Roman" w:hAnsi="Arial Narrow" w:cs="Arial"/>
                <w:sz w:val="20"/>
                <w:szCs w:val="20"/>
              </w:rPr>
            </w:pPr>
            <w:r w:rsidRPr="006217C8">
              <w:rPr>
                <w:rFonts w:ascii="Arial Narrow" w:hAnsi="Arial Narrow" w:cs="Arial"/>
                <w:sz w:val="20"/>
                <w:szCs w:val="20"/>
              </w:rPr>
              <w:t>(2,</w:t>
            </w:r>
            <w:r w:rsidRPr="006217C8">
              <w:rPr>
                <w:rFonts w:ascii="Arial Narrow" w:hAnsi="Arial Narrow" w:cs="Arial"/>
                <w:spacing w:val="-3"/>
                <w:sz w:val="20"/>
                <w:szCs w:val="20"/>
              </w:rPr>
              <w:t xml:space="preserve"> </w:t>
            </w:r>
            <w:r w:rsidRPr="006217C8">
              <w:rPr>
                <w:rFonts w:ascii="Arial Narrow" w:hAnsi="Arial Narrow" w:cs="Arial"/>
                <w:sz w:val="20"/>
                <w:szCs w:val="20"/>
              </w:rPr>
              <w:t>4,</w:t>
            </w:r>
            <w:r w:rsidRPr="006217C8">
              <w:rPr>
                <w:rFonts w:ascii="Arial Narrow" w:hAnsi="Arial Narrow" w:cs="Arial"/>
                <w:spacing w:val="-5"/>
                <w:sz w:val="20"/>
                <w:szCs w:val="20"/>
              </w:rPr>
              <w:t xml:space="preserve"> </w:t>
            </w:r>
            <w:r w:rsidRPr="006217C8">
              <w:rPr>
                <w:rFonts w:ascii="Arial Narrow" w:hAnsi="Arial Narrow" w:cs="Arial"/>
                <w:sz w:val="20"/>
                <w:szCs w:val="20"/>
              </w:rPr>
              <w:t>6</w:t>
            </w:r>
            <w:r w:rsidRPr="006217C8">
              <w:rPr>
                <w:rFonts w:ascii="Arial Narrow" w:hAnsi="Arial Narrow" w:cs="Arial"/>
                <w:spacing w:val="-2"/>
                <w:sz w:val="20"/>
                <w:szCs w:val="20"/>
              </w:rPr>
              <w:t xml:space="preserve"> </w:t>
            </w:r>
            <w:r w:rsidRPr="006217C8">
              <w:rPr>
                <w:rFonts w:ascii="Arial Narrow" w:hAnsi="Arial Narrow" w:cs="Arial"/>
                <w:spacing w:val="-1"/>
                <w:sz w:val="20"/>
                <w:szCs w:val="20"/>
              </w:rPr>
              <w:t>and</w:t>
            </w:r>
            <w:r w:rsidRPr="006217C8">
              <w:rPr>
                <w:rFonts w:ascii="Arial Narrow" w:hAnsi="Arial Narrow" w:cs="Arial"/>
                <w:spacing w:val="-2"/>
                <w:sz w:val="20"/>
                <w:szCs w:val="20"/>
              </w:rPr>
              <w:t xml:space="preserve"> </w:t>
            </w:r>
            <w:r w:rsidRPr="006217C8">
              <w:rPr>
                <w:rFonts w:ascii="Arial Narrow" w:hAnsi="Arial Narrow" w:cs="Arial"/>
                <w:spacing w:val="-1"/>
                <w:sz w:val="20"/>
                <w:szCs w:val="20"/>
              </w:rPr>
              <w:t>12</w:t>
            </w:r>
            <w:r w:rsidRPr="006217C8">
              <w:rPr>
                <w:rFonts w:ascii="Arial Narrow" w:hAnsi="Arial Narrow" w:cs="Arial"/>
                <w:spacing w:val="-3"/>
                <w:sz w:val="20"/>
                <w:szCs w:val="20"/>
              </w:rPr>
              <w:t xml:space="preserve"> </w:t>
            </w:r>
            <w:r w:rsidRPr="006217C8">
              <w:rPr>
                <w:rFonts w:ascii="Arial Narrow" w:hAnsi="Arial Narrow" w:cs="Arial"/>
                <w:spacing w:val="-1"/>
                <w:sz w:val="20"/>
                <w:szCs w:val="20"/>
              </w:rPr>
              <w:t>months)</w:t>
            </w:r>
          </w:p>
        </w:tc>
      </w:tr>
      <w:tr w:rsidR="00A64077" w:rsidTr="00680777">
        <w:trPr>
          <w:trHeight w:val="20"/>
          <w:jc w:val="center"/>
        </w:trPr>
        <w:tc>
          <w:tcPr>
            <w:tcW w:w="2501" w:type="pct"/>
            <w:gridSpan w:val="2"/>
            <w:tcBorders>
              <w:top w:val="single" w:sz="5" w:space="0" w:color="000000"/>
              <w:left w:val="single" w:sz="5" w:space="0" w:color="000000"/>
              <w:bottom w:val="single" w:sz="5" w:space="0" w:color="000000"/>
              <w:right w:val="single" w:sz="5" w:space="0" w:color="000000"/>
            </w:tcBorders>
          </w:tcPr>
          <w:p w:rsidR="00A64077" w:rsidRPr="006217C8" w:rsidRDefault="00A64077" w:rsidP="00DE43D4">
            <w:pPr>
              <w:pStyle w:val="TableParagraph"/>
              <w:keepNext/>
              <w:spacing w:before="40" w:after="40"/>
              <w:ind w:left="102" w:right="532"/>
              <w:rPr>
                <w:rFonts w:ascii="Arial Narrow" w:eastAsia="Times New Roman" w:hAnsi="Arial Narrow" w:cs="Arial"/>
                <w:sz w:val="20"/>
                <w:szCs w:val="20"/>
              </w:rPr>
            </w:pPr>
            <w:r w:rsidRPr="006217C8">
              <w:rPr>
                <w:rFonts w:ascii="Arial Narrow" w:hAnsi="Arial Narrow" w:cs="Arial"/>
                <w:spacing w:val="-2"/>
                <w:sz w:val="20"/>
                <w:szCs w:val="20"/>
              </w:rPr>
              <w:t>All</w:t>
            </w:r>
            <w:r w:rsidRPr="006217C8">
              <w:rPr>
                <w:rFonts w:ascii="Arial Narrow" w:hAnsi="Arial Narrow" w:cs="Arial"/>
                <w:spacing w:val="-8"/>
                <w:sz w:val="20"/>
                <w:szCs w:val="20"/>
              </w:rPr>
              <w:t xml:space="preserve"> </w:t>
            </w:r>
            <w:r w:rsidRPr="006217C8">
              <w:rPr>
                <w:rFonts w:ascii="Arial Narrow" w:hAnsi="Arial Narrow" w:cs="Arial"/>
                <w:spacing w:val="-1"/>
                <w:sz w:val="20"/>
                <w:szCs w:val="20"/>
              </w:rPr>
              <w:t>children</w:t>
            </w:r>
            <w:r w:rsidRPr="006217C8">
              <w:rPr>
                <w:rFonts w:ascii="Arial Narrow" w:hAnsi="Arial Narrow" w:cs="Arial"/>
                <w:spacing w:val="-6"/>
                <w:sz w:val="20"/>
                <w:szCs w:val="20"/>
              </w:rPr>
              <w:t xml:space="preserve"> </w:t>
            </w:r>
            <w:r w:rsidRPr="006217C8">
              <w:rPr>
                <w:rFonts w:ascii="Arial Narrow" w:hAnsi="Arial Narrow" w:cs="Arial"/>
                <w:spacing w:val="-1"/>
                <w:sz w:val="20"/>
                <w:szCs w:val="20"/>
                <w:u w:val="single" w:color="000000"/>
              </w:rPr>
              <w:t>with</w:t>
            </w:r>
            <w:r w:rsidRPr="006217C8">
              <w:rPr>
                <w:rFonts w:ascii="Arial Narrow" w:hAnsi="Arial Narrow" w:cs="Arial"/>
                <w:spacing w:val="-6"/>
                <w:sz w:val="20"/>
                <w:szCs w:val="20"/>
                <w:u w:val="single" w:color="000000"/>
              </w:rPr>
              <w:t xml:space="preserve"> </w:t>
            </w:r>
            <w:r w:rsidRPr="006217C8">
              <w:rPr>
                <w:rFonts w:ascii="Arial Narrow" w:hAnsi="Arial Narrow" w:cs="Arial"/>
                <w:spacing w:val="-1"/>
                <w:sz w:val="20"/>
                <w:szCs w:val="20"/>
              </w:rPr>
              <w:t>underlying</w:t>
            </w:r>
            <w:r w:rsidRPr="006217C8">
              <w:rPr>
                <w:rFonts w:ascii="Arial Narrow" w:hAnsi="Arial Narrow" w:cs="Arial"/>
                <w:spacing w:val="-6"/>
                <w:sz w:val="20"/>
                <w:szCs w:val="20"/>
              </w:rPr>
              <w:t xml:space="preserve"> </w:t>
            </w:r>
            <w:r w:rsidRPr="006217C8">
              <w:rPr>
                <w:rFonts w:ascii="Arial Narrow" w:hAnsi="Arial Narrow" w:cs="Arial"/>
                <w:spacing w:val="-1"/>
                <w:sz w:val="20"/>
                <w:szCs w:val="20"/>
              </w:rPr>
              <w:t>medical</w:t>
            </w:r>
            <w:r w:rsidRPr="006217C8">
              <w:rPr>
                <w:rFonts w:ascii="Arial Narrow" w:hAnsi="Arial Narrow" w:cs="Arial"/>
                <w:spacing w:val="-7"/>
                <w:sz w:val="20"/>
                <w:szCs w:val="20"/>
              </w:rPr>
              <w:t xml:space="preserve"> </w:t>
            </w:r>
            <w:r w:rsidRPr="006217C8">
              <w:rPr>
                <w:rFonts w:ascii="Arial Narrow" w:hAnsi="Arial Narrow" w:cs="Arial"/>
                <w:sz w:val="20"/>
                <w:szCs w:val="20"/>
              </w:rPr>
              <w:t>conditions</w:t>
            </w:r>
            <w:r w:rsidRPr="006217C8">
              <w:rPr>
                <w:rFonts w:ascii="Arial Narrow" w:hAnsi="Arial Narrow" w:cs="Arial"/>
                <w:spacing w:val="50"/>
                <w:w w:val="99"/>
                <w:sz w:val="20"/>
                <w:szCs w:val="20"/>
              </w:rPr>
              <w:t xml:space="preserve"> </w:t>
            </w:r>
            <w:r w:rsidRPr="006217C8">
              <w:rPr>
                <w:rFonts w:ascii="Arial Narrow" w:hAnsi="Arial Narrow" w:cs="Arial"/>
                <w:spacing w:val="-1"/>
                <w:sz w:val="20"/>
                <w:szCs w:val="20"/>
              </w:rPr>
              <w:t>associated</w:t>
            </w:r>
            <w:r w:rsidRPr="006217C8">
              <w:rPr>
                <w:rFonts w:ascii="Arial Narrow" w:hAnsi="Arial Narrow" w:cs="Arial"/>
                <w:spacing w:val="-2"/>
                <w:sz w:val="20"/>
                <w:szCs w:val="20"/>
              </w:rPr>
              <w:t xml:space="preserve"> with</w:t>
            </w:r>
            <w:r w:rsidRPr="006217C8">
              <w:rPr>
                <w:rFonts w:ascii="Arial Narrow" w:hAnsi="Arial Narrow" w:cs="Arial"/>
                <w:spacing w:val="-7"/>
                <w:sz w:val="20"/>
                <w:szCs w:val="20"/>
              </w:rPr>
              <w:t xml:space="preserve"> </w:t>
            </w:r>
            <w:r w:rsidRPr="006217C8">
              <w:rPr>
                <w:rFonts w:ascii="Arial Narrow" w:hAnsi="Arial Narrow" w:cs="Arial"/>
                <w:spacing w:val="-1"/>
                <w:sz w:val="20"/>
                <w:szCs w:val="20"/>
              </w:rPr>
              <w:t>increased</w:t>
            </w:r>
            <w:r w:rsidRPr="006217C8">
              <w:rPr>
                <w:rFonts w:ascii="Arial Narrow" w:hAnsi="Arial Narrow" w:cs="Arial"/>
                <w:spacing w:val="-5"/>
                <w:sz w:val="20"/>
                <w:szCs w:val="20"/>
              </w:rPr>
              <w:t xml:space="preserve"> </w:t>
            </w:r>
            <w:r w:rsidRPr="006217C8">
              <w:rPr>
                <w:rFonts w:ascii="Arial Narrow" w:hAnsi="Arial Narrow" w:cs="Arial"/>
                <w:sz w:val="20"/>
                <w:szCs w:val="20"/>
              </w:rPr>
              <w:t>risk</w:t>
            </w:r>
            <w:r w:rsidRPr="006217C8">
              <w:rPr>
                <w:rFonts w:ascii="Arial Narrow" w:hAnsi="Arial Narrow" w:cs="Arial"/>
                <w:spacing w:val="-4"/>
                <w:sz w:val="20"/>
                <w:szCs w:val="20"/>
              </w:rPr>
              <w:t xml:space="preserve"> </w:t>
            </w:r>
            <w:r w:rsidRPr="006217C8">
              <w:rPr>
                <w:rFonts w:ascii="Arial Narrow" w:hAnsi="Arial Narrow" w:cs="Arial"/>
                <w:sz w:val="20"/>
                <w:szCs w:val="20"/>
              </w:rPr>
              <w:t>of</w:t>
            </w:r>
            <w:r w:rsidRPr="006217C8">
              <w:rPr>
                <w:rFonts w:ascii="Arial Narrow" w:hAnsi="Arial Narrow" w:cs="Arial"/>
                <w:spacing w:val="-8"/>
                <w:sz w:val="20"/>
                <w:szCs w:val="20"/>
              </w:rPr>
              <w:t xml:space="preserve"> </w:t>
            </w:r>
            <w:r w:rsidRPr="006217C8">
              <w:rPr>
                <w:rFonts w:ascii="Arial Narrow" w:hAnsi="Arial Narrow" w:cs="Arial"/>
                <w:sz w:val="20"/>
                <w:szCs w:val="20"/>
              </w:rPr>
              <w:t>IPD</w:t>
            </w:r>
            <w:r w:rsidRPr="006217C8">
              <w:rPr>
                <w:rFonts w:ascii="Arial Narrow" w:hAnsi="Arial Narrow" w:cs="Arial"/>
                <w:spacing w:val="-5"/>
                <w:sz w:val="20"/>
                <w:szCs w:val="20"/>
              </w:rPr>
              <w:t xml:space="preserve"> </w:t>
            </w:r>
            <w:r>
              <w:rPr>
                <w:rFonts w:ascii="Arial Narrow" w:hAnsi="Arial Narrow" w:cs="Arial"/>
                <w:spacing w:val="-5"/>
                <w:sz w:val="20"/>
                <w:szCs w:val="20"/>
              </w:rPr>
              <w:t>(Attachment A of ATAGI’s Public Consultant Document)</w:t>
            </w:r>
          </w:p>
        </w:tc>
        <w:tc>
          <w:tcPr>
            <w:tcW w:w="1243" w:type="pct"/>
            <w:tcBorders>
              <w:top w:val="single" w:sz="5" w:space="0" w:color="000000"/>
              <w:left w:val="single" w:sz="5" w:space="0" w:color="000000"/>
              <w:bottom w:val="single" w:sz="5" w:space="0" w:color="000000"/>
              <w:right w:val="single" w:sz="4" w:space="0" w:color="auto"/>
            </w:tcBorders>
          </w:tcPr>
          <w:p w:rsidR="00A64077" w:rsidRPr="006217C8" w:rsidRDefault="00A64077" w:rsidP="00DE43D4">
            <w:pPr>
              <w:pStyle w:val="TableParagraph"/>
              <w:keepNext/>
              <w:spacing w:before="40" w:after="40"/>
              <w:ind w:left="423" w:right="420"/>
              <w:jc w:val="center"/>
              <w:rPr>
                <w:rFonts w:ascii="Arial Narrow" w:eastAsia="Times New Roman" w:hAnsi="Arial Narrow" w:cs="Arial"/>
                <w:sz w:val="20"/>
                <w:szCs w:val="20"/>
              </w:rPr>
            </w:pPr>
            <w:r w:rsidRPr="006217C8">
              <w:rPr>
                <w:rFonts w:ascii="Arial Narrow" w:hAnsi="Arial Narrow" w:cs="Arial"/>
                <w:sz w:val="20"/>
                <w:szCs w:val="20"/>
              </w:rPr>
              <w:t>3+1</w:t>
            </w:r>
          </w:p>
          <w:p w:rsidR="00A64077" w:rsidRPr="006217C8" w:rsidRDefault="00A64077" w:rsidP="00DE43D4">
            <w:pPr>
              <w:pStyle w:val="TableParagraph"/>
              <w:keepNext/>
              <w:spacing w:before="40" w:after="40"/>
              <w:ind w:left="127" w:right="128"/>
              <w:jc w:val="center"/>
              <w:rPr>
                <w:rFonts w:ascii="Arial Narrow" w:eastAsia="Times New Roman" w:hAnsi="Arial Narrow" w:cs="Arial"/>
                <w:sz w:val="20"/>
                <w:szCs w:val="20"/>
              </w:rPr>
            </w:pPr>
            <w:r w:rsidRPr="006217C8">
              <w:rPr>
                <w:rFonts w:ascii="Arial Narrow" w:hAnsi="Arial Narrow" w:cs="Arial"/>
                <w:sz w:val="20"/>
                <w:szCs w:val="20"/>
              </w:rPr>
              <w:t>(2,</w:t>
            </w:r>
            <w:r w:rsidRPr="006217C8">
              <w:rPr>
                <w:rFonts w:ascii="Arial Narrow" w:hAnsi="Arial Narrow" w:cs="Arial"/>
                <w:spacing w:val="-3"/>
                <w:sz w:val="20"/>
                <w:szCs w:val="20"/>
              </w:rPr>
              <w:t xml:space="preserve"> </w:t>
            </w:r>
            <w:r w:rsidRPr="006217C8">
              <w:rPr>
                <w:rFonts w:ascii="Arial Narrow" w:hAnsi="Arial Narrow" w:cs="Arial"/>
                <w:sz w:val="20"/>
                <w:szCs w:val="20"/>
              </w:rPr>
              <w:t>4,</w:t>
            </w:r>
            <w:r w:rsidRPr="006217C8">
              <w:rPr>
                <w:rFonts w:ascii="Arial Narrow" w:hAnsi="Arial Narrow" w:cs="Arial"/>
                <w:spacing w:val="-5"/>
                <w:sz w:val="20"/>
                <w:szCs w:val="20"/>
              </w:rPr>
              <w:t xml:space="preserve"> </w:t>
            </w:r>
            <w:r w:rsidRPr="006217C8">
              <w:rPr>
                <w:rFonts w:ascii="Arial Narrow" w:hAnsi="Arial Narrow" w:cs="Arial"/>
                <w:sz w:val="20"/>
                <w:szCs w:val="20"/>
              </w:rPr>
              <w:t>6</w:t>
            </w:r>
            <w:r w:rsidRPr="006217C8">
              <w:rPr>
                <w:rFonts w:ascii="Arial Narrow" w:hAnsi="Arial Narrow" w:cs="Arial"/>
                <w:spacing w:val="-2"/>
                <w:sz w:val="20"/>
                <w:szCs w:val="20"/>
              </w:rPr>
              <w:t xml:space="preserve"> </w:t>
            </w:r>
            <w:r w:rsidRPr="006217C8">
              <w:rPr>
                <w:rFonts w:ascii="Arial Narrow" w:hAnsi="Arial Narrow" w:cs="Arial"/>
                <w:spacing w:val="-1"/>
                <w:sz w:val="20"/>
                <w:szCs w:val="20"/>
              </w:rPr>
              <w:t>and</w:t>
            </w:r>
            <w:r w:rsidRPr="006217C8">
              <w:rPr>
                <w:rFonts w:ascii="Arial Narrow" w:hAnsi="Arial Narrow" w:cs="Arial"/>
                <w:spacing w:val="-2"/>
                <w:sz w:val="20"/>
                <w:szCs w:val="20"/>
              </w:rPr>
              <w:t xml:space="preserve"> </w:t>
            </w:r>
            <w:r w:rsidRPr="006217C8">
              <w:rPr>
                <w:rFonts w:ascii="Arial Narrow" w:hAnsi="Arial Narrow" w:cs="Arial"/>
                <w:spacing w:val="-1"/>
                <w:sz w:val="20"/>
                <w:szCs w:val="20"/>
              </w:rPr>
              <w:t>12</w:t>
            </w:r>
            <w:r w:rsidRPr="006217C8">
              <w:rPr>
                <w:rFonts w:ascii="Arial Narrow" w:hAnsi="Arial Narrow" w:cs="Arial"/>
                <w:spacing w:val="-3"/>
                <w:sz w:val="20"/>
                <w:szCs w:val="20"/>
              </w:rPr>
              <w:t xml:space="preserve"> </w:t>
            </w:r>
            <w:r w:rsidRPr="006217C8">
              <w:rPr>
                <w:rFonts w:ascii="Arial Narrow" w:hAnsi="Arial Narrow" w:cs="Arial"/>
                <w:spacing w:val="-1"/>
                <w:sz w:val="20"/>
                <w:szCs w:val="20"/>
              </w:rPr>
              <w:t>months)</w:t>
            </w:r>
          </w:p>
        </w:tc>
        <w:tc>
          <w:tcPr>
            <w:tcW w:w="1256" w:type="pct"/>
            <w:gridSpan w:val="2"/>
            <w:tcBorders>
              <w:top w:val="single" w:sz="4" w:space="0" w:color="auto"/>
              <w:left w:val="single" w:sz="4" w:space="0" w:color="auto"/>
              <w:bottom w:val="single" w:sz="4" w:space="0" w:color="auto"/>
              <w:right w:val="single" w:sz="4" w:space="0" w:color="auto"/>
            </w:tcBorders>
          </w:tcPr>
          <w:p w:rsidR="00A64077" w:rsidRPr="006217C8" w:rsidRDefault="00A64077" w:rsidP="00DE43D4">
            <w:pPr>
              <w:pStyle w:val="TableParagraph"/>
              <w:keepNext/>
              <w:spacing w:before="40" w:after="40"/>
              <w:ind w:left="951" w:right="952"/>
              <w:jc w:val="center"/>
              <w:rPr>
                <w:rFonts w:ascii="Arial Narrow" w:eastAsia="Times New Roman" w:hAnsi="Arial Narrow" w:cs="Arial"/>
                <w:sz w:val="20"/>
                <w:szCs w:val="20"/>
              </w:rPr>
            </w:pPr>
            <w:r w:rsidRPr="006217C8">
              <w:rPr>
                <w:rFonts w:ascii="Arial Narrow" w:hAnsi="Arial Narrow" w:cs="Arial"/>
                <w:sz w:val="20"/>
                <w:szCs w:val="20"/>
              </w:rPr>
              <w:t>3+1</w:t>
            </w:r>
          </w:p>
          <w:p w:rsidR="00A64077" w:rsidRPr="006217C8" w:rsidRDefault="00A64077" w:rsidP="00DE43D4">
            <w:pPr>
              <w:pStyle w:val="TableParagraph"/>
              <w:keepNext/>
              <w:spacing w:before="40" w:after="40"/>
              <w:ind w:left="191" w:right="193"/>
              <w:jc w:val="center"/>
              <w:rPr>
                <w:rFonts w:ascii="Arial Narrow" w:eastAsia="Times New Roman" w:hAnsi="Arial Narrow" w:cs="Arial"/>
                <w:sz w:val="20"/>
                <w:szCs w:val="20"/>
              </w:rPr>
            </w:pPr>
            <w:r w:rsidRPr="006217C8">
              <w:rPr>
                <w:rFonts w:ascii="Arial Narrow" w:hAnsi="Arial Narrow" w:cs="Arial"/>
                <w:sz w:val="20"/>
                <w:szCs w:val="20"/>
              </w:rPr>
              <w:t>(2,</w:t>
            </w:r>
            <w:r w:rsidRPr="006217C8">
              <w:rPr>
                <w:rFonts w:ascii="Arial Narrow" w:hAnsi="Arial Narrow" w:cs="Arial"/>
                <w:spacing w:val="-3"/>
                <w:sz w:val="20"/>
                <w:szCs w:val="20"/>
              </w:rPr>
              <w:t xml:space="preserve"> </w:t>
            </w:r>
            <w:r w:rsidRPr="006217C8">
              <w:rPr>
                <w:rFonts w:ascii="Arial Narrow" w:hAnsi="Arial Narrow" w:cs="Arial"/>
                <w:sz w:val="20"/>
                <w:szCs w:val="20"/>
              </w:rPr>
              <w:t>4,</w:t>
            </w:r>
            <w:r w:rsidRPr="006217C8">
              <w:rPr>
                <w:rFonts w:ascii="Arial Narrow" w:hAnsi="Arial Narrow" w:cs="Arial"/>
                <w:spacing w:val="-5"/>
                <w:sz w:val="20"/>
                <w:szCs w:val="20"/>
              </w:rPr>
              <w:t xml:space="preserve"> </w:t>
            </w:r>
            <w:r w:rsidRPr="006217C8">
              <w:rPr>
                <w:rFonts w:ascii="Arial Narrow" w:hAnsi="Arial Narrow" w:cs="Arial"/>
                <w:sz w:val="20"/>
                <w:szCs w:val="20"/>
              </w:rPr>
              <w:t>6</w:t>
            </w:r>
            <w:r w:rsidRPr="006217C8">
              <w:rPr>
                <w:rFonts w:ascii="Arial Narrow" w:hAnsi="Arial Narrow" w:cs="Arial"/>
                <w:spacing w:val="-2"/>
                <w:sz w:val="20"/>
                <w:szCs w:val="20"/>
              </w:rPr>
              <w:t xml:space="preserve"> </w:t>
            </w:r>
            <w:r w:rsidRPr="006217C8">
              <w:rPr>
                <w:rFonts w:ascii="Arial Narrow" w:hAnsi="Arial Narrow" w:cs="Arial"/>
                <w:spacing w:val="-1"/>
                <w:sz w:val="20"/>
                <w:szCs w:val="20"/>
              </w:rPr>
              <w:t>and</w:t>
            </w:r>
            <w:r w:rsidRPr="006217C8">
              <w:rPr>
                <w:rFonts w:ascii="Arial Narrow" w:hAnsi="Arial Narrow" w:cs="Arial"/>
                <w:spacing w:val="-2"/>
                <w:sz w:val="20"/>
                <w:szCs w:val="20"/>
              </w:rPr>
              <w:t xml:space="preserve"> </w:t>
            </w:r>
            <w:r w:rsidRPr="006217C8">
              <w:rPr>
                <w:rFonts w:ascii="Arial Narrow" w:hAnsi="Arial Narrow" w:cs="Arial"/>
                <w:spacing w:val="-1"/>
                <w:sz w:val="20"/>
                <w:szCs w:val="20"/>
              </w:rPr>
              <w:t>12</w:t>
            </w:r>
            <w:r w:rsidRPr="006217C8">
              <w:rPr>
                <w:rFonts w:ascii="Arial Narrow" w:hAnsi="Arial Narrow" w:cs="Arial"/>
                <w:spacing w:val="-3"/>
                <w:sz w:val="20"/>
                <w:szCs w:val="20"/>
              </w:rPr>
              <w:t xml:space="preserve"> </w:t>
            </w:r>
            <w:r w:rsidRPr="006217C8">
              <w:rPr>
                <w:rFonts w:ascii="Arial Narrow" w:hAnsi="Arial Narrow" w:cs="Arial"/>
                <w:spacing w:val="-1"/>
                <w:sz w:val="20"/>
                <w:szCs w:val="20"/>
              </w:rPr>
              <w:t>months)</w:t>
            </w:r>
          </w:p>
        </w:tc>
      </w:tr>
    </w:tbl>
    <w:p w:rsidR="00DE43D4" w:rsidRPr="00DE43D4" w:rsidRDefault="00DE43D4" w:rsidP="00DE43D4">
      <w:pPr>
        <w:pStyle w:val="Default"/>
        <w:spacing w:before="60" w:after="240"/>
        <w:rPr>
          <w:rFonts w:ascii="Arial Narrow" w:hAnsi="Arial Narrow" w:cs="Arial"/>
          <w:bCs/>
          <w:sz w:val="18"/>
          <w:szCs w:val="18"/>
        </w:rPr>
      </w:pPr>
      <w:r w:rsidRPr="00DE43D4">
        <w:rPr>
          <w:rFonts w:ascii="Arial Narrow" w:hAnsi="Arial Narrow" w:cs="Arial"/>
          <w:sz w:val="18"/>
          <w:szCs w:val="18"/>
        </w:rPr>
        <w:t xml:space="preserve">Source:   </w:t>
      </w:r>
      <w:r w:rsidRPr="00DE43D4">
        <w:rPr>
          <w:rFonts w:ascii="Arial Narrow" w:hAnsi="Arial Narrow" w:cs="Arial"/>
          <w:bCs/>
          <w:sz w:val="18"/>
          <w:szCs w:val="18"/>
        </w:rPr>
        <w:t>ATAGI’s Public Consultation Document on the infant pneumococcal vaccination schedule, Table 1</w:t>
      </w:r>
      <w:r>
        <w:rPr>
          <w:rFonts w:ascii="Arial Narrow" w:hAnsi="Arial Narrow" w:cs="Arial"/>
          <w:bCs/>
          <w:sz w:val="18"/>
          <w:szCs w:val="18"/>
        </w:rPr>
        <w:t xml:space="preserve">; </w:t>
      </w:r>
      <w:r w:rsidR="00B74061">
        <w:rPr>
          <w:rFonts w:ascii="Arial Narrow" w:hAnsi="Arial Narrow" w:cs="Arial"/>
          <w:bCs/>
          <w:sz w:val="18"/>
          <w:szCs w:val="18"/>
        </w:rPr>
        <w:t>M</w:t>
      </w:r>
      <w:r>
        <w:rPr>
          <w:rFonts w:ascii="Arial Narrow" w:hAnsi="Arial Narrow" w:cs="Arial"/>
          <w:bCs/>
          <w:sz w:val="18"/>
          <w:szCs w:val="18"/>
        </w:rPr>
        <w:t>inor submission Table 1.1, p8.</w:t>
      </w:r>
    </w:p>
    <w:p w:rsidR="00C40F1B" w:rsidRDefault="00DE43D4" w:rsidP="00DE43D4">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DE43D4">
        <w:rPr>
          <w:rFonts w:asciiTheme="minorHAnsi" w:eastAsiaTheme="minorHAnsi" w:hAnsiTheme="minorHAnsi" w:cstheme="minorBidi"/>
          <w:snapToGrid/>
          <w:sz w:val="24"/>
          <w:szCs w:val="22"/>
        </w:rPr>
        <w:t>Th</w:t>
      </w:r>
      <w:r>
        <w:rPr>
          <w:rFonts w:asciiTheme="minorHAnsi" w:eastAsiaTheme="minorHAnsi" w:hAnsiTheme="minorHAnsi" w:cstheme="minorBidi"/>
          <w:snapToGrid/>
          <w:sz w:val="24"/>
          <w:szCs w:val="22"/>
        </w:rPr>
        <w:t>e</w:t>
      </w:r>
      <w:r w:rsidRPr="00DE43D4">
        <w:rPr>
          <w:rFonts w:asciiTheme="minorHAnsi" w:eastAsiaTheme="minorHAnsi" w:hAnsiTheme="minorHAnsi" w:cstheme="minorBidi"/>
          <w:snapToGrid/>
          <w:sz w:val="24"/>
          <w:szCs w:val="22"/>
        </w:rPr>
        <w:t xml:space="preserve"> proposed </w:t>
      </w:r>
      <w:r>
        <w:rPr>
          <w:rFonts w:asciiTheme="minorHAnsi" w:eastAsiaTheme="minorHAnsi" w:hAnsiTheme="minorHAnsi" w:cstheme="minorBidi"/>
          <w:snapToGrid/>
          <w:sz w:val="24"/>
          <w:szCs w:val="22"/>
        </w:rPr>
        <w:t>change</w:t>
      </w:r>
      <w:r w:rsidR="00274646">
        <w:rPr>
          <w:rFonts w:asciiTheme="minorHAnsi" w:eastAsiaTheme="minorHAnsi" w:hAnsiTheme="minorHAnsi" w:cstheme="minorBidi"/>
          <w:snapToGrid/>
          <w:sz w:val="24"/>
          <w:szCs w:val="22"/>
        </w:rPr>
        <w:t>s</w:t>
      </w:r>
      <w:r>
        <w:rPr>
          <w:rFonts w:asciiTheme="minorHAnsi" w:eastAsiaTheme="minorHAnsi" w:hAnsiTheme="minorHAnsi" w:cstheme="minorBidi"/>
          <w:snapToGrid/>
          <w:sz w:val="24"/>
          <w:szCs w:val="22"/>
        </w:rPr>
        <w:t xml:space="preserve"> in </w:t>
      </w:r>
      <w:r w:rsidR="00274646">
        <w:rPr>
          <w:rFonts w:asciiTheme="minorHAnsi" w:eastAsiaTheme="minorHAnsi" w:hAnsiTheme="minorHAnsi" w:cstheme="minorBidi"/>
          <w:snapToGrid/>
          <w:sz w:val="24"/>
          <w:szCs w:val="22"/>
        </w:rPr>
        <w:t xml:space="preserve">vaccine schedule </w:t>
      </w:r>
      <w:r w:rsidR="00C40F1B">
        <w:rPr>
          <w:rFonts w:asciiTheme="minorHAnsi" w:eastAsiaTheme="minorHAnsi" w:hAnsiTheme="minorHAnsi" w:cstheme="minorBidi"/>
          <w:snapToGrid/>
          <w:sz w:val="24"/>
          <w:szCs w:val="22"/>
        </w:rPr>
        <w:t>presented in the minor submission</w:t>
      </w:r>
      <w:r w:rsidR="00F042E9">
        <w:rPr>
          <w:rFonts w:asciiTheme="minorHAnsi" w:eastAsiaTheme="minorHAnsi" w:hAnsiTheme="minorHAnsi" w:cstheme="minorBidi"/>
          <w:snapToGrid/>
          <w:sz w:val="24"/>
          <w:szCs w:val="22"/>
        </w:rPr>
        <w:t xml:space="preserve"> (see table above) </w:t>
      </w:r>
      <w:r w:rsidR="00DB4671">
        <w:rPr>
          <w:rFonts w:asciiTheme="minorHAnsi" w:eastAsiaTheme="minorHAnsi" w:hAnsiTheme="minorHAnsi" w:cstheme="minorBidi"/>
          <w:snapToGrid/>
          <w:sz w:val="24"/>
          <w:szCs w:val="22"/>
        </w:rPr>
        <w:t>we</w:t>
      </w:r>
      <w:r w:rsidR="00274646">
        <w:rPr>
          <w:rFonts w:asciiTheme="minorHAnsi" w:eastAsiaTheme="minorHAnsi" w:hAnsiTheme="minorHAnsi" w:cstheme="minorBidi"/>
          <w:snapToGrid/>
          <w:sz w:val="24"/>
          <w:szCs w:val="22"/>
        </w:rPr>
        <w:t>re</w:t>
      </w:r>
      <w:r w:rsidRPr="00DE43D4">
        <w:rPr>
          <w:rFonts w:asciiTheme="minorHAnsi" w:eastAsiaTheme="minorHAnsi" w:hAnsiTheme="minorHAnsi" w:cstheme="minorBidi"/>
          <w:snapToGrid/>
          <w:sz w:val="24"/>
          <w:szCs w:val="22"/>
        </w:rPr>
        <w:t xml:space="preserve"> </w:t>
      </w:r>
      <w:r w:rsidR="00DB4671">
        <w:rPr>
          <w:rFonts w:asciiTheme="minorHAnsi" w:eastAsiaTheme="minorHAnsi" w:hAnsiTheme="minorHAnsi" w:cstheme="minorBidi"/>
          <w:snapToGrid/>
          <w:sz w:val="24"/>
          <w:szCs w:val="22"/>
        </w:rPr>
        <w:t>the</w:t>
      </w:r>
      <w:r w:rsidRPr="00DE43D4">
        <w:rPr>
          <w:rFonts w:asciiTheme="minorHAnsi" w:eastAsiaTheme="minorHAnsi" w:hAnsiTheme="minorHAnsi" w:cstheme="minorBidi"/>
          <w:snapToGrid/>
          <w:sz w:val="24"/>
          <w:szCs w:val="22"/>
        </w:rPr>
        <w:t xml:space="preserve"> consequence of a review by ATAGI of invasive pneumococcal data since the childhood pneumococcal schedule moved from a 7vPCV to 13vPCV in 2011. This review identified a continuing increase in cases of invasive pneumococcal disease (IPD) in fully vaccinated children which was much higher than observed in countries giving a booster dose in the second year of life</w:t>
      </w:r>
      <w:r w:rsidR="00F042E9">
        <w:rPr>
          <w:rFonts w:asciiTheme="minorHAnsi" w:eastAsiaTheme="minorHAnsi" w:hAnsiTheme="minorHAnsi" w:cstheme="minorBidi"/>
          <w:snapToGrid/>
          <w:sz w:val="24"/>
          <w:szCs w:val="22"/>
        </w:rPr>
        <w:t xml:space="preserve"> using a 2+1 or 3+1 dosing schedule</w:t>
      </w:r>
      <w:r w:rsidR="00274646">
        <w:rPr>
          <w:rFonts w:asciiTheme="minorHAnsi" w:eastAsiaTheme="minorHAnsi" w:hAnsiTheme="minorHAnsi" w:cstheme="minorBidi"/>
          <w:snapToGrid/>
          <w:sz w:val="24"/>
          <w:szCs w:val="22"/>
        </w:rPr>
        <w:t>.</w:t>
      </w:r>
      <w:r w:rsidRPr="00DE43D4">
        <w:rPr>
          <w:rFonts w:asciiTheme="minorHAnsi" w:eastAsiaTheme="minorHAnsi" w:hAnsiTheme="minorHAnsi" w:cstheme="minorBidi"/>
          <w:snapToGrid/>
          <w:sz w:val="24"/>
          <w:szCs w:val="22"/>
        </w:rPr>
        <w:t xml:space="preserve"> </w:t>
      </w:r>
    </w:p>
    <w:p w:rsidR="000A0C36" w:rsidRDefault="00AC4097" w:rsidP="000A0C36">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In addition, ATAGI advised that </w:t>
      </w:r>
      <w:r w:rsidRPr="00AC4097">
        <w:rPr>
          <w:rFonts w:asciiTheme="minorHAnsi" w:eastAsiaTheme="minorHAnsi" w:hAnsiTheme="minorHAnsi" w:cstheme="minorBidi"/>
          <w:snapToGrid/>
          <w:sz w:val="24"/>
          <w:szCs w:val="22"/>
        </w:rPr>
        <w:t>the indirect impact of the childhood 13vPCV program on IPD in older age groups</w:t>
      </w:r>
      <w:r w:rsidR="00DB4671">
        <w:rPr>
          <w:rFonts w:asciiTheme="minorHAnsi" w:eastAsiaTheme="minorHAnsi" w:hAnsiTheme="minorHAnsi" w:cstheme="minorBidi"/>
          <w:snapToGrid/>
          <w:sz w:val="24"/>
          <w:szCs w:val="22"/>
        </w:rPr>
        <w:t xml:space="preserve"> was</w:t>
      </w:r>
      <w:r w:rsidRPr="00AC4097">
        <w:rPr>
          <w:rFonts w:asciiTheme="minorHAnsi" w:eastAsiaTheme="minorHAnsi" w:hAnsiTheme="minorHAnsi" w:cstheme="minorBidi"/>
          <w:snapToGrid/>
          <w:sz w:val="24"/>
          <w:szCs w:val="22"/>
        </w:rPr>
        <w:t xml:space="preserve"> considerably less with the</w:t>
      </w:r>
      <w:r>
        <w:rPr>
          <w:rFonts w:asciiTheme="minorHAnsi" w:eastAsiaTheme="minorHAnsi" w:hAnsiTheme="minorHAnsi" w:cstheme="minorBidi"/>
          <w:snapToGrid/>
          <w:sz w:val="24"/>
          <w:szCs w:val="22"/>
        </w:rPr>
        <w:t xml:space="preserve"> current</w:t>
      </w:r>
      <w:r w:rsidRPr="00AC4097">
        <w:rPr>
          <w:rFonts w:asciiTheme="minorHAnsi" w:eastAsiaTheme="minorHAnsi" w:hAnsiTheme="minorHAnsi" w:cstheme="minorBidi"/>
          <w:snapToGrid/>
          <w:sz w:val="24"/>
          <w:szCs w:val="22"/>
        </w:rPr>
        <w:t xml:space="preserve"> 3+0 schedule</w:t>
      </w:r>
      <w:r>
        <w:rPr>
          <w:rFonts w:asciiTheme="minorHAnsi" w:eastAsiaTheme="minorHAnsi" w:hAnsiTheme="minorHAnsi" w:cstheme="minorBidi"/>
          <w:snapToGrid/>
          <w:sz w:val="24"/>
          <w:szCs w:val="22"/>
        </w:rPr>
        <w:t>.</w:t>
      </w:r>
    </w:p>
    <w:p w:rsidR="005F3BE4" w:rsidRPr="000A0C36" w:rsidRDefault="005F3BE4" w:rsidP="000A0C36">
      <w:pPr>
        <w:pStyle w:val="ListParagraph"/>
        <w:widowControl/>
        <w:numPr>
          <w:ilvl w:val="1"/>
          <w:numId w:val="5"/>
        </w:numPr>
        <w:spacing w:before="120" w:after="160"/>
        <w:contextualSpacing w:val="0"/>
        <w:rPr>
          <w:rFonts w:asciiTheme="minorHAnsi" w:eastAsiaTheme="minorHAnsi" w:hAnsiTheme="minorHAnsi" w:cstheme="minorBidi"/>
          <w:snapToGrid/>
          <w:sz w:val="28"/>
          <w:szCs w:val="22"/>
        </w:rPr>
      </w:pPr>
      <w:r w:rsidRPr="000A0C36">
        <w:rPr>
          <w:rFonts w:asciiTheme="minorHAnsi" w:hAnsiTheme="minorHAnsi"/>
          <w:sz w:val="24"/>
        </w:rPr>
        <w:t xml:space="preserve">The PBAC noted that the proposed changes to the vaccine schedule for 13vPCV </w:t>
      </w:r>
      <w:r w:rsidR="00DB4671" w:rsidRPr="000A0C36">
        <w:rPr>
          <w:rFonts w:asciiTheme="minorHAnsi" w:hAnsiTheme="minorHAnsi"/>
          <w:sz w:val="24"/>
        </w:rPr>
        <w:t>aligned</w:t>
      </w:r>
      <w:r w:rsidRPr="000A0C36">
        <w:rPr>
          <w:rFonts w:asciiTheme="minorHAnsi" w:hAnsiTheme="minorHAnsi"/>
          <w:sz w:val="24"/>
        </w:rPr>
        <w:t xml:space="preserve"> with vaccine schedules commonly used in Europe</w:t>
      </w:r>
      <w:r w:rsidRPr="000A0C36">
        <w:rPr>
          <w:rFonts w:asciiTheme="minorHAnsi" w:hAnsiTheme="minorHAnsi"/>
          <w:i/>
          <w:sz w:val="24"/>
        </w:rPr>
        <w:t xml:space="preserve">. </w:t>
      </w:r>
    </w:p>
    <w:p w:rsidR="000513D4" w:rsidRPr="00940173" w:rsidRDefault="00D532AC" w:rsidP="00D532AC">
      <w:pPr>
        <w:spacing w:before="120" w:after="160"/>
        <w:rPr>
          <w:rFonts w:asciiTheme="minorHAnsi" w:eastAsiaTheme="minorHAnsi" w:hAnsiTheme="minorHAnsi" w:cstheme="minorBidi"/>
          <w:i/>
        </w:rPr>
      </w:pPr>
      <w:r w:rsidRPr="00822C24">
        <w:rPr>
          <w:rFonts w:asciiTheme="minorHAnsi" w:eastAsiaTheme="minorHAnsi" w:hAnsiTheme="minorHAnsi" w:cstheme="minorBidi"/>
          <w:i/>
        </w:rPr>
        <w:t xml:space="preserve">For more detail on the PBAC’s view, see section </w:t>
      </w:r>
      <w:r w:rsidR="00822C24" w:rsidRPr="00822C24">
        <w:rPr>
          <w:rFonts w:asciiTheme="minorHAnsi" w:eastAsiaTheme="minorHAnsi" w:hAnsiTheme="minorHAnsi" w:cstheme="minorBidi"/>
          <w:i/>
        </w:rPr>
        <w:t>6</w:t>
      </w:r>
      <w:r w:rsidRPr="00822C24">
        <w:rPr>
          <w:rFonts w:asciiTheme="minorHAnsi" w:eastAsiaTheme="minorHAnsi" w:hAnsiTheme="minorHAnsi" w:cstheme="minorBidi"/>
          <w:i/>
        </w:rPr>
        <w:t xml:space="preserve"> PBAC outcome.</w:t>
      </w:r>
    </w:p>
    <w:p w:rsidR="00CE10C4" w:rsidRPr="00FD6D8E" w:rsidRDefault="009159D6" w:rsidP="000A0C36">
      <w:pPr>
        <w:pStyle w:val="PBACHeading1"/>
      </w:pPr>
      <w:r>
        <w:t>Current Situation</w:t>
      </w:r>
    </w:p>
    <w:p w:rsidR="00AC4097" w:rsidRPr="00960BC5" w:rsidRDefault="00AC4097" w:rsidP="00FF46DB">
      <w:pPr>
        <w:pStyle w:val="ListParagraph"/>
        <w:widowControl/>
        <w:numPr>
          <w:ilvl w:val="1"/>
          <w:numId w:val="14"/>
        </w:numPr>
        <w:spacing w:before="120" w:after="160"/>
        <w:contextualSpacing w:val="0"/>
        <w:rPr>
          <w:rFonts w:asciiTheme="minorHAnsi" w:eastAsiaTheme="minorHAnsi" w:hAnsiTheme="minorHAnsi" w:cstheme="minorBidi"/>
          <w:snapToGrid/>
          <w:color w:val="FF0000"/>
          <w:sz w:val="24"/>
        </w:rPr>
      </w:pPr>
      <w:r w:rsidRPr="00960BC5">
        <w:rPr>
          <w:rFonts w:asciiTheme="minorHAnsi" w:eastAsiaTheme="minorHAnsi" w:hAnsiTheme="minorHAnsi" w:cstheme="minorBidi"/>
          <w:snapToGrid/>
          <w:sz w:val="24"/>
          <w:szCs w:val="22"/>
        </w:rPr>
        <w:t xml:space="preserve">The minor submission proposed changes to the childhood pneumococcal vaccination schedule based on recommendations made by ATAGI, so that children currently recommended to receive three infant doses of 13vPCV (at 2, 4 and 6 months of age) </w:t>
      </w:r>
      <w:r w:rsidR="00975C17" w:rsidRPr="00960BC5">
        <w:rPr>
          <w:rFonts w:asciiTheme="minorHAnsi" w:eastAsiaTheme="minorHAnsi" w:hAnsiTheme="minorHAnsi" w:cstheme="minorBidi"/>
          <w:snapToGrid/>
          <w:sz w:val="24"/>
          <w:szCs w:val="22"/>
        </w:rPr>
        <w:t xml:space="preserve">would </w:t>
      </w:r>
      <w:r w:rsidRPr="00960BC5">
        <w:rPr>
          <w:rFonts w:asciiTheme="minorHAnsi" w:eastAsiaTheme="minorHAnsi" w:hAnsiTheme="minorHAnsi" w:cstheme="minorBidi"/>
          <w:snapToGrid/>
          <w:sz w:val="24"/>
          <w:szCs w:val="22"/>
        </w:rPr>
        <w:t>receive two infant doses (at 2 and 4 months of age) followed by a booster dose at 12 months of age (‘2+1’ schedule)</w:t>
      </w:r>
      <w:r w:rsidR="000C649F" w:rsidRPr="00960BC5">
        <w:rPr>
          <w:rFonts w:asciiTheme="minorHAnsi" w:eastAsiaTheme="minorHAnsi" w:hAnsiTheme="minorHAnsi" w:cstheme="minorBidi"/>
          <w:snapToGrid/>
          <w:sz w:val="24"/>
          <w:szCs w:val="22"/>
        </w:rPr>
        <w:t xml:space="preserve"> based on a continued and increasing occurrence of breakthrough IPD in children since introduction of the </w:t>
      </w:r>
      <w:r w:rsidR="00E171C6">
        <w:rPr>
          <w:rFonts w:asciiTheme="minorHAnsi" w:eastAsiaTheme="minorHAnsi" w:hAnsiTheme="minorHAnsi" w:cstheme="minorBidi"/>
          <w:snapToGrid/>
          <w:sz w:val="24"/>
          <w:szCs w:val="22"/>
        </w:rPr>
        <w:t>13v</w:t>
      </w:r>
      <w:r w:rsidR="000C649F" w:rsidRPr="00960BC5">
        <w:rPr>
          <w:rFonts w:asciiTheme="minorHAnsi" w:eastAsiaTheme="minorHAnsi" w:hAnsiTheme="minorHAnsi" w:cstheme="minorBidi"/>
          <w:snapToGrid/>
          <w:sz w:val="24"/>
          <w:szCs w:val="22"/>
        </w:rPr>
        <w:t>PCV vaccine program in 2011 that is not observed in similar countries</w:t>
      </w:r>
      <w:r w:rsidRPr="00960BC5">
        <w:rPr>
          <w:rFonts w:asciiTheme="minorHAnsi" w:eastAsiaTheme="minorHAnsi" w:hAnsiTheme="minorHAnsi" w:cstheme="minorBidi"/>
          <w:snapToGrid/>
          <w:sz w:val="24"/>
          <w:szCs w:val="22"/>
        </w:rPr>
        <w:t xml:space="preserve">. </w:t>
      </w:r>
      <w:r w:rsidR="00E409E5" w:rsidRPr="00960BC5">
        <w:rPr>
          <w:rFonts w:asciiTheme="minorHAnsi" w:eastAsiaTheme="minorHAnsi" w:hAnsiTheme="minorHAnsi" w:cstheme="minorBidi"/>
          <w:snapToGrid/>
          <w:sz w:val="24"/>
          <w:szCs w:val="22"/>
        </w:rPr>
        <w:t xml:space="preserve">A tightening of the age for </w:t>
      </w:r>
      <w:r w:rsidR="00E409E5" w:rsidRPr="00960BC5">
        <w:rPr>
          <w:rFonts w:asciiTheme="minorHAnsi" w:eastAsiaTheme="minorHAnsi" w:hAnsiTheme="minorHAnsi" w:cstheme="minorBidi"/>
          <w:snapToGrid/>
          <w:sz w:val="24"/>
          <w:szCs w:val="22"/>
        </w:rPr>
        <w:lastRenderedPageBreak/>
        <w:t>the 12-18 month dose to 12 months for Aboriginal and Torres Strait Isla</w:t>
      </w:r>
      <w:r w:rsidR="00512D24">
        <w:rPr>
          <w:rFonts w:asciiTheme="minorHAnsi" w:eastAsiaTheme="minorHAnsi" w:hAnsiTheme="minorHAnsi" w:cstheme="minorBidi"/>
          <w:snapToGrid/>
          <w:sz w:val="24"/>
          <w:szCs w:val="22"/>
        </w:rPr>
        <w:t>nder children in at risk areas wa</w:t>
      </w:r>
      <w:r w:rsidR="00E409E5" w:rsidRPr="00960BC5">
        <w:rPr>
          <w:rFonts w:asciiTheme="minorHAnsi" w:eastAsiaTheme="minorHAnsi" w:hAnsiTheme="minorHAnsi" w:cstheme="minorBidi"/>
          <w:snapToGrid/>
          <w:sz w:val="24"/>
          <w:szCs w:val="22"/>
        </w:rPr>
        <w:t xml:space="preserve">s also proposed. </w:t>
      </w:r>
    </w:p>
    <w:p w:rsidR="00EC65EA" w:rsidRPr="00960BC5" w:rsidRDefault="00EC65EA" w:rsidP="00FF46DB">
      <w:pPr>
        <w:pStyle w:val="ListParagraph"/>
        <w:widowControl/>
        <w:numPr>
          <w:ilvl w:val="1"/>
          <w:numId w:val="14"/>
        </w:numPr>
        <w:spacing w:before="120" w:after="160"/>
        <w:contextualSpacing w:val="0"/>
        <w:rPr>
          <w:rFonts w:asciiTheme="minorHAnsi" w:eastAsiaTheme="minorHAnsi" w:hAnsiTheme="minorHAnsi" w:cstheme="minorBidi"/>
          <w:snapToGrid/>
          <w:sz w:val="24"/>
        </w:rPr>
      </w:pPr>
      <w:r w:rsidRPr="00960BC5">
        <w:rPr>
          <w:rFonts w:asciiTheme="minorHAnsi" w:eastAsiaTheme="minorHAnsi" w:hAnsiTheme="minorHAnsi" w:cstheme="minorBidi"/>
          <w:snapToGrid/>
          <w:sz w:val="24"/>
        </w:rPr>
        <w:t>Based on the recommendations in the ATAGI review, the submission</w:t>
      </w:r>
      <w:r w:rsidR="00975C17" w:rsidRPr="00960BC5">
        <w:rPr>
          <w:rFonts w:asciiTheme="minorHAnsi" w:eastAsiaTheme="minorHAnsi" w:hAnsiTheme="minorHAnsi" w:cstheme="minorBidi"/>
          <w:snapToGrid/>
          <w:sz w:val="24"/>
        </w:rPr>
        <w:t xml:space="preserve"> also </w:t>
      </w:r>
      <w:r w:rsidRPr="00960BC5">
        <w:rPr>
          <w:rFonts w:asciiTheme="minorHAnsi" w:eastAsiaTheme="minorHAnsi" w:hAnsiTheme="minorHAnsi" w:cstheme="minorBidi"/>
          <w:snapToGrid/>
          <w:sz w:val="24"/>
        </w:rPr>
        <w:t xml:space="preserve">proposed revision to </w:t>
      </w:r>
      <w:r w:rsidR="00975C17" w:rsidRPr="00960BC5">
        <w:rPr>
          <w:rFonts w:asciiTheme="minorHAnsi" w:eastAsiaTheme="minorHAnsi" w:hAnsiTheme="minorHAnsi" w:cstheme="minorBidi"/>
          <w:snapToGrid/>
          <w:sz w:val="24"/>
        </w:rPr>
        <w:t>the recommended catch-up schedules for 13vPCV vaccinations for children who are unvaccinated</w:t>
      </w:r>
      <w:r w:rsidRPr="00960BC5">
        <w:rPr>
          <w:rFonts w:asciiTheme="minorHAnsi" w:eastAsiaTheme="minorHAnsi" w:hAnsiTheme="minorHAnsi" w:cstheme="minorBidi"/>
          <w:snapToGrid/>
          <w:sz w:val="24"/>
        </w:rPr>
        <w:t>,</w:t>
      </w:r>
      <w:r w:rsidR="00975C17" w:rsidRPr="00960BC5">
        <w:rPr>
          <w:rFonts w:asciiTheme="minorHAnsi" w:eastAsiaTheme="minorHAnsi" w:hAnsiTheme="minorHAnsi" w:cstheme="minorBidi"/>
          <w:snapToGrid/>
          <w:sz w:val="24"/>
        </w:rPr>
        <w:t xml:space="preserve"> or only partially vaccinated</w:t>
      </w:r>
      <w:r w:rsidRPr="00960BC5">
        <w:rPr>
          <w:rFonts w:asciiTheme="minorHAnsi" w:eastAsiaTheme="minorHAnsi" w:hAnsiTheme="minorHAnsi" w:cstheme="minorBidi"/>
          <w:snapToGrid/>
          <w:sz w:val="24"/>
        </w:rPr>
        <w:t>,</w:t>
      </w:r>
      <w:r w:rsidR="00975C17" w:rsidRPr="00960BC5">
        <w:rPr>
          <w:rFonts w:asciiTheme="minorHAnsi" w:eastAsiaTheme="minorHAnsi" w:hAnsiTheme="minorHAnsi" w:cstheme="minorBidi"/>
          <w:snapToGrid/>
          <w:sz w:val="24"/>
        </w:rPr>
        <w:t xml:space="preserve"> using the same principles as for routine vaccinations. Relevant to this submission, children who have received 3 previous doses of 13vPCV &lt;12 months of age and present prior to 12 months of age </w:t>
      </w:r>
      <w:r w:rsidR="00DB4671">
        <w:rPr>
          <w:rFonts w:asciiTheme="minorHAnsi" w:eastAsiaTheme="minorHAnsi" w:hAnsiTheme="minorHAnsi" w:cstheme="minorBidi"/>
          <w:snapToGrid/>
          <w:sz w:val="24"/>
        </w:rPr>
        <w:t>will be</w:t>
      </w:r>
      <w:r w:rsidR="00975C17" w:rsidRPr="00960BC5">
        <w:rPr>
          <w:rFonts w:asciiTheme="minorHAnsi" w:eastAsiaTheme="minorHAnsi" w:hAnsiTheme="minorHAnsi" w:cstheme="minorBidi"/>
          <w:snapToGrid/>
          <w:sz w:val="24"/>
        </w:rPr>
        <w:t xml:space="preserve"> recommended to receive 1 further dose of 13vPCV at 12 months of age with a minimum interval of 2 months after the previous dose of 13vPCV. This means a small cohort of children would receive a ‘3+1’ schedule in the first year of the change in recommendation, but the total number of 13vPCV doses provide</w:t>
      </w:r>
      <w:r w:rsidRPr="00960BC5">
        <w:rPr>
          <w:rFonts w:asciiTheme="minorHAnsi" w:eastAsiaTheme="minorHAnsi" w:hAnsiTheme="minorHAnsi" w:cstheme="minorBidi"/>
          <w:snapToGrid/>
          <w:sz w:val="24"/>
        </w:rPr>
        <w:t xml:space="preserve">d in the year would not change. </w:t>
      </w:r>
      <w:r w:rsidR="00F5026A" w:rsidRPr="00960BC5">
        <w:rPr>
          <w:rFonts w:asciiTheme="minorHAnsi" w:eastAsiaTheme="minorHAnsi" w:hAnsiTheme="minorHAnsi" w:cstheme="minorBidi"/>
          <w:snapToGrid/>
          <w:sz w:val="24"/>
          <w:szCs w:val="22"/>
        </w:rPr>
        <w:t xml:space="preserve">No other changes to the NIP </w:t>
      </w:r>
      <w:r w:rsidR="00DB4671">
        <w:rPr>
          <w:rFonts w:asciiTheme="minorHAnsi" w:eastAsiaTheme="minorHAnsi" w:hAnsiTheme="minorHAnsi" w:cstheme="minorBidi"/>
          <w:snapToGrid/>
          <w:sz w:val="24"/>
          <w:szCs w:val="22"/>
        </w:rPr>
        <w:t>we</w:t>
      </w:r>
      <w:r w:rsidR="00F5026A" w:rsidRPr="00960BC5">
        <w:rPr>
          <w:rFonts w:asciiTheme="minorHAnsi" w:eastAsiaTheme="minorHAnsi" w:hAnsiTheme="minorHAnsi" w:cstheme="minorBidi"/>
          <w:snapToGrid/>
          <w:sz w:val="24"/>
          <w:szCs w:val="22"/>
        </w:rPr>
        <w:t>re proposed.</w:t>
      </w:r>
    </w:p>
    <w:p w:rsidR="00277527" w:rsidRPr="00960BC5" w:rsidRDefault="000B45FA" w:rsidP="00FF46DB">
      <w:pPr>
        <w:pStyle w:val="ListParagraph"/>
        <w:widowControl/>
        <w:numPr>
          <w:ilvl w:val="1"/>
          <w:numId w:val="14"/>
        </w:numPr>
        <w:spacing w:before="120" w:after="160"/>
        <w:contextualSpacing w:val="0"/>
        <w:rPr>
          <w:rFonts w:asciiTheme="minorHAnsi" w:eastAsiaTheme="minorHAnsi" w:hAnsiTheme="minorHAnsi" w:cstheme="minorBidi"/>
          <w:snapToGrid/>
          <w:sz w:val="24"/>
          <w:szCs w:val="24"/>
        </w:rPr>
      </w:pPr>
      <w:r w:rsidRPr="00960BC5">
        <w:rPr>
          <w:rFonts w:asciiTheme="minorHAnsi" w:eastAsiaTheme="minorHAnsi" w:hAnsiTheme="minorHAnsi" w:cstheme="minorBidi"/>
          <w:snapToGrid/>
          <w:sz w:val="24"/>
          <w:szCs w:val="22"/>
        </w:rPr>
        <w:t xml:space="preserve">ATAGI </w:t>
      </w:r>
      <w:r w:rsidR="00975C17" w:rsidRPr="00960BC5">
        <w:rPr>
          <w:rFonts w:asciiTheme="minorHAnsi" w:eastAsiaTheme="minorHAnsi" w:hAnsiTheme="minorHAnsi" w:cstheme="minorBidi"/>
          <w:snapToGrid/>
          <w:sz w:val="24"/>
          <w:szCs w:val="22"/>
        </w:rPr>
        <w:t xml:space="preserve">recommended the </w:t>
      </w:r>
      <w:r w:rsidR="00243405" w:rsidRPr="00960BC5">
        <w:rPr>
          <w:rFonts w:asciiTheme="minorHAnsi" w:eastAsiaTheme="minorHAnsi" w:hAnsiTheme="minorHAnsi" w:cstheme="minorBidi"/>
          <w:snapToGrid/>
          <w:sz w:val="24"/>
          <w:szCs w:val="22"/>
        </w:rPr>
        <w:t xml:space="preserve">proposed </w:t>
      </w:r>
      <w:r w:rsidR="00975C17" w:rsidRPr="00960BC5">
        <w:rPr>
          <w:rFonts w:asciiTheme="minorHAnsi" w:eastAsiaTheme="minorHAnsi" w:hAnsiTheme="minorHAnsi" w:cstheme="minorBidi"/>
          <w:snapToGrid/>
          <w:sz w:val="24"/>
          <w:szCs w:val="22"/>
        </w:rPr>
        <w:t>changes to the childhood pneumococcal vaccination schedule based on a review of clinical evidence</w:t>
      </w:r>
      <w:r w:rsidRPr="00960BC5">
        <w:rPr>
          <w:rFonts w:asciiTheme="minorHAnsi" w:eastAsiaTheme="minorHAnsi" w:hAnsiTheme="minorHAnsi" w:cstheme="minorBidi"/>
          <w:snapToGrid/>
          <w:sz w:val="24"/>
          <w:szCs w:val="22"/>
        </w:rPr>
        <w:t xml:space="preserve">.  ATAGI’s advice is summarised below.  </w:t>
      </w:r>
    </w:p>
    <w:p w:rsidR="00277527" w:rsidRPr="00960BC5" w:rsidRDefault="00277527" w:rsidP="00FF46DB">
      <w:pPr>
        <w:pStyle w:val="ListParagraph"/>
        <w:widowControl/>
        <w:numPr>
          <w:ilvl w:val="1"/>
          <w:numId w:val="14"/>
        </w:numPr>
        <w:spacing w:before="120" w:after="160"/>
        <w:contextualSpacing w:val="0"/>
        <w:rPr>
          <w:rFonts w:asciiTheme="minorHAnsi" w:eastAsiaTheme="minorHAnsi" w:hAnsiTheme="minorHAnsi" w:cstheme="minorBidi"/>
          <w:snapToGrid/>
          <w:sz w:val="24"/>
          <w:szCs w:val="24"/>
        </w:rPr>
      </w:pPr>
      <w:r w:rsidRPr="00960BC5">
        <w:rPr>
          <w:rFonts w:asciiTheme="minorHAnsi" w:hAnsiTheme="minorHAnsi"/>
          <w:sz w:val="24"/>
          <w:szCs w:val="24"/>
        </w:rPr>
        <w:t>ATAGI consider</w:t>
      </w:r>
      <w:r w:rsidR="00F042E9" w:rsidRPr="00960BC5">
        <w:rPr>
          <w:rFonts w:asciiTheme="minorHAnsi" w:hAnsiTheme="minorHAnsi"/>
          <w:sz w:val="24"/>
          <w:szCs w:val="24"/>
        </w:rPr>
        <w:t>ed</w:t>
      </w:r>
      <w:r w:rsidRPr="00960BC5">
        <w:rPr>
          <w:rFonts w:asciiTheme="minorHAnsi" w:hAnsiTheme="minorHAnsi"/>
          <w:sz w:val="24"/>
          <w:szCs w:val="24"/>
        </w:rPr>
        <w:t xml:space="preserve"> that moving from the current 3+0 schedule to a 2+1 schedule would not change the total number of doses required in the vaccination program, therefore the proposed change would be cost neutral. </w:t>
      </w:r>
    </w:p>
    <w:p w:rsidR="00AC4097" w:rsidRPr="00960BC5" w:rsidRDefault="00AC4097" w:rsidP="00FF46D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960BC5">
        <w:rPr>
          <w:rFonts w:asciiTheme="minorHAnsi" w:eastAsiaTheme="minorHAnsi" w:hAnsiTheme="minorHAnsi" w:cstheme="minorBidi"/>
          <w:snapToGrid/>
          <w:sz w:val="24"/>
          <w:szCs w:val="22"/>
        </w:rPr>
        <w:t>In advice provided to the Department dated 19 June 2017, ATAGI considered:</w:t>
      </w:r>
    </w:p>
    <w:p w:rsidR="00AC4097" w:rsidRPr="00960BC5" w:rsidRDefault="00AC4097" w:rsidP="00FF46DB">
      <w:pPr>
        <w:pStyle w:val="ListParagraph"/>
        <w:widowControl/>
        <w:numPr>
          <w:ilvl w:val="2"/>
          <w:numId w:val="14"/>
        </w:numPr>
        <w:spacing w:before="120" w:after="120"/>
        <w:ind w:left="1134" w:hanging="437"/>
        <w:contextualSpacing w:val="0"/>
        <w:rPr>
          <w:rFonts w:asciiTheme="minorHAnsi" w:eastAsiaTheme="minorHAnsi" w:hAnsiTheme="minorHAnsi" w:cstheme="minorBidi"/>
          <w:snapToGrid/>
          <w:sz w:val="24"/>
          <w:szCs w:val="22"/>
        </w:rPr>
      </w:pPr>
      <w:r w:rsidRPr="00960BC5">
        <w:rPr>
          <w:rFonts w:asciiTheme="minorHAnsi" w:eastAsiaTheme="minorHAnsi" w:hAnsiTheme="minorHAnsi" w:cstheme="minorBidi"/>
          <w:snapToGrid/>
          <w:sz w:val="24"/>
          <w:szCs w:val="22"/>
        </w:rPr>
        <w:t>That the evidence reviewed demonstrate</w:t>
      </w:r>
      <w:r w:rsidR="00F042E9" w:rsidRPr="00960BC5">
        <w:rPr>
          <w:rFonts w:asciiTheme="minorHAnsi" w:eastAsiaTheme="minorHAnsi" w:hAnsiTheme="minorHAnsi" w:cstheme="minorBidi"/>
          <w:snapToGrid/>
          <w:sz w:val="24"/>
          <w:szCs w:val="22"/>
        </w:rPr>
        <w:t>d</w:t>
      </w:r>
      <w:r w:rsidRPr="00960BC5">
        <w:rPr>
          <w:rFonts w:asciiTheme="minorHAnsi" w:eastAsiaTheme="minorHAnsi" w:hAnsiTheme="minorHAnsi" w:cstheme="minorBidi"/>
          <w:snapToGrid/>
          <w:sz w:val="24"/>
          <w:szCs w:val="22"/>
        </w:rPr>
        <w:t xml:space="preserve"> an urgent need to change the current 13vPCV schedule used for children. </w:t>
      </w:r>
    </w:p>
    <w:p w:rsidR="00AC4097" w:rsidRPr="00960BC5" w:rsidRDefault="00AC4097" w:rsidP="00FF46DB">
      <w:pPr>
        <w:pStyle w:val="ListParagraph"/>
        <w:widowControl/>
        <w:numPr>
          <w:ilvl w:val="2"/>
          <w:numId w:val="14"/>
        </w:numPr>
        <w:spacing w:before="120" w:after="120"/>
        <w:ind w:left="1134" w:hanging="437"/>
        <w:contextualSpacing w:val="0"/>
        <w:rPr>
          <w:rFonts w:asciiTheme="minorHAnsi" w:eastAsiaTheme="minorHAnsi" w:hAnsiTheme="minorHAnsi" w:cstheme="minorBidi"/>
          <w:snapToGrid/>
          <w:sz w:val="24"/>
          <w:szCs w:val="22"/>
        </w:rPr>
      </w:pPr>
      <w:r w:rsidRPr="00960BC5">
        <w:rPr>
          <w:rFonts w:asciiTheme="minorHAnsi" w:eastAsiaTheme="minorHAnsi" w:hAnsiTheme="minorHAnsi" w:cstheme="minorBidi"/>
          <w:snapToGrid/>
          <w:sz w:val="24"/>
          <w:szCs w:val="22"/>
        </w:rPr>
        <w:t xml:space="preserve">Of the two alternate schedules reviewed (3+1 and 2+1), the 2+1 schedule (doses at age 2, 4 and 12 months) </w:t>
      </w:r>
      <w:r w:rsidR="00F042E9" w:rsidRPr="00960BC5">
        <w:rPr>
          <w:rFonts w:asciiTheme="minorHAnsi" w:eastAsiaTheme="minorHAnsi" w:hAnsiTheme="minorHAnsi" w:cstheme="minorBidi"/>
          <w:snapToGrid/>
          <w:sz w:val="24"/>
          <w:szCs w:val="22"/>
        </w:rPr>
        <w:t>wa</w:t>
      </w:r>
      <w:r w:rsidRPr="00960BC5">
        <w:rPr>
          <w:rFonts w:asciiTheme="minorHAnsi" w:eastAsiaTheme="minorHAnsi" w:hAnsiTheme="minorHAnsi" w:cstheme="minorBidi"/>
          <w:snapToGrid/>
          <w:sz w:val="24"/>
          <w:szCs w:val="22"/>
        </w:rPr>
        <w:t xml:space="preserve">s considered both effective and implementable given the number of doses required for the vaccination program would remain unchanged and therefore effecting the schedule change would be cost neutral. </w:t>
      </w:r>
    </w:p>
    <w:p w:rsidR="00AC4097" w:rsidRPr="00960BC5" w:rsidRDefault="00AC4097" w:rsidP="00FF46DB">
      <w:pPr>
        <w:pStyle w:val="ListParagraph"/>
        <w:widowControl/>
        <w:numPr>
          <w:ilvl w:val="2"/>
          <w:numId w:val="14"/>
        </w:numPr>
        <w:spacing w:before="120" w:after="120"/>
        <w:ind w:left="1134" w:hanging="437"/>
        <w:contextualSpacing w:val="0"/>
        <w:rPr>
          <w:rFonts w:asciiTheme="minorHAnsi" w:eastAsiaTheme="minorHAnsi" w:hAnsiTheme="minorHAnsi" w:cstheme="minorBidi"/>
          <w:snapToGrid/>
          <w:sz w:val="24"/>
          <w:szCs w:val="22"/>
        </w:rPr>
      </w:pPr>
      <w:r w:rsidRPr="00960BC5">
        <w:rPr>
          <w:rFonts w:asciiTheme="minorHAnsi" w:eastAsiaTheme="minorHAnsi" w:hAnsiTheme="minorHAnsi" w:cstheme="minorBidi"/>
          <w:snapToGrid/>
          <w:sz w:val="24"/>
          <w:szCs w:val="22"/>
        </w:rPr>
        <w:t>That the current evidence d</w:t>
      </w:r>
      <w:r w:rsidR="00F042E9" w:rsidRPr="00960BC5">
        <w:rPr>
          <w:rFonts w:asciiTheme="minorHAnsi" w:eastAsiaTheme="minorHAnsi" w:hAnsiTheme="minorHAnsi" w:cstheme="minorBidi"/>
          <w:snapToGrid/>
          <w:sz w:val="24"/>
          <w:szCs w:val="22"/>
        </w:rPr>
        <w:t>id</w:t>
      </w:r>
      <w:r w:rsidRPr="00960BC5">
        <w:rPr>
          <w:rFonts w:asciiTheme="minorHAnsi" w:eastAsiaTheme="minorHAnsi" w:hAnsiTheme="minorHAnsi" w:cstheme="minorBidi"/>
          <w:snapToGrid/>
          <w:sz w:val="24"/>
          <w:szCs w:val="22"/>
        </w:rPr>
        <w:t xml:space="preserve"> not indicate a sufficient incremental benefit of the 3+1 schedule to justify the additional cost of an extra 13vPCV dose for all children. However, it </w:t>
      </w:r>
      <w:r w:rsidR="00F042E9" w:rsidRPr="00960BC5">
        <w:rPr>
          <w:rFonts w:asciiTheme="minorHAnsi" w:eastAsiaTheme="minorHAnsi" w:hAnsiTheme="minorHAnsi" w:cstheme="minorBidi"/>
          <w:snapToGrid/>
          <w:sz w:val="24"/>
          <w:szCs w:val="22"/>
        </w:rPr>
        <w:t>wa</w:t>
      </w:r>
      <w:r w:rsidRPr="00960BC5">
        <w:rPr>
          <w:rFonts w:asciiTheme="minorHAnsi" w:eastAsiaTheme="minorHAnsi" w:hAnsiTheme="minorHAnsi" w:cstheme="minorBidi"/>
          <w:snapToGrid/>
          <w:sz w:val="24"/>
          <w:szCs w:val="22"/>
        </w:rPr>
        <w:t>s considered important to maintain the current 3+1 schedule used in children with increased risk of IPD (i.e. Indigenous children living in the Northern Territory, Queensland, South Australia, Western Australia and those with specific underlying at risk conditions) to ensure optimum protection during infancy and beyond.</w:t>
      </w:r>
    </w:p>
    <w:p w:rsidR="008F7878" w:rsidRPr="00960BC5" w:rsidRDefault="008F7878" w:rsidP="00FF46DB">
      <w:pPr>
        <w:pStyle w:val="ListParagraph"/>
        <w:widowControl/>
        <w:numPr>
          <w:ilvl w:val="1"/>
          <w:numId w:val="14"/>
        </w:numPr>
        <w:spacing w:before="120" w:after="160"/>
        <w:contextualSpacing w:val="0"/>
        <w:rPr>
          <w:rFonts w:asciiTheme="minorHAnsi" w:eastAsiaTheme="minorHAnsi" w:hAnsiTheme="minorHAnsi" w:cstheme="minorBidi"/>
          <w:snapToGrid/>
          <w:sz w:val="24"/>
        </w:rPr>
      </w:pPr>
      <w:r w:rsidRPr="00960BC5">
        <w:rPr>
          <w:rFonts w:asciiTheme="minorHAnsi" w:eastAsiaTheme="minorHAnsi" w:hAnsiTheme="minorHAnsi" w:cstheme="minorBidi"/>
          <w:snapToGrid/>
          <w:sz w:val="24"/>
          <w:szCs w:val="22"/>
        </w:rPr>
        <w:t xml:space="preserve">ATAGI noted a number of points relevant to the implementation of </w:t>
      </w:r>
      <w:r w:rsidR="0076670A" w:rsidRPr="00960BC5">
        <w:rPr>
          <w:rFonts w:asciiTheme="minorHAnsi" w:eastAsiaTheme="minorHAnsi" w:hAnsiTheme="minorHAnsi" w:cstheme="minorBidi"/>
          <w:snapToGrid/>
          <w:sz w:val="24"/>
          <w:szCs w:val="22"/>
        </w:rPr>
        <w:t>changes to the NIP schedule for 13vPCV in healthy children</w:t>
      </w:r>
      <w:r w:rsidRPr="00960BC5">
        <w:rPr>
          <w:rFonts w:asciiTheme="minorHAnsi" w:eastAsiaTheme="minorHAnsi" w:hAnsiTheme="minorHAnsi" w:cstheme="minorBidi"/>
          <w:snapToGrid/>
          <w:sz w:val="24"/>
          <w:szCs w:val="22"/>
        </w:rPr>
        <w:t>:</w:t>
      </w:r>
    </w:p>
    <w:p w:rsidR="00F042E9" w:rsidRPr="00960BC5" w:rsidRDefault="00F042E9" w:rsidP="00FF46DB">
      <w:pPr>
        <w:pStyle w:val="ListParagraph"/>
        <w:widowControl/>
        <w:numPr>
          <w:ilvl w:val="2"/>
          <w:numId w:val="14"/>
        </w:numPr>
        <w:spacing w:before="120" w:after="120"/>
        <w:ind w:left="1134" w:hanging="437"/>
        <w:contextualSpacing w:val="0"/>
        <w:rPr>
          <w:rFonts w:asciiTheme="minorHAnsi" w:eastAsiaTheme="minorHAnsi" w:hAnsiTheme="minorHAnsi" w:cstheme="minorBidi"/>
          <w:snapToGrid/>
          <w:sz w:val="24"/>
          <w:szCs w:val="22"/>
        </w:rPr>
      </w:pPr>
      <w:r w:rsidRPr="00960BC5">
        <w:rPr>
          <w:rFonts w:asciiTheme="minorHAnsi" w:eastAsiaTheme="minorHAnsi" w:hAnsiTheme="minorHAnsi" w:cstheme="minorBidi"/>
          <w:snapToGrid/>
          <w:sz w:val="24"/>
          <w:szCs w:val="22"/>
        </w:rPr>
        <w:t>T</w:t>
      </w:r>
      <w:r w:rsidR="0089048B" w:rsidRPr="00960BC5">
        <w:rPr>
          <w:rFonts w:asciiTheme="minorHAnsi" w:eastAsiaTheme="minorHAnsi" w:hAnsiTheme="minorHAnsi" w:cstheme="minorBidi"/>
          <w:snapToGrid/>
          <w:sz w:val="24"/>
          <w:szCs w:val="22"/>
        </w:rPr>
        <w:t>he existing schedule point of 12 months</w:t>
      </w:r>
      <w:r w:rsidRPr="00960BC5">
        <w:rPr>
          <w:rFonts w:asciiTheme="minorHAnsi" w:eastAsiaTheme="minorHAnsi" w:hAnsiTheme="minorHAnsi" w:cstheme="minorBidi"/>
          <w:snapToGrid/>
          <w:sz w:val="24"/>
          <w:szCs w:val="22"/>
        </w:rPr>
        <w:t xml:space="preserve"> should</w:t>
      </w:r>
      <w:r w:rsidR="0089048B" w:rsidRPr="00960BC5">
        <w:rPr>
          <w:rFonts w:asciiTheme="minorHAnsi" w:eastAsiaTheme="minorHAnsi" w:hAnsiTheme="minorHAnsi" w:cstheme="minorBidi"/>
          <w:snapToGrid/>
          <w:sz w:val="24"/>
          <w:szCs w:val="22"/>
        </w:rPr>
        <w:t xml:space="preserve"> be used for the administration of the booster dose of 13vPCV in the 2+1 schedule. The dose of 13vPCV could be administered concomitantly with the other two NIP funded vaccines given at 12 months (the first dose of mumps, measles and rubella vaccine and Haemophilus </w:t>
      </w:r>
      <w:r w:rsidR="00FF46DB" w:rsidRPr="00960BC5">
        <w:rPr>
          <w:rFonts w:asciiTheme="minorHAnsi" w:eastAsiaTheme="minorHAnsi" w:hAnsiTheme="minorHAnsi" w:cstheme="minorBidi"/>
          <w:snapToGrid/>
          <w:sz w:val="24"/>
          <w:szCs w:val="22"/>
        </w:rPr>
        <w:t>influenza</w:t>
      </w:r>
      <w:r w:rsidR="0089048B" w:rsidRPr="00960BC5">
        <w:rPr>
          <w:rFonts w:asciiTheme="minorHAnsi" w:eastAsiaTheme="minorHAnsi" w:hAnsiTheme="minorHAnsi" w:cstheme="minorBidi"/>
          <w:snapToGrid/>
          <w:sz w:val="24"/>
          <w:szCs w:val="22"/>
        </w:rPr>
        <w:t xml:space="preserve"> </w:t>
      </w:r>
      <w:r w:rsidR="00FA5E6F">
        <w:rPr>
          <w:rFonts w:asciiTheme="minorHAnsi" w:eastAsiaTheme="minorHAnsi" w:hAnsiTheme="minorHAnsi" w:cstheme="minorBidi"/>
          <w:snapToGrid/>
          <w:sz w:val="24"/>
          <w:szCs w:val="22"/>
        </w:rPr>
        <w:t xml:space="preserve">type </w:t>
      </w:r>
      <w:r w:rsidR="0089048B" w:rsidRPr="00960BC5">
        <w:rPr>
          <w:rFonts w:asciiTheme="minorHAnsi" w:eastAsiaTheme="minorHAnsi" w:hAnsiTheme="minorHAnsi" w:cstheme="minorBidi"/>
          <w:snapToGrid/>
          <w:sz w:val="24"/>
          <w:szCs w:val="22"/>
        </w:rPr>
        <w:t xml:space="preserve">b and </w:t>
      </w:r>
      <w:r w:rsidR="00FA5E6F">
        <w:rPr>
          <w:rFonts w:asciiTheme="minorHAnsi" w:eastAsiaTheme="minorHAnsi" w:hAnsiTheme="minorHAnsi" w:cstheme="minorBidi"/>
          <w:snapToGrid/>
          <w:sz w:val="24"/>
          <w:szCs w:val="22"/>
        </w:rPr>
        <w:t>m</w:t>
      </w:r>
      <w:r w:rsidR="0089048B" w:rsidRPr="00960BC5">
        <w:rPr>
          <w:rFonts w:asciiTheme="minorHAnsi" w:eastAsiaTheme="minorHAnsi" w:hAnsiTheme="minorHAnsi" w:cstheme="minorBidi"/>
          <w:snapToGrid/>
          <w:sz w:val="24"/>
          <w:szCs w:val="22"/>
        </w:rPr>
        <w:t>eningococcal C combined vaccine).</w:t>
      </w:r>
      <w:r w:rsidR="00A10795">
        <w:rPr>
          <w:rFonts w:asciiTheme="minorHAnsi" w:eastAsiaTheme="minorHAnsi" w:hAnsiTheme="minorHAnsi" w:cstheme="minorBidi"/>
          <w:snapToGrid/>
          <w:sz w:val="24"/>
          <w:szCs w:val="22"/>
        </w:rPr>
        <w:t xml:space="preserve"> </w:t>
      </w:r>
      <w:r w:rsidR="0089048B" w:rsidRPr="00960BC5">
        <w:rPr>
          <w:rFonts w:asciiTheme="minorHAnsi" w:eastAsiaTheme="minorHAnsi" w:hAnsiTheme="minorHAnsi" w:cstheme="minorBidi"/>
          <w:snapToGrid/>
          <w:sz w:val="24"/>
          <w:szCs w:val="22"/>
        </w:rPr>
        <w:t xml:space="preserve"> </w:t>
      </w:r>
      <w:r w:rsidR="00A10795">
        <w:rPr>
          <w:rFonts w:asciiTheme="minorHAnsi" w:eastAsiaTheme="minorHAnsi" w:hAnsiTheme="minorHAnsi" w:cstheme="minorBidi"/>
          <w:snapToGrid/>
          <w:sz w:val="24"/>
          <w:szCs w:val="22"/>
        </w:rPr>
        <w:t>The PBAC</w:t>
      </w:r>
      <w:r w:rsidR="00750EA4">
        <w:rPr>
          <w:rFonts w:asciiTheme="minorHAnsi" w:eastAsiaTheme="minorHAnsi" w:hAnsiTheme="minorHAnsi" w:cstheme="minorBidi"/>
          <w:snapToGrid/>
          <w:sz w:val="24"/>
          <w:szCs w:val="22"/>
        </w:rPr>
        <w:t xml:space="preserve"> recalled its </w:t>
      </w:r>
      <w:r w:rsidR="00750EA4">
        <w:rPr>
          <w:rFonts w:asciiTheme="minorHAnsi" w:eastAsiaTheme="minorHAnsi" w:hAnsiTheme="minorHAnsi" w:cstheme="minorBidi"/>
          <w:snapToGrid/>
          <w:sz w:val="24"/>
          <w:szCs w:val="22"/>
        </w:rPr>
        <w:lastRenderedPageBreak/>
        <w:t xml:space="preserve">January 2018 recommendation for the NIP listing of </w:t>
      </w:r>
      <w:r w:rsidR="00750EA4" w:rsidRPr="00230D61">
        <w:rPr>
          <w:rFonts w:asciiTheme="minorHAnsi" w:eastAsiaTheme="minorHAnsi" w:hAnsiTheme="minorHAnsi" w:cstheme="minorBidi"/>
          <w:snapToGrid/>
          <w:sz w:val="24"/>
          <w:szCs w:val="22"/>
        </w:rPr>
        <w:t>meningococcal polysaccharide serogroups A, C, W135 and Y conjugate vaccine (</w:t>
      </w:r>
      <w:proofErr w:type="spellStart"/>
      <w:r w:rsidR="00750EA4" w:rsidRPr="00230D61">
        <w:rPr>
          <w:rFonts w:asciiTheme="minorHAnsi" w:eastAsiaTheme="minorHAnsi" w:hAnsiTheme="minorHAnsi" w:cstheme="minorBidi"/>
          <w:snapToGrid/>
          <w:sz w:val="24"/>
          <w:szCs w:val="22"/>
        </w:rPr>
        <w:t>MenACWY</w:t>
      </w:r>
      <w:proofErr w:type="spellEnd"/>
      <w:r w:rsidR="00750EA4" w:rsidRPr="00230D61">
        <w:rPr>
          <w:rFonts w:asciiTheme="minorHAnsi" w:eastAsiaTheme="minorHAnsi" w:hAnsiTheme="minorHAnsi" w:cstheme="minorBidi"/>
          <w:snapToGrid/>
          <w:sz w:val="24"/>
          <w:szCs w:val="22"/>
        </w:rPr>
        <w:t>-TT) vaccine</w:t>
      </w:r>
      <w:r w:rsidR="00750EA4">
        <w:rPr>
          <w:rFonts w:asciiTheme="minorHAnsi" w:eastAsiaTheme="minorHAnsi" w:hAnsiTheme="minorHAnsi" w:cstheme="minorBidi"/>
          <w:snapToGrid/>
          <w:sz w:val="24"/>
          <w:szCs w:val="22"/>
        </w:rPr>
        <w:t xml:space="preserve"> in </w:t>
      </w:r>
      <w:r w:rsidR="00A10795">
        <w:rPr>
          <w:rFonts w:asciiTheme="minorHAnsi" w:eastAsiaTheme="minorHAnsi" w:hAnsiTheme="minorHAnsi" w:cstheme="minorBidi"/>
          <w:snapToGrid/>
          <w:sz w:val="24"/>
          <w:szCs w:val="22"/>
        </w:rPr>
        <w:t xml:space="preserve">noted that the </w:t>
      </w:r>
      <w:r w:rsidR="00A10795" w:rsidRPr="00960BC5">
        <w:rPr>
          <w:rFonts w:asciiTheme="minorHAnsi" w:eastAsiaTheme="minorHAnsi" w:hAnsiTheme="minorHAnsi" w:cstheme="minorBidi"/>
          <w:snapToGrid/>
          <w:sz w:val="24"/>
          <w:szCs w:val="22"/>
        </w:rPr>
        <w:t xml:space="preserve">Haemophilus influenza </w:t>
      </w:r>
      <w:r w:rsidR="00A10795">
        <w:rPr>
          <w:rFonts w:asciiTheme="minorHAnsi" w:eastAsiaTheme="minorHAnsi" w:hAnsiTheme="minorHAnsi" w:cstheme="minorBidi"/>
          <w:snapToGrid/>
          <w:sz w:val="24"/>
          <w:szCs w:val="22"/>
        </w:rPr>
        <w:t xml:space="preserve">type </w:t>
      </w:r>
      <w:r w:rsidR="00A10795" w:rsidRPr="00960BC5">
        <w:rPr>
          <w:rFonts w:asciiTheme="minorHAnsi" w:eastAsiaTheme="minorHAnsi" w:hAnsiTheme="minorHAnsi" w:cstheme="minorBidi"/>
          <w:snapToGrid/>
          <w:sz w:val="24"/>
          <w:szCs w:val="22"/>
        </w:rPr>
        <w:t>b</w:t>
      </w:r>
      <w:r w:rsidR="00A10795">
        <w:rPr>
          <w:rFonts w:asciiTheme="minorHAnsi" w:eastAsiaTheme="minorHAnsi" w:hAnsiTheme="minorHAnsi" w:cstheme="minorBidi"/>
          <w:snapToGrid/>
          <w:sz w:val="24"/>
          <w:szCs w:val="22"/>
        </w:rPr>
        <w:t xml:space="preserve"> vaccine will move to</w:t>
      </w:r>
      <w:r w:rsidR="00C6105F">
        <w:rPr>
          <w:rFonts w:asciiTheme="minorHAnsi" w:eastAsiaTheme="minorHAnsi" w:hAnsiTheme="minorHAnsi" w:cstheme="minorBidi"/>
          <w:snapToGrid/>
          <w:sz w:val="24"/>
          <w:szCs w:val="22"/>
        </w:rPr>
        <w:t xml:space="preserve"> be given at</w:t>
      </w:r>
      <w:r w:rsidR="00A10795">
        <w:rPr>
          <w:rFonts w:asciiTheme="minorHAnsi" w:eastAsiaTheme="minorHAnsi" w:hAnsiTheme="minorHAnsi" w:cstheme="minorBidi"/>
          <w:snapToGrid/>
          <w:sz w:val="24"/>
          <w:szCs w:val="22"/>
        </w:rPr>
        <w:t xml:space="preserve"> 18 months of age with </w:t>
      </w:r>
      <w:r w:rsidR="00750EA4">
        <w:rPr>
          <w:rFonts w:asciiTheme="minorHAnsi" w:eastAsiaTheme="minorHAnsi" w:hAnsiTheme="minorHAnsi" w:cstheme="minorBidi"/>
          <w:snapToGrid/>
          <w:sz w:val="24"/>
          <w:szCs w:val="22"/>
        </w:rPr>
        <w:t>the</w:t>
      </w:r>
      <w:r w:rsidR="00A10795">
        <w:rPr>
          <w:rFonts w:asciiTheme="minorHAnsi" w:eastAsiaTheme="minorHAnsi" w:hAnsiTheme="minorHAnsi" w:cstheme="minorBidi"/>
          <w:snapToGrid/>
          <w:sz w:val="24"/>
          <w:szCs w:val="22"/>
        </w:rPr>
        <w:t xml:space="preserve"> </w:t>
      </w:r>
      <w:proofErr w:type="spellStart"/>
      <w:r w:rsidR="00A10795">
        <w:rPr>
          <w:rFonts w:asciiTheme="minorHAnsi" w:eastAsiaTheme="minorHAnsi" w:hAnsiTheme="minorHAnsi" w:cstheme="minorBidi"/>
          <w:snapToGrid/>
          <w:sz w:val="24"/>
          <w:szCs w:val="22"/>
        </w:rPr>
        <w:t>quadrivalent</w:t>
      </w:r>
      <w:proofErr w:type="spellEnd"/>
      <w:r w:rsidR="00A10795">
        <w:rPr>
          <w:rFonts w:asciiTheme="minorHAnsi" w:eastAsiaTheme="minorHAnsi" w:hAnsiTheme="minorHAnsi" w:cstheme="minorBidi"/>
          <w:snapToGrid/>
          <w:sz w:val="24"/>
          <w:szCs w:val="22"/>
        </w:rPr>
        <w:t xml:space="preserve"> meningococcal vaccine given at 12 months of age.</w:t>
      </w:r>
    </w:p>
    <w:p w:rsidR="002C6209" w:rsidRPr="00960BC5" w:rsidRDefault="0089048B" w:rsidP="00FF46DB">
      <w:pPr>
        <w:pStyle w:val="ListParagraph"/>
        <w:widowControl/>
        <w:numPr>
          <w:ilvl w:val="2"/>
          <w:numId w:val="14"/>
        </w:numPr>
        <w:spacing w:before="120" w:after="120"/>
        <w:ind w:left="1134" w:hanging="437"/>
        <w:contextualSpacing w:val="0"/>
        <w:rPr>
          <w:rFonts w:asciiTheme="minorHAnsi" w:eastAsiaTheme="minorHAnsi" w:hAnsiTheme="minorHAnsi" w:cstheme="minorBidi"/>
          <w:snapToGrid/>
          <w:sz w:val="24"/>
          <w:szCs w:val="22"/>
        </w:rPr>
      </w:pPr>
      <w:r w:rsidRPr="00960BC5">
        <w:rPr>
          <w:rFonts w:asciiTheme="minorHAnsi" w:eastAsiaTheme="minorHAnsi" w:hAnsiTheme="minorHAnsi" w:cstheme="minorBidi"/>
          <w:snapToGrid/>
          <w:sz w:val="24"/>
          <w:szCs w:val="22"/>
        </w:rPr>
        <w:t xml:space="preserve">It </w:t>
      </w:r>
      <w:r w:rsidR="00243405" w:rsidRPr="00960BC5">
        <w:rPr>
          <w:rFonts w:asciiTheme="minorHAnsi" w:eastAsiaTheme="minorHAnsi" w:hAnsiTheme="minorHAnsi" w:cstheme="minorBidi"/>
          <w:snapToGrid/>
          <w:sz w:val="24"/>
          <w:szCs w:val="22"/>
        </w:rPr>
        <w:t xml:space="preserve">will be </w:t>
      </w:r>
      <w:r w:rsidRPr="00960BC5">
        <w:rPr>
          <w:rFonts w:asciiTheme="minorHAnsi" w:eastAsiaTheme="minorHAnsi" w:hAnsiTheme="minorHAnsi" w:cstheme="minorBidi"/>
          <w:snapToGrid/>
          <w:sz w:val="24"/>
          <w:szCs w:val="22"/>
        </w:rPr>
        <w:t xml:space="preserve">important to ensure timeliness of the 13vPCV booster dose at age 12 months to avoid any potential compromise to protection by lengthening the window between the 2nd dose and the booster dose. </w:t>
      </w:r>
      <w:r w:rsidR="002C6209" w:rsidRPr="00960BC5">
        <w:rPr>
          <w:rFonts w:asciiTheme="minorHAnsi" w:eastAsiaTheme="minorHAnsi" w:hAnsiTheme="minorHAnsi" w:cstheme="minorBidi"/>
          <w:snapToGrid/>
          <w:sz w:val="24"/>
          <w:szCs w:val="22"/>
        </w:rPr>
        <w:t xml:space="preserve">Minor increases in cold chain capacity and storage space requirements </w:t>
      </w:r>
      <w:r w:rsidR="00243405" w:rsidRPr="00960BC5">
        <w:rPr>
          <w:rFonts w:asciiTheme="minorHAnsi" w:eastAsiaTheme="minorHAnsi" w:hAnsiTheme="minorHAnsi" w:cstheme="minorBidi"/>
          <w:snapToGrid/>
          <w:sz w:val="24"/>
          <w:szCs w:val="22"/>
        </w:rPr>
        <w:t xml:space="preserve">will </w:t>
      </w:r>
      <w:r w:rsidR="006D73EB" w:rsidRPr="00960BC5">
        <w:rPr>
          <w:rFonts w:asciiTheme="minorHAnsi" w:eastAsiaTheme="minorHAnsi" w:hAnsiTheme="minorHAnsi" w:cstheme="minorBidi"/>
          <w:snapToGrid/>
          <w:sz w:val="24"/>
          <w:szCs w:val="22"/>
        </w:rPr>
        <w:t>occur due to t</w:t>
      </w:r>
      <w:r w:rsidR="002C6209" w:rsidRPr="00960BC5">
        <w:rPr>
          <w:rFonts w:asciiTheme="minorHAnsi" w:eastAsiaTheme="minorHAnsi" w:hAnsiTheme="minorHAnsi" w:cstheme="minorBidi"/>
          <w:snapToGrid/>
          <w:sz w:val="24"/>
          <w:szCs w:val="22"/>
        </w:rPr>
        <w:t>he addition of an alternative vaccine.</w:t>
      </w:r>
    </w:p>
    <w:p w:rsidR="002C6209" w:rsidRPr="00960BC5" w:rsidRDefault="00F5026A" w:rsidP="00FF46DB">
      <w:pPr>
        <w:pStyle w:val="ListParagraph"/>
        <w:widowControl/>
        <w:numPr>
          <w:ilvl w:val="2"/>
          <w:numId w:val="14"/>
        </w:numPr>
        <w:spacing w:before="120" w:after="120"/>
        <w:ind w:left="1134" w:hanging="437"/>
        <w:contextualSpacing w:val="0"/>
        <w:rPr>
          <w:rFonts w:asciiTheme="minorHAnsi" w:eastAsiaTheme="minorHAnsi" w:hAnsiTheme="minorHAnsi" w:cstheme="minorBidi"/>
          <w:snapToGrid/>
          <w:sz w:val="24"/>
          <w:szCs w:val="22"/>
        </w:rPr>
      </w:pPr>
      <w:r w:rsidRPr="00960BC5">
        <w:rPr>
          <w:rFonts w:asciiTheme="minorHAnsi" w:eastAsiaTheme="minorHAnsi" w:hAnsiTheme="minorHAnsi" w:cstheme="minorBidi"/>
          <w:snapToGrid/>
          <w:sz w:val="24"/>
          <w:szCs w:val="22"/>
        </w:rPr>
        <w:t>E</w:t>
      </w:r>
      <w:r w:rsidR="0089048B" w:rsidRPr="00960BC5">
        <w:rPr>
          <w:rFonts w:asciiTheme="minorHAnsi" w:eastAsiaTheme="minorHAnsi" w:hAnsiTheme="minorHAnsi" w:cstheme="minorBidi"/>
          <w:snapToGrid/>
          <w:sz w:val="24"/>
          <w:szCs w:val="22"/>
        </w:rPr>
        <w:t xml:space="preserve">ducation and communication to providers </w:t>
      </w:r>
      <w:r w:rsidR="00620CFF">
        <w:rPr>
          <w:rFonts w:asciiTheme="minorHAnsi" w:eastAsiaTheme="minorHAnsi" w:hAnsiTheme="minorHAnsi" w:cstheme="minorBidi"/>
          <w:snapToGrid/>
          <w:sz w:val="24"/>
          <w:szCs w:val="22"/>
        </w:rPr>
        <w:t>would need</w:t>
      </w:r>
      <w:r w:rsidR="0089048B" w:rsidRPr="00960BC5">
        <w:rPr>
          <w:rFonts w:asciiTheme="minorHAnsi" w:eastAsiaTheme="minorHAnsi" w:hAnsiTheme="minorHAnsi" w:cstheme="minorBidi"/>
          <w:snapToGrid/>
          <w:sz w:val="24"/>
          <w:szCs w:val="22"/>
        </w:rPr>
        <w:t xml:space="preserve"> to be managed carefully to ensure a smooth transition and minimise any confusion around the new schedule requirements. The change </w:t>
      </w:r>
      <w:r w:rsidR="00620CFF">
        <w:rPr>
          <w:rFonts w:asciiTheme="minorHAnsi" w:eastAsiaTheme="minorHAnsi" w:hAnsiTheme="minorHAnsi" w:cstheme="minorBidi"/>
          <w:snapToGrid/>
          <w:sz w:val="24"/>
          <w:szCs w:val="22"/>
        </w:rPr>
        <w:t>would need</w:t>
      </w:r>
      <w:r w:rsidR="0089048B" w:rsidRPr="00960BC5">
        <w:rPr>
          <w:rFonts w:asciiTheme="minorHAnsi" w:eastAsiaTheme="minorHAnsi" w:hAnsiTheme="minorHAnsi" w:cstheme="minorBidi"/>
          <w:snapToGrid/>
          <w:sz w:val="24"/>
          <w:szCs w:val="22"/>
        </w:rPr>
        <w:t xml:space="preserve"> to be communicated to the public with the rationale clearly explained. </w:t>
      </w:r>
    </w:p>
    <w:p w:rsidR="0089048B" w:rsidRDefault="0089048B" w:rsidP="00FF46DB">
      <w:pPr>
        <w:pStyle w:val="ListParagraph"/>
        <w:widowControl/>
        <w:numPr>
          <w:ilvl w:val="2"/>
          <w:numId w:val="14"/>
        </w:numPr>
        <w:spacing w:before="120" w:after="120"/>
        <w:ind w:left="1134" w:hanging="437"/>
        <w:contextualSpacing w:val="0"/>
        <w:rPr>
          <w:rFonts w:asciiTheme="minorHAnsi" w:eastAsiaTheme="minorHAnsi" w:hAnsiTheme="minorHAnsi" w:cstheme="minorBidi"/>
          <w:snapToGrid/>
          <w:sz w:val="24"/>
          <w:szCs w:val="22"/>
        </w:rPr>
      </w:pPr>
      <w:r w:rsidRPr="00960BC5">
        <w:rPr>
          <w:rFonts w:asciiTheme="minorHAnsi" w:eastAsiaTheme="minorHAnsi" w:hAnsiTheme="minorHAnsi" w:cstheme="minorBidi"/>
          <w:snapToGrid/>
          <w:sz w:val="24"/>
          <w:szCs w:val="22"/>
        </w:rPr>
        <w:t xml:space="preserve">Eligibility for the 2+1 schedule would be defined as all children that reach 6 months of age after the schedule change comes into effect. Accordingly a cut off birth date would be specified to identify eligible children. The </w:t>
      </w:r>
      <w:r w:rsidR="00FE1498" w:rsidRPr="00960BC5">
        <w:rPr>
          <w:rFonts w:asciiTheme="minorHAnsi" w:eastAsiaTheme="minorHAnsi" w:hAnsiTheme="minorHAnsi" w:cstheme="minorBidi"/>
          <w:snapToGrid/>
          <w:sz w:val="24"/>
          <w:szCs w:val="22"/>
        </w:rPr>
        <w:t>Australian Immunisation Handbook (</w:t>
      </w:r>
      <w:r w:rsidRPr="00960BC5">
        <w:rPr>
          <w:rFonts w:asciiTheme="minorHAnsi" w:eastAsiaTheme="minorHAnsi" w:hAnsiTheme="minorHAnsi" w:cstheme="minorBidi"/>
          <w:snapToGrid/>
          <w:sz w:val="24"/>
          <w:szCs w:val="22"/>
        </w:rPr>
        <w:t>AIH</w:t>
      </w:r>
      <w:r w:rsidR="00FE1498" w:rsidRPr="00960BC5">
        <w:rPr>
          <w:rFonts w:asciiTheme="minorHAnsi" w:eastAsiaTheme="minorHAnsi" w:hAnsiTheme="minorHAnsi" w:cstheme="minorBidi"/>
          <w:snapToGrid/>
          <w:sz w:val="24"/>
          <w:szCs w:val="22"/>
        </w:rPr>
        <w:t>)</w:t>
      </w:r>
      <w:r w:rsidRPr="00960BC5">
        <w:rPr>
          <w:rFonts w:asciiTheme="minorHAnsi" w:eastAsiaTheme="minorHAnsi" w:hAnsiTheme="minorHAnsi" w:cstheme="minorBidi"/>
          <w:snapToGrid/>
          <w:sz w:val="24"/>
          <w:szCs w:val="22"/>
        </w:rPr>
        <w:t xml:space="preserve"> would be updated with revised recommendations for catch up doses in children who present without having completed the age appropriate course of 13vPCV.</w:t>
      </w:r>
    </w:p>
    <w:p w:rsidR="007534EE" w:rsidRPr="00D532AC" w:rsidRDefault="007534EE" w:rsidP="007534EE">
      <w:pPr>
        <w:spacing w:before="120" w:after="160"/>
        <w:rPr>
          <w:rFonts w:asciiTheme="minorHAnsi" w:eastAsiaTheme="minorHAnsi" w:hAnsiTheme="minorHAnsi" w:cstheme="minorBidi"/>
          <w:szCs w:val="22"/>
        </w:rPr>
      </w:pPr>
      <w:r w:rsidRPr="00822C24">
        <w:rPr>
          <w:rFonts w:asciiTheme="minorHAnsi" w:eastAsiaTheme="minorHAnsi" w:hAnsiTheme="minorHAnsi" w:cstheme="minorBidi"/>
          <w:i/>
        </w:rPr>
        <w:t xml:space="preserve">For more detail on the PBAC’s view, see section </w:t>
      </w:r>
      <w:r w:rsidR="00A92174" w:rsidRPr="00822C24">
        <w:rPr>
          <w:rFonts w:asciiTheme="minorHAnsi" w:eastAsiaTheme="minorHAnsi" w:hAnsiTheme="minorHAnsi" w:cstheme="minorBidi"/>
          <w:i/>
        </w:rPr>
        <w:t>6</w:t>
      </w:r>
      <w:r w:rsidRPr="00822C24">
        <w:rPr>
          <w:rFonts w:asciiTheme="minorHAnsi" w:eastAsiaTheme="minorHAnsi" w:hAnsiTheme="minorHAnsi" w:cstheme="minorBidi"/>
          <w:i/>
        </w:rPr>
        <w:t xml:space="preserve"> PBAC outcome.</w:t>
      </w:r>
    </w:p>
    <w:p w:rsidR="000B558D" w:rsidRPr="007534EE" w:rsidRDefault="008D7A41" w:rsidP="000A0C36">
      <w:pPr>
        <w:pStyle w:val="PBACHeading1"/>
      </w:pPr>
      <w:r w:rsidRPr="007534EE">
        <w:t>C</w:t>
      </w:r>
      <w:r w:rsidR="00D84934" w:rsidRPr="007534EE">
        <w:t>onsideration of the evidence</w:t>
      </w:r>
    </w:p>
    <w:p w:rsidR="00D532AC" w:rsidRPr="000A0C36" w:rsidRDefault="00D532AC" w:rsidP="000A0C36">
      <w:pPr>
        <w:pStyle w:val="Heading2"/>
      </w:pPr>
      <w:r w:rsidRPr="000A0C36">
        <w:t>Sponsor hearing</w:t>
      </w:r>
    </w:p>
    <w:p w:rsidR="00D532AC" w:rsidRPr="007534EE" w:rsidRDefault="00D532AC" w:rsidP="00D532AC">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7534EE">
        <w:rPr>
          <w:rFonts w:asciiTheme="minorHAnsi" w:eastAsiaTheme="minorHAnsi" w:hAnsiTheme="minorHAnsi" w:cstheme="minorBidi"/>
          <w:snapToGrid/>
          <w:sz w:val="24"/>
          <w:szCs w:val="22"/>
        </w:rPr>
        <w:t>There was no hearing for this item as it was a minor submission.</w:t>
      </w:r>
    </w:p>
    <w:p w:rsidR="00D532AC" w:rsidRPr="007534EE" w:rsidRDefault="00D532AC" w:rsidP="000A0C36">
      <w:pPr>
        <w:pStyle w:val="Heading2"/>
      </w:pPr>
      <w:r w:rsidRPr="007534EE">
        <w:t>Consumer comments</w:t>
      </w:r>
    </w:p>
    <w:p w:rsidR="007534EE" w:rsidRPr="00BC2A42" w:rsidRDefault="00826491" w:rsidP="00BC2A42">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7534EE">
        <w:rPr>
          <w:rFonts w:asciiTheme="minorHAnsi" w:hAnsiTheme="minorHAnsi"/>
          <w:bCs/>
          <w:sz w:val="24"/>
          <w:szCs w:val="24"/>
        </w:rPr>
        <w:t>The PBAC noted and welcomed the input from one individual via the Consumer Comments facility on the PBS website.</w:t>
      </w:r>
      <w:r w:rsidR="00BC2A42">
        <w:rPr>
          <w:rFonts w:asciiTheme="minorHAnsi" w:hAnsiTheme="minorHAnsi"/>
          <w:bCs/>
          <w:sz w:val="24"/>
          <w:szCs w:val="24"/>
        </w:rPr>
        <w:t xml:space="preserve"> </w:t>
      </w:r>
    </w:p>
    <w:p w:rsidR="00D532AC" w:rsidRDefault="00D532AC" w:rsidP="000A0C36">
      <w:pPr>
        <w:pStyle w:val="Heading2"/>
      </w:pPr>
      <w:r>
        <w:t>Summary of evidence</w:t>
      </w:r>
    </w:p>
    <w:p w:rsidR="00A57FE5" w:rsidRPr="00960BC5" w:rsidRDefault="00B60CF9" w:rsidP="00FF46D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960BC5">
        <w:rPr>
          <w:rFonts w:asciiTheme="minorHAnsi" w:eastAsiaTheme="minorHAnsi" w:hAnsiTheme="minorHAnsi" w:cstheme="minorBidi"/>
          <w:snapToGrid/>
          <w:sz w:val="24"/>
          <w:szCs w:val="22"/>
        </w:rPr>
        <w:t>Below is a s</w:t>
      </w:r>
      <w:r w:rsidR="00AA6169" w:rsidRPr="00960BC5">
        <w:rPr>
          <w:rFonts w:asciiTheme="minorHAnsi" w:eastAsiaTheme="minorHAnsi" w:hAnsiTheme="minorHAnsi" w:cstheme="minorBidi"/>
          <w:snapToGrid/>
          <w:sz w:val="24"/>
          <w:szCs w:val="22"/>
        </w:rPr>
        <w:t xml:space="preserve">ummary of </w:t>
      </w:r>
      <w:r w:rsidRPr="00960BC5">
        <w:rPr>
          <w:rFonts w:asciiTheme="minorHAnsi" w:eastAsiaTheme="minorHAnsi" w:hAnsiTheme="minorHAnsi" w:cstheme="minorBidi"/>
          <w:snapToGrid/>
          <w:sz w:val="24"/>
          <w:szCs w:val="22"/>
        </w:rPr>
        <w:t xml:space="preserve">the </w:t>
      </w:r>
      <w:r w:rsidR="00AA6169" w:rsidRPr="00960BC5">
        <w:rPr>
          <w:rFonts w:asciiTheme="minorHAnsi" w:eastAsiaTheme="minorHAnsi" w:hAnsiTheme="minorHAnsi" w:cstheme="minorBidi"/>
          <w:snapToGrid/>
          <w:sz w:val="24"/>
          <w:szCs w:val="22"/>
        </w:rPr>
        <w:t>evidence underpinning ATAGI’s proposed childhood 13vPCV schedule recommendation</w:t>
      </w:r>
      <w:r w:rsidR="00A57FE5" w:rsidRPr="00960BC5">
        <w:rPr>
          <w:rFonts w:asciiTheme="minorHAnsi" w:eastAsiaTheme="minorHAnsi" w:hAnsiTheme="minorHAnsi" w:cstheme="minorBidi"/>
          <w:snapToGrid/>
          <w:sz w:val="24"/>
          <w:szCs w:val="22"/>
        </w:rPr>
        <w:t>:</w:t>
      </w:r>
    </w:p>
    <w:p w:rsidR="00B60CF9" w:rsidRPr="00960BC5" w:rsidRDefault="009B3274" w:rsidP="00FF46DB">
      <w:pPr>
        <w:pStyle w:val="ListParagraph"/>
        <w:widowControl/>
        <w:numPr>
          <w:ilvl w:val="2"/>
          <w:numId w:val="14"/>
        </w:numPr>
        <w:spacing w:before="120" w:after="120"/>
        <w:ind w:left="1134" w:hanging="437"/>
        <w:contextualSpacing w:val="0"/>
        <w:rPr>
          <w:rFonts w:asciiTheme="minorHAnsi" w:eastAsiaTheme="minorHAnsi" w:hAnsiTheme="minorHAnsi" w:cstheme="minorBidi"/>
          <w:snapToGrid/>
          <w:sz w:val="24"/>
        </w:rPr>
      </w:pPr>
      <w:r w:rsidRPr="00960BC5">
        <w:rPr>
          <w:rFonts w:asciiTheme="minorHAnsi" w:eastAsiaTheme="minorHAnsi" w:hAnsiTheme="minorHAnsi" w:cstheme="minorBidi"/>
          <w:snapToGrid/>
          <w:sz w:val="24"/>
          <w:szCs w:val="22"/>
        </w:rPr>
        <w:t>Surveillance data demonstrat</w:t>
      </w:r>
      <w:r w:rsidR="00305BC5" w:rsidRPr="00960BC5">
        <w:rPr>
          <w:rFonts w:asciiTheme="minorHAnsi" w:eastAsiaTheme="minorHAnsi" w:hAnsiTheme="minorHAnsi" w:cstheme="minorBidi"/>
          <w:snapToGrid/>
          <w:sz w:val="24"/>
          <w:szCs w:val="22"/>
        </w:rPr>
        <w:t>ing</w:t>
      </w:r>
      <w:r w:rsidRPr="00960BC5">
        <w:rPr>
          <w:rFonts w:asciiTheme="minorHAnsi" w:eastAsiaTheme="minorHAnsi" w:hAnsiTheme="minorHAnsi" w:cstheme="minorBidi"/>
          <w:snapToGrid/>
          <w:sz w:val="24"/>
          <w:szCs w:val="22"/>
        </w:rPr>
        <w:t xml:space="preserve"> inferior direct protection provided by the current 3+0 schedule. The breakthrough cases were predominantly due to serotypes 19A and 3, with the majority of cases occurring in children in the second year of life.</w:t>
      </w:r>
      <w:r w:rsidR="00B60CF9" w:rsidRPr="00960BC5">
        <w:rPr>
          <w:rFonts w:asciiTheme="minorHAnsi" w:eastAsiaTheme="minorHAnsi" w:hAnsiTheme="minorHAnsi" w:cstheme="minorBidi"/>
          <w:snapToGrid/>
          <w:sz w:val="24"/>
          <w:szCs w:val="22"/>
        </w:rPr>
        <w:t xml:space="preserve"> </w:t>
      </w:r>
    </w:p>
    <w:p w:rsidR="00B60CF9" w:rsidRPr="00960BC5" w:rsidRDefault="00B60CF9" w:rsidP="00FF46DB">
      <w:pPr>
        <w:pStyle w:val="ListParagraph"/>
        <w:widowControl/>
        <w:numPr>
          <w:ilvl w:val="2"/>
          <w:numId w:val="14"/>
        </w:numPr>
        <w:spacing w:before="120" w:after="120"/>
        <w:ind w:left="1134" w:hanging="437"/>
        <w:contextualSpacing w:val="0"/>
        <w:rPr>
          <w:rFonts w:asciiTheme="minorHAnsi" w:eastAsiaTheme="minorHAnsi" w:hAnsiTheme="minorHAnsi" w:cstheme="minorBidi"/>
          <w:snapToGrid/>
          <w:sz w:val="24"/>
        </w:rPr>
      </w:pPr>
      <w:r w:rsidRPr="00960BC5">
        <w:rPr>
          <w:rFonts w:asciiTheme="minorHAnsi" w:eastAsiaTheme="minorHAnsi" w:hAnsiTheme="minorHAnsi" w:cstheme="minorBidi"/>
          <w:snapToGrid/>
          <w:sz w:val="24"/>
          <w:szCs w:val="22"/>
        </w:rPr>
        <w:t>Unpublished data on the incidence of IPD in vaccinated children in the UK and USA for comparison with Australian data.</w:t>
      </w:r>
    </w:p>
    <w:p w:rsidR="003A0405" w:rsidRPr="00960BC5" w:rsidRDefault="003A0405" w:rsidP="00FF46DB">
      <w:pPr>
        <w:pStyle w:val="ListParagraph"/>
        <w:widowControl/>
        <w:numPr>
          <w:ilvl w:val="2"/>
          <w:numId w:val="14"/>
        </w:numPr>
        <w:spacing w:before="120" w:after="120"/>
        <w:ind w:left="1134" w:hanging="437"/>
        <w:contextualSpacing w:val="0"/>
        <w:rPr>
          <w:rFonts w:asciiTheme="minorHAnsi" w:eastAsiaTheme="minorHAnsi" w:hAnsiTheme="minorHAnsi" w:cstheme="minorBidi"/>
          <w:snapToGrid/>
          <w:sz w:val="24"/>
        </w:rPr>
      </w:pPr>
      <w:r w:rsidRPr="00960BC5">
        <w:rPr>
          <w:rFonts w:asciiTheme="minorHAnsi" w:eastAsiaTheme="minorHAnsi" w:hAnsiTheme="minorHAnsi" w:cstheme="minorBidi"/>
          <w:snapToGrid/>
          <w:sz w:val="24"/>
          <w:szCs w:val="22"/>
        </w:rPr>
        <w:lastRenderedPageBreak/>
        <w:t>S</w:t>
      </w:r>
      <w:r w:rsidR="00B60CF9" w:rsidRPr="00960BC5">
        <w:rPr>
          <w:rFonts w:asciiTheme="minorHAnsi" w:eastAsiaTheme="minorHAnsi" w:hAnsiTheme="minorHAnsi" w:cstheme="minorBidi"/>
          <w:snapToGrid/>
          <w:sz w:val="24"/>
          <w:szCs w:val="22"/>
        </w:rPr>
        <w:t>urveillance data demonstrat</w:t>
      </w:r>
      <w:r w:rsidR="00305BC5" w:rsidRPr="00960BC5">
        <w:rPr>
          <w:rFonts w:asciiTheme="minorHAnsi" w:eastAsiaTheme="minorHAnsi" w:hAnsiTheme="minorHAnsi" w:cstheme="minorBidi"/>
          <w:snapToGrid/>
          <w:sz w:val="24"/>
          <w:szCs w:val="22"/>
        </w:rPr>
        <w:t>ing</w:t>
      </w:r>
      <w:r w:rsidRPr="00960BC5">
        <w:rPr>
          <w:rFonts w:asciiTheme="minorHAnsi" w:eastAsiaTheme="minorHAnsi" w:hAnsiTheme="minorHAnsi" w:cstheme="minorBidi"/>
          <w:snapToGrid/>
          <w:sz w:val="24"/>
          <w:szCs w:val="22"/>
        </w:rPr>
        <w:t xml:space="preserve"> inferior indirect protection provided by the current 3+0 schedule</w:t>
      </w:r>
      <w:r w:rsidR="00B60CF9" w:rsidRPr="00960BC5">
        <w:rPr>
          <w:rFonts w:asciiTheme="minorHAnsi" w:eastAsiaTheme="minorHAnsi" w:hAnsiTheme="minorHAnsi" w:cstheme="minorBidi"/>
          <w:snapToGrid/>
          <w:sz w:val="24"/>
          <w:szCs w:val="22"/>
        </w:rPr>
        <w:t xml:space="preserve"> compared to the UK and USA, particularly in the 2-4 years age group.</w:t>
      </w:r>
    </w:p>
    <w:p w:rsidR="00D92DEA" w:rsidRPr="00960BC5" w:rsidRDefault="00B60CF9" w:rsidP="00FF46DB">
      <w:pPr>
        <w:pStyle w:val="ListParagraph"/>
        <w:widowControl/>
        <w:numPr>
          <w:ilvl w:val="2"/>
          <w:numId w:val="14"/>
        </w:numPr>
        <w:spacing w:before="120" w:after="120"/>
        <w:ind w:left="1134" w:hanging="437"/>
        <w:contextualSpacing w:val="0"/>
        <w:rPr>
          <w:rFonts w:asciiTheme="minorHAnsi" w:eastAsiaTheme="minorHAnsi" w:hAnsiTheme="minorHAnsi" w:cstheme="minorBidi"/>
          <w:snapToGrid/>
          <w:sz w:val="24"/>
        </w:rPr>
      </w:pPr>
      <w:r w:rsidRPr="00960BC5">
        <w:rPr>
          <w:rFonts w:asciiTheme="minorHAnsi" w:eastAsiaTheme="minorHAnsi" w:hAnsiTheme="minorHAnsi" w:cstheme="minorBidi"/>
          <w:snapToGrid/>
          <w:sz w:val="24"/>
          <w:szCs w:val="22"/>
        </w:rPr>
        <w:t xml:space="preserve">Vaccine effectiveness estimates for 3+0, 3+1 and 2+1 schedules of 13vPCV using </w:t>
      </w:r>
      <w:r w:rsidR="001448D2" w:rsidRPr="00960BC5">
        <w:rPr>
          <w:rFonts w:asciiTheme="minorHAnsi" w:eastAsiaTheme="minorHAnsi" w:hAnsiTheme="minorHAnsi" w:cstheme="minorBidi"/>
          <w:snapToGrid/>
          <w:sz w:val="24"/>
          <w:szCs w:val="22"/>
        </w:rPr>
        <w:t xml:space="preserve">comparative </w:t>
      </w:r>
      <w:r w:rsidRPr="00960BC5">
        <w:rPr>
          <w:rFonts w:asciiTheme="minorHAnsi" w:eastAsiaTheme="minorHAnsi" w:hAnsiTheme="minorHAnsi" w:cstheme="minorBidi"/>
          <w:snapToGrid/>
          <w:sz w:val="24"/>
          <w:szCs w:val="22"/>
        </w:rPr>
        <w:t>data from the UK, USA and Germany</w:t>
      </w:r>
      <w:r w:rsidR="001448D2" w:rsidRPr="00960BC5">
        <w:rPr>
          <w:rFonts w:asciiTheme="minorHAnsi" w:eastAsiaTheme="minorHAnsi" w:hAnsiTheme="minorHAnsi" w:cstheme="minorBidi"/>
          <w:snapToGrid/>
          <w:sz w:val="24"/>
          <w:szCs w:val="22"/>
        </w:rPr>
        <w:t>.</w:t>
      </w:r>
      <w:r w:rsidRPr="00960BC5">
        <w:rPr>
          <w:rFonts w:asciiTheme="minorHAnsi" w:eastAsiaTheme="minorHAnsi" w:hAnsiTheme="minorHAnsi" w:cstheme="minorBidi"/>
          <w:snapToGrid/>
          <w:sz w:val="24"/>
          <w:szCs w:val="22"/>
        </w:rPr>
        <w:t xml:space="preserve"> </w:t>
      </w:r>
    </w:p>
    <w:p w:rsidR="00D92DEA" w:rsidRPr="00960BC5" w:rsidRDefault="001448D2" w:rsidP="00FF46DB">
      <w:pPr>
        <w:pStyle w:val="ListParagraph"/>
        <w:widowControl/>
        <w:numPr>
          <w:ilvl w:val="2"/>
          <w:numId w:val="14"/>
        </w:numPr>
        <w:spacing w:before="120" w:after="120"/>
        <w:ind w:left="1134" w:hanging="437"/>
        <w:contextualSpacing w:val="0"/>
        <w:rPr>
          <w:rFonts w:asciiTheme="minorHAnsi" w:eastAsiaTheme="minorHAnsi" w:hAnsiTheme="minorHAnsi" w:cstheme="minorBidi"/>
          <w:snapToGrid/>
          <w:sz w:val="24"/>
        </w:rPr>
      </w:pPr>
      <w:r w:rsidRPr="00960BC5">
        <w:rPr>
          <w:rFonts w:asciiTheme="minorHAnsi" w:eastAsiaTheme="minorHAnsi" w:hAnsiTheme="minorHAnsi" w:cstheme="minorBidi"/>
          <w:snapToGrid/>
          <w:sz w:val="24"/>
          <w:szCs w:val="22"/>
        </w:rPr>
        <w:t>Vaccine immunogenicity and colonisation data for various PCV schedules.</w:t>
      </w:r>
    </w:p>
    <w:p w:rsidR="00D92DEA" w:rsidRPr="00960BC5" w:rsidRDefault="001448D2" w:rsidP="00FF46DB">
      <w:pPr>
        <w:pStyle w:val="ListParagraph"/>
        <w:widowControl/>
        <w:numPr>
          <w:ilvl w:val="2"/>
          <w:numId w:val="14"/>
        </w:numPr>
        <w:spacing w:before="120" w:after="120"/>
        <w:ind w:left="1134" w:hanging="437"/>
        <w:contextualSpacing w:val="0"/>
        <w:rPr>
          <w:rFonts w:asciiTheme="minorHAnsi" w:eastAsiaTheme="minorHAnsi" w:hAnsiTheme="minorHAnsi" w:cstheme="minorBidi"/>
          <w:snapToGrid/>
          <w:sz w:val="24"/>
        </w:rPr>
      </w:pPr>
      <w:r w:rsidRPr="00960BC5">
        <w:rPr>
          <w:rFonts w:asciiTheme="minorHAnsi" w:eastAsiaTheme="minorHAnsi" w:hAnsiTheme="minorHAnsi" w:cstheme="minorBidi"/>
          <w:snapToGrid/>
          <w:sz w:val="24"/>
          <w:szCs w:val="22"/>
        </w:rPr>
        <w:t>Modelled potential impact of a change in the childhood schedule to 2+1 or 3+1 schedule on the expected number of breakthrough cases.</w:t>
      </w:r>
    </w:p>
    <w:p w:rsidR="00A757B0" w:rsidRPr="00960BC5" w:rsidRDefault="000339EA" w:rsidP="00FF46D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960BC5">
        <w:rPr>
          <w:rFonts w:asciiTheme="minorHAnsi" w:eastAsiaTheme="minorHAnsi" w:hAnsiTheme="minorHAnsi" w:cstheme="minorBidi"/>
          <w:snapToGrid/>
          <w:sz w:val="24"/>
          <w:szCs w:val="22"/>
        </w:rPr>
        <w:t>On review of the evidence outlined above, ATAGI noted that:</w:t>
      </w:r>
    </w:p>
    <w:p w:rsidR="00A757B0" w:rsidRPr="00960BC5" w:rsidRDefault="000339EA" w:rsidP="00FF46DB">
      <w:pPr>
        <w:pStyle w:val="ListParagraph"/>
        <w:widowControl/>
        <w:numPr>
          <w:ilvl w:val="2"/>
          <w:numId w:val="14"/>
        </w:numPr>
        <w:spacing w:before="120" w:after="120"/>
        <w:ind w:left="1134" w:hanging="437"/>
        <w:contextualSpacing w:val="0"/>
        <w:rPr>
          <w:rFonts w:asciiTheme="minorHAnsi" w:eastAsiaTheme="minorHAnsi" w:hAnsiTheme="minorHAnsi" w:cstheme="minorBidi"/>
          <w:snapToGrid/>
          <w:sz w:val="24"/>
          <w:szCs w:val="22"/>
        </w:rPr>
      </w:pPr>
      <w:r w:rsidRPr="00960BC5">
        <w:rPr>
          <w:rFonts w:asciiTheme="minorHAnsi" w:eastAsiaTheme="minorHAnsi" w:hAnsiTheme="minorHAnsi" w:cstheme="minorBidi"/>
          <w:snapToGrid/>
          <w:sz w:val="24"/>
          <w:szCs w:val="22"/>
        </w:rPr>
        <w:t>R</w:t>
      </w:r>
      <w:r w:rsidR="00CE4106" w:rsidRPr="00960BC5">
        <w:rPr>
          <w:rFonts w:asciiTheme="minorHAnsi" w:eastAsiaTheme="minorHAnsi" w:hAnsiTheme="minorHAnsi" w:cstheme="minorBidi"/>
          <w:snapToGrid/>
          <w:sz w:val="24"/>
          <w:szCs w:val="22"/>
        </w:rPr>
        <w:t>egarding cases of breakthrough IPD in children ≥12 months of age</w:t>
      </w:r>
      <w:r w:rsidR="00A757B0" w:rsidRPr="00960BC5">
        <w:rPr>
          <w:rFonts w:asciiTheme="minorHAnsi" w:eastAsiaTheme="minorHAnsi" w:hAnsiTheme="minorHAnsi" w:cstheme="minorBidi"/>
          <w:snapToGrid/>
          <w:sz w:val="24"/>
          <w:szCs w:val="22"/>
        </w:rPr>
        <w:t>,</w:t>
      </w:r>
      <w:r w:rsidR="00CE4106" w:rsidRPr="00960BC5">
        <w:rPr>
          <w:rFonts w:asciiTheme="minorHAnsi" w:eastAsiaTheme="minorHAnsi" w:hAnsiTheme="minorHAnsi" w:cstheme="minorBidi"/>
          <w:snapToGrid/>
          <w:sz w:val="24"/>
          <w:szCs w:val="22"/>
        </w:rPr>
        <w:t xml:space="preserve"> there </w:t>
      </w:r>
      <w:r w:rsidR="00305BC5" w:rsidRPr="00960BC5">
        <w:rPr>
          <w:rFonts w:asciiTheme="minorHAnsi" w:eastAsiaTheme="minorHAnsi" w:hAnsiTheme="minorHAnsi" w:cstheme="minorBidi"/>
          <w:snapToGrid/>
          <w:sz w:val="24"/>
          <w:szCs w:val="22"/>
        </w:rPr>
        <w:t>wa</w:t>
      </w:r>
      <w:r w:rsidR="00CE4106" w:rsidRPr="00960BC5">
        <w:rPr>
          <w:rFonts w:asciiTheme="minorHAnsi" w:eastAsiaTheme="minorHAnsi" w:hAnsiTheme="minorHAnsi" w:cstheme="minorBidi"/>
          <w:snapToGrid/>
          <w:sz w:val="24"/>
          <w:szCs w:val="22"/>
        </w:rPr>
        <w:t>s a substantial excess in Australian children (rate 3.4 per 100,000) compared to those in the UK (2+1 schedule, rate 0.4 per 100,000) and USA (3+1 schedule, rate 0.6 per 100,000).</w:t>
      </w:r>
    </w:p>
    <w:p w:rsidR="000339EA" w:rsidRPr="00960BC5" w:rsidRDefault="000339EA" w:rsidP="00FF46DB">
      <w:pPr>
        <w:pStyle w:val="ListParagraph"/>
        <w:widowControl/>
        <w:numPr>
          <w:ilvl w:val="2"/>
          <w:numId w:val="14"/>
        </w:numPr>
        <w:spacing w:before="120" w:after="120"/>
        <w:ind w:left="1134" w:hanging="437"/>
        <w:contextualSpacing w:val="0"/>
        <w:rPr>
          <w:rFonts w:asciiTheme="minorHAnsi" w:eastAsiaTheme="minorHAnsi" w:hAnsiTheme="minorHAnsi" w:cstheme="minorBidi"/>
          <w:snapToGrid/>
          <w:sz w:val="24"/>
          <w:szCs w:val="22"/>
        </w:rPr>
      </w:pPr>
      <w:r w:rsidRPr="00960BC5">
        <w:rPr>
          <w:rFonts w:asciiTheme="minorHAnsi" w:eastAsiaTheme="minorHAnsi" w:hAnsiTheme="minorHAnsi" w:cstheme="minorBidi"/>
          <w:snapToGrid/>
          <w:sz w:val="24"/>
          <w:szCs w:val="22"/>
        </w:rPr>
        <w:t xml:space="preserve">The proportional reductions in incidence of IPD overall in the first five years of 13vPCV use </w:t>
      </w:r>
      <w:r w:rsidR="00305BC5" w:rsidRPr="00960BC5">
        <w:rPr>
          <w:rFonts w:asciiTheme="minorHAnsi" w:eastAsiaTheme="minorHAnsi" w:hAnsiTheme="minorHAnsi" w:cstheme="minorBidi"/>
          <w:snapToGrid/>
          <w:sz w:val="24"/>
          <w:szCs w:val="22"/>
        </w:rPr>
        <w:t>ha</w:t>
      </w:r>
      <w:r w:rsidRPr="00960BC5">
        <w:rPr>
          <w:rFonts w:asciiTheme="minorHAnsi" w:eastAsiaTheme="minorHAnsi" w:hAnsiTheme="minorHAnsi" w:cstheme="minorBidi"/>
          <w:snapToGrid/>
          <w:sz w:val="24"/>
          <w:szCs w:val="22"/>
        </w:rPr>
        <w:t>s</w:t>
      </w:r>
      <w:r w:rsidR="00305BC5" w:rsidRPr="00960BC5">
        <w:rPr>
          <w:rFonts w:asciiTheme="minorHAnsi" w:eastAsiaTheme="minorHAnsi" w:hAnsiTheme="minorHAnsi" w:cstheme="minorBidi"/>
          <w:snapToGrid/>
          <w:sz w:val="24"/>
          <w:szCs w:val="22"/>
        </w:rPr>
        <w:t xml:space="preserve"> been</w:t>
      </w:r>
      <w:r w:rsidRPr="00960BC5">
        <w:rPr>
          <w:rFonts w:asciiTheme="minorHAnsi" w:eastAsiaTheme="minorHAnsi" w:hAnsiTheme="minorHAnsi" w:cstheme="minorBidi"/>
          <w:snapToGrid/>
          <w:sz w:val="24"/>
          <w:szCs w:val="22"/>
        </w:rPr>
        <w:t xml:space="preserve"> substantially less in Australia than those observed in the UK and the USA. Specifically, in the 2–4 years age group, the reduction in IPD due to 13v-non7v types (i.e. serotypes in the 13-valent vaccine but not the previous 7-valent vaccine) observed in Australia </w:t>
      </w:r>
      <w:r w:rsidR="00305BC5" w:rsidRPr="00960BC5">
        <w:rPr>
          <w:rFonts w:asciiTheme="minorHAnsi" w:eastAsiaTheme="minorHAnsi" w:hAnsiTheme="minorHAnsi" w:cstheme="minorBidi"/>
          <w:snapToGrid/>
          <w:sz w:val="24"/>
          <w:szCs w:val="22"/>
        </w:rPr>
        <w:t>ha</w:t>
      </w:r>
      <w:r w:rsidRPr="00960BC5">
        <w:rPr>
          <w:rFonts w:asciiTheme="minorHAnsi" w:eastAsiaTheme="minorHAnsi" w:hAnsiTheme="minorHAnsi" w:cstheme="minorBidi"/>
          <w:snapToGrid/>
          <w:sz w:val="24"/>
          <w:szCs w:val="22"/>
        </w:rPr>
        <w:t xml:space="preserve">s </w:t>
      </w:r>
      <w:r w:rsidR="00305BC5" w:rsidRPr="00960BC5">
        <w:rPr>
          <w:rFonts w:asciiTheme="minorHAnsi" w:eastAsiaTheme="minorHAnsi" w:hAnsiTheme="minorHAnsi" w:cstheme="minorBidi"/>
          <w:snapToGrid/>
          <w:sz w:val="24"/>
          <w:szCs w:val="22"/>
        </w:rPr>
        <w:t xml:space="preserve">been </w:t>
      </w:r>
      <w:r w:rsidRPr="00960BC5">
        <w:rPr>
          <w:rFonts w:asciiTheme="minorHAnsi" w:eastAsiaTheme="minorHAnsi" w:hAnsiTheme="minorHAnsi" w:cstheme="minorBidi"/>
          <w:snapToGrid/>
          <w:sz w:val="24"/>
          <w:szCs w:val="22"/>
        </w:rPr>
        <w:t>significantly less than that in the UK and the USA.</w:t>
      </w:r>
      <w:r w:rsidR="00F94119" w:rsidRPr="00960BC5">
        <w:rPr>
          <w:rFonts w:asciiTheme="minorHAnsi" w:eastAsiaTheme="minorHAnsi" w:hAnsiTheme="minorHAnsi" w:cstheme="minorBidi"/>
          <w:snapToGrid/>
          <w:sz w:val="24"/>
          <w:szCs w:val="22"/>
        </w:rPr>
        <w:t xml:space="preserve">  ATAGI estimated that the introduction of a 2+1 schedule instead of a 3+0 schedule would have led to 269 fewer cases of 13vPCV type IPD </w:t>
      </w:r>
      <w:r w:rsidR="00DA6F04" w:rsidRPr="00960BC5">
        <w:rPr>
          <w:rFonts w:asciiTheme="minorHAnsi" w:eastAsiaTheme="minorHAnsi" w:hAnsiTheme="minorHAnsi" w:cstheme="minorBidi"/>
          <w:snapToGrid/>
          <w:sz w:val="24"/>
          <w:szCs w:val="22"/>
        </w:rPr>
        <w:t xml:space="preserve">in Australians of all ages </w:t>
      </w:r>
      <w:r w:rsidR="00F94119" w:rsidRPr="00960BC5">
        <w:rPr>
          <w:rFonts w:asciiTheme="minorHAnsi" w:eastAsiaTheme="minorHAnsi" w:hAnsiTheme="minorHAnsi" w:cstheme="minorBidi"/>
          <w:snapToGrid/>
          <w:sz w:val="24"/>
          <w:szCs w:val="22"/>
        </w:rPr>
        <w:t>in the 5th year post introduction, or a reduction of 268 cases with a 3+1 schedule</w:t>
      </w:r>
      <w:r w:rsidR="00DA6F04" w:rsidRPr="00960BC5">
        <w:rPr>
          <w:rFonts w:asciiTheme="minorHAnsi" w:eastAsiaTheme="minorHAnsi" w:hAnsiTheme="minorHAnsi" w:cstheme="minorBidi"/>
          <w:snapToGrid/>
          <w:sz w:val="24"/>
          <w:szCs w:val="22"/>
        </w:rPr>
        <w:t>.  This was translated to be a reduction of 90 IPD cases in children aged ≥12 months over a 4 year period for a 2+1 or 3+1 schedule</w:t>
      </w:r>
      <w:r w:rsidR="00F94119" w:rsidRPr="00960BC5">
        <w:rPr>
          <w:rFonts w:asciiTheme="minorHAnsi" w:eastAsiaTheme="minorHAnsi" w:hAnsiTheme="minorHAnsi" w:cstheme="minorBidi"/>
          <w:snapToGrid/>
          <w:sz w:val="24"/>
          <w:szCs w:val="22"/>
        </w:rPr>
        <w:t>.</w:t>
      </w:r>
    </w:p>
    <w:p w:rsidR="000339EA" w:rsidRPr="00960BC5" w:rsidRDefault="000339EA" w:rsidP="00FF46DB">
      <w:pPr>
        <w:pStyle w:val="ListParagraph"/>
        <w:widowControl/>
        <w:numPr>
          <w:ilvl w:val="2"/>
          <w:numId w:val="14"/>
        </w:numPr>
        <w:spacing w:before="120" w:after="120"/>
        <w:ind w:left="1134" w:hanging="437"/>
        <w:contextualSpacing w:val="0"/>
        <w:rPr>
          <w:rFonts w:asciiTheme="minorHAnsi" w:eastAsiaTheme="minorHAnsi" w:hAnsiTheme="minorHAnsi" w:cstheme="minorBidi"/>
          <w:snapToGrid/>
          <w:sz w:val="24"/>
          <w:szCs w:val="22"/>
        </w:rPr>
      </w:pPr>
      <w:r w:rsidRPr="00960BC5">
        <w:rPr>
          <w:rFonts w:asciiTheme="minorHAnsi" w:eastAsiaTheme="minorHAnsi" w:hAnsiTheme="minorHAnsi" w:cstheme="minorBidi"/>
          <w:snapToGrid/>
          <w:sz w:val="24"/>
          <w:szCs w:val="22"/>
        </w:rPr>
        <w:t xml:space="preserve">The vaccine effectiveness estimates, immunogenicity and colonisation data across the three schedules </w:t>
      </w:r>
      <w:r w:rsidR="00627F0B" w:rsidRPr="00960BC5">
        <w:rPr>
          <w:rFonts w:asciiTheme="minorHAnsi" w:eastAsiaTheme="minorHAnsi" w:hAnsiTheme="minorHAnsi" w:cstheme="minorBidi"/>
          <w:snapToGrid/>
          <w:sz w:val="24"/>
          <w:szCs w:val="22"/>
        </w:rPr>
        <w:t xml:space="preserve">were </w:t>
      </w:r>
      <w:r w:rsidRPr="00960BC5">
        <w:rPr>
          <w:rFonts w:asciiTheme="minorHAnsi" w:eastAsiaTheme="minorHAnsi" w:hAnsiTheme="minorHAnsi" w:cstheme="minorBidi"/>
          <w:snapToGrid/>
          <w:sz w:val="24"/>
          <w:szCs w:val="22"/>
        </w:rPr>
        <w:t>consistent with differences observed in changes of IPD incidence between the three schedules.</w:t>
      </w:r>
    </w:p>
    <w:p w:rsidR="00840660" w:rsidRPr="00960BC5" w:rsidRDefault="00840660" w:rsidP="00FF46D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960BC5">
        <w:rPr>
          <w:rFonts w:asciiTheme="minorHAnsi" w:eastAsiaTheme="minorHAnsi" w:hAnsiTheme="minorHAnsi" w:cstheme="minorBidi"/>
          <w:snapToGrid/>
          <w:sz w:val="24"/>
          <w:szCs w:val="22"/>
        </w:rPr>
        <w:t xml:space="preserve">The ATAGI advice noted that the second most prevalent serotype present in breakthrough cases or vaccine failures was serotype 3 (26% of breakthrough cases).  </w:t>
      </w:r>
      <w:r w:rsidR="00627F0B" w:rsidRPr="00960BC5">
        <w:rPr>
          <w:rFonts w:asciiTheme="minorHAnsi" w:eastAsiaTheme="minorHAnsi" w:hAnsiTheme="minorHAnsi" w:cstheme="minorBidi"/>
          <w:snapToGrid/>
          <w:sz w:val="24"/>
          <w:szCs w:val="22"/>
        </w:rPr>
        <w:t>The data presented in the ATAGI advice noted that for serotype 3 only, the 3+1 schedule showed statistically significant vaccine effectiveness, suggesting that protection against this serotype could be lower with three 13vPCV doses.</w:t>
      </w:r>
      <w:r w:rsidR="006C3DA5" w:rsidRPr="00960BC5">
        <w:rPr>
          <w:rFonts w:asciiTheme="minorHAnsi" w:eastAsiaTheme="minorHAnsi" w:hAnsiTheme="minorHAnsi" w:cstheme="minorBidi"/>
          <w:snapToGrid/>
          <w:sz w:val="24"/>
          <w:szCs w:val="22"/>
        </w:rPr>
        <w:t xml:space="preserve">  Serotype 19A is responsible for 58.3% of breakthroughs.</w:t>
      </w:r>
    </w:p>
    <w:p w:rsidR="00627F0B" w:rsidRPr="00960BC5" w:rsidRDefault="00627F0B" w:rsidP="00FF46D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960BC5">
        <w:rPr>
          <w:rFonts w:asciiTheme="minorHAnsi" w:eastAsiaTheme="minorHAnsi" w:hAnsiTheme="minorHAnsi" w:cstheme="minorBidi"/>
          <w:snapToGrid/>
          <w:sz w:val="24"/>
          <w:szCs w:val="22"/>
        </w:rPr>
        <w:t>A</w:t>
      </w:r>
      <w:r w:rsidR="00E94446">
        <w:rPr>
          <w:rFonts w:asciiTheme="minorHAnsi" w:eastAsiaTheme="minorHAnsi" w:hAnsiTheme="minorHAnsi" w:cstheme="minorBidi"/>
          <w:snapToGrid/>
          <w:sz w:val="24"/>
          <w:szCs w:val="22"/>
        </w:rPr>
        <w:t>TAGI noted that a</w:t>
      </w:r>
      <w:r w:rsidRPr="00960BC5">
        <w:rPr>
          <w:rFonts w:asciiTheme="minorHAnsi" w:eastAsiaTheme="minorHAnsi" w:hAnsiTheme="minorHAnsi" w:cstheme="minorBidi"/>
          <w:snapToGrid/>
          <w:sz w:val="24"/>
          <w:szCs w:val="22"/>
        </w:rPr>
        <w:t>ssessment of vaccine effectiveness in Australian children showed a decline in the point estimate of VE of 18% after the first 12 months of completing a 3 dose schedule with a further reduction of about 46% in the next 12 months. Waning based on a 3+1 schedule was not discussed.</w:t>
      </w:r>
    </w:p>
    <w:p w:rsidR="00242629" w:rsidRPr="00F132A3" w:rsidRDefault="00840660" w:rsidP="00FF46D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960BC5">
        <w:rPr>
          <w:rFonts w:asciiTheme="minorHAnsi" w:eastAsiaTheme="minorHAnsi" w:hAnsiTheme="minorHAnsi" w:cstheme="minorBidi"/>
          <w:snapToGrid/>
          <w:sz w:val="24"/>
          <w:szCs w:val="22"/>
        </w:rPr>
        <w:t xml:space="preserve">The ATAGI advice included data </w:t>
      </w:r>
      <w:r w:rsidR="006C3DA5" w:rsidRPr="00960BC5">
        <w:rPr>
          <w:rFonts w:asciiTheme="minorHAnsi" w:eastAsiaTheme="minorHAnsi" w:hAnsiTheme="minorHAnsi" w:cstheme="minorBidi"/>
          <w:snapToGrid/>
          <w:sz w:val="24"/>
          <w:szCs w:val="22"/>
        </w:rPr>
        <w:t>showing</w:t>
      </w:r>
      <w:r w:rsidRPr="00960BC5">
        <w:rPr>
          <w:rFonts w:asciiTheme="minorHAnsi" w:eastAsiaTheme="minorHAnsi" w:hAnsiTheme="minorHAnsi" w:cstheme="minorBidi"/>
          <w:snapToGrid/>
          <w:sz w:val="24"/>
          <w:szCs w:val="22"/>
        </w:rPr>
        <w:t xml:space="preserve"> rates of breakthrough cases in the &lt;12 mo</w:t>
      </w:r>
      <w:r w:rsidR="006C3DA5" w:rsidRPr="00960BC5">
        <w:rPr>
          <w:rFonts w:asciiTheme="minorHAnsi" w:eastAsiaTheme="minorHAnsi" w:hAnsiTheme="minorHAnsi" w:cstheme="minorBidi"/>
          <w:snapToGrid/>
          <w:sz w:val="24"/>
          <w:szCs w:val="22"/>
        </w:rPr>
        <w:t>n</w:t>
      </w:r>
      <w:r w:rsidRPr="00960BC5">
        <w:rPr>
          <w:rFonts w:asciiTheme="minorHAnsi" w:eastAsiaTheme="minorHAnsi" w:hAnsiTheme="minorHAnsi" w:cstheme="minorBidi"/>
          <w:snapToGrid/>
          <w:sz w:val="24"/>
          <w:szCs w:val="22"/>
        </w:rPr>
        <w:t xml:space="preserve">ths infant age group compared across the UK, Australia and the USA, </w:t>
      </w:r>
      <w:r w:rsidR="006C3DA5" w:rsidRPr="00960BC5">
        <w:rPr>
          <w:rFonts w:asciiTheme="minorHAnsi" w:eastAsiaTheme="minorHAnsi" w:hAnsiTheme="minorHAnsi" w:cstheme="minorBidi"/>
          <w:snapToGrid/>
          <w:sz w:val="24"/>
          <w:szCs w:val="22"/>
        </w:rPr>
        <w:t xml:space="preserve">where </w:t>
      </w:r>
      <w:r w:rsidRPr="00960BC5">
        <w:rPr>
          <w:rFonts w:asciiTheme="minorHAnsi" w:eastAsiaTheme="minorHAnsi" w:hAnsiTheme="minorHAnsi" w:cstheme="minorBidi"/>
          <w:snapToGrid/>
          <w:sz w:val="24"/>
          <w:szCs w:val="22"/>
        </w:rPr>
        <w:t xml:space="preserve">the </w:t>
      </w:r>
      <w:r w:rsidRPr="00960BC5">
        <w:rPr>
          <w:rFonts w:asciiTheme="minorHAnsi" w:eastAsiaTheme="minorHAnsi" w:hAnsiTheme="minorHAnsi" w:cstheme="minorBidi"/>
          <w:snapToGrid/>
          <w:sz w:val="24"/>
          <w:szCs w:val="22"/>
        </w:rPr>
        <w:lastRenderedPageBreak/>
        <w:t xml:space="preserve">UK had higher breakthrough rates (1.14 per 100,000 compared to 0.40 and 0.30 respectively).  The UK children had had two primary doses </w:t>
      </w:r>
      <w:r w:rsidR="00DA6F04" w:rsidRPr="00960BC5">
        <w:rPr>
          <w:rFonts w:asciiTheme="minorHAnsi" w:eastAsiaTheme="minorHAnsi" w:hAnsiTheme="minorHAnsi" w:cstheme="minorBidi"/>
          <w:snapToGrid/>
          <w:sz w:val="24"/>
          <w:szCs w:val="22"/>
        </w:rPr>
        <w:t>by</w:t>
      </w:r>
      <w:r w:rsidRPr="00960BC5">
        <w:rPr>
          <w:rFonts w:asciiTheme="minorHAnsi" w:eastAsiaTheme="minorHAnsi" w:hAnsiTheme="minorHAnsi" w:cstheme="minorBidi"/>
          <w:snapToGrid/>
          <w:sz w:val="24"/>
          <w:szCs w:val="22"/>
        </w:rPr>
        <w:t xml:space="preserve"> this </w:t>
      </w:r>
      <w:r w:rsidR="00DA6F04" w:rsidRPr="00960BC5">
        <w:rPr>
          <w:rFonts w:asciiTheme="minorHAnsi" w:eastAsiaTheme="minorHAnsi" w:hAnsiTheme="minorHAnsi" w:cstheme="minorBidi"/>
          <w:snapToGrid/>
          <w:sz w:val="24"/>
          <w:szCs w:val="22"/>
        </w:rPr>
        <w:t>age</w:t>
      </w:r>
      <w:r w:rsidRPr="00960BC5">
        <w:rPr>
          <w:rFonts w:asciiTheme="minorHAnsi" w:eastAsiaTheme="minorHAnsi" w:hAnsiTheme="minorHAnsi" w:cstheme="minorBidi"/>
          <w:snapToGrid/>
          <w:sz w:val="24"/>
          <w:szCs w:val="22"/>
        </w:rPr>
        <w:t xml:space="preserve">, the </w:t>
      </w:r>
      <w:r w:rsidR="00FE1601" w:rsidRPr="00960BC5">
        <w:rPr>
          <w:rFonts w:asciiTheme="minorHAnsi" w:eastAsiaTheme="minorHAnsi" w:hAnsiTheme="minorHAnsi" w:cstheme="minorBidi"/>
          <w:snapToGrid/>
          <w:sz w:val="24"/>
          <w:szCs w:val="22"/>
        </w:rPr>
        <w:t>Australian</w:t>
      </w:r>
      <w:r w:rsidRPr="00960BC5">
        <w:rPr>
          <w:rFonts w:asciiTheme="minorHAnsi" w:eastAsiaTheme="minorHAnsi" w:hAnsiTheme="minorHAnsi" w:cstheme="minorBidi"/>
          <w:snapToGrid/>
          <w:sz w:val="24"/>
          <w:szCs w:val="22"/>
        </w:rPr>
        <w:t xml:space="preserve"> and US children had had three primary doses.</w:t>
      </w:r>
      <w:r w:rsidR="000C649F" w:rsidRPr="00960BC5">
        <w:rPr>
          <w:rFonts w:asciiTheme="minorHAnsi" w:eastAsiaTheme="minorHAnsi" w:hAnsiTheme="minorHAnsi" w:cstheme="minorBidi"/>
          <w:snapToGrid/>
          <w:sz w:val="24"/>
          <w:szCs w:val="22"/>
        </w:rPr>
        <w:t xml:space="preserve">  </w:t>
      </w:r>
      <w:r w:rsidR="00DA6F04" w:rsidRPr="00960BC5">
        <w:rPr>
          <w:rFonts w:asciiTheme="minorHAnsi" w:eastAsiaTheme="minorHAnsi" w:hAnsiTheme="minorHAnsi" w:cstheme="minorBidi"/>
          <w:snapToGrid/>
          <w:sz w:val="24"/>
          <w:szCs w:val="22"/>
        </w:rPr>
        <w:t xml:space="preserve">Similarly, ATAGI modelling found that the introduction of a 2+1 schedule would increase the number of breakthrough cases in children aged 6 to 12 months of age by 11 over four years. </w:t>
      </w:r>
      <w:r w:rsidR="000C649F" w:rsidRPr="00960BC5">
        <w:rPr>
          <w:rFonts w:asciiTheme="minorHAnsi" w:eastAsiaTheme="minorHAnsi" w:hAnsiTheme="minorHAnsi" w:cstheme="minorBidi"/>
          <w:snapToGrid/>
          <w:sz w:val="24"/>
          <w:szCs w:val="22"/>
        </w:rPr>
        <w:t xml:space="preserve">The Australian data shows that the majority of breakthrough cases (57%) occur in the second year </w:t>
      </w:r>
      <w:r w:rsidR="000C649F" w:rsidRPr="00F132A3">
        <w:rPr>
          <w:rFonts w:asciiTheme="minorHAnsi" w:eastAsiaTheme="minorHAnsi" w:hAnsiTheme="minorHAnsi" w:cstheme="minorBidi"/>
          <w:snapToGrid/>
          <w:sz w:val="24"/>
          <w:szCs w:val="22"/>
        </w:rPr>
        <w:t>of life</w:t>
      </w:r>
      <w:r w:rsidR="00043D0C" w:rsidRPr="00F132A3">
        <w:rPr>
          <w:rFonts w:asciiTheme="minorHAnsi" w:eastAsiaTheme="minorHAnsi" w:hAnsiTheme="minorHAnsi" w:cstheme="minorBidi"/>
          <w:snapToGrid/>
          <w:sz w:val="24"/>
          <w:szCs w:val="22"/>
        </w:rPr>
        <w:t>.</w:t>
      </w:r>
    </w:p>
    <w:p w:rsidR="00FE1601" w:rsidRPr="00F132A3" w:rsidRDefault="00FE1601" w:rsidP="00FF46D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F132A3">
        <w:rPr>
          <w:rFonts w:asciiTheme="minorHAnsi" w:eastAsiaTheme="minorHAnsi" w:hAnsiTheme="minorHAnsi" w:cstheme="minorBidi"/>
          <w:snapToGrid/>
          <w:sz w:val="24"/>
          <w:szCs w:val="22"/>
        </w:rPr>
        <w:t>ATAGI advised that immunogenicity data for 13vPCV showed that a 2nd or 3rd infant dose &gt;5 months of age improved immunogenicity in the first year of life, whilst no differences in immunogenicity were observed</w:t>
      </w:r>
      <w:r w:rsidR="00FA5E6F">
        <w:rPr>
          <w:rFonts w:asciiTheme="minorHAnsi" w:eastAsiaTheme="minorHAnsi" w:hAnsiTheme="minorHAnsi" w:cstheme="minorBidi"/>
          <w:snapToGrid/>
          <w:sz w:val="24"/>
          <w:szCs w:val="22"/>
        </w:rPr>
        <w:t xml:space="preserve"> between the different infant schedules (</w:t>
      </w:r>
      <w:r w:rsidR="000D79CA">
        <w:rPr>
          <w:rFonts w:asciiTheme="minorHAnsi" w:eastAsiaTheme="minorHAnsi" w:hAnsiTheme="minorHAnsi" w:cstheme="minorBidi"/>
          <w:snapToGrid/>
          <w:sz w:val="24"/>
          <w:szCs w:val="22"/>
        </w:rPr>
        <w:t>i.e.</w:t>
      </w:r>
      <w:r w:rsidR="00FA5E6F">
        <w:rPr>
          <w:rFonts w:asciiTheme="minorHAnsi" w:eastAsiaTheme="minorHAnsi" w:hAnsiTheme="minorHAnsi" w:cstheme="minorBidi"/>
          <w:snapToGrid/>
          <w:sz w:val="24"/>
          <w:szCs w:val="22"/>
        </w:rPr>
        <w:t xml:space="preserve"> 2 or 3 dose)</w:t>
      </w:r>
      <w:r w:rsidRPr="00F132A3">
        <w:rPr>
          <w:rFonts w:asciiTheme="minorHAnsi" w:eastAsiaTheme="minorHAnsi" w:hAnsiTheme="minorHAnsi" w:cstheme="minorBidi"/>
          <w:snapToGrid/>
          <w:sz w:val="24"/>
          <w:szCs w:val="22"/>
        </w:rPr>
        <w:t xml:space="preserve"> in children receiving a second year of life booster</w:t>
      </w:r>
      <w:r w:rsidR="006C3DA5" w:rsidRPr="00F132A3">
        <w:rPr>
          <w:rFonts w:asciiTheme="minorHAnsi" w:eastAsiaTheme="minorHAnsi" w:hAnsiTheme="minorHAnsi" w:cstheme="minorBidi"/>
          <w:snapToGrid/>
          <w:sz w:val="24"/>
          <w:szCs w:val="22"/>
        </w:rPr>
        <w:t xml:space="preserve">.  </w:t>
      </w:r>
    </w:p>
    <w:p w:rsidR="00043D0C" w:rsidRDefault="00043D0C" w:rsidP="00FF46D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960BC5">
        <w:rPr>
          <w:rFonts w:asciiTheme="minorHAnsi" w:eastAsiaTheme="minorHAnsi" w:hAnsiTheme="minorHAnsi" w:cstheme="minorBidi"/>
          <w:snapToGrid/>
          <w:sz w:val="24"/>
          <w:szCs w:val="22"/>
        </w:rPr>
        <w:t xml:space="preserve">In summary, ATAGI considered that there was clear evidence to suggest that the current 3+0 schedule for 13vPCV in the childhood vaccination program was inferior to 2+1 and 3+1 schedule due to earlier waning of immunity and poorer protection in the toddler age group, and due to indirect impacts on older age groups. ATAGI advised that it was feasible to move to a 2+1 schedule for healthy children and that a booster dose in the 2nd year of life was critical in the 13vPCV schedule to optimise both direct and indirect benefits of the 13vPCV program for all children in Australia. </w:t>
      </w:r>
    </w:p>
    <w:p w:rsidR="00DF6477" w:rsidRPr="007E1C22" w:rsidRDefault="006957C6" w:rsidP="00CF4A6A">
      <w:pPr>
        <w:pStyle w:val="ListParagraph"/>
        <w:widowControl/>
        <w:numPr>
          <w:ilvl w:val="1"/>
          <w:numId w:val="14"/>
        </w:numPr>
        <w:spacing w:after="120"/>
        <w:contextualSpacing w:val="0"/>
        <w:rPr>
          <w:rFonts w:asciiTheme="minorHAnsi" w:hAnsiTheme="minorHAnsi"/>
          <w:sz w:val="24"/>
          <w:szCs w:val="24"/>
        </w:rPr>
      </w:pPr>
      <w:r w:rsidRPr="001E5A2B">
        <w:rPr>
          <w:rFonts w:asciiTheme="minorHAnsi" w:eastAsiaTheme="minorHAnsi" w:hAnsiTheme="minorHAnsi" w:cstheme="minorBidi"/>
          <w:snapToGrid/>
          <w:sz w:val="24"/>
          <w:szCs w:val="22"/>
        </w:rPr>
        <w:t>The PBAC considered ATAGI’s advice and noted the data relating to the</w:t>
      </w:r>
      <w:r w:rsidR="00A768A3" w:rsidRPr="001E5A2B">
        <w:rPr>
          <w:rFonts w:asciiTheme="minorHAnsi" w:eastAsiaTheme="minorHAnsi" w:hAnsiTheme="minorHAnsi" w:cstheme="minorBidi"/>
          <w:snapToGrid/>
          <w:sz w:val="24"/>
          <w:szCs w:val="22"/>
        </w:rPr>
        <w:t xml:space="preserve"> revised </w:t>
      </w:r>
      <w:r w:rsidRPr="001E5A2B">
        <w:rPr>
          <w:rFonts w:asciiTheme="minorHAnsi" w:eastAsiaTheme="minorHAnsi" w:hAnsiTheme="minorHAnsi" w:cstheme="minorBidi"/>
          <w:snapToGrid/>
          <w:sz w:val="24"/>
          <w:szCs w:val="22"/>
        </w:rPr>
        <w:t>dosing schedule</w:t>
      </w:r>
      <w:r w:rsidR="00DF6477" w:rsidRPr="001E5A2B">
        <w:rPr>
          <w:rFonts w:asciiTheme="minorHAnsi" w:eastAsiaTheme="minorHAnsi" w:hAnsiTheme="minorHAnsi" w:cstheme="minorBidi"/>
          <w:snapToGrid/>
          <w:sz w:val="24"/>
          <w:szCs w:val="22"/>
        </w:rPr>
        <w:t xml:space="preserve">, including the estimated reduction of </w:t>
      </w:r>
      <w:r w:rsidR="00FA5E6F">
        <w:rPr>
          <w:rFonts w:asciiTheme="minorHAnsi" w:eastAsiaTheme="minorHAnsi" w:hAnsiTheme="minorHAnsi" w:cstheme="minorBidi"/>
          <w:snapToGrid/>
          <w:sz w:val="24"/>
          <w:szCs w:val="22"/>
        </w:rPr>
        <w:t>IPD</w:t>
      </w:r>
      <w:r w:rsidR="00FA5E6F" w:rsidRPr="001E5A2B">
        <w:rPr>
          <w:rFonts w:asciiTheme="minorHAnsi" w:eastAsiaTheme="minorHAnsi" w:hAnsiTheme="minorHAnsi" w:cstheme="minorBidi"/>
          <w:snapToGrid/>
          <w:sz w:val="24"/>
          <w:szCs w:val="22"/>
        </w:rPr>
        <w:t xml:space="preserve"> </w:t>
      </w:r>
      <w:r w:rsidR="00DF6477" w:rsidRPr="001E5A2B">
        <w:rPr>
          <w:rFonts w:asciiTheme="minorHAnsi" w:eastAsiaTheme="minorHAnsi" w:hAnsiTheme="minorHAnsi" w:cstheme="minorBidi"/>
          <w:snapToGrid/>
          <w:sz w:val="24"/>
          <w:szCs w:val="22"/>
        </w:rPr>
        <w:t xml:space="preserve">with the proposed change to the dosing schedule.  The PBAC considered that the evidence </w:t>
      </w:r>
      <w:r w:rsidR="00912491" w:rsidRPr="001E5A2B">
        <w:rPr>
          <w:rFonts w:asciiTheme="minorHAnsi" w:eastAsiaTheme="minorHAnsi" w:hAnsiTheme="minorHAnsi" w:cstheme="minorBidi"/>
          <w:snapToGrid/>
          <w:sz w:val="24"/>
          <w:szCs w:val="22"/>
        </w:rPr>
        <w:t xml:space="preserve">provided </w:t>
      </w:r>
      <w:r w:rsidR="00DF6477" w:rsidRPr="001E5A2B">
        <w:rPr>
          <w:rFonts w:asciiTheme="minorHAnsi" w:eastAsiaTheme="minorHAnsi" w:hAnsiTheme="minorHAnsi" w:cstheme="minorBidi"/>
          <w:snapToGrid/>
          <w:sz w:val="24"/>
          <w:szCs w:val="22"/>
        </w:rPr>
        <w:t xml:space="preserve">supported the change to the dosing schedule, </w:t>
      </w:r>
      <w:r w:rsidR="00912491" w:rsidRPr="001E5A2B">
        <w:rPr>
          <w:rFonts w:asciiTheme="minorHAnsi" w:eastAsiaTheme="minorHAnsi" w:hAnsiTheme="minorHAnsi" w:cstheme="minorBidi"/>
          <w:snapToGrid/>
          <w:sz w:val="24"/>
          <w:szCs w:val="22"/>
        </w:rPr>
        <w:t>given the</w:t>
      </w:r>
      <w:r w:rsidR="00DF6477" w:rsidRPr="001E5A2B">
        <w:rPr>
          <w:rFonts w:asciiTheme="minorHAnsi" w:eastAsiaTheme="minorHAnsi" w:hAnsiTheme="minorHAnsi" w:cstheme="minorBidi"/>
          <w:snapToGrid/>
          <w:sz w:val="24"/>
          <w:szCs w:val="22"/>
        </w:rPr>
        <w:t xml:space="preserve"> early waning of immunity, poorer protection in the &gt;2 year old age groups and poorer indirect impacts on older age groups for the current dosing schedule.</w:t>
      </w:r>
    </w:p>
    <w:p w:rsidR="00486F90" w:rsidRPr="007E1C22" w:rsidRDefault="00486F90" w:rsidP="00CF4A6A">
      <w:pPr>
        <w:pStyle w:val="ListParagraph"/>
        <w:widowControl/>
        <w:numPr>
          <w:ilvl w:val="1"/>
          <w:numId w:val="14"/>
        </w:numPr>
        <w:spacing w:after="120"/>
        <w:contextualSpacing w:val="0"/>
        <w:rPr>
          <w:rFonts w:asciiTheme="minorHAnsi" w:hAnsiTheme="minorHAnsi"/>
          <w:sz w:val="24"/>
          <w:szCs w:val="24"/>
        </w:rPr>
      </w:pPr>
      <w:r w:rsidRPr="001E5A2B">
        <w:rPr>
          <w:rFonts w:asciiTheme="minorHAnsi" w:eastAsiaTheme="minorHAnsi" w:hAnsiTheme="minorHAnsi" w:cstheme="minorBidi"/>
          <w:snapToGrid/>
          <w:sz w:val="24"/>
          <w:szCs w:val="22"/>
        </w:rPr>
        <w:t>The PBAC advised that the current evidence did not indicate sufficient incremental benefit of the ‘3+1’ schedule to justify the cost of an additional vaccination for all children, but that the additional dose for special groups should continue as is.</w:t>
      </w:r>
    </w:p>
    <w:p w:rsidR="000E16E2" w:rsidRPr="007E1C22" w:rsidRDefault="00CF4A6A" w:rsidP="00CF4A6A">
      <w:pPr>
        <w:pStyle w:val="ListParagraph"/>
        <w:widowControl/>
        <w:numPr>
          <w:ilvl w:val="1"/>
          <w:numId w:val="14"/>
        </w:numPr>
        <w:spacing w:after="120"/>
        <w:contextualSpacing w:val="0"/>
        <w:rPr>
          <w:rFonts w:asciiTheme="minorHAnsi" w:hAnsiTheme="minorHAnsi"/>
          <w:sz w:val="24"/>
          <w:szCs w:val="24"/>
        </w:rPr>
      </w:pPr>
      <w:r w:rsidRPr="001E5A2B">
        <w:rPr>
          <w:rFonts w:asciiTheme="minorHAnsi" w:eastAsiaTheme="minorHAnsi" w:hAnsiTheme="minorHAnsi" w:cstheme="minorBidi"/>
          <w:snapToGrid/>
          <w:sz w:val="24"/>
          <w:szCs w:val="22"/>
        </w:rPr>
        <w:t>The PBAC noted ATAGI’s advice that having a booster dose in the second year of life provided a higher immune response than having additional immunisations prior to the second year of life.</w:t>
      </w:r>
      <w:r w:rsidR="005F032C" w:rsidRPr="001E5A2B">
        <w:rPr>
          <w:rFonts w:asciiTheme="minorHAnsi" w:eastAsiaTheme="minorHAnsi" w:hAnsiTheme="minorHAnsi" w:cstheme="minorBidi"/>
          <w:snapToGrid/>
          <w:sz w:val="24"/>
          <w:szCs w:val="22"/>
        </w:rPr>
        <w:t xml:space="preserve">  The PBAC noted </w:t>
      </w:r>
      <w:r w:rsidR="00912491" w:rsidRPr="001E5A2B">
        <w:rPr>
          <w:rFonts w:asciiTheme="minorHAnsi" w:eastAsiaTheme="minorHAnsi" w:hAnsiTheme="minorHAnsi" w:cstheme="minorBidi"/>
          <w:snapToGrid/>
          <w:sz w:val="24"/>
          <w:szCs w:val="22"/>
        </w:rPr>
        <w:t xml:space="preserve">that </w:t>
      </w:r>
      <w:r w:rsidR="005F032C" w:rsidRPr="001E5A2B">
        <w:rPr>
          <w:rFonts w:asciiTheme="minorHAnsi" w:eastAsiaTheme="minorHAnsi" w:hAnsiTheme="minorHAnsi" w:cstheme="minorBidi"/>
          <w:snapToGrid/>
          <w:sz w:val="24"/>
          <w:szCs w:val="22"/>
        </w:rPr>
        <w:t xml:space="preserve">ATAGI’s </w:t>
      </w:r>
      <w:r w:rsidR="000E16E2" w:rsidRPr="001E5A2B">
        <w:rPr>
          <w:rFonts w:asciiTheme="minorHAnsi" w:eastAsiaTheme="minorHAnsi" w:hAnsiTheme="minorHAnsi" w:cstheme="minorBidi"/>
          <w:snapToGrid/>
          <w:sz w:val="24"/>
          <w:szCs w:val="22"/>
        </w:rPr>
        <w:t>preferred</w:t>
      </w:r>
      <w:r w:rsidR="005F032C" w:rsidRPr="001E5A2B">
        <w:rPr>
          <w:rFonts w:asciiTheme="minorHAnsi" w:eastAsiaTheme="minorHAnsi" w:hAnsiTheme="minorHAnsi" w:cstheme="minorBidi"/>
          <w:snapToGrid/>
          <w:sz w:val="24"/>
          <w:szCs w:val="22"/>
        </w:rPr>
        <w:t xml:space="preserve"> age for the booster dose </w:t>
      </w:r>
      <w:r w:rsidR="00912491" w:rsidRPr="001E5A2B">
        <w:rPr>
          <w:rFonts w:asciiTheme="minorHAnsi" w:eastAsiaTheme="minorHAnsi" w:hAnsiTheme="minorHAnsi" w:cstheme="minorBidi"/>
          <w:snapToGrid/>
          <w:sz w:val="24"/>
          <w:szCs w:val="22"/>
        </w:rPr>
        <w:t>was</w:t>
      </w:r>
      <w:r w:rsidR="005F032C" w:rsidRPr="001E5A2B">
        <w:rPr>
          <w:rFonts w:asciiTheme="minorHAnsi" w:eastAsiaTheme="minorHAnsi" w:hAnsiTheme="minorHAnsi" w:cstheme="minorBidi"/>
          <w:snapToGrid/>
          <w:sz w:val="24"/>
          <w:szCs w:val="22"/>
        </w:rPr>
        <w:t xml:space="preserve"> 12 months of age to limit the duration since the 6 month dose, however </w:t>
      </w:r>
      <w:r w:rsidR="000E16E2" w:rsidRPr="001E5A2B">
        <w:rPr>
          <w:rFonts w:asciiTheme="minorHAnsi" w:eastAsiaTheme="minorHAnsi" w:hAnsiTheme="minorHAnsi" w:cstheme="minorBidi"/>
          <w:snapToGrid/>
          <w:sz w:val="24"/>
          <w:szCs w:val="22"/>
        </w:rPr>
        <w:t xml:space="preserve">the PBAC </w:t>
      </w:r>
      <w:r w:rsidR="005F032C" w:rsidRPr="001E5A2B">
        <w:rPr>
          <w:rFonts w:asciiTheme="minorHAnsi" w:eastAsiaTheme="minorHAnsi" w:hAnsiTheme="minorHAnsi" w:cstheme="minorBidi"/>
          <w:snapToGrid/>
          <w:sz w:val="24"/>
          <w:szCs w:val="22"/>
        </w:rPr>
        <w:t xml:space="preserve">advised that in order to ensure flexibility for NIP scheduling, </w:t>
      </w:r>
      <w:r w:rsidR="000E16E2" w:rsidRPr="001E5A2B">
        <w:rPr>
          <w:rFonts w:asciiTheme="minorHAnsi" w:eastAsiaTheme="minorHAnsi" w:hAnsiTheme="minorHAnsi" w:cstheme="minorBidi"/>
          <w:snapToGrid/>
          <w:sz w:val="24"/>
          <w:szCs w:val="22"/>
        </w:rPr>
        <w:t xml:space="preserve">for the PBAC recommendation, </w:t>
      </w:r>
      <w:r w:rsidR="005F032C" w:rsidRPr="001E5A2B">
        <w:rPr>
          <w:rFonts w:asciiTheme="minorHAnsi" w:eastAsiaTheme="minorHAnsi" w:hAnsiTheme="minorHAnsi" w:cstheme="minorBidi"/>
          <w:snapToGrid/>
          <w:sz w:val="24"/>
          <w:szCs w:val="22"/>
        </w:rPr>
        <w:t xml:space="preserve">doses </w:t>
      </w:r>
      <w:r w:rsidR="000E16E2" w:rsidRPr="001E5A2B">
        <w:rPr>
          <w:rFonts w:asciiTheme="minorHAnsi" w:eastAsiaTheme="minorHAnsi" w:hAnsiTheme="minorHAnsi" w:cstheme="minorBidi"/>
          <w:snapToGrid/>
          <w:sz w:val="24"/>
          <w:szCs w:val="22"/>
        </w:rPr>
        <w:t xml:space="preserve">would be recommended for dosing </w:t>
      </w:r>
      <w:r w:rsidR="00912491" w:rsidRPr="001E5A2B">
        <w:rPr>
          <w:rFonts w:asciiTheme="minorHAnsi" w:eastAsiaTheme="minorHAnsi" w:hAnsiTheme="minorHAnsi" w:cstheme="minorBidi"/>
          <w:snapToGrid/>
          <w:sz w:val="24"/>
          <w:szCs w:val="22"/>
        </w:rPr>
        <w:t>with</w:t>
      </w:r>
      <w:r w:rsidR="000E16E2" w:rsidRPr="001E5A2B">
        <w:rPr>
          <w:rFonts w:asciiTheme="minorHAnsi" w:eastAsiaTheme="minorHAnsi" w:hAnsiTheme="minorHAnsi" w:cstheme="minorBidi"/>
          <w:snapToGrid/>
          <w:sz w:val="24"/>
          <w:szCs w:val="22"/>
        </w:rPr>
        <w:t>in the second year of life, as supported by the data.  The PBAC noted that this did not preclude a more specific NIP listing, such as 12 months of age.</w:t>
      </w:r>
    </w:p>
    <w:p w:rsidR="00CF4A6A" w:rsidRPr="007E1C22" w:rsidRDefault="00CF4A6A" w:rsidP="00CF4A6A">
      <w:pPr>
        <w:pStyle w:val="ListParagraph"/>
        <w:widowControl/>
        <w:numPr>
          <w:ilvl w:val="1"/>
          <w:numId w:val="14"/>
        </w:numPr>
        <w:spacing w:after="120"/>
        <w:contextualSpacing w:val="0"/>
        <w:rPr>
          <w:rFonts w:asciiTheme="minorHAnsi" w:hAnsiTheme="minorHAnsi"/>
          <w:sz w:val="24"/>
          <w:szCs w:val="24"/>
        </w:rPr>
      </w:pPr>
      <w:r w:rsidRPr="001E5A2B">
        <w:rPr>
          <w:rFonts w:asciiTheme="minorHAnsi" w:hAnsiTheme="minorHAnsi"/>
          <w:sz w:val="24"/>
          <w:szCs w:val="24"/>
        </w:rPr>
        <w:t>The PBAC noted that the United Kingdom has recently moved to a 1 + 1 schedule, and that it would be useful to consider the outcomes of this schedule in the future.</w:t>
      </w:r>
    </w:p>
    <w:p w:rsidR="007534EE" w:rsidRPr="001E5A2B" w:rsidRDefault="007534EE" w:rsidP="007534EE">
      <w:pPr>
        <w:numPr>
          <w:ilvl w:val="1"/>
          <w:numId w:val="5"/>
        </w:numPr>
        <w:spacing w:after="120" w:line="276" w:lineRule="auto"/>
        <w:ind w:left="810" w:hanging="810"/>
        <w:rPr>
          <w:rFonts w:asciiTheme="minorHAnsi" w:hAnsiTheme="minorHAnsi" w:cs="Arial"/>
          <w:snapToGrid w:val="0"/>
          <w:szCs w:val="20"/>
          <w:lang w:eastAsia="en-US"/>
        </w:rPr>
      </w:pPr>
      <w:r w:rsidRPr="001E5A2B">
        <w:rPr>
          <w:rFonts w:asciiTheme="minorHAnsi" w:hAnsiTheme="minorHAnsi" w:cs="Arial"/>
          <w:snapToGrid w:val="0"/>
          <w:szCs w:val="20"/>
          <w:lang w:eastAsia="en-US"/>
        </w:rPr>
        <w:t xml:space="preserve">The PBAC </w:t>
      </w:r>
      <w:r w:rsidR="006957C6" w:rsidRPr="001E5A2B">
        <w:rPr>
          <w:rFonts w:asciiTheme="minorHAnsi" w:hAnsiTheme="minorHAnsi" w:cs="Arial"/>
          <w:snapToGrid w:val="0"/>
          <w:szCs w:val="20"/>
          <w:lang w:eastAsia="en-US"/>
        </w:rPr>
        <w:t>accepted ATAGI’s advice that the proposed dosing schedule is s</w:t>
      </w:r>
      <w:r w:rsidRPr="001E5A2B">
        <w:rPr>
          <w:rFonts w:asciiTheme="minorHAnsi" w:hAnsiTheme="minorHAnsi" w:cs="Arial"/>
          <w:snapToGrid w:val="0"/>
          <w:szCs w:val="20"/>
          <w:lang w:eastAsia="en-US"/>
        </w:rPr>
        <w:t xml:space="preserve">uperior </w:t>
      </w:r>
      <w:r w:rsidR="006957C6" w:rsidRPr="001E5A2B">
        <w:rPr>
          <w:rFonts w:asciiTheme="minorHAnsi" w:hAnsiTheme="minorHAnsi" w:cs="Arial"/>
          <w:snapToGrid w:val="0"/>
          <w:szCs w:val="20"/>
          <w:lang w:eastAsia="en-US"/>
        </w:rPr>
        <w:t xml:space="preserve">in </w:t>
      </w:r>
      <w:r w:rsidRPr="001E5A2B">
        <w:rPr>
          <w:rFonts w:asciiTheme="minorHAnsi" w:hAnsiTheme="minorHAnsi" w:cs="Arial"/>
          <w:snapToGrid w:val="0"/>
          <w:szCs w:val="20"/>
          <w:lang w:eastAsia="en-US"/>
        </w:rPr>
        <w:t>comparative effectiveness</w:t>
      </w:r>
      <w:r w:rsidR="006957C6" w:rsidRPr="001E5A2B">
        <w:rPr>
          <w:rFonts w:asciiTheme="minorHAnsi" w:hAnsiTheme="minorHAnsi" w:cs="Arial"/>
          <w:snapToGrid w:val="0"/>
          <w:szCs w:val="20"/>
          <w:lang w:eastAsia="en-US"/>
        </w:rPr>
        <w:t xml:space="preserve">, as </w:t>
      </w:r>
      <w:r w:rsidRPr="001E5A2B">
        <w:rPr>
          <w:rFonts w:asciiTheme="minorHAnsi" w:hAnsiTheme="minorHAnsi" w:cs="Arial"/>
          <w:snapToGrid w:val="0"/>
          <w:szCs w:val="20"/>
          <w:lang w:eastAsia="en-US"/>
        </w:rPr>
        <w:t>supported by the data</w:t>
      </w:r>
      <w:r w:rsidR="006957C6" w:rsidRPr="001E5A2B">
        <w:rPr>
          <w:rFonts w:asciiTheme="minorHAnsi" w:hAnsiTheme="minorHAnsi" w:cs="Arial"/>
          <w:snapToGrid w:val="0"/>
          <w:szCs w:val="20"/>
          <w:lang w:eastAsia="en-US"/>
        </w:rPr>
        <w:t xml:space="preserve"> and international experience</w:t>
      </w:r>
      <w:r w:rsidRPr="001E5A2B">
        <w:rPr>
          <w:rFonts w:asciiTheme="minorHAnsi" w:hAnsiTheme="minorHAnsi" w:cs="Arial"/>
          <w:snapToGrid w:val="0"/>
          <w:szCs w:val="20"/>
          <w:lang w:eastAsia="en-US"/>
        </w:rPr>
        <w:t>.</w:t>
      </w:r>
    </w:p>
    <w:p w:rsidR="007534EE" w:rsidRPr="005A5A34" w:rsidRDefault="007534EE" w:rsidP="007534EE">
      <w:pPr>
        <w:pStyle w:val="ListParagraph"/>
        <w:widowControl/>
        <w:numPr>
          <w:ilvl w:val="1"/>
          <w:numId w:val="5"/>
        </w:numPr>
        <w:spacing w:after="120"/>
        <w:ind w:left="810" w:hanging="810"/>
        <w:contextualSpacing w:val="0"/>
        <w:rPr>
          <w:rFonts w:asciiTheme="minorHAnsi" w:hAnsiTheme="minorHAnsi"/>
          <w:sz w:val="24"/>
          <w:szCs w:val="24"/>
        </w:rPr>
      </w:pPr>
      <w:r w:rsidRPr="005A5A34">
        <w:rPr>
          <w:rFonts w:asciiTheme="minorHAnsi" w:hAnsiTheme="minorHAnsi"/>
          <w:sz w:val="24"/>
          <w:szCs w:val="24"/>
        </w:rPr>
        <w:lastRenderedPageBreak/>
        <w:t xml:space="preserve">The PBAC </w:t>
      </w:r>
      <w:r w:rsidR="006957C6" w:rsidRPr="005A5A34">
        <w:rPr>
          <w:rFonts w:asciiTheme="minorHAnsi" w:hAnsiTheme="minorHAnsi"/>
          <w:sz w:val="24"/>
          <w:szCs w:val="24"/>
        </w:rPr>
        <w:t>accepted ATAGI’s advice</w:t>
      </w:r>
      <w:r w:rsidRPr="005A5A34">
        <w:rPr>
          <w:rFonts w:asciiTheme="minorHAnsi" w:hAnsiTheme="minorHAnsi"/>
          <w:sz w:val="24"/>
          <w:szCs w:val="24"/>
        </w:rPr>
        <w:t xml:space="preserve"> that the </w:t>
      </w:r>
      <w:r w:rsidR="006957C6" w:rsidRPr="005A5A34">
        <w:rPr>
          <w:rFonts w:asciiTheme="minorHAnsi" w:hAnsiTheme="minorHAnsi"/>
          <w:sz w:val="24"/>
          <w:szCs w:val="24"/>
        </w:rPr>
        <w:t>proposed dosing schedule will be non</w:t>
      </w:r>
      <w:r w:rsidRPr="005A5A34">
        <w:rPr>
          <w:rFonts w:asciiTheme="minorHAnsi" w:hAnsiTheme="minorHAnsi"/>
          <w:sz w:val="24"/>
          <w:szCs w:val="24"/>
        </w:rPr>
        <w:t xml:space="preserve">-inferior </w:t>
      </w:r>
      <w:r w:rsidR="006957C6" w:rsidRPr="005A5A34">
        <w:rPr>
          <w:rFonts w:asciiTheme="minorHAnsi" w:hAnsiTheme="minorHAnsi"/>
          <w:sz w:val="24"/>
          <w:szCs w:val="24"/>
        </w:rPr>
        <w:t xml:space="preserve">in </w:t>
      </w:r>
      <w:r w:rsidRPr="005A5A34">
        <w:rPr>
          <w:rFonts w:asciiTheme="minorHAnsi" w:hAnsiTheme="minorHAnsi"/>
          <w:sz w:val="24"/>
          <w:szCs w:val="24"/>
        </w:rPr>
        <w:t>comparative safety</w:t>
      </w:r>
      <w:r w:rsidR="006957C6" w:rsidRPr="005A5A34">
        <w:rPr>
          <w:rFonts w:asciiTheme="minorHAnsi" w:hAnsiTheme="minorHAnsi"/>
          <w:sz w:val="24"/>
          <w:szCs w:val="24"/>
        </w:rPr>
        <w:t>.</w:t>
      </w:r>
    </w:p>
    <w:p w:rsidR="005A3173" w:rsidRPr="00960BC5" w:rsidRDefault="005A3173" w:rsidP="000A0C36">
      <w:pPr>
        <w:pStyle w:val="Heading2"/>
      </w:pPr>
      <w:r w:rsidRPr="00960BC5">
        <w:t xml:space="preserve">Estimated </w:t>
      </w:r>
      <w:r w:rsidR="00242595" w:rsidRPr="00960BC5">
        <w:t xml:space="preserve">NIP </w:t>
      </w:r>
      <w:r w:rsidRPr="00960BC5">
        <w:t>usage &amp; financial implications</w:t>
      </w:r>
    </w:p>
    <w:p w:rsidR="003972C4" w:rsidRPr="00960BC5" w:rsidRDefault="00526717" w:rsidP="00FF46DB">
      <w:pPr>
        <w:pStyle w:val="ListParagraph"/>
        <w:widowControl/>
        <w:numPr>
          <w:ilvl w:val="1"/>
          <w:numId w:val="14"/>
        </w:numPr>
        <w:spacing w:after="120"/>
        <w:contextualSpacing w:val="0"/>
        <w:rPr>
          <w:rFonts w:asciiTheme="minorHAnsi" w:hAnsiTheme="minorHAnsi"/>
          <w:sz w:val="24"/>
          <w:szCs w:val="24"/>
        </w:rPr>
      </w:pPr>
      <w:r w:rsidRPr="00960BC5">
        <w:rPr>
          <w:rFonts w:asciiTheme="minorHAnsi" w:eastAsiaTheme="minorHAnsi" w:hAnsiTheme="minorHAnsi" w:cstheme="minorBidi"/>
          <w:snapToGrid/>
          <w:sz w:val="24"/>
          <w:szCs w:val="24"/>
        </w:rPr>
        <w:t>The</w:t>
      </w:r>
      <w:r w:rsidR="00B74061" w:rsidRPr="00960BC5">
        <w:rPr>
          <w:rFonts w:asciiTheme="minorHAnsi" w:eastAsiaTheme="minorHAnsi" w:hAnsiTheme="minorHAnsi" w:cstheme="minorBidi"/>
          <w:snapToGrid/>
          <w:sz w:val="24"/>
          <w:szCs w:val="24"/>
        </w:rPr>
        <w:t xml:space="preserve"> minor submission estimated that the proposed changes to</w:t>
      </w:r>
      <w:r w:rsidR="00F64154" w:rsidRPr="00960BC5">
        <w:rPr>
          <w:rFonts w:asciiTheme="minorHAnsi" w:eastAsiaTheme="minorHAnsi" w:hAnsiTheme="minorHAnsi" w:cstheme="minorBidi"/>
          <w:snapToGrid/>
          <w:sz w:val="24"/>
          <w:szCs w:val="24"/>
        </w:rPr>
        <w:t xml:space="preserve"> the</w:t>
      </w:r>
      <w:r w:rsidR="00B74061" w:rsidRPr="00960BC5">
        <w:rPr>
          <w:rFonts w:asciiTheme="minorHAnsi" w:eastAsiaTheme="minorHAnsi" w:hAnsiTheme="minorHAnsi" w:cstheme="minorBidi"/>
          <w:snapToGrid/>
          <w:sz w:val="24"/>
          <w:szCs w:val="24"/>
        </w:rPr>
        <w:t xml:space="preserve"> 13vPCV schedule </w:t>
      </w:r>
      <w:r w:rsidR="00E246F8" w:rsidRPr="00960BC5">
        <w:rPr>
          <w:rFonts w:asciiTheme="minorHAnsi" w:eastAsiaTheme="minorHAnsi" w:hAnsiTheme="minorHAnsi" w:cstheme="minorBidi"/>
          <w:snapToGrid/>
          <w:sz w:val="24"/>
          <w:szCs w:val="24"/>
        </w:rPr>
        <w:t xml:space="preserve">to be </w:t>
      </w:r>
      <w:r w:rsidR="00B74061" w:rsidRPr="00960BC5">
        <w:rPr>
          <w:rFonts w:asciiTheme="minorHAnsi" w:eastAsiaTheme="minorHAnsi" w:hAnsiTheme="minorHAnsi" w:cstheme="minorBidi"/>
          <w:snapToGrid/>
          <w:sz w:val="24"/>
          <w:szCs w:val="24"/>
        </w:rPr>
        <w:t>essentially cost-neutral to the NIP</w:t>
      </w:r>
      <w:r w:rsidR="00F64154" w:rsidRPr="00960BC5">
        <w:rPr>
          <w:rFonts w:asciiTheme="minorHAnsi" w:eastAsiaTheme="minorHAnsi" w:hAnsiTheme="minorHAnsi" w:cstheme="minorBidi"/>
          <w:snapToGrid/>
          <w:sz w:val="24"/>
          <w:szCs w:val="24"/>
        </w:rPr>
        <w:t>. The minor submission estimate</w:t>
      </w:r>
      <w:r w:rsidR="00E246F8" w:rsidRPr="00960BC5">
        <w:rPr>
          <w:rFonts w:asciiTheme="minorHAnsi" w:eastAsiaTheme="minorHAnsi" w:hAnsiTheme="minorHAnsi" w:cstheme="minorBidi"/>
          <w:snapToGrid/>
          <w:sz w:val="24"/>
          <w:szCs w:val="24"/>
        </w:rPr>
        <w:t>d</w:t>
      </w:r>
      <w:r w:rsidR="00F64154" w:rsidRPr="00960BC5">
        <w:rPr>
          <w:rFonts w:asciiTheme="minorHAnsi" w:eastAsiaTheme="minorHAnsi" w:hAnsiTheme="minorHAnsi" w:cstheme="minorBidi"/>
          <w:snapToGrid/>
          <w:sz w:val="24"/>
          <w:szCs w:val="24"/>
        </w:rPr>
        <w:t xml:space="preserve"> a small saving because the volume of doses with the 2+1 schedule </w:t>
      </w:r>
      <w:r w:rsidR="00E246F8" w:rsidRPr="00960BC5">
        <w:rPr>
          <w:rFonts w:asciiTheme="minorHAnsi" w:eastAsiaTheme="minorHAnsi" w:hAnsiTheme="minorHAnsi" w:cstheme="minorBidi"/>
          <w:snapToGrid/>
          <w:sz w:val="24"/>
          <w:szCs w:val="24"/>
        </w:rPr>
        <w:t>would be</w:t>
      </w:r>
      <w:r w:rsidR="00F64154" w:rsidRPr="00960BC5">
        <w:rPr>
          <w:rFonts w:asciiTheme="minorHAnsi" w:eastAsiaTheme="minorHAnsi" w:hAnsiTheme="minorHAnsi" w:cstheme="minorBidi"/>
          <w:snapToGrid/>
          <w:sz w:val="24"/>
          <w:szCs w:val="24"/>
        </w:rPr>
        <w:t xml:space="preserve"> slightly lower than with the 3+0 schedule</w:t>
      </w:r>
      <w:r w:rsidR="003972C4" w:rsidRPr="00960BC5">
        <w:rPr>
          <w:rFonts w:asciiTheme="minorHAnsi" w:eastAsiaTheme="minorHAnsi" w:hAnsiTheme="minorHAnsi" w:cstheme="minorBidi"/>
          <w:snapToGrid/>
          <w:sz w:val="24"/>
          <w:szCs w:val="24"/>
        </w:rPr>
        <w:t>.</w:t>
      </w:r>
    </w:p>
    <w:p w:rsidR="00F64154" w:rsidRPr="007E34BD" w:rsidRDefault="00F64154" w:rsidP="00F64154">
      <w:pPr>
        <w:pStyle w:val="Caption"/>
        <w:keepNext/>
        <w:spacing w:after="60"/>
        <w:rPr>
          <w:rFonts w:ascii="Arial Narrow" w:hAnsi="Arial Narrow" w:cs="Arial"/>
          <w:color w:val="auto"/>
          <w:sz w:val="20"/>
          <w:szCs w:val="20"/>
          <w:lang w:eastAsia="en-US"/>
        </w:rPr>
      </w:pPr>
      <w:bookmarkStart w:id="0" w:name="_Ref495843563"/>
      <w:bookmarkStart w:id="1" w:name="_Toc495845509"/>
      <w:bookmarkStart w:id="2" w:name="_Toc495847023"/>
      <w:bookmarkStart w:id="3" w:name="_Toc496014973"/>
      <w:bookmarkStart w:id="4" w:name="_Toc496015153"/>
      <w:bookmarkStart w:id="5" w:name="_Toc497125490"/>
      <w:r w:rsidRPr="007E34BD">
        <w:rPr>
          <w:rFonts w:ascii="Arial Narrow" w:hAnsi="Arial Narrow" w:cs="Arial"/>
          <w:color w:val="auto"/>
          <w:sz w:val="20"/>
          <w:szCs w:val="20"/>
        </w:rPr>
        <w:t xml:space="preserve">Table </w:t>
      </w:r>
      <w:r w:rsidRPr="007E34BD">
        <w:rPr>
          <w:rFonts w:ascii="Arial Narrow" w:hAnsi="Arial Narrow" w:cs="Arial"/>
          <w:noProof/>
          <w:color w:val="auto"/>
          <w:sz w:val="20"/>
          <w:szCs w:val="20"/>
        </w:rPr>
        <w:t>3</w:t>
      </w:r>
      <w:bookmarkEnd w:id="0"/>
      <w:r w:rsidRPr="007E34BD">
        <w:rPr>
          <w:rFonts w:ascii="Arial Narrow" w:hAnsi="Arial Narrow" w:cs="Arial"/>
          <w:color w:val="auto"/>
          <w:sz w:val="20"/>
          <w:szCs w:val="20"/>
        </w:rPr>
        <w:t>:</w:t>
      </w:r>
      <w:r w:rsidRPr="007E34BD">
        <w:rPr>
          <w:rFonts w:ascii="Arial Narrow" w:hAnsi="Arial Narrow" w:cs="Arial"/>
          <w:color w:val="auto"/>
          <w:sz w:val="20"/>
          <w:szCs w:val="20"/>
        </w:rPr>
        <w:tab/>
        <w:t>Estimated financial implications to the NIP</w:t>
      </w:r>
      <w:bookmarkEnd w:id="1"/>
      <w:bookmarkEnd w:id="2"/>
      <w:bookmarkEnd w:id="3"/>
      <w:bookmarkEnd w:id="4"/>
      <w:bookmarkEnd w:id="5"/>
    </w:p>
    <w:tbl>
      <w:tblPr>
        <w:tblW w:w="0" w:type="auto"/>
        <w:jc w:val="center"/>
        <w:tblLook w:val="04A0" w:firstRow="1" w:lastRow="0" w:firstColumn="1" w:lastColumn="0" w:noHBand="0" w:noVBand="1"/>
      </w:tblPr>
      <w:tblGrid>
        <w:gridCol w:w="353"/>
        <w:gridCol w:w="1584"/>
        <w:gridCol w:w="1220"/>
        <w:gridCol w:w="1125"/>
        <w:gridCol w:w="1094"/>
        <w:gridCol w:w="1220"/>
        <w:gridCol w:w="1188"/>
        <w:gridCol w:w="1157"/>
      </w:tblGrid>
      <w:tr w:rsidR="0025355D" w:rsidRPr="00E50CD3" w:rsidTr="00680777">
        <w:trPr>
          <w:trHeight w:val="20"/>
          <w:jc w:val="center"/>
        </w:trPr>
        <w:tc>
          <w:tcPr>
            <w:tcW w:w="0" w:type="auto"/>
            <w:gridSpan w:val="2"/>
            <w:tcBorders>
              <w:top w:val="single" w:sz="4" w:space="0" w:color="auto"/>
              <w:left w:val="single" w:sz="4" w:space="0" w:color="auto"/>
              <w:bottom w:val="single" w:sz="4" w:space="0" w:color="auto"/>
              <w:right w:val="nil"/>
            </w:tcBorders>
            <w:shd w:val="clear" w:color="auto" w:fill="D9D9D9" w:themeFill="background1" w:themeFillShade="D9"/>
          </w:tcPr>
          <w:p w:rsidR="00F64154" w:rsidRPr="00E50CD3" w:rsidRDefault="00F64154" w:rsidP="00A92174">
            <w:pPr>
              <w:spacing w:before="60" w:after="60"/>
              <w:rPr>
                <w:rFonts w:ascii="Arial Narrow" w:hAnsi="Arial Narrow" w:cs="Arial"/>
                <w:b/>
                <w:bCs/>
                <w:color w:val="000000"/>
                <w:sz w:val="20"/>
                <w:szCs w:val="20"/>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64154" w:rsidRPr="00A935D6" w:rsidRDefault="00F64154" w:rsidP="00A92174">
            <w:pPr>
              <w:spacing w:before="60" w:after="60"/>
              <w:jc w:val="right"/>
              <w:rPr>
                <w:rFonts w:ascii="Arial Narrow" w:hAnsi="Arial Narrow" w:cs="Arial"/>
                <w:b/>
                <w:bCs/>
                <w:color w:val="000000"/>
                <w:sz w:val="20"/>
                <w:szCs w:val="20"/>
                <w:lang w:val="en-US" w:eastAsia="en-US"/>
              </w:rPr>
            </w:pPr>
            <w:r w:rsidRPr="00A935D6">
              <w:rPr>
                <w:rFonts w:ascii="Arial Narrow" w:hAnsi="Arial Narrow" w:cs="Arial"/>
                <w:b/>
                <w:bCs/>
                <w:color w:val="000000"/>
                <w:sz w:val="20"/>
                <w:szCs w:val="20"/>
                <w:lang w:val="en-US" w:eastAsia="en-US"/>
              </w:rPr>
              <w:t>2018</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64154" w:rsidRPr="00A935D6" w:rsidRDefault="00F64154" w:rsidP="00A92174">
            <w:pPr>
              <w:spacing w:before="60" w:after="60"/>
              <w:jc w:val="right"/>
              <w:rPr>
                <w:rFonts w:ascii="Arial Narrow" w:hAnsi="Arial Narrow" w:cs="Arial"/>
                <w:b/>
                <w:bCs/>
                <w:color w:val="000000"/>
                <w:sz w:val="20"/>
                <w:szCs w:val="20"/>
                <w:lang w:val="en-US" w:eastAsia="en-US"/>
              </w:rPr>
            </w:pPr>
            <w:r w:rsidRPr="00A935D6">
              <w:rPr>
                <w:rFonts w:ascii="Arial Narrow" w:hAnsi="Arial Narrow" w:cs="Arial"/>
                <w:b/>
                <w:bCs/>
                <w:color w:val="000000"/>
                <w:sz w:val="20"/>
                <w:szCs w:val="20"/>
                <w:lang w:val="en-US" w:eastAsia="en-US"/>
              </w:rPr>
              <w:t>2019</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64154" w:rsidRPr="00A935D6" w:rsidRDefault="00F64154" w:rsidP="00A92174">
            <w:pPr>
              <w:spacing w:before="60" w:after="60"/>
              <w:jc w:val="right"/>
              <w:rPr>
                <w:rFonts w:ascii="Arial Narrow" w:hAnsi="Arial Narrow" w:cs="Arial"/>
                <w:b/>
                <w:bCs/>
                <w:color w:val="000000"/>
                <w:sz w:val="20"/>
                <w:szCs w:val="20"/>
                <w:lang w:val="en-US" w:eastAsia="en-US"/>
              </w:rPr>
            </w:pPr>
            <w:r w:rsidRPr="00A935D6">
              <w:rPr>
                <w:rFonts w:ascii="Arial Narrow" w:hAnsi="Arial Narrow" w:cs="Arial"/>
                <w:b/>
                <w:bCs/>
                <w:color w:val="000000"/>
                <w:sz w:val="20"/>
                <w:szCs w:val="20"/>
                <w:lang w:val="en-US" w:eastAsia="en-US"/>
              </w:rPr>
              <w:t>2020</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64154" w:rsidRPr="00A935D6" w:rsidRDefault="00F64154" w:rsidP="00A92174">
            <w:pPr>
              <w:spacing w:before="60" w:after="60"/>
              <w:jc w:val="right"/>
              <w:rPr>
                <w:rFonts w:ascii="Arial Narrow" w:hAnsi="Arial Narrow" w:cs="Arial"/>
                <w:b/>
                <w:bCs/>
                <w:color w:val="000000"/>
                <w:sz w:val="20"/>
                <w:szCs w:val="20"/>
                <w:lang w:val="en-US" w:eastAsia="en-US"/>
              </w:rPr>
            </w:pPr>
            <w:r w:rsidRPr="00A935D6">
              <w:rPr>
                <w:rFonts w:ascii="Arial Narrow" w:hAnsi="Arial Narrow" w:cs="Arial"/>
                <w:b/>
                <w:bCs/>
                <w:color w:val="000000"/>
                <w:sz w:val="20"/>
                <w:szCs w:val="20"/>
                <w:lang w:val="en-US" w:eastAsia="en-US"/>
              </w:rPr>
              <w:t>2021</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64154" w:rsidRPr="00A935D6" w:rsidRDefault="00F64154" w:rsidP="00A92174">
            <w:pPr>
              <w:spacing w:before="60" w:after="60"/>
              <w:jc w:val="right"/>
              <w:rPr>
                <w:rFonts w:ascii="Arial Narrow" w:hAnsi="Arial Narrow" w:cs="Arial"/>
                <w:b/>
                <w:bCs/>
                <w:color w:val="000000"/>
                <w:sz w:val="20"/>
                <w:szCs w:val="20"/>
                <w:lang w:val="en-US" w:eastAsia="en-US"/>
              </w:rPr>
            </w:pPr>
            <w:r w:rsidRPr="00A935D6">
              <w:rPr>
                <w:rFonts w:ascii="Arial Narrow" w:hAnsi="Arial Narrow" w:cs="Arial"/>
                <w:b/>
                <w:bCs/>
                <w:color w:val="000000"/>
                <w:sz w:val="20"/>
                <w:szCs w:val="20"/>
                <w:lang w:val="en-US" w:eastAsia="en-US"/>
              </w:rPr>
              <w:t>2022</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64154" w:rsidRPr="00A935D6" w:rsidRDefault="00F64154" w:rsidP="00A92174">
            <w:pPr>
              <w:spacing w:before="60" w:after="60"/>
              <w:jc w:val="right"/>
              <w:rPr>
                <w:rFonts w:ascii="Arial Narrow" w:hAnsi="Arial Narrow" w:cs="Arial"/>
                <w:b/>
                <w:bCs/>
                <w:color w:val="000000"/>
                <w:sz w:val="20"/>
                <w:szCs w:val="20"/>
                <w:lang w:val="en-US" w:eastAsia="en-US"/>
              </w:rPr>
            </w:pPr>
            <w:r w:rsidRPr="00A935D6">
              <w:rPr>
                <w:rFonts w:ascii="Arial Narrow" w:hAnsi="Arial Narrow" w:cs="Arial"/>
                <w:b/>
                <w:bCs/>
                <w:color w:val="000000"/>
                <w:sz w:val="20"/>
                <w:szCs w:val="20"/>
                <w:lang w:val="en-US" w:eastAsia="en-US"/>
              </w:rPr>
              <w:t>2023</w:t>
            </w:r>
          </w:p>
        </w:tc>
      </w:tr>
      <w:tr w:rsidR="00F64154" w:rsidRPr="00E50CD3" w:rsidTr="00680777">
        <w:trPr>
          <w:trHeight w:val="20"/>
          <w:jc w:val="center"/>
        </w:trPr>
        <w:tc>
          <w:tcPr>
            <w:tcW w:w="0" w:type="auto"/>
            <w:gridSpan w:val="8"/>
            <w:tcBorders>
              <w:top w:val="single" w:sz="4" w:space="0" w:color="auto"/>
              <w:left w:val="single" w:sz="4" w:space="0" w:color="auto"/>
              <w:bottom w:val="single" w:sz="4" w:space="0" w:color="auto"/>
              <w:right w:val="single" w:sz="4" w:space="0" w:color="auto"/>
            </w:tcBorders>
            <w:shd w:val="clear" w:color="000000" w:fill="FFFFFF"/>
          </w:tcPr>
          <w:p w:rsidR="00F64154" w:rsidRPr="00E50CD3" w:rsidRDefault="00F64154" w:rsidP="00A92174">
            <w:pPr>
              <w:spacing w:before="60" w:after="60"/>
              <w:rPr>
                <w:rFonts w:ascii="Arial Narrow" w:hAnsi="Arial Narrow" w:cs="Arial"/>
                <w:b/>
                <w:color w:val="000000"/>
                <w:sz w:val="20"/>
                <w:szCs w:val="20"/>
                <w:lang w:val="en-US" w:eastAsia="en-US"/>
              </w:rPr>
            </w:pPr>
            <w:r>
              <w:rPr>
                <w:rFonts w:ascii="Arial Narrow" w:hAnsi="Arial Narrow" w:cs="Arial"/>
                <w:b/>
                <w:color w:val="000000"/>
                <w:sz w:val="20"/>
                <w:szCs w:val="20"/>
                <w:lang w:val="en-US" w:eastAsia="en-US"/>
              </w:rPr>
              <w:t>‘2+1’</w:t>
            </w:r>
            <w:r w:rsidRPr="00E50CD3">
              <w:rPr>
                <w:rFonts w:ascii="Arial Narrow" w:hAnsi="Arial Narrow" w:cs="Arial"/>
                <w:b/>
                <w:color w:val="000000"/>
                <w:sz w:val="20"/>
                <w:szCs w:val="20"/>
                <w:lang w:val="en-US" w:eastAsia="en-US"/>
              </w:rPr>
              <w:t>schedule</w:t>
            </w:r>
          </w:p>
        </w:tc>
      </w:tr>
      <w:tr w:rsidR="00F64154" w:rsidRPr="00E50CD3" w:rsidTr="00680777">
        <w:trPr>
          <w:trHeight w:val="20"/>
          <w:jc w:val="center"/>
        </w:trPr>
        <w:tc>
          <w:tcPr>
            <w:tcW w:w="0" w:type="auto"/>
            <w:tcBorders>
              <w:top w:val="single" w:sz="4" w:space="0" w:color="auto"/>
              <w:left w:val="single" w:sz="4" w:space="0" w:color="auto"/>
              <w:bottom w:val="single" w:sz="4" w:space="0" w:color="auto"/>
              <w:right w:val="nil"/>
            </w:tcBorders>
            <w:shd w:val="clear" w:color="000000" w:fill="FFFFFF"/>
          </w:tcPr>
          <w:p w:rsidR="00F64154" w:rsidRPr="00E50CD3" w:rsidRDefault="00F64154" w:rsidP="00A92174">
            <w:pPr>
              <w:spacing w:before="60" w:after="60"/>
              <w:rPr>
                <w:rFonts w:ascii="Arial Narrow" w:hAnsi="Arial Narrow" w:cs="Arial"/>
                <w:bCs/>
                <w:color w:val="000000"/>
                <w:sz w:val="20"/>
                <w:szCs w:val="20"/>
                <w:lang w:val="en-US" w:eastAsia="en-US"/>
              </w:rPr>
            </w:pPr>
            <w:r w:rsidRPr="00E50CD3">
              <w:rPr>
                <w:rFonts w:ascii="Arial Narrow" w:hAnsi="Arial Narrow" w:cs="Arial"/>
                <w:bCs/>
                <w:color w:val="000000"/>
                <w:sz w:val="20"/>
                <w:szCs w:val="20"/>
                <w:lang w:val="en-US" w:eastAsia="en-US"/>
              </w:rPr>
              <w:t>a.</w:t>
            </w:r>
          </w:p>
        </w:tc>
        <w:tc>
          <w:tcPr>
            <w:tcW w:w="0" w:type="auto"/>
            <w:tcBorders>
              <w:top w:val="single" w:sz="4" w:space="0" w:color="auto"/>
              <w:left w:val="single" w:sz="4" w:space="0" w:color="auto"/>
              <w:bottom w:val="single" w:sz="4" w:space="0" w:color="auto"/>
              <w:right w:val="nil"/>
            </w:tcBorders>
            <w:shd w:val="clear" w:color="000000" w:fill="FFFFFF"/>
            <w:noWrap/>
          </w:tcPr>
          <w:p w:rsidR="00F64154" w:rsidRPr="00E50CD3" w:rsidRDefault="00F64154" w:rsidP="00A92174">
            <w:pPr>
              <w:spacing w:before="60" w:after="60"/>
              <w:rPr>
                <w:rFonts w:ascii="Arial Narrow" w:hAnsi="Arial Narrow" w:cs="Arial"/>
                <w:bCs/>
                <w:color w:val="000000"/>
                <w:sz w:val="20"/>
                <w:szCs w:val="20"/>
                <w:lang w:val="en-US" w:eastAsia="en-US"/>
              </w:rPr>
            </w:pPr>
            <w:r>
              <w:rPr>
                <w:rFonts w:ascii="Arial Narrow" w:hAnsi="Arial Narrow" w:cs="Arial"/>
                <w:bCs/>
                <w:color w:val="000000"/>
                <w:sz w:val="20"/>
                <w:szCs w:val="20"/>
                <w:lang w:val="en-US" w:eastAsia="en-US"/>
              </w:rPr>
              <w:t>Number infants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64154" w:rsidRPr="001A7271" w:rsidRDefault="001A7271" w:rsidP="00A92174">
            <w:pPr>
              <w:spacing w:before="60" w:after="60"/>
              <w:jc w:val="right"/>
              <w:rPr>
                <w:rFonts w:ascii="Arial Narrow" w:hAnsi="Arial Narrow" w:cs="Arial"/>
                <w:color w:val="000000"/>
                <w:sz w:val="18"/>
                <w:szCs w:val="18"/>
                <w:highlight w:val="black"/>
                <w:lang w:val="en-US" w:eastAsia="en-US"/>
              </w:rPr>
            </w:pPr>
            <w:r>
              <w:rPr>
                <w:rFonts w:ascii="Arial Narrow" w:hAnsi="Arial Narrow" w:cs="Arial"/>
                <w:noProof/>
                <w:color w:val="000000"/>
                <w:sz w:val="18"/>
                <w:szCs w:val="18"/>
                <w:highlight w:val="black"/>
                <w:lang w:val="en-US" w:eastAsia="en-US"/>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F64154" w:rsidRPr="001A7271" w:rsidRDefault="001A7271" w:rsidP="00A92174">
            <w:pPr>
              <w:spacing w:before="60" w:after="60"/>
              <w:jc w:val="right"/>
              <w:rPr>
                <w:rFonts w:ascii="Arial Narrow" w:hAnsi="Arial Narrow" w:cs="Arial"/>
                <w:color w:val="000000"/>
                <w:sz w:val="18"/>
                <w:szCs w:val="18"/>
                <w:highlight w:val="black"/>
                <w:lang w:val="en-US" w:eastAsia="en-US"/>
              </w:rPr>
            </w:pPr>
            <w:r>
              <w:rPr>
                <w:rFonts w:ascii="Arial Narrow" w:hAnsi="Arial Narrow" w:cs="Arial"/>
                <w:noProof/>
                <w:color w:val="000000"/>
                <w:sz w:val="18"/>
                <w:szCs w:val="18"/>
                <w:highlight w:val="black"/>
                <w:lang w:val="en-US" w:eastAsia="en-US"/>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F64154" w:rsidRPr="001A7271" w:rsidRDefault="001A7271" w:rsidP="00A92174">
            <w:pPr>
              <w:spacing w:before="60" w:after="60"/>
              <w:jc w:val="right"/>
              <w:rPr>
                <w:rFonts w:ascii="Arial Narrow" w:hAnsi="Arial Narrow" w:cs="Arial"/>
                <w:color w:val="000000"/>
                <w:sz w:val="18"/>
                <w:szCs w:val="18"/>
                <w:highlight w:val="black"/>
                <w:lang w:val="en-US" w:eastAsia="en-US"/>
              </w:rPr>
            </w:pPr>
            <w:r>
              <w:rPr>
                <w:rFonts w:ascii="Arial Narrow" w:hAnsi="Arial Narrow" w:cs="Arial"/>
                <w:noProof/>
                <w:color w:val="000000"/>
                <w:sz w:val="18"/>
                <w:szCs w:val="18"/>
                <w:highlight w:val="black"/>
                <w:lang w:val="en-US" w:eastAsia="en-US"/>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F64154" w:rsidRPr="001A7271" w:rsidRDefault="001A7271" w:rsidP="00A92174">
            <w:pPr>
              <w:spacing w:before="60" w:after="60"/>
              <w:jc w:val="right"/>
              <w:rPr>
                <w:rFonts w:ascii="Arial Narrow" w:hAnsi="Arial Narrow" w:cs="Arial"/>
                <w:color w:val="000000"/>
                <w:sz w:val="18"/>
                <w:szCs w:val="18"/>
                <w:highlight w:val="black"/>
                <w:lang w:val="en-US" w:eastAsia="en-US"/>
              </w:rPr>
            </w:pPr>
            <w:r>
              <w:rPr>
                <w:rFonts w:ascii="Arial Narrow" w:hAnsi="Arial Narrow" w:cs="Arial"/>
                <w:noProof/>
                <w:color w:val="000000"/>
                <w:sz w:val="18"/>
                <w:szCs w:val="18"/>
                <w:highlight w:val="black"/>
                <w:lang w:val="en-US" w:eastAsia="en-US"/>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F64154" w:rsidRPr="001A7271" w:rsidRDefault="001A7271" w:rsidP="00A92174">
            <w:pPr>
              <w:spacing w:before="60" w:after="60"/>
              <w:jc w:val="right"/>
              <w:rPr>
                <w:rFonts w:ascii="Arial Narrow" w:hAnsi="Arial Narrow" w:cs="Arial"/>
                <w:color w:val="000000"/>
                <w:sz w:val="18"/>
                <w:szCs w:val="18"/>
                <w:highlight w:val="black"/>
                <w:lang w:val="en-US" w:eastAsia="en-US"/>
              </w:rPr>
            </w:pPr>
            <w:r>
              <w:rPr>
                <w:rFonts w:ascii="Arial Narrow" w:hAnsi="Arial Narrow" w:cs="Arial"/>
                <w:noProof/>
                <w:color w:val="000000"/>
                <w:sz w:val="18"/>
                <w:szCs w:val="18"/>
                <w:highlight w:val="black"/>
                <w:lang w:val="en-US" w:eastAsia="en-US"/>
              </w:rPr>
              <w:t xml:space="preserve">''''''''''''''''' </w:t>
            </w:r>
          </w:p>
        </w:tc>
        <w:tc>
          <w:tcPr>
            <w:tcW w:w="0" w:type="auto"/>
            <w:tcBorders>
              <w:top w:val="nil"/>
              <w:left w:val="nil"/>
              <w:bottom w:val="single" w:sz="4" w:space="0" w:color="auto"/>
              <w:right w:val="single" w:sz="4" w:space="0" w:color="auto"/>
            </w:tcBorders>
            <w:shd w:val="clear" w:color="auto" w:fill="auto"/>
            <w:vAlign w:val="center"/>
          </w:tcPr>
          <w:p w:rsidR="00F64154" w:rsidRPr="001A7271" w:rsidRDefault="001A7271" w:rsidP="00A92174">
            <w:pPr>
              <w:spacing w:before="60" w:after="60"/>
              <w:jc w:val="right"/>
              <w:rPr>
                <w:rFonts w:ascii="Arial Narrow" w:hAnsi="Arial Narrow" w:cs="Arial"/>
                <w:color w:val="000000"/>
                <w:sz w:val="18"/>
                <w:szCs w:val="18"/>
                <w:highlight w:val="black"/>
                <w:lang w:val="en-US" w:eastAsia="en-US"/>
              </w:rPr>
            </w:pPr>
            <w:r>
              <w:rPr>
                <w:rFonts w:ascii="Arial Narrow" w:hAnsi="Arial Narrow" w:cs="Arial"/>
                <w:noProof/>
                <w:color w:val="000000"/>
                <w:sz w:val="18"/>
                <w:szCs w:val="18"/>
                <w:highlight w:val="black"/>
                <w:lang w:val="en-US" w:eastAsia="en-US"/>
              </w:rPr>
              <w:t xml:space="preserve">''''''''''''''''''''' </w:t>
            </w:r>
          </w:p>
        </w:tc>
      </w:tr>
      <w:tr w:rsidR="00F64154" w:rsidRPr="00E50CD3" w:rsidTr="00680777">
        <w:trPr>
          <w:trHeight w:val="20"/>
          <w:jc w:val="center"/>
        </w:trPr>
        <w:tc>
          <w:tcPr>
            <w:tcW w:w="0" w:type="auto"/>
            <w:tcBorders>
              <w:top w:val="single" w:sz="4" w:space="0" w:color="auto"/>
              <w:left w:val="single" w:sz="4" w:space="0" w:color="auto"/>
              <w:bottom w:val="single" w:sz="4" w:space="0" w:color="auto"/>
              <w:right w:val="nil"/>
            </w:tcBorders>
            <w:shd w:val="clear" w:color="000000" w:fill="FFFFFF"/>
          </w:tcPr>
          <w:p w:rsidR="00F64154" w:rsidRPr="00E50CD3" w:rsidRDefault="00F64154" w:rsidP="00A92174">
            <w:pPr>
              <w:spacing w:before="60" w:after="60"/>
              <w:rPr>
                <w:rFonts w:ascii="Arial Narrow" w:hAnsi="Arial Narrow" w:cs="Arial"/>
                <w:bCs/>
                <w:color w:val="000000"/>
                <w:sz w:val="20"/>
                <w:szCs w:val="20"/>
                <w:lang w:val="en-US" w:eastAsia="en-US"/>
              </w:rPr>
            </w:pPr>
            <w:r>
              <w:rPr>
                <w:rFonts w:ascii="Arial Narrow" w:hAnsi="Arial Narrow" w:cs="Arial"/>
                <w:bCs/>
                <w:color w:val="000000"/>
                <w:sz w:val="20"/>
                <w:szCs w:val="20"/>
                <w:lang w:val="en-US" w:eastAsia="en-US"/>
              </w:rPr>
              <w:t>b.</w:t>
            </w:r>
          </w:p>
        </w:tc>
        <w:tc>
          <w:tcPr>
            <w:tcW w:w="0" w:type="auto"/>
            <w:tcBorders>
              <w:top w:val="single" w:sz="4" w:space="0" w:color="auto"/>
              <w:left w:val="single" w:sz="4" w:space="0" w:color="auto"/>
              <w:bottom w:val="single" w:sz="4" w:space="0" w:color="auto"/>
              <w:right w:val="nil"/>
            </w:tcBorders>
            <w:shd w:val="clear" w:color="000000" w:fill="FFFFFF"/>
            <w:noWrap/>
          </w:tcPr>
          <w:p w:rsidR="00F64154" w:rsidRPr="00E50CD3" w:rsidRDefault="00F64154" w:rsidP="00A92174">
            <w:pPr>
              <w:spacing w:before="60" w:after="60"/>
              <w:rPr>
                <w:rFonts w:ascii="Arial Narrow" w:hAnsi="Arial Narrow" w:cs="Arial"/>
                <w:bCs/>
                <w:color w:val="000000"/>
                <w:sz w:val="20"/>
                <w:szCs w:val="20"/>
                <w:lang w:val="en-US" w:eastAsia="en-US"/>
              </w:rPr>
            </w:pPr>
            <w:r>
              <w:rPr>
                <w:rFonts w:ascii="Arial Narrow" w:hAnsi="Arial Narrow" w:cs="Arial"/>
                <w:bCs/>
                <w:color w:val="000000"/>
                <w:sz w:val="20"/>
                <w:szCs w:val="20"/>
                <w:lang w:val="en-US" w:eastAsia="en-US"/>
              </w:rPr>
              <w:t>Number doses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64154" w:rsidRPr="001A7271" w:rsidRDefault="001A7271" w:rsidP="00A92174">
            <w:pPr>
              <w:spacing w:before="60" w:after="60"/>
              <w:jc w:val="right"/>
              <w:rPr>
                <w:rFonts w:ascii="Arial Narrow" w:hAnsi="Arial Narrow" w:cs="Arial"/>
                <w:bCs/>
                <w:color w:val="000000"/>
                <w:sz w:val="18"/>
                <w:szCs w:val="18"/>
                <w:highlight w:val="black"/>
              </w:rPr>
            </w:pPr>
            <w:r>
              <w:rPr>
                <w:rFonts w:ascii="Arial Narrow" w:hAnsi="Arial Narrow" w:cs="Arial"/>
                <w:bCs/>
                <w:noProof/>
                <w:color w:val="000000"/>
                <w:sz w:val="18"/>
                <w:szCs w:val="18"/>
                <w:highlight w:val="black"/>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F64154" w:rsidRPr="001A7271" w:rsidRDefault="001A7271" w:rsidP="00A92174">
            <w:pPr>
              <w:spacing w:before="60" w:after="60"/>
              <w:jc w:val="right"/>
              <w:rPr>
                <w:rFonts w:ascii="Arial Narrow" w:hAnsi="Arial Narrow" w:cs="Arial"/>
                <w:bCs/>
                <w:color w:val="000000"/>
                <w:sz w:val="18"/>
                <w:szCs w:val="18"/>
                <w:highlight w:val="black"/>
                <w:lang w:val="en-US" w:eastAsia="en-US"/>
              </w:rPr>
            </w:pPr>
            <w:r>
              <w:rPr>
                <w:rFonts w:ascii="Arial Narrow" w:hAnsi="Arial Narrow" w:cs="Arial"/>
                <w:bCs/>
                <w:noProof/>
                <w:color w:val="000000"/>
                <w:sz w:val="18"/>
                <w:szCs w:val="18"/>
                <w:highlight w:val="black"/>
                <w:lang w:val="en-US" w:eastAsia="en-US"/>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F64154" w:rsidRPr="001A7271" w:rsidRDefault="001A7271" w:rsidP="00A92174">
            <w:pPr>
              <w:spacing w:before="60" w:after="60"/>
              <w:jc w:val="right"/>
              <w:rPr>
                <w:rFonts w:ascii="Arial Narrow" w:hAnsi="Arial Narrow" w:cs="Arial"/>
                <w:bCs/>
                <w:color w:val="000000"/>
                <w:sz w:val="18"/>
                <w:szCs w:val="18"/>
                <w:highlight w:val="black"/>
                <w:lang w:val="en-US" w:eastAsia="en-US"/>
              </w:rPr>
            </w:pPr>
            <w:r>
              <w:rPr>
                <w:rFonts w:ascii="Arial Narrow" w:hAnsi="Arial Narrow" w:cs="Arial"/>
                <w:bCs/>
                <w:noProof/>
                <w:color w:val="000000"/>
                <w:sz w:val="18"/>
                <w:szCs w:val="18"/>
                <w:highlight w:val="black"/>
                <w:lang w:val="en-US" w:eastAsia="en-US"/>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F64154" w:rsidRPr="001A7271" w:rsidRDefault="001A7271" w:rsidP="00A92174">
            <w:pPr>
              <w:spacing w:before="60" w:after="60"/>
              <w:jc w:val="right"/>
              <w:rPr>
                <w:rFonts w:ascii="Arial Narrow" w:hAnsi="Arial Narrow" w:cs="Arial"/>
                <w:bCs/>
                <w:color w:val="000000"/>
                <w:sz w:val="18"/>
                <w:szCs w:val="18"/>
                <w:highlight w:val="black"/>
                <w:lang w:val="en-US" w:eastAsia="en-US"/>
              </w:rPr>
            </w:pPr>
            <w:r>
              <w:rPr>
                <w:rFonts w:ascii="Arial Narrow" w:hAnsi="Arial Narrow" w:cs="Arial"/>
                <w:bCs/>
                <w:noProof/>
                <w:color w:val="000000"/>
                <w:sz w:val="18"/>
                <w:szCs w:val="18"/>
                <w:highlight w:val="black"/>
                <w:lang w:val="en-US" w:eastAsia="en-US"/>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F64154" w:rsidRPr="001A7271" w:rsidRDefault="001A7271" w:rsidP="00A92174">
            <w:pPr>
              <w:spacing w:before="60" w:after="60"/>
              <w:jc w:val="right"/>
              <w:rPr>
                <w:rFonts w:ascii="Arial Narrow" w:hAnsi="Arial Narrow" w:cs="Arial"/>
                <w:bCs/>
                <w:color w:val="000000"/>
                <w:sz w:val="18"/>
                <w:szCs w:val="18"/>
                <w:highlight w:val="black"/>
                <w:lang w:val="en-US" w:eastAsia="en-US"/>
              </w:rPr>
            </w:pPr>
            <w:r>
              <w:rPr>
                <w:rFonts w:ascii="Arial Narrow" w:hAnsi="Arial Narrow" w:cs="Arial"/>
                <w:bCs/>
                <w:noProof/>
                <w:color w:val="000000"/>
                <w:sz w:val="18"/>
                <w:szCs w:val="18"/>
                <w:highlight w:val="black"/>
                <w:lang w:val="en-US" w:eastAsia="en-US"/>
              </w:rPr>
              <w:t xml:space="preserve">'''''''''''''''''' </w:t>
            </w:r>
          </w:p>
        </w:tc>
        <w:tc>
          <w:tcPr>
            <w:tcW w:w="0" w:type="auto"/>
            <w:tcBorders>
              <w:top w:val="nil"/>
              <w:left w:val="nil"/>
              <w:bottom w:val="single" w:sz="4" w:space="0" w:color="auto"/>
              <w:right w:val="single" w:sz="4" w:space="0" w:color="auto"/>
            </w:tcBorders>
            <w:shd w:val="clear" w:color="auto" w:fill="auto"/>
            <w:vAlign w:val="center"/>
          </w:tcPr>
          <w:p w:rsidR="00F64154" w:rsidRPr="001A7271" w:rsidRDefault="001A7271" w:rsidP="00A92174">
            <w:pPr>
              <w:spacing w:before="60" w:after="60"/>
              <w:jc w:val="right"/>
              <w:rPr>
                <w:rFonts w:ascii="Arial Narrow" w:hAnsi="Arial Narrow" w:cs="Arial"/>
                <w:bCs/>
                <w:color w:val="000000"/>
                <w:sz w:val="18"/>
                <w:szCs w:val="18"/>
                <w:highlight w:val="black"/>
                <w:lang w:val="en-US" w:eastAsia="en-US"/>
              </w:rPr>
            </w:pPr>
            <w:r>
              <w:rPr>
                <w:rFonts w:ascii="Arial Narrow" w:hAnsi="Arial Narrow" w:cs="Arial"/>
                <w:bCs/>
                <w:noProof/>
                <w:color w:val="000000"/>
                <w:sz w:val="18"/>
                <w:szCs w:val="18"/>
                <w:highlight w:val="black"/>
                <w:lang w:val="en-US" w:eastAsia="en-US"/>
              </w:rPr>
              <w:t xml:space="preserve">''''''''''''''''''' </w:t>
            </w:r>
          </w:p>
        </w:tc>
      </w:tr>
      <w:tr w:rsidR="00F64154" w:rsidRPr="00E50CD3" w:rsidTr="00680777">
        <w:trPr>
          <w:trHeight w:val="20"/>
          <w:jc w:val="center"/>
        </w:trPr>
        <w:tc>
          <w:tcPr>
            <w:tcW w:w="0" w:type="auto"/>
            <w:tcBorders>
              <w:top w:val="single" w:sz="4" w:space="0" w:color="auto"/>
              <w:left w:val="single" w:sz="4" w:space="0" w:color="auto"/>
              <w:bottom w:val="single" w:sz="4" w:space="0" w:color="auto"/>
              <w:right w:val="nil"/>
            </w:tcBorders>
            <w:shd w:val="clear" w:color="000000" w:fill="FFFFFF"/>
          </w:tcPr>
          <w:p w:rsidR="00F64154" w:rsidRPr="00E50CD3" w:rsidRDefault="00F64154" w:rsidP="00A92174">
            <w:pPr>
              <w:spacing w:before="60" w:after="60"/>
              <w:rPr>
                <w:rFonts w:ascii="Arial Narrow" w:hAnsi="Arial Narrow" w:cs="Arial"/>
                <w:bCs/>
                <w:color w:val="000000"/>
                <w:sz w:val="20"/>
                <w:szCs w:val="20"/>
                <w:lang w:val="en-US" w:eastAsia="en-US"/>
              </w:rPr>
            </w:pPr>
            <w:r>
              <w:rPr>
                <w:rFonts w:ascii="Arial Narrow" w:hAnsi="Arial Narrow" w:cs="Arial"/>
                <w:bCs/>
                <w:color w:val="000000"/>
                <w:sz w:val="20"/>
                <w:szCs w:val="20"/>
                <w:lang w:val="en-US" w:eastAsia="en-US"/>
              </w:rPr>
              <w:t>c.</w:t>
            </w:r>
          </w:p>
        </w:tc>
        <w:tc>
          <w:tcPr>
            <w:tcW w:w="0" w:type="auto"/>
            <w:tcBorders>
              <w:top w:val="single" w:sz="4" w:space="0" w:color="auto"/>
              <w:left w:val="single" w:sz="4" w:space="0" w:color="auto"/>
              <w:bottom w:val="single" w:sz="4" w:space="0" w:color="auto"/>
              <w:right w:val="nil"/>
            </w:tcBorders>
            <w:shd w:val="clear" w:color="000000" w:fill="FFFFFF"/>
            <w:noWrap/>
          </w:tcPr>
          <w:p w:rsidR="00F64154" w:rsidRPr="00E50CD3" w:rsidRDefault="00F64154" w:rsidP="00A92174">
            <w:pPr>
              <w:spacing w:before="60" w:after="60"/>
              <w:rPr>
                <w:rFonts w:ascii="Arial Narrow" w:hAnsi="Arial Narrow" w:cs="Arial"/>
                <w:bCs/>
                <w:color w:val="000000"/>
                <w:sz w:val="20"/>
                <w:szCs w:val="20"/>
                <w:lang w:val="en-US" w:eastAsia="en-US"/>
              </w:rPr>
            </w:pPr>
            <w:r>
              <w:rPr>
                <w:rFonts w:ascii="Arial Narrow" w:hAnsi="Arial Narrow" w:cs="Arial"/>
                <w:bCs/>
                <w:color w:val="000000"/>
                <w:sz w:val="20"/>
                <w:szCs w:val="20"/>
                <w:lang w:val="en-US" w:eastAsia="en-US"/>
              </w:rPr>
              <w:t>Overall costs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64154" w:rsidRPr="00A935D6" w:rsidRDefault="00F64154" w:rsidP="00A92174">
            <w:pPr>
              <w:spacing w:before="60" w:after="60"/>
              <w:jc w:val="right"/>
              <w:rPr>
                <w:rFonts w:ascii="Arial Narrow" w:hAnsi="Arial Narrow" w:cs="Arial"/>
                <w:bCs/>
                <w:color w:val="000000"/>
                <w:sz w:val="18"/>
                <w:szCs w:val="18"/>
              </w:rPr>
            </w:pPr>
            <w:r w:rsidRPr="00A935D6">
              <w:rPr>
                <w:rFonts w:ascii="Arial Narrow" w:hAnsi="Arial Narrow" w:cs="Arial"/>
                <w:bCs/>
                <w:color w:val="000000"/>
                <w:sz w:val="18"/>
                <w:szCs w:val="18"/>
              </w:rPr>
              <w:t>$</w:t>
            </w:r>
            <w:r w:rsidR="001A7271">
              <w:rPr>
                <w:rFonts w:ascii="Arial Narrow" w:hAnsi="Arial Narrow" w:cs="Arial"/>
                <w:bCs/>
                <w:noProof/>
                <w:color w:val="000000"/>
                <w:sz w:val="18"/>
                <w:szCs w:val="18"/>
                <w:highlight w:val="black"/>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F64154" w:rsidRPr="00A935D6" w:rsidRDefault="00F64154" w:rsidP="00A92174">
            <w:pPr>
              <w:spacing w:before="60" w:after="60"/>
              <w:jc w:val="right"/>
              <w:rPr>
                <w:rFonts w:ascii="Arial Narrow" w:hAnsi="Arial Narrow" w:cs="Arial"/>
                <w:bCs/>
                <w:color w:val="000000"/>
                <w:sz w:val="18"/>
                <w:szCs w:val="18"/>
              </w:rPr>
            </w:pPr>
            <w:r w:rsidRPr="00A935D6">
              <w:rPr>
                <w:rFonts w:ascii="Arial Narrow" w:hAnsi="Arial Narrow" w:cs="Arial"/>
                <w:bCs/>
                <w:color w:val="000000"/>
                <w:sz w:val="18"/>
                <w:szCs w:val="18"/>
              </w:rPr>
              <w:t>$</w:t>
            </w:r>
            <w:r w:rsidR="001A7271">
              <w:rPr>
                <w:rFonts w:ascii="Arial Narrow" w:hAnsi="Arial Narrow" w:cs="Arial"/>
                <w:bCs/>
                <w:noProof/>
                <w:color w:val="000000"/>
                <w:sz w:val="18"/>
                <w:szCs w:val="18"/>
                <w:highlight w:val="black"/>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F64154" w:rsidRPr="00A935D6" w:rsidRDefault="00F64154" w:rsidP="00A92174">
            <w:pPr>
              <w:spacing w:before="60" w:after="60"/>
              <w:jc w:val="right"/>
              <w:rPr>
                <w:rFonts w:ascii="Arial Narrow" w:hAnsi="Arial Narrow" w:cs="Arial"/>
                <w:bCs/>
                <w:color w:val="000000"/>
                <w:sz w:val="18"/>
                <w:szCs w:val="18"/>
              </w:rPr>
            </w:pPr>
            <w:r w:rsidRPr="00A935D6">
              <w:rPr>
                <w:rFonts w:ascii="Arial Narrow" w:hAnsi="Arial Narrow" w:cs="Arial"/>
                <w:bCs/>
                <w:color w:val="000000"/>
                <w:sz w:val="18"/>
                <w:szCs w:val="18"/>
              </w:rPr>
              <w:t>$</w:t>
            </w:r>
            <w:r w:rsidR="001A7271">
              <w:rPr>
                <w:rFonts w:ascii="Arial Narrow" w:hAnsi="Arial Narrow" w:cs="Arial"/>
                <w:bCs/>
                <w:noProof/>
                <w:color w:val="000000"/>
                <w:sz w:val="18"/>
                <w:szCs w:val="18"/>
                <w:highlight w:val="black"/>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F64154" w:rsidRPr="00A935D6" w:rsidRDefault="00F64154" w:rsidP="00A92174">
            <w:pPr>
              <w:spacing w:before="60" w:after="60"/>
              <w:jc w:val="right"/>
              <w:rPr>
                <w:rFonts w:ascii="Arial Narrow" w:hAnsi="Arial Narrow" w:cs="Arial"/>
                <w:bCs/>
                <w:color w:val="000000"/>
                <w:sz w:val="18"/>
                <w:szCs w:val="18"/>
              </w:rPr>
            </w:pPr>
            <w:r w:rsidRPr="00A935D6">
              <w:rPr>
                <w:rFonts w:ascii="Arial Narrow" w:hAnsi="Arial Narrow" w:cs="Arial"/>
                <w:bCs/>
                <w:color w:val="000000"/>
                <w:sz w:val="18"/>
                <w:szCs w:val="18"/>
              </w:rPr>
              <w:t>$</w:t>
            </w:r>
            <w:r w:rsidR="001A7271">
              <w:rPr>
                <w:rFonts w:ascii="Arial Narrow" w:hAnsi="Arial Narrow" w:cs="Arial"/>
                <w:bCs/>
                <w:noProof/>
                <w:color w:val="000000"/>
                <w:sz w:val="18"/>
                <w:szCs w:val="18"/>
                <w:highlight w:val="black"/>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F64154" w:rsidRPr="00A935D6" w:rsidRDefault="00F64154" w:rsidP="00A92174">
            <w:pPr>
              <w:spacing w:before="60" w:after="60"/>
              <w:jc w:val="right"/>
              <w:rPr>
                <w:rFonts w:ascii="Arial Narrow" w:hAnsi="Arial Narrow" w:cs="Arial"/>
                <w:bCs/>
                <w:color w:val="000000"/>
                <w:sz w:val="18"/>
                <w:szCs w:val="18"/>
              </w:rPr>
            </w:pPr>
            <w:r w:rsidRPr="00A935D6">
              <w:rPr>
                <w:rFonts w:ascii="Arial Narrow" w:hAnsi="Arial Narrow" w:cs="Arial"/>
                <w:bCs/>
                <w:color w:val="000000"/>
                <w:sz w:val="18"/>
                <w:szCs w:val="18"/>
              </w:rPr>
              <w:t>$</w:t>
            </w:r>
            <w:r w:rsidR="001A7271">
              <w:rPr>
                <w:rFonts w:ascii="Arial Narrow" w:hAnsi="Arial Narrow" w:cs="Arial"/>
                <w:bCs/>
                <w:noProof/>
                <w:color w:val="000000"/>
                <w:sz w:val="18"/>
                <w:szCs w:val="18"/>
                <w:highlight w:val="black"/>
              </w:rPr>
              <w:t>''''''''''''''''''''''''''''</w:t>
            </w:r>
          </w:p>
        </w:tc>
        <w:tc>
          <w:tcPr>
            <w:tcW w:w="0" w:type="auto"/>
            <w:tcBorders>
              <w:top w:val="nil"/>
              <w:left w:val="nil"/>
              <w:bottom w:val="single" w:sz="4" w:space="0" w:color="auto"/>
              <w:right w:val="single" w:sz="4" w:space="0" w:color="auto"/>
            </w:tcBorders>
            <w:shd w:val="clear" w:color="auto" w:fill="auto"/>
            <w:vAlign w:val="center"/>
          </w:tcPr>
          <w:p w:rsidR="00F64154" w:rsidRPr="00A935D6" w:rsidRDefault="00F64154" w:rsidP="00A92174">
            <w:pPr>
              <w:spacing w:before="60" w:after="60"/>
              <w:jc w:val="right"/>
              <w:rPr>
                <w:rFonts w:ascii="Arial Narrow" w:hAnsi="Arial Narrow" w:cs="Arial"/>
                <w:bCs/>
                <w:color w:val="000000"/>
                <w:sz w:val="18"/>
                <w:szCs w:val="18"/>
              </w:rPr>
            </w:pPr>
            <w:r w:rsidRPr="00A935D6">
              <w:rPr>
                <w:rFonts w:ascii="Arial Narrow" w:hAnsi="Arial Narrow" w:cs="Arial"/>
                <w:bCs/>
                <w:color w:val="000000"/>
                <w:sz w:val="18"/>
                <w:szCs w:val="18"/>
              </w:rPr>
              <w:t>$</w:t>
            </w:r>
            <w:r w:rsidR="001A7271">
              <w:rPr>
                <w:rFonts w:ascii="Arial Narrow" w:hAnsi="Arial Narrow" w:cs="Arial"/>
                <w:bCs/>
                <w:noProof/>
                <w:color w:val="000000"/>
                <w:sz w:val="18"/>
                <w:szCs w:val="18"/>
                <w:highlight w:val="black"/>
              </w:rPr>
              <w:t>''''''''''''''''''''''''''''</w:t>
            </w:r>
          </w:p>
        </w:tc>
      </w:tr>
      <w:tr w:rsidR="00F64154" w:rsidRPr="00F666E6" w:rsidTr="00680777">
        <w:trPr>
          <w:trHeight w:val="20"/>
          <w:jc w:val="center"/>
        </w:trPr>
        <w:tc>
          <w:tcPr>
            <w:tcW w:w="0" w:type="auto"/>
            <w:gridSpan w:val="8"/>
            <w:tcBorders>
              <w:top w:val="single" w:sz="4" w:space="0" w:color="auto"/>
              <w:left w:val="single" w:sz="4" w:space="0" w:color="auto"/>
              <w:bottom w:val="single" w:sz="4" w:space="0" w:color="auto"/>
              <w:right w:val="single" w:sz="4" w:space="0" w:color="auto"/>
            </w:tcBorders>
            <w:shd w:val="clear" w:color="000000" w:fill="FFFFFF"/>
          </w:tcPr>
          <w:p w:rsidR="00F64154" w:rsidRPr="00E50CD3" w:rsidRDefault="00F64154" w:rsidP="00A92174">
            <w:pPr>
              <w:spacing w:before="60" w:after="60"/>
              <w:rPr>
                <w:rFonts w:ascii="Arial Narrow" w:hAnsi="Arial Narrow" w:cs="Arial"/>
                <w:b/>
                <w:color w:val="000000"/>
                <w:sz w:val="20"/>
                <w:szCs w:val="20"/>
                <w:lang w:val="en-US" w:eastAsia="en-US"/>
              </w:rPr>
            </w:pPr>
            <w:r>
              <w:rPr>
                <w:rFonts w:ascii="Arial Narrow" w:hAnsi="Arial Narrow" w:cs="Arial"/>
                <w:b/>
                <w:color w:val="000000"/>
                <w:sz w:val="20"/>
                <w:szCs w:val="20"/>
                <w:lang w:val="en-US" w:eastAsia="en-US"/>
              </w:rPr>
              <w:t>‘3+0’</w:t>
            </w:r>
            <w:r w:rsidRPr="00E50CD3">
              <w:rPr>
                <w:rFonts w:ascii="Arial Narrow" w:hAnsi="Arial Narrow" w:cs="Arial"/>
                <w:b/>
                <w:color w:val="000000"/>
                <w:sz w:val="20"/>
                <w:szCs w:val="20"/>
                <w:lang w:val="en-US" w:eastAsia="en-US"/>
              </w:rPr>
              <w:t>schedule</w:t>
            </w:r>
          </w:p>
        </w:tc>
      </w:tr>
      <w:tr w:rsidR="00F64154" w:rsidRPr="00F666E6" w:rsidTr="00680777">
        <w:trPr>
          <w:trHeight w:val="20"/>
          <w:jc w:val="center"/>
        </w:trPr>
        <w:tc>
          <w:tcPr>
            <w:tcW w:w="0" w:type="auto"/>
            <w:tcBorders>
              <w:top w:val="single" w:sz="4" w:space="0" w:color="auto"/>
              <w:left w:val="single" w:sz="4" w:space="0" w:color="auto"/>
              <w:bottom w:val="single" w:sz="4" w:space="0" w:color="auto"/>
              <w:right w:val="nil"/>
            </w:tcBorders>
            <w:shd w:val="clear" w:color="000000" w:fill="FFFFFF"/>
          </w:tcPr>
          <w:p w:rsidR="00F64154" w:rsidRPr="00E50CD3" w:rsidRDefault="00F64154" w:rsidP="00A92174">
            <w:pPr>
              <w:spacing w:before="60" w:after="60"/>
              <w:rPr>
                <w:rFonts w:ascii="Arial Narrow" w:hAnsi="Arial Narrow" w:cs="Arial"/>
                <w:bCs/>
                <w:color w:val="000000"/>
                <w:sz w:val="20"/>
                <w:szCs w:val="20"/>
                <w:lang w:val="en-US" w:eastAsia="en-US"/>
              </w:rPr>
            </w:pPr>
            <w:r>
              <w:rPr>
                <w:rFonts w:ascii="Arial Narrow" w:hAnsi="Arial Narrow" w:cs="Arial"/>
                <w:bCs/>
                <w:color w:val="000000"/>
                <w:sz w:val="20"/>
                <w:szCs w:val="20"/>
                <w:lang w:val="en-US" w:eastAsia="en-US"/>
              </w:rPr>
              <w:t>c</w:t>
            </w:r>
            <w:r w:rsidRPr="00E50CD3">
              <w:rPr>
                <w:rFonts w:ascii="Arial Narrow" w:hAnsi="Arial Narrow" w:cs="Arial"/>
                <w:bCs/>
                <w:color w:val="000000"/>
                <w:sz w:val="20"/>
                <w:szCs w:val="20"/>
                <w:lang w:val="en-US" w:eastAsia="en-US"/>
              </w:rPr>
              <w:t>.</w:t>
            </w:r>
          </w:p>
        </w:tc>
        <w:tc>
          <w:tcPr>
            <w:tcW w:w="0" w:type="auto"/>
            <w:tcBorders>
              <w:top w:val="single" w:sz="4" w:space="0" w:color="auto"/>
              <w:left w:val="single" w:sz="4" w:space="0" w:color="auto"/>
              <w:bottom w:val="single" w:sz="4" w:space="0" w:color="auto"/>
              <w:right w:val="nil"/>
            </w:tcBorders>
            <w:shd w:val="clear" w:color="000000" w:fill="FFFFFF"/>
            <w:noWrap/>
          </w:tcPr>
          <w:p w:rsidR="00F64154" w:rsidRPr="00E50CD3" w:rsidRDefault="00F64154" w:rsidP="00A92174">
            <w:pPr>
              <w:spacing w:before="60" w:after="60"/>
              <w:rPr>
                <w:rFonts w:ascii="Arial Narrow" w:hAnsi="Arial Narrow" w:cs="Arial"/>
                <w:bCs/>
                <w:color w:val="000000"/>
                <w:sz w:val="20"/>
                <w:szCs w:val="20"/>
                <w:lang w:val="en-US" w:eastAsia="en-US"/>
              </w:rPr>
            </w:pPr>
            <w:r>
              <w:rPr>
                <w:rFonts w:ascii="Arial Narrow" w:hAnsi="Arial Narrow" w:cs="Arial"/>
                <w:bCs/>
                <w:color w:val="000000"/>
                <w:sz w:val="20"/>
                <w:szCs w:val="20"/>
                <w:lang w:val="en-US" w:eastAsia="en-US"/>
              </w:rPr>
              <w:t>Number infants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4154" w:rsidRPr="001A7271" w:rsidRDefault="001A7271" w:rsidP="00A92174">
            <w:pPr>
              <w:spacing w:before="60" w:after="60"/>
              <w:jc w:val="right"/>
              <w:rPr>
                <w:rFonts w:ascii="Arial Narrow" w:hAnsi="Arial Narrow" w:cs="Arial"/>
                <w:color w:val="000000"/>
                <w:sz w:val="20"/>
                <w:szCs w:val="20"/>
                <w:highlight w:val="black"/>
                <w:lang w:val="en-US" w:eastAsia="en-US"/>
              </w:rPr>
            </w:pPr>
            <w:r>
              <w:rPr>
                <w:rFonts w:ascii="Arial Narrow" w:hAnsi="Arial Narrow" w:cs="Arial"/>
                <w:noProof/>
                <w:color w:val="000000"/>
                <w:sz w:val="20"/>
                <w:szCs w:val="20"/>
                <w:highlight w:val="black"/>
                <w:lang w:val="en-US" w:eastAsia="en-US"/>
              </w:rPr>
              <w:t xml:space="preserve">''''''''''''''''''' </w:t>
            </w:r>
          </w:p>
        </w:tc>
        <w:tc>
          <w:tcPr>
            <w:tcW w:w="0" w:type="auto"/>
            <w:tcBorders>
              <w:top w:val="single" w:sz="4" w:space="0" w:color="auto"/>
              <w:left w:val="nil"/>
              <w:bottom w:val="single" w:sz="4" w:space="0" w:color="auto"/>
              <w:right w:val="single" w:sz="4" w:space="0" w:color="auto"/>
            </w:tcBorders>
            <w:shd w:val="clear" w:color="auto" w:fill="auto"/>
          </w:tcPr>
          <w:p w:rsidR="00F64154" w:rsidRPr="001A7271" w:rsidRDefault="001A7271" w:rsidP="00A92174">
            <w:pPr>
              <w:spacing w:before="60" w:after="60"/>
              <w:jc w:val="right"/>
              <w:rPr>
                <w:rFonts w:ascii="Arial Narrow" w:hAnsi="Arial Narrow" w:cs="Arial"/>
                <w:color w:val="000000"/>
                <w:sz w:val="20"/>
                <w:szCs w:val="20"/>
                <w:highlight w:val="black"/>
                <w:lang w:val="en-US" w:eastAsia="en-US"/>
              </w:rPr>
            </w:pPr>
            <w:r>
              <w:rPr>
                <w:rFonts w:ascii="Arial Narrow" w:hAnsi="Arial Narrow" w:cs="Arial"/>
                <w:noProof/>
                <w:color w:val="000000"/>
                <w:sz w:val="20"/>
                <w:szCs w:val="20"/>
                <w:highlight w:val="black"/>
                <w:lang w:val="en-US" w:eastAsia="en-US"/>
              </w:rPr>
              <w:t xml:space="preserve">'''''''''''''''''' </w:t>
            </w:r>
          </w:p>
        </w:tc>
        <w:tc>
          <w:tcPr>
            <w:tcW w:w="0" w:type="auto"/>
            <w:tcBorders>
              <w:top w:val="single" w:sz="4" w:space="0" w:color="auto"/>
              <w:left w:val="nil"/>
              <w:bottom w:val="single" w:sz="4" w:space="0" w:color="auto"/>
              <w:right w:val="single" w:sz="4" w:space="0" w:color="auto"/>
            </w:tcBorders>
            <w:shd w:val="clear" w:color="auto" w:fill="auto"/>
          </w:tcPr>
          <w:p w:rsidR="00F64154" w:rsidRPr="001A7271" w:rsidRDefault="001A7271" w:rsidP="00A92174">
            <w:pPr>
              <w:spacing w:before="60" w:after="60"/>
              <w:jc w:val="right"/>
              <w:rPr>
                <w:rFonts w:ascii="Arial Narrow" w:hAnsi="Arial Narrow" w:cs="Arial"/>
                <w:color w:val="000000"/>
                <w:sz w:val="20"/>
                <w:szCs w:val="20"/>
                <w:highlight w:val="black"/>
                <w:lang w:val="en-US" w:eastAsia="en-US"/>
              </w:rPr>
            </w:pPr>
            <w:r>
              <w:rPr>
                <w:rFonts w:ascii="Arial Narrow" w:hAnsi="Arial Narrow" w:cs="Arial"/>
                <w:noProof/>
                <w:color w:val="000000"/>
                <w:sz w:val="20"/>
                <w:szCs w:val="20"/>
                <w:highlight w:val="black"/>
                <w:lang w:val="en-US" w:eastAsia="en-US"/>
              </w:rPr>
              <w:t xml:space="preserve">''''''''''''''''''''' </w:t>
            </w:r>
          </w:p>
        </w:tc>
        <w:tc>
          <w:tcPr>
            <w:tcW w:w="0" w:type="auto"/>
            <w:tcBorders>
              <w:top w:val="single" w:sz="4" w:space="0" w:color="auto"/>
              <w:left w:val="nil"/>
              <w:bottom w:val="single" w:sz="4" w:space="0" w:color="auto"/>
              <w:right w:val="single" w:sz="4" w:space="0" w:color="auto"/>
            </w:tcBorders>
            <w:shd w:val="clear" w:color="auto" w:fill="auto"/>
          </w:tcPr>
          <w:p w:rsidR="00F64154" w:rsidRPr="001A7271" w:rsidRDefault="001A7271" w:rsidP="00A92174">
            <w:pPr>
              <w:spacing w:before="60" w:after="60"/>
              <w:jc w:val="right"/>
              <w:rPr>
                <w:rFonts w:ascii="Arial Narrow" w:hAnsi="Arial Narrow" w:cs="Arial"/>
                <w:color w:val="000000"/>
                <w:sz w:val="20"/>
                <w:szCs w:val="20"/>
                <w:highlight w:val="black"/>
                <w:lang w:val="en-US" w:eastAsia="en-US"/>
              </w:rPr>
            </w:pPr>
            <w:r>
              <w:rPr>
                <w:rFonts w:ascii="Arial Narrow" w:hAnsi="Arial Narrow" w:cs="Arial"/>
                <w:noProof/>
                <w:color w:val="000000"/>
                <w:sz w:val="20"/>
                <w:szCs w:val="20"/>
                <w:highlight w:val="black"/>
                <w:lang w:val="en-US" w:eastAsia="en-US"/>
              </w:rPr>
              <w:t xml:space="preserve">'''''''''''''''''''''' </w:t>
            </w:r>
          </w:p>
        </w:tc>
        <w:tc>
          <w:tcPr>
            <w:tcW w:w="0" w:type="auto"/>
            <w:tcBorders>
              <w:top w:val="single" w:sz="4" w:space="0" w:color="auto"/>
              <w:left w:val="nil"/>
              <w:bottom w:val="single" w:sz="4" w:space="0" w:color="auto"/>
              <w:right w:val="single" w:sz="4" w:space="0" w:color="auto"/>
            </w:tcBorders>
            <w:shd w:val="clear" w:color="auto" w:fill="auto"/>
          </w:tcPr>
          <w:p w:rsidR="00F64154" w:rsidRPr="001A7271" w:rsidRDefault="001A7271" w:rsidP="00A92174">
            <w:pPr>
              <w:spacing w:before="60" w:after="60"/>
              <w:jc w:val="right"/>
              <w:rPr>
                <w:rFonts w:ascii="Arial Narrow" w:hAnsi="Arial Narrow" w:cs="Arial"/>
                <w:color w:val="000000"/>
                <w:sz w:val="20"/>
                <w:szCs w:val="20"/>
                <w:highlight w:val="black"/>
                <w:lang w:val="en-US" w:eastAsia="en-US"/>
              </w:rPr>
            </w:pPr>
            <w:r>
              <w:rPr>
                <w:rFonts w:ascii="Arial Narrow" w:hAnsi="Arial Narrow" w:cs="Arial"/>
                <w:noProof/>
                <w:color w:val="000000"/>
                <w:sz w:val="20"/>
                <w:szCs w:val="20"/>
                <w:highlight w:val="black"/>
                <w:lang w:val="en-US" w:eastAsia="en-US"/>
              </w:rPr>
              <w:t xml:space="preserve">'''''''''''''''''''' </w:t>
            </w:r>
          </w:p>
        </w:tc>
        <w:tc>
          <w:tcPr>
            <w:tcW w:w="0" w:type="auto"/>
            <w:tcBorders>
              <w:top w:val="nil"/>
              <w:left w:val="nil"/>
              <w:bottom w:val="single" w:sz="4" w:space="0" w:color="auto"/>
              <w:right w:val="single" w:sz="4" w:space="0" w:color="auto"/>
            </w:tcBorders>
            <w:shd w:val="clear" w:color="auto" w:fill="auto"/>
          </w:tcPr>
          <w:p w:rsidR="00F64154" w:rsidRPr="001A7271" w:rsidRDefault="001A7271" w:rsidP="00A92174">
            <w:pPr>
              <w:spacing w:before="60" w:after="60"/>
              <w:jc w:val="right"/>
              <w:rPr>
                <w:rFonts w:ascii="Arial Narrow" w:hAnsi="Arial Narrow" w:cs="Arial"/>
                <w:color w:val="000000"/>
                <w:sz w:val="20"/>
                <w:szCs w:val="20"/>
                <w:highlight w:val="black"/>
                <w:lang w:val="en-US" w:eastAsia="en-US"/>
              </w:rPr>
            </w:pPr>
            <w:r>
              <w:rPr>
                <w:rFonts w:ascii="Arial Narrow" w:hAnsi="Arial Narrow" w:cs="Arial"/>
                <w:noProof/>
                <w:color w:val="000000"/>
                <w:sz w:val="20"/>
                <w:szCs w:val="20"/>
                <w:highlight w:val="black"/>
                <w:lang w:val="en-US" w:eastAsia="en-US"/>
              </w:rPr>
              <w:t xml:space="preserve">''''''''''''''''''' </w:t>
            </w:r>
          </w:p>
        </w:tc>
      </w:tr>
      <w:tr w:rsidR="00F64154" w:rsidRPr="00E50CD3" w:rsidTr="00680777">
        <w:trPr>
          <w:trHeight w:val="20"/>
          <w:jc w:val="center"/>
        </w:trPr>
        <w:tc>
          <w:tcPr>
            <w:tcW w:w="0" w:type="auto"/>
            <w:tcBorders>
              <w:top w:val="single" w:sz="4" w:space="0" w:color="auto"/>
              <w:left w:val="single" w:sz="4" w:space="0" w:color="auto"/>
              <w:bottom w:val="single" w:sz="4" w:space="0" w:color="auto"/>
              <w:right w:val="nil"/>
            </w:tcBorders>
            <w:shd w:val="clear" w:color="000000" w:fill="FFFFFF"/>
          </w:tcPr>
          <w:p w:rsidR="00F64154" w:rsidRPr="00E50CD3" w:rsidRDefault="00F64154" w:rsidP="00A92174">
            <w:pPr>
              <w:spacing w:before="60" w:after="60"/>
              <w:rPr>
                <w:rFonts w:ascii="Arial Narrow" w:hAnsi="Arial Narrow" w:cs="Arial"/>
                <w:bCs/>
                <w:color w:val="000000"/>
                <w:sz w:val="20"/>
                <w:szCs w:val="20"/>
                <w:lang w:val="en-US" w:eastAsia="en-US"/>
              </w:rPr>
            </w:pPr>
            <w:r>
              <w:rPr>
                <w:rFonts w:ascii="Arial Narrow" w:hAnsi="Arial Narrow" w:cs="Arial"/>
                <w:bCs/>
                <w:color w:val="000000"/>
                <w:sz w:val="20"/>
                <w:szCs w:val="20"/>
                <w:lang w:val="en-US" w:eastAsia="en-US"/>
              </w:rPr>
              <w:t>d.</w:t>
            </w:r>
          </w:p>
        </w:tc>
        <w:tc>
          <w:tcPr>
            <w:tcW w:w="0" w:type="auto"/>
            <w:tcBorders>
              <w:top w:val="single" w:sz="4" w:space="0" w:color="auto"/>
              <w:left w:val="single" w:sz="4" w:space="0" w:color="auto"/>
              <w:bottom w:val="single" w:sz="4" w:space="0" w:color="auto"/>
              <w:right w:val="nil"/>
            </w:tcBorders>
            <w:shd w:val="clear" w:color="000000" w:fill="FFFFFF"/>
            <w:noWrap/>
          </w:tcPr>
          <w:p w:rsidR="00F64154" w:rsidRPr="00E50CD3" w:rsidRDefault="00F64154" w:rsidP="00A92174">
            <w:pPr>
              <w:spacing w:before="60" w:after="60"/>
              <w:rPr>
                <w:rFonts w:ascii="Arial Narrow" w:hAnsi="Arial Narrow" w:cs="Arial"/>
                <w:bCs/>
                <w:color w:val="000000"/>
                <w:sz w:val="20"/>
                <w:szCs w:val="20"/>
                <w:lang w:val="en-US" w:eastAsia="en-US"/>
              </w:rPr>
            </w:pPr>
            <w:r>
              <w:rPr>
                <w:rFonts w:ascii="Arial Narrow" w:hAnsi="Arial Narrow" w:cs="Arial"/>
                <w:bCs/>
                <w:color w:val="000000"/>
                <w:sz w:val="20"/>
                <w:szCs w:val="20"/>
                <w:lang w:val="en-US" w:eastAsia="en-US"/>
              </w:rPr>
              <w:t>Number doses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64154" w:rsidRPr="001A7271" w:rsidRDefault="001A7271" w:rsidP="00A92174">
            <w:pPr>
              <w:spacing w:before="60" w:after="60"/>
              <w:jc w:val="right"/>
              <w:rPr>
                <w:rFonts w:ascii="Arial Narrow" w:hAnsi="Arial Narrow" w:cs="Arial"/>
                <w:bCs/>
                <w:color w:val="000000"/>
                <w:sz w:val="18"/>
                <w:szCs w:val="18"/>
                <w:highlight w:val="black"/>
              </w:rPr>
            </w:pPr>
            <w:r>
              <w:rPr>
                <w:rFonts w:ascii="Arial Narrow" w:hAnsi="Arial Narrow" w:cs="Arial"/>
                <w:bCs/>
                <w:noProof/>
                <w:color w:val="000000"/>
                <w:sz w:val="18"/>
                <w:szCs w:val="18"/>
                <w:highlight w:val="black"/>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F64154" w:rsidRPr="001A7271" w:rsidRDefault="001A7271" w:rsidP="00A92174">
            <w:pPr>
              <w:spacing w:before="60" w:after="60"/>
              <w:jc w:val="right"/>
              <w:rPr>
                <w:rFonts w:ascii="Arial Narrow" w:hAnsi="Arial Narrow" w:cs="Arial"/>
                <w:bCs/>
                <w:color w:val="000000"/>
                <w:sz w:val="18"/>
                <w:szCs w:val="18"/>
                <w:highlight w:val="black"/>
                <w:lang w:val="en-US" w:eastAsia="en-US"/>
              </w:rPr>
            </w:pPr>
            <w:r>
              <w:rPr>
                <w:rFonts w:ascii="Arial Narrow" w:hAnsi="Arial Narrow" w:cs="Arial"/>
                <w:bCs/>
                <w:noProof/>
                <w:color w:val="000000"/>
                <w:sz w:val="18"/>
                <w:szCs w:val="18"/>
                <w:highlight w:val="black"/>
                <w:lang w:val="en-US" w:eastAsia="en-US"/>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F64154" w:rsidRPr="001A7271" w:rsidRDefault="001A7271" w:rsidP="00A92174">
            <w:pPr>
              <w:spacing w:before="60" w:after="60"/>
              <w:jc w:val="right"/>
              <w:rPr>
                <w:rFonts w:ascii="Arial Narrow" w:hAnsi="Arial Narrow" w:cs="Arial"/>
                <w:bCs/>
                <w:color w:val="000000"/>
                <w:sz w:val="18"/>
                <w:szCs w:val="18"/>
                <w:highlight w:val="black"/>
                <w:lang w:val="en-US" w:eastAsia="en-US"/>
              </w:rPr>
            </w:pPr>
            <w:r>
              <w:rPr>
                <w:rFonts w:ascii="Arial Narrow" w:hAnsi="Arial Narrow" w:cs="Arial"/>
                <w:bCs/>
                <w:noProof/>
                <w:color w:val="000000"/>
                <w:sz w:val="18"/>
                <w:szCs w:val="18"/>
                <w:highlight w:val="black"/>
                <w:lang w:val="en-US" w:eastAsia="en-US"/>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F64154" w:rsidRPr="001A7271" w:rsidRDefault="001A7271" w:rsidP="00A92174">
            <w:pPr>
              <w:spacing w:before="60" w:after="60"/>
              <w:jc w:val="right"/>
              <w:rPr>
                <w:rFonts w:ascii="Arial Narrow" w:hAnsi="Arial Narrow" w:cs="Arial"/>
                <w:bCs/>
                <w:color w:val="000000"/>
                <w:sz w:val="18"/>
                <w:szCs w:val="18"/>
                <w:highlight w:val="black"/>
                <w:lang w:val="en-US" w:eastAsia="en-US"/>
              </w:rPr>
            </w:pPr>
            <w:r>
              <w:rPr>
                <w:rFonts w:ascii="Arial Narrow" w:hAnsi="Arial Narrow" w:cs="Arial"/>
                <w:bCs/>
                <w:noProof/>
                <w:color w:val="000000"/>
                <w:sz w:val="18"/>
                <w:szCs w:val="18"/>
                <w:highlight w:val="black"/>
                <w:lang w:val="en-US" w:eastAsia="en-US"/>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F64154" w:rsidRPr="001A7271" w:rsidRDefault="001A7271" w:rsidP="00A92174">
            <w:pPr>
              <w:spacing w:before="60" w:after="60"/>
              <w:jc w:val="right"/>
              <w:rPr>
                <w:rFonts w:ascii="Arial Narrow" w:hAnsi="Arial Narrow" w:cs="Arial"/>
                <w:bCs/>
                <w:color w:val="000000"/>
                <w:sz w:val="18"/>
                <w:szCs w:val="18"/>
                <w:highlight w:val="black"/>
                <w:lang w:val="en-US" w:eastAsia="en-US"/>
              </w:rPr>
            </w:pPr>
            <w:r>
              <w:rPr>
                <w:rFonts w:ascii="Arial Narrow" w:hAnsi="Arial Narrow" w:cs="Arial"/>
                <w:bCs/>
                <w:noProof/>
                <w:color w:val="000000"/>
                <w:sz w:val="18"/>
                <w:szCs w:val="18"/>
                <w:highlight w:val="black"/>
                <w:lang w:val="en-US" w:eastAsia="en-US"/>
              </w:rPr>
              <w:t xml:space="preserve">'''''''''''''''''' </w:t>
            </w:r>
          </w:p>
        </w:tc>
        <w:tc>
          <w:tcPr>
            <w:tcW w:w="0" w:type="auto"/>
            <w:tcBorders>
              <w:top w:val="nil"/>
              <w:left w:val="nil"/>
              <w:bottom w:val="single" w:sz="4" w:space="0" w:color="auto"/>
              <w:right w:val="single" w:sz="4" w:space="0" w:color="auto"/>
            </w:tcBorders>
            <w:shd w:val="clear" w:color="auto" w:fill="auto"/>
            <w:vAlign w:val="center"/>
          </w:tcPr>
          <w:p w:rsidR="00F64154" w:rsidRPr="001A7271" w:rsidRDefault="001A7271" w:rsidP="00A92174">
            <w:pPr>
              <w:spacing w:before="60" w:after="60"/>
              <w:jc w:val="right"/>
              <w:rPr>
                <w:rFonts w:ascii="Arial Narrow" w:hAnsi="Arial Narrow" w:cs="Arial"/>
                <w:bCs/>
                <w:color w:val="000000"/>
                <w:sz w:val="18"/>
                <w:szCs w:val="18"/>
                <w:highlight w:val="black"/>
                <w:lang w:val="en-US" w:eastAsia="en-US"/>
              </w:rPr>
            </w:pPr>
            <w:r>
              <w:rPr>
                <w:rFonts w:ascii="Arial Narrow" w:hAnsi="Arial Narrow" w:cs="Arial"/>
                <w:bCs/>
                <w:noProof/>
                <w:color w:val="000000"/>
                <w:sz w:val="18"/>
                <w:szCs w:val="18"/>
                <w:highlight w:val="black"/>
                <w:lang w:val="en-US" w:eastAsia="en-US"/>
              </w:rPr>
              <w:t xml:space="preserve">''''''''''''''''' </w:t>
            </w:r>
          </w:p>
        </w:tc>
      </w:tr>
      <w:tr w:rsidR="00F64154" w:rsidRPr="00E50CD3" w:rsidTr="00680777">
        <w:trPr>
          <w:trHeight w:val="20"/>
          <w:jc w:val="center"/>
        </w:trPr>
        <w:tc>
          <w:tcPr>
            <w:tcW w:w="0" w:type="auto"/>
            <w:tcBorders>
              <w:top w:val="single" w:sz="4" w:space="0" w:color="auto"/>
              <w:left w:val="single" w:sz="4" w:space="0" w:color="auto"/>
              <w:bottom w:val="single" w:sz="4" w:space="0" w:color="auto"/>
              <w:right w:val="nil"/>
            </w:tcBorders>
            <w:shd w:val="clear" w:color="000000" w:fill="FFFFFF"/>
          </w:tcPr>
          <w:p w:rsidR="00F64154" w:rsidRPr="00E50CD3" w:rsidRDefault="00F64154" w:rsidP="00A92174">
            <w:pPr>
              <w:spacing w:before="60" w:after="60"/>
              <w:rPr>
                <w:rFonts w:ascii="Arial Narrow" w:hAnsi="Arial Narrow" w:cs="Arial"/>
                <w:bCs/>
                <w:color w:val="000000"/>
                <w:sz w:val="20"/>
                <w:szCs w:val="20"/>
                <w:lang w:val="en-US" w:eastAsia="en-US"/>
              </w:rPr>
            </w:pPr>
            <w:r>
              <w:rPr>
                <w:rFonts w:ascii="Arial Narrow" w:hAnsi="Arial Narrow" w:cs="Arial"/>
                <w:bCs/>
                <w:color w:val="000000"/>
                <w:sz w:val="20"/>
                <w:szCs w:val="20"/>
                <w:lang w:val="en-US" w:eastAsia="en-US"/>
              </w:rPr>
              <w:t>e.</w:t>
            </w:r>
          </w:p>
        </w:tc>
        <w:tc>
          <w:tcPr>
            <w:tcW w:w="0" w:type="auto"/>
            <w:tcBorders>
              <w:top w:val="single" w:sz="4" w:space="0" w:color="auto"/>
              <w:left w:val="single" w:sz="4" w:space="0" w:color="auto"/>
              <w:bottom w:val="single" w:sz="4" w:space="0" w:color="auto"/>
              <w:right w:val="nil"/>
            </w:tcBorders>
            <w:shd w:val="clear" w:color="000000" w:fill="FFFFFF"/>
            <w:noWrap/>
          </w:tcPr>
          <w:p w:rsidR="00F64154" w:rsidRPr="00E50CD3" w:rsidRDefault="00F64154" w:rsidP="00A92174">
            <w:pPr>
              <w:spacing w:before="60" w:after="60"/>
              <w:rPr>
                <w:rFonts w:ascii="Arial Narrow" w:hAnsi="Arial Narrow" w:cs="Arial"/>
                <w:bCs/>
                <w:color w:val="000000"/>
                <w:sz w:val="20"/>
                <w:szCs w:val="20"/>
                <w:lang w:val="en-US" w:eastAsia="en-US"/>
              </w:rPr>
            </w:pPr>
            <w:r>
              <w:rPr>
                <w:rFonts w:ascii="Arial Narrow" w:hAnsi="Arial Narrow" w:cs="Arial"/>
                <w:bCs/>
                <w:color w:val="000000"/>
                <w:sz w:val="20"/>
                <w:szCs w:val="20"/>
                <w:lang w:val="en-US" w:eastAsia="en-US"/>
              </w:rPr>
              <w:t>Overall costs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64154" w:rsidRPr="00A935D6" w:rsidRDefault="00F64154" w:rsidP="00A92174">
            <w:pPr>
              <w:spacing w:before="60" w:after="60"/>
              <w:jc w:val="right"/>
              <w:rPr>
                <w:rFonts w:ascii="Arial Narrow" w:hAnsi="Arial Narrow" w:cs="Arial"/>
                <w:bCs/>
                <w:color w:val="000000"/>
                <w:sz w:val="20"/>
                <w:szCs w:val="20"/>
              </w:rPr>
            </w:pPr>
            <w:r w:rsidRPr="00A935D6">
              <w:rPr>
                <w:rFonts w:ascii="Arial Narrow" w:hAnsi="Arial Narrow" w:cs="Arial"/>
                <w:bCs/>
                <w:color w:val="000000"/>
                <w:sz w:val="20"/>
                <w:szCs w:val="20"/>
              </w:rPr>
              <w:t>$</w:t>
            </w:r>
            <w:r w:rsidR="001A7271">
              <w:rPr>
                <w:rFonts w:ascii="Arial Narrow" w:hAnsi="Arial Narrow" w:cs="Arial"/>
                <w:bCs/>
                <w:noProof/>
                <w:color w:val="000000"/>
                <w:sz w:val="20"/>
                <w:szCs w:val="20"/>
                <w:highlight w:val="black"/>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F64154" w:rsidRPr="00A935D6" w:rsidRDefault="00F64154" w:rsidP="00A92174">
            <w:pPr>
              <w:spacing w:before="60" w:after="60"/>
              <w:jc w:val="right"/>
              <w:rPr>
                <w:rFonts w:ascii="Arial Narrow" w:hAnsi="Arial Narrow" w:cs="Arial"/>
                <w:bCs/>
                <w:color w:val="000000"/>
                <w:sz w:val="20"/>
                <w:szCs w:val="20"/>
              </w:rPr>
            </w:pPr>
            <w:r w:rsidRPr="00A935D6">
              <w:rPr>
                <w:rFonts w:ascii="Arial Narrow" w:hAnsi="Arial Narrow" w:cs="Arial"/>
                <w:bCs/>
                <w:color w:val="000000"/>
                <w:sz w:val="20"/>
                <w:szCs w:val="20"/>
              </w:rPr>
              <w:t>$</w:t>
            </w:r>
            <w:r w:rsidR="001A7271">
              <w:rPr>
                <w:rFonts w:ascii="Arial Narrow" w:hAnsi="Arial Narrow" w:cs="Arial"/>
                <w:bCs/>
                <w:noProof/>
                <w:color w:val="000000"/>
                <w:sz w:val="20"/>
                <w:szCs w:val="20"/>
                <w:highlight w:val="black"/>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F64154" w:rsidRPr="00A935D6" w:rsidRDefault="00F64154" w:rsidP="00A92174">
            <w:pPr>
              <w:spacing w:before="60" w:after="60"/>
              <w:jc w:val="right"/>
              <w:rPr>
                <w:rFonts w:ascii="Arial Narrow" w:hAnsi="Arial Narrow" w:cs="Arial"/>
                <w:bCs/>
                <w:color w:val="000000"/>
                <w:sz w:val="20"/>
                <w:szCs w:val="20"/>
              </w:rPr>
            </w:pPr>
            <w:r w:rsidRPr="00A935D6">
              <w:rPr>
                <w:rFonts w:ascii="Arial Narrow" w:hAnsi="Arial Narrow" w:cs="Arial"/>
                <w:bCs/>
                <w:color w:val="000000"/>
                <w:sz w:val="20"/>
                <w:szCs w:val="20"/>
              </w:rPr>
              <w:t>$</w:t>
            </w:r>
            <w:r w:rsidR="001A7271">
              <w:rPr>
                <w:rFonts w:ascii="Arial Narrow" w:hAnsi="Arial Narrow" w:cs="Arial"/>
                <w:bCs/>
                <w:noProof/>
                <w:color w:val="000000"/>
                <w:sz w:val="20"/>
                <w:szCs w:val="20"/>
                <w:highlight w:val="black"/>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F64154" w:rsidRPr="00A935D6" w:rsidRDefault="00F64154" w:rsidP="00A92174">
            <w:pPr>
              <w:spacing w:before="60" w:after="60"/>
              <w:jc w:val="right"/>
              <w:rPr>
                <w:rFonts w:ascii="Arial Narrow" w:hAnsi="Arial Narrow" w:cs="Arial"/>
                <w:bCs/>
                <w:color w:val="000000"/>
                <w:sz w:val="20"/>
                <w:szCs w:val="20"/>
              </w:rPr>
            </w:pPr>
            <w:r w:rsidRPr="00A935D6">
              <w:rPr>
                <w:rFonts w:ascii="Arial Narrow" w:hAnsi="Arial Narrow" w:cs="Arial"/>
                <w:bCs/>
                <w:color w:val="000000"/>
                <w:sz w:val="20"/>
                <w:szCs w:val="20"/>
              </w:rPr>
              <w:t>$</w:t>
            </w:r>
            <w:r w:rsidR="001A7271">
              <w:rPr>
                <w:rFonts w:ascii="Arial Narrow" w:hAnsi="Arial Narrow" w:cs="Arial"/>
                <w:bCs/>
                <w:noProof/>
                <w:color w:val="000000"/>
                <w:sz w:val="20"/>
                <w:szCs w:val="20"/>
                <w:highlight w:val="black"/>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F64154" w:rsidRPr="00A935D6" w:rsidRDefault="00F64154" w:rsidP="00A92174">
            <w:pPr>
              <w:spacing w:before="60" w:after="60"/>
              <w:jc w:val="right"/>
              <w:rPr>
                <w:rFonts w:ascii="Arial Narrow" w:hAnsi="Arial Narrow" w:cs="Arial"/>
                <w:bCs/>
                <w:color w:val="000000"/>
                <w:sz w:val="20"/>
                <w:szCs w:val="20"/>
              </w:rPr>
            </w:pPr>
            <w:r w:rsidRPr="00A935D6">
              <w:rPr>
                <w:rFonts w:ascii="Arial Narrow" w:hAnsi="Arial Narrow" w:cs="Arial"/>
                <w:bCs/>
                <w:color w:val="000000"/>
                <w:sz w:val="20"/>
                <w:szCs w:val="20"/>
              </w:rPr>
              <w:t>$</w:t>
            </w:r>
            <w:r w:rsidR="001A7271">
              <w:rPr>
                <w:rFonts w:ascii="Arial Narrow" w:hAnsi="Arial Narrow" w:cs="Arial"/>
                <w:bCs/>
                <w:noProof/>
                <w:color w:val="000000"/>
                <w:sz w:val="20"/>
                <w:szCs w:val="20"/>
                <w:highlight w:val="black"/>
              </w:rPr>
              <w:t>''''''''''''''''''''''''''''</w:t>
            </w:r>
          </w:p>
        </w:tc>
        <w:tc>
          <w:tcPr>
            <w:tcW w:w="0" w:type="auto"/>
            <w:tcBorders>
              <w:top w:val="nil"/>
              <w:left w:val="nil"/>
              <w:bottom w:val="nil"/>
              <w:right w:val="single" w:sz="4" w:space="0" w:color="auto"/>
            </w:tcBorders>
            <w:shd w:val="clear" w:color="auto" w:fill="auto"/>
            <w:vAlign w:val="center"/>
          </w:tcPr>
          <w:p w:rsidR="00F64154" w:rsidRPr="00A935D6" w:rsidRDefault="00F64154" w:rsidP="00A92174">
            <w:pPr>
              <w:spacing w:before="60" w:after="60"/>
              <w:jc w:val="right"/>
              <w:rPr>
                <w:rFonts w:ascii="Arial Narrow" w:hAnsi="Arial Narrow" w:cs="Arial"/>
                <w:bCs/>
                <w:color w:val="000000"/>
                <w:sz w:val="20"/>
                <w:szCs w:val="20"/>
              </w:rPr>
            </w:pPr>
            <w:r w:rsidRPr="00A935D6">
              <w:rPr>
                <w:rFonts w:ascii="Arial Narrow" w:hAnsi="Arial Narrow" w:cs="Arial"/>
                <w:bCs/>
                <w:color w:val="000000"/>
                <w:sz w:val="20"/>
                <w:szCs w:val="20"/>
              </w:rPr>
              <w:t>$</w:t>
            </w:r>
            <w:r w:rsidR="001A7271">
              <w:rPr>
                <w:rFonts w:ascii="Arial Narrow" w:hAnsi="Arial Narrow" w:cs="Arial"/>
                <w:bCs/>
                <w:noProof/>
                <w:color w:val="000000"/>
                <w:sz w:val="20"/>
                <w:szCs w:val="20"/>
                <w:highlight w:val="black"/>
              </w:rPr>
              <w:t>'''''''''''''''''''''''''''</w:t>
            </w:r>
          </w:p>
        </w:tc>
      </w:tr>
      <w:tr w:rsidR="00F64154" w:rsidRPr="00E50CD3" w:rsidTr="00680777">
        <w:trPr>
          <w:trHeight w:val="20"/>
          <w:jc w:val="center"/>
        </w:trPr>
        <w:tc>
          <w:tcPr>
            <w:tcW w:w="0" w:type="auto"/>
            <w:gridSpan w:val="8"/>
            <w:tcBorders>
              <w:top w:val="single" w:sz="4" w:space="0" w:color="auto"/>
              <w:left w:val="single" w:sz="4" w:space="0" w:color="auto"/>
              <w:bottom w:val="single" w:sz="4" w:space="0" w:color="auto"/>
              <w:right w:val="single" w:sz="4" w:space="0" w:color="auto"/>
            </w:tcBorders>
            <w:shd w:val="clear" w:color="000000" w:fill="FFFFFF"/>
          </w:tcPr>
          <w:p w:rsidR="00F64154" w:rsidRPr="0025355D" w:rsidRDefault="00F64154" w:rsidP="00A92174">
            <w:pPr>
              <w:spacing w:before="60" w:after="60"/>
              <w:rPr>
                <w:rFonts w:ascii="Arial Narrow" w:hAnsi="Arial Narrow" w:cs="Arial"/>
                <w:b/>
                <w:color w:val="000000"/>
                <w:sz w:val="20"/>
                <w:szCs w:val="20"/>
                <w:lang w:val="en-US" w:eastAsia="en-US"/>
              </w:rPr>
            </w:pPr>
            <w:r w:rsidRPr="0025355D">
              <w:rPr>
                <w:rFonts w:ascii="Arial Narrow" w:hAnsi="Arial Narrow" w:cs="Arial"/>
                <w:b/>
                <w:color w:val="000000"/>
                <w:sz w:val="20"/>
                <w:szCs w:val="20"/>
                <w:lang w:val="en-US" w:eastAsia="en-US"/>
              </w:rPr>
              <w:t>Overall costs</w:t>
            </w:r>
          </w:p>
        </w:tc>
      </w:tr>
      <w:tr w:rsidR="00F64154" w:rsidRPr="00E50CD3" w:rsidTr="00680777">
        <w:trPr>
          <w:trHeight w:val="20"/>
          <w:jc w:val="center"/>
        </w:trPr>
        <w:tc>
          <w:tcPr>
            <w:tcW w:w="0" w:type="auto"/>
            <w:tcBorders>
              <w:top w:val="single" w:sz="4" w:space="0" w:color="auto"/>
              <w:left w:val="single" w:sz="4" w:space="0" w:color="auto"/>
              <w:bottom w:val="single" w:sz="4" w:space="0" w:color="auto"/>
              <w:right w:val="nil"/>
            </w:tcBorders>
            <w:shd w:val="clear" w:color="000000" w:fill="FFFFFF"/>
          </w:tcPr>
          <w:p w:rsidR="00F64154" w:rsidRDefault="00F64154" w:rsidP="00A92174">
            <w:pPr>
              <w:spacing w:before="60" w:after="60"/>
              <w:rPr>
                <w:rFonts w:ascii="Arial Narrow" w:hAnsi="Arial Narrow" w:cs="Arial"/>
                <w:bCs/>
                <w:color w:val="000000"/>
                <w:sz w:val="20"/>
                <w:szCs w:val="20"/>
                <w:lang w:val="en-US" w:eastAsia="en-US"/>
              </w:rPr>
            </w:pPr>
            <w:r>
              <w:rPr>
                <w:rFonts w:ascii="Arial Narrow" w:hAnsi="Arial Narrow" w:cs="Arial"/>
                <w:bCs/>
                <w:color w:val="000000"/>
                <w:sz w:val="20"/>
                <w:szCs w:val="20"/>
                <w:lang w:val="en-US" w:eastAsia="en-US"/>
              </w:rPr>
              <w:t>f</w:t>
            </w:r>
          </w:p>
        </w:tc>
        <w:tc>
          <w:tcPr>
            <w:tcW w:w="0" w:type="auto"/>
            <w:tcBorders>
              <w:top w:val="single" w:sz="4" w:space="0" w:color="auto"/>
              <w:left w:val="single" w:sz="4" w:space="0" w:color="auto"/>
              <w:bottom w:val="single" w:sz="4" w:space="0" w:color="auto"/>
              <w:right w:val="nil"/>
            </w:tcBorders>
            <w:shd w:val="clear" w:color="000000" w:fill="FFFFFF"/>
            <w:noWrap/>
            <w:vAlign w:val="center"/>
          </w:tcPr>
          <w:p w:rsidR="00F64154" w:rsidRDefault="00F64154" w:rsidP="00A92174">
            <w:pPr>
              <w:spacing w:before="60" w:after="60"/>
              <w:rPr>
                <w:rFonts w:ascii="Arial Narrow" w:hAnsi="Arial Narrow" w:cs="Arial"/>
                <w:bCs/>
                <w:color w:val="000000"/>
                <w:sz w:val="20"/>
                <w:szCs w:val="20"/>
                <w:lang w:val="en-US" w:eastAsia="en-US"/>
              </w:rPr>
            </w:pPr>
            <w:r>
              <w:rPr>
                <w:rFonts w:ascii="Arial Narrow" w:hAnsi="Arial Narrow" w:cs="Arial"/>
                <w:bCs/>
                <w:color w:val="000000"/>
                <w:sz w:val="20"/>
                <w:szCs w:val="20"/>
                <w:lang w:val="en-US" w:eastAsia="en-US"/>
              </w:rPr>
              <w:t>Overall cost to NIP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64154" w:rsidRPr="00AA0B60" w:rsidRDefault="00F64154" w:rsidP="00A92174">
            <w:pPr>
              <w:spacing w:before="60" w:after="60"/>
              <w:jc w:val="right"/>
              <w:rPr>
                <w:rFonts w:ascii="Arial Narrow" w:hAnsi="Arial Narrow" w:cs="Arial"/>
                <w:bCs/>
                <w:color w:val="000000"/>
                <w:sz w:val="20"/>
                <w:szCs w:val="20"/>
              </w:rPr>
            </w:pPr>
            <w:r>
              <w:rPr>
                <w:rFonts w:ascii="Arial Narrow" w:hAnsi="Arial Narrow" w:cs="Arial"/>
                <w:bCs/>
                <w:color w:val="000000"/>
                <w:sz w:val="20"/>
                <w:szCs w:val="20"/>
              </w:rPr>
              <w:t>-</w:t>
            </w:r>
            <w:r w:rsidRPr="00AA0B60">
              <w:rPr>
                <w:rFonts w:ascii="Arial Narrow" w:hAnsi="Arial Narrow" w:cs="Arial"/>
                <w:bCs/>
                <w:color w:val="000000"/>
                <w:sz w:val="20"/>
                <w:szCs w:val="20"/>
              </w:rPr>
              <w:t>$</w:t>
            </w:r>
            <w:r w:rsidR="001A7271">
              <w:rPr>
                <w:rFonts w:ascii="Arial Narrow" w:hAnsi="Arial Narrow" w:cs="Arial"/>
                <w:bCs/>
                <w:noProof/>
                <w:color w:val="000000"/>
                <w:sz w:val="20"/>
                <w:szCs w:val="20"/>
                <w:highlight w:val="black"/>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F64154" w:rsidRPr="00AA0B60" w:rsidRDefault="00F64154" w:rsidP="00A92174">
            <w:pPr>
              <w:spacing w:before="60" w:after="60"/>
              <w:jc w:val="right"/>
              <w:rPr>
                <w:rFonts w:ascii="Arial Narrow" w:hAnsi="Arial Narrow" w:cs="Arial"/>
                <w:bCs/>
                <w:color w:val="000000"/>
                <w:sz w:val="20"/>
                <w:szCs w:val="20"/>
              </w:rPr>
            </w:pPr>
            <w:r>
              <w:rPr>
                <w:rFonts w:ascii="Arial Narrow" w:hAnsi="Arial Narrow" w:cs="Arial"/>
                <w:bCs/>
                <w:color w:val="000000"/>
                <w:sz w:val="20"/>
                <w:szCs w:val="20"/>
              </w:rPr>
              <w:t>-</w:t>
            </w:r>
            <w:r w:rsidRPr="00AA0B60">
              <w:rPr>
                <w:rFonts w:ascii="Arial Narrow" w:hAnsi="Arial Narrow" w:cs="Arial"/>
                <w:bCs/>
                <w:color w:val="000000"/>
                <w:sz w:val="20"/>
                <w:szCs w:val="20"/>
              </w:rPr>
              <w:t>$</w:t>
            </w:r>
            <w:r w:rsidR="001A7271">
              <w:rPr>
                <w:rFonts w:ascii="Arial Narrow" w:hAnsi="Arial Narrow" w:cs="Arial"/>
                <w:bCs/>
                <w:noProof/>
                <w:color w:val="000000"/>
                <w:sz w:val="20"/>
                <w:szCs w:val="20"/>
                <w:highlight w:val="black"/>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F64154" w:rsidRPr="00AA0B60" w:rsidRDefault="00F64154" w:rsidP="00A92174">
            <w:pPr>
              <w:spacing w:before="60" w:after="60"/>
              <w:jc w:val="right"/>
              <w:rPr>
                <w:rFonts w:ascii="Arial Narrow" w:hAnsi="Arial Narrow" w:cs="Arial"/>
                <w:bCs/>
                <w:color w:val="000000"/>
                <w:sz w:val="20"/>
                <w:szCs w:val="20"/>
              </w:rPr>
            </w:pPr>
            <w:r>
              <w:rPr>
                <w:rFonts w:ascii="Arial Narrow" w:hAnsi="Arial Narrow" w:cs="Arial"/>
                <w:bCs/>
                <w:color w:val="000000"/>
                <w:sz w:val="20"/>
                <w:szCs w:val="20"/>
              </w:rPr>
              <w:t>-</w:t>
            </w:r>
            <w:r w:rsidRPr="00AA0B60">
              <w:rPr>
                <w:rFonts w:ascii="Arial Narrow" w:hAnsi="Arial Narrow" w:cs="Arial"/>
                <w:bCs/>
                <w:color w:val="000000"/>
                <w:sz w:val="20"/>
                <w:szCs w:val="20"/>
              </w:rPr>
              <w:t>$</w:t>
            </w:r>
            <w:r w:rsidR="001A7271">
              <w:rPr>
                <w:rFonts w:ascii="Arial Narrow" w:hAnsi="Arial Narrow" w:cs="Arial"/>
                <w:bCs/>
                <w:noProof/>
                <w:color w:val="000000"/>
                <w:sz w:val="20"/>
                <w:szCs w:val="20"/>
                <w:highlight w:val="black"/>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F64154" w:rsidRPr="00AA0B60" w:rsidRDefault="00F64154" w:rsidP="00A92174">
            <w:pPr>
              <w:spacing w:before="60" w:after="60"/>
              <w:jc w:val="right"/>
              <w:rPr>
                <w:rFonts w:ascii="Arial Narrow" w:hAnsi="Arial Narrow" w:cs="Arial"/>
                <w:bCs/>
                <w:color w:val="000000"/>
                <w:sz w:val="20"/>
                <w:szCs w:val="20"/>
              </w:rPr>
            </w:pPr>
            <w:r>
              <w:rPr>
                <w:rFonts w:ascii="Arial Narrow" w:hAnsi="Arial Narrow" w:cs="Arial"/>
                <w:bCs/>
                <w:color w:val="000000"/>
                <w:sz w:val="20"/>
                <w:szCs w:val="20"/>
              </w:rPr>
              <w:t>-</w:t>
            </w:r>
            <w:r w:rsidRPr="00AA0B60">
              <w:rPr>
                <w:rFonts w:ascii="Arial Narrow" w:hAnsi="Arial Narrow" w:cs="Arial"/>
                <w:bCs/>
                <w:color w:val="000000"/>
                <w:sz w:val="20"/>
                <w:szCs w:val="20"/>
              </w:rPr>
              <w:t>$</w:t>
            </w:r>
            <w:r w:rsidR="001A7271">
              <w:rPr>
                <w:rFonts w:ascii="Arial Narrow" w:hAnsi="Arial Narrow" w:cs="Arial"/>
                <w:bCs/>
                <w:noProof/>
                <w:color w:val="000000"/>
                <w:sz w:val="20"/>
                <w:szCs w:val="20"/>
                <w:highlight w:val="black"/>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F64154" w:rsidRPr="00AA0B60" w:rsidRDefault="00F64154" w:rsidP="00A92174">
            <w:pPr>
              <w:spacing w:before="60" w:after="60"/>
              <w:jc w:val="right"/>
              <w:rPr>
                <w:rFonts w:ascii="Arial Narrow" w:hAnsi="Arial Narrow" w:cs="Arial"/>
                <w:bCs/>
                <w:color w:val="000000"/>
                <w:sz w:val="20"/>
                <w:szCs w:val="20"/>
              </w:rPr>
            </w:pPr>
            <w:r>
              <w:rPr>
                <w:rFonts w:ascii="Arial Narrow" w:hAnsi="Arial Narrow" w:cs="Arial"/>
                <w:bCs/>
                <w:color w:val="000000"/>
                <w:sz w:val="20"/>
                <w:szCs w:val="20"/>
              </w:rPr>
              <w:t>-</w:t>
            </w:r>
            <w:r w:rsidRPr="00AA0B60">
              <w:rPr>
                <w:rFonts w:ascii="Arial Narrow" w:hAnsi="Arial Narrow" w:cs="Arial"/>
                <w:bCs/>
                <w:color w:val="000000"/>
                <w:sz w:val="20"/>
                <w:szCs w:val="20"/>
              </w:rPr>
              <w:t>$</w:t>
            </w:r>
            <w:r w:rsidR="001A7271">
              <w:rPr>
                <w:rFonts w:ascii="Arial Narrow" w:hAnsi="Arial Narrow" w:cs="Arial"/>
                <w:bCs/>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vAlign w:val="center"/>
          </w:tcPr>
          <w:p w:rsidR="00F64154" w:rsidRPr="00AA0B60" w:rsidRDefault="00F64154" w:rsidP="00A92174">
            <w:pPr>
              <w:spacing w:before="60" w:after="60"/>
              <w:jc w:val="right"/>
              <w:rPr>
                <w:rFonts w:ascii="Arial Narrow" w:hAnsi="Arial Narrow" w:cs="Arial"/>
                <w:bCs/>
                <w:color w:val="000000"/>
                <w:sz w:val="20"/>
                <w:szCs w:val="20"/>
              </w:rPr>
            </w:pPr>
            <w:r>
              <w:rPr>
                <w:rFonts w:ascii="Arial Narrow" w:hAnsi="Arial Narrow" w:cs="Arial"/>
                <w:bCs/>
                <w:color w:val="000000"/>
                <w:sz w:val="20"/>
                <w:szCs w:val="20"/>
              </w:rPr>
              <w:t>-</w:t>
            </w:r>
            <w:r w:rsidRPr="00AA0B60">
              <w:rPr>
                <w:rFonts w:ascii="Arial Narrow" w:hAnsi="Arial Narrow" w:cs="Arial"/>
                <w:bCs/>
                <w:color w:val="000000"/>
                <w:sz w:val="20"/>
                <w:szCs w:val="20"/>
              </w:rPr>
              <w:t>$</w:t>
            </w:r>
            <w:r w:rsidR="001A7271">
              <w:rPr>
                <w:rFonts w:ascii="Arial Narrow" w:hAnsi="Arial Narrow" w:cs="Arial"/>
                <w:bCs/>
                <w:noProof/>
                <w:color w:val="000000"/>
                <w:sz w:val="20"/>
                <w:szCs w:val="20"/>
                <w:highlight w:val="black"/>
              </w:rPr>
              <w:t>''''''''''''''''</w:t>
            </w:r>
          </w:p>
        </w:tc>
      </w:tr>
    </w:tbl>
    <w:p w:rsidR="00F64154" w:rsidRPr="00960BC5" w:rsidRDefault="001E3935" w:rsidP="001E3935">
      <w:pPr>
        <w:pStyle w:val="TextUnderTable"/>
        <w:spacing w:before="60" w:after="0" w:line="240" w:lineRule="auto"/>
        <w:contextualSpacing w:val="0"/>
        <w:rPr>
          <w:rFonts w:ascii="Arial Narrow" w:hAnsi="Arial Narrow"/>
          <w:i w:val="0"/>
          <w:sz w:val="18"/>
          <w:szCs w:val="18"/>
          <w:lang w:eastAsia="en-US"/>
        </w:rPr>
      </w:pPr>
      <w:r w:rsidRPr="00960BC5">
        <w:rPr>
          <w:rFonts w:ascii="Arial Narrow" w:hAnsi="Arial Narrow"/>
          <w:i w:val="0"/>
          <w:sz w:val="18"/>
          <w:szCs w:val="18"/>
          <w:lang w:eastAsia="en-US"/>
        </w:rPr>
        <w:t xml:space="preserve">(a) </w:t>
      </w:r>
      <w:r w:rsidR="00F64154" w:rsidRPr="00960BC5">
        <w:rPr>
          <w:rFonts w:ascii="Arial Narrow" w:hAnsi="Arial Narrow"/>
          <w:i w:val="0"/>
          <w:sz w:val="18"/>
          <w:szCs w:val="18"/>
          <w:lang w:eastAsia="en-US"/>
        </w:rPr>
        <w:t>Table 4.1 row e.</w:t>
      </w:r>
      <w:r w:rsidRPr="00960BC5">
        <w:rPr>
          <w:rFonts w:ascii="Arial Narrow" w:hAnsi="Arial Narrow"/>
          <w:i w:val="0"/>
          <w:sz w:val="18"/>
          <w:szCs w:val="18"/>
          <w:lang w:eastAsia="en-US"/>
        </w:rPr>
        <w:t xml:space="preserve"> (b)</w:t>
      </w:r>
      <w:r w:rsidR="00F64154" w:rsidRPr="00960BC5">
        <w:rPr>
          <w:rFonts w:ascii="Arial Narrow" w:hAnsi="Arial Narrow"/>
          <w:i w:val="0"/>
          <w:sz w:val="18"/>
          <w:szCs w:val="18"/>
          <w:lang w:eastAsia="en-US"/>
        </w:rPr>
        <w:t>Table 4.2 row f.</w:t>
      </w:r>
      <w:r w:rsidRPr="00960BC5">
        <w:rPr>
          <w:rFonts w:ascii="Arial Narrow" w:hAnsi="Arial Narrow"/>
          <w:i w:val="0"/>
          <w:sz w:val="18"/>
          <w:szCs w:val="18"/>
          <w:lang w:eastAsia="en-US"/>
        </w:rPr>
        <w:t xml:space="preserve"> (c) </w:t>
      </w:r>
      <w:r w:rsidR="00F64154" w:rsidRPr="00960BC5">
        <w:rPr>
          <w:rFonts w:ascii="Arial Narrow" w:hAnsi="Arial Narrow"/>
          <w:i w:val="0"/>
          <w:sz w:val="18"/>
          <w:szCs w:val="18"/>
          <w:lang w:eastAsia="en-US"/>
        </w:rPr>
        <w:t>Row b. x $</w:t>
      </w:r>
      <w:r w:rsidR="001A7271">
        <w:rPr>
          <w:rFonts w:ascii="Arial Narrow" w:hAnsi="Arial Narrow"/>
          <w:i w:val="0"/>
          <w:noProof/>
          <w:color w:val="000000"/>
          <w:sz w:val="18"/>
          <w:szCs w:val="18"/>
          <w:highlight w:val="black"/>
          <w:lang w:eastAsia="en-US"/>
        </w:rPr>
        <w:t>''''''</w:t>
      </w:r>
      <w:r w:rsidR="00F64154" w:rsidRPr="00960BC5">
        <w:rPr>
          <w:rFonts w:ascii="Arial Narrow" w:hAnsi="Arial Narrow"/>
          <w:i w:val="0"/>
          <w:sz w:val="18"/>
          <w:szCs w:val="18"/>
          <w:lang w:eastAsia="en-US"/>
        </w:rPr>
        <w:t xml:space="preserve"> (NIP price of 13vPCV)</w:t>
      </w:r>
      <w:r w:rsidRPr="00960BC5">
        <w:rPr>
          <w:rFonts w:ascii="Arial Narrow" w:hAnsi="Arial Narrow"/>
          <w:i w:val="0"/>
          <w:sz w:val="18"/>
          <w:szCs w:val="18"/>
          <w:lang w:eastAsia="en-US"/>
        </w:rPr>
        <w:t xml:space="preserve">. (d) </w:t>
      </w:r>
      <w:r w:rsidR="00F64154" w:rsidRPr="00960BC5">
        <w:rPr>
          <w:rFonts w:ascii="Arial Narrow" w:hAnsi="Arial Narrow"/>
          <w:i w:val="0"/>
          <w:sz w:val="18"/>
          <w:szCs w:val="18"/>
          <w:lang w:eastAsia="en-US"/>
        </w:rPr>
        <w:t>Table 4.3 row e.</w:t>
      </w:r>
      <w:r w:rsidRPr="00960BC5">
        <w:rPr>
          <w:rFonts w:ascii="Arial Narrow" w:hAnsi="Arial Narrow"/>
          <w:i w:val="0"/>
          <w:sz w:val="18"/>
          <w:szCs w:val="18"/>
          <w:lang w:eastAsia="en-US"/>
        </w:rPr>
        <w:t xml:space="preserve"> (e</w:t>
      </w:r>
      <w:proofErr w:type="gramStart"/>
      <w:r w:rsidRPr="00960BC5">
        <w:rPr>
          <w:rFonts w:ascii="Arial Narrow" w:hAnsi="Arial Narrow"/>
          <w:i w:val="0"/>
          <w:sz w:val="18"/>
          <w:szCs w:val="18"/>
          <w:lang w:eastAsia="en-US"/>
        </w:rPr>
        <w:t>)</w:t>
      </w:r>
      <w:r w:rsidR="00F64154" w:rsidRPr="00960BC5">
        <w:rPr>
          <w:rFonts w:ascii="Arial Narrow" w:hAnsi="Arial Narrow"/>
          <w:i w:val="0"/>
          <w:sz w:val="18"/>
          <w:szCs w:val="18"/>
          <w:lang w:eastAsia="en-US"/>
        </w:rPr>
        <w:t>Table</w:t>
      </w:r>
      <w:proofErr w:type="gramEnd"/>
      <w:r w:rsidR="00F64154" w:rsidRPr="00960BC5">
        <w:rPr>
          <w:rFonts w:ascii="Arial Narrow" w:hAnsi="Arial Narrow"/>
          <w:i w:val="0"/>
          <w:sz w:val="18"/>
          <w:szCs w:val="18"/>
          <w:lang w:eastAsia="en-US"/>
        </w:rPr>
        <w:t xml:space="preserve"> 4.4 row d.</w:t>
      </w:r>
      <w:r w:rsidRPr="00960BC5">
        <w:rPr>
          <w:rFonts w:ascii="Arial Narrow" w:hAnsi="Arial Narrow"/>
          <w:i w:val="0"/>
          <w:sz w:val="18"/>
          <w:szCs w:val="18"/>
          <w:lang w:eastAsia="en-US"/>
        </w:rPr>
        <w:t xml:space="preserve"> (f) </w:t>
      </w:r>
      <w:r w:rsidR="00F64154" w:rsidRPr="00960BC5">
        <w:rPr>
          <w:rFonts w:ascii="Arial Narrow" w:hAnsi="Arial Narrow"/>
          <w:i w:val="0"/>
          <w:sz w:val="18"/>
          <w:szCs w:val="18"/>
          <w:lang w:eastAsia="en-US"/>
        </w:rPr>
        <w:t>Row e. x $</w:t>
      </w:r>
      <w:r w:rsidR="001A7271">
        <w:rPr>
          <w:rFonts w:ascii="Arial Narrow" w:hAnsi="Arial Narrow"/>
          <w:i w:val="0"/>
          <w:noProof/>
          <w:color w:val="000000"/>
          <w:sz w:val="18"/>
          <w:szCs w:val="18"/>
          <w:highlight w:val="black"/>
          <w:lang w:eastAsia="en-US"/>
        </w:rPr>
        <w:t xml:space="preserve">'''''' </w:t>
      </w:r>
      <w:r w:rsidR="00F64154" w:rsidRPr="00960BC5">
        <w:rPr>
          <w:rFonts w:ascii="Arial Narrow" w:hAnsi="Arial Narrow"/>
          <w:i w:val="0"/>
          <w:sz w:val="18"/>
          <w:szCs w:val="18"/>
          <w:lang w:eastAsia="en-US"/>
        </w:rPr>
        <w:t>(NIP price of 13vPCV)</w:t>
      </w:r>
      <w:r w:rsidRPr="00960BC5">
        <w:rPr>
          <w:rFonts w:ascii="Arial Narrow" w:hAnsi="Arial Narrow"/>
          <w:i w:val="0"/>
          <w:sz w:val="18"/>
          <w:szCs w:val="18"/>
          <w:lang w:eastAsia="en-US"/>
        </w:rPr>
        <w:t xml:space="preserve">. (g) </w:t>
      </w:r>
      <w:r w:rsidR="00F64154" w:rsidRPr="00960BC5">
        <w:rPr>
          <w:rFonts w:ascii="Arial Narrow" w:hAnsi="Arial Narrow"/>
          <w:i w:val="0"/>
          <w:sz w:val="18"/>
          <w:szCs w:val="18"/>
          <w:lang w:eastAsia="en-US"/>
        </w:rPr>
        <w:t>Row c. – row e.</w:t>
      </w:r>
    </w:p>
    <w:p w:rsidR="0025355D" w:rsidRPr="00960BC5" w:rsidRDefault="00F64154" w:rsidP="001E3935">
      <w:pPr>
        <w:pStyle w:val="TextUnderTable"/>
        <w:spacing w:before="0" w:line="240" w:lineRule="auto"/>
        <w:contextualSpacing w:val="0"/>
        <w:rPr>
          <w:rFonts w:ascii="Arial Narrow" w:hAnsi="Arial Narrow"/>
          <w:i w:val="0"/>
          <w:sz w:val="18"/>
          <w:szCs w:val="18"/>
          <w:lang w:eastAsia="en-US"/>
        </w:rPr>
      </w:pPr>
      <w:r w:rsidRPr="00960BC5">
        <w:rPr>
          <w:rFonts w:ascii="Arial Narrow" w:hAnsi="Arial Narrow"/>
          <w:i w:val="0"/>
          <w:sz w:val="18"/>
          <w:szCs w:val="18"/>
          <w:lang w:eastAsia="en-US"/>
        </w:rPr>
        <w:t xml:space="preserve">Source:  </w:t>
      </w:r>
      <w:proofErr w:type="spellStart"/>
      <w:r w:rsidRPr="00960BC5">
        <w:rPr>
          <w:rFonts w:ascii="Arial Narrow" w:hAnsi="Arial Narrow"/>
          <w:i w:val="0"/>
          <w:sz w:val="18"/>
          <w:szCs w:val="18"/>
          <w:lang w:eastAsia="en-US"/>
        </w:rPr>
        <w:t>Prevenar</w:t>
      </w:r>
      <w:proofErr w:type="spellEnd"/>
      <w:r w:rsidRPr="00960BC5">
        <w:rPr>
          <w:rFonts w:ascii="Arial Narrow" w:hAnsi="Arial Narrow"/>
          <w:i w:val="0"/>
          <w:sz w:val="18"/>
          <w:szCs w:val="18"/>
          <w:lang w:eastAsia="en-US"/>
        </w:rPr>
        <w:t xml:space="preserve"> utilisation-and-cost-</w:t>
      </w:r>
      <w:proofErr w:type="spellStart"/>
      <w:r w:rsidRPr="00960BC5">
        <w:rPr>
          <w:rFonts w:ascii="Arial Narrow" w:hAnsi="Arial Narrow"/>
          <w:i w:val="0"/>
          <w:sz w:val="18"/>
          <w:szCs w:val="18"/>
          <w:lang w:eastAsia="en-US"/>
        </w:rPr>
        <w:t>model_Section</w:t>
      </w:r>
      <w:proofErr w:type="spellEnd"/>
      <w:r w:rsidRPr="00960BC5">
        <w:rPr>
          <w:rFonts w:ascii="Arial Narrow" w:hAnsi="Arial Narrow"/>
          <w:i w:val="0"/>
          <w:sz w:val="18"/>
          <w:szCs w:val="18"/>
          <w:lang w:eastAsia="en-US"/>
        </w:rPr>
        <w:t xml:space="preserve"> 4.xlsx – Spreadsheets 3b</w:t>
      </w:r>
      <w:proofErr w:type="gramStart"/>
      <w:r w:rsidRPr="00960BC5">
        <w:rPr>
          <w:rFonts w:ascii="Arial Narrow" w:hAnsi="Arial Narrow"/>
          <w:i w:val="0"/>
          <w:sz w:val="18"/>
          <w:szCs w:val="18"/>
          <w:lang w:eastAsia="en-US"/>
        </w:rPr>
        <w:t>–  Impact</w:t>
      </w:r>
      <w:proofErr w:type="gramEnd"/>
      <w:r w:rsidRPr="00960BC5">
        <w:rPr>
          <w:rFonts w:ascii="Arial Narrow" w:hAnsi="Arial Narrow"/>
          <w:i w:val="0"/>
          <w:sz w:val="18"/>
          <w:szCs w:val="18"/>
          <w:lang w:eastAsia="en-US"/>
        </w:rPr>
        <w:t xml:space="preserve"> –PUB and 4b-displaced PUB</w:t>
      </w:r>
    </w:p>
    <w:p w:rsidR="00BB7EC3" w:rsidRPr="001E3935" w:rsidRDefault="0025355D" w:rsidP="00FF46DB">
      <w:pPr>
        <w:pStyle w:val="ListParagraph"/>
        <w:widowControl/>
        <w:numPr>
          <w:ilvl w:val="1"/>
          <w:numId w:val="14"/>
        </w:numPr>
        <w:spacing w:after="120"/>
        <w:contextualSpacing w:val="0"/>
        <w:rPr>
          <w:rFonts w:asciiTheme="minorHAnsi" w:hAnsiTheme="minorHAnsi"/>
        </w:rPr>
      </w:pPr>
      <w:r w:rsidRPr="001E3935">
        <w:rPr>
          <w:rFonts w:asciiTheme="minorHAnsi" w:hAnsiTheme="minorHAnsi"/>
          <w:sz w:val="24"/>
          <w:szCs w:val="24"/>
        </w:rPr>
        <w:t>The minor submission proposed that, in order to improve compliance and accelerate the expected improvements in protection for vaccinated children, the change in schedule should be implemented as quickly as possible. The proposed method of implementation was for vaccination for all children in the eligible cohort to be ceased at the 6 month time point and started at the 12 month time point.</w:t>
      </w:r>
      <w:r w:rsidR="001E3935" w:rsidRPr="001E3935">
        <w:rPr>
          <w:rFonts w:asciiTheme="minorHAnsi" w:hAnsiTheme="minorHAnsi"/>
          <w:sz w:val="24"/>
          <w:szCs w:val="24"/>
        </w:rPr>
        <w:t xml:space="preserve"> </w:t>
      </w:r>
    </w:p>
    <w:p w:rsidR="001E3935" w:rsidRDefault="001E3935" w:rsidP="00FF46DB">
      <w:pPr>
        <w:pStyle w:val="ListParagraph"/>
        <w:widowControl/>
        <w:numPr>
          <w:ilvl w:val="1"/>
          <w:numId w:val="14"/>
        </w:numPr>
        <w:spacing w:after="120"/>
        <w:contextualSpacing w:val="0"/>
        <w:rPr>
          <w:rFonts w:asciiTheme="minorHAnsi" w:hAnsiTheme="minorHAnsi"/>
          <w:sz w:val="24"/>
          <w:szCs w:val="24"/>
        </w:rPr>
      </w:pPr>
      <w:r>
        <w:rPr>
          <w:rFonts w:asciiTheme="minorHAnsi" w:hAnsiTheme="minorHAnsi"/>
          <w:sz w:val="24"/>
          <w:szCs w:val="24"/>
        </w:rPr>
        <w:t xml:space="preserve">In this implementation method, a </w:t>
      </w:r>
      <w:r w:rsidRPr="001E3935">
        <w:rPr>
          <w:rFonts w:asciiTheme="minorHAnsi" w:hAnsiTheme="minorHAnsi"/>
          <w:sz w:val="24"/>
          <w:szCs w:val="24"/>
        </w:rPr>
        <w:t xml:space="preserve">small cohort of children aged between 6 and 12 months at the time of implementation would receive a booster dose of 13vPCV at 12 months of age after receiving their 3 doses of 13vPCV at 2, 4 and 6 months of age. This would only occur over the first 6 months following the change in schedule. </w:t>
      </w:r>
    </w:p>
    <w:p w:rsidR="001E3935" w:rsidRDefault="001E3935" w:rsidP="00FF46DB">
      <w:pPr>
        <w:pStyle w:val="ListParagraph"/>
        <w:widowControl/>
        <w:numPr>
          <w:ilvl w:val="1"/>
          <w:numId w:val="14"/>
        </w:numPr>
        <w:spacing w:after="120"/>
        <w:contextualSpacing w:val="0"/>
        <w:rPr>
          <w:rFonts w:asciiTheme="minorHAnsi" w:hAnsiTheme="minorHAnsi"/>
          <w:sz w:val="24"/>
          <w:szCs w:val="24"/>
        </w:rPr>
      </w:pPr>
      <w:r w:rsidRPr="001E3935">
        <w:rPr>
          <w:rFonts w:asciiTheme="minorHAnsi" w:hAnsiTheme="minorHAnsi"/>
          <w:sz w:val="24"/>
          <w:szCs w:val="24"/>
        </w:rPr>
        <w:t xml:space="preserve">The total number of doses provided through the NIP would not increase as during that 6 month period, the children who would previously </w:t>
      </w:r>
      <w:r>
        <w:rPr>
          <w:rFonts w:asciiTheme="minorHAnsi" w:hAnsiTheme="minorHAnsi"/>
          <w:sz w:val="24"/>
          <w:szCs w:val="24"/>
        </w:rPr>
        <w:t xml:space="preserve">have </w:t>
      </w:r>
      <w:r w:rsidRPr="001E3935">
        <w:rPr>
          <w:rFonts w:asciiTheme="minorHAnsi" w:hAnsiTheme="minorHAnsi"/>
          <w:sz w:val="24"/>
          <w:szCs w:val="24"/>
        </w:rPr>
        <w:t>received their 13vPCV dose at a 6 month vaccination time point would have it delayed by 6 months to the new 12 month vaccination time point. Therefore, the estimation of use would remain the same throughout the 5-year projections.</w:t>
      </w:r>
    </w:p>
    <w:p w:rsidR="00A768A3" w:rsidRPr="00AE70E7" w:rsidRDefault="00A768A3" w:rsidP="00FF46DB">
      <w:pPr>
        <w:pStyle w:val="ListParagraph"/>
        <w:widowControl/>
        <w:numPr>
          <w:ilvl w:val="1"/>
          <w:numId w:val="14"/>
        </w:numPr>
        <w:spacing w:after="120"/>
        <w:contextualSpacing w:val="0"/>
        <w:rPr>
          <w:rFonts w:asciiTheme="minorHAnsi" w:hAnsiTheme="minorHAnsi"/>
          <w:sz w:val="24"/>
          <w:szCs w:val="24"/>
        </w:rPr>
      </w:pPr>
      <w:r w:rsidRPr="001E5A2B">
        <w:rPr>
          <w:rFonts w:asciiTheme="minorHAnsi" w:hAnsiTheme="minorHAnsi"/>
          <w:sz w:val="24"/>
          <w:szCs w:val="24"/>
        </w:rPr>
        <w:t>The PBAC noted ATAGI’s advice and agreed that the change would be cost-neutral to the NIP.</w:t>
      </w:r>
    </w:p>
    <w:p w:rsidR="00680777" w:rsidRDefault="00D532AC" w:rsidP="00680777">
      <w:pPr>
        <w:rPr>
          <w:rFonts w:eastAsiaTheme="minorHAnsi"/>
        </w:rPr>
      </w:pPr>
      <w:r w:rsidRPr="00A92174">
        <w:rPr>
          <w:rFonts w:asciiTheme="minorHAnsi" w:eastAsiaTheme="minorHAnsi" w:hAnsiTheme="minorHAnsi" w:cstheme="minorBidi"/>
          <w:i/>
          <w:szCs w:val="22"/>
        </w:rPr>
        <w:lastRenderedPageBreak/>
        <w:t xml:space="preserve">For more detail on the PBAC’s view, see section </w:t>
      </w:r>
      <w:r w:rsidR="00A92174">
        <w:rPr>
          <w:rFonts w:asciiTheme="minorHAnsi" w:eastAsiaTheme="minorHAnsi" w:hAnsiTheme="minorHAnsi" w:cstheme="minorBidi"/>
          <w:i/>
          <w:szCs w:val="22"/>
        </w:rPr>
        <w:t>6</w:t>
      </w:r>
      <w:r w:rsidRPr="00A92174">
        <w:rPr>
          <w:rFonts w:asciiTheme="minorHAnsi" w:eastAsiaTheme="minorHAnsi" w:hAnsiTheme="minorHAnsi" w:cstheme="minorBidi"/>
          <w:i/>
          <w:szCs w:val="22"/>
        </w:rPr>
        <w:t xml:space="preserve"> PBAC outcome.</w:t>
      </w:r>
    </w:p>
    <w:p w:rsidR="008D0B70" w:rsidRPr="00940173" w:rsidRDefault="008D0B70" w:rsidP="002B3C43">
      <w:pPr>
        <w:pStyle w:val="PBACHeading1"/>
        <w:ind w:left="709" w:hanging="709"/>
      </w:pPr>
      <w:r w:rsidRPr="00940173">
        <w:t>PBAC Outcome</w:t>
      </w:r>
    </w:p>
    <w:p w:rsidR="00CF4A6A" w:rsidRPr="00A92174" w:rsidRDefault="00CF4A6A" w:rsidP="00CF4A6A">
      <w:pPr>
        <w:pStyle w:val="ListParagraph"/>
        <w:widowControl/>
        <w:numPr>
          <w:ilvl w:val="1"/>
          <w:numId w:val="5"/>
        </w:numPr>
        <w:spacing w:after="120"/>
        <w:contextualSpacing w:val="0"/>
        <w:rPr>
          <w:rFonts w:asciiTheme="minorHAnsi" w:eastAsiaTheme="minorHAnsi" w:hAnsiTheme="minorHAnsi" w:cstheme="minorBidi"/>
          <w:snapToGrid/>
          <w:sz w:val="24"/>
          <w:szCs w:val="24"/>
        </w:rPr>
      </w:pPr>
      <w:r>
        <w:rPr>
          <w:rFonts w:asciiTheme="minorHAnsi" w:hAnsiTheme="minorHAnsi" w:cstheme="minorHAnsi"/>
          <w:bCs/>
          <w:sz w:val="24"/>
          <w:szCs w:val="24"/>
          <w:lang w:val="en-GB"/>
        </w:rPr>
        <w:t>The PBAC recommended that</w:t>
      </w:r>
      <w:r w:rsidR="00F9706A" w:rsidRPr="00CF4A6A">
        <w:rPr>
          <w:rFonts w:asciiTheme="minorHAnsi" w:hAnsiTheme="minorHAnsi" w:cstheme="minorHAnsi"/>
          <w:sz w:val="24"/>
          <w:szCs w:val="24"/>
        </w:rPr>
        <w:t xml:space="preserve"> </w:t>
      </w:r>
      <w:r>
        <w:rPr>
          <w:rFonts w:asciiTheme="minorHAnsi" w:hAnsiTheme="minorHAnsi" w:cstheme="minorHAnsi"/>
          <w:sz w:val="24"/>
          <w:szCs w:val="24"/>
        </w:rPr>
        <w:t xml:space="preserve">the circumstances of listing for </w:t>
      </w:r>
      <w:r w:rsidRPr="00CF4A6A">
        <w:rPr>
          <w:rFonts w:asciiTheme="minorHAnsi" w:hAnsiTheme="minorHAnsi"/>
          <w:sz w:val="24"/>
          <w:szCs w:val="24"/>
        </w:rPr>
        <w:t>13vPCV</w:t>
      </w:r>
      <w:r w:rsidRPr="00CF4A6A">
        <w:rPr>
          <w:rFonts w:asciiTheme="minorHAnsi" w:hAnsiTheme="minorHAnsi" w:cstheme="minorHAnsi"/>
          <w:sz w:val="24"/>
          <w:szCs w:val="24"/>
        </w:rPr>
        <w:t xml:space="preserve"> </w:t>
      </w:r>
      <w:r>
        <w:rPr>
          <w:rFonts w:asciiTheme="minorHAnsi" w:hAnsiTheme="minorHAnsi" w:cstheme="minorHAnsi"/>
          <w:sz w:val="24"/>
          <w:szCs w:val="24"/>
        </w:rPr>
        <w:t xml:space="preserve">under the </w:t>
      </w:r>
      <w:r w:rsidR="00992AE7" w:rsidRPr="00CF4A6A">
        <w:rPr>
          <w:rFonts w:asciiTheme="minorHAnsi" w:hAnsiTheme="minorHAnsi" w:cstheme="minorHAnsi"/>
          <w:i/>
          <w:sz w:val="24"/>
          <w:szCs w:val="24"/>
        </w:rPr>
        <w:t>National Health Act 1953</w:t>
      </w:r>
      <w:r w:rsidR="00992AE7" w:rsidRPr="00CF4A6A">
        <w:rPr>
          <w:rFonts w:asciiTheme="minorHAnsi" w:hAnsiTheme="minorHAnsi" w:cstheme="minorHAnsi"/>
          <w:sz w:val="24"/>
          <w:szCs w:val="24"/>
        </w:rPr>
        <w:t xml:space="preserve"> for </w:t>
      </w:r>
      <w:r w:rsidRPr="00CF4A6A">
        <w:rPr>
          <w:rFonts w:asciiTheme="minorHAnsi" w:eastAsiaTheme="minorHAnsi" w:hAnsiTheme="minorHAnsi" w:cstheme="minorBidi"/>
          <w:snapToGrid/>
          <w:sz w:val="24"/>
          <w:szCs w:val="24"/>
        </w:rPr>
        <w:t>the prevention of pneumococcal disease</w:t>
      </w:r>
      <w:r>
        <w:rPr>
          <w:rFonts w:asciiTheme="minorHAnsi" w:eastAsiaTheme="minorHAnsi" w:hAnsiTheme="minorHAnsi" w:cstheme="minorBidi"/>
          <w:snapToGrid/>
          <w:sz w:val="24"/>
          <w:szCs w:val="24"/>
        </w:rPr>
        <w:t xml:space="preserve"> should </w:t>
      </w:r>
      <w:r w:rsidRPr="00A92174">
        <w:rPr>
          <w:rFonts w:asciiTheme="minorHAnsi" w:eastAsiaTheme="minorHAnsi" w:hAnsiTheme="minorHAnsi" w:cstheme="minorBidi"/>
          <w:snapToGrid/>
          <w:sz w:val="24"/>
          <w:szCs w:val="24"/>
        </w:rPr>
        <w:t>change.</w:t>
      </w:r>
      <w:r w:rsidR="00A31E70" w:rsidRPr="00A92174">
        <w:rPr>
          <w:rFonts w:asciiTheme="minorHAnsi" w:eastAsiaTheme="minorHAnsi" w:hAnsiTheme="minorHAnsi" w:cstheme="minorBidi"/>
          <w:snapToGrid/>
          <w:sz w:val="24"/>
          <w:szCs w:val="24"/>
        </w:rPr>
        <w:t xml:space="preserve">  The PBAC recommended that:</w:t>
      </w:r>
    </w:p>
    <w:p w:rsidR="00A31E70" w:rsidRPr="00A92174" w:rsidRDefault="00A31E70" w:rsidP="00962FD7">
      <w:pPr>
        <w:pStyle w:val="ListParagraph"/>
        <w:widowControl/>
        <w:numPr>
          <w:ilvl w:val="2"/>
          <w:numId w:val="5"/>
        </w:numPr>
        <w:spacing w:after="120"/>
        <w:ind w:left="993" w:hanging="284"/>
        <w:contextualSpacing w:val="0"/>
        <w:rPr>
          <w:rFonts w:asciiTheme="minorHAnsi" w:eastAsiaTheme="minorHAnsi" w:hAnsiTheme="minorHAnsi" w:cstheme="minorBidi"/>
          <w:snapToGrid/>
          <w:sz w:val="24"/>
          <w:szCs w:val="24"/>
        </w:rPr>
      </w:pPr>
      <w:r w:rsidRPr="00A92174">
        <w:rPr>
          <w:rFonts w:asciiTheme="minorHAnsi" w:eastAsiaTheme="minorHAnsi" w:hAnsiTheme="minorHAnsi" w:cstheme="minorBidi"/>
          <w:snapToGrid/>
          <w:sz w:val="24"/>
          <w:szCs w:val="24"/>
        </w:rPr>
        <w:t xml:space="preserve">The general dosing schedule move from a </w:t>
      </w:r>
      <w:r w:rsidR="00683A6F" w:rsidRPr="00A92174">
        <w:rPr>
          <w:rFonts w:asciiTheme="minorHAnsi" w:eastAsiaTheme="minorHAnsi" w:hAnsiTheme="minorHAnsi" w:cstheme="minorBidi"/>
          <w:snapToGrid/>
          <w:sz w:val="24"/>
          <w:szCs w:val="24"/>
        </w:rPr>
        <w:t>‘3+</w:t>
      </w:r>
      <w:r w:rsidRPr="00A92174">
        <w:rPr>
          <w:rFonts w:asciiTheme="minorHAnsi" w:eastAsiaTheme="minorHAnsi" w:hAnsiTheme="minorHAnsi" w:cstheme="minorBidi"/>
          <w:snapToGrid/>
          <w:sz w:val="24"/>
          <w:szCs w:val="24"/>
        </w:rPr>
        <w:t>0</w:t>
      </w:r>
      <w:r w:rsidR="00683A6F" w:rsidRPr="00A92174">
        <w:rPr>
          <w:rFonts w:asciiTheme="minorHAnsi" w:eastAsiaTheme="minorHAnsi" w:hAnsiTheme="minorHAnsi" w:cstheme="minorBidi"/>
          <w:snapToGrid/>
          <w:sz w:val="24"/>
          <w:szCs w:val="24"/>
        </w:rPr>
        <w:t>’</w:t>
      </w:r>
      <w:r w:rsidRPr="00A92174">
        <w:rPr>
          <w:rFonts w:asciiTheme="minorHAnsi" w:eastAsiaTheme="minorHAnsi" w:hAnsiTheme="minorHAnsi" w:cstheme="minorBidi"/>
          <w:snapToGrid/>
          <w:sz w:val="24"/>
          <w:szCs w:val="24"/>
        </w:rPr>
        <w:t xml:space="preserve"> to a </w:t>
      </w:r>
      <w:r w:rsidR="00683A6F" w:rsidRPr="00A92174">
        <w:rPr>
          <w:rFonts w:asciiTheme="minorHAnsi" w:eastAsiaTheme="minorHAnsi" w:hAnsiTheme="minorHAnsi" w:cstheme="minorBidi"/>
          <w:snapToGrid/>
          <w:sz w:val="24"/>
          <w:szCs w:val="24"/>
        </w:rPr>
        <w:t>‘2+</w:t>
      </w:r>
      <w:r w:rsidRPr="00A92174">
        <w:rPr>
          <w:rFonts w:asciiTheme="minorHAnsi" w:eastAsiaTheme="minorHAnsi" w:hAnsiTheme="minorHAnsi" w:cstheme="minorBidi"/>
          <w:snapToGrid/>
          <w:sz w:val="24"/>
          <w:szCs w:val="24"/>
        </w:rPr>
        <w:t>1</w:t>
      </w:r>
      <w:r w:rsidR="00683A6F" w:rsidRPr="00A92174">
        <w:rPr>
          <w:rFonts w:asciiTheme="minorHAnsi" w:eastAsiaTheme="minorHAnsi" w:hAnsiTheme="minorHAnsi" w:cstheme="minorBidi"/>
          <w:snapToGrid/>
          <w:sz w:val="24"/>
          <w:szCs w:val="24"/>
        </w:rPr>
        <w:t>’</w:t>
      </w:r>
      <w:r w:rsidRPr="00A92174">
        <w:rPr>
          <w:rFonts w:asciiTheme="minorHAnsi" w:eastAsiaTheme="minorHAnsi" w:hAnsiTheme="minorHAnsi" w:cstheme="minorBidi"/>
          <w:snapToGrid/>
          <w:sz w:val="24"/>
          <w:szCs w:val="24"/>
        </w:rPr>
        <w:t xml:space="preserve"> schedule with doses provided to children at around 2 and </w:t>
      </w:r>
      <w:r w:rsidR="00587EFD">
        <w:rPr>
          <w:rFonts w:asciiTheme="minorHAnsi" w:eastAsiaTheme="minorHAnsi" w:hAnsiTheme="minorHAnsi" w:cstheme="minorBidi"/>
          <w:snapToGrid/>
          <w:sz w:val="24"/>
          <w:szCs w:val="24"/>
        </w:rPr>
        <w:t>4</w:t>
      </w:r>
      <w:r w:rsidRPr="00A92174">
        <w:rPr>
          <w:rFonts w:asciiTheme="minorHAnsi" w:eastAsiaTheme="minorHAnsi" w:hAnsiTheme="minorHAnsi" w:cstheme="minorBidi"/>
          <w:snapToGrid/>
          <w:sz w:val="24"/>
          <w:szCs w:val="24"/>
        </w:rPr>
        <w:t xml:space="preserve"> months of age with a booster in the second year of l</w:t>
      </w:r>
      <w:r w:rsidR="00DA29F5" w:rsidRPr="00A92174">
        <w:rPr>
          <w:rFonts w:asciiTheme="minorHAnsi" w:eastAsiaTheme="minorHAnsi" w:hAnsiTheme="minorHAnsi" w:cstheme="minorBidi"/>
          <w:snapToGrid/>
          <w:sz w:val="24"/>
          <w:szCs w:val="24"/>
        </w:rPr>
        <w:t>ife.</w:t>
      </w:r>
    </w:p>
    <w:p w:rsidR="00A31E70" w:rsidRPr="00A92174" w:rsidRDefault="00DA29F5" w:rsidP="00962FD7">
      <w:pPr>
        <w:pStyle w:val="ListParagraph"/>
        <w:widowControl/>
        <w:numPr>
          <w:ilvl w:val="2"/>
          <w:numId w:val="5"/>
        </w:numPr>
        <w:spacing w:after="120"/>
        <w:ind w:left="993" w:hanging="284"/>
        <w:contextualSpacing w:val="0"/>
        <w:rPr>
          <w:rFonts w:asciiTheme="minorHAnsi" w:eastAsiaTheme="minorHAnsi" w:hAnsiTheme="minorHAnsi" w:cstheme="minorBidi"/>
          <w:snapToGrid/>
          <w:sz w:val="24"/>
          <w:szCs w:val="24"/>
        </w:rPr>
      </w:pPr>
      <w:r w:rsidRPr="00A92174">
        <w:rPr>
          <w:rFonts w:asciiTheme="minorHAnsi" w:eastAsiaTheme="minorHAnsi" w:hAnsiTheme="minorHAnsi" w:cstheme="minorBidi"/>
          <w:snapToGrid/>
          <w:sz w:val="24"/>
          <w:szCs w:val="24"/>
        </w:rPr>
        <w:t xml:space="preserve">For children in at risk conditions, the additional dose </w:t>
      </w:r>
      <w:proofErr w:type="gramStart"/>
      <w:r w:rsidRPr="00A92174">
        <w:rPr>
          <w:rFonts w:asciiTheme="minorHAnsi" w:eastAsiaTheme="minorHAnsi" w:hAnsiTheme="minorHAnsi" w:cstheme="minorBidi"/>
          <w:snapToGrid/>
          <w:sz w:val="24"/>
          <w:szCs w:val="24"/>
        </w:rPr>
        <w:t>be</w:t>
      </w:r>
      <w:proofErr w:type="gramEnd"/>
      <w:r w:rsidRPr="00A92174">
        <w:rPr>
          <w:rFonts w:asciiTheme="minorHAnsi" w:eastAsiaTheme="minorHAnsi" w:hAnsiTheme="minorHAnsi" w:cstheme="minorBidi"/>
          <w:snapToGrid/>
          <w:sz w:val="24"/>
          <w:szCs w:val="24"/>
        </w:rPr>
        <w:t xml:space="preserve"> provided at 6 months of age to adjust for the booster dose now to be given in the second year of life.</w:t>
      </w:r>
    </w:p>
    <w:p w:rsidR="00DA29F5" w:rsidRPr="00A92174" w:rsidRDefault="00DA29F5" w:rsidP="00962FD7">
      <w:pPr>
        <w:pStyle w:val="ListParagraph"/>
        <w:widowControl/>
        <w:numPr>
          <w:ilvl w:val="2"/>
          <w:numId w:val="5"/>
        </w:numPr>
        <w:spacing w:after="120"/>
        <w:ind w:left="993" w:hanging="284"/>
        <w:contextualSpacing w:val="0"/>
        <w:rPr>
          <w:rFonts w:asciiTheme="minorHAnsi" w:eastAsiaTheme="minorHAnsi" w:hAnsiTheme="minorHAnsi" w:cstheme="minorBidi"/>
          <w:snapToGrid/>
          <w:sz w:val="24"/>
          <w:szCs w:val="24"/>
        </w:rPr>
      </w:pPr>
      <w:r w:rsidRPr="00A92174">
        <w:rPr>
          <w:rFonts w:asciiTheme="minorHAnsi" w:eastAsiaTheme="minorHAnsi" w:hAnsiTheme="minorHAnsi" w:cstheme="minorBidi"/>
          <w:snapToGrid/>
          <w:sz w:val="24"/>
          <w:szCs w:val="24"/>
        </w:rPr>
        <w:t xml:space="preserve">For </w:t>
      </w:r>
      <w:r w:rsidR="00FA7DFC" w:rsidRPr="00A92174">
        <w:rPr>
          <w:rFonts w:asciiTheme="minorHAnsi" w:eastAsiaTheme="majorEastAsia" w:hAnsiTheme="minorHAnsi" w:cstheme="majorBidi"/>
          <w:sz w:val="24"/>
        </w:rPr>
        <w:t xml:space="preserve">Aboriginal and Torres Strait Islander children in at risk areas, </w:t>
      </w:r>
      <w:r w:rsidR="00AF3986" w:rsidRPr="00AF3986">
        <w:rPr>
          <w:rFonts w:asciiTheme="minorHAnsi" w:eastAsiaTheme="majorEastAsia" w:hAnsiTheme="minorHAnsi" w:cstheme="majorBidi"/>
          <w:sz w:val="24"/>
        </w:rPr>
        <w:t xml:space="preserve">the additional dose </w:t>
      </w:r>
      <w:proofErr w:type="gramStart"/>
      <w:r w:rsidR="00AF3986" w:rsidRPr="00AF3986">
        <w:rPr>
          <w:rFonts w:asciiTheme="minorHAnsi" w:eastAsiaTheme="majorEastAsia" w:hAnsiTheme="minorHAnsi" w:cstheme="majorBidi"/>
          <w:sz w:val="24"/>
        </w:rPr>
        <w:t>be</w:t>
      </w:r>
      <w:proofErr w:type="gramEnd"/>
      <w:r w:rsidR="00AF3986" w:rsidRPr="00AF3986">
        <w:rPr>
          <w:rFonts w:asciiTheme="minorHAnsi" w:eastAsiaTheme="majorEastAsia" w:hAnsiTheme="minorHAnsi" w:cstheme="majorBidi"/>
          <w:sz w:val="24"/>
        </w:rPr>
        <w:t xml:space="preserve"> provided at 6 months of age to adjust for the booster dose now to be given in the second year of life</w:t>
      </w:r>
      <w:r w:rsidR="00FA7DFC" w:rsidRPr="00A92174">
        <w:rPr>
          <w:rFonts w:asciiTheme="minorHAnsi" w:eastAsiaTheme="majorEastAsia" w:hAnsiTheme="minorHAnsi" w:cstheme="majorBidi"/>
          <w:sz w:val="24"/>
        </w:rPr>
        <w:t>.</w:t>
      </w:r>
    </w:p>
    <w:p w:rsidR="00AF3986" w:rsidRPr="001E5A2B" w:rsidRDefault="00A31E70" w:rsidP="001E5A2B">
      <w:pPr>
        <w:pStyle w:val="ListParagraph"/>
        <w:widowControl/>
        <w:spacing w:after="120"/>
        <w:ind w:left="993"/>
        <w:contextualSpacing w:val="0"/>
        <w:rPr>
          <w:rFonts w:asciiTheme="minorHAnsi" w:hAnsiTheme="minorHAnsi" w:cstheme="minorHAnsi"/>
          <w:bCs/>
          <w:lang w:val="en-GB"/>
        </w:rPr>
      </w:pPr>
      <w:r w:rsidRPr="00A92174">
        <w:rPr>
          <w:rFonts w:asciiTheme="minorHAnsi" w:eastAsiaTheme="minorHAnsi" w:hAnsiTheme="minorHAnsi" w:cstheme="minorBidi"/>
          <w:snapToGrid/>
          <w:sz w:val="24"/>
          <w:szCs w:val="24"/>
        </w:rPr>
        <w:t>That the catch-up program</w:t>
      </w:r>
      <w:r w:rsidR="00486F90" w:rsidRPr="00A92174">
        <w:rPr>
          <w:rFonts w:asciiTheme="minorHAnsi" w:eastAsiaTheme="minorHAnsi" w:hAnsiTheme="minorHAnsi" w:cstheme="minorBidi"/>
          <w:snapToGrid/>
          <w:sz w:val="24"/>
          <w:szCs w:val="24"/>
        </w:rPr>
        <w:t xml:space="preserve"> should</w:t>
      </w:r>
      <w:r w:rsidRPr="00A92174">
        <w:rPr>
          <w:rFonts w:asciiTheme="minorHAnsi" w:eastAsiaTheme="minorHAnsi" w:hAnsiTheme="minorHAnsi" w:cstheme="minorBidi"/>
          <w:snapToGrid/>
          <w:sz w:val="24"/>
          <w:szCs w:val="24"/>
        </w:rPr>
        <w:t xml:space="preserve"> proceed as proposed</w:t>
      </w:r>
      <w:r w:rsidR="003805BB">
        <w:rPr>
          <w:rFonts w:asciiTheme="minorHAnsi" w:eastAsiaTheme="minorHAnsi" w:hAnsiTheme="minorHAnsi" w:cstheme="minorBidi"/>
          <w:snapToGrid/>
          <w:sz w:val="24"/>
          <w:szCs w:val="24"/>
        </w:rPr>
        <w:t>, but aligned under the same principles as for routine vaccinations</w:t>
      </w:r>
      <w:r w:rsidRPr="00A92174">
        <w:rPr>
          <w:rFonts w:asciiTheme="minorHAnsi" w:eastAsiaTheme="minorHAnsi" w:hAnsiTheme="minorHAnsi" w:cstheme="minorBidi"/>
          <w:snapToGrid/>
          <w:sz w:val="24"/>
          <w:szCs w:val="24"/>
        </w:rPr>
        <w:t>.</w:t>
      </w:r>
      <w:r w:rsidR="003805BB">
        <w:rPr>
          <w:rFonts w:asciiTheme="minorHAnsi" w:eastAsiaTheme="minorHAnsi" w:hAnsiTheme="minorHAnsi" w:cstheme="minorBidi"/>
          <w:snapToGrid/>
          <w:sz w:val="24"/>
          <w:szCs w:val="24"/>
        </w:rPr>
        <w:t xml:space="preserve"> That is</w:t>
      </w:r>
      <w:r w:rsidR="00607E76">
        <w:rPr>
          <w:rFonts w:asciiTheme="minorHAnsi" w:eastAsiaTheme="minorHAnsi" w:hAnsiTheme="minorHAnsi" w:cstheme="minorBidi"/>
          <w:snapToGrid/>
          <w:sz w:val="24"/>
          <w:szCs w:val="24"/>
        </w:rPr>
        <w:t>,</w:t>
      </w:r>
      <w:r w:rsidR="003805BB">
        <w:rPr>
          <w:rFonts w:asciiTheme="minorHAnsi" w:eastAsiaTheme="minorHAnsi" w:hAnsiTheme="minorHAnsi" w:cstheme="minorBidi"/>
          <w:snapToGrid/>
          <w:sz w:val="24"/>
          <w:szCs w:val="24"/>
        </w:rPr>
        <w:t xml:space="preserve"> c</w:t>
      </w:r>
      <w:r w:rsidR="003805BB" w:rsidRPr="003805BB">
        <w:rPr>
          <w:rFonts w:asciiTheme="minorHAnsi" w:eastAsiaTheme="minorHAnsi" w:hAnsiTheme="minorHAnsi" w:cstheme="minorBidi"/>
          <w:snapToGrid/>
          <w:sz w:val="24"/>
          <w:szCs w:val="24"/>
        </w:rPr>
        <w:t xml:space="preserve">hildren who have received 3 previous doses of 13vPCV &lt;12 months of age and present prior to 12 months of age are recommended to receive 1 further dose of 13vPCV </w:t>
      </w:r>
      <w:r w:rsidR="003805BB">
        <w:rPr>
          <w:rFonts w:asciiTheme="minorHAnsi" w:eastAsiaTheme="minorHAnsi" w:hAnsiTheme="minorHAnsi" w:cstheme="minorBidi"/>
          <w:snapToGrid/>
          <w:sz w:val="24"/>
          <w:szCs w:val="24"/>
        </w:rPr>
        <w:t>in their second year of life</w:t>
      </w:r>
      <w:r w:rsidR="003805BB" w:rsidRPr="003805BB">
        <w:rPr>
          <w:rFonts w:asciiTheme="minorHAnsi" w:eastAsiaTheme="minorHAnsi" w:hAnsiTheme="minorHAnsi" w:cstheme="minorBidi"/>
          <w:snapToGrid/>
          <w:sz w:val="24"/>
          <w:szCs w:val="24"/>
        </w:rPr>
        <w:t xml:space="preserve"> with a minimum interval of 2 months after the previous dose of 13vPCV</w:t>
      </w:r>
      <w:r w:rsidR="003805BB">
        <w:rPr>
          <w:rFonts w:asciiTheme="minorHAnsi" w:eastAsiaTheme="minorHAnsi" w:hAnsiTheme="minorHAnsi" w:cstheme="minorBidi"/>
          <w:snapToGrid/>
          <w:sz w:val="24"/>
          <w:szCs w:val="24"/>
        </w:rPr>
        <w:t>.</w:t>
      </w:r>
    </w:p>
    <w:p w:rsidR="009B2E90" w:rsidRPr="00A92174" w:rsidRDefault="009B2E90" w:rsidP="009B2E90">
      <w:pPr>
        <w:widowControl w:val="0"/>
        <w:numPr>
          <w:ilvl w:val="1"/>
          <w:numId w:val="5"/>
        </w:numPr>
        <w:spacing w:after="120"/>
        <w:jc w:val="both"/>
        <w:rPr>
          <w:rFonts w:asciiTheme="minorHAnsi" w:hAnsiTheme="minorHAnsi" w:cstheme="minorHAnsi"/>
          <w:bCs/>
          <w:lang w:val="en-GB"/>
        </w:rPr>
      </w:pPr>
      <w:r w:rsidRPr="00A92174">
        <w:rPr>
          <w:rFonts w:asciiTheme="minorHAnsi" w:hAnsiTheme="minorHAnsi" w:cstheme="minorHAnsi"/>
          <w:bCs/>
          <w:lang w:val="en-GB"/>
        </w:rPr>
        <w:t xml:space="preserve">The PBAC </w:t>
      </w:r>
      <w:r w:rsidR="006D4351" w:rsidRPr="00A92174">
        <w:rPr>
          <w:rFonts w:asciiTheme="minorHAnsi" w:hAnsiTheme="minorHAnsi" w:cstheme="minorHAnsi"/>
          <w:bCs/>
          <w:lang w:val="en-GB"/>
        </w:rPr>
        <w:t>considered</w:t>
      </w:r>
      <w:r w:rsidRPr="00A92174">
        <w:rPr>
          <w:rFonts w:asciiTheme="minorHAnsi" w:hAnsiTheme="minorHAnsi" w:cstheme="minorHAnsi"/>
          <w:bCs/>
          <w:lang w:val="en-GB"/>
        </w:rPr>
        <w:t xml:space="preserve"> that the change to </w:t>
      </w:r>
      <w:r w:rsidR="00FA5E6F">
        <w:rPr>
          <w:rFonts w:asciiTheme="minorHAnsi" w:hAnsiTheme="minorHAnsi" w:cstheme="minorHAnsi"/>
          <w:bCs/>
          <w:lang w:val="en-GB"/>
        </w:rPr>
        <w:t xml:space="preserve">the </w:t>
      </w:r>
      <w:r w:rsidRPr="00A92174">
        <w:rPr>
          <w:rFonts w:asciiTheme="minorHAnsi" w:hAnsiTheme="minorHAnsi" w:cstheme="minorHAnsi"/>
          <w:bCs/>
          <w:lang w:val="en-GB"/>
        </w:rPr>
        <w:t xml:space="preserve">dosing schedule of the </w:t>
      </w:r>
      <w:r w:rsidR="00F9706A" w:rsidRPr="00A92174">
        <w:rPr>
          <w:rFonts w:asciiTheme="minorHAnsi" w:hAnsiTheme="minorHAnsi"/>
        </w:rPr>
        <w:t>13vPCV</w:t>
      </w:r>
      <w:r w:rsidR="00F9706A" w:rsidRPr="00A92174">
        <w:rPr>
          <w:rFonts w:asciiTheme="minorHAnsi" w:hAnsiTheme="minorHAnsi" w:cstheme="minorHAnsi"/>
          <w:bCs/>
          <w:lang w:val="en-GB"/>
        </w:rPr>
        <w:t xml:space="preserve"> </w:t>
      </w:r>
      <w:r w:rsidRPr="00A92174">
        <w:rPr>
          <w:rFonts w:asciiTheme="minorHAnsi" w:hAnsiTheme="minorHAnsi" w:cstheme="minorHAnsi"/>
          <w:bCs/>
          <w:lang w:val="en-GB"/>
        </w:rPr>
        <w:t>was cost neutral</w:t>
      </w:r>
      <w:r w:rsidR="00486F90" w:rsidRPr="00A92174">
        <w:rPr>
          <w:rFonts w:asciiTheme="minorHAnsi" w:hAnsiTheme="minorHAnsi" w:cstheme="minorHAnsi"/>
          <w:bCs/>
          <w:lang w:val="en-GB"/>
        </w:rPr>
        <w:t>, and may present a small cost saving,</w:t>
      </w:r>
      <w:r w:rsidRPr="00A92174">
        <w:rPr>
          <w:rFonts w:asciiTheme="minorHAnsi" w:hAnsiTheme="minorHAnsi" w:cstheme="minorHAnsi"/>
          <w:bCs/>
          <w:lang w:val="en-GB"/>
        </w:rPr>
        <w:t xml:space="preserve"> to the NIP as the number of doses provided would not change.</w:t>
      </w:r>
    </w:p>
    <w:p w:rsidR="006D4351" w:rsidRPr="006D4351" w:rsidRDefault="00BF05C2" w:rsidP="006D4351">
      <w:pPr>
        <w:numPr>
          <w:ilvl w:val="1"/>
          <w:numId w:val="5"/>
        </w:numPr>
        <w:spacing w:after="120" w:line="276" w:lineRule="auto"/>
        <w:ind w:left="810" w:hanging="810"/>
        <w:rPr>
          <w:rFonts w:asciiTheme="minorHAnsi" w:hAnsiTheme="minorHAnsi" w:cs="Arial"/>
          <w:snapToGrid w:val="0"/>
          <w:szCs w:val="20"/>
          <w:lang w:eastAsia="en-US"/>
        </w:rPr>
      </w:pPr>
      <w:r w:rsidRPr="00A92174">
        <w:rPr>
          <w:rFonts w:asciiTheme="minorHAnsi" w:hAnsiTheme="minorHAnsi" w:cs="Arial"/>
          <w:snapToGrid w:val="0"/>
          <w:szCs w:val="20"/>
          <w:lang w:eastAsia="en-US"/>
        </w:rPr>
        <w:t xml:space="preserve">The PBAC accepted ATAGI’s advice regarding the effectiveness of the change to the dosing schedule. </w:t>
      </w:r>
      <w:r w:rsidR="006D4351" w:rsidRPr="00A92174">
        <w:rPr>
          <w:rFonts w:asciiTheme="minorHAnsi" w:hAnsiTheme="minorHAnsi" w:cs="Arial"/>
          <w:snapToGrid w:val="0"/>
          <w:szCs w:val="20"/>
          <w:lang w:eastAsia="en-US"/>
        </w:rPr>
        <w:t xml:space="preserve">The PBAC noted that despite a slight increase in </w:t>
      </w:r>
      <w:r w:rsidR="00FA5E6F" w:rsidRPr="00A92174">
        <w:rPr>
          <w:rFonts w:asciiTheme="minorHAnsi" w:hAnsiTheme="minorHAnsi" w:cs="Arial"/>
          <w:snapToGrid w:val="0"/>
          <w:szCs w:val="20"/>
          <w:lang w:eastAsia="en-US"/>
        </w:rPr>
        <w:t>I</w:t>
      </w:r>
      <w:r w:rsidR="00FA5E6F">
        <w:rPr>
          <w:rFonts w:asciiTheme="minorHAnsi" w:hAnsiTheme="minorHAnsi" w:cs="Arial"/>
          <w:snapToGrid w:val="0"/>
          <w:szCs w:val="20"/>
          <w:lang w:eastAsia="en-US"/>
        </w:rPr>
        <w:t>PD</w:t>
      </w:r>
      <w:r w:rsidR="00FA5E6F" w:rsidRPr="00A92174">
        <w:rPr>
          <w:rFonts w:asciiTheme="minorHAnsi" w:hAnsiTheme="minorHAnsi" w:cs="Arial"/>
          <w:snapToGrid w:val="0"/>
          <w:szCs w:val="20"/>
          <w:lang w:eastAsia="en-US"/>
        </w:rPr>
        <w:t xml:space="preserve"> </w:t>
      </w:r>
      <w:r w:rsidR="006D4351" w:rsidRPr="00A92174">
        <w:rPr>
          <w:rFonts w:asciiTheme="minorHAnsi" w:hAnsiTheme="minorHAnsi" w:cs="Arial"/>
          <w:snapToGrid w:val="0"/>
          <w:szCs w:val="20"/>
          <w:lang w:eastAsia="en-US"/>
        </w:rPr>
        <w:t>that may occur</w:t>
      </w:r>
      <w:r w:rsidR="006D4351">
        <w:rPr>
          <w:rFonts w:asciiTheme="minorHAnsi" w:hAnsiTheme="minorHAnsi" w:cs="Arial"/>
          <w:snapToGrid w:val="0"/>
          <w:szCs w:val="20"/>
          <w:lang w:eastAsia="en-US"/>
        </w:rPr>
        <w:t xml:space="preserve"> in infants under 12 months of age with the recommended dosing schedule, that overall </w:t>
      </w:r>
      <w:r w:rsidR="006D4351" w:rsidRPr="006D4351">
        <w:rPr>
          <w:rFonts w:asciiTheme="minorHAnsi" w:hAnsiTheme="minorHAnsi" w:cs="Arial"/>
          <w:snapToGrid w:val="0"/>
          <w:szCs w:val="20"/>
          <w:lang w:eastAsia="en-US"/>
        </w:rPr>
        <w:t>the proposed dosing schedule is superior in comparative effectiveness, as supported by the data and international experience</w:t>
      </w:r>
      <w:r w:rsidR="006D4351">
        <w:rPr>
          <w:rFonts w:asciiTheme="minorHAnsi" w:hAnsiTheme="minorHAnsi" w:cs="Arial"/>
          <w:snapToGrid w:val="0"/>
          <w:szCs w:val="20"/>
          <w:lang w:eastAsia="en-US"/>
        </w:rPr>
        <w:t xml:space="preserve">, and would decrease </w:t>
      </w:r>
      <w:r w:rsidR="00FA5E6F">
        <w:rPr>
          <w:rFonts w:asciiTheme="minorHAnsi" w:hAnsiTheme="minorHAnsi" w:cs="Arial"/>
          <w:snapToGrid w:val="0"/>
          <w:szCs w:val="20"/>
          <w:lang w:eastAsia="en-US"/>
        </w:rPr>
        <w:t xml:space="preserve">IPD </w:t>
      </w:r>
      <w:r w:rsidR="006D4351">
        <w:rPr>
          <w:rFonts w:asciiTheme="minorHAnsi" w:hAnsiTheme="minorHAnsi" w:cs="Arial"/>
          <w:snapToGrid w:val="0"/>
          <w:szCs w:val="20"/>
          <w:lang w:eastAsia="en-US"/>
        </w:rPr>
        <w:t>rates significantly</w:t>
      </w:r>
      <w:r>
        <w:rPr>
          <w:rFonts w:asciiTheme="minorHAnsi" w:hAnsiTheme="minorHAnsi" w:cs="Arial"/>
          <w:snapToGrid w:val="0"/>
          <w:szCs w:val="20"/>
          <w:lang w:eastAsia="en-US"/>
        </w:rPr>
        <w:t xml:space="preserve"> in the 0-4 year old age group</w:t>
      </w:r>
      <w:r w:rsidR="006D4351">
        <w:rPr>
          <w:rFonts w:asciiTheme="minorHAnsi" w:hAnsiTheme="minorHAnsi" w:cs="Arial"/>
          <w:snapToGrid w:val="0"/>
          <w:szCs w:val="20"/>
          <w:lang w:eastAsia="en-US"/>
        </w:rPr>
        <w:t>.</w:t>
      </w:r>
      <w:r w:rsidR="006D4351" w:rsidRPr="006D4351">
        <w:rPr>
          <w:rFonts w:asciiTheme="minorHAnsi" w:hAnsiTheme="minorHAnsi" w:cs="Arial"/>
          <w:snapToGrid w:val="0"/>
          <w:szCs w:val="20"/>
          <w:lang w:eastAsia="en-US"/>
        </w:rPr>
        <w:t xml:space="preserve"> </w:t>
      </w:r>
    </w:p>
    <w:p w:rsidR="006D4351" w:rsidRPr="00BF05C2" w:rsidRDefault="006D4351" w:rsidP="006D4351">
      <w:pPr>
        <w:pStyle w:val="ListParagraph"/>
        <w:widowControl/>
        <w:numPr>
          <w:ilvl w:val="1"/>
          <w:numId w:val="5"/>
        </w:numPr>
        <w:spacing w:after="120"/>
        <w:ind w:left="810" w:hanging="810"/>
        <w:contextualSpacing w:val="0"/>
        <w:rPr>
          <w:rFonts w:asciiTheme="minorHAnsi" w:hAnsiTheme="minorHAnsi"/>
          <w:sz w:val="24"/>
          <w:szCs w:val="24"/>
        </w:rPr>
      </w:pPr>
      <w:r w:rsidRPr="00BF05C2">
        <w:rPr>
          <w:rFonts w:asciiTheme="minorHAnsi" w:hAnsiTheme="minorHAnsi"/>
          <w:sz w:val="24"/>
          <w:szCs w:val="24"/>
        </w:rPr>
        <w:t>The PBAC accepted ATAGI’s advice that the proposed dosing schedule will be non-inferior in comparative safety.</w:t>
      </w:r>
    </w:p>
    <w:p w:rsidR="00DF6477" w:rsidRPr="00D114E8" w:rsidRDefault="00DF6477" w:rsidP="00DF6477">
      <w:pPr>
        <w:pStyle w:val="ListParagraph"/>
        <w:widowControl/>
        <w:numPr>
          <w:ilvl w:val="1"/>
          <w:numId w:val="5"/>
        </w:numPr>
        <w:spacing w:after="120"/>
        <w:rPr>
          <w:rFonts w:asciiTheme="minorHAnsi" w:hAnsiTheme="minorHAnsi" w:cstheme="minorHAnsi"/>
          <w:sz w:val="24"/>
          <w:szCs w:val="24"/>
        </w:rPr>
      </w:pPr>
      <w:r w:rsidRPr="00D114E8">
        <w:rPr>
          <w:rFonts w:asciiTheme="minorHAnsi" w:hAnsiTheme="minorHAnsi" w:cstheme="minorHAnsi"/>
          <w:sz w:val="24"/>
          <w:szCs w:val="24"/>
        </w:rPr>
        <w:t xml:space="preserve">The PBAC further noted that: </w:t>
      </w:r>
    </w:p>
    <w:p w:rsidR="00DF6477" w:rsidRPr="001E5A2B" w:rsidRDefault="00FA215F" w:rsidP="002B5BC0">
      <w:pPr>
        <w:pStyle w:val="ListParagraph"/>
        <w:widowControl/>
        <w:numPr>
          <w:ilvl w:val="2"/>
          <w:numId w:val="5"/>
        </w:numPr>
        <w:spacing w:after="120"/>
        <w:ind w:left="1134" w:hanging="425"/>
        <w:contextualSpacing w:val="0"/>
        <w:rPr>
          <w:rFonts w:asciiTheme="minorHAnsi" w:hAnsiTheme="minorHAnsi"/>
        </w:rPr>
      </w:pPr>
      <w:r>
        <w:rPr>
          <w:rFonts w:asciiTheme="minorHAnsi" w:hAnsiTheme="minorHAnsi" w:cstheme="minorHAnsi"/>
          <w:sz w:val="24"/>
          <w:szCs w:val="24"/>
        </w:rPr>
        <w:t>I</w:t>
      </w:r>
      <w:r w:rsidR="00DF6477" w:rsidRPr="00D114E8">
        <w:rPr>
          <w:rFonts w:asciiTheme="minorHAnsi" w:hAnsiTheme="minorHAnsi" w:cstheme="minorHAnsi"/>
          <w:sz w:val="24"/>
          <w:szCs w:val="24"/>
        </w:rPr>
        <w:t>n progressing listing on the NIP</w:t>
      </w:r>
      <w:r w:rsidR="00DF6477">
        <w:rPr>
          <w:rFonts w:asciiTheme="minorHAnsi" w:hAnsiTheme="minorHAnsi" w:cstheme="minorHAnsi"/>
          <w:sz w:val="24"/>
          <w:szCs w:val="24"/>
        </w:rPr>
        <w:t xml:space="preserve">, the AIH would need to be updated and education </w:t>
      </w:r>
      <w:r w:rsidR="00BF05C2">
        <w:rPr>
          <w:rFonts w:asciiTheme="minorHAnsi" w:hAnsiTheme="minorHAnsi" w:cstheme="minorHAnsi"/>
          <w:sz w:val="24"/>
          <w:szCs w:val="24"/>
        </w:rPr>
        <w:t>of healthcare providers provided</w:t>
      </w:r>
      <w:r w:rsidR="00DF6477">
        <w:rPr>
          <w:rFonts w:asciiTheme="minorHAnsi" w:hAnsiTheme="minorHAnsi" w:cstheme="minorHAnsi"/>
          <w:sz w:val="24"/>
          <w:szCs w:val="24"/>
        </w:rPr>
        <w:t>.</w:t>
      </w:r>
    </w:p>
    <w:p w:rsidR="00992AE7" w:rsidRPr="008548A7" w:rsidRDefault="00AF3986" w:rsidP="002B5BC0">
      <w:pPr>
        <w:pStyle w:val="ListParagraph"/>
        <w:widowControl/>
        <w:numPr>
          <w:ilvl w:val="2"/>
          <w:numId w:val="5"/>
        </w:numPr>
        <w:spacing w:after="120"/>
        <w:ind w:left="1134" w:hanging="425"/>
        <w:contextualSpacing w:val="0"/>
        <w:rPr>
          <w:rFonts w:asciiTheme="minorHAnsi" w:hAnsiTheme="minorHAnsi" w:cstheme="minorHAnsi"/>
          <w:sz w:val="24"/>
          <w:szCs w:val="24"/>
        </w:rPr>
      </w:pPr>
      <w:r w:rsidRPr="00AF3986">
        <w:rPr>
          <w:rFonts w:asciiTheme="minorHAnsi" w:hAnsiTheme="minorHAnsi" w:cstheme="minorHAnsi"/>
          <w:sz w:val="24"/>
          <w:szCs w:val="24"/>
        </w:rPr>
        <w:t>In order to progress</w:t>
      </w:r>
      <w:r w:rsidRPr="00962FD7">
        <w:rPr>
          <w:rFonts w:asciiTheme="minorHAnsi" w:hAnsiTheme="minorHAnsi" w:cstheme="minorHAnsi"/>
          <w:sz w:val="24"/>
          <w:szCs w:val="24"/>
        </w:rPr>
        <w:t xml:space="preserve"> the listing on the NIP, the </w:t>
      </w:r>
      <w:r w:rsidR="00962FD7">
        <w:rPr>
          <w:rFonts w:asciiTheme="minorHAnsi" w:hAnsiTheme="minorHAnsi" w:cstheme="minorHAnsi"/>
          <w:sz w:val="24"/>
          <w:szCs w:val="24"/>
        </w:rPr>
        <w:t>Office of Health Protection within the Department of Health</w:t>
      </w:r>
      <w:r w:rsidRPr="00962FD7">
        <w:rPr>
          <w:rFonts w:asciiTheme="minorHAnsi" w:hAnsiTheme="minorHAnsi" w:cstheme="minorHAnsi"/>
          <w:sz w:val="24"/>
          <w:szCs w:val="24"/>
        </w:rPr>
        <w:t xml:space="preserve"> will need to review and update subsection 7(1) of the </w:t>
      </w:r>
      <w:r w:rsidR="00962FD7" w:rsidRPr="001E5A2B">
        <w:rPr>
          <w:rFonts w:asciiTheme="minorHAnsi" w:hAnsiTheme="minorHAnsi" w:cstheme="minorHAnsi"/>
          <w:sz w:val="24"/>
          <w:szCs w:val="24"/>
        </w:rPr>
        <w:t>National Health (Immunisation Program – Designated Vaccines Determination 2014 (No.1)</w:t>
      </w:r>
      <w:r w:rsidRPr="00962FD7">
        <w:rPr>
          <w:rFonts w:asciiTheme="minorHAnsi" w:hAnsiTheme="minorHAnsi" w:cstheme="minorHAnsi"/>
          <w:sz w:val="24"/>
          <w:szCs w:val="24"/>
        </w:rPr>
        <w:t xml:space="preserve"> to facilitate the changed aged for the additional dose for Aboriginal and Torres Strait Islander children in at risk areas to be provided at about 6 months of age. Alternatively the change could be addressed directly in the </w:t>
      </w:r>
      <w:r w:rsidRPr="00962FD7">
        <w:rPr>
          <w:rFonts w:asciiTheme="minorHAnsi" w:hAnsiTheme="minorHAnsi" w:cstheme="minorHAnsi"/>
          <w:sz w:val="24"/>
          <w:szCs w:val="24"/>
        </w:rPr>
        <w:lastRenderedPageBreak/>
        <w:t>listing.</w:t>
      </w:r>
      <w:r w:rsidR="00607E76">
        <w:rPr>
          <w:rFonts w:asciiTheme="minorHAnsi" w:hAnsiTheme="minorHAnsi" w:cstheme="minorHAnsi"/>
          <w:sz w:val="24"/>
          <w:szCs w:val="24"/>
        </w:rPr>
        <w:t xml:space="preserve"> </w:t>
      </w:r>
      <w:r w:rsidR="00992AE7" w:rsidRPr="008548A7">
        <w:rPr>
          <w:rFonts w:asciiTheme="minorHAnsi" w:hAnsiTheme="minorHAnsi" w:cstheme="minorHAnsi"/>
          <w:sz w:val="24"/>
          <w:szCs w:val="24"/>
        </w:rPr>
        <w:t>The PBAC noted that this submission is not eligible for an Independent Review because it is a request for an amendment to a listing on the NIP, not the PBS.</w:t>
      </w:r>
    </w:p>
    <w:p w:rsidR="008D0B70" w:rsidRPr="00992AE7" w:rsidRDefault="008D0B70" w:rsidP="008D0B70">
      <w:pPr>
        <w:spacing w:before="240"/>
        <w:jc w:val="both"/>
        <w:rPr>
          <w:rFonts w:asciiTheme="minorHAnsi" w:hAnsiTheme="minorHAnsi" w:cs="Arial"/>
          <w:b/>
          <w:bCs/>
          <w:snapToGrid w:val="0"/>
        </w:rPr>
      </w:pPr>
      <w:r w:rsidRPr="00992AE7">
        <w:rPr>
          <w:rFonts w:asciiTheme="minorHAnsi" w:hAnsiTheme="minorHAnsi" w:cs="Arial"/>
          <w:b/>
          <w:bCs/>
          <w:snapToGrid w:val="0"/>
        </w:rPr>
        <w:t>Outcome:</w:t>
      </w:r>
    </w:p>
    <w:p w:rsidR="00940173" w:rsidRDefault="008D0B70" w:rsidP="008D0B70">
      <w:pPr>
        <w:jc w:val="both"/>
        <w:rPr>
          <w:rFonts w:asciiTheme="minorHAnsi" w:hAnsiTheme="minorHAnsi" w:cs="Arial"/>
          <w:bCs/>
          <w:snapToGrid w:val="0"/>
        </w:rPr>
      </w:pPr>
      <w:r w:rsidRPr="00992AE7">
        <w:rPr>
          <w:rFonts w:asciiTheme="minorHAnsi" w:hAnsiTheme="minorHAnsi" w:cs="Arial"/>
          <w:bCs/>
          <w:snapToGrid w:val="0"/>
        </w:rPr>
        <w:t>Recommended</w:t>
      </w:r>
    </w:p>
    <w:p w:rsidR="00940173" w:rsidRPr="00A70E89" w:rsidRDefault="00940173" w:rsidP="002B3C43">
      <w:pPr>
        <w:pStyle w:val="PBACHeading1"/>
        <w:ind w:left="709" w:hanging="709"/>
      </w:pPr>
      <w:bookmarkStart w:id="6" w:name="_GoBack"/>
      <w:bookmarkEnd w:id="6"/>
      <w:r w:rsidRPr="00A70E89">
        <w:t>Context for Decision</w:t>
      </w:r>
    </w:p>
    <w:p w:rsidR="00940173" w:rsidRDefault="00940173" w:rsidP="00CD2ED9">
      <w:pPr>
        <w:widowControl w:val="0"/>
        <w:spacing w:after="120"/>
        <w:ind w:left="720"/>
        <w:jc w:val="both"/>
        <w:rPr>
          <w:rFonts w:asciiTheme="minorHAnsi" w:hAnsiTheme="minorHAnsi" w:cs="Arial"/>
          <w:b/>
          <w:bCs/>
          <w:snapToGrid w:val="0"/>
          <w:sz w:val="32"/>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40173" w:rsidRPr="00A56D22" w:rsidRDefault="00940173" w:rsidP="00940173">
      <w:pPr>
        <w:widowControl w:val="0"/>
        <w:numPr>
          <w:ilvl w:val="0"/>
          <w:numId w:val="5"/>
        </w:numPr>
        <w:spacing w:before="240" w:after="120"/>
        <w:jc w:val="both"/>
        <w:outlineLvl w:val="0"/>
        <w:rPr>
          <w:rFonts w:asciiTheme="minorHAnsi" w:hAnsiTheme="minorHAnsi" w:cs="Arial"/>
          <w:b/>
          <w:bCs/>
          <w:snapToGrid w:val="0"/>
          <w:sz w:val="32"/>
        </w:rPr>
      </w:pPr>
      <w:r w:rsidRPr="0065359A">
        <w:rPr>
          <w:rFonts w:asciiTheme="minorHAnsi" w:hAnsiTheme="minorHAnsi" w:cs="Arial"/>
          <w:b/>
          <w:bCs/>
          <w:snapToGrid w:val="0"/>
          <w:sz w:val="32"/>
        </w:rPr>
        <w:t>Sponsor’s Comment</w:t>
      </w:r>
    </w:p>
    <w:p w:rsidR="00940173" w:rsidRPr="00992AE7" w:rsidRDefault="00BE06C2" w:rsidP="00BE06C2">
      <w:pPr>
        <w:ind w:left="709"/>
        <w:jc w:val="both"/>
        <w:rPr>
          <w:rFonts w:asciiTheme="minorHAnsi" w:hAnsiTheme="minorHAnsi" w:cs="Arial"/>
          <w:bCs/>
          <w:snapToGrid w:val="0"/>
        </w:rPr>
      </w:pPr>
      <w:r w:rsidRPr="00BE06C2">
        <w:rPr>
          <w:rFonts w:asciiTheme="minorHAnsi" w:hAnsiTheme="minorHAnsi" w:cs="Arial"/>
          <w:bCs/>
          <w:lang w:val="en-GB"/>
        </w:rPr>
        <w:t>Pfizer Australia welcomes the PBAC recommendation to change the listing of 13vPCV from a ‘3+0’ to a ‘2+1’ schedule with doses provided to infants at 2 and 4 months of age with a booster in the second year of life to prevent pneumococcal disease.</w:t>
      </w:r>
    </w:p>
    <w:p w:rsidR="008D0B70" w:rsidRPr="005A48A5" w:rsidRDefault="008D0B70" w:rsidP="008D0B70">
      <w:pPr>
        <w:widowControl w:val="0"/>
        <w:jc w:val="both"/>
        <w:rPr>
          <w:rFonts w:asciiTheme="minorHAnsi" w:hAnsiTheme="minorHAnsi" w:cs="Arial"/>
          <w:b/>
          <w:bCs/>
          <w:snapToGrid w:val="0"/>
          <w:highlight w:val="yellow"/>
        </w:rPr>
      </w:pPr>
    </w:p>
    <w:sectPr w:rsidR="008D0B70" w:rsidRPr="005A48A5" w:rsidSect="00814171">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271" w:rsidRDefault="001A7271">
      <w:r>
        <w:separator/>
      </w:r>
    </w:p>
    <w:p w:rsidR="001A7271" w:rsidRDefault="001A7271"/>
  </w:endnote>
  <w:endnote w:type="continuationSeparator" w:id="0">
    <w:p w:rsidR="001A7271" w:rsidRDefault="001A7271">
      <w:r>
        <w:continuationSeparator/>
      </w:r>
    </w:p>
    <w:p w:rsidR="001A7271" w:rsidRDefault="001A7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92174" w:rsidTr="005A3173">
      <w:trPr>
        <w:trHeight w:val="151"/>
      </w:trPr>
      <w:tc>
        <w:tcPr>
          <w:tcW w:w="2250" w:type="pct"/>
          <w:tcBorders>
            <w:top w:val="nil"/>
            <w:left w:val="nil"/>
            <w:bottom w:val="single" w:sz="4" w:space="0" w:color="4F81BD"/>
            <w:right w:val="nil"/>
          </w:tcBorders>
        </w:tcPr>
        <w:p w:rsidR="00A92174" w:rsidRPr="005A3173" w:rsidRDefault="00A9217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92174" w:rsidRPr="005A3173" w:rsidRDefault="00A9217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92174" w:rsidRPr="005A3173" w:rsidRDefault="00A92174" w:rsidP="005A3173">
          <w:pPr>
            <w:pStyle w:val="Header"/>
            <w:spacing w:line="276" w:lineRule="auto"/>
            <w:rPr>
              <w:rFonts w:ascii="Calibri" w:eastAsia="MS Gothic" w:hAnsi="Calibri"/>
              <w:b/>
              <w:bCs/>
              <w:color w:val="4F81BD"/>
            </w:rPr>
          </w:pPr>
        </w:p>
      </w:tc>
    </w:tr>
    <w:tr w:rsidR="00A92174" w:rsidTr="005A3173">
      <w:trPr>
        <w:trHeight w:val="150"/>
      </w:trPr>
      <w:tc>
        <w:tcPr>
          <w:tcW w:w="2250" w:type="pct"/>
          <w:tcBorders>
            <w:top w:val="single" w:sz="4" w:space="0" w:color="4F81BD"/>
            <w:left w:val="nil"/>
            <w:bottom w:val="nil"/>
            <w:right w:val="nil"/>
          </w:tcBorders>
        </w:tcPr>
        <w:p w:rsidR="00A92174" w:rsidRPr="005A3173" w:rsidRDefault="00A92174" w:rsidP="005A3173">
          <w:pPr>
            <w:pStyle w:val="Header"/>
            <w:spacing w:line="276" w:lineRule="auto"/>
            <w:rPr>
              <w:rFonts w:ascii="Calibri" w:eastAsia="MS Gothic" w:hAnsi="Calibri"/>
              <w:b/>
              <w:bCs/>
              <w:color w:val="4F81BD"/>
            </w:rPr>
          </w:pPr>
        </w:p>
      </w:tc>
      <w:tc>
        <w:tcPr>
          <w:tcW w:w="0" w:type="auto"/>
          <w:vMerge/>
          <w:vAlign w:val="center"/>
          <w:hideMark/>
        </w:tcPr>
        <w:p w:rsidR="00A92174" w:rsidRPr="005A3173" w:rsidRDefault="00A92174" w:rsidP="005A3173">
          <w:pPr>
            <w:rPr>
              <w:rFonts w:ascii="Calibri" w:hAnsi="Calibri"/>
              <w:color w:val="365F91"/>
              <w:sz w:val="22"/>
              <w:szCs w:val="22"/>
            </w:rPr>
          </w:pPr>
        </w:p>
      </w:tc>
      <w:tc>
        <w:tcPr>
          <w:tcW w:w="2250" w:type="pct"/>
          <w:tcBorders>
            <w:top w:val="single" w:sz="4" w:space="0" w:color="4F81BD"/>
            <w:left w:val="nil"/>
            <w:bottom w:val="nil"/>
            <w:right w:val="nil"/>
          </w:tcBorders>
        </w:tcPr>
        <w:p w:rsidR="00A92174" w:rsidRPr="005A3173" w:rsidRDefault="00A92174" w:rsidP="005A3173">
          <w:pPr>
            <w:pStyle w:val="Header"/>
            <w:spacing w:line="276" w:lineRule="auto"/>
            <w:rPr>
              <w:rFonts w:ascii="Calibri" w:eastAsia="MS Gothic" w:hAnsi="Calibri"/>
              <w:b/>
              <w:bCs/>
              <w:color w:val="4F81BD"/>
            </w:rPr>
          </w:pPr>
        </w:p>
      </w:tc>
    </w:tr>
  </w:tbl>
  <w:p w:rsidR="00A92174" w:rsidRDefault="00A92174"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2174" w:rsidRDefault="00A92174">
    <w:pPr>
      <w:pStyle w:val="Footer"/>
    </w:pPr>
  </w:p>
  <w:p w:rsidR="00A92174" w:rsidRDefault="00A921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092522"/>
      <w:docPartObj>
        <w:docPartGallery w:val="Page Numbers (Bottom of Page)"/>
        <w:docPartUnique/>
      </w:docPartObj>
    </w:sdtPr>
    <w:sdtEndPr>
      <w:rPr>
        <w:noProof/>
      </w:rPr>
    </w:sdtEndPr>
    <w:sdtContent>
      <w:p w:rsidR="00A92174" w:rsidRDefault="00A92174">
        <w:pPr>
          <w:pStyle w:val="Footer"/>
          <w:jc w:val="center"/>
        </w:pPr>
        <w:r>
          <w:fldChar w:fldCharType="begin"/>
        </w:r>
        <w:r>
          <w:instrText xml:space="preserve"> PAGE   \* MERGEFORMAT </w:instrText>
        </w:r>
        <w:r>
          <w:fldChar w:fldCharType="separate"/>
        </w:r>
        <w:r w:rsidR="002B3C43">
          <w:rPr>
            <w:noProof/>
          </w:rPr>
          <w:t>4</w:t>
        </w:r>
        <w:r>
          <w:rPr>
            <w:noProof/>
          </w:rPr>
          <w:fldChar w:fldCharType="end"/>
        </w:r>
      </w:p>
    </w:sdtContent>
  </w:sdt>
  <w:p w:rsidR="00A92174" w:rsidRDefault="00A92174"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409041"/>
      <w:docPartObj>
        <w:docPartGallery w:val="Page Numbers (Bottom of Page)"/>
        <w:docPartUnique/>
      </w:docPartObj>
    </w:sdtPr>
    <w:sdtEndPr>
      <w:rPr>
        <w:rFonts w:asciiTheme="minorHAnsi" w:hAnsiTheme="minorHAnsi"/>
        <w:b/>
        <w:noProof/>
      </w:rPr>
    </w:sdtEndPr>
    <w:sdtContent>
      <w:p w:rsidR="00C05CB8" w:rsidRPr="00C05CB8" w:rsidRDefault="00C05CB8">
        <w:pPr>
          <w:pStyle w:val="Footer"/>
          <w:jc w:val="center"/>
          <w:rPr>
            <w:rFonts w:asciiTheme="minorHAnsi" w:hAnsiTheme="minorHAnsi"/>
            <w:b/>
          </w:rPr>
        </w:pPr>
        <w:r w:rsidRPr="00C05CB8">
          <w:rPr>
            <w:rFonts w:asciiTheme="minorHAnsi" w:hAnsiTheme="minorHAnsi"/>
            <w:b/>
          </w:rPr>
          <w:fldChar w:fldCharType="begin"/>
        </w:r>
        <w:r w:rsidRPr="00C05CB8">
          <w:rPr>
            <w:rFonts w:asciiTheme="minorHAnsi" w:hAnsiTheme="minorHAnsi"/>
            <w:b/>
          </w:rPr>
          <w:instrText xml:space="preserve"> PAGE   \* MERGEFORMAT </w:instrText>
        </w:r>
        <w:r w:rsidRPr="00C05CB8">
          <w:rPr>
            <w:rFonts w:asciiTheme="minorHAnsi" w:hAnsiTheme="minorHAnsi"/>
            <w:b/>
          </w:rPr>
          <w:fldChar w:fldCharType="separate"/>
        </w:r>
        <w:r w:rsidR="002B3C43">
          <w:rPr>
            <w:rFonts w:asciiTheme="minorHAnsi" w:hAnsiTheme="minorHAnsi"/>
            <w:b/>
            <w:noProof/>
          </w:rPr>
          <w:t>1</w:t>
        </w:r>
        <w:r w:rsidRPr="00C05CB8">
          <w:rPr>
            <w:rFonts w:asciiTheme="minorHAnsi" w:hAnsiTheme="minorHAnsi"/>
            <w:b/>
            <w:noProof/>
          </w:rPr>
          <w:fldChar w:fldCharType="end"/>
        </w:r>
      </w:p>
    </w:sdtContent>
  </w:sdt>
  <w:p w:rsidR="00A92174" w:rsidRPr="00F22A21" w:rsidRDefault="00A92174" w:rsidP="00114F45">
    <w:pPr>
      <w:pStyle w:val="Footer"/>
      <w:jc w:val="center"/>
      <w:rPr>
        <w:rFonts w:asciiTheme="minorHAnsi" w:hAnsiTheme="minorHAnsi" w:cs="Arial"/>
        <w:b/>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271" w:rsidRDefault="001A7271">
      <w:r>
        <w:separator/>
      </w:r>
    </w:p>
    <w:p w:rsidR="001A7271" w:rsidRDefault="001A7271"/>
  </w:footnote>
  <w:footnote w:type="continuationSeparator" w:id="0">
    <w:p w:rsidR="001A7271" w:rsidRDefault="001A7271">
      <w:r>
        <w:continuationSeparator/>
      </w:r>
    </w:p>
    <w:p w:rsidR="001A7271" w:rsidRDefault="001A72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A92174" w:rsidRPr="008E0D90" w:rsidTr="00A06225">
      <w:trPr>
        <w:trHeight w:val="151"/>
      </w:trPr>
      <w:tc>
        <w:tcPr>
          <w:tcW w:w="2389" w:type="pct"/>
          <w:tcBorders>
            <w:top w:val="nil"/>
            <w:left w:val="nil"/>
            <w:bottom w:val="single" w:sz="4" w:space="0" w:color="4F81BD"/>
            <w:right w:val="nil"/>
          </w:tcBorders>
        </w:tcPr>
        <w:p w:rsidR="00A92174" w:rsidRPr="00A06225" w:rsidRDefault="00A92174">
          <w:pPr>
            <w:pStyle w:val="Header"/>
            <w:spacing w:line="276" w:lineRule="auto"/>
            <w:rPr>
              <w:rFonts w:ascii="Cambria" w:eastAsia="MS Gothic" w:hAnsi="Cambria"/>
              <w:b/>
              <w:bCs/>
              <w:color w:val="4F81BD"/>
            </w:rPr>
          </w:pPr>
        </w:p>
      </w:tc>
      <w:tc>
        <w:tcPr>
          <w:tcW w:w="333" w:type="pct"/>
          <w:vMerge w:val="restart"/>
          <w:noWrap/>
          <w:vAlign w:val="center"/>
          <w:hideMark/>
        </w:tcPr>
        <w:p w:rsidR="00A92174" w:rsidRPr="00A06225" w:rsidRDefault="00A92174"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A92174" w:rsidRPr="00A06225" w:rsidRDefault="00A92174">
          <w:pPr>
            <w:pStyle w:val="Header"/>
            <w:spacing w:line="276" w:lineRule="auto"/>
            <w:rPr>
              <w:rFonts w:ascii="Cambria" w:eastAsia="MS Gothic" w:hAnsi="Cambria"/>
              <w:b/>
              <w:bCs/>
              <w:color w:val="4F81BD"/>
            </w:rPr>
          </w:pPr>
        </w:p>
      </w:tc>
    </w:tr>
    <w:tr w:rsidR="00A92174" w:rsidRPr="008E0D90" w:rsidTr="00A06225">
      <w:trPr>
        <w:trHeight w:val="150"/>
      </w:trPr>
      <w:tc>
        <w:tcPr>
          <w:tcW w:w="2389" w:type="pct"/>
          <w:tcBorders>
            <w:top w:val="single" w:sz="4" w:space="0" w:color="4F81BD"/>
            <w:left w:val="nil"/>
            <w:bottom w:val="nil"/>
            <w:right w:val="nil"/>
          </w:tcBorders>
        </w:tcPr>
        <w:p w:rsidR="00A92174" w:rsidRPr="00A06225" w:rsidRDefault="00A92174">
          <w:pPr>
            <w:pStyle w:val="Header"/>
            <w:spacing w:line="276" w:lineRule="auto"/>
            <w:rPr>
              <w:rFonts w:ascii="Cambria" w:eastAsia="MS Gothic" w:hAnsi="Cambria"/>
              <w:b/>
              <w:bCs/>
              <w:color w:val="4F81BD"/>
            </w:rPr>
          </w:pPr>
        </w:p>
      </w:tc>
      <w:tc>
        <w:tcPr>
          <w:tcW w:w="0" w:type="auto"/>
          <w:vMerge/>
          <w:vAlign w:val="center"/>
          <w:hideMark/>
        </w:tcPr>
        <w:p w:rsidR="00A92174" w:rsidRPr="00A06225" w:rsidRDefault="00A92174">
          <w:pPr>
            <w:rPr>
              <w:rFonts w:ascii="Cambria" w:hAnsi="Cambria"/>
              <w:color w:val="4F81BD"/>
              <w:sz w:val="22"/>
              <w:szCs w:val="22"/>
            </w:rPr>
          </w:pPr>
        </w:p>
      </w:tc>
      <w:tc>
        <w:tcPr>
          <w:tcW w:w="2278" w:type="pct"/>
          <w:tcBorders>
            <w:top w:val="single" w:sz="4" w:space="0" w:color="4F81BD"/>
            <w:left w:val="nil"/>
            <w:bottom w:val="nil"/>
            <w:right w:val="nil"/>
          </w:tcBorders>
        </w:tcPr>
        <w:p w:rsidR="00A92174" w:rsidRPr="00A06225" w:rsidRDefault="00A92174">
          <w:pPr>
            <w:pStyle w:val="Header"/>
            <w:spacing w:line="276" w:lineRule="auto"/>
            <w:rPr>
              <w:rFonts w:ascii="Cambria" w:eastAsia="MS Gothic" w:hAnsi="Cambria"/>
              <w:b/>
              <w:bCs/>
              <w:color w:val="4F81BD"/>
            </w:rPr>
          </w:pPr>
        </w:p>
      </w:tc>
    </w:tr>
  </w:tbl>
  <w:p w:rsidR="00A92174" w:rsidRDefault="00A92174">
    <w:pPr>
      <w:pStyle w:val="Header"/>
    </w:pPr>
  </w:p>
  <w:p w:rsidR="00A92174" w:rsidRDefault="00A9217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174" w:rsidRDefault="004079C2" w:rsidP="00680777">
    <w:pPr>
      <w:pStyle w:val="NoSpacing"/>
      <w:spacing w:after="120"/>
      <w:jc w:val="center"/>
      <w:rPr>
        <w:i/>
      </w:rPr>
    </w:pPr>
    <w:r>
      <w:rPr>
        <w:i/>
      </w:rPr>
      <w:t xml:space="preserve">Public Summary Document </w:t>
    </w:r>
    <w:r w:rsidR="00A92174">
      <w:rPr>
        <w:i/>
      </w:rPr>
      <w:t>– March 2018 PBAC Meeting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174" w:rsidRDefault="00DB2A19" w:rsidP="00DB2A19">
    <w:pPr>
      <w:pStyle w:val="NoSpacing"/>
      <w:jc w:val="center"/>
      <w:rPr>
        <w:i/>
      </w:rPr>
    </w:pPr>
    <w:r>
      <w:rPr>
        <w:i/>
      </w:rPr>
      <w:t xml:space="preserve">Public Summary Document </w:t>
    </w:r>
    <w:r w:rsidR="00A92174">
      <w:rPr>
        <w:i/>
      </w:rPr>
      <w:t>– March 2018 PBAC Meeting</w:t>
    </w:r>
  </w:p>
  <w:p w:rsidR="00CD2ED9" w:rsidRPr="00DB2A19" w:rsidRDefault="00CD2ED9" w:rsidP="00DB2A19">
    <w:pPr>
      <w:pStyle w:val="NoSpacing"/>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3520B1C"/>
    <w:multiLevelType w:val="hybridMultilevel"/>
    <w:tmpl w:val="FD74F57A"/>
    <w:lvl w:ilvl="0" w:tplc="EB5A9DF0">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8B473B1"/>
    <w:multiLevelType w:val="hybridMultilevel"/>
    <w:tmpl w:val="D2D48A30"/>
    <w:lvl w:ilvl="0" w:tplc="0C090011">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1407"/>
        </w:tabs>
        <w:ind w:left="-1407" w:hanging="360"/>
      </w:pPr>
      <w:rPr>
        <w:rFonts w:ascii="Symbol" w:hAnsi="Symbol" w:hint="default"/>
      </w:rPr>
    </w:lvl>
    <w:lvl w:ilvl="1" w:tplc="869C860E">
      <w:start w:val="1"/>
      <w:numFmt w:val="bullet"/>
      <w:lvlText w:val="o"/>
      <w:lvlJc w:val="left"/>
      <w:pPr>
        <w:tabs>
          <w:tab w:val="num" w:pos="-687"/>
        </w:tabs>
        <w:ind w:left="-687" w:hanging="360"/>
      </w:pPr>
      <w:rPr>
        <w:rFonts w:ascii="Courier New" w:hAnsi="Courier New" w:cs="Courier New" w:hint="default"/>
      </w:rPr>
    </w:lvl>
    <w:lvl w:ilvl="2" w:tplc="41EE92A0" w:tentative="1">
      <w:start w:val="1"/>
      <w:numFmt w:val="bullet"/>
      <w:lvlText w:val=""/>
      <w:lvlJc w:val="left"/>
      <w:pPr>
        <w:tabs>
          <w:tab w:val="num" w:pos="33"/>
        </w:tabs>
        <w:ind w:left="33" w:hanging="360"/>
      </w:pPr>
      <w:rPr>
        <w:rFonts w:ascii="Wingdings" w:hAnsi="Wingdings" w:hint="default"/>
      </w:rPr>
    </w:lvl>
    <w:lvl w:ilvl="3" w:tplc="7BE80782" w:tentative="1">
      <w:start w:val="1"/>
      <w:numFmt w:val="bullet"/>
      <w:lvlText w:val=""/>
      <w:lvlJc w:val="left"/>
      <w:pPr>
        <w:tabs>
          <w:tab w:val="num" w:pos="753"/>
        </w:tabs>
        <w:ind w:left="753" w:hanging="360"/>
      </w:pPr>
      <w:rPr>
        <w:rFonts w:ascii="Symbol" w:hAnsi="Symbol" w:hint="default"/>
      </w:rPr>
    </w:lvl>
    <w:lvl w:ilvl="4" w:tplc="66BCBC84" w:tentative="1">
      <w:start w:val="1"/>
      <w:numFmt w:val="bullet"/>
      <w:lvlText w:val="o"/>
      <w:lvlJc w:val="left"/>
      <w:pPr>
        <w:tabs>
          <w:tab w:val="num" w:pos="1473"/>
        </w:tabs>
        <w:ind w:left="1473" w:hanging="360"/>
      </w:pPr>
      <w:rPr>
        <w:rFonts w:ascii="Courier New" w:hAnsi="Courier New" w:cs="Courier New" w:hint="default"/>
      </w:rPr>
    </w:lvl>
    <w:lvl w:ilvl="5" w:tplc="B920B2C2" w:tentative="1">
      <w:start w:val="1"/>
      <w:numFmt w:val="bullet"/>
      <w:lvlText w:val=""/>
      <w:lvlJc w:val="left"/>
      <w:pPr>
        <w:tabs>
          <w:tab w:val="num" w:pos="2193"/>
        </w:tabs>
        <w:ind w:left="2193" w:hanging="360"/>
      </w:pPr>
      <w:rPr>
        <w:rFonts w:ascii="Wingdings" w:hAnsi="Wingdings" w:hint="default"/>
      </w:rPr>
    </w:lvl>
    <w:lvl w:ilvl="6" w:tplc="59EE8322" w:tentative="1">
      <w:start w:val="1"/>
      <w:numFmt w:val="bullet"/>
      <w:lvlText w:val=""/>
      <w:lvlJc w:val="left"/>
      <w:pPr>
        <w:tabs>
          <w:tab w:val="num" w:pos="2913"/>
        </w:tabs>
        <w:ind w:left="2913" w:hanging="360"/>
      </w:pPr>
      <w:rPr>
        <w:rFonts w:ascii="Symbol" w:hAnsi="Symbol" w:hint="default"/>
      </w:rPr>
    </w:lvl>
    <w:lvl w:ilvl="7" w:tplc="52D41B08" w:tentative="1">
      <w:start w:val="1"/>
      <w:numFmt w:val="bullet"/>
      <w:lvlText w:val="o"/>
      <w:lvlJc w:val="left"/>
      <w:pPr>
        <w:tabs>
          <w:tab w:val="num" w:pos="3633"/>
        </w:tabs>
        <w:ind w:left="3633" w:hanging="360"/>
      </w:pPr>
      <w:rPr>
        <w:rFonts w:ascii="Courier New" w:hAnsi="Courier New" w:cs="Courier New" w:hint="default"/>
      </w:rPr>
    </w:lvl>
    <w:lvl w:ilvl="8" w:tplc="4ADC39B2" w:tentative="1">
      <w:start w:val="1"/>
      <w:numFmt w:val="bullet"/>
      <w:lvlText w:val=""/>
      <w:lvlJc w:val="left"/>
      <w:pPr>
        <w:tabs>
          <w:tab w:val="num" w:pos="4353"/>
        </w:tabs>
        <w:ind w:left="4353" w:hanging="360"/>
      </w:pPr>
      <w:rPr>
        <w:rFonts w:ascii="Wingdings" w:hAnsi="Wingdings" w:hint="default"/>
      </w:rPr>
    </w:lvl>
  </w:abstractNum>
  <w:abstractNum w:abstractNumId="11">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E9A7562"/>
    <w:multiLevelType w:val="hybridMultilevel"/>
    <w:tmpl w:val="1FCC4422"/>
    <w:lvl w:ilvl="0" w:tplc="FBAA53EC">
      <w:start w:val="1"/>
      <w:numFmt w:val="decimal"/>
      <w:lvlText w:val="2.%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317E6951"/>
    <w:multiLevelType w:val="hybridMultilevel"/>
    <w:tmpl w:val="103893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6B348F2"/>
    <w:multiLevelType w:val="singleLevel"/>
    <w:tmpl w:val="F8187DD2"/>
    <w:lvl w:ilvl="0">
      <w:start w:val="1"/>
      <w:numFmt w:val="bullet"/>
      <w:pStyle w:val="bulletlevel1"/>
      <w:lvlText w:val=""/>
      <w:lvlJc w:val="left"/>
      <w:pPr>
        <w:tabs>
          <w:tab w:val="num" w:pos="567"/>
        </w:tabs>
        <w:ind w:left="567" w:hanging="567"/>
      </w:pPr>
      <w:rPr>
        <w:rFonts w:ascii="Symbol" w:hAnsi="Symbol" w:hint="default"/>
        <w:sz w:val="20"/>
        <w:szCs w:val="20"/>
      </w:rPr>
    </w:lvl>
  </w:abstractNum>
  <w:abstractNum w:abstractNumId="21">
    <w:nsid w:val="630A4D1F"/>
    <w:multiLevelType w:val="hybridMultilevel"/>
    <w:tmpl w:val="36E6A188"/>
    <w:lvl w:ilvl="0" w:tplc="8432E22A">
      <w:start w:val="1"/>
      <w:numFmt w:val="bullet"/>
      <w:pStyle w:val="bulletlevel2"/>
      <w:lvlText w:val="-"/>
      <w:lvlJc w:val="left"/>
      <w:pPr>
        <w:tabs>
          <w:tab w:val="num" w:pos="1134"/>
        </w:tabs>
        <w:ind w:left="1134" w:hanging="567"/>
      </w:pPr>
      <w:rPr>
        <w:rFonts w:ascii="Courier New" w:hAnsi="Courier New" w:hint="default"/>
        <w:color w:val="auto"/>
        <w:sz w:val="16"/>
        <w:szCs w:val="16"/>
      </w:rPr>
    </w:lvl>
    <w:lvl w:ilvl="1" w:tplc="8CC01B9E" w:tentative="1">
      <w:start w:val="1"/>
      <w:numFmt w:val="bullet"/>
      <w:lvlText w:val="o"/>
      <w:lvlJc w:val="left"/>
      <w:pPr>
        <w:tabs>
          <w:tab w:val="num" w:pos="2007"/>
        </w:tabs>
        <w:ind w:left="2007" w:hanging="360"/>
      </w:pPr>
      <w:rPr>
        <w:rFonts w:ascii="Courier New" w:hAnsi="Courier New" w:cs="Courier New" w:hint="default"/>
      </w:rPr>
    </w:lvl>
    <w:lvl w:ilvl="2" w:tplc="EB84AD5C" w:tentative="1">
      <w:start w:val="1"/>
      <w:numFmt w:val="bullet"/>
      <w:lvlText w:val=""/>
      <w:lvlJc w:val="left"/>
      <w:pPr>
        <w:tabs>
          <w:tab w:val="num" w:pos="2727"/>
        </w:tabs>
        <w:ind w:left="2727" w:hanging="360"/>
      </w:pPr>
      <w:rPr>
        <w:rFonts w:ascii="Wingdings" w:hAnsi="Wingdings" w:hint="default"/>
      </w:rPr>
    </w:lvl>
    <w:lvl w:ilvl="3" w:tplc="2E40CA9A" w:tentative="1">
      <w:start w:val="1"/>
      <w:numFmt w:val="bullet"/>
      <w:lvlText w:val=""/>
      <w:lvlJc w:val="left"/>
      <w:pPr>
        <w:tabs>
          <w:tab w:val="num" w:pos="3447"/>
        </w:tabs>
        <w:ind w:left="3447" w:hanging="360"/>
      </w:pPr>
      <w:rPr>
        <w:rFonts w:ascii="Symbol" w:hAnsi="Symbol" w:hint="default"/>
      </w:rPr>
    </w:lvl>
    <w:lvl w:ilvl="4" w:tplc="F21CDEFE" w:tentative="1">
      <w:start w:val="1"/>
      <w:numFmt w:val="bullet"/>
      <w:lvlText w:val="o"/>
      <w:lvlJc w:val="left"/>
      <w:pPr>
        <w:tabs>
          <w:tab w:val="num" w:pos="4167"/>
        </w:tabs>
        <w:ind w:left="4167" w:hanging="360"/>
      </w:pPr>
      <w:rPr>
        <w:rFonts w:ascii="Courier New" w:hAnsi="Courier New" w:cs="Courier New" w:hint="default"/>
      </w:rPr>
    </w:lvl>
    <w:lvl w:ilvl="5" w:tplc="706C4674" w:tentative="1">
      <w:start w:val="1"/>
      <w:numFmt w:val="bullet"/>
      <w:lvlText w:val=""/>
      <w:lvlJc w:val="left"/>
      <w:pPr>
        <w:tabs>
          <w:tab w:val="num" w:pos="4887"/>
        </w:tabs>
        <w:ind w:left="4887" w:hanging="360"/>
      </w:pPr>
      <w:rPr>
        <w:rFonts w:ascii="Wingdings" w:hAnsi="Wingdings" w:hint="default"/>
      </w:rPr>
    </w:lvl>
    <w:lvl w:ilvl="6" w:tplc="65028BEE" w:tentative="1">
      <w:start w:val="1"/>
      <w:numFmt w:val="bullet"/>
      <w:lvlText w:val=""/>
      <w:lvlJc w:val="left"/>
      <w:pPr>
        <w:tabs>
          <w:tab w:val="num" w:pos="5607"/>
        </w:tabs>
        <w:ind w:left="5607" w:hanging="360"/>
      </w:pPr>
      <w:rPr>
        <w:rFonts w:ascii="Symbol" w:hAnsi="Symbol" w:hint="default"/>
      </w:rPr>
    </w:lvl>
    <w:lvl w:ilvl="7" w:tplc="A71E9600" w:tentative="1">
      <w:start w:val="1"/>
      <w:numFmt w:val="bullet"/>
      <w:lvlText w:val="o"/>
      <w:lvlJc w:val="left"/>
      <w:pPr>
        <w:tabs>
          <w:tab w:val="num" w:pos="6327"/>
        </w:tabs>
        <w:ind w:left="6327" w:hanging="360"/>
      </w:pPr>
      <w:rPr>
        <w:rFonts w:ascii="Courier New" w:hAnsi="Courier New" w:cs="Courier New" w:hint="default"/>
      </w:rPr>
    </w:lvl>
    <w:lvl w:ilvl="8" w:tplc="1E1ECCBC" w:tentative="1">
      <w:start w:val="1"/>
      <w:numFmt w:val="bullet"/>
      <w:lvlText w:val=""/>
      <w:lvlJc w:val="left"/>
      <w:pPr>
        <w:tabs>
          <w:tab w:val="num" w:pos="7047"/>
        </w:tabs>
        <w:ind w:left="7047" w:hanging="360"/>
      </w:pPr>
      <w:rPr>
        <w:rFonts w:ascii="Wingdings" w:hAnsi="Wingdings" w:hint="default"/>
      </w:rPr>
    </w:lvl>
  </w:abstractNum>
  <w:abstractNum w:abstractNumId="22">
    <w:nsid w:val="64770176"/>
    <w:multiLevelType w:val="hybridMultilevel"/>
    <w:tmpl w:val="7FA422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673407C8"/>
    <w:multiLevelType w:val="hybridMultilevel"/>
    <w:tmpl w:val="E5DCA876"/>
    <w:lvl w:ilvl="0" w:tplc="382EB15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91051DA"/>
    <w:multiLevelType w:val="hybridMultilevel"/>
    <w:tmpl w:val="4BAA377A"/>
    <w:lvl w:ilvl="0" w:tplc="EEAE085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9DB4CF4"/>
    <w:multiLevelType w:val="hybridMultilevel"/>
    <w:tmpl w:val="7912433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D5D622A"/>
    <w:multiLevelType w:val="multilevel"/>
    <w:tmpl w:val="7B20F3E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4C50A86"/>
    <w:multiLevelType w:val="hybridMultilevel"/>
    <w:tmpl w:val="BCCE99FA"/>
    <w:lvl w:ilvl="0" w:tplc="9F4A3FE4">
      <w:start w:val="1"/>
      <w:numFmt w:val="lowerLetter"/>
      <w:lvlText w:val="(%1)"/>
      <w:lvlJc w:val="left"/>
      <w:pPr>
        <w:ind w:left="750" w:hanging="390"/>
      </w:pPr>
      <w:rPr>
        <w:rFonts w:hint="default"/>
      </w:rPr>
    </w:lvl>
    <w:lvl w:ilvl="1" w:tplc="9B3CEB5E">
      <w:start w:val="1"/>
      <w:numFmt w:val="lowerRoman"/>
      <w:lvlText w:val="%2."/>
      <w:lvlJc w:val="righ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84D033C"/>
    <w:multiLevelType w:val="multilevel"/>
    <w:tmpl w:val="D9460942"/>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b w:val="0"/>
        <w:i w:val="0"/>
        <w:color w:val="auto"/>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7"/>
  </w:num>
  <w:num w:numId="4">
    <w:abstractNumId w:val="17"/>
  </w:num>
  <w:num w:numId="5">
    <w:abstractNumId w:val="28"/>
  </w:num>
  <w:num w:numId="6">
    <w:abstractNumId w:val="9"/>
  </w:num>
  <w:num w:numId="7">
    <w:abstractNumId w:val="16"/>
  </w:num>
  <w:num w:numId="8">
    <w:abstractNumId w:val="5"/>
  </w:num>
  <w:num w:numId="9">
    <w:abstractNumId w:val="15"/>
  </w:num>
  <w:num w:numId="10">
    <w:abstractNumId w:val="14"/>
  </w:num>
  <w:num w:numId="11">
    <w:abstractNumId w:val="12"/>
  </w:num>
  <w:num w:numId="12">
    <w:abstractNumId w:val="1"/>
  </w:num>
  <w:num w:numId="13">
    <w:abstractNumId w:val="0"/>
  </w:num>
  <w:num w:numId="14">
    <w:abstractNumId w:val="28"/>
  </w:num>
  <w:num w:numId="15">
    <w:abstractNumId w:val="20"/>
  </w:num>
  <w:num w:numId="16">
    <w:abstractNumId w:val="21"/>
  </w:num>
  <w:num w:numId="17">
    <w:abstractNumId w:val="26"/>
  </w:num>
  <w:num w:numId="18">
    <w:abstractNumId w:val="13"/>
  </w:num>
  <w:num w:numId="19">
    <w:abstractNumId w:val="24"/>
  </w:num>
  <w:num w:numId="20">
    <w:abstractNumId w:val="23"/>
  </w:num>
  <w:num w:numId="21">
    <w:abstractNumId w:val="25"/>
  </w:num>
  <w:num w:numId="22">
    <w:abstractNumId w:val="4"/>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8"/>
  </w:num>
  <w:num w:numId="26">
    <w:abstractNumId w:val="18"/>
  </w:num>
  <w:num w:numId="27">
    <w:abstractNumId w:val="19"/>
  </w:num>
  <w:num w:numId="28">
    <w:abstractNumId w:val="6"/>
  </w:num>
  <w:num w:numId="29">
    <w:abstractNumId w:val="2"/>
  </w:num>
  <w:num w:numId="30">
    <w:abstractNumId w:val="11"/>
  </w:num>
  <w:num w:numId="31">
    <w:abstractNumId w:val="27"/>
  </w:num>
  <w:num w:numId="32">
    <w:abstractNumId w:val="28"/>
  </w:num>
  <w:num w:numId="33">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2464A"/>
    <w:rsid w:val="0003106B"/>
    <w:rsid w:val="000339EA"/>
    <w:rsid w:val="000421A1"/>
    <w:rsid w:val="0004240E"/>
    <w:rsid w:val="00043D0C"/>
    <w:rsid w:val="00045E26"/>
    <w:rsid w:val="000513D4"/>
    <w:rsid w:val="000514B5"/>
    <w:rsid w:val="00060E64"/>
    <w:rsid w:val="00066755"/>
    <w:rsid w:val="00067D89"/>
    <w:rsid w:val="00074717"/>
    <w:rsid w:val="00077143"/>
    <w:rsid w:val="00082169"/>
    <w:rsid w:val="00084FEC"/>
    <w:rsid w:val="000969AD"/>
    <w:rsid w:val="000A0C36"/>
    <w:rsid w:val="000B45FA"/>
    <w:rsid w:val="000B558D"/>
    <w:rsid w:val="000B5653"/>
    <w:rsid w:val="000B5E50"/>
    <w:rsid w:val="000C649F"/>
    <w:rsid w:val="000C6996"/>
    <w:rsid w:val="000D23BA"/>
    <w:rsid w:val="000D2F2C"/>
    <w:rsid w:val="000D4C00"/>
    <w:rsid w:val="000D712C"/>
    <w:rsid w:val="000D79CA"/>
    <w:rsid w:val="000E16E2"/>
    <w:rsid w:val="000E681E"/>
    <w:rsid w:val="000F0003"/>
    <w:rsid w:val="000F4E6A"/>
    <w:rsid w:val="00104227"/>
    <w:rsid w:val="001107BF"/>
    <w:rsid w:val="00114F45"/>
    <w:rsid w:val="0012417C"/>
    <w:rsid w:val="00126D1D"/>
    <w:rsid w:val="001344EC"/>
    <w:rsid w:val="0014088E"/>
    <w:rsid w:val="00142395"/>
    <w:rsid w:val="00142714"/>
    <w:rsid w:val="001448D2"/>
    <w:rsid w:val="001452ED"/>
    <w:rsid w:val="001507E2"/>
    <w:rsid w:val="00154F3E"/>
    <w:rsid w:val="00163329"/>
    <w:rsid w:val="00164623"/>
    <w:rsid w:val="00165B64"/>
    <w:rsid w:val="001830CE"/>
    <w:rsid w:val="0018643B"/>
    <w:rsid w:val="0018779B"/>
    <w:rsid w:val="00196307"/>
    <w:rsid w:val="001A33EA"/>
    <w:rsid w:val="001A7271"/>
    <w:rsid w:val="001B017F"/>
    <w:rsid w:val="001B2338"/>
    <w:rsid w:val="001B2BBC"/>
    <w:rsid w:val="001B5129"/>
    <w:rsid w:val="001C1195"/>
    <w:rsid w:val="001D038B"/>
    <w:rsid w:val="001D504E"/>
    <w:rsid w:val="001E3935"/>
    <w:rsid w:val="001E5A2B"/>
    <w:rsid w:val="001F1850"/>
    <w:rsid w:val="001F6639"/>
    <w:rsid w:val="00203FAC"/>
    <w:rsid w:val="00205715"/>
    <w:rsid w:val="002104BB"/>
    <w:rsid w:val="00213CFB"/>
    <w:rsid w:val="0021443B"/>
    <w:rsid w:val="00217BE1"/>
    <w:rsid w:val="00230D61"/>
    <w:rsid w:val="002345BA"/>
    <w:rsid w:val="002416F7"/>
    <w:rsid w:val="00242595"/>
    <w:rsid w:val="00242629"/>
    <w:rsid w:val="00243405"/>
    <w:rsid w:val="00245BA3"/>
    <w:rsid w:val="0025311E"/>
    <w:rsid w:val="0025355D"/>
    <w:rsid w:val="00271BA1"/>
    <w:rsid w:val="00274646"/>
    <w:rsid w:val="002762FA"/>
    <w:rsid w:val="00277505"/>
    <w:rsid w:val="00277527"/>
    <w:rsid w:val="00286F51"/>
    <w:rsid w:val="0029458F"/>
    <w:rsid w:val="002A05E6"/>
    <w:rsid w:val="002A104C"/>
    <w:rsid w:val="002A4960"/>
    <w:rsid w:val="002B1AE6"/>
    <w:rsid w:val="002B2DE8"/>
    <w:rsid w:val="002B30F8"/>
    <w:rsid w:val="002B3C43"/>
    <w:rsid w:val="002B5596"/>
    <w:rsid w:val="002B5BC0"/>
    <w:rsid w:val="002B60CF"/>
    <w:rsid w:val="002C212F"/>
    <w:rsid w:val="002C6209"/>
    <w:rsid w:val="002D4543"/>
    <w:rsid w:val="002E0B76"/>
    <w:rsid w:val="002E3153"/>
    <w:rsid w:val="002E441A"/>
    <w:rsid w:val="002E72CA"/>
    <w:rsid w:val="00300AD6"/>
    <w:rsid w:val="00304D80"/>
    <w:rsid w:val="00305BC5"/>
    <w:rsid w:val="00317C6C"/>
    <w:rsid w:val="00325D6D"/>
    <w:rsid w:val="00326E79"/>
    <w:rsid w:val="0033518A"/>
    <w:rsid w:val="003367EF"/>
    <w:rsid w:val="00341AE4"/>
    <w:rsid w:val="00342A7B"/>
    <w:rsid w:val="00352D3A"/>
    <w:rsid w:val="003805BB"/>
    <w:rsid w:val="003869C2"/>
    <w:rsid w:val="003872CF"/>
    <w:rsid w:val="003972C4"/>
    <w:rsid w:val="0039782C"/>
    <w:rsid w:val="003A0405"/>
    <w:rsid w:val="003A5B4A"/>
    <w:rsid w:val="003B23C5"/>
    <w:rsid w:val="003B2A75"/>
    <w:rsid w:val="003B6124"/>
    <w:rsid w:val="003C0538"/>
    <w:rsid w:val="003C2FB5"/>
    <w:rsid w:val="003D4AC4"/>
    <w:rsid w:val="003D63B7"/>
    <w:rsid w:val="003E468B"/>
    <w:rsid w:val="003E574E"/>
    <w:rsid w:val="003F140C"/>
    <w:rsid w:val="003F3228"/>
    <w:rsid w:val="003F5C8C"/>
    <w:rsid w:val="004079C2"/>
    <w:rsid w:val="004252EC"/>
    <w:rsid w:val="00441ADA"/>
    <w:rsid w:val="004465BD"/>
    <w:rsid w:val="0045381A"/>
    <w:rsid w:val="00466ADA"/>
    <w:rsid w:val="00476245"/>
    <w:rsid w:val="00481092"/>
    <w:rsid w:val="00483035"/>
    <w:rsid w:val="00483096"/>
    <w:rsid w:val="0048346F"/>
    <w:rsid w:val="00485940"/>
    <w:rsid w:val="00486F90"/>
    <w:rsid w:val="00496D22"/>
    <w:rsid w:val="004A2484"/>
    <w:rsid w:val="004A5A85"/>
    <w:rsid w:val="004A71D1"/>
    <w:rsid w:val="004B5640"/>
    <w:rsid w:val="004C1BD7"/>
    <w:rsid w:val="004C31FE"/>
    <w:rsid w:val="004C691D"/>
    <w:rsid w:val="004C6C07"/>
    <w:rsid w:val="004D2A5E"/>
    <w:rsid w:val="004D48F7"/>
    <w:rsid w:val="004E692D"/>
    <w:rsid w:val="004F1FB6"/>
    <w:rsid w:val="00500019"/>
    <w:rsid w:val="00501554"/>
    <w:rsid w:val="00512D24"/>
    <w:rsid w:val="00514CD7"/>
    <w:rsid w:val="00526717"/>
    <w:rsid w:val="00530DBC"/>
    <w:rsid w:val="005319B2"/>
    <w:rsid w:val="00532402"/>
    <w:rsid w:val="00532C74"/>
    <w:rsid w:val="0053335E"/>
    <w:rsid w:val="00534E2E"/>
    <w:rsid w:val="00544552"/>
    <w:rsid w:val="00547D8C"/>
    <w:rsid w:val="00556EB2"/>
    <w:rsid w:val="0056259B"/>
    <w:rsid w:val="00562C6E"/>
    <w:rsid w:val="00562DF6"/>
    <w:rsid w:val="00564E3D"/>
    <w:rsid w:val="00577C4D"/>
    <w:rsid w:val="00581932"/>
    <w:rsid w:val="00582D3E"/>
    <w:rsid w:val="00587EFD"/>
    <w:rsid w:val="00591E8E"/>
    <w:rsid w:val="005963BB"/>
    <w:rsid w:val="005A2407"/>
    <w:rsid w:val="005A3173"/>
    <w:rsid w:val="005A3223"/>
    <w:rsid w:val="005A34F9"/>
    <w:rsid w:val="005A3DA3"/>
    <w:rsid w:val="005A52C4"/>
    <w:rsid w:val="005A5A34"/>
    <w:rsid w:val="005C1D80"/>
    <w:rsid w:val="005C23EF"/>
    <w:rsid w:val="005D03AB"/>
    <w:rsid w:val="005D5017"/>
    <w:rsid w:val="005E1333"/>
    <w:rsid w:val="005E7A7F"/>
    <w:rsid w:val="005F032C"/>
    <w:rsid w:val="005F3BE4"/>
    <w:rsid w:val="005F4B89"/>
    <w:rsid w:val="005F6F16"/>
    <w:rsid w:val="00601A91"/>
    <w:rsid w:val="00602BA3"/>
    <w:rsid w:val="00607E76"/>
    <w:rsid w:val="00612E34"/>
    <w:rsid w:val="00614159"/>
    <w:rsid w:val="00617C00"/>
    <w:rsid w:val="00617E44"/>
    <w:rsid w:val="00620CFF"/>
    <w:rsid w:val="006263BF"/>
    <w:rsid w:val="0062748A"/>
    <w:rsid w:val="00627F0B"/>
    <w:rsid w:val="00630A2C"/>
    <w:rsid w:val="00635A82"/>
    <w:rsid w:val="0063682E"/>
    <w:rsid w:val="00642164"/>
    <w:rsid w:val="006436CD"/>
    <w:rsid w:val="00651169"/>
    <w:rsid w:val="00653D69"/>
    <w:rsid w:val="006552D5"/>
    <w:rsid w:val="006571F6"/>
    <w:rsid w:val="006654AC"/>
    <w:rsid w:val="006670BE"/>
    <w:rsid w:val="00670A76"/>
    <w:rsid w:val="006711AA"/>
    <w:rsid w:val="00672443"/>
    <w:rsid w:val="00672B57"/>
    <w:rsid w:val="00675622"/>
    <w:rsid w:val="00680777"/>
    <w:rsid w:val="00681AC8"/>
    <w:rsid w:val="00683A6F"/>
    <w:rsid w:val="006906DB"/>
    <w:rsid w:val="00691E6C"/>
    <w:rsid w:val="006957C6"/>
    <w:rsid w:val="00696129"/>
    <w:rsid w:val="00697CF2"/>
    <w:rsid w:val="006A12A5"/>
    <w:rsid w:val="006B0D94"/>
    <w:rsid w:val="006B0E35"/>
    <w:rsid w:val="006B485D"/>
    <w:rsid w:val="006C0BB6"/>
    <w:rsid w:val="006C3DA5"/>
    <w:rsid w:val="006C708E"/>
    <w:rsid w:val="006D4351"/>
    <w:rsid w:val="006D6EC7"/>
    <w:rsid w:val="006D73EB"/>
    <w:rsid w:val="006E1EE5"/>
    <w:rsid w:val="006F16CB"/>
    <w:rsid w:val="006F34FC"/>
    <w:rsid w:val="006F43B1"/>
    <w:rsid w:val="006F5125"/>
    <w:rsid w:val="00702B6F"/>
    <w:rsid w:val="00703BEC"/>
    <w:rsid w:val="0071340B"/>
    <w:rsid w:val="007174BB"/>
    <w:rsid w:val="0072025D"/>
    <w:rsid w:val="00724A24"/>
    <w:rsid w:val="00731752"/>
    <w:rsid w:val="00734282"/>
    <w:rsid w:val="007353D3"/>
    <w:rsid w:val="00750EA4"/>
    <w:rsid w:val="007534EE"/>
    <w:rsid w:val="00763784"/>
    <w:rsid w:val="0076420C"/>
    <w:rsid w:val="0076670A"/>
    <w:rsid w:val="00767604"/>
    <w:rsid w:val="007753C2"/>
    <w:rsid w:val="007838B8"/>
    <w:rsid w:val="0079145F"/>
    <w:rsid w:val="007A58A4"/>
    <w:rsid w:val="007B7AB1"/>
    <w:rsid w:val="007C0F57"/>
    <w:rsid w:val="007C40B6"/>
    <w:rsid w:val="007C729F"/>
    <w:rsid w:val="007D5414"/>
    <w:rsid w:val="007D5FDA"/>
    <w:rsid w:val="007E1C22"/>
    <w:rsid w:val="007E1D28"/>
    <w:rsid w:val="007E34BD"/>
    <w:rsid w:val="007E40BE"/>
    <w:rsid w:val="007F2641"/>
    <w:rsid w:val="007F3F68"/>
    <w:rsid w:val="007F446F"/>
    <w:rsid w:val="007F7443"/>
    <w:rsid w:val="007F7C36"/>
    <w:rsid w:val="00802462"/>
    <w:rsid w:val="008032B1"/>
    <w:rsid w:val="00806796"/>
    <w:rsid w:val="00814171"/>
    <w:rsid w:val="008151D6"/>
    <w:rsid w:val="00822C24"/>
    <w:rsid w:val="00824D1A"/>
    <w:rsid w:val="00826491"/>
    <w:rsid w:val="00826F6D"/>
    <w:rsid w:val="008306F3"/>
    <w:rsid w:val="0083156D"/>
    <w:rsid w:val="00840660"/>
    <w:rsid w:val="00841C4A"/>
    <w:rsid w:val="00842D64"/>
    <w:rsid w:val="00843C2C"/>
    <w:rsid w:val="008548A7"/>
    <w:rsid w:val="00856DDD"/>
    <w:rsid w:val="00863E68"/>
    <w:rsid w:val="00881A59"/>
    <w:rsid w:val="00882085"/>
    <w:rsid w:val="00883188"/>
    <w:rsid w:val="0089048B"/>
    <w:rsid w:val="00896F96"/>
    <w:rsid w:val="00897D58"/>
    <w:rsid w:val="00897F22"/>
    <w:rsid w:val="008A1956"/>
    <w:rsid w:val="008A4937"/>
    <w:rsid w:val="008A50F1"/>
    <w:rsid w:val="008B3F93"/>
    <w:rsid w:val="008D0B70"/>
    <w:rsid w:val="008D1B5C"/>
    <w:rsid w:val="008D3C82"/>
    <w:rsid w:val="008D433D"/>
    <w:rsid w:val="008D447E"/>
    <w:rsid w:val="008D7A41"/>
    <w:rsid w:val="008E1ADE"/>
    <w:rsid w:val="008E3680"/>
    <w:rsid w:val="008E5870"/>
    <w:rsid w:val="008E6E4D"/>
    <w:rsid w:val="008E7DA0"/>
    <w:rsid w:val="008F1434"/>
    <w:rsid w:val="008F7355"/>
    <w:rsid w:val="008F7878"/>
    <w:rsid w:val="00904EA8"/>
    <w:rsid w:val="009067B7"/>
    <w:rsid w:val="00907B0C"/>
    <w:rsid w:val="00912491"/>
    <w:rsid w:val="009159D6"/>
    <w:rsid w:val="00930937"/>
    <w:rsid w:val="00933E6C"/>
    <w:rsid w:val="00937958"/>
    <w:rsid w:val="00940173"/>
    <w:rsid w:val="00942160"/>
    <w:rsid w:val="009426DA"/>
    <w:rsid w:val="0095146F"/>
    <w:rsid w:val="00952FD4"/>
    <w:rsid w:val="009602C5"/>
    <w:rsid w:val="00960BC5"/>
    <w:rsid w:val="00962223"/>
    <w:rsid w:val="00962FD7"/>
    <w:rsid w:val="00966D0D"/>
    <w:rsid w:val="00974C21"/>
    <w:rsid w:val="00975C17"/>
    <w:rsid w:val="0097650B"/>
    <w:rsid w:val="00984FC5"/>
    <w:rsid w:val="00992AE7"/>
    <w:rsid w:val="00995065"/>
    <w:rsid w:val="009A4CCE"/>
    <w:rsid w:val="009B0F67"/>
    <w:rsid w:val="009B2E90"/>
    <w:rsid w:val="009B3274"/>
    <w:rsid w:val="009C703C"/>
    <w:rsid w:val="009D3CAA"/>
    <w:rsid w:val="009F3DFB"/>
    <w:rsid w:val="009F4E46"/>
    <w:rsid w:val="009F5B65"/>
    <w:rsid w:val="009F5F2E"/>
    <w:rsid w:val="009F6C73"/>
    <w:rsid w:val="00A01574"/>
    <w:rsid w:val="00A03F34"/>
    <w:rsid w:val="00A06225"/>
    <w:rsid w:val="00A10795"/>
    <w:rsid w:val="00A128E6"/>
    <w:rsid w:val="00A13FF6"/>
    <w:rsid w:val="00A31E70"/>
    <w:rsid w:val="00A34E6C"/>
    <w:rsid w:val="00A37C8D"/>
    <w:rsid w:val="00A5273B"/>
    <w:rsid w:val="00A53A9D"/>
    <w:rsid w:val="00A55FEE"/>
    <w:rsid w:val="00A57FE5"/>
    <w:rsid w:val="00A621B3"/>
    <w:rsid w:val="00A62C1A"/>
    <w:rsid w:val="00A64077"/>
    <w:rsid w:val="00A6426D"/>
    <w:rsid w:val="00A665C1"/>
    <w:rsid w:val="00A70622"/>
    <w:rsid w:val="00A70977"/>
    <w:rsid w:val="00A70E89"/>
    <w:rsid w:val="00A73198"/>
    <w:rsid w:val="00A757B0"/>
    <w:rsid w:val="00A768A3"/>
    <w:rsid w:val="00A77613"/>
    <w:rsid w:val="00A8390C"/>
    <w:rsid w:val="00A901BD"/>
    <w:rsid w:val="00A9043C"/>
    <w:rsid w:val="00A92174"/>
    <w:rsid w:val="00A928BD"/>
    <w:rsid w:val="00AA4D1C"/>
    <w:rsid w:val="00AA6169"/>
    <w:rsid w:val="00AB103E"/>
    <w:rsid w:val="00AC193C"/>
    <w:rsid w:val="00AC4097"/>
    <w:rsid w:val="00AC5206"/>
    <w:rsid w:val="00AD121B"/>
    <w:rsid w:val="00AD761A"/>
    <w:rsid w:val="00AE11A5"/>
    <w:rsid w:val="00AE13E2"/>
    <w:rsid w:val="00AE22D3"/>
    <w:rsid w:val="00AE70E7"/>
    <w:rsid w:val="00AF3986"/>
    <w:rsid w:val="00AF62DF"/>
    <w:rsid w:val="00AF68CC"/>
    <w:rsid w:val="00B1059E"/>
    <w:rsid w:val="00B176C8"/>
    <w:rsid w:val="00B205AA"/>
    <w:rsid w:val="00B22E84"/>
    <w:rsid w:val="00B25F75"/>
    <w:rsid w:val="00B26B3F"/>
    <w:rsid w:val="00B26FEB"/>
    <w:rsid w:val="00B400D1"/>
    <w:rsid w:val="00B43E90"/>
    <w:rsid w:val="00B45DB1"/>
    <w:rsid w:val="00B467DC"/>
    <w:rsid w:val="00B52ADF"/>
    <w:rsid w:val="00B540C7"/>
    <w:rsid w:val="00B56118"/>
    <w:rsid w:val="00B60CF9"/>
    <w:rsid w:val="00B61BB9"/>
    <w:rsid w:val="00B6773F"/>
    <w:rsid w:val="00B73F46"/>
    <w:rsid w:val="00B74061"/>
    <w:rsid w:val="00B801BA"/>
    <w:rsid w:val="00B84D5C"/>
    <w:rsid w:val="00BB1215"/>
    <w:rsid w:val="00BB69F5"/>
    <w:rsid w:val="00BB7EC3"/>
    <w:rsid w:val="00BC2A42"/>
    <w:rsid w:val="00BC4B9A"/>
    <w:rsid w:val="00BD2280"/>
    <w:rsid w:val="00BD784C"/>
    <w:rsid w:val="00BE06C2"/>
    <w:rsid w:val="00BF05C2"/>
    <w:rsid w:val="00BF4CB6"/>
    <w:rsid w:val="00C00DA7"/>
    <w:rsid w:val="00C05CB8"/>
    <w:rsid w:val="00C12768"/>
    <w:rsid w:val="00C27B58"/>
    <w:rsid w:val="00C35996"/>
    <w:rsid w:val="00C40F1B"/>
    <w:rsid w:val="00C4271B"/>
    <w:rsid w:val="00C46A3D"/>
    <w:rsid w:val="00C4747E"/>
    <w:rsid w:val="00C5342C"/>
    <w:rsid w:val="00C603D4"/>
    <w:rsid w:val="00C6105F"/>
    <w:rsid w:val="00C6256A"/>
    <w:rsid w:val="00C71C74"/>
    <w:rsid w:val="00C73FD8"/>
    <w:rsid w:val="00C77891"/>
    <w:rsid w:val="00C81562"/>
    <w:rsid w:val="00C91449"/>
    <w:rsid w:val="00C92D10"/>
    <w:rsid w:val="00C9522A"/>
    <w:rsid w:val="00CA39B7"/>
    <w:rsid w:val="00CB4429"/>
    <w:rsid w:val="00CB4A0F"/>
    <w:rsid w:val="00CC3C38"/>
    <w:rsid w:val="00CD2ED9"/>
    <w:rsid w:val="00CE10C4"/>
    <w:rsid w:val="00CE27B5"/>
    <w:rsid w:val="00CE4106"/>
    <w:rsid w:val="00CE4A2C"/>
    <w:rsid w:val="00CF4A6A"/>
    <w:rsid w:val="00D0321E"/>
    <w:rsid w:val="00D1455A"/>
    <w:rsid w:val="00D2037E"/>
    <w:rsid w:val="00D222D8"/>
    <w:rsid w:val="00D228CC"/>
    <w:rsid w:val="00D26AA5"/>
    <w:rsid w:val="00D31150"/>
    <w:rsid w:val="00D3138B"/>
    <w:rsid w:val="00D3280C"/>
    <w:rsid w:val="00D3406A"/>
    <w:rsid w:val="00D4572C"/>
    <w:rsid w:val="00D45F8F"/>
    <w:rsid w:val="00D469B2"/>
    <w:rsid w:val="00D50EE4"/>
    <w:rsid w:val="00D532AC"/>
    <w:rsid w:val="00D741EB"/>
    <w:rsid w:val="00D83605"/>
    <w:rsid w:val="00D84262"/>
    <w:rsid w:val="00D84934"/>
    <w:rsid w:val="00D90E5B"/>
    <w:rsid w:val="00D91271"/>
    <w:rsid w:val="00D92DEA"/>
    <w:rsid w:val="00DA1CBF"/>
    <w:rsid w:val="00DA29F5"/>
    <w:rsid w:val="00DA2CB5"/>
    <w:rsid w:val="00DA4BAC"/>
    <w:rsid w:val="00DA6F04"/>
    <w:rsid w:val="00DB2A19"/>
    <w:rsid w:val="00DB4671"/>
    <w:rsid w:val="00DC15BC"/>
    <w:rsid w:val="00DE43D4"/>
    <w:rsid w:val="00DE6D27"/>
    <w:rsid w:val="00DE7A8D"/>
    <w:rsid w:val="00DF11CC"/>
    <w:rsid w:val="00DF217D"/>
    <w:rsid w:val="00DF26A7"/>
    <w:rsid w:val="00DF6477"/>
    <w:rsid w:val="00DF74E9"/>
    <w:rsid w:val="00E03DB9"/>
    <w:rsid w:val="00E15627"/>
    <w:rsid w:val="00E164B3"/>
    <w:rsid w:val="00E16910"/>
    <w:rsid w:val="00E171C6"/>
    <w:rsid w:val="00E246F8"/>
    <w:rsid w:val="00E25729"/>
    <w:rsid w:val="00E409E5"/>
    <w:rsid w:val="00E42BDB"/>
    <w:rsid w:val="00E57EEB"/>
    <w:rsid w:val="00E61ADA"/>
    <w:rsid w:val="00E62D94"/>
    <w:rsid w:val="00E62F8C"/>
    <w:rsid w:val="00E65E54"/>
    <w:rsid w:val="00E7304D"/>
    <w:rsid w:val="00E80155"/>
    <w:rsid w:val="00E8391C"/>
    <w:rsid w:val="00E848C0"/>
    <w:rsid w:val="00E91B96"/>
    <w:rsid w:val="00E941A1"/>
    <w:rsid w:val="00E94446"/>
    <w:rsid w:val="00E95CE3"/>
    <w:rsid w:val="00EA2825"/>
    <w:rsid w:val="00EB0B63"/>
    <w:rsid w:val="00EB2079"/>
    <w:rsid w:val="00EB5088"/>
    <w:rsid w:val="00EC65EA"/>
    <w:rsid w:val="00ED1644"/>
    <w:rsid w:val="00ED2593"/>
    <w:rsid w:val="00ED56A0"/>
    <w:rsid w:val="00ED7D9C"/>
    <w:rsid w:val="00EE1D86"/>
    <w:rsid w:val="00EE7AAB"/>
    <w:rsid w:val="00EF3C95"/>
    <w:rsid w:val="00EF44A0"/>
    <w:rsid w:val="00EF4FED"/>
    <w:rsid w:val="00F042E9"/>
    <w:rsid w:val="00F050BD"/>
    <w:rsid w:val="00F05657"/>
    <w:rsid w:val="00F132A3"/>
    <w:rsid w:val="00F15055"/>
    <w:rsid w:val="00F218E5"/>
    <w:rsid w:val="00F22A21"/>
    <w:rsid w:val="00F25578"/>
    <w:rsid w:val="00F258E5"/>
    <w:rsid w:val="00F2778C"/>
    <w:rsid w:val="00F300BC"/>
    <w:rsid w:val="00F3330D"/>
    <w:rsid w:val="00F3334E"/>
    <w:rsid w:val="00F3604B"/>
    <w:rsid w:val="00F36CCB"/>
    <w:rsid w:val="00F374E5"/>
    <w:rsid w:val="00F423A3"/>
    <w:rsid w:val="00F43AF2"/>
    <w:rsid w:val="00F448EC"/>
    <w:rsid w:val="00F5026A"/>
    <w:rsid w:val="00F50EC4"/>
    <w:rsid w:val="00F550CF"/>
    <w:rsid w:val="00F55A2B"/>
    <w:rsid w:val="00F57A6D"/>
    <w:rsid w:val="00F638CC"/>
    <w:rsid w:val="00F64154"/>
    <w:rsid w:val="00F64CC1"/>
    <w:rsid w:val="00F66FB3"/>
    <w:rsid w:val="00F72317"/>
    <w:rsid w:val="00F80475"/>
    <w:rsid w:val="00F8247A"/>
    <w:rsid w:val="00F94119"/>
    <w:rsid w:val="00F9629A"/>
    <w:rsid w:val="00F9706A"/>
    <w:rsid w:val="00F97EFC"/>
    <w:rsid w:val="00FA215F"/>
    <w:rsid w:val="00FA5883"/>
    <w:rsid w:val="00FA5E6F"/>
    <w:rsid w:val="00FA6055"/>
    <w:rsid w:val="00FA7DFC"/>
    <w:rsid w:val="00FB322F"/>
    <w:rsid w:val="00FB442F"/>
    <w:rsid w:val="00FC1929"/>
    <w:rsid w:val="00FC412E"/>
    <w:rsid w:val="00FC5B46"/>
    <w:rsid w:val="00FD06AF"/>
    <w:rsid w:val="00FD6D8E"/>
    <w:rsid w:val="00FE0E94"/>
    <w:rsid w:val="00FE1498"/>
    <w:rsid w:val="00FE1601"/>
    <w:rsid w:val="00FE2122"/>
    <w:rsid w:val="00FF00BD"/>
    <w:rsid w:val="00FF1ED4"/>
    <w:rsid w:val="00FF2801"/>
    <w:rsid w:val="00FF46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1"/>
    <w:qFormat/>
    <w:rsid w:val="00A70E89"/>
    <w:pPr>
      <w:widowControl w:val="0"/>
      <w:spacing w:before="240" w:after="120"/>
      <w:ind w:left="720" w:hanging="720"/>
      <w:jc w:val="both"/>
      <w:outlineLvl w:val="0"/>
    </w:pPr>
    <w:rPr>
      <w:rFonts w:asciiTheme="minorHAnsi" w:hAnsiTheme="minorHAnsi" w:cs="Arial"/>
      <w:b/>
      <w:bCs/>
      <w:snapToGrid w:val="0"/>
      <w:sz w:val="32"/>
    </w:rPr>
  </w:style>
  <w:style w:type="paragraph" w:styleId="Heading2">
    <w:name w:val="heading 2"/>
    <w:basedOn w:val="Normal"/>
    <w:next w:val="Normal"/>
    <w:link w:val="Heading2Char"/>
    <w:uiPriority w:val="1"/>
    <w:qFormat/>
    <w:rsid w:val="000A0C36"/>
    <w:pPr>
      <w:keepNext/>
      <w:keepLines/>
      <w:spacing w:before="24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Bullet point,List Paragraph1,List Paragraph11,Recommendation,ES Paragraph,PBAC ES Paragraph,PBAC normal points,Numbered para"/>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Bullet point Char,List Paragraph1 Char,List Paragraph11 Char,Recommendation Char,ES Paragraph Char,PBAC ES Paragraph Char,PBAC normal points Char,Numbered para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0A0C36"/>
    <w:pPr>
      <w:numPr>
        <w:numId w:val="5"/>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A70E89"/>
    <w:rPr>
      <w:rFonts w:asciiTheme="minorHAnsi" w:hAnsiTheme="minorHAnsi" w:cs="Arial"/>
      <w:b/>
      <w:bCs/>
      <w:snapToGrid w:val="0"/>
      <w:sz w:val="32"/>
      <w:szCs w:val="24"/>
    </w:rPr>
  </w:style>
  <w:style w:type="character" w:customStyle="1" w:styleId="Heading2Char">
    <w:name w:val="Heading 2 Char"/>
    <w:basedOn w:val="DefaultParagraphFont"/>
    <w:link w:val="Heading2"/>
    <w:uiPriority w:val="1"/>
    <w:rsid w:val="000A0C36"/>
    <w:rPr>
      <w:rFonts w:asciiTheme="minorHAnsi" w:eastAsiaTheme="majorEastAsia" w:hAnsiTheme="minorHAnsi" w:cstheme="majorBidi"/>
      <w:b/>
      <w:i/>
      <w:sz w:val="28"/>
      <w:szCs w:val="28"/>
      <w:lang w:eastAsia="en-US"/>
    </w:rPr>
  </w:style>
  <w:style w:type="paragraph" w:styleId="Revision">
    <w:name w:val="Revision"/>
    <w:hidden/>
    <w:uiPriority w:val="71"/>
    <w:rsid w:val="005E7A7F"/>
    <w:rPr>
      <w:sz w:val="24"/>
      <w:szCs w:val="24"/>
    </w:rPr>
  </w:style>
  <w:style w:type="paragraph" w:customStyle="1" w:styleId="bulletlevel1">
    <w:name w:val="bullet level 1"/>
    <w:basedOn w:val="Normal"/>
    <w:link w:val="bulletlevel1Char"/>
    <w:rsid w:val="007A58A4"/>
    <w:pPr>
      <w:numPr>
        <w:numId w:val="15"/>
      </w:numPr>
      <w:tabs>
        <w:tab w:val="clear" w:pos="567"/>
        <w:tab w:val="num" w:pos="426"/>
      </w:tabs>
      <w:ind w:left="426" w:hanging="426"/>
    </w:pPr>
    <w:rPr>
      <w:rFonts w:asciiTheme="minorHAnsi" w:eastAsiaTheme="minorHAnsi" w:hAnsiTheme="minorHAnsi" w:cstheme="minorHAnsi"/>
      <w:sz w:val="22"/>
      <w:szCs w:val="22"/>
      <w:lang w:eastAsia="en-US"/>
    </w:rPr>
  </w:style>
  <w:style w:type="character" w:customStyle="1" w:styleId="bulletlevel1Char">
    <w:name w:val="bullet level 1 Char"/>
    <w:basedOn w:val="DefaultParagraphFont"/>
    <w:link w:val="bulletlevel1"/>
    <w:rsid w:val="007A58A4"/>
    <w:rPr>
      <w:rFonts w:asciiTheme="minorHAnsi" w:eastAsiaTheme="minorHAnsi" w:hAnsiTheme="minorHAnsi" w:cstheme="minorHAnsi"/>
      <w:sz w:val="22"/>
      <w:szCs w:val="22"/>
      <w:lang w:eastAsia="en-US"/>
    </w:rPr>
  </w:style>
  <w:style w:type="paragraph" w:customStyle="1" w:styleId="bulletlevel2">
    <w:name w:val="bullet level 2"/>
    <w:basedOn w:val="Normal"/>
    <w:link w:val="bulletlevel2Char"/>
    <w:rsid w:val="007A58A4"/>
    <w:pPr>
      <w:numPr>
        <w:numId w:val="16"/>
      </w:numPr>
      <w:tabs>
        <w:tab w:val="clear" w:pos="1134"/>
        <w:tab w:val="num" w:pos="851"/>
      </w:tabs>
      <w:ind w:left="851" w:hanging="425"/>
    </w:pPr>
    <w:rPr>
      <w:rFonts w:ascii="Calibri" w:hAnsi="Calibri"/>
      <w:color w:val="000000"/>
      <w:sz w:val="22"/>
      <w:szCs w:val="22"/>
      <w:lang w:val="en-US" w:eastAsia="en-US"/>
    </w:rPr>
  </w:style>
  <w:style w:type="character" w:customStyle="1" w:styleId="bulletlevel2Char">
    <w:name w:val="bullet level 2 Char"/>
    <w:basedOn w:val="DefaultParagraphFont"/>
    <w:link w:val="bulletlevel2"/>
    <w:rsid w:val="007A58A4"/>
    <w:rPr>
      <w:rFonts w:ascii="Calibri" w:hAnsi="Calibri"/>
      <w:color w:val="000000"/>
      <w:sz w:val="22"/>
      <w:szCs w:val="22"/>
      <w:lang w:val="en-US" w:eastAsia="en-US"/>
    </w:rPr>
  </w:style>
  <w:style w:type="paragraph" w:styleId="Caption">
    <w:name w:val="caption"/>
    <w:aliases w:val="Caption Char1,Caption Char Char"/>
    <w:basedOn w:val="Normal"/>
    <w:next w:val="Normal"/>
    <w:link w:val="CaptionChar"/>
    <w:uiPriority w:val="35"/>
    <w:unhideWhenUsed/>
    <w:qFormat/>
    <w:rsid w:val="00995065"/>
    <w:pPr>
      <w:spacing w:after="200"/>
    </w:pPr>
    <w:rPr>
      <w:b/>
      <w:bCs/>
      <w:color w:val="4F81BD" w:themeColor="accent1"/>
      <w:sz w:val="18"/>
      <w:szCs w:val="18"/>
    </w:rPr>
  </w:style>
  <w:style w:type="paragraph" w:customStyle="1" w:styleId="tablecolhead">
    <w:name w:val="tablecolhead"/>
    <w:basedOn w:val="Normal"/>
    <w:rsid w:val="00D45F8F"/>
    <w:pPr>
      <w:spacing w:before="100" w:beforeAutospacing="1" w:after="100" w:afterAutospacing="1"/>
    </w:pPr>
  </w:style>
  <w:style w:type="paragraph" w:customStyle="1" w:styleId="tabletext0">
    <w:name w:val="tabletext0"/>
    <w:basedOn w:val="Normal"/>
    <w:rsid w:val="00D45F8F"/>
    <w:pPr>
      <w:spacing w:before="100" w:beforeAutospacing="1" w:after="100" w:afterAutospacing="1"/>
    </w:pPr>
  </w:style>
  <w:style w:type="paragraph" w:customStyle="1" w:styleId="tablep1a">
    <w:name w:val="tablep1a"/>
    <w:basedOn w:val="Normal"/>
    <w:rsid w:val="00D45F8F"/>
    <w:pPr>
      <w:spacing w:before="100" w:beforeAutospacing="1" w:after="100" w:afterAutospacing="1"/>
    </w:pPr>
  </w:style>
  <w:style w:type="paragraph" w:customStyle="1" w:styleId="Executivesummary">
    <w:name w:val="Executive summary"/>
    <w:basedOn w:val="BodyText"/>
    <w:qFormat/>
    <w:rsid w:val="00CA39B7"/>
    <w:pPr>
      <w:pBdr>
        <w:top w:val="single" w:sz="4" w:space="6" w:color="auto"/>
        <w:left w:val="single" w:sz="4" w:space="4" w:color="auto"/>
        <w:bottom w:val="single" w:sz="4" w:space="6" w:color="auto"/>
        <w:right w:val="single" w:sz="4" w:space="4" w:color="auto"/>
      </w:pBdr>
      <w:spacing w:line="259" w:lineRule="auto"/>
    </w:pPr>
    <w:rPr>
      <w:sz w:val="22"/>
      <w:szCs w:val="20"/>
    </w:rPr>
  </w:style>
  <w:style w:type="paragraph" w:styleId="BodyText">
    <w:name w:val="Body Text"/>
    <w:basedOn w:val="Normal"/>
    <w:link w:val="BodyTextChar"/>
    <w:rsid w:val="00CA39B7"/>
    <w:pPr>
      <w:spacing w:after="120"/>
    </w:pPr>
  </w:style>
  <w:style w:type="character" w:customStyle="1" w:styleId="BodyTextChar">
    <w:name w:val="Body Text Char"/>
    <w:basedOn w:val="DefaultParagraphFont"/>
    <w:link w:val="BodyText"/>
    <w:rsid w:val="00CA39B7"/>
    <w:rPr>
      <w:sz w:val="24"/>
      <w:szCs w:val="24"/>
    </w:rPr>
  </w:style>
  <w:style w:type="paragraph" w:customStyle="1" w:styleId="Default">
    <w:name w:val="Default"/>
    <w:rsid w:val="00A64077"/>
    <w:pPr>
      <w:autoSpaceDE w:val="0"/>
      <w:autoSpaceDN w:val="0"/>
      <w:adjustRightInd w:val="0"/>
    </w:pPr>
    <w:rPr>
      <w:color w:val="000000"/>
      <w:sz w:val="24"/>
      <w:szCs w:val="24"/>
      <w:lang w:val="en-US"/>
    </w:rPr>
  </w:style>
  <w:style w:type="paragraph" w:customStyle="1" w:styleId="TableParagraph">
    <w:name w:val="Table Paragraph"/>
    <w:basedOn w:val="Normal"/>
    <w:uiPriority w:val="1"/>
    <w:qFormat/>
    <w:rsid w:val="00A64077"/>
    <w:pPr>
      <w:widowControl w:val="0"/>
    </w:pPr>
    <w:rPr>
      <w:rFonts w:asciiTheme="minorHAnsi" w:eastAsiaTheme="minorHAnsi" w:hAnsiTheme="minorHAnsi" w:cstheme="minorBidi"/>
      <w:sz w:val="22"/>
      <w:szCs w:val="22"/>
      <w:lang w:val="en-US" w:eastAsia="en-US"/>
    </w:rPr>
  </w:style>
  <w:style w:type="character" w:customStyle="1" w:styleId="CaptionChar">
    <w:name w:val="Caption Char"/>
    <w:aliases w:val="Caption Char1 Char,Caption Char Char Char"/>
    <w:link w:val="Caption"/>
    <w:uiPriority w:val="35"/>
    <w:rsid w:val="00F64154"/>
    <w:rPr>
      <w:b/>
      <w:bCs/>
      <w:color w:val="4F81BD" w:themeColor="accent1"/>
      <w:sz w:val="18"/>
      <w:szCs w:val="18"/>
    </w:rPr>
  </w:style>
  <w:style w:type="paragraph" w:customStyle="1" w:styleId="TextUnderTable">
    <w:name w:val="Text Under Table"/>
    <w:basedOn w:val="Normal"/>
    <w:link w:val="TextUnderTableChar"/>
    <w:qFormat/>
    <w:rsid w:val="00F64154"/>
    <w:pPr>
      <w:spacing w:before="120" w:after="120" w:line="276" w:lineRule="auto"/>
      <w:contextualSpacing/>
    </w:pPr>
    <w:rPr>
      <w:rFonts w:ascii="Arial" w:hAnsi="Arial"/>
      <w:i/>
      <w:sz w:val="16"/>
      <w:szCs w:val="22"/>
    </w:rPr>
  </w:style>
  <w:style w:type="character" w:customStyle="1" w:styleId="TextUnderTableChar">
    <w:name w:val="Text Under Table Char"/>
    <w:link w:val="TextUnderTable"/>
    <w:rsid w:val="00F64154"/>
    <w:rPr>
      <w:rFonts w:ascii="Arial" w:hAnsi="Arial"/>
      <w:i/>
      <w:sz w:val="1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1"/>
    <w:qFormat/>
    <w:rsid w:val="00A70E89"/>
    <w:pPr>
      <w:widowControl w:val="0"/>
      <w:spacing w:before="240" w:after="120"/>
      <w:ind w:left="720" w:hanging="720"/>
      <w:jc w:val="both"/>
      <w:outlineLvl w:val="0"/>
    </w:pPr>
    <w:rPr>
      <w:rFonts w:asciiTheme="minorHAnsi" w:hAnsiTheme="minorHAnsi" w:cs="Arial"/>
      <w:b/>
      <w:bCs/>
      <w:snapToGrid w:val="0"/>
      <w:sz w:val="32"/>
    </w:rPr>
  </w:style>
  <w:style w:type="paragraph" w:styleId="Heading2">
    <w:name w:val="heading 2"/>
    <w:basedOn w:val="Normal"/>
    <w:next w:val="Normal"/>
    <w:link w:val="Heading2Char"/>
    <w:uiPriority w:val="1"/>
    <w:qFormat/>
    <w:rsid w:val="000A0C36"/>
    <w:pPr>
      <w:keepNext/>
      <w:keepLines/>
      <w:spacing w:before="24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Bullet point,List Paragraph1,List Paragraph11,Recommendation,ES Paragraph,PBAC ES Paragraph,PBAC normal points,Numbered para"/>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Bullet point Char,List Paragraph1 Char,List Paragraph11 Char,Recommendation Char,ES Paragraph Char,PBAC ES Paragraph Char,PBAC normal points Char,Numbered para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0A0C36"/>
    <w:pPr>
      <w:numPr>
        <w:numId w:val="5"/>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A70E89"/>
    <w:rPr>
      <w:rFonts w:asciiTheme="minorHAnsi" w:hAnsiTheme="minorHAnsi" w:cs="Arial"/>
      <w:b/>
      <w:bCs/>
      <w:snapToGrid w:val="0"/>
      <w:sz w:val="32"/>
      <w:szCs w:val="24"/>
    </w:rPr>
  </w:style>
  <w:style w:type="character" w:customStyle="1" w:styleId="Heading2Char">
    <w:name w:val="Heading 2 Char"/>
    <w:basedOn w:val="DefaultParagraphFont"/>
    <w:link w:val="Heading2"/>
    <w:uiPriority w:val="1"/>
    <w:rsid w:val="000A0C36"/>
    <w:rPr>
      <w:rFonts w:asciiTheme="minorHAnsi" w:eastAsiaTheme="majorEastAsia" w:hAnsiTheme="minorHAnsi" w:cstheme="majorBidi"/>
      <w:b/>
      <w:i/>
      <w:sz w:val="28"/>
      <w:szCs w:val="28"/>
      <w:lang w:eastAsia="en-US"/>
    </w:rPr>
  </w:style>
  <w:style w:type="paragraph" w:styleId="Revision">
    <w:name w:val="Revision"/>
    <w:hidden/>
    <w:uiPriority w:val="71"/>
    <w:rsid w:val="005E7A7F"/>
    <w:rPr>
      <w:sz w:val="24"/>
      <w:szCs w:val="24"/>
    </w:rPr>
  </w:style>
  <w:style w:type="paragraph" w:customStyle="1" w:styleId="bulletlevel1">
    <w:name w:val="bullet level 1"/>
    <w:basedOn w:val="Normal"/>
    <w:link w:val="bulletlevel1Char"/>
    <w:rsid w:val="007A58A4"/>
    <w:pPr>
      <w:numPr>
        <w:numId w:val="15"/>
      </w:numPr>
      <w:tabs>
        <w:tab w:val="clear" w:pos="567"/>
        <w:tab w:val="num" w:pos="426"/>
      </w:tabs>
      <w:ind w:left="426" w:hanging="426"/>
    </w:pPr>
    <w:rPr>
      <w:rFonts w:asciiTheme="minorHAnsi" w:eastAsiaTheme="minorHAnsi" w:hAnsiTheme="minorHAnsi" w:cstheme="minorHAnsi"/>
      <w:sz w:val="22"/>
      <w:szCs w:val="22"/>
      <w:lang w:eastAsia="en-US"/>
    </w:rPr>
  </w:style>
  <w:style w:type="character" w:customStyle="1" w:styleId="bulletlevel1Char">
    <w:name w:val="bullet level 1 Char"/>
    <w:basedOn w:val="DefaultParagraphFont"/>
    <w:link w:val="bulletlevel1"/>
    <w:rsid w:val="007A58A4"/>
    <w:rPr>
      <w:rFonts w:asciiTheme="minorHAnsi" w:eastAsiaTheme="minorHAnsi" w:hAnsiTheme="minorHAnsi" w:cstheme="minorHAnsi"/>
      <w:sz w:val="22"/>
      <w:szCs w:val="22"/>
      <w:lang w:eastAsia="en-US"/>
    </w:rPr>
  </w:style>
  <w:style w:type="paragraph" w:customStyle="1" w:styleId="bulletlevel2">
    <w:name w:val="bullet level 2"/>
    <w:basedOn w:val="Normal"/>
    <w:link w:val="bulletlevel2Char"/>
    <w:rsid w:val="007A58A4"/>
    <w:pPr>
      <w:numPr>
        <w:numId w:val="16"/>
      </w:numPr>
      <w:tabs>
        <w:tab w:val="clear" w:pos="1134"/>
        <w:tab w:val="num" w:pos="851"/>
      </w:tabs>
      <w:ind w:left="851" w:hanging="425"/>
    </w:pPr>
    <w:rPr>
      <w:rFonts w:ascii="Calibri" w:hAnsi="Calibri"/>
      <w:color w:val="000000"/>
      <w:sz w:val="22"/>
      <w:szCs w:val="22"/>
      <w:lang w:val="en-US" w:eastAsia="en-US"/>
    </w:rPr>
  </w:style>
  <w:style w:type="character" w:customStyle="1" w:styleId="bulletlevel2Char">
    <w:name w:val="bullet level 2 Char"/>
    <w:basedOn w:val="DefaultParagraphFont"/>
    <w:link w:val="bulletlevel2"/>
    <w:rsid w:val="007A58A4"/>
    <w:rPr>
      <w:rFonts w:ascii="Calibri" w:hAnsi="Calibri"/>
      <w:color w:val="000000"/>
      <w:sz w:val="22"/>
      <w:szCs w:val="22"/>
      <w:lang w:val="en-US" w:eastAsia="en-US"/>
    </w:rPr>
  </w:style>
  <w:style w:type="paragraph" w:styleId="Caption">
    <w:name w:val="caption"/>
    <w:aliases w:val="Caption Char1,Caption Char Char"/>
    <w:basedOn w:val="Normal"/>
    <w:next w:val="Normal"/>
    <w:link w:val="CaptionChar"/>
    <w:uiPriority w:val="35"/>
    <w:unhideWhenUsed/>
    <w:qFormat/>
    <w:rsid w:val="00995065"/>
    <w:pPr>
      <w:spacing w:after="200"/>
    </w:pPr>
    <w:rPr>
      <w:b/>
      <w:bCs/>
      <w:color w:val="4F81BD" w:themeColor="accent1"/>
      <w:sz w:val="18"/>
      <w:szCs w:val="18"/>
    </w:rPr>
  </w:style>
  <w:style w:type="paragraph" w:customStyle="1" w:styleId="tablecolhead">
    <w:name w:val="tablecolhead"/>
    <w:basedOn w:val="Normal"/>
    <w:rsid w:val="00D45F8F"/>
    <w:pPr>
      <w:spacing w:before="100" w:beforeAutospacing="1" w:after="100" w:afterAutospacing="1"/>
    </w:pPr>
  </w:style>
  <w:style w:type="paragraph" w:customStyle="1" w:styleId="tabletext0">
    <w:name w:val="tabletext0"/>
    <w:basedOn w:val="Normal"/>
    <w:rsid w:val="00D45F8F"/>
    <w:pPr>
      <w:spacing w:before="100" w:beforeAutospacing="1" w:after="100" w:afterAutospacing="1"/>
    </w:pPr>
  </w:style>
  <w:style w:type="paragraph" w:customStyle="1" w:styleId="tablep1a">
    <w:name w:val="tablep1a"/>
    <w:basedOn w:val="Normal"/>
    <w:rsid w:val="00D45F8F"/>
    <w:pPr>
      <w:spacing w:before="100" w:beforeAutospacing="1" w:after="100" w:afterAutospacing="1"/>
    </w:pPr>
  </w:style>
  <w:style w:type="paragraph" w:customStyle="1" w:styleId="Executivesummary">
    <w:name w:val="Executive summary"/>
    <w:basedOn w:val="BodyText"/>
    <w:qFormat/>
    <w:rsid w:val="00CA39B7"/>
    <w:pPr>
      <w:pBdr>
        <w:top w:val="single" w:sz="4" w:space="6" w:color="auto"/>
        <w:left w:val="single" w:sz="4" w:space="4" w:color="auto"/>
        <w:bottom w:val="single" w:sz="4" w:space="6" w:color="auto"/>
        <w:right w:val="single" w:sz="4" w:space="4" w:color="auto"/>
      </w:pBdr>
      <w:spacing w:line="259" w:lineRule="auto"/>
    </w:pPr>
    <w:rPr>
      <w:sz w:val="22"/>
      <w:szCs w:val="20"/>
    </w:rPr>
  </w:style>
  <w:style w:type="paragraph" w:styleId="BodyText">
    <w:name w:val="Body Text"/>
    <w:basedOn w:val="Normal"/>
    <w:link w:val="BodyTextChar"/>
    <w:rsid w:val="00CA39B7"/>
    <w:pPr>
      <w:spacing w:after="120"/>
    </w:pPr>
  </w:style>
  <w:style w:type="character" w:customStyle="1" w:styleId="BodyTextChar">
    <w:name w:val="Body Text Char"/>
    <w:basedOn w:val="DefaultParagraphFont"/>
    <w:link w:val="BodyText"/>
    <w:rsid w:val="00CA39B7"/>
    <w:rPr>
      <w:sz w:val="24"/>
      <w:szCs w:val="24"/>
    </w:rPr>
  </w:style>
  <w:style w:type="paragraph" w:customStyle="1" w:styleId="Default">
    <w:name w:val="Default"/>
    <w:rsid w:val="00A64077"/>
    <w:pPr>
      <w:autoSpaceDE w:val="0"/>
      <w:autoSpaceDN w:val="0"/>
      <w:adjustRightInd w:val="0"/>
    </w:pPr>
    <w:rPr>
      <w:color w:val="000000"/>
      <w:sz w:val="24"/>
      <w:szCs w:val="24"/>
      <w:lang w:val="en-US"/>
    </w:rPr>
  </w:style>
  <w:style w:type="paragraph" w:customStyle="1" w:styleId="TableParagraph">
    <w:name w:val="Table Paragraph"/>
    <w:basedOn w:val="Normal"/>
    <w:uiPriority w:val="1"/>
    <w:qFormat/>
    <w:rsid w:val="00A64077"/>
    <w:pPr>
      <w:widowControl w:val="0"/>
    </w:pPr>
    <w:rPr>
      <w:rFonts w:asciiTheme="minorHAnsi" w:eastAsiaTheme="minorHAnsi" w:hAnsiTheme="minorHAnsi" w:cstheme="minorBidi"/>
      <w:sz w:val="22"/>
      <w:szCs w:val="22"/>
      <w:lang w:val="en-US" w:eastAsia="en-US"/>
    </w:rPr>
  </w:style>
  <w:style w:type="character" w:customStyle="1" w:styleId="CaptionChar">
    <w:name w:val="Caption Char"/>
    <w:aliases w:val="Caption Char1 Char,Caption Char Char Char"/>
    <w:link w:val="Caption"/>
    <w:uiPriority w:val="35"/>
    <w:rsid w:val="00F64154"/>
    <w:rPr>
      <w:b/>
      <w:bCs/>
      <w:color w:val="4F81BD" w:themeColor="accent1"/>
      <w:sz w:val="18"/>
      <w:szCs w:val="18"/>
    </w:rPr>
  </w:style>
  <w:style w:type="paragraph" w:customStyle="1" w:styleId="TextUnderTable">
    <w:name w:val="Text Under Table"/>
    <w:basedOn w:val="Normal"/>
    <w:link w:val="TextUnderTableChar"/>
    <w:qFormat/>
    <w:rsid w:val="00F64154"/>
    <w:pPr>
      <w:spacing w:before="120" w:after="120" w:line="276" w:lineRule="auto"/>
      <w:contextualSpacing/>
    </w:pPr>
    <w:rPr>
      <w:rFonts w:ascii="Arial" w:hAnsi="Arial"/>
      <w:i/>
      <w:sz w:val="16"/>
      <w:szCs w:val="22"/>
    </w:rPr>
  </w:style>
  <w:style w:type="character" w:customStyle="1" w:styleId="TextUnderTableChar">
    <w:name w:val="Text Under Table Char"/>
    <w:link w:val="TextUnderTable"/>
    <w:rsid w:val="00F64154"/>
    <w:rPr>
      <w:rFonts w:ascii="Arial" w:hAnsi="Arial"/>
      <w:i/>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5697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Sul17</b:Tag>
    <b:SourceType>JournalArticle</b:SourceType>
    <b:Guid>{BC6C55F6-8F69-4715-A0F2-CFADEECB2D80}</b:Guid>
    <b:Title>Low interim influenza vaccine effectiveness, Australia, 1 May to 24 September 2017</b:Title>
    <b:JournalName>Eurosurveillance</b:JournalName>
    <b:Year>2017</b:Year>
    <b:Pages>17-00707</b:Pages>
    <b:Author>
      <b:Author>
        <b:NameList>
          <b:Person>
            <b:Last>Sullivan</b:Last>
            <b:Middle>G</b:Middle>
            <b:First>S</b:First>
          </b:Person>
        </b:NameList>
      </b:Author>
    </b:Author>
    <b:Volume>22</b:Volume>
    <b:Issue>43</b:Issue>
    <b:RefOrder>2</b:RefOrder>
  </b:Source>
</b:Sources>
</file>

<file path=customXml/itemProps1.xml><?xml version="1.0" encoding="utf-8"?>
<ds:datastoreItem xmlns:ds="http://schemas.openxmlformats.org/officeDocument/2006/customXml" ds:itemID="{C79C2BF3-2A6A-4715-A746-B22E1967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3696</Words>
  <Characters>19088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2018-06-18T05:25:00Z</dcterms:created>
  <dcterms:modified xsi:type="dcterms:W3CDTF">2018-06-22T01:13:00Z</dcterms:modified>
</cp:coreProperties>
</file>